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F981DAA" w:rsidR="00B60939" w:rsidRPr="00AB6F27" w:rsidRDefault="00D020F1" w:rsidP="004A6040">
      <w:pPr>
        <w:pStyle w:val="1-MainHeading"/>
      </w:pPr>
      <w:bookmarkStart w:id="0" w:name="_Toc198643442"/>
      <w:r w:rsidRPr="00AB6F27">
        <w:t>6.08</w:t>
      </w:r>
      <w:r w:rsidR="00163F66" w:rsidRPr="00AB6F27">
        <w:tab/>
      </w:r>
      <w:r w:rsidR="00FE1F15" w:rsidRPr="00AB6F27">
        <w:t>PEMBROLIZUMAB</w:t>
      </w:r>
      <w:r w:rsidR="00163F66" w:rsidRPr="00AB6F27">
        <w:t>,</w:t>
      </w:r>
      <w:r w:rsidR="00163F66" w:rsidRPr="00AB6F27">
        <w:br/>
      </w:r>
      <w:r w:rsidR="00FE1F15" w:rsidRPr="00AB6F27">
        <w:t>Solution concentrate for I.V. infusion 100 mg in 4 mL,</w:t>
      </w:r>
      <w:r w:rsidR="00FE1F15" w:rsidRPr="00AB6F27">
        <w:br/>
        <w:t>Keytruda</w:t>
      </w:r>
      <w:r w:rsidR="00FE1F15" w:rsidRPr="00AB6F27">
        <w:rPr>
          <w:vertAlign w:val="superscript"/>
        </w:rPr>
        <w:t>®</w:t>
      </w:r>
      <w:r w:rsidR="00FE1F15" w:rsidRPr="00AB6F27">
        <w:t>,</w:t>
      </w:r>
      <w:r w:rsidR="00FE1F15" w:rsidRPr="00AB6F27">
        <w:br/>
        <w:t>MERCK SHARP &amp; DOHME (AUSTRALIA) PTY LTD.</w:t>
      </w:r>
      <w:bookmarkEnd w:id="0"/>
    </w:p>
    <w:p w14:paraId="11C00795" w14:textId="3DFB6D23" w:rsidR="00B50DB8" w:rsidRPr="00AB6F27" w:rsidRDefault="00B50DB8" w:rsidP="004A6040">
      <w:pPr>
        <w:pStyle w:val="2-SectionHeading"/>
      </w:pPr>
      <w:bookmarkStart w:id="1" w:name="_Toc198643444"/>
      <w:r w:rsidRPr="00AB6F27">
        <w:t xml:space="preserve">Purpose of </w:t>
      </w:r>
      <w:r w:rsidR="00CD7193" w:rsidRPr="00AB6F27">
        <w:t>s</w:t>
      </w:r>
      <w:r w:rsidR="00BB3A45" w:rsidRPr="00AB6F27">
        <w:t>ubmission</w:t>
      </w:r>
      <w:bookmarkEnd w:id="1"/>
    </w:p>
    <w:p w14:paraId="4755BF46" w14:textId="6F092C12" w:rsidR="00FE1F15" w:rsidRPr="00AB6F27" w:rsidRDefault="00FE1F15" w:rsidP="00FE1F15">
      <w:pPr>
        <w:pStyle w:val="3-BodyText"/>
      </w:pPr>
      <w:r w:rsidRPr="00AB6F27">
        <w:t>The Category 2 submission requested a Section 100</w:t>
      </w:r>
      <w:r w:rsidR="001A5032" w:rsidRPr="00AB6F27">
        <w:t xml:space="preserve"> (</w:t>
      </w:r>
      <w:r w:rsidR="00136364" w:rsidRPr="00AB6F27">
        <w:t>Efficient Funding of Chemotherapy Program)</w:t>
      </w:r>
      <w:r w:rsidRPr="00AB6F27">
        <w:t xml:space="preserve"> Authority Required (STREAMLINED) listing for pembrolizumab in combination with </w:t>
      </w:r>
      <w:r w:rsidR="00AB56B1" w:rsidRPr="00AB6F27">
        <w:t>platinum-based</w:t>
      </w:r>
      <w:r w:rsidRPr="00AB6F27">
        <w:t xml:space="preserve"> chemotherapy, followed by </w:t>
      </w:r>
      <w:r w:rsidR="00BF1B0D">
        <w:t>pembrolizumab</w:t>
      </w:r>
      <w:r w:rsidR="00136364" w:rsidRPr="00AB6F27">
        <w:t xml:space="preserve"> monotherapy,</w:t>
      </w:r>
      <w:r w:rsidRPr="00AB6F27">
        <w:t xml:space="preserve"> for primary advanced or recurrent </w:t>
      </w:r>
      <w:r w:rsidR="00D35875" w:rsidRPr="00AB6F27">
        <w:t xml:space="preserve">(A/R) </w:t>
      </w:r>
      <w:r w:rsidRPr="00AB6F27">
        <w:t xml:space="preserve">endometrial cancer (EC), </w:t>
      </w:r>
      <w:r w:rsidR="00136364" w:rsidRPr="00AB6F27">
        <w:t xml:space="preserve">regardless </w:t>
      </w:r>
      <w:r w:rsidRPr="00AB6F27">
        <w:t>of mismatch</w:t>
      </w:r>
      <w:r w:rsidR="00A65049" w:rsidRPr="00AB6F27">
        <w:t xml:space="preserve"> </w:t>
      </w:r>
      <w:r w:rsidRPr="00AB6F27">
        <w:t xml:space="preserve">repair (MMR) status. </w:t>
      </w:r>
    </w:p>
    <w:p w14:paraId="3F97B1F4" w14:textId="0C9CEE45" w:rsidR="00FE1F15" w:rsidRPr="00AB6F27" w:rsidRDefault="00FE1F15" w:rsidP="00FE1F15">
      <w:pPr>
        <w:pStyle w:val="3-BodyText"/>
      </w:pPr>
      <w:bookmarkStart w:id="2" w:name="_Ref200613496"/>
      <w:r w:rsidRPr="00AB6F27">
        <w:t xml:space="preserve">Listing was requested </w:t>
      </w:r>
      <w:proofErr w:type="gramStart"/>
      <w:r w:rsidRPr="00AB6F27">
        <w:t>on the basis of</w:t>
      </w:r>
      <w:proofErr w:type="gramEnd"/>
      <w:r w:rsidRPr="00AB6F27">
        <w:t xml:space="preserve"> a cost-minimisation approach </w:t>
      </w:r>
      <w:r w:rsidR="00247809" w:rsidRPr="00AB6F27">
        <w:t xml:space="preserve">(CMA) </w:t>
      </w:r>
      <w:r w:rsidRPr="00AB6F27">
        <w:t>for two populations:</w:t>
      </w:r>
      <w:bookmarkEnd w:id="2"/>
    </w:p>
    <w:p w14:paraId="3992A918" w14:textId="1A4CC8A2" w:rsidR="00FE1F15" w:rsidRPr="00AB6F27" w:rsidRDefault="00FE1F15" w:rsidP="0037102E">
      <w:pPr>
        <w:pStyle w:val="3-BodyText"/>
        <w:numPr>
          <w:ilvl w:val="0"/>
          <w:numId w:val="12"/>
        </w:numPr>
      </w:pPr>
      <w:r w:rsidRPr="00AB6F27">
        <w:t xml:space="preserve">Mismatch repair deficient (dMMR): </w:t>
      </w:r>
      <w:r w:rsidR="00B83ADE" w:rsidRPr="00AB6F27">
        <w:t xml:space="preserve">compared to </w:t>
      </w:r>
      <w:r w:rsidRPr="00AB6F27">
        <w:t xml:space="preserve">dostarlimab in combination with </w:t>
      </w:r>
      <w:r w:rsidR="00BF1B0D">
        <w:t>chemotherapy</w:t>
      </w:r>
      <w:r w:rsidRPr="00AB6F27">
        <w:t xml:space="preserve">, followed by maintenance </w:t>
      </w:r>
      <w:r w:rsidR="00437BAB">
        <w:t>dostarlimab</w:t>
      </w:r>
      <w:r w:rsidR="00D35875" w:rsidRPr="00AB6F27">
        <w:t xml:space="preserve"> </w:t>
      </w:r>
      <w:r w:rsidRPr="00AB6F27">
        <w:t>treatment</w:t>
      </w:r>
      <w:r w:rsidR="00247809" w:rsidRPr="00AB6F27">
        <w:t xml:space="preserve">, which was PBS-listed on </w:t>
      </w:r>
      <w:r w:rsidR="008031A2" w:rsidRPr="00AB6F27">
        <w:t>1 May 2024</w:t>
      </w:r>
      <w:r w:rsidRPr="00AB6F27">
        <w:t>; and</w:t>
      </w:r>
    </w:p>
    <w:p w14:paraId="5EB3B466" w14:textId="77777777" w:rsidR="00F37D48" w:rsidRPr="00DF01CF" w:rsidRDefault="00FE1F15" w:rsidP="0037102E">
      <w:pPr>
        <w:pStyle w:val="3-BodyText"/>
        <w:numPr>
          <w:ilvl w:val="0"/>
          <w:numId w:val="12"/>
        </w:numPr>
      </w:pPr>
      <w:r w:rsidRPr="00DF01CF">
        <w:t xml:space="preserve">Mismatch repair proficient (pMMR): </w:t>
      </w:r>
      <w:r w:rsidR="00B83ADE" w:rsidRPr="00DF01CF">
        <w:t xml:space="preserve">compared </w:t>
      </w:r>
      <w:r w:rsidRPr="00DF01CF">
        <w:t>to either</w:t>
      </w:r>
      <w:r w:rsidR="00F37D48" w:rsidRPr="00DF01CF">
        <w:t>:</w:t>
      </w:r>
      <w:r w:rsidRPr="00DF01CF">
        <w:t xml:space="preserve"> </w:t>
      </w:r>
    </w:p>
    <w:p w14:paraId="2802BA6A" w14:textId="6482C652" w:rsidR="00F37D48" w:rsidRPr="00DF01CF" w:rsidRDefault="00437BAB" w:rsidP="0037102E">
      <w:pPr>
        <w:pStyle w:val="3-BodyText"/>
        <w:numPr>
          <w:ilvl w:val="0"/>
          <w:numId w:val="26"/>
        </w:numPr>
      </w:pPr>
      <w:r w:rsidRPr="00DF01CF">
        <w:t>dostarlimab</w:t>
      </w:r>
      <w:r w:rsidR="00470C89" w:rsidRPr="00DF01CF">
        <w:t xml:space="preserve"> in combination with chemotherapy</w:t>
      </w:r>
      <w:r w:rsidR="00F37D48" w:rsidRPr="00DF01CF">
        <w:t>, however this</w:t>
      </w:r>
      <w:r w:rsidR="00247809" w:rsidRPr="00DF01CF">
        <w:t xml:space="preserve"> </w:t>
      </w:r>
      <w:r w:rsidR="008031A2" w:rsidRPr="00DF01CF">
        <w:t>wa</w:t>
      </w:r>
      <w:r w:rsidR="00247809" w:rsidRPr="00DF01CF">
        <w:t xml:space="preserve">s </w:t>
      </w:r>
      <w:r w:rsidR="00BA71CE" w:rsidRPr="00DF01CF">
        <w:t>not recommended at</w:t>
      </w:r>
      <w:r w:rsidR="008031A2" w:rsidRPr="00DF01CF">
        <w:t xml:space="preserve"> the</w:t>
      </w:r>
      <w:r w:rsidR="00247809" w:rsidRPr="00DF01CF">
        <w:t xml:space="preserve"> May 2025 </w:t>
      </w:r>
      <w:r w:rsidR="008031A2" w:rsidRPr="00DF01CF">
        <w:t>PBAC meeting</w:t>
      </w:r>
      <w:r w:rsidR="00F37D48" w:rsidRPr="00DF01CF">
        <w:t>;</w:t>
      </w:r>
      <w:r w:rsidR="00FE1F15" w:rsidRPr="00DF01CF">
        <w:t xml:space="preserve"> or </w:t>
      </w:r>
    </w:p>
    <w:p w14:paraId="170AD536" w14:textId="6DF0D8B2" w:rsidR="00F37D48" w:rsidRPr="00DF01CF" w:rsidRDefault="00FE1F15" w:rsidP="0037102E">
      <w:pPr>
        <w:pStyle w:val="3-BodyText"/>
        <w:numPr>
          <w:ilvl w:val="0"/>
          <w:numId w:val="26"/>
        </w:numPr>
      </w:pPr>
      <w:r w:rsidRPr="00DF01CF">
        <w:t xml:space="preserve">durvalumab in combination with </w:t>
      </w:r>
      <w:r w:rsidR="00BF1B0D" w:rsidRPr="00DF01CF">
        <w:t>chemotherapy</w:t>
      </w:r>
      <w:r w:rsidRPr="00DF01CF">
        <w:t xml:space="preserve"> followed by </w:t>
      </w:r>
      <w:r w:rsidR="008F1D87" w:rsidRPr="00DF01CF">
        <w:t>durvalumab</w:t>
      </w:r>
      <w:r w:rsidR="00B83ADE" w:rsidRPr="00DF01CF">
        <w:t xml:space="preserve"> </w:t>
      </w:r>
      <w:r w:rsidRPr="00DF01CF">
        <w:t>and olaparib maintenance (</w:t>
      </w:r>
      <w:r w:rsidR="008F1D87" w:rsidRPr="00DF01CF">
        <w:t>durvalumab</w:t>
      </w:r>
      <w:r w:rsidR="00470C89" w:rsidRPr="00DF01CF">
        <w:t xml:space="preserve"> </w:t>
      </w:r>
      <w:r w:rsidRPr="00DF01CF">
        <w:t>+</w:t>
      </w:r>
      <w:r w:rsidR="00470C89" w:rsidRPr="00DF01CF">
        <w:t xml:space="preserve"> </w:t>
      </w:r>
      <w:r w:rsidR="008F1D87" w:rsidRPr="00DF01CF">
        <w:t>olaparib</w:t>
      </w:r>
      <w:r w:rsidRPr="00DF01CF">
        <w:t>)</w:t>
      </w:r>
      <w:r w:rsidR="00F37D48" w:rsidRPr="00DF01CF">
        <w:t>. However, this</w:t>
      </w:r>
      <w:r w:rsidR="00247809" w:rsidRPr="00DF01CF">
        <w:t xml:space="preserve"> was deferred </w:t>
      </w:r>
      <w:r w:rsidR="00F37D48" w:rsidRPr="00DF01CF">
        <w:t xml:space="preserve">for the pMMR population </w:t>
      </w:r>
      <w:r w:rsidR="00247809" w:rsidRPr="00DF01CF">
        <w:t xml:space="preserve">at the November 2024 </w:t>
      </w:r>
      <w:r w:rsidR="008031A2" w:rsidRPr="00DF01CF">
        <w:t xml:space="preserve">PBAC </w:t>
      </w:r>
      <w:r w:rsidR="00247809" w:rsidRPr="00DF01CF">
        <w:t>meeting</w:t>
      </w:r>
      <w:r w:rsidRPr="00DF01CF">
        <w:t>,</w:t>
      </w:r>
      <w:r w:rsidR="00F37D48" w:rsidRPr="00DF01CF">
        <w:t xml:space="preserve"> as the TGA Delegate (at the time the Delegate’s Overview was prepared) was not satisfied that the efficacy and safety of durvalumab and olaparib were established for the pMMR component of the requested indication (paragraph 7.18, durvalumab and olaparib PSD, November 2024 PBAC meeting).</w:t>
      </w:r>
      <w:r w:rsidR="00F835C8" w:rsidRPr="00DF01CF">
        <w:t xml:space="preserve"> The ESC noted that</w:t>
      </w:r>
      <w:r w:rsidR="000239EE">
        <w:t xml:space="preserve"> at the time of the ESC meeting</w:t>
      </w:r>
      <w:r w:rsidR="00F835C8" w:rsidRPr="00DF01CF">
        <w:t xml:space="preserve">, durvalumab </w:t>
      </w:r>
      <w:r w:rsidR="000239EE">
        <w:t>was</w:t>
      </w:r>
      <w:r w:rsidR="001B214F" w:rsidRPr="00DF01CF">
        <w:t xml:space="preserve"> TGA-registered for </w:t>
      </w:r>
      <w:r w:rsidR="00F835C8" w:rsidRPr="00DF01CF">
        <w:t xml:space="preserve">the following indication: durvalumab ‘in combination with carboplatin and paclitaxel, followed by durvalumab monotherapy, is indicated for the first-line treatment of patients with primary advanced or recurrent endometrial cancer’ (i.e. durvalumab monotherapy </w:t>
      </w:r>
      <w:r w:rsidR="00514E1E">
        <w:t>had been</w:t>
      </w:r>
      <w:r w:rsidR="00F835C8" w:rsidRPr="00DF01CF">
        <w:t xml:space="preserve"> TGA-registered regardless of MMR status). </w:t>
      </w:r>
    </w:p>
    <w:p w14:paraId="4A6DD430" w14:textId="504CA81B" w:rsidR="00FE1F15" w:rsidRPr="00DF01CF" w:rsidRDefault="00470C89" w:rsidP="00514E1E">
      <w:pPr>
        <w:pStyle w:val="3-BodyText"/>
      </w:pPr>
      <w:bookmarkStart w:id="3" w:name="_Ref205794972"/>
      <w:r w:rsidRPr="00DF01CF">
        <w:t xml:space="preserve">The </w:t>
      </w:r>
      <w:r w:rsidR="005369D0">
        <w:t>Pre-Sub-Committee Response (</w:t>
      </w:r>
      <w:r w:rsidRPr="00DF01CF">
        <w:t>PSCR</w:t>
      </w:r>
      <w:r w:rsidR="005369D0">
        <w:t>)</w:t>
      </w:r>
      <w:r w:rsidRPr="00DF01CF">
        <w:t xml:space="preserve"> acknowledged that if neither dostarlimab nor durvalumab + olaparib were recommended, then the most appropriate comparator would be platinum-based chemotherapy alone followed, in a proportion of patients, by second line (2L) pembrolizumab + lenvatinib. Given the submission did not include an economic evaluation versus this comparator, the</w:t>
      </w:r>
      <w:r w:rsidR="002E11C4" w:rsidRPr="00DF01CF">
        <w:t xml:space="preserve"> PSCR</w:t>
      </w:r>
      <w:r w:rsidRPr="00DF01CF">
        <w:t xml:space="preserve"> </w:t>
      </w:r>
      <w:r w:rsidR="00E65F3D" w:rsidRPr="00DF01CF">
        <w:t>stated</w:t>
      </w:r>
      <w:r w:rsidRPr="00DF01CF">
        <w:t xml:space="preserve"> </w:t>
      </w:r>
      <w:r w:rsidR="00E65F3D" w:rsidRPr="00DF01CF">
        <w:t xml:space="preserve">that if neither dostarlimab nor durvalumab + olaparib were recommended, the sponsor </w:t>
      </w:r>
      <w:r w:rsidR="00E65F3D" w:rsidRPr="00DF01CF">
        <w:lastRenderedPageBreak/>
        <w:t>‘would request a recommendation for the dMMR population on the basis of non-inferiority to dostarlimab’ (page 2)</w:t>
      </w:r>
      <w:r w:rsidRPr="00DF01CF">
        <w:t>.</w:t>
      </w:r>
      <w:bookmarkEnd w:id="3"/>
    </w:p>
    <w:p w14:paraId="72720070" w14:textId="31A9E1BD" w:rsidR="00FE1F15" w:rsidRPr="00AB6F27" w:rsidRDefault="00FE1F15" w:rsidP="00FE1F15">
      <w:pPr>
        <w:pStyle w:val="TableFigureHeading"/>
        <w:rPr>
          <w:rStyle w:val="CommentReference"/>
          <w:b/>
          <w:szCs w:val="24"/>
        </w:rPr>
      </w:pPr>
      <w:r w:rsidRPr="00AB6F27">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1</w:t>
      </w:r>
      <w:r w:rsidR="00976099" w:rsidRPr="00AB6F27">
        <w:rPr>
          <w:noProof/>
        </w:rPr>
        <w:fldChar w:fldCharType="end"/>
      </w:r>
      <w:r w:rsidRPr="00AB6F27">
        <w:t>:</w:t>
      </w:r>
      <w:r w:rsidRPr="00AB6F27">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59"/>
        <w:gridCol w:w="7358"/>
      </w:tblGrid>
      <w:tr w:rsidR="00FE1F15" w:rsidRPr="00AB6F27" w14:paraId="0CD5F7D8" w14:textId="77777777" w:rsidTr="007B5E49">
        <w:tc>
          <w:tcPr>
            <w:tcW w:w="1668" w:type="dxa"/>
            <w:vAlign w:val="center"/>
          </w:tcPr>
          <w:p w14:paraId="1A87C213" w14:textId="77777777" w:rsidR="00FE1F15" w:rsidRPr="00AB6F27" w:rsidRDefault="00FE1F15" w:rsidP="007B5E49">
            <w:pPr>
              <w:pStyle w:val="In-tableHeading"/>
            </w:pPr>
            <w:r w:rsidRPr="00AB6F27">
              <w:t>Component</w:t>
            </w:r>
          </w:p>
        </w:tc>
        <w:tc>
          <w:tcPr>
            <w:tcW w:w="7488" w:type="dxa"/>
            <w:vAlign w:val="center"/>
          </w:tcPr>
          <w:p w14:paraId="652D1044" w14:textId="77777777" w:rsidR="00FE1F15" w:rsidRPr="00AB6F27" w:rsidRDefault="00FE1F15" w:rsidP="007B5E49">
            <w:pPr>
              <w:pStyle w:val="In-tableHeading"/>
            </w:pPr>
            <w:r w:rsidRPr="00AB6F27">
              <w:t>Description</w:t>
            </w:r>
          </w:p>
        </w:tc>
      </w:tr>
      <w:tr w:rsidR="00FE1F15" w:rsidRPr="00AB6F27" w14:paraId="57369798" w14:textId="77777777" w:rsidTr="007B5E49">
        <w:tc>
          <w:tcPr>
            <w:tcW w:w="1668" w:type="dxa"/>
            <w:vAlign w:val="center"/>
          </w:tcPr>
          <w:p w14:paraId="0791C59B" w14:textId="77777777" w:rsidR="00FE1F15" w:rsidRPr="00AB6F27" w:rsidRDefault="00FE1F15" w:rsidP="007B5E49">
            <w:pPr>
              <w:pStyle w:val="TableText0"/>
              <w:rPr>
                <w:b/>
                <w:bCs w:val="0"/>
              </w:rPr>
            </w:pPr>
            <w:r w:rsidRPr="00AB6F27">
              <w:rPr>
                <w:b/>
                <w:bCs w:val="0"/>
              </w:rPr>
              <w:t>Population</w:t>
            </w:r>
          </w:p>
        </w:tc>
        <w:tc>
          <w:tcPr>
            <w:tcW w:w="7488" w:type="dxa"/>
            <w:vAlign w:val="center"/>
          </w:tcPr>
          <w:p w14:paraId="7E567E42" w14:textId="333D3948" w:rsidR="00FE1F15" w:rsidRPr="00F41F45" w:rsidRDefault="00FE1F15" w:rsidP="007B5E49">
            <w:pPr>
              <w:pStyle w:val="TableText0"/>
            </w:pPr>
            <w:r w:rsidRPr="00F41F45">
              <w:t xml:space="preserve">Patients with primary advanced or first recurrent endometrial cancer </w:t>
            </w:r>
            <w:r w:rsidR="00C375C5" w:rsidRPr="00F41F45">
              <w:t xml:space="preserve">(either dMMR or pMMR) </w:t>
            </w:r>
            <w:r w:rsidRPr="00F41F45">
              <w:t>that has a low potential for cure by radiation therapy or surgery alone or in combination.</w:t>
            </w:r>
          </w:p>
        </w:tc>
      </w:tr>
      <w:tr w:rsidR="00FE1F15" w:rsidRPr="00AB6F27" w14:paraId="16A96CF2" w14:textId="77777777" w:rsidTr="007B5E49">
        <w:tc>
          <w:tcPr>
            <w:tcW w:w="1668" w:type="dxa"/>
            <w:vAlign w:val="center"/>
          </w:tcPr>
          <w:p w14:paraId="64629887" w14:textId="1B9944F3" w:rsidR="00FE1F15" w:rsidRPr="00AB6F27" w:rsidRDefault="00FE1F15" w:rsidP="007B5E49">
            <w:pPr>
              <w:pStyle w:val="TableText0"/>
              <w:rPr>
                <w:b/>
                <w:bCs w:val="0"/>
              </w:rPr>
            </w:pPr>
            <w:r w:rsidRPr="00AB6F27">
              <w:rPr>
                <w:b/>
                <w:bCs w:val="0"/>
              </w:rPr>
              <w:t>Intervention</w:t>
            </w:r>
            <w:r w:rsidR="00E6301A" w:rsidRPr="00AB6F27">
              <w:rPr>
                <w:b/>
                <w:bCs w:val="0"/>
              </w:rPr>
              <w:t xml:space="preserve"> (both dMMR and pMMR</w:t>
            </w:r>
          </w:p>
        </w:tc>
        <w:tc>
          <w:tcPr>
            <w:tcW w:w="7488" w:type="dxa"/>
            <w:vAlign w:val="center"/>
          </w:tcPr>
          <w:p w14:paraId="35826BFA" w14:textId="02DF017B" w:rsidR="00FE1F15" w:rsidRPr="00F41F45" w:rsidRDefault="00FE1F15" w:rsidP="007B5E49">
            <w:pPr>
              <w:pStyle w:val="TableText0"/>
            </w:pPr>
            <w:r w:rsidRPr="00F41F45">
              <w:t>First six cycles: pembrolizumab (200 mg) + carboplatin-paclitaxel every 3 weeks</w:t>
            </w:r>
            <w:r w:rsidR="00514E1E">
              <w:t>.</w:t>
            </w:r>
            <w:r w:rsidRPr="00F41F45">
              <w:t xml:space="preserve"> </w:t>
            </w:r>
          </w:p>
          <w:p w14:paraId="6775361A" w14:textId="77777777" w:rsidR="00FE1F15" w:rsidRPr="00F41F45" w:rsidRDefault="00FE1F15" w:rsidP="007B5E49">
            <w:pPr>
              <w:pStyle w:val="TableText0"/>
            </w:pPr>
            <w:r w:rsidRPr="00F41F45">
              <w:t>Subsequent cycles: pembrolizumab (400 mg) every 6 weeks for up to 2 years or until disease progression, whichever occurs first.</w:t>
            </w:r>
          </w:p>
        </w:tc>
      </w:tr>
      <w:tr w:rsidR="00FE1F15" w:rsidRPr="00AB6F27" w14:paraId="4F4928E5" w14:textId="77777777" w:rsidTr="007B5E49">
        <w:tc>
          <w:tcPr>
            <w:tcW w:w="1668" w:type="dxa"/>
            <w:vAlign w:val="center"/>
          </w:tcPr>
          <w:p w14:paraId="7CC55029" w14:textId="77777777" w:rsidR="00FE1F15" w:rsidRPr="00AB6F27" w:rsidRDefault="00FE1F15" w:rsidP="007B5E49">
            <w:pPr>
              <w:pStyle w:val="TableText0"/>
              <w:rPr>
                <w:b/>
                <w:bCs w:val="0"/>
              </w:rPr>
            </w:pPr>
            <w:r w:rsidRPr="00AB6F27">
              <w:rPr>
                <w:b/>
                <w:bCs w:val="0"/>
              </w:rPr>
              <w:t>Comparator/s</w:t>
            </w:r>
          </w:p>
          <w:p w14:paraId="38A12357" w14:textId="77777777" w:rsidR="00FE1F15" w:rsidRPr="00AB6F27" w:rsidRDefault="00FE1F15" w:rsidP="007B5E49">
            <w:pPr>
              <w:pStyle w:val="TableText0"/>
              <w:rPr>
                <w:b/>
                <w:bCs w:val="0"/>
              </w:rPr>
            </w:pPr>
            <w:r w:rsidRPr="00AB6F27">
              <w:rPr>
                <w:b/>
                <w:bCs w:val="0"/>
              </w:rPr>
              <w:t>dMMR population</w:t>
            </w:r>
          </w:p>
        </w:tc>
        <w:tc>
          <w:tcPr>
            <w:tcW w:w="7488" w:type="dxa"/>
            <w:vAlign w:val="center"/>
          </w:tcPr>
          <w:p w14:paraId="18D5908F" w14:textId="47F1CA1B" w:rsidR="00FE1F15" w:rsidRPr="00F41F45" w:rsidRDefault="00FE1F15" w:rsidP="007B5E49">
            <w:pPr>
              <w:pStyle w:val="TableText0"/>
            </w:pPr>
            <w:r w:rsidRPr="00F41F45">
              <w:t>First six cycles: dostarlimab (500 mg) + carboplatin-paclitaxel every 3 weeks</w:t>
            </w:r>
            <w:r w:rsidR="006B3FA8">
              <w:t>.</w:t>
            </w:r>
            <w:r w:rsidRPr="00F41F45">
              <w:t xml:space="preserve"> </w:t>
            </w:r>
          </w:p>
          <w:p w14:paraId="54176A28" w14:textId="77777777" w:rsidR="00FE1F15" w:rsidRPr="00F41F45" w:rsidRDefault="00FE1F15" w:rsidP="007B5E49">
            <w:pPr>
              <w:pStyle w:val="TableText0"/>
            </w:pPr>
            <w:r w:rsidRPr="00F41F45">
              <w:t>Subsequent cycles: dostarlimab (1,000 mg) every 6 weeks for up to 3 years or until disease progression, whichever occurs first.</w:t>
            </w:r>
          </w:p>
          <w:p w14:paraId="215060D1" w14:textId="77777777" w:rsidR="00FE1F15" w:rsidRPr="00F41F45" w:rsidRDefault="00FE1F15" w:rsidP="007B5E49">
            <w:pPr>
              <w:pStyle w:val="TableText0"/>
            </w:pPr>
            <w:r w:rsidRPr="00F41F45">
              <w:t>OR</w:t>
            </w:r>
          </w:p>
          <w:p w14:paraId="239EF510" w14:textId="77777777" w:rsidR="00FE1F15" w:rsidRPr="00F41F45" w:rsidRDefault="00FE1F15" w:rsidP="007B5E49">
            <w:pPr>
              <w:pStyle w:val="TableText0"/>
            </w:pPr>
            <w:r w:rsidRPr="00F41F45">
              <w:t xml:space="preserve">First six cycles: durvalumab (1120 mg) + carboplatin-paclitaxel every 3 weeks </w:t>
            </w:r>
          </w:p>
          <w:p w14:paraId="242C3710" w14:textId="77777777" w:rsidR="00FE1F15" w:rsidRPr="00F41F45" w:rsidRDefault="00FE1F15" w:rsidP="007B5E49">
            <w:pPr>
              <w:pStyle w:val="TableText0"/>
            </w:pPr>
            <w:r w:rsidRPr="00F41F45">
              <w:t>Subsequent cycles: durvalumab (1,500 mg) every 4 weeks until disease progression.</w:t>
            </w:r>
          </w:p>
        </w:tc>
      </w:tr>
      <w:tr w:rsidR="00FE1F15" w:rsidRPr="00AB6F27" w14:paraId="11EA3B43" w14:textId="77777777" w:rsidTr="007B5E49">
        <w:tc>
          <w:tcPr>
            <w:tcW w:w="1668" w:type="dxa"/>
            <w:vAlign w:val="center"/>
          </w:tcPr>
          <w:p w14:paraId="44B2A8FD" w14:textId="77777777" w:rsidR="00FE1F15" w:rsidRPr="00DA2238" w:rsidRDefault="00FE1F15" w:rsidP="007B5E49">
            <w:pPr>
              <w:pStyle w:val="TableText0"/>
              <w:rPr>
                <w:b/>
                <w:bCs w:val="0"/>
              </w:rPr>
            </w:pPr>
            <w:r w:rsidRPr="00DA2238">
              <w:rPr>
                <w:b/>
                <w:bCs w:val="0"/>
              </w:rPr>
              <w:t>Comparator/s</w:t>
            </w:r>
          </w:p>
          <w:p w14:paraId="1509DCE9" w14:textId="77777777" w:rsidR="00FE1F15" w:rsidRPr="00BF1B3E" w:rsidRDefault="00FE1F15" w:rsidP="007B5E49">
            <w:pPr>
              <w:pStyle w:val="TableText0"/>
              <w:rPr>
                <w:b/>
                <w:bCs w:val="0"/>
                <w:highlight w:val="yellow"/>
              </w:rPr>
            </w:pPr>
            <w:r w:rsidRPr="00DA2238">
              <w:rPr>
                <w:b/>
                <w:bCs w:val="0"/>
              </w:rPr>
              <w:t>pMMR population</w:t>
            </w:r>
          </w:p>
        </w:tc>
        <w:tc>
          <w:tcPr>
            <w:tcW w:w="7488" w:type="dxa"/>
            <w:vAlign w:val="center"/>
          </w:tcPr>
          <w:p w14:paraId="366C98CF" w14:textId="77777777" w:rsidR="00FE1F15" w:rsidRPr="00F41F45" w:rsidRDefault="00FE1F15" w:rsidP="007B5E49">
            <w:pPr>
              <w:pStyle w:val="TableText0"/>
            </w:pPr>
            <w:r w:rsidRPr="00F41F45">
              <w:t xml:space="preserve">First six cycles: dostarlimab (500 mg) + carboplatin-paclitaxel every 3 weeks. </w:t>
            </w:r>
          </w:p>
          <w:p w14:paraId="7F2EFF95" w14:textId="77777777" w:rsidR="00FE1F15" w:rsidRPr="00F41F45" w:rsidRDefault="00FE1F15" w:rsidP="007B5E49">
            <w:pPr>
              <w:pStyle w:val="TableText0"/>
            </w:pPr>
            <w:r w:rsidRPr="00F41F45">
              <w:t>Subsequent cycles: dostarlimab (1,000 mg) every 6 weeks for up to 3 years or until disease progression, whichever occurs first.</w:t>
            </w:r>
          </w:p>
          <w:p w14:paraId="490FF4C9" w14:textId="77777777" w:rsidR="00FE1F15" w:rsidRPr="00F41F45" w:rsidRDefault="00FE1F15" w:rsidP="007B5E49">
            <w:pPr>
              <w:pStyle w:val="TableText0"/>
            </w:pPr>
            <w:r w:rsidRPr="00F41F45">
              <w:t>OR</w:t>
            </w:r>
          </w:p>
          <w:p w14:paraId="042E8E07" w14:textId="77777777" w:rsidR="00FE1F15" w:rsidRPr="00F41F45" w:rsidRDefault="00FE1F15" w:rsidP="007B5E49">
            <w:pPr>
              <w:pStyle w:val="TableText0"/>
            </w:pPr>
            <w:r w:rsidRPr="00F41F45">
              <w:t xml:space="preserve">First six cycles: durvalumab (1120 mg) + carboplatin-paclitaxel every 3 weeks </w:t>
            </w:r>
          </w:p>
          <w:p w14:paraId="090B4F34" w14:textId="77777777" w:rsidR="00FE1F15" w:rsidRPr="00F41F45" w:rsidRDefault="00FE1F15" w:rsidP="007B5E49">
            <w:pPr>
              <w:pStyle w:val="TableText0"/>
            </w:pPr>
            <w:r w:rsidRPr="00F41F45">
              <w:t>Subsequent cycles: durvalumab (1,500 mg) every 4 weeks + olaparib 300mg twice daily until disease progression.</w:t>
            </w:r>
          </w:p>
        </w:tc>
      </w:tr>
      <w:tr w:rsidR="00FE1F15" w:rsidRPr="00AB6F27" w14:paraId="7224FD33" w14:textId="77777777" w:rsidTr="007B5E49">
        <w:tc>
          <w:tcPr>
            <w:tcW w:w="1668" w:type="dxa"/>
            <w:vAlign w:val="center"/>
          </w:tcPr>
          <w:p w14:paraId="61F023BF" w14:textId="77777777" w:rsidR="00FE1F15" w:rsidRPr="00AB6F27" w:rsidRDefault="00FE1F15" w:rsidP="007B5E49">
            <w:pPr>
              <w:pStyle w:val="TableText0"/>
              <w:rPr>
                <w:b/>
                <w:bCs w:val="0"/>
              </w:rPr>
            </w:pPr>
            <w:r w:rsidRPr="00AB6F27">
              <w:rPr>
                <w:b/>
                <w:bCs w:val="0"/>
              </w:rPr>
              <w:t>Outcomes</w:t>
            </w:r>
          </w:p>
        </w:tc>
        <w:tc>
          <w:tcPr>
            <w:tcW w:w="7488" w:type="dxa"/>
            <w:vAlign w:val="center"/>
          </w:tcPr>
          <w:p w14:paraId="54984F3F" w14:textId="77777777" w:rsidR="00FE1F15" w:rsidRPr="00F41F45" w:rsidRDefault="00FE1F15" w:rsidP="007B5E49">
            <w:pPr>
              <w:pStyle w:val="TableText0"/>
            </w:pPr>
            <w:r w:rsidRPr="00F41F45">
              <w:t xml:space="preserve">Progression free survival, overall survival </w:t>
            </w:r>
            <w:r w:rsidRPr="00F41F45">
              <w:rPr>
                <w:vertAlign w:val="superscript"/>
              </w:rPr>
              <w:t>a</w:t>
            </w:r>
            <w:r w:rsidRPr="00F41F45">
              <w:t>, progression free survival 2, objective response rate, duration of response, safety.</w:t>
            </w:r>
          </w:p>
        </w:tc>
      </w:tr>
      <w:tr w:rsidR="00FE1F15" w:rsidRPr="00AB6F27" w14:paraId="033DEC30" w14:textId="77777777" w:rsidTr="007B5E49">
        <w:tc>
          <w:tcPr>
            <w:tcW w:w="1668" w:type="dxa"/>
            <w:vAlign w:val="center"/>
          </w:tcPr>
          <w:p w14:paraId="10127B27" w14:textId="77777777" w:rsidR="00FE1F15" w:rsidRPr="00AB6F27" w:rsidRDefault="00FE1F15" w:rsidP="00596098">
            <w:pPr>
              <w:pStyle w:val="TableText0"/>
              <w:keepLines/>
              <w:rPr>
                <w:b/>
                <w:bCs w:val="0"/>
              </w:rPr>
            </w:pPr>
            <w:r w:rsidRPr="00AB6F27">
              <w:rPr>
                <w:b/>
                <w:bCs w:val="0"/>
              </w:rPr>
              <w:t>Clinical claim</w:t>
            </w:r>
          </w:p>
        </w:tc>
        <w:tc>
          <w:tcPr>
            <w:tcW w:w="7488" w:type="dxa"/>
            <w:vAlign w:val="center"/>
          </w:tcPr>
          <w:p w14:paraId="300B30C1" w14:textId="58D5EBFB" w:rsidR="00FE1F15" w:rsidRPr="00F41F45" w:rsidRDefault="00FE1F15" w:rsidP="00596098">
            <w:pPr>
              <w:pStyle w:val="TableText0"/>
              <w:keepLines/>
            </w:pPr>
            <w:r w:rsidRPr="00F41F45">
              <w:t>dMMR population: In patients with primary advanced or first recurrent dMMR endometrial cancer, pembrolizumab plus platinum-containing chemotherapy followed by pembrolizumab monotherapy maintenance is non-inferior in terms of efficacy and safety compared to dostarlimab or durvalumab plus platinum-containing chemotherapy followed by dostarlimab or durvalumab monotherapy maintenance.</w:t>
            </w:r>
          </w:p>
          <w:p w14:paraId="385A2EAF" w14:textId="77777777" w:rsidR="00FE1F15" w:rsidRPr="00F41F45" w:rsidRDefault="00FE1F15" w:rsidP="00596098">
            <w:pPr>
              <w:pStyle w:val="TableText0"/>
              <w:keepLines/>
            </w:pPr>
          </w:p>
          <w:p w14:paraId="76BDCFDB" w14:textId="25045DA3" w:rsidR="00FE1F15" w:rsidRPr="00F41F45" w:rsidRDefault="00FE1F15" w:rsidP="00596098">
            <w:pPr>
              <w:pStyle w:val="TableText0"/>
              <w:keepLines/>
            </w:pPr>
            <w:r w:rsidRPr="00F41F45">
              <w:t xml:space="preserve">pMMR population: In patients with primary advanced or first recurrent pMMR endometrial cancer, pembrolizumab plus platinum-containing chemotherapy </w:t>
            </w:r>
            <w:r w:rsidR="00282786" w:rsidRPr="00F41F45">
              <w:t xml:space="preserve">followed by pembrolizumab monotherapy maintenance </w:t>
            </w:r>
            <w:r w:rsidRPr="00F41F45">
              <w:t>is:</w:t>
            </w:r>
          </w:p>
          <w:p w14:paraId="6ADBEE0E" w14:textId="77777777" w:rsidR="00FE1F15" w:rsidRPr="00F41F45" w:rsidRDefault="00FE1F15" w:rsidP="0037102E">
            <w:pPr>
              <w:pStyle w:val="TableText0"/>
              <w:keepLines/>
              <w:numPr>
                <w:ilvl w:val="0"/>
                <w:numId w:val="7"/>
              </w:numPr>
              <w:ind w:left="488"/>
            </w:pPr>
            <w:r w:rsidRPr="00F41F45">
              <w:t>non-inferior in terms of efficacy and safety compared to dostarlimab plus platinum-containing chemotherapy followed by dostarlimab monotherapy maintenance; and</w:t>
            </w:r>
          </w:p>
          <w:p w14:paraId="124885B3" w14:textId="77777777" w:rsidR="00FE1F15" w:rsidRPr="00F41F45" w:rsidRDefault="00FE1F15" w:rsidP="0037102E">
            <w:pPr>
              <w:pStyle w:val="TableText0"/>
              <w:keepLines/>
              <w:numPr>
                <w:ilvl w:val="0"/>
                <w:numId w:val="7"/>
              </w:numPr>
              <w:ind w:left="488"/>
            </w:pPr>
            <w:r w:rsidRPr="00F41F45">
              <w:t>non-inferior in terms of efficacy and superior in terms of safety compared to durvalumab plus platinum containing chemotherapy followed by durvalumab and olaparib maintenance.</w:t>
            </w:r>
          </w:p>
        </w:tc>
      </w:tr>
    </w:tbl>
    <w:p w14:paraId="799A9DD7" w14:textId="77777777" w:rsidR="00FE1F15" w:rsidRPr="00AB6F27" w:rsidRDefault="00FE1F15" w:rsidP="00596098">
      <w:pPr>
        <w:pStyle w:val="FooterTableFigure"/>
        <w:keepNext/>
        <w:keepLines/>
      </w:pPr>
      <w:r w:rsidRPr="00AB6F27">
        <w:t>Source: Table 1.1-1, p12 of the submission</w:t>
      </w:r>
    </w:p>
    <w:p w14:paraId="3BA627FC" w14:textId="77777777" w:rsidR="00FE1F15" w:rsidRPr="00AB6F27" w:rsidRDefault="00FE1F15" w:rsidP="00596098">
      <w:pPr>
        <w:pStyle w:val="FooterTableFigure"/>
        <w:keepNext/>
        <w:keepLines/>
      </w:pPr>
      <w:r w:rsidRPr="00AB6F27">
        <w:t>Abbreviations: dMMR = mismatch repair deficient; pMMR = mismatch repair proficient</w:t>
      </w:r>
    </w:p>
    <w:p w14:paraId="7058C815" w14:textId="444CB98D" w:rsidR="00FE1F15" w:rsidRPr="00AB6F27" w:rsidRDefault="36C23611" w:rsidP="00596098">
      <w:pPr>
        <w:pStyle w:val="FooterTableFigure"/>
        <w:keepNext/>
        <w:keepLines/>
      </w:pPr>
      <w:r w:rsidRPr="7A59D51F">
        <w:rPr>
          <w:vertAlign w:val="superscript"/>
        </w:rPr>
        <w:t xml:space="preserve">a </w:t>
      </w:r>
      <w:proofErr w:type="spellStart"/>
      <w:r>
        <w:t>A</w:t>
      </w:r>
      <w:proofErr w:type="spellEnd"/>
      <w:r>
        <w:t xml:space="preserve"> statistically significant incremental overall survival benefit was not demonstrated in NRG-GY018. The submission claim</w:t>
      </w:r>
      <w:r w:rsidR="7E6B0DB8">
        <w:t>ed</w:t>
      </w:r>
      <w:r>
        <w:t xml:space="preserve"> this was due to unblinding following positive </w:t>
      </w:r>
      <w:r w:rsidR="45C1C0A3">
        <w:t>interim analysis 1</w:t>
      </w:r>
      <w:r>
        <w:t xml:space="preserve"> results which led to </w:t>
      </w:r>
      <w:r w:rsidR="00571EA0">
        <w:t xml:space="preserve">many </w:t>
      </w:r>
      <w:r>
        <w:t xml:space="preserve">patients in the </w:t>
      </w:r>
      <w:r w:rsidR="3C24C305">
        <w:t>placebo</w:t>
      </w:r>
      <w:r>
        <w:t xml:space="preserve"> arm receiving </w:t>
      </w:r>
      <w:r w:rsidR="00571EA0" w:rsidRPr="00571EA0">
        <w:t xml:space="preserve"> immunotherapy in combination or monotherapy</w:t>
      </w:r>
      <w:r w:rsidR="00571EA0">
        <w:t xml:space="preserve"> </w:t>
      </w:r>
      <w:r>
        <w:t xml:space="preserve">following unblinding. The efficacy claim </w:t>
      </w:r>
      <w:r w:rsidR="7B49E8D5">
        <w:t>wa</w:t>
      </w:r>
      <w:r>
        <w:t xml:space="preserve">s based on PFS, PFS2, response data, and supportive overall survival analysis, which </w:t>
      </w:r>
      <w:r w:rsidR="7B49E8D5">
        <w:t>was</w:t>
      </w:r>
      <w:r>
        <w:t xml:space="preserve"> adjusted for subsequent immunotherapy +/- lenvatinib.</w:t>
      </w:r>
    </w:p>
    <w:p w14:paraId="7261339E" w14:textId="5588DA30" w:rsidR="007168C6" w:rsidRPr="00AB6F27" w:rsidRDefault="007168C6" w:rsidP="007168C6">
      <w:pPr>
        <w:pStyle w:val="2-SectionHeading"/>
      </w:pPr>
      <w:bookmarkStart w:id="4" w:name="_Toc198643445"/>
      <w:bookmarkStart w:id="5" w:name="_Toc22897638"/>
      <w:r w:rsidRPr="00AB6F27">
        <w:t>Background</w:t>
      </w:r>
      <w:bookmarkEnd w:id="4"/>
    </w:p>
    <w:p w14:paraId="2C521D6D" w14:textId="69B8D21B" w:rsidR="005C25FF" w:rsidRPr="00AB6F27" w:rsidRDefault="005C25FF" w:rsidP="004A6040">
      <w:pPr>
        <w:pStyle w:val="4-SubsectionHeading"/>
        <w:rPr>
          <w:i w:val="0"/>
        </w:rPr>
      </w:pPr>
      <w:bookmarkStart w:id="6" w:name="_Toc198643446"/>
      <w:r w:rsidRPr="00AB6F27">
        <w:rPr>
          <w:i w:val="0"/>
        </w:rPr>
        <w:t>Registration status</w:t>
      </w:r>
      <w:bookmarkEnd w:id="5"/>
      <w:bookmarkEnd w:id="6"/>
    </w:p>
    <w:p w14:paraId="4E4380AE" w14:textId="70082C23" w:rsidR="00672FD3" w:rsidRPr="00AB6F27" w:rsidRDefault="006E2F2E" w:rsidP="00FE1F15">
      <w:pPr>
        <w:pStyle w:val="3-BodyText"/>
      </w:pPr>
      <w:bookmarkStart w:id="7" w:name="_Toc22897639"/>
      <w:r>
        <w:rPr>
          <w:color w:val="000000" w:themeColor="text1"/>
        </w:rPr>
        <w:t>P</w:t>
      </w:r>
      <w:r w:rsidR="00BF1B0D">
        <w:rPr>
          <w:color w:val="000000" w:themeColor="text1"/>
        </w:rPr>
        <w:t>embrolizumab</w:t>
      </w:r>
      <w:r w:rsidR="00FE1F15" w:rsidRPr="00AB6F27">
        <w:rPr>
          <w:color w:val="000000" w:themeColor="text1"/>
        </w:rPr>
        <w:t xml:space="preserve"> </w:t>
      </w:r>
      <w:r w:rsidR="00FE1F15" w:rsidRPr="00AB6F27">
        <w:t>was TGA registered on 31</w:t>
      </w:r>
      <w:r w:rsidR="00FE1F15" w:rsidRPr="00AB6F27">
        <w:rPr>
          <w:vertAlign w:val="superscript"/>
        </w:rPr>
        <w:t>st</w:t>
      </w:r>
      <w:r w:rsidR="00FE1F15" w:rsidRPr="00AB6F27">
        <w:t xml:space="preserve"> January 2025 for the </w:t>
      </w:r>
      <w:r w:rsidR="00672FD3" w:rsidRPr="00AB6F27">
        <w:t>following indication:</w:t>
      </w:r>
    </w:p>
    <w:p w14:paraId="7546023A" w14:textId="185DEEF1" w:rsidR="00FE1F15" w:rsidRPr="00AB6F27" w:rsidRDefault="00323CB8" w:rsidP="00323CB8">
      <w:pPr>
        <w:keepNext/>
        <w:ind w:left="720"/>
        <w:rPr>
          <w:rFonts w:ascii="Arial Narrow" w:hAnsi="Arial Narrow"/>
          <w:color w:val="000000" w:themeColor="text1"/>
          <w:sz w:val="18"/>
          <w:szCs w:val="18"/>
        </w:rPr>
      </w:pPr>
      <w:r w:rsidRPr="00AB6F27">
        <w:lastRenderedPageBreak/>
        <w:t>‘</w:t>
      </w:r>
      <w:r w:rsidR="00672FD3" w:rsidRPr="00AB6F27">
        <w:t>Pembrolizumab, in combination with carboplatin and paclitaxel, followed by pembrolizumab as a single agent, is indicated for the treatment of adult patients with primary advanced or recurrent endometrial carcinoma</w:t>
      </w:r>
      <w:r w:rsidRPr="00AB6F27">
        <w:t>’</w:t>
      </w:r>
      <w:r w:rsidR="00672FD3" w:rsidRPr="00AB6F27">
        <w:t xml:space="preserve">. </w:t>
      </w:r>
    </w:p>
    <w:p w14:paraId="3E2A6EAB" w14:textId="469C8C0C" w:rsidR="005C25FF" w:rsidRPr="00AB6F27" w:rsidRDefault="005C25FF" w:rsidP="004E18E9">
      <w:pPr>
        <w:pStyle w:val="4-SubsectionHeading"/>
        <w:rPr>
          <w:i w:val="0"/>
        </w:rPr>
      </w:pPr>
      <w:bookmarkStart w:id="8" w:name="_Toc198643447"/>
      <w:r w:rsidRPr="00AB6F27">
        <w:rPr>
          <w:i w:val="0"/>
        </w:rPr>
        <w:t>Previous PBAC consideration</w:t>
      </w:r>
      <w:bookmarkEnd w:id="7"/>
      <w:bookmarkEnd w:id="8"/>
    </w:p>
    <w:p w14:paraId="3F3A22AE" w14:textId="658B0975" w:rsidR="00FE1F15" w:rsidRPr="00DF01CF" w:rsidRDefault="00BF1B0D" w:rsidP="002D54AA">
      <w:pPr>
        <w:pStyle w:val="3-BodyText"/>
        <w:rPr>
          <w:color w:val="000000" w:themeColor="text1"/>
        </w:rPr>
      </w:pPr>
      <w:r w:rsidRPr="00DF01CF">
        <w:rPr>
          <w:color w:val="000000" w:themeColor="text1"/>
        </w:rPr>
        <w:t>Pembrolizumab</w:t>
      </w:r>
      <w:r w:rsidR="00E20B72" w:rsidRPr="00DF01CF">
        <w:rPr>
          <w:color w:val="000000" w:themeColor="text1"/>
        </w:rPr>
        <w:t xml:space="preserve"> </w:t>
      </w:r>
      <w:r w:rsidR="00FE1F15" w:rsidRPr="00DF01CF">
        <w:rPr>
          <w:color w:val="000000" w:themeColor="text1"/>
        </w:rPr>
        <w:t xml:space="preserve">has not been considered </w:t>
      </w:r>
      <w:r w:rsidR="002D54AA" w:rsidRPr="00DF01CF">
        <w:rPr>
          <w:color w:val="000000" w:themeColor="text1"/>
        </w:rPr>
        <w:t xml:space="preserve">previously </w:t>
      </w:r>
      <w:r w:rsidR="00FE1F15" w:rsidRPr="00DF01CF">
        <w:rPr>
          <w:color w:val="000000" w:themeColor="text1"/>
        </w:rPr>
        <w:t xml:space="preserve">by the PBAC for </w:t>
      </w:r>
      <w:r w:rsidR="00F71B72" w:rsidRPr="00DF01CF">
        <w:rPr>
          <w:color w:val="000000" w:themeColor="text1"/>
        </w:rPr>
        <w:t xml:space="preserve">1L </w:t>
      </w:r>
      <w:r w:rsidR="00FE1F15" w:rsidRPr="00DF01CF">
        <w:rPr>
          <w:color w:val="000000" w:themeColor="text1"/>
        </w:rPr>
        <w:t>A/R EC</w:t>
      </w:r>
      <w:r w:rsidR="002D54AA" w:rsidRPr="00DF01CF">
        <w:rPr>
          <w:color w:val="000000" w:themeColor="text1"/>
        </w:rPr>
        <w:t xml:space="preserve">, though it was recommended </w:t>
      </w:r>
      <w:r w:rsidR="00097BB8" w:rsidRPr="00DF01CF">
        <w:rPr>
          <w:color w:val="000000" w:themeColor="text1"/>
        </w:rPr>
        <w:t xml:space="preserve">at the March 2022 PBAC meeting </w:t>
      </w:r>
      <w:r w:rsidR="002D54AA" w:rsidRPr="00DF01CF">
        <w:rPr>
          <w:color w:val="000000" w:themeColor="text1"/>
        </w:rPr>
        <w:t xml:space="preserve">for use in combination with </w:t>
      </w:r>
      <w:r w:rsidR="006C5030" w:rsidRPr="00DF01CF">
        <w:rPr>
          <w:color w:val="000000" w:themeColor="text1"/>
        </w:rPr>
        <w:t>l</w:t>
      </w:r>
      <w:r w:rsidR="00FE1F15" w:rsidRPr="00DF01CF">
        <w:rPr>
          <w:color w:val="000000" w:themeColor="text1"/>
        </w:rPr>
        <w:t>envatinib for</w:t>
      </w:r>
      <w:r w:rsidR="00097BB8" w:rsidRPr="00DF01CF">
        <w:rPr>
          <w:color w:val="000000" w:themeColor="text1"/>
        </w:rPr>
        <w:t xml:space="preserve"> </w:t>
      </w:r>
      <w:r w:rsidR="00FE1F15" w:rsidRPr="00DF01CF">
        <w:rPr>
          <w:color w:val="000000" w:themeColor="text1"/>
        </w:rPr>
        <w:t xml:space="preserve">patients with A/R EC who have disease progression following prior systemic therapy regardless of biomarker status. </w:t>
      </w:r>
    </w:p>
    <w:p w14:paraId="345135D1" w14:textId="03F4DD51" w:rsidR="00FE1F15" w:rsidRPr="00DF01CF" w:rsidRDefault="00437BAB" w:rsidP="00FE1F15">
      <w:pPr>
        <w:pStyle w:val="3-BodyText"/>
        <w:rPr>
          <w:color w:val="000000" w:themeColor="text1"/>
        </w:rPr>
      </w:pPr>
      <w:r w:rsidRPr="00DF01CF">
        <w:rPr>
          <w:color w:val="000000" w:themeColor="text1"/>
        </w:rPr>
        <w:t xml:space="preserve">Dostarlimab </w:t>
      </w:r>
      <w:r w:rsidR="00FE1F15" w:rsidRPr="00DF01CF">
        <w:rPr>
          <w:color w:val="000000" w:themeColor="text1"/>
        </w:rPr>
        <w:t>was PBS listed in May 2024 for the dMMR A/R EC population</w:t>
      </w:r>
      <w:r w:rsidR="002D54AA" w:rsidRPr="00DF01CF">
        <w:rPr>
          <w:color w:val="000000" w:themeColor="text1"/>
        </w:rPr>
        <w:t>, but was not recommended for use in</w:t>
      </w:r>
      <w:r w:rsidR="00FE1F15" w:rsidRPr="00DF01CF">
        <w:rPr>
          <w:color w:val="000000" w:themeColor="text1"/>
        </w:rPr>
        <w:t xml:space="preserve"> the pMMR population at the May 2025 PBAC Meeting. </w:t>
      </w:r>
    </w:p>
    <w:p w14:paraId="2A8A6D24" w14:textId="357BC95B" w:rsidR="00FE1F15" w:rsidRDefault="008F1D87" w:rsidP="00FE1F15">
      <w:pPr>
        <w:pStyle w:val="3-BodyText"/>
        <w:rPr>
          <w:color w:val="000000" w:themeColor="text1"/>
        </w:rPr>
      </w:pPr>
      <w:r w:rsidRPr="00DF01CF">
        <w:rPr>
          <w:color w:val="000000" w:themeColor="text1"/>
        </w:rPr>
        <w:t>Durvalumab</w:t>
      </w:r>
      <w:r w:rsidR="00ED6170" w:rsidRPr="00DF01CF">
        <w:rPr>
          <w:color w:val="000000" w:themeColor="text1"/>
        </w:rPr>
        <w:t xml:space="preserve"> was recommended </w:t>
      </w:r>
      <w:r w:rsidR="00374A15" w:rsidRPr="00DF01CF">
        <w:rPr>
          <w:color w:val="000000" w:themeColor="text1"/>
        </w:rPr>
        <w:t>for the dMMR A/R EC population at the November 2024 PBAC meeting. However</w:t>
      </w:r>
      <w:r w:rsidR="00BC3AFE" w:rsidRPr="00DF01CF">
        <w:rPr>
          <w:color w:val="000000" w:themeColor="text1"/>
        </w:rPr>
        <w:t>,</w:t>
      </w:r>
      <w:r w:rsidR="00374A15" w:rsidRPr="00DF01CF">
        <w:rPr>
          <w:color w:val="000000" w:themeColor="text1"/>
        </w:rPr>
        <w:t xml:space="preserve"> t</w:t>
      </w:r>
      <w:r w:rsidR="00FE1F15" w:rsidRPr="00DF01CF">
        <w:rPr>
          <w:color w:val="000000" w:themeColor="text1"/>
        </w:rPr>
        <w:t xml:space="preserve">he PBAC deferred making a recommendation in November 2024 for </w:t>
      </w:r>
      <w:r w:rsidRPr="00DF01CF">
        <w:rPr>
          <w:color w:val="000000" w:themeColor="text1"/>
        </w:rPr>
        <w:t>durvalumab</w:t>
      </w:r>
      <w:r w:rsidR="00097BB8" w:rsidRPr="00DF01CF">
        <w:rPr>
          <w:color w:val="000000" w:themeColor="text1"/>
        </w:rPr>
        <w:t xml:space="preserve"> </w:t>
      </w:r>
      <w:r w:rsidR="00FE1F15" w:rsidRPr="00DF01CF">
        <w:rPr>
          <w:color w:val="000000" w:themeColor="text1"/>
        </w:rPr>
        <w:t>+</w:t>
      </w:r>
      <w:r w:rsidR="00097BB8" w:rsidRPr="00DF01CF">
        <w:rPr>
          <w:color w:val="000000" w:themeColor="text1"/>
        </w:rPr>
        <w:t xml:space="preserve"> </w:t>
      </w:r>
      <w:r w:rsidRPr="00DF01CF">
        <w:rPr>
          <w:color w:val="000000" w:themeColor="text1"/>
        </w:rPr>
        <w:t>olaparib</w:t>
      </w:r>
      <w:r w:rsidR="00FE1F15" w:rsidRPr="00DF01CF">
        <w:rPr>
          <w:color w:val="000000" w:themeColor="text1"/>
        </w:rPr>
        <w:t xml:space="preserve"> in the pMMR population due to ongoing TGA considerations.</w:t>
      </w:r>
    </w:p>
    <w:p w14:paraId="6FAA70E2" w14:textId="77777777" w:rsidR="00BC0F2D" w:rsidRPr="00C33D30" w:rsidRDefault="00BC0F2D" w:rsidP="00BC0F2D">
      <w:pPr>
        <w:ind w:firstLine="709"/>
        <w:rPr>
          <w:rFonts w:asciiTheme="minorHAnsi" w:hAnsiTheme="minorHAnsi"/>
          <w:i/>
        </w:rPr>
      </w:pPr>
      <w:bookmarkStart w:id="9" w:name="_Hlk76375324"/>
      <w:r w:rsidRPr="00C33D30">
        <w:rPr>
          <w:rFonts w:asciiTheme="minorHAnsi" w:hAnsiTheme="minorHAnsi"/>
          <w:i/>
        </w:rPr>
        <w:t>For more detail on PBAC’s view, see section 7 PBAC outcome.</w:t>
      </w:r>
    </w:p>
    <w:bookmarkEnd w:id="9"/>
    <w:p w14:paraId="30020F35" w14:textId="77777777" w:rsidR="00BC0F2D" w:rsidRPr="00DF01CF" w:rsidRDefault="00BC0F2D" w:rsidP="00BC0F2D">
      <w:pPr>
        <w:pStyle w:val="3-BodyText"/>
        <w:numPr>
          <w:ilvl w:val="0"/>
          <w:numId w:val="0"/>
        </w:numPr>
        <w:rPr>
          <w:color w:val="000000" w:themeColor="text1"/>
        </w:rPr>
      </w:pPr>
    </w:p>
    <w:p w14:paraId="76E4EF3C" w14:textId="13040F70" w:rsidR="00B60939" w:rsidRPr="00AB6F27" w:rsidRDefault="00B50DB8" w:rsidP="004E18E9">
      <w:pPr>
        <w:pStyle w:val="2-SectionHeading"/>
      </w:pPr>
      <w:bookmarkStart w:id="10" w:name="_Toc107902078"/>
      <w:bookmarkStart w:id="11" w:name="_Toc198643448"/>
      <w:bookmarkEnd w:id="10"/>
      <w:r w:rsidRPr="00AB6F27">
        <w:lastRenderedPageBreak/>
        <w:t>Requested listing</w:t>
      </w:r>
      <w:bookmarkEnd w:id="11"/>
    </w:p>
    <w:tbl>
      <w:tblPr>
        <w:tblStyle w:val="TableGrid"/>
        <w:tblW w:w="4863" w:type="pct"/>
        <w:tblLook w:val="04A0" w:firstRow="1" w:lastRow="0" w:firstColumn="1" w:lastColumn="0" w:noHBand="0" w:noVBand="1"/>
        <w:tblCaption w:val="Requested listing"/>
      </w:tblPr>
      <w:tblGrid>
        <w:gridCol w:w="1821"/>
        <w:gridCol w:w="1387"/>
        <w:gridCol w:w="1245"/>
        <w:gridCol w:w="977"/>
        <w:gridCol w:w="1732"/>
        <w:gridCol w:w="1608"/>
      </w:tblGrid>
      <w:tr w:rsidR="00FE1F15" w:rsidRPr="00AB6F27" w14:paraId="4ADDE52F" w14:textId="77777777" w:rsidTr="00B51B1F">
        <w:tc>
          <w:tcPr>
            <w:tcW w:w="1933" w:type="dxa"/>
            <w:vAlign w:val="center"/>
          </w:tcPr>
          <w:p w14:paraId="0017F253" w14:textId="77777777" w:rsidR="00FE1F15" w:rsidRPr="00AB6F27" w:rsidRDefault="00FE1F15" w:rsidP="00B51B1F">
            <w:pPr>
              <w:keepNext/>
              <w:jc w:val="center"/>
              <w:rPr>
                <w:rFonts w:ascii="Arial Narrow" w:hAnsi="Arial Narrow"/>
                <w:b/>
                <w:sz w:val="20"/>
                <w:szCs w:val="20"/>
              </w:rPr>
            </w:pPr>
            <w:r w:rsidRPr="00AB6F27">
              <w:rPr>
                <w:rFonts w:ascii="Arial Narrow" w:hAnsi="Arial Narrow"/>
                <w:b/>
                <w:sz w:val="20"/>
                <w:szCs w:val="20"/>
              </w:rPr>
              <w:t>MEDICINAL PRODUCT, form</w:t>
            </w:r>
          </w:p>
        </w:tc>
        <w:tc>
          <w:tcPr>
            <w:tcW w:w="1485" w:type="dxa"/>
            <w:vAlign w:val="center"/>
          </w:tcPr>
          <w:p w14:paraId="31B803AA" w14:textId="77777777" w:rsidR="00FE1F15" w:rsidRPr="00AB6F27" w:rsidRDefault="00FE1F15" w:rsidP="00B51B1F">
            <w:pPr>
              <w:keepNext/>
              <w:jc w:val="center"/>
              <w:rPr>
                <w:rFonts w:ascii="Arial Narrow" w:hAnsi="Arial Narrow"/>
                <w:b/>
                <w:sz w:val="20"/>
                <w:szCs w:val="20"/>
              </w:rPr>
            </w:pPr>
            <w:r w:rsidRPr="00AB6F27">
              <w:rPr>
                <w:rFonts w:ascii="Arial Narrow" w:hAnsi="Arial Narrow"/>
                <w:b/>
                <w:sz w:val="20"/>
                <w:szCs w:val="20"/>
              </w:rPr>
              <w:t>Maximum amount (units)</w:t>
            </w:r>
          </w:p>
        </w:tc>
        <w:tc>
          <w:tcPr>
            <w:tcW w:w="1286" w:type="dxa"/>
            <w:vAlign w:val="center"/>
          </w:tcPr>
          <w:p w14:paraId="7B715C5C" w14:textId="77777777" w:rsidR="00FE1F15" w:rsidRPr="00AB6F27" w:rsidRDefault="00FE1F15" w:rsidP="00B51B1F">
            <w:pPr>
              <w:keepNext/>
              <w:jc w:val="center"/>
              <w:rPr>
                <w:rFonts w:ascii="Arial Narrow" w:hAnsi="Arial Narrow"/>
                <w:b/>
                <w:sz w:val="20"/>
                <w:szCs w:val="20"/>
              </w:rPr>
            </w:pPr>
            <w:r w:rsidRPr="00AB6F27">
              <w:rPr>
                <w:rFonts w:ascii="Arial Narrow" w:hAnsi="Arial Narrow"/>
                <w:b/>
                <w:sz w:val="20"/>
                <w:szCs w:val="20"/>
              </w:rPr>
              <w:t>No. of repeats</w:t>
            </w:r>
          </w:p>
        </w:tc>
        <w:tc>
          <w:tcPr>
            <w:tcW w:w="1062" w:type="dxa"/>
            <w:vAlign w:val="center"/>
          </w:tcPr>
          <w:p w14:paraId="46F12776" w14:textId="77777777" w:rsidR="00FE1F15" w:rsidRPr="00AB6F27" w:rsidRDefault="00FE1F15" w:rsidP="00B51B1F">
            <w:pPr>
              <w:keepNext/>
              <w:jc w:val="center"/>
              <w:rPr>
                <w:rFonts w:ascii="Arial Narrow" w:hAnsi="Arial Narrow"/>
                <w:b/>
                <w:sz w:val="20"/>
                <w:szCs w:val="20"/>
              </w:rPr>
            </w:pPr>
            <w:r w:rsidRPr="00AB6F27">
              <w:rPr>
                <w:rFonts w:ascii="Arial Narrow" w:hAnsi="Arial Narrow"/>
                <w:b/>
                <w:sz w:val="20"/>
                <w:szCs w:val="20"/>
              </w:rPr>
              <w:t>Price</w:t>
            </w:r>
          </w:p>
        </w:tc>
        <w:tc>
          <w:tcPr>
            <w:tcW w:w="1895" w:type="dxa"/>
            <w:vAlign w:val="center"/>
          </w:tcPr>
          <w:p w14:paraId="2C83C564" w14:textId="265F172E" w:rsidR="00FE1F15" w:rsidRPr="00AB6F27" w:rsidRDefault="00FE1F15" w:rsidP="00B51B1F">
            <w:pPr>
              <w:keepNext/>
              <w:jc w:val="center"/>
              <w:rPr>
                <w:rFonts w:ascii="Arial Narrow" w:hAnsi="Arial Narrow"/>
                <w:b/>
                <w:sz w:val="20"/>
                <w:szCs w:val="20"/>
              </w:rPr>
            </w:pPr>
            <w:r w:rsidRPr="00AB6F27">
              <w:rPr>
                <w:rFonts w:ascii="Arial Narrow" w:hAnsi="Arial Narrow"/>
                <w:b/>
                <w:sz w:val="20"/>
                <w:szCs w:val="20"/>
              </w:rPr>
              <w:t>Dispensed price for maximum amount (DPM</w:t>
            </w:r>
            <w:r w:rsidR="00153E38" w:rsidRPr="00AB6F27">
              <w:rPr>
                <w:rFonts w:ascii="Arial Narrow" w:hAnsi="Arial Narrow"/>
                <w:b/>
                <w:sz w:val="20"/>
                <w:szCs w:val="20"/>
              </w:rPr>
              <w:t>A</w:t>
            </w:r>
            <w:r w:rsidRPr="00AB6F27">
              <w:rPr>
                <w:rFonts w:ascii="Arial Narrow" w:hAnsi="Arial Narrow"/>
                <w:b/>
                <w:sz w:val="20"/>
                <w:szCs w:val="20"/>
              </w:rPr>
              <w:t>)</w:t>
            </w:r>
          </w:p>
        </w:tc>
        <w:tc>
          <w:tcPr>
            <w:tcW w:w="1690" w:type="dxa"/>
            <w:vAlign w:val="center"/>
          </w:tcPr>
          <w:p w14:paraId="563859E7" w14:textId="77777777" w:rsidR="00FE1F15" w:rsidRPr="00AB6F27" w:rsidRDefault="00FE1F15" w:rsidP="00B51B1F">
            <w:pPr>
              <w:keepNext/>
              <w:jc w:val="center"/>
              <w:rPr>
                <w:rFonts w:ascii="Arial Narrow" w:hAnsi="Arial Narrow"/>
                <w:b/>
                <w:sz w:val="20"/>
                <w:szCs w:val="20"/>
              </w:rPr>
            </w:pPr>
            <w:r w:rsidRPr="00AB6F27">
              <w:rPr>
                <w:rFonts w:ascii="Arial Narrow" w:hAnsi="Arial Narrow"/>
                <w:b/>
                <w:sz w:val="20"/>
                <w:szCs w:val="20"/>
              </w:rPr>
              <w:t>Proprietary name and manufacturer</w:t>
            </w:r>
          </w:p>
        </w:tc>
      </w:tr>
      <w:tr w:rsidR="00FE1F15" w:rsidRPr="00AB6F27" w14:paraId="27BAE277" w14:textId="77777777" w:rsidTr="00B51B1F">
        <w:trPr>
          <w:trHeight w:val="20"/>
        </w:trPr>
        <w:tc>
          <w:tcPr>
            <w:tcW w:w="1933" w:type="dxa"/>
            <w:vMerge w:val="restart"/>
            <w:vAlign w:val="center"/>
          </w:tcPr>
          <w:p w14:paraId="3DAE15FD" w14:textId="77777777" w:rsidR="00FE1F15" w:rsidRPr="00AB6F27" w:rsidRDefault="00FE1F15" w:rsidP="00B51B1F">
            <w:pPr>
              <w:keepNext/>
              <w:jc w:val="left"/>
              <w:rPr>
                <w:rFonts w:ascii="Arial Narrow" w:hAnsi="Arial Narrow"/>
                <w:bCs/>
                <w:sz w:val="20"/>
                <w:szCs w:val="20"/>
              </w:rPr>
            </w:pPr>
            <w:r w:rsidRPr="00AB6F27">
              <w:rPr>
                <w:rFonts w:ascii="Arial Narrow" w:hAnsi="Arial Narrow"/>
                <w:bCs/>
                <w:sz w:val="20"/>
                <w:szCs w:val="20"/>
              </w:rPr>
              <w:t xml:space="preserve">Pembrolizumab  </w:t>
            </w:r>
          </w:p>
          <w:p w14:paraId="5A8E638D" w14:textId="77777777" w:rsidR="00FE1F15" w:rsidRPr="00AB6F27" w:rsidRDefault="00FE1F15" w:rsidP="00B51B1F">
            <w:pPr>
              <w:keepNext/>
              <w:jc w:val="left"/>
              <w:rPr>
                <w:rFonts w:ascii="Arial Narrow" w:hAnsi="Arial Narrow"/>
                <w:bCs/>
                <w:sz w:val="20"/>
                <w:szCs w:val="20"/>
              </w:rPr>
            </w:pPr>
            <w:r w:rsidRPr="00AB6F27">
              <w:rPr>
                <w:rFonts w:ascii="Arial Narrow" w:hAnsi="Arial Narrow"/>
                <w:bCs/>
                <w:sz w:val="20"/>
                <w:szCs w:val="20"/>
              </w:rPr>
              <w:t xml:space="preserve">100mg injection, </w:t>
            </w:r>
          </w:p>
          <w:p w14:paraId="238DED7E" w14:textId="77777777" w:rsidR="00FE1F15" w:rsidRPr="00AB6F27" w:rsidRDefault="00FE1F15" w:rsidP="00B51B1F">
            <w:pPr>
              <w:keepNext/>
              <w:jc w:val="left"/>
              <w:rPr>
                <w:rFonts w:ascii="Arial Narrow" w:hAnsi="Arial Narrow"/>
                <w:sz w:val="20"/>
                <w:szCs w:val="20"/>
              </w:rPr>
            </w:pPr>
            <w:r w:rsidRPr="00AB6F27">
              <w:rPr>
                <w:rFonts w:ascii="Arial Narrow" w:hAnsi="Arial Narrow"/>
                <w:bCs/>
                <w:sz w:val="20"/>
                <w:szCs w:val="20"/>
              </w:rPr>
              <w:t>1 vial</w:t>
            </w:r>
            <w:r w:rsidRPr="00AB6F27">
              <w:rPr>
                <w:rFonts w:ascii="Arial Narrow" w:hAnsi="Arial Narrow"/>
                <w:b/>
                <w:sz w:val="20"/>
                <w:szCs w:val="20"/>
              </w:rPr>
              <w:t xml:space="preserve"> </w:t>
            </w:r>
          </w:p>
        </w:tc>
        <w:tc>
          <w:tcPr>
            <w:tcW w:w="1485" w:type="dxa"/>
            <w:vMerge w:val="restart"/>
            <w:vAlign w:val="center"/>
          </w:tcPr>
          <w:p w14:paraId="16DCC960" w14:textId="1B643010"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200mg</w:t>
            </w:r>
          </w:p>
        </w:tc>
        <w:tc>
          <w:tcPr>
            <w:tcW w:w="1286" w:type="dxa"/>
            <w:vMerge w:val="restart"/>
            <w:vAlign w:val="center"/>
          </w:tcPr>
          <w:p w14:paraId="2F26301B"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5 (initial)</w:t>
            </w:r>
          </w:p>
        </w:tc>
        <w:tc>
          <w:tcPr>
            <w:tcW w:w="1062" w:type="dxa"/>
            <w:vMerge w:val="restart"/>
            <w:vAlign w:val="center"/>
          </w:tcPr>
          <w:p w14:paraId="6710598B"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List Price</w:t>
            </w:r>
          </w:p>
        </w:tc>
        <w:tc>
          <w:tcPr>
            <w:tcW w:w="1895" w:type="dxa"/>
            <w:vAlign w:val="center"/>
          </w:tcPr>
          <w:p w14:paraId="79480C40"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$7,886.48 (private)</w:t>
            </w:r>
          </w:p>
        </w:tc>
        <w:tc>
          <w:tcPr>
            <w:tcW w:w="1690" w:type="dxa"/>
            <w:vMerge w:val="restart"/>
            <w:vAlign w:val="center"/>
          </w:tcPr>
          <w:p w14:paraId="5C0ADC86"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KEYTRUDA</w:t>
            </w:r>
            <w:r w:rsidRPr="00AB6F27">
              <w:rPr>
                <w:rFonts w:ascii="Arial Narrow" w:hAnsi="Arial Narrow"/>
                <w:sz w:val="20"/>
                <w:szCs w:val="20"/>
              </w:rPr>
              <w:br/>
              <w:t>MSD Australia Pty Ltd</w:t>
            </w:r>
          </w:p>
        </w:tc>
      </w:tr>
      <w:tr w:rsidR="00FE1F15" w:rsidRPr="00AB6F27" w14:paraId="69B0BF2A" w14:textId="77777777" w:rsidTr="00B51B1F">
        <w:trPr>
          <w:trHeight w:val="20"/>
        </w:trPr>
        <w:tc>
          <w:tcPr>
            <w:tcW w:w="1933" w:type="dxa"/>
            <w:vMerge/>
          </w:tcPr>
          <w:p w14:paraId="478EA448" w14:textId="77777777" w:rsidR="00FE1F15" w:rsidRPr="00AB6F27" w:rsidRDefault="00FE1F15" w:rsidP="007B5E49">
            <w:pPr>
              <w:keepNext/>
              <w:rPr>
                <w:rFonts w:ascii="Arial Narrow" w:hAnsi="Arial Narrow"/>
                <w:b/>
                <w:sz w:val="20"/>
                <w:szCs w:val="20"/>
              </w:rPr>
            </w:pPr>
          </w:p>
        </w:tc>
        <w:tc>
          <w:tcPr>
            <w:tcW w:w="1485" w:type="dxa"/>
            <w:vMerge/>
            <w:vAlign w:val="center"/>
          </w:tcPr>
          <w:p w14:paraId="464128B6" w14:textId="77777777" w:rsidR="00FE1F15" w:rsidRPr="00AB6F27" w:rsidRDefault="00FE1F15" w:rsidP="00B51B1F">
            <w:pPr>
              <w:keepNext/>
              <w:jc w:val="center"/>
              <w:rPr>
                <w:rFonts w:ascii="Arial Narrow" w:hAnsi="Arial Narrow"/>
                <w:sz w:val="20"/>
                <w:szCs w:val="20"/>
              </w:rPr>
            </w:pPr>
          </w:p>
        </w:tc>
        <w:tc>
          <w:tcPr>
            <w:tcW w:w="1286" w:type="dxa"/>
            <w:vMerge/>
            <w:vAlign w:val="center"/>
          </w:tcPr>
          <w:p w14:paraId="4CC39DB1" w14:textId="77777777" w:rsidR="00FE1F15" w:rsidRPr="00AB6F27" w:rsidRDefault="00FE1F15" w:rsidP="00B51B1F">
            <w:pPr>
              <w:keepNext/>
              <w:jc w:val="center"/>
              <w:rPr>
                <w:rFonts w:ascii="Arial Narrow" w:hAnsi="Arial Narrow"/>
                <w:sz w:val="20"/>
                <w:szCs w:val="20"/>
              </w:rPr>
            </w:pPr>
          </w:p>
        </w:tc>
        <w:tc>
          <w:tcPr>
            <w:tcW w:w="1062" w:type="dxa"/>
            <w:vMerge/>
            <w:vAlign w:val="center"/>
          </w:tcPr>
          <w:p w14:paraId="07856566" w14:textId="77777777" w:rsidR="00FE1F15" w:rsidRPr="00AB6F27" w:rsidRDefault="00FE1F15" w:rsidP="00B51B1F">
            <w:pPr>
              <w:keepNext/>
              <w:jc w:val="center"/>
              <w:rPr>
                <w:rFonts w:ascii="Arial Narrow" w:hAnsi="Arial Narrow"/>
                <w:sz w:val="20"/>
                <w:szCs w:val="20"/>
              </w:rPr>
            </w:pPr>
          </w:p>
        </w:tc>
        <w:tc>
          <w:tcPr>
            <w:tcW w:w="1895" w:type="dxa"/>
            <w:vAlign w:val="center"/>
          </w:tcPr>
          <w:p w14:paraId="238FA238"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$7,736.12 (public)</w:t>
            </w:r>
          </w:p>
        </w:tc>
        <w:tc>
          <w:tcPr>
            <w:tcW w:w="1690" w:type="dxa"/>
            <w:vMerge/>
          </w:tcPr>
          <w:p w14:paraId="584EFF9B" w14:textId="77777777" w:rsidR="00FE1F15" w:rsidRPr="00AB6F27" w:rsidRDefault="00FE1F15" w:rsidP="007B5E49">
            <w:pPr>
              <w:keepNext/>
              <w:rPr>
                <w:rFonts w:ascii="Arial Narrow" w:hAnsi="Arial Narrow"/>
                <w:sz w:val="20"/>
                <w:szCs w:val="20"/>
              </w:rPr>
            </w:pPr>
          </w:p>
        </w:tc>
      </w:tr>
      <w:tr w:rsidR="00FE1F15" w:rsidRPr="00AB6F27" w14:paraId="1681344C" w14:textId="77777777" w:rsidTr="00B51B1F">
        <w:trPr>
          <w:trHeight w:val="20"/>
        </w:trPr>
        <w:tc>
          <w:tcPr>
            <w:tcW w:w="1933" w:type="dxa"/>
            <w:vMerge/>
          </w:tcPr>
          <w:p w14:paraId="3CA290A4" w14:textId="77777777" w:rsidR="00FE1F15" w:rsidRPr="00AB6F27" w:rsidRDefault="00FE1F15" w:rsidP="007B5E49">
            <w:pPr>
              <w:keepNext/>
              <w:rPr>
                <w:rFonts w:ascii="Arial Narrow" w:hAnsi="Arial Narrow"/>
                <w:b/>
                <w:sz w:val="20"/>
                <w:szCs w:val="20"/>
              </w:rPr>
            </w:pPr>
          </w:p>
        </w:tc>
        <w:tc>
          <w:tcPr>
            <w:tcW w:w="1485" w:type="dxa"/>
            <w:vMerge w:val="restart"/>
            <w:vAlign w:val="center"/>
          </w:tcPr>
          <w:p w14:paraId="4393AA03"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400mg</w:t>
            </w:r>
          </w:p>
        </w:tc>
        <w:tc>
          <w:tcPr>
            <w:tcW w:w="1286" w:type="dxa"/>
            <w:vMerge w:val="restart"/>
            <w:vAlign w:val="center"/>
          </w:tcPr>
          <w:p w14:paraId="12EE050B"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3 (continuing)</w:t>
            </w:r>
          </w:p>
        </w:tc>
        <w:tc>
          <w:tcPr>
            <w:tcW w:w="1062" w:type="dxa"/>
            <w:vMerge w:val="restart"/>
            <w:vAlign w:val="center"/>
          </w:tcPr>
          <w:p w14:paraId="50442334"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List Price</w:t>
            </w:r>
          </w:p>
        </w:tc>
        <w:tc>
          <w:tcPr>
            <w:tcW w:w="1895" w:type="dxa"/>
            <w:vAlign w:val="center"/>
          </w:tcPr>
          <w:p w14:paraId="6107622C"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$15,641.04 (private)</w:t>
            </w:r>
          </w:p>
        </w:tc>
        <w:tc>
          <w:tcPr>
            <w:tcW w:w="1690" w:type="dxa"/>
            <w:vMerge/>
          </w:tcPr>
          <w:p w14:paraId="734E1B7B" w14:textId="77777777" w:rsidR="00FE1F15" w:rsidRPr="00AB6F27" w:rsidRDefault="00FE1F15" w:rsidP="007B5E49">
            <w:pPr>
              <w:keepNext/>
              <w:rPr>
                <w:rFonts w:ascii="Arial Narrow" w:hAnsi="Arial Narrow"/>
                <w:sz w:val="20"/>
                <w:szCs w:val="20"/>
              </w:rPr>
            </w:pPr>
          </w:p>
        </w:tc>
      </w:tr>
      <w:tr w:rsidR="00FE1F15" w:rsidRPr="00AB6F27" w14:paraId="61A346C3" w14:textId="77777777" w:rsidTr="00B51B1F">
        <w:trPr>
          <w:trHeight w:val="20"/>
        </w:trPr>
        <w:tc>
          <w:tcPr>
            <w:tcW w:w="1933" w:type="dxa"/>
            <w:vMerge/>
          </w:tcPr>
          <w:p w14:paraId="75C00FC3" w14:textId="77777777" w:rsidR="00FE1F15" w:rsidRPr="00AB6F27" w:rsidRDefault="00FE1F15" w:rsidP="007B5E49">
            <w:pPr>
              <w:keepNext/>
              <w:rPr>
                <w:rFonts w:ascii="Arial Narrow" w:hAnsi="Arial Narrow"/>
                <w:b/>
                <w:sz w:val="20"/>
                <w:szCs w:val="20"/>
              </w:rPr>
            </w:pPr>
          </w:p>
        </w:tc>
        <w:tc>
          <w:tcPr>
            <w:tcW w:w="1485" w:type="dxa"/>
            <w:vMerge/>
            <w:vAlign w:val="center"/>
          </w:tcPr>
          <w:p w14:paraId="6429A8F8" w14:textId="77777777" w:rsidR="00FE1F15" w:rsidRPr="00AB6F27" w:rsidRDefault="00FE1F15" w:rsidP="00B51B1F">
            <w:pPr>
              <w:keepNext/>
              <w:jc w:val="center"/>
              <w:rPr>
                <w:rFonts w:ascii="Arial Narrow" w:hAnsi="Arial Narrow"/>
                <w:sz w:val="20"/>
                <w:szCs w:val="20"/>
              </w:rPr>
            </w:pPr>
          </w:p>
        </w:tc>
        <w:tc>
          <w:tcPr>
            <w:tcW w:w="1286" w:type="dxa"/>
            <w:vMerge/>
            <w:vAlign w:val="center"/>
          </w:tcPr>
          <w:p w14:paraId="2D44191F" w14:textId="77777777" w:rsidR="00FE1F15" w:rsidRPr="00AB6F27" w:rsidRDefault="00FE1F15" w:rsidP="00B51B1F">
            <w:pPr>
              <w:keepNext/>
              <w:jc w:val="center"/>
              <w:rPr>
                <w:rFonts w:ascii="Arial Narrow" w:hAnsi="Arial Narrow"/>
                <w:sz w:val="20"/>
                <w:szCs w:val="20"/>
              </w:rPr>
            </w:pPr>
          </w:p>
        </w:tc>
        <w:tc>
          <w:tcPr>
            <w:tcW w:w="1062" w:type="dxa"/>
            <w:vMerge/>
            <w:vAlign w:val="center"/>
          </w:tcPr>
          <w:p w14:paraId="28848ABD" w14:textId="77777777" w:rsidR="00FE1F15" w:rsidRPr="00AB6F27" w:rsidRDefault="00FE1F15" w:rsidP="00B51B1F">
            <w:pPr>
              <w:keepNext/>
              <w:jc w:val="center"/>
              <w:rPr>
                <w:rFonts w:ascii="Arial Narrow" w:hAnsi="Arial Narrow"/>
                <w:sz w:val="20"/>
                <w:szCs w:val="20"/>
              </w:rPr>
            </w:pPr>
          </w:p>
        </w:tc>
        <w:tc>
          <w:tcPr>
            <w:tcW w:w="1895" w:type="dxa"/>
            <w:vAlign w:val="center"/>
          </w:tcPr>
          <w:p w14:paraId="7FCB2B48" w14:textId="77777777" w:rsidR="00FE1F15" w:rsidRPr="00AB6F27" w:rsidRDefault="00FE1F15" w:rsidP="00B51B1F">
            <w:pPr>
              <w:keepNext/>
              <w:jc w:val="center"/>
              <w:rPr>
                <w:rFonts w:ascii="Arial Narrow" w:hAnsi="Arial Narrow"/>
                <w:sz w:val="20"/>
                <w:szCs w:val="20"/>
              </w:rPr>
            </w:pPr>
            <w:r w:rsidRPr="00AB6F27">
              <w:rPr>
                <w:rFonts w:ascii="Arial Narrow" w:hAnsi="Arial Narrow"/>
                <w:sz w:val="20"/>
                <w:szCs w:val="20"/>
              </w:rPr>
              <w:t>$15,383.62 (public)</w:t>
            </w:r>
          </w:p>
        </w:tc>
        <w:tc>
          <w:tcPr>
            <w:tcW w:w="1690" w:type="dxa"/>
            <w:vMerge/>
          </w:tcPr>
          <w:p w14:paraId="304852F5" w14:textId="77777777" w:rsidR="00FE1F15" w:rsidRPr="00AB6F27" w:rsidRDefault="00FE1F15" w:rsidP="007B5E49">
            <w:pPr>
              <w:keepNext/>
              <w:rPr>
                <w:rFonts w:ascii="Arial Narrow" w:hAnsi="Arial Narrow"/>
                <w:sz w:val="20"/>
                <w:szCs w:val="20"/>
              </w:rPr>
            </w:pPr>
          </w:p>
        </w:tc>
      </w:tr>
    </w:tbl>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770"/>
      </w:tblGrid>
      <w:tr w:rsidR="00FE1F15" w:rsidRPr="00AB6F27" w14:paraId="26997DC6" w14:textId="77777777" w:rsidTr="00596098">
        <w:trPr>
          <w:cantSplit/>
          <w:trHeight w:val="57"/>
        </w:trPr>
        <w:tc>
          <w:tcPr>
            <w:tcW w:w="5000" w:type="pct"/>
          </w:tcPr>
          <w:p w14:paraId="4FDE84CD" w14:textId="77777777" w:rsidR="00FE1F15" w:rsidRPr="00AB6F27" w:rsidRDefault="00FE1F15" w:rsidP="007B5E49">
            <w:pPr>
              <w:pStyle w:val="TableText0"/>
              <w:keepLines/>
            </w:pPr>
            <w:bookmarkStart w:id="12" w:name="_Hlk104809082"/>
            <w:r w:rsidRPr="00AB6F27">
              <w:rPr>
                <w:b/>
              </w:rPr>
              <w:t xml:space="preserve">Category / Program: </w:t>
            </w:r>
            <w:r w:rsidRPr="00AB6F27">
              <w:t>Section 100 – Efficient Funding of Chemotherapy}</w:t>
            </w:r>
          </w:p>
        </w:tc>
      </w:tr>
      <w:tr w:rsidR="00FE1F15" w:rsidRPr="00AB6F27" w14:paraId="26DCEA27" w14:textId="77777777" w:rsidTr="00596098">
        <w:trPr>
          <w:cantSplit/>
          <w:trHeight w:val="57"/>
        </w:trPr>
        <w:tc>
          <w:tcPr>
            <w:tcW w:w="5000" w:type="pct"/>
          </w:tcPr>
          <w:p w14:paraId="697ACB7A" w14:textId="77777777" w:rsidR="00FE1F15" w:rsidRPr="00AB6F27" w:rsidRDefault="00FE1F15" w:rsidP="007B5E49">
            <w:pPr>
              <w:pStyle w:val="TableText0"/>
              <w:keepLines/>
              <w:rPr>
                <w:b/>
              </w:rPr>
            </w:pPr>
            <w:r w:rsidRPr="00AB6F27">
              <w:rPr>
                <w:b/>
              </w:rPr>
              <w:t xml:space="preserve">Prescriber type: </w:t>
            </w:r>
            <w:r w:rsidRPr="00AB6F27">
              <w:fldChar w:fldCharType="begin">
                <w:ffData>
                  <w:name w:val=""/>
                  <w:enabled/>
                  <w:calcOnExit w:val="0"/>
                  <w:checkBox>
                    <w:sizeAuto/>
                    <w:default w:val="1"/>
                  </w:checkBox>
                </w:ffData>
              </w:fldChar>
            </w:r>
            <w:r w:rsidRPr="00AB6F27">
              <w:instrText xml:space="preserve"> FORMCHECKBOX </w:instrText>
            </w:r>
            <w:r w:rsidRPr="00AB6F27">
              <w:fldChar w:fldCharType="separate"/>
            </w:r>
            <w:r w:rsidRPr="00AB6F27">
              <w:fldChar w:fldCharType="end"/>
            </w:r>
            <w:r w:rsidRPr="00AB6F27">
              <w:t xml:space="preserve">Medical Practitioners </w:t>
            </w:r>
          </w:p>
        </w:tc>
      </w:tr>
      <w:tr w:rsidR="00FE1F15" w:rsidRPr="00AB6F27" w14:paraId="67153DF1" w14:textId="77777777" w:rsidTr="00596098">
        <w:trPr>
          <w:cantSplit/>
          <w:trHeight w:val="57"/>
        </w:trPr>
        <w:tc>
          <w:tcPr>
            <w:tcW w:w="5000" w:type="pct"/>
          </w:tcPr>
          <w:p w14:paraId="040FA40D" w14:textId="77777777" w:rsidR="00FE1F15" w:rsidRPr="00AB6F27" w:rsidRDefault="00FE1F15" w:rsidP="007B5E49">
            <w:pPr>
              <w:pStyle w:val="TableText0"/>
              <w:keepLines/>
              <w:rPr>
                <w:rFonts w:eastAsia="Times New Roman"/>
              </w:rPr>
            </w:pPr>
            <w:r w:rsidRPr="00AB6F27">
              <w:rPr>
                <w:b/>
              </w:rPr>
              <w:t xml:space="preserve">Restriction type: </w:t>
            </w:r>
            <w:r w:rsidRPr="00AB6F27">
              <w:rPr>
                <w:rFonts w:eastAsia="Times New Roman"/>
              </w:rPr>
              <w:t xml:space="preserve"> </w:t>
            </w:r>
            <w:r w:rsidRPr="00AB6F27">
              <w:rPr>
                <w:rFonts w:eastAsia="Times New Roman"/>
              </w:rPr>
              <w:fldChar w:fldCharType="begin">
                <w:ffData>
                  <w:name w:val=""/>
                  <w:enabled/>
                  <w:calcOnExit w:val="0"/>
                  <w:checkBox>
                    <w:sizeAuto/>
                    <w:default w:val="1"/>
                  </w:checkBox>
                </w:ffData>
              </w:fldChar>
            </w:r>
            <w:r w:rsidRPr="00AB6F27">
              <w:rPr>
                <w:rFonts w:eastAsia="Times New Roman"/>
              </w:rPr>
              <w:instrText xml:space="preserve"> FORMCHECKBOX </w:instrText>
            </w:r>
            <w:r w:rsidRPr="00AB6F27">
              <w:rPr>
                <w:rFonts w:eastAsia="Times New Roman"/>
              </w:rPr>
            </w:r>
            <w:r w:rsidRPr="00AB6F27">
              <w:rPr>
                <w:rFonts w:eastAsia="Times New Roman"/>
              </w:rPr>
              <w:fldChar w:fldCharType="separate"/>
            </w:r>
            <w:r w:rsidRPr="00AB6F27">
              <w:rPr>
                <w:rFonts w:eastAsia="Times New Roman"/>
              </w:rPr>
              <w:fldChar w:fldCharType="end"/>
            </w:r>
            <w:r w:rsidRPr="00AB6F27">
              <w:rPr>
                <w:rFonts w:eastAsia="Times New Roman"/>
              </w:rPr>
              <w:t xml:space="preserve">Authority Required (STREAMLINED) </w:t>
            </w:r>
          </w:p>
        </w:tc>
      </w:tr>
      <w:tr w:rsidR="00FE1F15" w:rsidRPr="00AB6F27" w14:paraId="66449473" w14:textId="77777777" w:rsidTr="00596098">
        <w:trPr>
          <w:cantSplit/>
          <w:trHeight w:val="57"/>
        </w:trPr>
        <w:tc>
          <w:tcPr>
            <w:tcW w:w="5000" w:type="pct"/>
          </w:tcPr>
          <w:p w14:paraId="34F641BC" w14:textId="77777777" w:rsidR="00FE1F15" w:rsidRPr="00AB6F27" w:rsidRDefault="00FE1F15" w:rsidP="007B5E49">
            <w:pPr>
              <w:pStyle w:val="TableText0"/>
              <w:keepLines/>
              <w:rPr>
                <w:b/>
              </w:rPr>
            </w:pPr>
            <w:r w:rsidRPr="00AB6F27">
              <w:rPr>
                <w:b/>
              </w:rPr>
              <w:t xml:space="preserve">Severity: </w:t>
            </w:r>
            <w:r w:rsidRPr="00AB6F27">
              <w:t>Advanced, metastatic or recurrent</w:t>
            </w:r>
          </w:p>
        </w:tc>
      </w:tr>
      <w:tr w:rsidR="00FE1F15" w:rsidRPr="00AB6F27" w14:paraId="465D67C9" w14:textId="77777777" w:rsidTr="00596098">
        <w:trPr>
          <w:cantSplit/>
          <w:trHeight w:val="57"/>
        </w:trPr>
        <w:tc>
          <w:tcPr>
            <w:tcW w:w="5000" w:type="pct"/>
          </w:tcPr>
          <w:p w14:paraId="6FFFE0BB" w14:textId="77777777" w:rsidR="00FE1F15" w:rsidRPr="00AB6F27" w:rsidRDefault="00FE1F15" w:rsidP="007B5E49">
            <w:pPr>
              <w:pStyle w:val="TableText0"/>
              <w:keepLines/>
            </w:pPr>
            <w:r w:rsidRPr="00AB6F27">
              <w:rPr>
                <w:b/>
              </w:rPr>
              <w:t xml:space="preserve">Condition: </w:t>
            </w:r>
            <w:r w:rsidRPr="00AB6F27">
              <w:t>Endometrial carcinoma</w:t>
            </w:r>
          </w:p>
        </w:tc>
      </w:tr>
      <w:tr w:rsidR="00FE1F15" w:rsidRPr="00AB6F27" w14:paraId="66BE8ED1" w14:textId="77777777" w:rsidTr="00596098">
        <w:trPr>
          <w:cantSplit/>
          <w:trHeight w:val="57"/>
        </w:trPr>
        <w:tc>
          <w:tcPr>
            <w:tcW w:w="5000" w:type="pct"/>
            <w:tcBorders>
              <w:bottom w:val="single" w:sz="4" w:space="0" w:color="auto"/>
            </w:tcBorders>
          </w:tcPr>
          <w:p w14:paraId="08635B9F" w14:textId="77777777" w:rsidR="00FE1F15" w:rsidRPr="00AB6F27" w:rsidRDefault="00FE1F15" w:rsidP="007B5E49">
            <w:pPr>
              <w:pStyle w:val="TableText0"/>
              <w:keepLines/>
              <w:rPr>
                <w:b/>
              </w:rPr>
            </w:pPr>
            <w:r w:rsidRPr="00AB6F27">
              <w:rPr>
                <w:b/>
              </w:rPr>
              <w:t>Indication:</w:t>
            </w:r>
            <w:r w:rsidRPr="00AB6F27">
              <w:t xml:space="preserve"> Advanced, metastatic or recurrent endometrial carcinoma</w:t>
            </w:r>
          </w:p>
        </w:tc>
      </w:tr>
      <w:tr w:rsidR="00FE1F15" w:rsidRPr="00AB6F27" w14:paraId="2709CEB8" w14:textId="77777777" w:rsidTr="00596098">
        <w:trPr>
          <w:cantSplit/>
          <w:trHeight w:val="57"/>
        </w:trPr>
        <w:tc>
          <w:tcPr>
            <w:tcW w:w="5000" w:type="pct"/>
            <w:tcBorders>
              <w:bottom w:val="nil"/>
            </w:tcBorders>
          </w:tcPr>
          <w:p w14:paraId="3779E0A3" w14:textId="77777777" w:rsidR="00FE1F15" w:rsidRPr="00AB6F27" w:rsidRDefault="00FE1F15" w:rsidP="007B5E49">
            <w:pPr>
              <w:pStyle w:val="TableText0"/>
              <w:keepLines/>
            </w:pPr>
            <w:r w:rsidRPr="00AB6F27">
              <w:rPr>
                <w:b/>
              </w:rPr>
              <w:t>Administrative Advice:</w:t>
            </w:r>
            <w:r w:rsidRPr="00AB6F27">
              <w:t xml:space="preserve"> </w:t>
            </w:r>
          </w:p>
          <w:p w14:paraId="59AB9897" w14:textId="77777777" w:rsidR="00FE1F15" w:rsidRPr="00AB6F27" w:rsidRDefault="00FE1F15" w:rsidP="007B5E49">
            <w:pPr>
              <w:pStyle w:val="TableText0"/>
              <w:keepLines/>
              <w:rPr>
                <w:b/>
              </w:rPr>
            </w:pPr>
            <w:r w:rsidRPr="00AB6F27">
              <w:t>No increase in the maximum quantity or number of units may be authorised.</w:t>
            </w:r>
          </w:p>
        </w:tc>
      </w:tr>
      <w:tr w:rsidR="00FE1F15" w:rsidRPr="00AB6F27" w14:paraId="0D0BF7BE" w14:textId="77777777" w:rsidTr="00596098">
        <w:trPr>
          <w:cantSplit/>
          <w:trHeight w:val="57"/>
        </w:trPr>
        <w:tc>
          <w:tcPr>
            <w:tcW w:w="5000" w:type="pct"/>
            <w:tcBorders>
              <w:top w:val="nil"/>
              <w:bottom w:val="nil"/>
            </w:tcBorders>
          </w:tcPr>
          <w:p w14:paraId="3E4C37F8" w14:textId="77777777" w:rsidR="00FE1F15" w:rsidRPr="00AB6F27" w:rsidRDefault="00FE1F15" w:rsidP="007B5E49">
            <w:pPr>
              <w:pStyle w:val="TableText0"/>
              <w:keepLines/>
            </w:pPr>
            <w:r w:rsidRPr="00AB6F27">
              <w:t>No increase in the maximum number of repeats may be authorised</w:t>
            </w:r>
          </w:p>
        </w:tc>
      </w:tr>
      <w:tr w:rsidR="00FE1F15" w:rsidRPr="00AB6F27" w14:paraId="745F7405" w14:textId="77777777" w:rsidTr="00596098">
        <w:trPr>
          <w:cantSplit/>
          <w:trHeight w:val="57"/>
        </w:trPr>
        <w:tc>
          <w:tcPr>
            <w:tcW w:w="5000" w:type="pct"/>
            <w:tcBorders>
              <w:top w:val="nil"/>
            </w:tcBorders>
          </w:tcPr>
          <w:p w14:paraId="1F2BF4EA" w14:textId="77777777" w:rsidR="00FE1F15" w:rsidRPr="00AB6F27" w:rsidRDefault="00FE1F15" w:rsidP="007B5E49">
            <w:pPr>
              <w:pStyle w:val="TableText0"/>
              <w:keepLines/>
            </w:pPr>
            <w:r w:rsidRPr="00AB6F27">
              <w:t>Applications for authorisation under this restriction may be made in real-time using the Online PBS Authorities system (see www.servicesaustralia.gov.au/HPOS) or by telephone by contacting Services Australia on 1800 888 333</w:t>
            </w:r>
          </w:p>
        </w:tc>
      </w:tr>
      <w:tr w:rsidR="00FE1F15" w:rsidRPr="00AB6F27" w14:paraId="5BC0D565" w14:textId="77777777" w:rsidTr="00596098">
        <w:trPr>
          <w:cantSplit/>
          <w:trHeight w:val="57"/>
        </w:trPr>
        <w:tc>
          <w:tcPr>
            <w:tcW w:w="5000" w:type="pct"/>
            <w:tcBorders>
              <w:bottom w:val="single" w:sz="4" w:space="0" w:color="auto"/>
            </w:tcBorders>
          </w:tcPr>
          <w:p w14:paraId="0CF2DACE" w14:textId="77777777" w:rsidR="00FE1F15" w:rsidRPr="00AB6F27" w:rsidRDefault="00FE1F15" w:rsidP="007B5E49">
            <w:pPr>
              <w:pStyle w:val="TableText0"/>
              <w:keepLines/>
            </w:pPr>
            <w:r w:rsidRPr="00AB6F27">
              <w:rPr>
                <w:b/>
              </w:rPr>
              <w:t xml:space="preserve">Treatment Phase: Initial treatment </w:t>
            </w:r>
          </w:p>
        </w:tc>
      </w:tr>
      <w:tr w:rsidR="00FE1F15" w:rsidRPr="00AB6F27" w14:paraId="6F840EC1" w14:textId="77777777" w:rsidTr="00596098">
        <w:trPr>
          <w:cantSplit/>
          <w:trHeight w:val="57"/>
        </w:trPr>
        <w:tc>
          <w:tcPr>
            <w:tcW w:w="5000" w:type="pct"/>
            <w:tcBorders>
              <w:bottom w:val="nil"/>
            </w:tcBorders>
          </w:tcPr>
          <w:p w14:paraId="0FC76540" w14:textId="77777777" w:rsidR="00FE1F15" w:rsidRPr="00AB6F27" w:rsidRDefault="00FE1F15" w:rsidP="007B5E49">
            <w:pPr>
              <w:pStyle w:val="TableText0"/>
              <w:keepLines/>
            </w:pPr>
            <w:r w:rsidRPr="00AB6F27">
              <w:rPr>
                <w:b/>
              </w:rPr>
              <w:t>Clinical criteria:</w:t>
            </w:r>
          </w:p>
        </w:tc>
      </w:tr>
      <w:tr w:rsidR="00FE1F15" w:rsidRPr="00AB6F27" w14:paraId="30F09424" w14:textId="77777777" w:rsidTr="00596098">
        <w:trPr>
          <w:cantSplit/>
          <w:trHeight w:val="57"/>
        </w:trPr>
        <w:tc>
          <w:tcPr>
            <w:tcW w:w="5000" w:type="pct"/>
            <w:tcBorders>
              <w:top w:val="nil"/>
              <w:bottom w:val="nil"/>
            </w:tcBorders>
          </w:tcPr>
          <w:p w14:paraId="3836FF65" w14:textId="77777777" w:rsidR="00FE1F15" w:rsidRPr="00AB6F27" w:rsidRDefault="00FE1F15" w:rsidP="007B5E49">
            <w:pPr>
              <w:pStyle w:val="TableText0"/>
              <w:keepLines/>
            </w:pPr>
            <w:r w:rsidRPr="00AB6F27">
              <w:t>The condition must be unsuitable for at least one of the following: (i) curative surgical resection, (ii) curative radiotherapy</w:t>
            </w:r>
          </w:p>
        </w:tc>
      </w:tr>
      <w:tr w:rsidR="00FE1F15" w:rsidRPr="00AB6F27" w14:paraId="1D325747" w14:textId="77777777" w:rsidTr="00596098">
        <w:trPr>
          <w:cantSplit/>
          <w:trHeight w:val="57"/>
        </w:trPr>
        <w:tc>
          <w:tcPr>
            <w:tcW w:w="5000" w:type="pct"/>
            <w:tcBorders>
              <w:top w:val="nil"/>
              <w:bottom w:val="nil"/>
            </w:tcBorders>
          </w:tcPr>
          <w:p w14:paraId="187009BD" w14:textId="77777777" w:rsidR="00FE1F15" w:rsidRPr="00AB6F27" w:rsidRDefault="00FE1F15" w:rsidP="007B5E49">
            <w:pPr>
              <w:pStyle w:val="TableText0"/>
              <w:keepLines/>
              <w:rPr>
                <w:bCs w:val="0"/>
              </w:rPr>
            </w:pPr>
            <w:r w:rsidRPr="00AB6F27">
              <w:rPr>
                <w:bCs w:val="0"/>
              </w:rPr>
              <w:t>AND</w:t>
            </w:r>
          </w:p>
        </w:tc>
      </w:tr>
      <w:tr w:rsidR="00FE1F15" w:rsidRPr="00AB6F27" w14:paraId="6A7664A4" w14:textId="77777777" w:rsidTr="00596098">
        <w:trPr>
          <w:cantSplit/>
          <w:trHeight w:val="57"/>
        </w:trPr>
        <w:tc>
          <w:tcPr>
            <w:tcW w:w="5000" w:type="pct"/>
            <w:tcBorders>
              <w:top w:val="nil"/>
              <w:bottom w:val="nil"/>
            </w:tcBorders>
          </w:tcPr>
          <w:p w14:paraId="2F4AFA70" w14:textId="77777777" w:rsidR="00FE1F15" w:rsidRPr="00AB6F27" w:rsidRDefault="00FE1F15" w:rsidP="007B5E49">
            <w:pPr>
              <w:pStyle w:val="TableText0"/>
              <w:keepLines/>
            </w:pPr>
            <w:r w:rsidRPr="00AB6F27">
              <w:t>The treatment must be initiated in combination with platinum-containing chemotherapy</w:t>
            </w:r>
          </w:p>
        </w:tc>
      </w:tr>
      <w:tr w:rsidR="00FE1F15" w:rsidRPr="00AB6F27" w14:paraId="2247050D" w14:textId="77777777" w:rsidTr="00596098">
        <w:trPr>
          <w:cantSplit/>
          <w:trHeight w:val="57"/>
        </w:trPr>
        <w:tc>
          <w:tcPr>
            <w:tcW w:w="5000" w:type="pct"/>
            <w:tcBorders>
              <w:top w:val="nil"/>
              <w:bottom w:val="nil"/>
            </w:tcBorders>
          </w:tcPr>
          <w:p w14:paraId="5AFFCC21" w14:textId="77777777" w:rsidR="00FE1F15" w:rsidRPr="00AB6F27" w:rsidRDefault="00FE1F15" w:rsidP="007B5E49">
            <w:pPr>
              <w:pStyle w:val="TableText0"/>
              <w:keepLines/>
              <w:rPr>
                <w:bCs w:val="0"/>
              </w:rPr>
            </w:pPr>
            <w:r w:rsidRPr="00AB6F27">
              <w:rPr>
                <w:bCs w:val="0"/>
              </w:rPr>
              <w:t>AND</w:t>
            </w:r>
          </w:p>
        </w:tc>
      </w:tr>
      <w:tr w:rsidR="00FE1F15" w:rsidRPr="00AB6F27" w14:paraId="331967B0" w14:textId="77777777" w:rsidTr="00596098">
        <w:trPr>
          <w:cantSplit/>
          <w:trHeight w:val="57"/>
        </w:trPr>
        <w:tc>
          <w:tcPr>
            <w:tcW w:w="5000" w:type="pct"/>
            <w:tcBorders>
              <w:top w:val="nil"/>
              <w:bottom w:val="nil"/>
            </w:tcBorders>
          </w:tcPr>
          <w:p w14:paraId="19998F41" w14:textId="77777777" w:rsidR="00FE1F15" w:rsidRPr="00AB6F27" w:rsidRDefault="00FE1F15" w:rsidP="007B5E49">
            <w:pPr>
              <w:pStyle w:val="TableText0"/>
              <w:keepLines/>
              <w:rPr>
                <w:color w:val="0066FF"/>
              </w:rPr>
            </w:pPr>
            <w:r w:rsidRPr="00AB6F27">
              <w:t xml:space="preserve">The condition must be, at treatment initiation with this drug, either: </w:t>
            </w:r>
            <w:r w:rsidRPr="00AB6F27">
              <w:br/>
              <w:t xml:space="preserve">(i) untreated with systemic therapy, </w:t>
            </w:r>
            <w:r w:rsidRPr="00AB6F27">
              <w:br/>
              <w:t>(ii) treated with neoadjuvant/adjuvant systemic therapy, but the cancer has recurred or progressed after more than 6 months from the last dose of systemic therapy,</w:t>
            </w:r>
          </w:p>
        </w:tc>
      </w:tr>
      <w:tr w:rsidR="00FE1F15" w:rsidRPr="00AB6F27" w14:paraId="0105F8B0" w14:textId="77777777" w:rsidTr="00596098">
        <w:trPr>
          <w:cantSplit/>
          <w:trHeight w:val="57"/>
        </w:trPr>
        <w:tc>
          <w:tcPr>
            <w:tcW w:w="5000" w:type="pct"/>
            <w:tcBorders>
              <w:top w:val="nil"/>
              <w:bottom w:val="nil"/>
            </w:tcBorders>
          </w:tcPr>
          <w:p w14:paraId="70AB91D1" w14:textId="77777777" w:rsidR="00FE1F15" w:rsidRPr="00AB6F27" w:rsidRDefault="00FE1F15" w:rsidP="007B5E49">
            <w:pPr>
              <w:pStyle w:val="TableText0"/>
              <w:keepLines/>
              <w:rPr>
                <w:bCs w:val="0"/>
              </w:rPr>
            </w:pPr>
            <w:r w:rsidRPr="00AB6F27">
              <w:rPr>
                <w:bCs w:val="0"/>
              </w:rPr>
              <w:t xml:space="preserve">AND </w:t>
            </w:r>
          </w:p>
        </w:tc>
      </w:tr>
      <w:tr w:rsidR="00FE1F15" w:rsidRPr="00AB6F27" w14:paraId="03DF8810" w14:textId="77777777" w:rsidTr="00596098">
        <w:trPr>
          <w:cantSplit/>
          <w:trHeight w:val="57"/>
        </w:trPr>
        <w:tc>
          <w:tcPr>
            <w:tcW w:w="5000" w:type="pct"/>
            <w:tcBorders>
              <w:top w:val="nil"/>
              <w:bottom w:val="nil"/>
            </w:tcBorders>
          </w:tcPr>
          <w:p w14:paraId="5D2231DB" w14:textId="77777777" w:rsidR="00FE1F15" w:rsidRPr="00AB6F27" w:rsidRDefault="00FE1F15" w:rsidP="007B5E49">
            <w:pPr>
              <w:pStyle w:val="TableText0"/>
              <w:keepLines/>
            </w:pPr>
            <w:r w:rsidRPr="00AB6F27">
              <w:t>Patient must not have previously been treated with a programmed cell death-1 (PD-1) inhibitor or a programmed cell death ligand-1 (PD-L1) for this condition, prior to commencing treatment with this drug for this condition</w:t>
            </w:r>
          </w:p>
        </w:tc>
      </w:tr>
      <w:tr w:rsidR="00FE1F15" w:rsidRPr="00AB6F27" w14:paraId="377BA253" w14:textId="77777777" w:rsidTr="00596098">
        <w:trPr>
          <w:cantSplit/>
          <w:trHeight w:val="57"/>
        </w:trPr>
        <w:tc>
          <w:tcPr>
            <w:tcW w:w="5000" w:type="pct"/>
            <w:tcBorders>
              <w:top w:val="nil"/>
              <w:bottom w:val="nil"/>
            </w:tcBorders>
          </w:tcPr>
          <w:p w14:paraId="3173832A" w14:textId="77777777" w:rsidR="00FE1F15" w:rsidRPr="00AB6F27" w:rsidRDefault="00FE1F15" w:rsidP="007B5E49">
            <w:pPr>
              <w:pStyle w:val="TableText0"/>
              <w:keepLines/>
              <w:rPr>
                <w:bCs w:val="0"/>
              </w:rPr>
            </w:pPr>
            <w:r w:rsidRPr="00AB6F27">
              <w:rPr>
                <w:bCs w:val="0"/>
              </w:rPr>
              <w:t xml:space="preserve">AND </w:t>
            </w:r>
          </w:p>
        </w:tc>
      </w:tr>
      <w:tr w:rsidR="00FE1F15" w:rsidRPr="00AB6F27" w14:paraId="64E2671D" w14:textId="77777777" w:rsidTr="00596098">
        <w:trPr>
          <w:cantSplit/>
          <w:trHeight w:val="57"/>
        </w:trPr>
        <w:tc>
          <w:tcPr>
            <w:tcW w:w="5000" w:type="pct"/>
            <w:tcBorders>
              <w:top w:val="nil"/>
            </w:tcBorders>
          </w:tcPr>
          <w:p w14:paraId="1D0F093F" w14:textId="77777777" w:rsidR="00FE1F15" w:rsidRPr="00AB6F27" w:rsidRDefault="00FE1F15" w:rsidP="007B5E49">
            <w:pPr>
              <w:pStyle w:val="TableText0"/>
              <w:keepLines/>
            </w:pPr>
            <w:r w:rsidRPr="00AB6F27">
              <w:t>Patient must have a World Health Organisation (WHO) performance status score no higher than 1 prior to treatment initiation.</w:t>
            </w:r>
          </w:p>
        </w:tc>
      </w:tr>
      <w:tr w:rsidR="00FE1F15" w:rsidRPr="00AB6F27" w14:paraId="3485872D" w14:textId="77777777" w:rsidTr="00596098">
        <w:trPr>
          <w:cantSplit/>
          <w:trHeight w:val="57"/>
        </w:trPr>
        <w:tc>
          <w:tcPr>
            <w:tcW w:w="5000" w:type="pct"/>
            <w:tcBorders>
              <w:bottom w:val="single" w:sz="4" w:space="0" w:color="auto"/>
            </w:tcBorders>
          </w:tcPr>
          <w:p w14:paraId="5C9AAA56" w14:textId="77777777" w:rsidR="00FE1F15" w:rsidRPr="00AB6F27" w:rsidRDefault="00FE1F15" w:rsidP="007B5E49">
            <w:pPr>
              <w:pStyle w:val="TableText0"/>
              <w:keepLines/>
            </w:pPr>
            <w:r w:rsidRPr="00AB6F27">
              <w:rPr>
                <w:b/>
              </w:rPr>
              <w:t>Treatment Phase: Continuing treatment</w:t>
            </w:r>
          </w:p>
        </w:tc>
      </w:tr>
      <w:tr w:rsidR="00FE1F15" w:rsidRPr="00AB6F27" w14:paraId="60D7818D" w14:textId="77777777" w:rsidTr="00596098">
        <w:trPr>
          <w:cantSplit/>
          <w:trHeight w:val="57"/>
        </w:trPr>
        <w:tc>
          <w:tcPr>
            <w:tcW w:w="5000" w:type="pct"/>
            <w:tcBorders>
              <w:bottom w:val="nil"/>
            </w:tcBorders>
          </w:tcPr>
          <w:p w14:paraId="019F8C56" w14:textId="77777777" w:rsidR="00FE1F15" w:rsidRPr="00AB6F27" w:rsidRDefault="00FE1F15" w:rsidP="007B5E49">
            <w:pPr>
              <w:pStyle w:val="TableText0"/>
              <w:keepLines/>
            </w:pPr>
            <w:r w:rsidRPr="00AB6F27">
              <w:rPr>
                <w:b/>
              </w:rPr>
              <w:t xml:space="preserve">Clinical Criteria </w:t>
            </w:r>
          </w:p>
        </w:tc>
      </w:tr>
      <w:tr w:rsidR="00FE1F15" w:rsidRPr="00AB6F27" w14:paraId="686D6928" w14:textId="77777777" w:rsidTr="00596098">
        <w:trPr>
          <w:cantSplit/>
          <w:trHeight w:val="57"/>
        </w:trPr>
        <w:tc>
          <w:tcPr>
            <w:tcW w:w="5000" w:type="pct"/>
            <w:tcBorders>
              <w:top w:val="nil"/>
              <w:bottom w:val="nil"/>
            </w:tcBorders>
          </w:tcPr>
          <w:p w14:paraId="4691F4E9" w14:textId="77777777" w:rsidR="00FE1F15" w:rsidRPr="00AB6F27" w:rsidRDefault="00FE1F15" w:rsidP="007B5E49">
            <w:pPr>
              <w:pStyle w:val="TableText0"/>
              <w:keepLines/>
            </w:pPr>
            <w:r w:rsidRPr="00AB6F27">
              <w:t>Patient must have previously received PBS-subsidised treatment with this drug for this condition,</w:t>
            </w:r>
          </w:p>
        </w:tc>
      </w:tr>
      <w:tr w:rsidR="00FE1F15" w:rsidRPr="00AB6F27" w14:paraId="5ADCDB3F" w14:textId="77777777" w:rsidTr="00596098">
        <w:trPr>
          <w:cantSplit/>
          <w:trHeight w:val="57"/>
        </w:trPr>
        <w:tc>
          <w:tcPr>
            <w:tcW w:w="5000" w:type="pct"/>
            <w:tcBorders>
              <w:top w:val="nil"/>
              <w:bottom w:val="nil"/>
            </w:tcBorders>
          </w:tcPr>
          <w:p w14:paraId="48680D8E" w14:textId="77777777" w:rsidR="00FE1F15" w:rsidRPr="00AB6F27" w:rsidRDefault="00FE1F15" w:rsidP="007B5E49">
            <w:pPr>
              <w:pStyle w:val="TableText0"/>
              <w:keepLines/>
              <w:rPr>
                <w:bCs w:val="0"/>
              </w:rPr>
            </w:pPr>
            <w:r w:rsidRPr="00AB6F27">
              <w:rPr>
                <w:bCs w:val="0"/>
              </w:rPr>
              <w:t>AND</w:t>
            </w:r>
          </w:p>
        </w:tc>
      </w:tr>
      <w:tr w:rsidR="00FE1F15" w:rsidRPr="00AB6F27" w14:paraId="0FD81242" w14:textId="77777777" w:rsidTr="00596098">
        <w:trPr>
          <w:cantSplit/>
          <w:trHeight w:val="57"/>
        </w:trPr>
        <w:tc>
          <w:tcPr>
            <w:tcW w:w="5000" w:type="pct"/>
            <w:tcBorders>
              <w:top w:val="nil"/>
            </w:tcBorders>
          </w:tcPr>
          <w:p w14:paraId="65D3F7D8" w14:textId="77777777" w:rsidR="00FE1F15" w:rsidRPr="00AB6F27" w:rsidRDefault="00FE1F15" w:rsidP="007B5E49">
            <w:pPr>
              <w:pStyle w:val="TableText0"/>
              <w:keepLines/>
            </w:pPr>
            <w:r w:rsidRPr="00AB6F27">
              <w:t>Patient must not have developed disease progression while receiving PBS-subsidised treatment with this drug for this condition.</w:t>
            </w:r>
          </w:p>
        </w:tc>
      </w:tr>
      <w:tr w:rsidR="00FE1F15" w:rsidRPr="00AB6F27" w14:paraId="2F8DBDBF" w14:textId="77777777" w:rsidTr="00596098">
        <w:trPr>
          <w:cantSplit/>
          <w:trHeight w:val="57"/>
        </w:trPr>
        <w:tc>
          <w:tcPr>
            <w:tcW w:w="5000" w:type="pct"/>
          </w:tcPr>
          <w:p w14:paraId="6F4119F5" w14:textId="77777777" w:rsidR="00FE1F15" w:rsidRPr="00AB6F27" w:rsidRDefault="00FE1F15" w:rsidP="007B5E49">
            <w:pPr>
              <w:pStyle w:val="TableText0"/>
              <w:keepLines/>
            </w:pPr>
            <w:r w:rsidRPr="00AB6F27">
              <w:rPr>
                <w:b/>
              </w:rPr>
              <w:t xml:space="preserve">Treatment criteria: </w:t>
            </w:r>
            <w:r w:rsidRPr="00AB6F27">
              <w:t>Patient must not receive more than 24 months of combined PBS-subsidised and non-PBS-subsidised therapy.</w:t>
            </w:r>
          </w:p>
        </w:tc>
      </w:tr>
    </w:tbl>
    <w:p w14:paraId="6BB51808" w14:textId="77777777" w:rsidR="00FE1F15" w:rsidRPr="00AB6F27" w:rsidRDefault="00FE1F15" w:rsidP="00FE1F15">
      <w:pPr>
        <w:keepNext/>
        <w:rPr>
          <w:rFonts w:ascii="Arial Narrow" w:hAnsi="Arial Narrow"/>
          <w:sz w:val="18"/>
          <w:szCs w:val="18"/>
        </w:rPr>
      </w:pPr>
      <w:r w:rsidRPr="00AB6F27">
        <w:rPr>
          <w:rFonts w:ascii="Arial Narrow" w:hAnsi="Arial Narrow"/>
          <w:sz w:val="18"/>
          <w:szCs w:val="18"/>
        </w:rPr>
        <w:t>Source: Table 1.4-1 pp28-29 of the submission</w:t>
      </w:r>
    </w:p>
    <w:p w14:paraId="1D67EE55" w14:textId="77777777" w:rsidR="00FE1F15" w:rsidRPr="00AB6F27" w:rsidRDefault="00FE1F15" w:rsidP="00FE1F15">
      <w:pPr>
        <w:keepNext/>
        <w:rPr>
          <w:rFonts w:ascii="Arial Narrow" w:hAnsi="Arial Narrow"/>
          <w:sz w:val="18"/>
          <w:szCs w:val="18"/>
        </w:rPr>
      </w:pPr>
      <w:r w:rsidRPr="00AB6F27">
        <w:rPr>
          <w:rFonts w:ascii="Arial Narrow" w:hAnsi="Arial Narrow"/>
          <w:sz w:val="18"/>
          <w:szCs w:val="18"/>
        </w:rPr>
        <w:t>Note:</w:t>
      </w:r>
      <w:r w:rsidRPr="00AB6F27">
        <w:rPr>
          <w:rFonts w:ascii="Arial Narrow" w:hAnsi="Arial Narrow"/>
          <w:b/>
          <w:sz w:val="18"/>
          <w:szCs w:val="18"/>
        </w:rPr>
        <w:t xml:space="preserve"> </w:t>
      </w:r>
      <w:r w:rsidRPr="00AB6F27">
        <w:rPr>
          <w:rFonts w:ascii="Arial Narrow" w:hAnsi="Arial Narrow"/>
          <w:sz w:val="18"/>
          <w:szCs w:val="18"/>
        </w:rPr>
        <w:t xml:space="preserve">The effective price for the dMMR and pMMR populations is not known and will only be shared with the sponsor in the event of a positive PBAC recommendation. </w:t>
      </w:r>
    </w:p>
    <w:p w14:paraId="372EFD6F" w14:textId="77777777" w:rsidR="00FE1F15" w:rsidRPr="00AB6F27" w:rsidRDefault="00FE1F15" w:rsidP="00FE1F15">
      <w:pPr>
        <w:keepNext/>
        <w:rPr>
          <w:rFonts w:ascii="Arial Narrow" w:hAnsi="Arial Narrow"/>
          <w:sz w:val="18"/>
          <w:szCs w:val="18"/>
        </w:rPr>
      </w:pPr>
      <w:r w:rsidRPr="00AB6F27">
        <w:rPr>
          <w:rFonts w:ascii="Arial Narrow" w:hAnsi="Arial Narrow"/>
          <w:sz w:val="18"/>
          <w:szCs w:val="18"/>
        </w:rPr>
        <w:t xml:space="preserve">The submission incorporated the following fees into the dispensed prices: public dispensing fees – preparation fee ($90.13); private dispensing fees –preparation fee ($90.13), diluent fee ($5.59), distribution fee ($30.05) and ready prepared dispensing fee ($8.67). A flat 1.4% mark-up applied in the private hospital setting. </w:t>
      </w:r>
    </w:p>
    <w:bookmarkEnd w:id="12"/>
    <w:p w14:paraId="20BD5AE6" w14:textId="77777777" w:rsidR="00FE1F15" w:rsidRPr="00AB6F27" w:rsidRDefault="00FE1F15" w:rsidP="00FE1F15"/>
    <w:p w14:paraId="26E051D5" w14:textId="2507E0D4" w:rsidR="00FE1F15" w:rsidRPr="00DF01CF" w:rsidRDefault="00FE1F15" w:rsidP="00FE1F15">
      <w:pPr>
        <w:pStyle w:val="ExecSumBodyText"/>
        <w:numPr>
          <w:ilvl w:val="1"/>
          <w:numId w:val="2"/>
        </w:numPr>
      </w:pPr>
      <w:r w:rsidRPr="00DF01CF">
        <w:t xml:space="preserve">The submission </w:t>
      </w:r>
      <w:r w:rsidR="008F2AD8" w:rsidRPr="00DF01CF">
        <w:t xml:space="preserve">did not propose an effective price and </w:t>
      </w:r>
      <w:r w:rsidRPr="00DF01CF">
        <w:t xml:space="preserve">stated that </w:t>
      </w:r>
      <w:r w:rsidR="002D54AA" w:rsidRPr="00DF01CF">
        <w:t xml:space="preserve">published </w:t>
      </w:r>
      <w:r w:rsidRPr="00DF01CF">
        <w:t xml:space="preserve">prices </w:t>
      </w:r>
      <w:r w:rsidR="002D54AA" w:rsidRPr="00DF01CF">
        <w:t>were</w:t>
      </w:r>
      <w:r w:rsidRPr="00DF01CF">
        <w:t xml:space="preserve"> used </w:t>
      </w:r>
      <w:r w:rsidR="002D54AA" w:rsidRPr="00DF01CF">
        <w:t xml:space="preserve">given the sponsor was not aware of the effective prices of the comparator/s. </w:t>
      </w:r>
    </w:p>
    <w:p w14:paraId="523BF9FB" w14:textId="7C860A8C" w:rsidR="009D4421" w:rsidRPr="00DF01CF" w:rsidRDefault="009954D9" w:rsidP="00FE1F15">
      <w:pPr>
        <w:pStyle w:val="ExecSumBodyText"/>
        <w:numPr>
          <w:ilvl w:val="1"/>
          <w:numId w:val="2"/>
        </w:numPr>
      </w:pPr>
      <w:r w:rsidRPr="009954D9">
        <w:t>The ESC noted that the PSCR requested consideration of the dMMR population given the submission did not include an economic evaluation versus the appropriate comparator</w:t>
      </w:r>
      <w:r w:rsidR="00C6008D">
        <w:t xml:space="preserve"> in the pMMR population</w:t>
      </w:r>
      <w:r w:rsidRPr="009954D9">
        <w:t xml:space="preserve">. </w:t>
      </w:r>
      <w:r w:rsidR="00C6008D">
        <w:t>Thus, t</w:t>
      </w:r>
      <w:r w:rsidR="009D4421" w:rsidRPr="00DF01CF">
        <w:t>he ESC considered that the restriction should be amended to align with the dostarlimab restriction in dMMR patients.</w:t>
      </w:r>
    </w:p>
    <w:p w14:paraId="06B019A5" w14:textId="1974F6A0" w:rsidR="00FE1F15" w:rsidRPr="00DF01CF" w:rsidRDefault="00FE1F15" w:rsidP="00FE1F15">
      <w:pPr>
        <w:pStyle w:val="ExecSumBodyText"/>
        <w:numPr>
          <w:ilvl w:val="1"/>
          <w:numId w:val="2"/>
        </w:numPr>
      </w:pPr>
      <w:r w:rsidRPr="00DF01CF">
        <w:t xml:space="preserve">The continuing treatment criteria </w:t>
      </w:r>
      <w:r w:rsidR="002D54AA" w:rsidRPr="00DF01CF">
        <w:t xml:space="preserve">were </w:t>
      </w:r>
      <w:r w:rsidRPr="00DF01CF">
        <w:t>aligned with the circumstances of use in the NRG</w:t>
      </w:r>
      <w:r w:rsidR="004B6F49" w:rsidRPr="00DF01CF">
        <w:noBreakHyphen/>
      </w:r>
      <w:r w:rsidRPr="00DF01CF">
        <w:t xml:space="preserve">GY018 clinical trial which allowed treatment with </w:t>
      </w:r>
      <w:r w:rsidR="00BF1B0D" w:rsidRPr="00DF01CF">
        <w:t>pembrolizumab</w:t>
      </w:r>
      <w:r w:rsidR="004B6F49" w:rsidRPr="00DF01CF">
        <w:t xml:space="preserve"> </w:t>
      </w:r>
      <w:r w:rsidRPr="00DF01CF">
        <w:t>for up to 20 total cycles (or approximately 24 months).</w:t>
      </w:r>
    </w:p>
    <w:p w14:paraId="2CD48A70" w14:textId="4ECF31F9" w:rsidR="00FE1F15" w:rsidRPr="00DF01CF" w:rsidRDefault="002D54AA" w:rsidP="00FE1F15">
      <w:pPr>
        <w:pStyle w:val="ExecSumBodyText"/>
        <w:numPr>
          <w:ilvl w:val="1"/>
          <w:numId w:val="2"/>
        </w:numPr>
      </w:pPr>
      <w:r w:rsidRPr="00DF01CF">
        <w:t>D</w:t>
      </w:r>
      <w:r w:rsidR="00FE1F15" w:rsidRPr="00DF01CF">
        <w:t>ifferences between the eligibility criteria for</w:t>
      </w:r>
      <w:r w:rsidR="008E4321" w:rsidRPr="00DF01CF">
        <w:t xml:space="preserve"> the pivotal</w:t>
      </w:r>
      <w:r w:rsidR="00FE1F15" w:rsidRPr="00DF01CF">
        <w:t xml:space="preserve"> NRG-GY018 </w:t>
      </w:r>
      <w:r w:rsidR="008E4321" w:rsidRPr="00DF01CF">
        <w:t xml:space="preserve">trial </w:t>
      </w:r>
      <w:r w:rsidR="00FE1F15" w:rsidRPr="00DF01CF">
        <w:t xml:space="preserve">and the </w:t>
      </w:r>
      <w:r w:rsidR="00D30004" w:rsidRPr="00DF01CF">
        <w:t xml:space="preserve">requested </w:t>
      </w:r>
      <w:r w:rsidR="00FE1F15" w:rsidRPr="00DF01CF">
        <w:t xml:space="preserve">restriction </w:t>
      </w:r>
      <w:r w:rsidRPr="00DF01CF">
        <w:t>included</w:t>
      </w:r>
      <w:r w:rsidR="00FE1F15" w:rsidRPr="00DF01CF">
        <w:t>:</w:t>
      </w:r>
    </w:p>
    <w:p w14:paraId="70CFA6B4" w14:textId="61CB945D" w:rsidR="00FE1F15" w:rsidRPr="00DF01CF" w:rsidRDefault="00FE1F15" w:rsidP="0037102E">
      <w:pPr>
        <w:pStyle w:val="ExecSumBodyText"/>
        <w:numPr>
          <w:ilvl w:val="0"/>
          <w:numId w:val="13"/>
        </w:numPr>
      </w:pPr>
      <w:r w:rsidRPr="00DF01CF">
        <w:t xml:space="preserve">Patients with carcinosarcomas were excluded from NRG-GY018 </w:t>
      </w:r>
      <w:r w:rsidR="00F37D48" w:rsidRPr="00DF01CF">
        <w:t>but</w:t>
      </w:r>
      <w:r w:rsidRPr="00DF01CF">
        <w:t xml:space="preserve"> would be eligible to initiate treatment under the proposed restriction</w:t>
      </w:r>
      <w:r w:rsidR="007F6481" w:rsidRPr="00DF01CF">
        <w:t xml:space="preserve">. As such, the efficacy of </w:t>
      </w:r>
      <w:r w:rsidR="00BF1B0D" w:rsidRPr="00DF01CF">
        <w:t>pembrolizumab</w:t>
      </w:r>
      <w:r w:rsidR="007F6481" w:rsidRPr="00DF01CF">
        <w:t xml:space="preserve"> in patients with carcinosarcomas was uncertain</w:t>
      </w:r>
      <w:r w:rsidRPr="00DF01CF">
        <w:t>; and</w:t>
      </w:r>
    </w:p>
    <w:p w14:paraId="693B342F" w14:textId="21D4041A" w:rsidR="00FE1F15" w:rsidRPr="00DF01CF" w:rsidRDefault="00FE1F15" w:rsidP="0037102E">
      <w:pPr>
        <w:pStyle w:val="ExecSumBodyText"/>
        <w:numPr>
          <w:ilvl w:val="0"/>
          <w:numId w:val="13"/>
        </w:numPr>
      </w:pPr>
      <w:r w:rsidRPr="00DF01CF">
        <w:t xml:space="preserve">Patients required a European Cooperative Oncology Group (ECOG) score of 0, 1 or 2 to be eligible for NRG-GY018, </w:t>
      </w:r>
      <w:r w:rsidR="002D54AA" w:rsidRPr="00DF01CF">
        <w:t xml:space="preserve">while </w:t>
      </w:r>
      <w:r w:rsidRPr="00DF01CF">
        <w:t xml:space="preserve">the proposed restriction </w:t>
      </w:r>
      <w:r w:rsidR="002D54AA" w:rsidRPr="00DF01CF">
        <w:t>required patients to have a</w:t>
      </w:r>
      <w:r w:rsidRPr="00DF01CF">
        <w:t xml:space="preserve"> World Health Organisation (WHO) performance status score no higher than 1.</w:t>
      </w:r>
      <w:r w:rsidR="00D30004" w:rsidRPr="00DF01CF">
        <w:t xml:space="preserve"> </w:t>
      </w:r>
      <w:r w:rsidR="00A2519F" w:rsidRPr="00DF01CF">
        <w:t>Nonetheless</w:t>
      </w:r>
      <w:r w:rsidR="00D30004" w:rsidRPr="00DF01CF">
        <w:t>, only around 3% of patients (6/222, 2.7% in dMMR and 18/597, 3% in pMMR) in NRG-GY018 had an ECOG score of 2</w:t>
      </w:r>
      <w:r w:rsidR="00A2519F" w:rsidRPr="00DF01CF">
        <w:t xml:space="preserve"> therefore </w:t>
      </w:r>
      <w:r w:rsidR="00206E31">
        <w:t xml:space="preserve">the evaluation considered </w:t>
      </w:r>
      <w:r w:rsidR="00A2519F" w:rsidRPr="00DF01CF">
        <w:t>this was unlikely to lead to any applicability issues</w:t>
      </w:r>
      <w:r w:rsidR="00D30004" w:rsidRPr="00DF01CF">
        <w:t xml:space="preserve">. </w:t>
      </w:r>
      <w:r w:rsidRPr="00DF01CF">
        <w:t xml:space="preserve"> </w:t>
      </w:r>
    </w:p>
    <w:p w14:paraId="14E53084" w14:textId="1FDC0B7C" w:rsidR="000B2466" w:rsidRDefault="00FE1F15" w:rsidP="006C371D">
      <w:pPr>
        <w:pStyle w:val="ExecSumBodyText"/>
        <w:numPr>
          <w:ilvl w:val="1"/>
          <w:numId w:val="2"/>
        </w:numPr>
        <w:rPr>
          <w:color w:val="000000" w:themeColor="text1"/>
        </w:rPr>
      </w:pPr>
      <w:r w:rsidRPr="00DF01CF">
        <w:t>The</w:t>
      </w:r>
      <w:r w:rsidRPr="00DF01CF">
        <w:rPr>
          <w:color w:val="000000" w:themeColor="text1"/>
        </w:rPr>
        <w:t xml:space="preserve"> submission </w:t>
      </w:r>
      <w:r w:rsidR="002D54AA" w:rsidRPr="00DF01CF">
        <w:rPr>
          <w:color w:val="000000" w:themeColor="text1"/>
        </w:rPr>
        <w:t xml:space="preserve">stated </w:t>
      </w:r>
      <w:r w:rsidRPr="00DF01CF">
        <w:rPr>
          <w:color w:val="000000" w:themeColor="text1"/>
        </w:rPr>
        <w:t xml:space="preserve">that there are up to 50 pMMR EC patients anticipated to be Grandfathered onto PBS therapy upon listing, and that the </w:t>
      </w:r>
      <w:r w:rsidR="0010023A">
        <w:rPr>
          <w:color w:val="000000" w:themeColor="text1"/>
        </w:rPr>
        <w:t xml:space="preserve">submission’s </w:t>
      </w:r>
      <w:r w:rsidRPr="00DF01CF">
        <w:rPr>
          <w:color w:val="000000" w:themeColor="text1"/>
        </w:rPr>
        <w:t xml:space="preserve">proposed restriction </w:t>
      </w:r>
      <w:r w:rsidR="002D54AA" w:rsidRPr="00DF01CF">
        <w:rPr>
          <w:color w:val="000000" w:themeColor="text1"/>
        </w:rPr>
        <w:t>would</w:t>
      </w:r>
      <w:r w:rsidRPr="00DF01CF">
        <w:rPr>
          <w:color w:val="000000" w:themeColor="text1"/>
        </w:rPr>
        <w:t xml:space="preserve"> enable Grandfathered patients to access PBS therapy. </w:t>
      </w:r>
    </w:p>
    <w:p w14:paraId="382B268D" w14:textId="77777777" w:rsidR="00BC0F2D" w:rsidRPr="00C33D30" w:rsidRDefault="00BC0F2D" w:rsidP="00BC0F2D">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DF01CF" w:rsidDel="00195452" w:rsidRDefault="00203181" w:rsidP="00153E38">
      <w:pPr>
        <w:pStyle w:val="2-SectionHeading"/>
      </w:pPr>
      <w:bookmarkStart w:id="13" w:name="_Toc198643449"/>
      <w:r w:rsidRPr="00DF01CF" w:rsidDel="00195452">
        <w:t xml:space="preserve">Population and </w:t>
      </w:r>
      <w:r w:rsidR="008E0D3C" w:rsidRPr="00DF01CF" w:rsidDel="00195452">
        <w:t>d</w:t>
      </w:r>
      <w:r w:rsidRPr="00DF01CF" w:rsidDel="00195452">
        <w:t>isease</w:t>
      </w:r>
      <w:bookmarkEnd w:id="13"/>
    </w:p>
    <w:p w14:paraId="04862854" w14:textId="0B081E90" w:rsidR="00FE1F15" w:rsidRPr="00DF01CF" w:rsidRDefault="00FE1F15" w:rsidP="00FE1F15">
      <w:pPr>
        <w:pStyle w:val="3-BodyText"/>
      </w:pPr>
      <w:r w:rsidRPr="00DF01CF">
        <w:t xml:space="preserve">EC is a malignancy of the endometrium, the inner lining of the uterus. EC accounts for about 95% of all cases of uterine cancer, the most common gynaecological cancer diagnosed in Australian women (AIHW 2022a; Cancer Council 2021). EC typically has been considered to impact women 60-65 years, however the submission </w:t>
      </w:r>
      <w:r w:rsidR="006307FE" w:rsidRPr="00DF01CF">
        <w:t xml:space="preserve">stated </w:t>
      </w:r>
      <w:r w:rsidRPr="00DF01CF">
        <w:t>that the increase in the prevalence of obesity, a risk factor for EC, has led to an increasing number of younger women being diagnosed with uterine cancer (AIHW, 2024).</w:t>
      </w:r>
    </w:p>
    <w:p w14:paraId="29C5DA4F" w14:textId="7D99C646" w:rsidR="00FE1F15" w:rsidRPr="00DF01CF" w:rsidRDefault="00FE1F15" w:rsidP="00FE1F15">
      <w:pPr>
        <w:pStyle w:val="3-BodyText"/>
      </w:pPr>
      <w:bookmarkStart w:id="14" w:name="_Ref196474932"/>
      <w:r w:rsidRPr="00DF01CF">
        <w:t xml:space="preserve">EC has been broadly classified into two subtypes based on histology. Type I is the most common subtype, accounting for approximately 70-80% of cases and are typically low-grade oestrogen-dependent endometrioid adenocarcinomas. Conversely, Type II </w:t>
      </w:r>
      <w:r w:rsidRPr="00DF01CF">
        <w:lastRenderedPageBreak/>
        <w:t>tumours comprise the remaining 20-30% and are more likely to be high grade, usually a papillary, serous, clear cell histology, undifferentiated carcinomas or carcinosarcomas, which confer a poorer prognosis (Morice et al., 2016; Passarello et al., 2019). In NRG-GY018, patients with tumours of carcinosarcoma histology were excluded.</w:t>
      </w:r>
      <w:bookmarkEnd w:id="14"/>
    </w:p>
    <w:p w14:paraId="02499BC1" w14:textId="0973A287" w:rsidR="00D365B6" w:rsidRPr="00DF01CF" w:rsidRDefault="00FE1F15" w:rsidP="00C74104">
      <w:pPr>
        <w:pStyle w:val="3-BodyText"/>
      </w:pPr>
      <w:r w:rsidRPr="00DF01CF">
        <w:t xml:space="preserve">EC may be classified based on the MMR status, as pMMR or dMMR tumours. MMR status can be assessed indirectly by immunohistochemistry (IHC) staining to determine the presence of four MMR proteins: MLH1, MSH2, MSH6, and PMS2. </w:t>
      </w:r>
      <w:r w:rsidR="00D365B6" w:rsidRPr="00DF01CF">
        <w:t xml:space="preserve">The PBAC previously considered that dMMR accounts for 27% of A/R EC (paragraph 4.2, dostarlimab PBAC Minutes, November 2023), with the remaining 73% classified as pMMR. dMMR tumours can develop microsatellite instability (MSI), which is a change in the length of repetitive sequences in tumour DNA compared with normal DNA. Therefore, MSI-H is the observable characteristic (phenotype) displayed when errors occur in the DNA MMR system (Luchini, 2019). The complement to this subgroup, pMMR EC, are also referred to as microsatellite stable (MSS). </w:t>
      </w:r>
    </w:p>
    <w:p w14:paraId="188B3CE4" w14:textId="48E3F1A3" w:rsidR="00936093" w:rsidRPr="00DF01CF" w:rsidRDefault="00936093" w:rsidP="000331EE">
      <w:pPr>
        <w:pStyle w:val="3-BodyText"/>
      </w:pPr>
      <w:r w:rsidRPr="00DF01CF">
        <w:t xml:space="preserve">The PBAC has previously considered it was plausible that MMR status may be a treatment effect modifier for </w:t>
      </w:r>
      <w:r w:rsidR="00CA242D" w:rsidRPr="00DF01CF">
        <w:t xml:space="preserve">another PD-1/PD-L1 inhibitor </w:t>
      </w:r>
      <w:r w:rsidR="00437BAB" w:rsidRPr="00DF01CF">
        <w:t>dostarlimab</w:t>
      </w:r>
      <w:r w:rsidR="00A42AD9" w:rsidRPr="00DF01CF">
        <w:t xml:space="preserve"> (and may also apply to </w:t>
      </w:r>
      <w:r w:rsidR="00BF1B0D" w:rsidRPr="00DF01CF">
        <w:t>pembrolizumab</w:t>
      </w:r>
      <w:r w:rsidR="00A42AD9" w:rsidRPr="00DF01CF">
        <w:t>)</w:t>
      </w:r>
      <w:r w:rsidR="00CA242D" w:rsidRPr="00DF01CF">
        <w:t xml:space="preserve">, </w:t>
      </w:r>
      <w:r w:rsidRPr="00DF01CF">
        <w:t xml:space="preserve">as patients in GARNET Cohort A1 </w:t>
      </w:r>
      <w:r w:rsidR="00CA242D" w:rsidRPr="00DF01CF">
        <w:t xml:space="preserve">(dMMR A/R EC) </w:t>
      </w:r>
      <w:r w:rsidRPr="00DF01CF">
        <w:t xml:space="preserve">appeared to have better outcomes compared to those in Cohort A2 </w:t>
      </w:r>
      <w:r w:rsidR="00CA242D" w:rsidRPr="00DF01CF">
        <w:t xml:space="preserve">(pMMR A/R EC) when treated with </w:t>
      </w:r>
      <w:r w:rsidR="00437BAB" w:rsidRPr="00DF01CF">
        <w:t>dostarlimab</w:t>
      </w:r>
      <w:r w:rsidR="00CA242D" w:rsidRPr="00DF01CF">
        <w:t xml:space="preserve"> </w:t>
      </w:r>
      <w:r w:rsidRPr="00DF01CF">
        <w:t>(paragraph 6.25, dostarlimab PSD, March 2022 PBAC meeting)</w:t>
      </w:r>
      <w:r w:rsidR="001842B4" w:rsidRPr="00DF01CF">
        <w:t xml:space="preserve">. The PBAC has also </w:t>
      </w:r>
      <w:r w:rsidR="00376508">
        <w:t xml:space="preserve">previously </w:t>
      </w:r>
      <w:r w:rsidR="001842B4" w:rsidRPr="00DF01CF">
        <w:t xml:space="preserve">noted that </w:t>
      </w:r>
      <w:r w:rsidR="003B39F2" w:rsidRPr="00DF01CF">
        <w:t xml:space="preserve">the PFS benefit in the pMMR population was much smaller than in the dMMR population </w:t>
      </w:r>
      <w:r w:rsidR="00747C3F" w:rsidRPr="00DF01CF">
        <w:t xml:space="preserve">in patients treated with </w:t>
      </w:r>
      <w:r w:rsidR="00437BAB" w:rsidRPr="00DF01CF">
        <w:t>dostarlimab</w:t>
      </w:r>
      <w:r w:rsidR="00747C3F" w:rsidRPr="00DF01CF">
        <w:t xml:space="preserve"> compared </w:t>
      </w:r>
      <w:r w:rsidR="00F37D48" w:rsidRPr="00DF01CF">
        <w:t xml:space="preserve">with placebo </w:t>
      </w:r>
      <w:r w:rsidR="00747C3F" w:rsidRPr="00DF01CF">
        <w:t xml:space="preserve">in RUBY-1 (paragraph </w:t>
      </w:r>
      <w:r w:rsidR="00C66FEA" w:rsidRPr="00DF01CF">
        <w:t>7</w:t>
      </w:r>
      <w:r w:rsidR="00747C3F" w:rsidRPr="00DF01CF">
        <w:t>.</w:t>
      </w:r>
      <w:r w:rsidR="00C66FEA" w:rsidRPr="00DF01CF">
        <w:t>20</w:t>
      </w:r>
      <w:r w:rsidR="00747C3F" w:rsidRPr="00DF01CF">
        <w:t xml:space="preserve">, dostarlimab PSD, </w:t>
      </w:r>
      <w:r w:rsidR="00C66FEA" w:rsidRPr="00DF01CF">
        <w:t>November 2023</w:t>
      </w:r>
      <w:r w:rsidR="00747C3F" w:rsidRPr="00DF01CF">
        <w:t xml:space="preserve"> PBAC meeting)</w:t>
      </w:r>
      <w:r w:rsidR="00C66FEA" w:rsidRPr="00DF01CF">
        <w:t xml:space="preserve">. </w:t>
      </w:r>
    </w:p>
    <w:p w14:paraId="04D7EE3F" w14:textId="77777777" w:rsidR="00FE1F15" w:rsidRDefault="00FE1F15" w:rsidP="00FE1F15">
      <w:pPr>
        <w:pStyle w:val="3-BodyText"/>
      </w:pPr>
      <w:r w:rsidRPr="00DF01CF">
        <w:t xml:space="preserve">Pembrolizumab is an anti-PD-1 monoclonal antibody, which is an immune checkpoint receptor that limits the activity of T lymphocytes in peripheral tissues. </w:t>
      </w:r>
    </w:p>
    <w:p w14:paraId="54A932A1" w14:textId="77777777" w:rsidR="00BC0F2D" w:rsidRPr="00C33D30" w:rsidRDefault="00BC0F2D" w:rsidP="00BC0F2D">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DF01CF" w:rsidRDefault="00B50DB8" w:rsidP="004E18E9">
      <w:pPr>
        <w:pStyle w:val="2-SectionHeading"/>
      </w:pPr>
      <w:bookmarkStart w:id="15" w:name="_Toc198643450"/>
      <w:r w:rsidRPr="00DF01CF">
        <w:t>Comparator</w:t>
      </w:r>
      <w:bookmarkEnd w:id="15"/>
    </w:p>
    <w:p w14:paraId="3B080FE2" w14:textId="222258E0" w:rsidR="00FE1F15" w:rsidRPr="00DF01CF" w:rsidRDefault="00C2506A" w:rsidP="00C2506A">
      <w:pPr>
        <w:pStyle w:val="3-BodyText"/>
        <w:rPr>
          <w:snapToGrid/>
          <w:lang w:val="en-US"/>
        </w:rPr>
      </w:pPr>
      <w:bookmarkStart w:id="16" w:name="_Toc22897640"/>
      <w:r w:rsidRPr="00DF01CF">
        <w:rPr>
          <w:snapToGrid/>
          <w:lang w:val="en-US"/>
        </w:rPr>
        <w:t>For the d</w:t>
      </w:r>
      <w:r w:rsidR="00FE1F15" w:rsidRPr="00DF01CF">
        <w:rPr>
          <w:snapToGrid/>
          <w:lang w:val="en-US"/>
        </w:rPr>
        <w:t>MMR population</w:t>
      </w:r>
      <w:r w:rsidRPr="00DF01CF">
        <w:rPr>
          <w:snapToGrid/>
          <w:lang w:val="en-US"/>
        </w:rPr>
        <w:t xml:space="preserve">, the submission </w:t>
      </w:r>
      <w:r w:rsidR="00FE1F15" w:rsidRPr="00DF01CF">
        <w:rPr>
          <w:snapToGrid/>
          <w:lang w:val="en-US"/>
        </w:rPr>
        <w:t xml:space="preserve">nominated </w:t>
      </w:r>
      <w:r w:rsidR="00437BAB" w:rsidRPr="00DF01CF">
        <w:rPr>
          <w:snapToGrid/>
          <w:lang w:val="en-US"/>
        </w:rPr>
        <w:t>dostarlimab</w:t>
      </w:r>
      <w:r w:rsidRPr="00DF01CF">
        <w:rPr>
          <w:snapToGrid/>
          <w:lang w:val="en-US"/>
        </w:rPr>
        <w:t xml:space="preserve"> as the main comparator</w:t>
      </w:r>
      <w:r w:rsidR="00FE1F15" w:rsidRPr="00DF01CF">
        <w:rPr>
          <w:snapToGrid/>
          <w:lang w:val="en-US"/>
        </w:rPr>
        <w:t xml:space="preserve">. </w:t>
      </w:r>
      <w:r w:rsidR="009D6BF7" w:rsidRPr="00DF01CF">
        <w:rPr>
          <w:snapToGrid/>
          <w:lang w:val="en-US"/>
        </w:rPr>
        <w:t>Th</w:t>
      </w:r>
      <w:r w:rsidR="002D54AA" w:rsidRPr="00DF01CF">
        <w:rPr>
          <w:snapToGrid/>
          <w:lang w:val="en-US"/>
        </w:rPr>
        <w:t>e evaluation and the ESC considered that th</w:t>
      </w:r>
      <w:r w:rsidR="009D6BF7" w:rsidRPr="00DF01CF">
        <w:rPr>
          <w:snapToGrid/>
          <w:lang w:val="en-US"/>
        </w:rPr>
        <w:t>is was reasonable</w:t>
      </w:r>
      <w:r w:rsidR="009D6BF7" w:rsidRPr="00DF01CF">
        <w:t xml:space="preserve"> </w:t>
      </w:r>
      <w:r w:rsidR="00C41174" w:rsidRPr="00DF01CF">
        <w:t xml:space="preserve">and </w:t>
      </w:r>
      <w:r w:rsidR="009D6BF7" w:rsidRPr="00DF01CF">
        <w:rPr>
          <w:snapToGrid/>
          <w:lang w:val="en-US"/>
        </w:rPr>
        <w:t xml:space="preserve">consistent with </w:t>
      </w:r>
      <w:r w:rsidR="006307FE" w:rsidRPr="00DF01CF">
        <w:rPr>
          <w:snapToGrid/>
          <w:lang w:val="en-US"/>
        </w:rPr>
        <w:t xml:space="preserve">the </w:t>
      </w:r>
      <w:r w:rsidR="009D6BF7" w:rsidRPr="00DF01CF">
        <w:rPr>
          <w:snapToGrid/>
          <w:lang w:val="en-US"/>
        </w:rPr>
        <w:t xml:space="preserve">PBAC’s consideration of </w:t>
      </w:r>
      <w:r w:rsidR="008F1D87" w:rsidRPr="00DF01CF">
        <w:rPr>
          <w:snapToGrid/>
          <w:lang w:val="en-US"/>
        </w:rPr>
        <w:t>durvalumab</w:t>
      </w:r>
      <w:r w:rsidR="00F37D48" w:rsidRPr="00DF01CF">
        <w:rPr>
          <w:snapToGrid/>
          <w:lang w:val="en-US"/>
        </w:rPr>
        <w:t xml:space="preserve"> </w:t>
      </w:r>
      <w:r w:rsidR="009D6BF7" w:rsidRPr="00DF01CF">
        <w:rPr>
          <w:snapToGrid/>
          <w:lang w:val="en-US"/>
        </w:rPr>
        <w:t xml:space="preserve">in dMMR A/R EC at the November 2024 PBAC meeting. </w:t>
      </w:r>
      <w:r w:rsidR="00437BAB" w:rsidRPr="00DF01CF">
        <w:rPr>
          <w:snapToGrid/>
          <w:lang w:val="en-US"/>
        </w:rPr>
        <w:t>Dostarlimab</w:t>
      </w:r>
      <w:r w:rsidR="00FE1F15" w:rsidRPr="00DF01CF">
        <w:rPr>
          <w:snapToGrid/>
          <w:lang w:val="en-US"/>
        </w:rPr>
        <w:t xml:space="preserve"> was listed on the PBS for the dMMR patient population in May 2024 and was considered the current standard of care for patients with dMMR 1L A/R EC. In addition,</w:t>
      </w:r>
      <w:r w:rsidRPr="00DF01CF">
        <w:rPr>
          <w:snapToGrid/>
          <w:lang w:val="en-US"/>
        </w:rPr>
        <w:t xml:space="preserve"> the submission nominated</w:t>
      </w:r>
      <w:r w:rsidR="00FE1F15" w:rsidRPr="00DF01CF">
        <w:rPr>
          <w:snapToGrid/>
          <w:lang w:val="en-US"/>
        </w:rPr>
        <w:t xml:space="preserve"> </w:t>
      </w:r>
      <w:r w:rsidR="008F1D87" w:rsidRPr="00DF01CF">
        <w:rPr>
          <w:snapToGrid/>
          <w:lang w:val="en-US"/>
        </w:rPr>
        <w:t>durvalumab</w:t>
      </w:r>
      <w:r w:rsidR="00FE1F15" w:rsidRPr="00DF01CF">
        <w:rPr>
          <w:snapToGrid/>
          <w:lang w:val="en-US"/>
        </w:rPr>
        <w:t xml:space="preserve"> as </w:t>
      </w:r>
      <w:r w:rsidR="00282786" w:rsidRPr="00DF01CF">
        <w:rPr>
          <w:snapToGrid/>
          <w:lang w:val="en-US"/>
        </w:rPr>
        <w:t>a secondary</w:t>
      </w:r>
      <w:r w:rsidR="00FE1F15" w:rsidRPr="00DF01CF">
        <w:rPr>
          <w:snapToGrid/>
          <w:lang w:val="en-US"/>
        </w:rPr>
        <w:t xml:space="preserve"> comparator as it </w:t>
      </w:r>
      <w:r w:rsidR="00E40E7A" w:rsidRPr="00DF01CF">
        <w:rPr>
          <w:snapToGrid/>
          <w:lang w:val="en-US"/>
        </w:rPr>
        <w:t>received</w:t>
      </w:r>
      <w:r w:rsidR="00FE1F15" w:rsidRPr="00DF01CF">
        <w:rPr>
          <w:snapToGrid/>
          <w:lang w:val="en-US"/>
        </w:rPr>
        <w:t xml:space="preserve"> a positive recommendation at the November 2024 </w:t>
      </w:r>
      <w:r w:rsidR="00E40E7A" w:rsidRPr="00DF01CF">
        <w:rPr>
          <w:snapToGrid/>
          <w:lang w:val="en-US"/>
        </w:rPr>
        <w:t xml:space="preserve">PBAC </w:t>
      </w:r>
      <w:r w:rsidR="00FE1F15" w:rsidRPr="00DF01CF">
        <w:rPr>
          <w:snapToGrid/>
          <w:lang w:val="en-US"/>
        </w:rPr>
        <w:t>Meeting</w:t>
      </w:r>
      <w:r w:rsidRPr="00DF01CF">
        <w:rPr>
          <w:snapToGrid/>
          <w:lang w:val="en-US"/>
        </w:rPr>
        <w:t>.</w:t>
      </w:r>
      <w:r w:rsidR="00FE1F15" w:rsidRPr="00DF01CF">
        <w:rPr>
          <w:snapToGrid/>
          <w:lang w:val="en-US"/>
        </w:rPr>
        <w:t xml:space="preserve"> </w:t>
      </w:r>
    </w:p>
    <w:p w14:paraId="64A694A8" w14:textId="7CDF3242" w:rsidR="00FE1F15" w:rsidRPr="00BC0F2D" w:rsidRDefault="00C2506A" w:rsidP="007B5E49">
      <w:pPr>
        <w:pStyle w:val="3-BodyText"/>
        <w:rPr>
          <w:snapToGrid/>
          <w:lang w:val="en-US"/>
        </w:rPr>
      </w:pPr>
      <w:r w:rsidRPr="00DF01CF">
        <w:rPr>
          <w:snapToGrid/>
          <w:lang w:val="en-US"/>
        </w:rPr>
        <w:t>For the pMMR population, t</w:t>
      </w:r>
      <w:r w:rsidR="00FE1F15" w:rsidRPr="00DF01CF">
        <w:rPr>
          <w:snapToGrid/>
          <w:lang w:val="en-US"/>
        </w:rPr>
        <w:t xml:space="preserve">he submission assumed that either </w:t>
      </w:r>
      <w:r w:rsidR="00437BAB" w:rsidRPr="00DF01CF">
        <w:rPr>
          <w:snapToGrid/>
          <w:lang w:val="en-US"/>
        </w:rPr>
        <w:t>dostarlimab</w:t>
      </w:r>
      <w:r w:rsidR="00FE1F15" w:rsidRPr="00DF01CF">
        <w:rPr>
          <w:snapToGrid/>
          <w:lang w:val="en-US"/>
        </w:rPr>
        <w:t xml:space="preserve"> or </w:t>
      </w:r>
      <w:r w:rsidR="008F1D87" w:rsidRPr="00DF01CF">
        <w:rPr>
          <w:snapToGrid/>
          <w:lang w:val="en-US"/>
        </w:rPr>
        <w:t>durvalumab</w:t>
      </w:r>
      <w:r w:rsidR="00F37D48" w:rsidRPr="00DF01CF">
        <w:rPr>
          <w:snapToGrid/>
          <w:lang w:val="en-US"/>
        </w:rPr>
        <w:t xml:space="preserve"> </w:t>
      </w:r>
      <w:r w:rsidR="00FE1F15" w:rsidRPr="00DF01CF">
        <w:rPr>
          <w:snapToGrid/>
          <w:lang w:val="en-US"/>
        </w:rPr>
        <w:t>+</w:t>
      </w:r>
      <w:r w:rsidR="00F37D48" w:rsidRPr="00DF01CF">
        <w:rPr>
          <w:snapToGrid/>
          <w:lang w:val="en-US"/>
        </w:rPr>
        <w:t xml:space="preserve"> </w:t>
      </w:r>
      <w:r w:rsidR="008F1D87" w:rsidRPr="00DF01CF">
        <w:rPr>
          <w:snapToGrid/>
          <w:lang w:val="en-US"/>
        </w:rPr>
        <w:t>olaparib</w:t>
      </w:r>
      <w:r w:rsidR="00FE1F15" w:rsidRPr="00DF01CF">
        <w:rPr>
          <w:snapToGrid/>
          <w:lang w:val="en-US"/>
        </w:rPr>
        <w:t xml:space="preserve"> would have received a positive PBAC recommendation </w:t>
      </w:r>
      <w:r w:rsidR="00E40E7A" w:rsidRPr="00DF01CF">
        <w:rPr>
          <w:snapToGrid/>
          <w:lang w:val="en-US"/>
        </w:rPr>
        <w:t xml:space="preserve">prior to </w:t>
      </w:r>
      <w:r w:rsidR="00FE1F15" w:rsidRPr="00DF01CF">
        <w:rPr>
          <w:snapToGrid/>
          <w:lang w:val="en-US"/>
        </w:rPr>
        <w:t xml:space="preserve">the July </w:t>
      </w:r>
      <w:r w:rsidR="00E40E7A" w:rsidRPr="00DF01CF">
        <w:rPr>
          <w:snapToGrid/>
          <w:lang w:val="en-US"/>
        </w:rPr>
        <w:t xml:space="preserve">PBAC </w:t>
      </w:r>
      <w:r w:rsidR="00FE1F15" w:rsidRPr="00DF01CF">
        <w:rPr>
          <w:snapToGrid/>
          <w:lang w:val="en-US"/>
        </w:rPr>
        <w:t>2025 meeting and therefore would be the therap</w:t>
      </w:r>
      <w:r w:rsidRPr="00DF01CF">
        <w:rPr>
          <w:snapToGrid/>
          <w:lang w:val="en-US"/>
        </w:rPr>
        <w:t>ies</w:t>
      </w:r>
      <w:r w:rsidR="00FE1F15" w:rsidRPr="00DF01CF">
        <w:rPr>
          <w:snapToGrid/>
          <w:lang w:val="en-US"/>
        </w:rPr>
        <w:t xml:space="preserve"> most likely replaced in clinical practice. </w:t>
      </w:r>
      <w:r w:rsidRPr="00DF01CF">
        <w:rPr>
          <w:snapToGrid/>
          <w:lang w:val="en-US"/>
        </w:rPr>
        <w:t>As outlined in paragraph</w:t>
      </w:r>
      <w:r w:rsidR="00A8655A">
        <w:rPr>
          <w:snapToGrid/>
          <w:lang w:val="en-US"/>
        </w:rPr>
        <w:t xml:space="preserve"> </w:t>
      </w:r>
      <w:r w:rsidR="00A8655A">
        <w:rPr>
          <w:snapToGrid/>
          <w:lang w:val="en-US"/>
        </w:rPr>
        <w:fldChar w:fldCharType="begin"/>
      </w:r>
      <w:r w:rsidR="00A8655A">
        <w:rPr>
          <w:snapToGrid/>
          <w:lang w:val="en-US"/>
        </w:rPr>
        <w:instrText xml:space="preserve"> REF _Ref205794972 \r \h </w:instrText>
      </w:r>
      <w:r w:rsidR="00A8655A">
        <w:rPr>
          <w:snapToGrid/>
          <w:lang w:val="en-US"/>
        </w:rPr>
      </w:r>
      <w:r w:rsidR="00A8655A">
        <w:rPr>
          <w:snapToGrid/>
          <w:lang w:val="en-US"/>
        </w:rPr>
        <w:fldChar w:fldCharType="separate"/>
      </w:r>
      <w:r w:rsidR="003359D3">
        <w:rPr>
          <w:snapToGrid/>
          <w:lang w:val="en-US"/>
        </w:rPr>
        <w:t>1.3</w:t>
      </w:r>
      <w:r w:rsidR="00A8655A">
        <w:rPr>
          <w:snapToGrid/>
          <w:lang w:val="en-US"/>
        </w:rPr>
        <w:fldChar w:fldCharType="end"/>
      </w:r>
      <w:r w:rsidRPr="00DF01CF">
        <w:rPr>
          <w:snapToGrid/>
          <w:lang w:val="en-US"/>
        </w:rPr>
        <w:t xml:space="preserve">, the PSCR acknowledged that if neither </w:t>
      </w:r>
      <w:r w:rsidRPr="00DF01CF">
        <w:rPr>
          <w:snapToGrid/>
          <w:lang w:val="en-US"/>
        </w:rPr>
        <w:lastRenderedPageBreak/>
        <w:t>dostarlimab nor durvalumab + olaparib were recommended, then the most appropriate comparator would be platinum-based chemotherapy alone followed, in a proportion of patients, by second line (2L) pembrolizumab + lenvatinib. Given the submission did not include an economic evaluation versus this comparator, the PSCR requested consideration of the dMMR population only.</w:t>
      </w:r>
      <w:r w:rsidR="006408B8" w:rsidRPr="00DF01CF">
        <w:t xml:space="preserve"> </w:t>
      </w:r>
    </w:p>
    <w:p w14:paraId="63D0C50F" w14:textId="77777777" w:rsidR="00BC0F2D" w:rsidRPr="00C33D30" w:rsidRDefault="00BC0F2D" w:rsidP="00BC0F2D">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DF01CF" w:rsidRDefault="00223D5A" w:rsidP="00223D5A">
      <w:pPr>
        <w:pStyle w:val="2-SectionHeading"/>
      </w:pPr>
      <w:bookmarkStart w:id="17" w:name="_Toc198643451"/>
      <w:r w:rsidRPr="00DF01CF">
        <w:t>Consideration of the evidence</w:t>
      </w:r>
      <w:bookmarkEnd w:id="17"/>
    </w:p>
    <w:p w14:paraId="4EBF8F62" w14:textId="77777777" w:rsidR="00AA6D5F" w:rsidRPr="00AA6D5F" w:rsidRDefault="00AA6D5F" w:rsidP="0037591A">
      <w:pPr>
        <w:keepNext/>
        <w:spacing w:before="120" w:after="120"/>
        <w:outlineLvl w:val="2"/>
        <w:rPr>
          <w:rFonts w:asciiTheme="minorHAnsi" w:eastAsiaTheme="majorEastAsia" w:hAnsiTheme="minorHAnsi" w:cstheme="majorBidi"/>
          <w:b/>
          <w:i/>
          <w:iCs/>
          <w:spacing w:val="5"/>
          <w:kern w:val="28"/>
          <w:sz w:val="28"/>
          <w:szCs w:val="36"/>
        </w:rPr>
      </w:pPr>
      <w:bookmarkStart w:id="18" w:name="_Hlk76375935"/>
      <w:bookmarkStart w:id="19" w:name="_Toc198643452"/>
      <w:r w:rsidRPr="00AA6D5F">
        <w:rPr>
          <w:rFonts w:asciiTheme="minorHAnsi" w:eastAsiaTheme="majorEastAsia" w:hAnsiTheme="minorHAnsi" w:cstheme="majorBidi"/>
          <w:b/>
          <w:i/>
          <w:iCs/>
          <w:spacing w:val="5"/>
          <w:kern w:val="28"/>
          <w:sz w:val="28"/>
          <w:szCs w:val="36"/>
        </w:rPr>
        <w:t>Sponsor hearing</w:t>
      </w:r>
    </w:p>
    <w:p w14:paraId="7EA7F31D" w14:textId="5829906E" w:rsidR="00AA6D5F" w:rsidRPr="00AA6D5F" w:rsidRDefault="00AA6D5F" w:rsidP="008565E7">
      <w:pPr>
        <w:pStyle w:val="3-BodyText"/>
        <w:rPr>
          <w:rFonts w:cs="Calibri"/>
          <w:lang w:eastAsia="en-US"/>
        </w:rPr>
      </w:pPr>
      <w:r w:rsidRPr="00AA6D5F">
        <w:rPr>
          <w:rFonts w:cs="Calibri"/>
          <w:lang w:eastAsia="en-US"/>
        </w:rPr>
        <w:t>There was no hearing for this item.</w:t>
      </w:r>
    </w:p>
    <w:p w14:paraId="3F2CFA08" w14:textId="77777777" w:rsidR="00AA6D5F" w:rsidRPr="00AA6D5F" w:rsidRDefault="00AA6D5F" w:rsidP="0037591A">
      <w:pPr>
        <w:keepNext/>
        <w:spacing w:before="120" w:after="120"/>
        <w:outlineLvl w:val="2"/>
        <w:rPr>
          <w:rFonts w:asciiTheme="minorHAnsi" w:eastAsiaTheme="majorEastAsia" w:hAnsiTheme="minorHAnsi" w:cstheme="majorBidi"/>
          <w:b/>
          <w:i/>
          <w:iCs/>
          <w:spacing w:val="5"/>
          <w:kern w:val="28"/>
          <w:sz w:val="28"/>
          <w:szCs w:val="36"/>
        </w:rPr>
      </w:pPr>
      <w:r w:rsidRPr="00AA6D5F">
        <w:rPr>
          <w:rFonts w:asciiTheme="minorHAnsi" w:eastAsiaTheme="majorEastAsia" w:hAnsiTheme="minorHAnsi" w:cstheme="majorBidi"/>
          <w:b/>
          <w:i/>
          <w:iCs/>
          <w:spacing w:val="5"/>
          <w:kern w:val="28"/>
          <w:sz w:val="28"/>
          <w:szCs w:val="36"/>
        </w:rPr>
        <w:t>Consumer comments</w:t>
      </w:r>
    </w:p>
    <w:p w14:paraId="57DA4EFC" w14:textId="79C163BD" w:rsidR="00AA6D5F" w:rsidRPr="00AA6D5F" w:rsidRDefault="00AA6D5F" w:rsidP="00C74104">
      <w:pPr>
        <w:pStyle w:val="3-BodyText"/>
        <w:rPr>
          <w:lang w:eastAsia="en-US"/>
        </w:rPr>
      </w:pPr>
      <w:bookmarkStart w:id="20" w:name="_Hlk76382618"/>
      <w:r w:rsidRPr="00AA6D5F">
        <w:rPr>
          <w:lang w:eastAsia="en-US"/>
        </w:rPr>
        <w:t xml:space="preserve">The PBAC noted and welcomed the input from </w:t>
      </w:r>
      <w:r w:rsidR="006E341F">
        <w:rPr>
          <w:lang w:eastAsia="en-US"/>
        </w:rPr>
        <w:t>two</w:t>
      </w:r>
      <w:r w:rsidRPr="00AA6D5F">
        <w:rPr>
          <w:lang w:eastAsia="en-US"/>
        </w:rPr>
        <w:t xml:space="preserve"> organisations via the Consumer Comments facility on the PBS website. The comments </w:t>
      </w:r>
      <w:r w:rsidR="00AD33C6">
        <w:rPr>
          <w:lang w:eastAsia="en-US"/>
        </w:rPr>
        <w:t>highlighted</w:t>
      </w:r>
      <w:r w:rsidR="00174C32">
        <w:rPr>
          <w:lang w:eastAsia="en-US"/>
        </w:rPr>
        <w:t xml:space="preserve"> that </w:t>
      </w:r>
      <w:r w:rsidR="007112DC">
        <w:rPr>
          <w:lang w:eastAsia="en-US"/>
        </w:rPr>
        <w:t xml:space="preserve">one of </w:t>
      </w:r>
      <w:r w:rsidR="00A32C5F" w:rsidRPr="00A32C5F">
        <w:rPr>
          <w:lang w:eastAsia="en-US"/>
        </w:rPr>
        <w:t xml:space="preserve">the </w:t>
      </w:r>
      <w:r w:rsidR="00006938">
        <w:rPr>
          <w:lang w:eastAsia="en-US"/>
        </w:rPr>
        <w:t>key benefit</w:t>
      </w:r>
      <w:r w:rsidR="00332DCB">
        <w:rPr>
          <w:lang w:eastAsia="en-US"/>
        </w:rPr>
        <w:t>s</w:t>
      </w:r>
      <w:r w:rsidR="00006938">
        <w:rPr>
          <w:lang w:eastAsia="en-US"/>
        </w:rPr>
        <w:t xml:space="preserve"> of</w:t>
      </w:r>
      <w:r w:rsidR="00174C32">
        <w:rPr>
          <w:lang w:eastAsia="en-US"/>
        </w:rPr>
        <w:t xml:space="preserve"> </w:t>
      </w:r>
      <w:r w:rsidR="007112DC">
        <w:rPr>
          <w:lang w:eastAsia="en-US"/>
        </w:rPr>
        <w:t xml:space="preserve">listing </w:t>
      </w:r>
      <w:r w:rsidR="00174C32">
        <w:rPr>
          <w:lang w:eastAsia="en-US"/>
        </w:rPr>
        <w:t xml:space="preserve">pembrolizumab </w:t>
      </w:r>
      <w:r w:rsidR="001A04D4">
        <w:rPr>
          <w:lang w:eastAsia="en-US"/>
        </w:rPr>
        <w:t>(</w:t>
      </w:r>
      <w:r w:rsidR="007112DC">
        <w:rPr>
          <w:lang w:eastAsia="en-US"/>
        </w:rPr>
        <w:t xml:space="preserve">in </w:t>
      </w:r>
      <w:r w:rsidR="001A04D4">
        <w:rPr>
          <w:lang w:eastAsia="en-US"/>
        </w:rPr>
        <w:t xml:space="preserve">the </w:t>
      </w:r>
      <w:r w:rsidR="007112DC">
        <w:rPr>
          <w:lang w:eastAsia="en-US"/>
        </w:rPr>
        <w:t>dMMR</w:t>
      </w:r>
      <w:r w:rsidR="001A04D4">
        <w:rPr>
          <w:lang w:eastAsia="en-US"/>
        </w:rPr>
        <w:t xml:space="preserve"> population)</w:t>
      </w:r>
      <w:r w:rsidR="007112DC">
        <w:rPr>
          <w:lang w:eastAsia="en-US"/>
        </w:rPr>
        <w:t xml:space="preserve"> would be </w:t>
      </w:r>
      <w:r w:rsidR="005E46A4">
        <w:rPr>
          <w:lang w:eastAsia="en-US"/>
        </w:rPr>
        <w:t>that it would provide</w:t>
      </w:r>
      <w:r w:rsidR="00A32C5F" w:rsidRPr="00A32C5F">
        <w:rPr>
          <w:lang w:eastAsia="en-US"/>
        </w:rPr>
        <w:t xml:space="preserve"> an alternative </w:t>
      </w:r>
      <w:r w:rsidR="00006938">
        <w:rPr>
          <w:lang w:eastAsia="en-US"/>
        </w:rPr>
        <w:t xml:space="preserve">treatment </w:t>
      </w:r>
      <w:r w:rsidR="00A32C5F" w:rsidRPr="00A32C5F">
        <w:rPr>
          <w:lang w:eastAsia="en-US"/>
        </w:rPr>
        <w:t>option.</w:t>
      </w:r>
      <w:r w:rsidR="00332DCB">
        <w:rPr>
          <w:lang w:eastAsia="en-US"/>
        </w:rPr>
        <w:t xml:space="preserve"> </w:t>
      </w:r>
      <w:r w:rsidR="00935994">
        <w:rPr>
          <w:lang w:eastAsia="en-US"/>
        </w:rPr>
        <w:t xml:space="preserve">The comments outlined that </w:t>
      </w:r>
      <w:r w:rsidR="009A33FC">
        <w:rPr>
          <w:lang w:eastAsia="en-US"/>
        </w:rPr>
        <w:t>p</w:t>
      </w:r>
      <w:r w:rsidR="009A33FC" w:rsidRPr="009A33FC">
        <w:rPr>
          <w:lang w:eastAsia="en-US"/>
        </w:rPr>
        <w:t>eople living with dMMR endometrial cancer</w:t>
      </w:r>
      <w:r w:rsidR="00935994">
        <w:rPr>
          <w:lang w:eastAsia="en-US"/>
        </w:rPr>
        <w:t xml:space="preserve"> experienc</w:t>
      </w:r>
      <w:r w:rsidR="00FB0CE1">
        <w:rPr>
          <w:lang w:eastAsia="en-US"/>
        </w:rPr>
        <w:t>e</w:t>
      </w:r>
      <w:r w:rsidR="00935994">
        <w:rPr>
          <w:lang w:eastAsia="en-US"/>
        </w:rPr>
        <w:t xml:space="preserve"> pain, fatigue, reduced functional capacity and premature menopause following treatment. </w:t>
      </w:r>
      <w:r w:rsidR="009C736F">
        <w:rPr>
          <w:lang w:eastAsia="en-US"/>
        </w:rPr>
        <w:t xml:space="preserve">The comments described </w:t>
      </w:r>
      <w:r w:rsidR="0005075B">
        <w:rPr>
          <w:lang w:eastAsia="en-US"/>
        </w:rPr>
        <w:t>an</w:t>
      </w:r>
      <w:r w:rsidR="009C736F">
        <w:rPr>
          <w:lang w:eastAsia="en-US"/>
        </w:rPr>
        <w:t xml:space="preserve"> inability to </w:t>
      </w:r>
      <w:r w:rsidR="00060241">
        <w:rPr>
          <w:lang w:eastAsia="en-US"/>
        </w:rPr>
        <w:t>work</w:t>
      </w:r>
      <w:r w:rsidR="00AA2916">
        <w:rPr>
          <w:lang w:eastAsia="en-US"/>
        </w:rPr>
        <w:t>,</w:t>
      </w:r>
      <w:r w:rsidR="00060241">
        <w:rPr>
          <w:lang w:eastAsia="en-US"/>
        </w:rPr>
        <w:t xml:space="preserve"> </w:t>
      </w:r>
      <w:r w:rsidR="00935994">
        <w:rPr>
          <w:lang w:eastAsia="en-US"/>
        </w:rPr>
        <w:t xml:space="preserve">financial stress and </w:t>
      </w:r>
      <w:r w:rsidR="00700E6E">
        <w:rPr>
          <w:lang w:eastAsia="en-US"/>
        </w:rPr>
        <w:t xml:space="preserve">the </w:t>
      </w:r>
      <w:r w:rsidR="00935994">
        <w:rPr>
          <w:lang w:eastAsia="en-US"/>
        </w:rPr>
        <w:t>impact</w:t>
      </w:r>
      <w:r w:rsidR="00700E6E">
        <w:rPr>
          <w:lang w:eastAsia="en-US"/>
        </w:rPr>
        <w:t xml:space="preserve"> of the condition</w:t>
      </w:r>
      <w:r w:rsidR="00935994">
        <w:rPr>
          <w:lang w:eastAsia="en-US"/>
        </w:rPr>
        <w:t xml:space="preserve"> on family members and carers. </w:t>
      </w:r>
      <w:r w:rsidR="00935994" w:rsidRPr="00695206">
        <w:rPr>
          <w:lang w:eastAsia="en-US"/>
        </w:rPr>
        <w:t xml:space="preserve">The </w:t>
      </w:r>
      <w:r w:rsidR="00695206" w:rsidRPr="00695206">
        <w:rPr>
          <w:lang w:eastAsia="en-US"/>
        </w:rPr>
        <w:t xml:space="preserve">comments outlined that </w:t>
      </w:r>
      <w:r w:rsidR="00935994" w:rsidRPr="00695206">
        <w:rPr>
          <w:lang w:eastAsia="en-US"/>
        </w:rPr>
        <w:t>use of concurrent chemotherapy was associated with significant side effects including nausea, vomiting, hair loss and fatigue</w:t>
      </w:r>
      <w:r w:rsidR="00D05735" w:rsidRPr="00695206">
        <w:rPr>
          <w:lang w:eastAsia="en-US"/>
        </w:rPr>
        <w:t>; however</w:t>
      </w:r>
      <w:r w:rsidR="004C1815">
        <w:rPr>
          <w:lang w:eastAsia="en-US"/>
        </w:rPr>
        <w:t>,</w:t>
      </w:r>
      <w:r w:rsidR="00D05735" w:rsidRPr="00695206">
        <w:rPr>
          <w:lang w:eastAsia="en-US"/>
        </w:rPr>
        <w:t xml:space="preserve"> the PBAC considered that these </w:t>
      </w:r>
      <w:r w:rsidR="00935994" w:rsidRPr="00695206">
        <w:rPr>
          <w:lang w:eastAsia="en-US"/>
        </w:rPr>
        <w:t>adverse effects were not expected to change with the proposed new treatment.</w:t>
      </w:r>
      <w:r w:rsidR="00AA2916">
        <w:rPr>
          <w:lang w:eastAsia="en-US"/>
        </w:rPr>
        <w:t xml:space="preserve"> </w:t>
      </w:r>
    </w:p>
    <w:bookmarkEnd w:id="18"/>
    <w:bookmarkEnd w:id="20"/>
    <w:p w14:paraId="4750FEE5" w14:textId="0A5B5DC2" w:rsidR="00AA6D5F" w:rsidRPr="00AA6D5F" w:rsidRDefault="00AA6D5F" w:rsidP="00C74104">
      <w:pPr>
        <w:pStyle w:val="3-BodyText"/>
        <w:rPr>
          <w:lang w:eastAsia="en-US"/>
        </w:rPr>
      </w:pPr>
      <w:r w:rsidRPr="00AA6D5F">
        <w:rPr>
          <w:lang w:eastAsia="en-US"/>
        </w:rPr>
        <w:t xml:space="preserve">The Medical Oncology Group of Australia (MOGA) expressed its strong support for the </w:t>
      </w:r>
      <w:r w:rsidR="008E77C1">
        <w:rPr>
          <w:lang w:eastAsia="en-US"/>
        </w:rPr>
        <w:t>pembrolizumab</w:t>
      </w:r>
      <w:r w:rsidRPr="00AA6D5F">
        <w:rPr>
          <w:lang w:eastAsia="en-US"/>
        </w:rPr>
        <w:t xml:space="preserve"> submission, categorising it as one of the therapies of “high priority for PBS listing” </w:t>
      </w:r>
      <w:proofErr w:type="gramStart"/>
      <w:r w:rsidRPr="00AA6D5F">
        <w:rPr>
          <w:lang w:eastAsia="en-US"/>
        </w:rPr>
        <w:t>on the basis of</w:t>
      </w:r>
      <w:proofErr w:type="gramEnd"/>
      <w:r w:rsidRPr="00AA6D5F">
        <w:rPr>
          <w:lang w:eastAsia="en-US"/>
        </w:rPr>
        <w:t xml:space="preserve"> the </w:t>
      </w:r>
      <w:r w:rsidR="003F7586" w:rsidRPr="003F7586">
        <w:rPr>
          <w:lang w:eastAsia="en-US"/>
        </w:rPr>
        <w:t xml:space="preserve">NRG-GY018 </w:t>
      </w:r>
      <w:r w:rsidRPr="00AA6D5F">
        <w:rPr>
          <w:lang w:eastAsia="en-US"/>
        </w:rPr>
        <w:t xml:space="preserve">trial. The PBAC noted that the MOGA presented a European Society for Medical Oncology Magnitude of Clinical Benefit Scale (ESMO-MCBS) for </w:t>
      </w:r>
      <w:r w:rsidR="003F7586">
        <w:rPr>
          <w:lang w:eastAsia="en-US"/>
        </w:rPr>
        <w:t>pembrolizumab</w:t>
      </w:r>
      <w:r w:rsidRPr="00AA6D5F">
        <w:rPr>
          <w:lang w:eastAsia="en-US"/>
        </w:rPr>
        <w:t xml:space="preserve">, which was limited to </w:t>
      </w:r>
      <w:r w:rsidR="003F7586">
        <w:rPr>
          <w:lang w:eastAsia="en-US"/>
        </w:rPr>
        <w:t>3 or 4</w:t>
      </w:r>
      <w:r w:rsidRPr="00AA6D5F">
        <w:rPr>
          <w:lang w:eastAsia="en-US"/>
        </w:rPr>
        <w:t xml:space="preserve"> (out of a maximum of 5, where 5 and 4 represent the grades with substantial improvement) based on a comparison with </w:t>
      </w:r>
      <w:r w:rsidR="00CF053C">
        <w:rPr>
          <w:lang w:eastAsia="en-US"/>
        </w:rPr>
        <w:t>placebo</w:t>
      </w:r>
      <w:r w:rsidRPr="00AA6D5F">
        <w:rPr>
          <w:lang w:eastAsia="en-US"/>
        </w:rPr>
        <w:t>.</w:t>
      </w:r>
      <w:r w:rsidR="0087766D">
        <w:rPr>
          <w:rStyle w:val="FootnoteReference"/>
          <w:lang w:eastAsia="en-US"/>
        </w:rPr>
        <w:footnoteReference w:id="2"/>
      </w:r>
      <w:r w:rsidRPr="00AA6D5F">
        <w:rPr>
          <w:lang w:eastAsia="en-US"/>
        </w:rPr>
        <w:t xml:space="preserve">  </w:t>
      </w:r>
    </w:p>
    <w:p w14:paraId="609C0765" w14:textId="27655828" w:rsidR="00B60939" w:rsidRPr="00AB6F27" w:rsidRDefault="00B60939" w:rsidP="002E4F02">
      <w:pPr>
        <w:pStyle w:val="4-SubsectionHeading"/>
        <w:rPr>
          <w:iCs/>
        </w:rPr>
      </w:pPr>
      <w:r w:rsidRPr="00AB6F27">
        <w:rPr>
          <w:iCs/>
        </w:rPr>
        <w:t>Clinical trials</w:t>
      </w:r>
      <w:bookmarkEnd w:id="16"/>
      <w:bookmarkEnd w:id="19"/>
    </w:p>
    <w:p w14:paraId="442BB7D5" w14:textId="5C623ECF" w:rsidR="00FE1F15" w:rsidRPr="00AB6F27" w:rsidRDefault="00FE1F15" w:rsidP="00FE1F15">
      <w:pPr>
        <w:pStyle w:val="3-BodyText"/>
        <w:rPr>
          <w:snapToGrid/>
          <w:lang w:val="en-US"/>
        </w:rPr>
      </w:pPr>
      <w:bookmarkStart w:id="21" w:name="_Ref196755035"/>
      <w:bookmarkStart w:id="22" w:name="_Toc22897641"/>
      <w:r w:rsidRPr="00AB6F27">
        <w:rPr>
          <w:snapToGrid/>
          <w:lang w:val="en-US"/>
        </w:rPr>
        <w:t xml:space="preserve">The submission was based on three randomized clinical trials which </w:t>
      </w:r>
      <w:r w:rsidR="00366260" w:rsidRPr="00AB6F27">
        <w:rPr>
          <w:snapToGrid/>
          <w:lang w:val="en-US"/>
        </w:rPr>
        <w:t>were</w:t>
      </w:r>
      <w:r w:rsidRPr="00AB6F27">
        <w:rPr>
          <w:snapToGrid/>
          <w:lang w:val="en-US"/>
        </w:rPr>
        <w:t xml:space="preserve"> used to inform a Bucher indirect treatment comparison (ITC) between </w:t>
      </w:r>
      <w:r w:rsidR="00BF1B0D">
        <w:rPr>
          <w:snapToGrid/>
          <w:lang w:val="en-US"/>
        </w:rPr>
        <w:t>pembrolizumab</w:t>
      </w:r>
      <w:r w:rsidRPr="00AB6F27">
        <w:rPr>
          <w:snapToGrid/>
          <w:lang w:val="en-US"/>
        </w:rPr>
        <w:t xml:space="preserve"> and </w:t>
      </w:r>
      <w:r w:rsidR="00437BAB">
        <w:rPr>
          <w:snapToGrid/>
          <w:lang w:val="en-US"/>
        </w:rPr>
        <w:t>dostarlimab</w:t>
      </w:r>
      <w:r w:rsidRPr="00AB6F27">
        <w:rPr>
          <w:snapToGrid/>
          <w:lang w:val="en-US"/>
        </w:rPr>
        <w:t xml:space="preserve"> and </w:t>
      </w:r>
      <w:r w:rsidR="008F1D87">
        <w:rPr>
          <w:snapToGrid/>
          <w:lang w:val="en-US"/>
        </w:rPr>
        <w:t>durvalumab</w:t>
      </w:r>
      <w:r w:rsidR="00C2506A" w:rsidRPr="00AB6F27" w:rsidDel="00C2506A">
        <w:rPr>
          <w:snapToGrid/>
          <w:lang w:val="en-US"/>
        </w:rPr>
        <w:t xml:space="preserve"> </w:t>
      </w:r>
      <w:r w:rsidR="00C2506A">
        <w:rPr>
          <w:rFonts w:cstheme="minorHAnsi"/>
          <w:snapToGrid/>
          <w:lang w:val="en-US"/>
        </w:rPr>
        <w:t xml:space="preserve">± </w:t>
      </w:r>
      <w:r w:rsidR="008F1D87">
        <w:rPr>
          <w:snapToGrid/>
          <w:lang w:val="en-US"/>
        </w:rPr>
        <w:t>olaparib</w:t>
      </w:r>
      <w:r w:rsidR="00714417" w:rsidRPr="00AB6F27">
        <w:rPr>
          <w:snapToGrid/>
          <w:lang w:val="en-US"/>
        </w:rPr>
        <w:t xml:space="preserve"> </w:t>
      </w:r>
      <w:r w:rsidR="00714417" w:rsidRPr="00AB6F27">
        <w:t>using placebo as the common comparator</w:t>
      </w:r>
      <w:r w:rsidR="00C2506A">
        <w:t xml:space="preserve"> </w:t>
      </w:r>
      <w:r w:rsidR="00C2506A" w:rsidRPr="00C2506A">
        <w:t xml:space="preserve">(all </w:t>
      </w:r>
      <w:r w:rsidR="00C2506A">
        <w:t xml:space="preserve">therapies </w:t>
      </w:r>
      <w:r w:rsidR="00C2506A" w:rsidRPr="00C2506A">
        <w:t>were in combination with platinum-based chemotherapy during the induction phase)</w:t>
      </w:r>
      <w:r w:rsidRPr="00AB6F27">
        <w:rPr>
          <w:snapToGrid/>
          <w:lang w:val="en-US"/>
        </w:rPr>
        <w:t>. The three trials were:</w:t>
      </w:r>
      <w:bookmarkEnd w:id="21"/>
    </w:p>
    <w:p w14:paraId="5C382EF2" w14:textId="3A36BF4D" w:rsidR="00FE1F15" w:rsidRPr="00AB6F27" w:rsidRDefault="00FE1F15" w:rsidP="0037102E">
      <w:pPr>
        <w:pStyle w:val="3-BodyText"/>
        <w:numPr>
          <w:ilvl w:val="0"/>
          <w:numId w:val="14"/>
        </w:numPr>
        <w:rPr>
          <w:snapToGrid/>
          <w:lang w:val="en-US"/>
        </w:rPr>
      </w:pPr>
      <w:r w:rsidRPr="00AB6F27">
        <w:rPr>
          <w:snapToGrid/>
          <w:lang w:val="en-US"/>
        </w:rPr>
        <w:lastRenderedPageBreak/>
        <w:t>NRG-GY018 (</w:t>
      </w:r>
      <w:r w:rsidR="00BF1B0D">
        <w:rPr>
          <w:snapToGrid/>
          <w:lang w:val="en-US"/>
        </w:rPr>
        <w:t>pembrolizumab</w:t>
      </w:r>
      <w:r w:rsidRPr="00AB6F27">
        <w:rPr>
          <w:snapToGrid/>
          <w:lang w:val="en-US"/>
        </w:rPr>
        <w:t xml:space="preserve"> compared to </w:t>
      </w:r>
      <w:r w:rsidR="00C2506A">
        <w:rPr>
          <w:snapToGrid/>
          <w:lang w:val="en-US"/>
        </w:rPr>
        <w:t>placebo</w:t>
      </w:r>
      <w:r w:rsidRPr="00AB6F27">
        <w:rPr>
          <w:snapToGrid/>
          <w:lang w:val="en-US"/>
        </w:rPr>
        <w:t xml:space="preserve">, </w:t>
      </w:r>
      <w:r w:rsidR="00DA0368" w:rsidRPr="00AB6F27">
        <w:rPr>
          <w:snapToGrid/>
          <w:lang w:val="en-US"/>
        </w:rPr>
        <w:t>n</w:t>
      </w:r>
      <w:r w:rsidRPr="00AB6F27">
        <w:rPr>
          <w:snapToGrid/>
          <w:lang w:val="en-US"/>
        </w:rPr>
        <w:t xml:space="preserve">=222 </w:t>
      </w:r>
      <w:r w:rsidR="00DA0368" w:rsidRPr="00AB6F27">
        <w:rPr>
          <w:snapToGrid/>
          <w:lang w:val="en-US"/>
        </w:rPr>
        <w:t xml:space="preserve">for </w:t>
      </w:r>
      <w:r w:rsidRPr="00AB6F27">
        <w:rPr>
          <w:snapToGrid/>
          <w:lang w:val="en-US"/>
        </w:rPr>
        <w:t xml:space="preserve">dMMR </w:t>
      </w:r>
      <w:r w:rsidR="00DA0368" w:rsidRPr="00AB6F27">
        <w:rPr>
          <w:snapToGrid/>
          <w:lang w:val="en-US"/>
        </w:rPr>
        <w:t xml:space="preserve">patients </w:t>
      </w:r>
      <w:r w:rsidRPr="00AB6F27">
        <w:rPr>
          <w:snapToGrid/>
          <w:lang w:val="en-US"/>
        </w:rPr>
        <w:t xml:space="preserve">and </w:t>
      </w:r>
      <w:r w:rsidR="00DA0368" w:rsidRPr="00AB6F27">
        <w:rPr>
          <w:snapToGrid/>
          <w:lang w:val="en-US"/>
        </w:rPr>
        <w:t>n</w:t>
      </w:r>
      <w:r w:rsidRPr="00AB6F27">
        <w:rPr>
          <w:snapToGrid/>
          <w:lang w:val="en-US"/>
        </w:rPr>
        <w:t xml:space="preserve">=597 </w:t>
      </w:r>
      <w:r w:rsidR="00DA0368" w:rsidRPr="00AB6F27">
        <w:rPr>
          <w:snapToGrid/>
          <w:lang w:val="en-US"/>
        </w:rPr>
        <w:t xml:space="preserve">for </w:t>
      </w:r>
      <w:r w:rsidRPr="00AB6F27">
        <w:rPr>
          <w:snapToGrid/>
          <w:lang w:val="en-US"/>
        </w:rPr>
        <w:t>pMMR</w:t>
      </w:r>
      <w:r w:rsidR="00DA0368" w:rsidRPr="00AB6F27">
        <w:rPr>
          <w:snapToGrid/>
          <w:lang w:val="en-US"/>
        </w:rPr>
        <w:t xml:space="preserve"> patients</w:t>
      </w:r>
      <w:r w:rsidRPr="00AB6F27">
        <w:rPr>
          <w:snapToGrid/>
          <w:lang w:val="en-US"/>
        </w:rPr>
        <w:t>);</w:t>
      </w:r>
    </w:p>
    <w:p w14:paraId="726DE3DC" w14:textId="5E0189BF" w:rsidR="00FE1F15" w:rsidRPr="00AB6F27" w:rsidRDefault="00FE1F15" w:rsidP="0037102E">
      <w:pPr>
        <w:pStyle w:val="3-BodyText"/>
        <w:numPr>
          <w:ilvl w:val="0"/>
          <w:numId w:val="14"/>
        </w:numPr>
        <w:rPr>
          <w:snapToGrid/>
          <w:lang w:val="en-US"/>
        </w:rPr>
      </w:pPr>
      <w:r w:rsidRPr="00AB6F27">
        <w:rPr>
          <w:snapToGrid/>
          <w:lang w:val="en-US"/>
        </w:rPr>
        <w:t>RUBY-1 (</w:t>
      </w:r>
      <w:r w:rsidR="00437BAB">
        <w:rPr>
          <w:snapToGrid/>
          <w:lang w:val="en-US"/>
        </w:rPr>
        <w:t>dostarlimab</w:t>
      </w:r>
      <w:r w:rsidRPr="00AB6F27">
        <w:rPr>
          <w:snapToGrid/>
          <w:lang w:val="en-US"/>
        </w:rPr>
        <w:t xml:space="preserve"> compared to </w:t>
      </w:r>
      <w:r w:rsidR="00C2506A">
        <w:rPr>
          <w:snapToGrid/>
          <w:lang w:val="en-US"/>
        </w:rPr>
        <w:t>placebo,</w:t>
      </w:r>
      <w:r w:rsidRPr="00AB6F27">
        <w:rPr>
          <w:snapToGrid/>
          <w:lang w:val="en-US"/>
        </w:rPr>
        <w:t xml:space="preserve"> N=494, </w:t>
      </w:r>
      <w:r w:rsidR="00DA0368" w:rsidRPr="00AB6F27">
        <w:rPr>
          <w:snapToGrid/>
          <w:lang w:val="en-US"/>
        </w:rPr>
        <w:t>n=</w:t>
      </w:r>
      <w:r w:rsidRPr="00AB6F27">
        <w:rPr>
          <w:snapToGrid/>
          <w:lang w:val="en-US"/>
        </w:rPr>
        <w:t xml:space="preserve">118 </w:t>
      </w:r>
      <w:r w:rsidR="00DA0368" w:rsidRPr="00AB6F27">
        <w:rPr>
          <w:snapToGrid/>
          <w:lang w:val="en-US"/>
        </w:rPr>
        <w:t xml:space="preserve">for </w:t>
      </w:r>
      <w:r w:rsidRPr="00AB6F27">
        <w:rPr>
          <w:snapToGrid/>
          <w:lang w:val="en-US"/>
        </w:rPr>
        <w:t xml:space="preserve">dMMR </w:t>
      </w:r>
      <w:r w:rsidR="00DA0368" w:rsidRPr="00AB6F27">
        <w:rPr>
          <w:snapToGrid/>
          <w:lang w:val="en-US"/>
        </w:rPr>
        <w:t xml:space="preserve">patients </w:t>
      </w:r>
      <w:r w:rsidRPr="00AB6F27">
        <w:rPr>
          <w:snapToGrid/>
          <w:lang w:val="en-US"/>
        </w:rPr>
        <w:t xml:space="preserve">and </w:t>
      </w:r>
      <w:r w:rsidR="00DA0368" w:rsidRPr="00AB6F27">
        <w:rPr>
          <w:snapToGrid/>
          <w:lang w:val="en-US"/>
        </w:rPr>
        <w:t>n=</w:t>
      </w:r>
      <w:r w:rsidRPr="00AB6F27">
        <w:rPr>
          <w:snapToGrid/>
          <w:lang w:val="en-US"/>
        </w:rPr>
        <w:t>376</w:t>
      </w:r>
      <w:r w:rsidR="00DA0368" w:rsidRPr="00AB6F27">
        <w:rPr>
          <w:snapToGrid/>
          <w:lang w:val="en-US"/>
        </w:rPr>
        <w:t xml:space="preserve"> for</w:t>
      </w:r>
      <w:r w:rsidRPr="00AB6F27">
        <w:rPr>
          <w:snapToGrid/>
          <w:lang w:val="en-US"/>
        </w:rPr>
        <w:t xml:space="preserve"> pMMR</w:t>
      </w:r>
      <w:r w:rsidR="00DA0368" w:rsidRPr="00AB6F27">
        <w:rPr>
          <w:snapToGrid/>
          <w:lang w:val="en-US"/>
        </w:rPr>
        <w:t xml:space="preserve"> patients</w:t>
      </w:r>
      <w:r w:rsidRPr="00AB6F27">
        <w:rPr>
          <w:snapToGrid/>
          <w:lang w:val="en-US"/>
        </w:rPr>
        <w:t>); and</w:t>
      </w:r>
    </w:p>
    <w:p w14:paraId="7CCB68FA" w14:textId="7FBCC194" w:rsidR="00FE1F15" w:rsidRPr="00AB6F27" w:rsidRDefault="00FE1F15" w:rsidP="0037102E">
      <w:pPr>
        <w:pStyle w:val="3-BodyText"/>
        <w:numPr>
          <w:ilvl w:val="0"/>
          <w:numId w:val="14"/>
        </w:numPr>
      </w:pPr>
      <w:r w:rsidRPr="00AB6F27">
        <w:rPr>
          <w:snapToGrid/>
          <w:lang w:val="en-US"/>
        </w:rPr>
        <w:t>DUO-E (</w:t>
      </w:r>
      <w:r w:rsidR="008F1D87">
        <w:rPr>
          <w:snapToGrid/>
          <w:lang w:val="en-US"/>
        </w:rPr>
        <w:t>durvalumab</w:t>
      </w:r>
      <w:r w:rsidR="004964C0">
        <w:rPr>
          <w:snapToGrid/>
          <w:lang w:val="en-US"/>
        </w:rPr>
        <w:t xml:space="preserve"> </w:t>
      </w:r>
      <w:r w:rsidR="0049444F" w:rsidRPr="00AB6F27">
        <w:rPr>
          <w:rFonts w:cstheme="minorHAnsi"/>
          <w:snapToGrid/>
          <w:lang w:val="en-US"/>
        </w:rPr>
        <w:t>±</w:t>
      </w:r>
      <w:r w:rsidR="004964C0">
        <w:rPr>
          <w:rFonts w:cstheme="minorHAnsi"/>
          <w:snapToGrid/>
          <w:lang w:val="en-US"/>
        </w:rPr>
        <w:t xml:space="preserve"> </w:t>
      </w:r>
      <w:r w:rsidR="008F1D87">
        <w:rPr>
          <w:snapToGrid/>
          <w:lang w:val="en-US"/>
        </w:rPr>
        <w:t>olaparib</w:t>
      </w:r>
      <w:r w:rsidRPr="00AB6F27">
        <w:rPr>
          <w:snapToGrid/>
          <w:lang w:val="en-US"/>
        </w:rPr>
        <w:t xml:space="preserve"> compared to </w:t>
      </w:r>
      <w:r w:rsidR="00C2506A">
        <w:rPr>
          <w:snapToGrid/>
          <w:lang w:val="en-US"/>
        </w:rPr>
        <w:t>place</w:t>
      </w:r>
      <w:r w:rsidR="004964C0">
        <w:rPr>
          <w:snapToGrid/>
          <w:lang w:val="en-US"/>
        </w:rPr>
        <w:t>b</w:t>
      </w:r>
      <w:r w:rsidR="00C2506A">
        <w:rPr>
          <w:snapToGrid/>
          <w:lang w:val="en-US"/>
        </w:rPr>
        <w:t>o</w:t>
      </w:r>
      <w:r w:rsidRPr="00AB6F27">
        <w:rPr>
          <w:snapToGrid/>
          <w:lang w:val="en-US"/>
        </w:rPr>
        <w:t xml:space="preserve">, N=718, </w:t>
      </w:r>
      <w:r w:rsidR="00DA0368" w:rsidRPr="00AB6F27">
        <w:rPr>
          <w:snapToGrid/>
          <w:lang w:val="en-US"/>
        </w:rPr>
        <w:t>n=</w:t>
      </w:r>
      <w:r w:rsidRPr="00AB6F27">
        <w:rPr>
          <w:snapToGrid/>
          <w:lang w:val="en-US"/>
        </w:rPr>
        <w:t xml:space="preserve">143 </w:t>
      </w:r>
      <w:r w:rsidR="00DA0368" w:rsidRPr="00AB6F27">
        <w:rPr>
          <w:snapToGrid/>
          <w:lang w:val="en-US"/>
        </w:rPr>
        <w:t xml:space="preserve">for </w:t>
      </w:r>
      <w:r w:rsidRPr="00AB6F27">
        <w:rPr>
          <w:snapToGrid/>
          <w:lang w:val="en-US"/>
        </w:rPr>
        <w:t xml:space="preserve">dMMR </w:t>
      </w:r>
      <w:r w:rsidR="00DA0368" w:rsidRPr="00AB6F27">
        <w:rPr>
          <w:snapToGrid/>
          <w:lang w:val="en-US"/>
        </w:rPr>
        <w:t xml:space="preserve">patients </w:t>
      </w:r>
      <w:r w:rsidRPr="00AB6F27">
        <w:rPr>
          <w:snapToGrid/>
          <w:lang w:val="en-US"/>
        </w:rPr>
        <w:t xml:space="preserve">and </w:t>
      </w:r>
      <w:r w:rsidR="00DA0368" w:rsidRPr="00AB6F27">
        <w:rPr>
          <w:snapToGrid/>
          <w:lang w:val="en-US"/>
        </w:rPr>
        <w:t>n=</w:t>
      </w:r>
      <w:r w:rsidRPr="00AB6F27">
        <w:rPr>
          <w:snapToGrid/>
          <w:lang w:val="en-US"/>
        </w:rPr>
        <w:t xml:space="preserve">575 </w:t>
      </w:r>
      <w:r w:rsidR="00DA0368" w:rsidRPr="00AB6F27">
        <w:rPr>
          <w:snapToGrid/>
          <w:lang w:val="en-US"/>
        </w:rPr>
        <w:t xml:space="preserve">for </w:t>
      </w:r>
      <w:r w:rsidRPr="00AB6F27">
        <w:rPr>
          <w:snapToGrid/>
          <w:lang w:val="en-US"/>
        </w:rPr>
        <w:t>pMMR</w:t>
      </w:r>
      <w:r w:rsidR="00DA0368" w:rsidRPr="00AB6F27">
        <w:rPr>
          <w:snapToGrid/>
          <w:lang w:val="en-US"/>
        </w:rPr>
        <w:t xml:space="preserve"> patients</w:t>
      </w:r>
      <w:r w:rsidRPr="00AB6F27">
        <w:rPr>
          <w:snapToGrid/>
          <w:lang w:val="en-US"/>
        </w:rPr>
        <w:t>).</w:t>
      </w:r>
    </w:p>
    <w:p w14:paraId="2C2F005C" w14:textId="5A19B94C" w:rsidR="00FE1F15" w:rsidRDefault="00FE1F15" w:rsidP="00FE1F15">
      <w:pPr>
        <w:pStyle w:val="3-BodyText"/>
      </w:pPr>
      <w:r w:rsidRPr="00AB6F27">
        <w:t>The submission also presented supplementary evidence in the form of a Bayesian network meta-analysis (NMA). The network of evidence for PFS in the dMMR and pMMR populations comprised seven studies</w:t>
      </w:r>
      <w:r w:rsidR="008022E5" w:rsidRPr="00AB6F27">
        <w:t xml:space="preserve">, all </w:t>
      </w:r>
      <w:r w:rsidR="00437BAB">
        <w:t>with</w:t>
      </w:r>
      <w:r w:rsidR="00E40E7A" w:rsidRPr="00AB6F27">
        <w:t xml:space="preserve"> </w:t>
      </w:r>
      <w:r w:rsidR="00C2506A">
        <w:t>placebo</w:t>
      </w:r>
      <w:r w:rsidR="008022E5" w:rsidRPr="00AB6F27">
        <w:t xml:space="preserve"> as the </w:t>
      </w:r>
      <w:r w:rsidRPr="00AB6F27">
        <w:t>comparator arm</w:t>
      </w:r>
      <w:r w:rsidR="00CE6DF9" w:rsidRPr="00AB6F27">
        <w:t>. The studies (</w:t>
      </w:r>
      <w:r w:rsidR="00437BAB">
        <w:t xml:space="preserve">in brackets, </w:t>
      </w:r>
      <w:r w:rsidR="00CE6DF9" w:rsidRPr="00AB6F27">
        <w:t>intervention assessed) included in the NMA were</w:t>
      </w:r>
      <w:r w:rsidRPr="00AB6F27">
        <w:t xml:space="preserve">: </w:t>
      </w:r>
      <w:proofErr w:type="spellStart"/>
      <w:r w:rsidRPr="00AB6F27">
        <w:t>AtTEnd</w:t>
      </w:r>
      <w:proofErr w:type="spellEnd"/>
      <w:r w:rsidRPr="00AB6F27">
        <w:t xml:space="preserve"> (atezolizumab)</w:t>
      </w:r>
      <w:r w:rsidR="00A87A18">
        <w:t>;</w:t>
      </w:r>
      <w:r w:rsidRPr="00AB6F27">
        <w:t xml:space="preserve"> DUO-E (</w:t>
      </w:r>
      <w:r w:rsidR="008F1D87">
        <w:t>durvalumab</w:t>
      </w:r>
      <w:r w:rsidR="00C2506A" w:rsidRPr="00AB6F27" w:rsidDel="00C2506A">
        <w:t xml:space="preserve"> </w:t>
      </w:r>
      <w:r w:rsidR="00C2506A">
        <w:rPr>
          <w:rFonts w:cstheme="minorHAnsi"/>
        </w:rPr>
        <w:t xml:space="preserve">± </w:t>
      </w:r>
      <w:r w:rsidR="008F1D87">
        <w:t>olaparib</w:t>
      </w:r>
      <w:r w:rsidR="00CE6DF9" w:rsidRPr="00AB6F27">
        <w:t>)</w:t>
      </w:r>
      <w:r w:rsidR="00A87A18">
        <w:t>;</w:t>
      </w:r>
      <w:r w:rsidRPr="00AB6F27">
        <w:t xml:space="preserve"> LEAP-001 (</w:t>
      </w:r>
      <w:r w:rsidR="00BF1B0D">
        <w:t>pembrolizumab</w:t>
      </w:r>
      <w:r w:rsidR="00C2506A">
        <w:t xml:space="preserve"> </w:t>
      </w:r>
      <w:r w:rsidRPr="00AB6F27">
        <w:t>+</w:t>
      </w:r>
      <w:r w:rsidR="00C2506A">
        <w:t xml:space="preserve"> </w:t>
      </w:r>
      <w:r w:rsidR="001F3073">
        <w:t>lenvatinib</w:t>
      </w:r>
      <w:r w:rsidRPr="00AB6F27">
        <w:t>)</w:t>
      </w:r>
      <w:r w:rsidR="00A87A18">
        <w:t>;</w:t>
      </w:r>
      <w:r w:rsidRPr="00AB6F27">
        <w:t xml:space="preserve"> MITO END-3 (Avelumab)</w:t>
      </w:r>
      <w:r w:rsidR="00A87A18">
        <w:t>;</w:t>
      </w:r>
      <w:r w:rsidRPr="00AB6F27">
        <w:t xml:space="preserve"> NRG-GY018 (</w:t>
      </w:r>
      <w:r w:rsidR="00BF1B0D">
        <w:t>pembrolizumab</w:t>
      </w:r>
      <w:r w:rsidR="00A87A18">
        <w:t>;</w:t>
      </w:r>
      <w:r w:rsidRPr="00AB6F27">
        <w:t xml:space="preserve"> RUBY-1 (</w:t>
      </w:r>
      <w:r w:rsidR="00437BAB">
        <w:t>dostarlimab</w:t>
      </w:r>
      <w:r w:rsidRPr="00AB6F27">
        <w:t>)</w:t>
      </w:r>
      <w:r w:rsidR="00A87A18">
        <w:t>;</w:t>
      </w:r>
      <w:r w:rsidRPr="00AB6F27">
        <w:t xml:space="preserve"> and RUBY-2 (</w:t>
      </w:r>
      <w:r w:rsidR="00437BAB">
        <w:t>dostarlimab</w:t>
      </w:r>
      <w:r w:rsidRPr="00AB6F27">
        <w:t xml:space="preserve"> + niraparib). For the network of evidence for OS in the dMMR and pMMR populations, RUBY-2 was not included due to OS </w:t>
      </w:r>
      <w:r w:rsidR="00CE6DF9" w:rsidRPr="00AB6F27">
        <w:t>not being reported by MMR</w:t>
      </w:r>
      <w:r w:rsidRPr="00AB6F27">
        <w:t xml:space="preserve"> subgroups.</w:t>
      </w:r>
      <w:r w:rsidR="005F6E39" w:rsidRPr="00AB6F27">
        <w:t xml:space="preserve"> </w:t>
      </w:r>
    </w:p>
    <w:p w14:paraId="3E1D80CA" w14:textId="0E445C21" w:rsidR="00810B4D" w:rsidRPr="00DF01CF" w:rsidRDefault="00810B4D" w:rsidP="007B5E49">
      <w:pPr>
        <w:pStyle w:val="3-BodyText"/>
      </w:pPr>
      <w:r w:rsidRPr="00DF01CF">
        <w:t>The PSCR stated that NRG-GY018 was the only clinical trial of an immunotherapy in A/R EC that was powered to assess PFS across both dMMR and pMMR subpopulations.</w:t>
      </w:r>
      <w:r w:rsidR="00671FC1" w:rsidRPr="00DF01CF">
        <w:t xml:space="preserve"> In RUBY-1 and DUO-E, the pMMR subpopulation was an exploratory subgroup analysis.</w:t>
      </w:r>
    </w:p>
    <w:p w14:paraId="222DA5A9" w14:textId="17AF5C7F" w:rsidR="00B60B87" w:rsidRDefault="00FE1F15" w:rsidP="00FE1F15">
      <w:pPr>
        <w:pStyle w:val="3-BodyText"/>
        <w:rPr>
          <w:snapToGrid/>
          <w:lang w:val="en-US"/>
        </w:rPr>
      </w:pPr>
      <w:r w:rsidRPr="00AB6F27">
        <w:rPr>
          <w:snapToGrid/>
          <w:lang w:val="en-US"/>
        </w:rPr>
        <w:t xml:space="preserve">Details of the trials presented in the submission are provided in </w:t>
      </w:r>
      <w:r w:rsidRPr="00AB6F27">
        <w:rPr>
          <w:snapToGrid/>
          <w:lang w:val="en-US"/>
        </w:rPr>
        <w:fldChar w:fldCharType="begin"/>
      </w:r>
      <w:r w:rsidRPr="00AB6F27">
        <w:rPr>
          <w:snapToGrid/>
          <w:lang w:val="en-US"/>
        </w:rPr>
        <w:instrText xml:space="preserve"> REF _Ref196230022 \h </w:instrText>
      </w:r>
      <w:r w:rsidR="00AB6F27" w:rsidRPr="00AB6F27">
        <w:rPr>
          <w:snapToGrid/>
          <w:lang w:val="en-US"/>
        </w:rPr>
        <w:instrText xml:space="preserve"> \* MERGEFORMAT </w:instrText>
      </w:r>
      <w:r w:rsidRPr="00AB6F27">
        <w:rPr>
          <w:snapToGrid/>
          <w:lang w:val="en-US"/>
        </w:rPr>
      </w:r>
      <w:r w:rsidRPr="00AB6F27">
        <w:rPr>
          <w:snapToGrid/>
          <w:lang w:val="en-US"/>
        </w:rPr>
        <w:fldChar w:fldCharType="separate"/>
      </w:r>
      <w:r w:rsidR="003359D3" w:rsidRPr="00AB6F27">
        <w:t xml:space="preserve">Table </w:t>
      </w:r>
      <w:r w:rsidR="003359D3">
        <w:rPr>
          <w:noProof/>
        </w:rPr>
        <w:t>2</w:t>
      </w:r>
      <w:r w:rsidRPr="00AB6F27">
        <w:rPr>
          <w:snapToGrid/>
          <w:lang w:val="en-US"/>
        </w:rPr>
        <w:fldChar w:fldCharType="end"/>
      </w:r>
      <w:r w:rsidRPr="00AB6F27">
        <w:rPr>
          <w:snapToGrid/>
          <w:lang w:val="en-US"/>
        </w:rPr>
        <w:t>.</w:t>
      </w:r>
    </w:p>
    <w:p w14:paraId="4601F65E" w14:textId="66F25993" w:rsidR="00FE1F15" w:rsidRPr="00B60B87" w:rsidRDefault="00B60B87" w:rsidP="00B60B87">
      <w:pPr>
        <w:jc w:val="left"/>
        <w:rPr>
          <w:rFonts w:asciiTheme="minorHAnsi" w:hAnsiTheme="minorHAnsi"/>
          <w:lang w:val="en-US"/>
        </w:rPr>
      </w:pPr>
      <w:r>
        <w:rPr>
          <w:lang w:val="en-US"/>
        </w:rPr>
        <w:br w:type="page"/>
      </w:r>
    </w:p>
    <w:p w14:paraId="4C390EDF" w14:textId="257E6E71" w:rsidR="00FE1F15" w:rsidRPr="00AB6F27" w:rsidRDefault="00FE1F15" w:rsidP="00FE1F15">
      <w:pPr>
        <w:pStyle w:val="Caption"/>
        <w:rPr>
          <w:rStyle w:val="CommentReference"/>
          <w:b/>
          <w:szCs w:val="24"/>
        </w:rPr>
      </w:pPr>
      <w:bookmarkStart w:id="23" w:name="_Ref196230022"/>
      <w:r w:rsidRPr="00AB6F27">
        <w:lastRenderedPageBreak/>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2</w:t>
      </w:r>
      <w:r w:rsidR="00976099" w:rsidRPr="00AB6F27">
        <w:rPr>
          <w:noProof/>
        </w:rPr>
        <w:fldChar w:fldCharType="end"/>
      </w:r>
      <w:bookmarkEnd w:id="23"/>
      <w:r w:rsidRPr="00AB6F27">
        <w:t>:</w:t>
      </w:r>
      <w:r w:rsidRPr="00AB6F27">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129"/>
        <w:gridCol w:w="6095"/>
        <w:gridCol w:w="1793"/>
      </w:tblGrid>
      <w:tr w:rsidR="00FE1F15" w:rsidRPr="00AB6F27" w14:paraId="0CD3AB0B" w14:textId="77777777" w:rsidTr="007B5E49">
        <w:trPr>
          <w:tblHeader/>
        </w:trPr>
        <w:tc>
          <w:tcPr>
            <w:tcW w:w="626" w:type="pct"/>
            <w:tcBorders>
              <w:bottom w:val="single" w:sz="4" w:space="0" w:color="auto"/>
            </w:tcBorders>
            <w:vAlign w:val="center"/>
          </w:tcPr>
          <w:p w14:paraId="43FC6FFB" w14:textId="77777777" w:rsidR="00FE1F15" w:rsidRPr="00AB6F27" w:rsidRDefault="00FE1F15" w:rsidP="007B5E49">
            <w:pPr>
              <w:pStyle w:val="In-tableHeading"/>
              <w:keepNext w:val="0"/>
            </w:pPr>
            <w:r w:rsidRPr="00AB6F27">
              <w:t>Trial ID</w:t>
            </w:r>
          </w:p>
        </w:tc>
        <w:tc>
          <w:tcPr>
            <w:tcW w:w="3380" w:type="pct"/>
            <w:tcBorders>
              <w:bottom w:val="single" w:sz="4" w:space="0" w:color="auto"/>
            </w:tcBorders>
            <w:vAlign w:val="center"/>
          </w:tcPr>
          <w:p w14:paraId="4660CA66" w14:textId="77777777" w:rsidR="00FE1F15" w:rsidRPr="00AB6F27" w:rsidRDefault="00FE1F15" w:rsidP="007B5E49">
            <w:pPr>
              <w:pStyle w:val="In-tableHeading"/>
              <w:keepNext w:val="0"/>
            </w:pPr>
            <w:r w:rsidRPr="00AB6F27">
              <w:t>Protocol title/ Publication title</w:t>
            </w:r>
          </w:p>
        </w:tc>
        <w:tc>
          <w:tcPr>
            <w:tcW w:w="994" w:type="pct"/>
            <w:tcBorders>
              <w:bottom w:val="single" w:sz="4" w:space="0" w:color="auto"/>
            </w:tcBorders>
            <w:vAlign w:val="center"/>
          </w:tcPr>
          <w:p w14:paraId="0A417935" w14:textId="77777777" w:rsidR="00FE1F15" w:rsidRPr="00AB6F27" w:rsidRDefault="00FE1F15" w:rsidP="007B5E49">
            <w:pPr>
              <w:pStyle w:val="In-tableHeading"/>
              <w:keepNext w:val="0"/>
            </w:pPr>
            <w:r w:rsidRPr="00AB6F27">
              <w:t>Publication citation</w:t>
            </w:r>
          </w:p>
        </w:tc>
      </w:tr>
      <w:tr w:rsidR="00FE1F15" w:rsidRPr="00AB6F27" w14:paraId="6E89DA62" w14:textId="77777777" w:rsidTr="007B5E49">
        <w:tc>
          <w:tcPr>
            <w:tcW w:w="626" w:type="pct"/>
            <w:tcBorders>
              <w:bottom w:val="nil"/>
            </w:tcBorders>
            <w:vAlign w:val="center"/>
          </w:tcPr>
          <w:p w14:paraId="2F556EBC" w14:textId="77777777" w:rsidR="00FE1F15" w:rsidRPr="00AB6F27" w:rsidRDefault="00FE1F15" w:rsidP="007B5E49">
            <w:pPr>
              <w:pStyle w:val="TableText0"/>
              <w:keepNext w:val="0"/>
            </w:pPr>
            <w:r w:rsidRPr="00AB6F27">
              <w:t>NRG-GY018</w:t>
            </w:r>
          </w:p>
        </w:tc>
        <w:tc>
          <w:tcPr>
            <w:tcW w:w="3380" w:type="pct"/>
            <w:tcBorders>
              <w:bottom w:val="nil"/>
            </w:tcBorders>
            <w:vAlign w:val="center"/>
          </w:tcPr>
          <w:p w14:paraId="7B85DC70" w14:textId="77777777" w:rsidR="00FE1F15" w:rsidRPr="00AB6F27" w:rsidRDefault="00FE1F15" w:rsidP="007B5E49">
            <w:pPr>
              <w:pStyle w:val="TableText0"/>
              <w:keepNext w:val="0"/>
              <w:rPr>
                <w:szCs w:val="18"/>
              </w:rPr>
            </w:pPr>
            <w:r w:rsidRPr="00AB6F27">
              <w:rPr>
                <w:szCs w:val="18"/>
              </w:rPr>
              <w:t>A Phase III Randomized, Placebo-controlled Study of Pembrolizumab (MK-3475, NSC #776864) in Addition to Paclitaxel and Carboplatin Measurable Stage III or IVA, Stage IVB or Recurrent Endometrial Cancer (KEYNOTE-868/NRG-GY018) Clinical Study Report (CSR) Interim Analysis 1 [NRG-GY018 CSR IA1] (Dec 2022 data cutoff)</w:t>
            </w:r>
          </w:p>
        </w:tc>
        <w:tc>
          <w:tcPr>
            <w:tcW w:w="994" w:type="pct"/>
            <w:tcBorders>
              <w:bottom w:val="nil"/>
            </w:tcBorders>
            <w:vAlign w:val="center"/>
          </w:tcPr>
          <w:p w14:paraId="5966B317" w14:textId="77777777" w:rsidR="00FE1F15" w:rsidRPr="00AB6F27" w:rsidRDefault="00FE1F15" w:rsidP="007B5E49">
            <w:pPr>
              <w:pStyle w:val="TableText0"/>
              <w:keepNext w:val="0"/>
            </w:pPr>
            <w:r w:rsidRPr="00AB6F27">
              <w:t>Clinical study report</w:t>
            </w:r>
          </w:p>
          <w:p w14:paraId="53F163AE" w14:textId="77777777" w:rsidR="00FE1F15" w:rsidRPr="00AB6F27" w:rsidRDefault="00FE1F15" w:rsidP="007B5E49">
            <w:pPr>
              <w:pStyle w:val="TableText0"/>
              <w:keepNext w:val="0"/>
            </w:pPr>
            <w:r w:rsidRPr="00AB6F27">
              <w:t>5 December 2023</w:t>
            </w:r>
          </w:p>
        </w:tc>
      </w:tr>
      <w:tr w:rsidR="00FE1F15" w:rsidRPr="00AB6F27" w14:paraId="4C183A50" w14:textId="77777777" w:rsidTr="007B5E49">
        <w:tc>
          <w:tcPr>
            <w:tcW w:w="626" w:type="pct"/>
            <w:tcBorders>
              <w:top w:val="nil"/>
              <w:bottom w:val="nil"/>
            </w:tcBorders>
            <w:vAlign w:val="center"/>
          </w:tcPr>
          <w:p w14:paraId="398BC914" w14:textId="77777777" w:rsidR="00FE1F15" w:rsidRPr="00AB6F27" w:rsidRDefault="00FE1F15" w:rsidP="007B5E49">
            <w:pPr>
              <w:pStyle w:val="TableText0"/>
              <w:keepNext w:val="0"/>
            </w:pPr>
          </w:p>
        </w:tc>
        <w:tc>
          <w:tcPr>
            <w:tcW w:w="3380" w:type="pct"/>
            <w:tcBorders>
              <w:top w:val="nil"/>
              <w:bottom w:val="nil"/>
            </w:tcBorders>
            <w:vAlign w:val="center"/>
          </w:tcPr>
          <w:p w14:paraId="42ADD843" w14:textId="77777777" w:rsidR="00FE1F15" w:rsidRPr="00AB6F27" w:rsidRDefault="00FE1F15" w:rsidP="007B5E49">
            <w:pPr>
              <w:pStyle w:val="TableText0"/>
              <w:keepNext w:val="0"/>
              <w:rPr>
                <w:szCs w:val="18"/>
              </w:rPr>
            </w:pPr>
            <w:r w:rsidRPr="00AB6F27">
              <w:rPr>
                <w:szCs w:val="18"/>
              </w:rPr>
              <w:t>A Phase III Randomized, Placebo-controlled Study of Pembrolizumab (MK-3475, NSC #776864) in Addition to Paclitaxel and Carboplatin for Measurable Stage III or IVA, Stage IVB or Recurrent Endometrial Cancer (KEYNOTE-868/NRG-GY018) Efficacy and Safety Update [NRG-GY018 EUR] (Aug 2023 data cutoff)</w:t>
            </w:r>
          </w:p>
        </w:tc>
        <w:tc>
          <w:tcPr>
            <w:tcW w:w="994" w:type="pct"/>
            <w:tcBorders>
              <w:top w:val="nil"/>
              <w:bottom w:val="nil"/>
            </w:tcBorders>
            <w:vAlign w:val="center"/>
          </w:tcPr>
          <w:p w14:paraId="224E4D92" w14:textId="77777777" w:rsidR="00FE1F15" w:rsidRPr="00AB6F27" w:rsidRDefault="00FE1F15" w:rsidP="007B5E49">
            <w:pPr>
              <w:pStyle w:val="TableText0"/>
              <w:keepNext w:val="0"/>
              <w:rPr>
                <w:szCs w:val="18"/>
              </w:rPr>
            </w:pPr>
            <w:r w:rsidRPr="00AB6F27">
              <w:rPr>
                <w:szCs w:val="18"/>
              </w:rPr>
              <w:t>Clinical study report</w:t>
            </w:r>
          </w:p>
          <w:p w14:paraId="31029B9A" w14:textId="77777777" w:rsidR="00FE1F15" w:rsidRPr="00AB6F27" w:rsidRDefault="00FE1F15" w:rsidP="007B5E49">
            <w:pPr>
              <w:pStyle w:val="TableText0"/>
              <w:keepNext w:val="0"/>
              <w:rPr>
                <w:szCs w:val="18"/>
              </w:rPr>
            </w:pPr>
            <w:r w:rsidRPr="00AB6F27">
              <w:rPr>
                <w:szCs w:val="18"/>
              </w:rPr>
              <w:t>No report date</w:t>
            </w:r>
          </w:p>
        </w:tc>
      </w:tr>
      <w:tr w:rsidR="00FE1F15" w:rsidRPr="00AB6F27" w14:paraId="20DF372D" w14:textId="77777777" w:rsidTr="007B5E49">
        <w:tc>
          <w:tcPr>
            <w:tcW w:w="626" w:type="pct"/>
            <w:tcBorders>
              <w:top w:val="nil"/>
              <w:bottom w:val="nil"/>
            </w:tcBorders>
            <w:vAlign w:val="center"/>
          </w:tcPr>
          <w:p w14:paraId="5881E0F5" w14:textId="77777777" w:rsidR="00FE1F15" w:rsidRPr="00AB6F27" w:rsidRDefault="00FE1F15" w:rsidP="007B5E49">
            <w:pPr>
              <w:pStyle w:val="TableText0"/>
              <w:keepNext w:val="0"/>
            </w:pPr>
          </w:p>
        </w:tc>
        <w:tc>
          <w:tcPr>
            <w:tcW w:w="3380" w:type="pct"/>
            <w:tcBorders>
              <w:top w:val="nil"/>
              <w:bottom w:val="nil"/>
            </w:tcBorders>
            <w:vAlign w:val="center"/>
          </w:tcPr>
          <w:p w14:paraId="09A0054D" w14:textId="77777777" w:rsidR="00FE1F15" w:rsidRPr="00AB6F27" w:rsidRDefault="00FE1F15" w:rsidP="007B5E49">
            <w:pPr>
              <w:pStyle w:val="TableText0"/>
              <w:keepNext w:val="0"/>
              <w:rPr>
                <w:szCs w:val="18"/>
                <w:lang w:val="en-US"/>
              </w:rPr>
            </w:pPr>
            <w:r w:rsidRPr="00AB6F27">
              <w:rPr>
                <w:szCs w:val="18"/>
                <w:lang w:val="en-US"/>
              </w:rPr>
              <w:t>Eskander RN et al. Pembrolizumab plus chemotherapy in advanced or recurrent endometrial cancer: overall survival and exploratory analyses of the NRG GY018 phase 3 randomized trial [Data on file]</w:t>
            </w:r>
          </w:p>
        </w:tc>
        <w:tc>
          <w:tcPr>
            <w:tcW w:w="994" w:type="pct"/>
            <w:tcBorders>
              <w:top w:val="nil"/>
              <w:bottom w:val="nil"/>
            </w:tcBorders>
            <w:vAlign w:val="center"/>
          </w:tcPr>
          <w:p w14:paraId="7B770A9E" w14:textId="77777777" w:rsidR="00FE1F15" w:rsidRPr="00AB6F27" w:rsidRDefault="00FE1F15" w:rsidP="007B5E49">
            <w:pPr>
              <w:pStyle w:val="TableText0"/>
              <w:keepNext w:val="0"/>
              <w:rPr>
                <w:szCs w:val="18"/>
                <w:lang w:val="en-US"/>
              </w:rPr>
            </w:pPr>
            <w:r w:rsidRPr="00AB6F27">
              <w:rPr>
                <w:szCs w:val="18"/>
                <w:lang w:val="en-US"/>
              </w:rPr>
              <w:t>Nature Medicine 2025</w:t>
            </w:r>
          </w:p>
        </w:tc>
      </w:tr>
      <w:tr w:rsidR="00FE1F15" w:rsidRPr="00AB6F27" w14:paraId="53A44264" w14:textId="77777777" w:rsidTr="007B5E49">
        <w:tc>
          <w:tcPr>
            <w:tcW w:w="626" w:type="pct"/>
            <w:tcBorders>
              <w:top w:val="nil"/>
              <w:bottom w:val="nil"/>
            </w:tcBorders>
            <w:vAlign w:val="center"/>
          </w:tcPr>
          <w:p w14:paraId="2E5482DB" w14:textId="77777777" w:rsidR="00FE1F15" w:rsidRPr="00AB6F27" w:rsidRDefault="00FE1F15" w:rsidP="007B5E49">
            <w:pPr>
              <w:pStyle w:val="TableText0"/>
              <w:keepNext w:val="0"/>
            </w:pPr>
          </w:p>
        </w:tc>
        <w:tc>
          <w:tcPr>
            <w:tcW w:w="3380" w:type="pct"/>
            <w:tcBorders>
              <w:top w:val="nil"/>
              <w:bottom w:val="nil"/>
            </w:tcBorders>
            <w:vAlign w:val="center"/>
          </w:tcPr>
          <w:p w14:paraId="7B2CC64D" w14:textId="77777777" w:rsidR="00FE1F15" w:rsidRPr="00AB6F27" w:rsidRDefault="00FE1F15" w:rsidP="007B5E49">
            <w:pPr>
              <w:pStyle w:val="TableText0"/>
              <w:keepNext w:val="0"/>
            </w:pPr>
            <w:r w:rsidRPr="00AB6F27">
              <w:t xml:space="preserve">Eskander RN et al. Pembrolizumab plus Chemotherapy in Advanced Endometrial Cancer. </w:t>
            </w:r>
          </w:p>
        </w:tc>
        <w:tc>
          <w:tcPr>
            <w:tcW w:w="994" w:type="pct"/>
            <w:tcBorders>
              <w:top w:val="nil"/>
              <w:bottom w:val="nil"/>
            </w:tcBorders>
            <w:vAlign w:val="center"/>
          </w:tcPr>
          <w:p w14:paraId="7FC06165" w14:textId="77777777" w:rsidR="00FE1F15" w:rsidRPr="00AB6F27" w:rsidRDefault="00FE1F15" w:rsidP="007B5E49">
            <w:pPr>
              <w:pStyle w:val="TableText0"/>
              <w:keepNext w:val="0"/>
            </w:pPr>
            <w:r w:rsidRPr="00AB6F27">
              <w:t>N Engl J Med. 2023;</w:t>
            </w:r>
          </w:p>
          <w:p w14:paraId="12654F6A" w14:textId="77777777" w:rsidR="00FE1F15" w:rsidRPr="00AB6F27" w:rsidRDefault="00FE1F15" w:rsidP="007B5E49">
            <w:pPr>
              <w:pStyle w:val="TableText0"/>
              <w:keepNext w:val="0"/>
            </w:pPr>
            <w:r w:rsidRPr="00AB6F27">
              <w:t>388(23):2159-2170.</w:t>
            </w:r>
          </w:p>
        </w:tc>
      </w:tr>
      <w:tr w:rsidR="00FE1F15" w:rsidRPr="00AB6F27" w14:paraId="262D9689" w14:textId="77777777" w:rsidTr="007B5E49">
        <w:tc>
          <w:tcPr>
            <w:tcW w:w="626" w:type="pct"/>
            <w:tcBorders>
              <w:top w:val="nil"/>
              <w:bottom w:val="nil"/>
            </w:tcBorders>
            <w:vAlign w:val="center"/>
          </w:tcPr>
          <w:p w14:paraId="5F93C899" w14:textId="77777777" w:rsidR="00FE1F15" w:rsidRPr="00AB6F27" w:rsidRDefault="00FE1F15" w:rsidP="007B5E49">
            <w:pPr>
              <w:pStyle w:val="TableText0"/>
              <w:keepNext w:val="0"/>
            </w:pPr>
          </w:p>
        </w:tc>
        <w:tc>
          <w:tcPr>
            <w:tcW w:w="3380" w:type="pct"/>
            <w:tcBorders>
              <w:top w:val="nil"/>
              <w:bottom w:val="nil"/>
            </w:tcBorders>
            <w:vAlign w:val="center"/>
          </w:tcPr>
          <w:p w14:paraId="4383805B" w14:textId="77777777" w:rsidR="00FE1F15" w:rsidRPr="00AB6F27" w:rsidRDefault="00FE1F15" w:rsidP="007B5E49">
            <w:pPr>
              <w:pStyle w:val="TableText0"/>
              <w:keepNext w:val="0"/>
              <w:rPr>
                <w:szCs w:val="18"/>
              </w:rPr>
            </w:pPr>
            <w:r w:rsidRPr="00AB6F27">
              <w:rPr>
                <w:szCs w:val="18"/>
              </w:rPr>
              <w:t xml:space="preserve">Eskander, R.N. et al. LBA43 Updated response data and analysis of progression free survival by mechanism of mismatch repair loss in endometrial cancer (EC) patients (pts) treated with pembrolizumab plus carboplatin/paclitaxel (PBC) as compared to PBC plus placebo (PBO) in the NRG GY018 trial. </w:t>
            </w:r>
          </w:p>
        </w:tc>
        <w:tc>
          <w:tcPr>
            <w:tcW w:w="994" w:type="pct"/>
            <w:tcBorders>
              <w:top w:val="nil"/>
              <w:bottom w:val="nil"/>
            </w:tcBorders>
            <w:vAlign w:val="center"/>
          </w:tcPr>
          <w:p w14:paraId="26DFF6AE" w14:textId="77777777" w:rsidR="00FE1F15" w:rsidRPr="00AB6F27" w:rsidRDefault="00FE1F15" w:rsidP="007B5E49">
            <w:pPr>
              <w:pStyle w:val="TableText0"/>
              <w:keepNext w:val="0"/>
            </w:pPr>
            <w:r w:rsidRPr="00AB6F27">
              <w:t>Conference abstract</w:t>
            </w:r>
          </w:p>
          <w:p w14:paraId="79073FF5" w14:textId="77777777" w:rsidR="00FE1F15" w:rsidRPr="00AB6F27" w:rsidRDefault="00FE1F15" w:rsidP="007B5E49">
            <w:pPr>
              <w:pStyle w:val="TableText0"/>
              <w:keepNext w:val="0"/>
            </w:pPr>
            <w:r w:rsidRPr="00AB6F27">
              <w:rPr>
                <w:szCs w:val="18"/>
              </w:rPr>
              <w:t>Annals of Oncology 2023; S1284</w:t>
            </w:r>
          </w:p>
        </w:tc>
      </w:tr>
      <w:tr w:rsidR="00FE1F15" w:rsidRPr="00AB6F27" w14:paraId="3D354F8F" w14:textId="77777777" w:rsidTr="007B5E49">
        <w:tc>
          <w:tcPr>
            <w:tcW w:w="626" w:type="pct"/>
            <w:tcBorders>
              <w:top w:val="nil"/>
              <w:bottom w:val="single" w:sz="4" w:space="0" w:color="auto"/>
            </w:tcBorders>
            <w:vAlign w:val="center"/>
          </w:tcPr>
          <w:p w14:paraId="3DF4DB6A" w14:textId="77777777" w:rsidR="00FE1F15" w:rsidRPr="00AB6F27" w:rsidRDefault="00FE1F15" w:rsidP="007B5E49">
            <w:pPr>
              <w:pStyle w:val="TableText0"/>
              <w:keepNext w:val="0"/>
            </w:pPr>
          </w:p>
        </w:tc>
        <w:tc>
          <w:tcPr>
            <w:tcW w:w="3380" w:type="pct"/>
            <w:tcBorders>
              <w:top w:val="nil"/>
              <w:bottom w:val="single" w:sz="4" w:space="0" w:color="auto"/>
            </w:tcBorders>
            <w:vAlign w:val="center"/>
          </w:tcPr>
          <w:p w14:paraId="75923C95" w14:textId="77777777" w:rsidR="00FE1F15" w:rsidRPr="00AB6F27" w:rsidRDefault="00FE1F15" w:rsidP="007B5E49">
            <w:pPr>
              <w:pStyle w:val="TableText0"/>
              <w:keepNext w:val="0"/>
              <w:rPr>
                <w:szCs w:val="18"/>
              </w:rPr>
            </w:pPr>
            <w:r w:rsidRPr="00AB6F27">
              <w:rPr>
                <w:szCs w:val="18"/>
              </w:rPr>
              <w:t xml:space="preserve">Eskander, R,N et al. Overall survival and progression-free survival by PD-L1 status among endometrial cancer patients treated with pembrolizumab plus carboplatin/paclitaxel as compared to carboplatin/paclitaxel plus placebo in the NRG GY018 trial </w:t>
            </w:r>
          </w:p>
        </w:tc>
        <w:tc>
          <w:tcPr>
            <w:tcW w:w="994" w:type="pct"/>
            <w:tcBorders>
              <w:top w:val="nil"/>
              <w:bottom w:val="single" w:sz="4" w:space="0" w:color="auto"/>
            </w:tcBorders>
            <w:vAlign w:val="center"/>
          </w:tcPr>
          <w:p w14:paraId="062B207C" w14:textId="77777777" w:rsidR="00FE1F15" w:rsidRPr="00AB6F27" w:rsidRDefault="00FE1F15" w:rsidP="007B5E49">
            <w:pPr>
              <w:pStyle w:val="TableText0"/>
              <w:keepNext w:val="0"/>
            </w:pPr>
            <w:r w:rsidRPr="00AB6F27">
              <w:t>Conference abstract</w:t>
            </w:r>
          </w:p>
          <w:p w14:paraId="3F89EE5E" w14:textId="77777777" w:rsidR="00FE1F15" w:rsidRPr="00AB6F27" w:rsidRDefault="00FE1F15" w:rsidP="007B5E49">
            <w:pPr>
              <w:pStyle w:val="TableText0"/>
              <w:keepNext w:val="0"/>
              <w:rPr>
                <w:szCs w:val="18"/>
              </w:rPr>
            </w:pPr>
            <w:proofErr w:type="spellStart"/>
            <w:r w:rsidRPr="00AB6F27">
              <w:rPr>
                <w:szCs w:val="18"/>
              </w:rPr>
              <w:t>Gynecol</w:t>
            </w:r>
            <w:proofErr w:type="spellEnd"/>
            <w:r w:rsidRPr="00AB6F27">
              <w:rPr>
                <w:szCs w:val="18"/>
              </w:rPr>
              <w:t xml:space="preserve"> Oncol 2023; </w:t>
            </w:r>
          </w:p>
          <w:p w14:paraId="298A6444" w14:textId="77777777" w:rsidR="00FE1F15" w:rsidRPr="00AB6F27" w:rsidRDefault="00FE1F15" w:rsidP="007B5E49">
            <w:pPr>
              <w:pStyle w:val="TableText0"/>
              <w:keepNext w:val="0"/>
            </w:pPr>
            <w:r w:rsidRPr="00AB6F27">
              <w:rPr>
                <w:szCs w:val="18"/>
              </w:rPr>
              <w:t>190 (1); S5</w:t>
            </w:r>
          </w:p>
        </w:tc>
      </w:tr>
      <w:tr w:rsidR="00FE1F15" w:rsidRPr="00AB6F27" w14:paraId="36C84A67" w14:textId="77777777" w:rsidTr="007B5E49">
        <w:tc>
          <w:tcPr>
            <w:tcW w:w="626" w:type="pct"/>
            <w:tcBorders>
              <w:bottom w:val="nil"/>
            </w:tcBorders>
            <w:shd w:val="clear" w:color="auto" w:fill="C6D9F1" w:themeFill="text2" w:themeFillTint="33"/>
            <w:vAlign w:val="center"/>
          </w:tcPr>
          <w:p w14:paraId="4139E609" w14:textId="77777777" w:rsidR="00FE1F15" w:rsidRPr="00AB6F27" w:rsidRDefault="00FE1F15" w:rsidP="007B5E49">
            <w:pPr>
              <w:pStyle w:val="TableText0"/>
              <w:keepNext w:val="0"/>
            </w:pPr>
            <w:r w:rsidRPr="00AB6F27">
              <w:t>RUBY-1</w:t>
            </w:r>
          </w:p>
        </w:tc>
        <w:tc>
          <w:tcPr>
            <w:tcW w:w="3380" w:type="pct"/>
            <w:tcBorders>
              <w:bottom w:val="nil"/>
            </w:tcBorders>
            <w:vAlign w:val="center"/>
          </w:tcPr>
          <w:p w14:paraId="653AACE0" w14:textId="77777777" w:rsidR="00FE1F15" w:rsidRPr="00AB6F27" w:rsidRDefault="00FE1F15" w:rsidP="007B5E49">
            <w:pPr>
              <w:pStyle w:val="TableText0"/>
              <w:keepNext w:val="0"/>
            </w:pPr>
            <w:r w:rsidRPr="00AB6F27">
              <w:t xml:space="preserve">JEMPERLI (dostarlimab) in combination with carboplatin and paclitaxel, the treatment of adult patients with primary advanced or recurrent endometrial cancer (EC) and who are candidates for systemic therapy </w:t>
            </w:r>
          </w:p>
        </w:tc>
        <w:tc>
          <w:tcPr>
            <w:tcW w:w="994" w:type="pct"/>
            <w:tcBorders>
              <w:bottom w:val="nil"/>
            </w:tcBorders>
            <w:vAlign w:val="center"/>
          </w:tcPr>
          <w:p w14:paraId="170703C4" w14:textId="77777777" w:rsidR="00FE1F15" w:rsidRPr="00AB6F27" w:rsidRDefault="00FE1F15" w:rsidP="007B5E49">
            <w:pPr>
              <w:pStyle w:val="TableText0"/>
              <w:keepNext w:val="0"/>
            </w:pPr>
            <w:r w:rsidRPr="00AB6F27">
              <w:t>European Public Assessment Report</w:t>
            </w:r>
          </w:p>
          <w:p w14:paraId="03282962" w14:textId="77777777" w:rsidR="00FE1F15" w:rsidRPr="00AB6F27" w:rsidRDefault="00FE1F15" w:rsidP="007B5E49">
            <w:pPr>
              <w:pStyle w:val="TableText0"/>
              <w:keepNext w:val="0"/>
            </w:pPr>
            <w:r w:rsidRPr="00AB6F27">
              <w:t>12 December 2024</w:t>
            </w:r>
          </w:p>
        </w:tc>
      </w:tr>
      <w:tr w:rsidR="00FE1F15" w:rsidRPr="00AB6F27" w14:paraId="7433A7DE" w14:textId="77777777" w:rsidTr="008F2520">
        <w:tc>
          <w:tcPr>
            <w:tcW w:w="626" w:type="pct"/>
            <w:tcBorders>
              <w:top w:val="nil"/>
              <w:bottom w:val="nil"/>
            </w:tcBorders>
            <w:shd w:val="clear" w:color="auto" w:fill="C6D9F1" w:themeFill="text2" w:themeFillTint="33"/>
            <w:vAlign w:val="center"/>
          </w:tcPr>
          <w:p w14:paraId="3CDB14EE" w14:textId="77777777" w:rsidR="00FE1F15" w:rsidRPr="00AB6F27" w:rsidRDefault="00FE1F15" w:rsidP="007B5E49">
            <w:pPr>
              <w:pStyle w:val="TableText0"/>
              <w:keepNext w:val="0"/>
            </w:pPr>
          </w:p>
        </w:tc>
        <w:tc>
          <w:tcPr>
            <w:tcW w:w="3380" w:type="pct"/>
            <w:tcBorders>
              <w:top w:val="nil"/>
              <w:bottom w:val="nil"/>
            </w:tcBorders>
            <w:vAlign w:val="center"/>
          </w:tcPr>
          <w:p w14:paraId="3BBED231" w14:textId="77777777" w:rsidR="00FE1F15" w:rsidRPr="00AB6F27" w:rsidRDefault="00FE1F15" w:rsidP="007B5E49">
            <w:pPr>
              <w:pStyle w:val="TableText0"/>
              <w:keepNext w:val="0"/>
              <w:rPr>
                <w:szCs w:val="18"/>
              </w:rPr>
            </w:pPr>
            <w:r w:rsidRPr="00AB6F27">
              <w:rPr>
                <w:szCs w:val="18"/>
              </w:rPr>
              <w:t>JEMPERLI (dostarlimab) in combination with platinum-containing chemotherapy the treatment of adult patients with mismatch repair deficient (dMMR)/ microsatellite instability-high (MSI-H) primary advanced or recurrent endometrial cancer (EC) 12 October 2023</w:t>
            </w:r>
          </w:p>
        </w:tc>
        <w:tc>
          <w:tcPr>
            <w:tcW w:w="994" w:type="pct"/>
            <w:tcBorders>
              <w:top w:val="nil"/>
              <w:bottom w:val="nil"/>
            </w:tcBorders>
            <w:vAlign w:val="center"/>
          </w:tcPr>
          <w:p w14:paraId="22927293" w14:textId="77777777" w:rsidR="00FE1F15" w:rsidRPr="00AB6F27" w:rsidRDefault="00FE1F15" w:rsidP="007B5E49">
            <w:pPr>
              <w:pStyle w:val="TableText0"/>
              <w:keepNext w:val="0"/>
            </w:pPr>
            <w:r w:rsidRPr="00AB6F27">
              <w:t>European Public Assessment Report</w:t>
            </w:r>
          </w:p>
          <w:p w14:paraId="674243E5" w14:textId="77777777" w:rsidR="00FE1F15" w:rsidRPr="00AB6F27" w:rsidRDefault="00FE1F15" w:rsidP="007B5E49">
            <w:pPr>
              <w:pStyle w:val="TableText0"/>
              <w:keepNext w:val="0"/>
            </w:pPr>
            <w:r w:rsidRPr="00AB6F27">
              <w:rPr>
                <w:szCs w:val="18"/>
              </w:rPr>
              <w:t>12 October 2023</w:t>
            </w:r>
          </w:p>
        </w:tc>
      </w:tr>
      <w:tr w:rsidR="00FE1F15" w:rsidRPr="00AB6F27" w14:paraId="7145EC41" w14:textId="77777777" w:rsidTr="007B5E49">
        <w:tc>
          <w:tcPr>
            <w:tcW w:w="626" w:type="pct"/>
            <w:tcBorders>
              <w:top w:val="nil"/>
              <w:bottom w:val="nil"/>
            </w:tcBorders>
            <w:shd w:val="clear" w:color="auto" w:fill="C6D9F1" w:themeFill="text2" w:themeFillTint="33"/>
            <w:vAlign w:val="center"/>
          </w:tcPr>
          <w:p w14:paraId="7CBBDD44" w14:textId="77777777" w:rsidR="00FE1F15" w:rsidRPr="00AB6F27" w:rsidRDefault="00FE1F15" w:rsidP="007B5E49">
            <w:pPr>
              <w:pStyle w:val="TableText0"/>
              <w:keepNext w:val="0"/>
            </w:pPr>
          </w:p>
        </w:tc>
        <w:tc>
          <w:tcPr>
            <w:tcW w:w="3380" w:type="pct"/>
            <w:tcBorders>
              <w:top w:val="nil"/>
              <w:bottom w:val="nil"/>
            </w:tcBorders>
            <w:shd w:val="clear" w:color="auto" w:fill="C6D9F1" w:themeFill="text2" w:themeFillTint="33"/>
            <w:vAlign w:val="center"/>
          </w:tcPr>
          <w:p w14:paraId="4E247004" w14:textId="77777777" w:rsidR="00FE1F15" w:rsidRPr="00AB6F27" w:rsidRDefault="00FE1F15" w:rsidP="007B5E49">
            <w:pPr>
              <w:pStyle w:val="TableText0"/>
              <w:keepNext w:val="0"/>
              <w:rPr>
                <w:szCs w:val="18"/>
              </w:rPr>
            </w:pPr>
            <w:r w:rsidRPr="00AB6F27">
              <w:rPr>
                <w:szCs w:val="18"/>
              </w:rPr>
              <w:t xml:space="preserve">Mirza MR et al. Dostarlimab for Primary Advanced or Recurrent Endometrial Cancer. </w:t>
            </w:r>
          </w:p>
        </w:tc>
        <w:tc>
          <w:tcPr>
            <w:tcW w:w="994" w:type="pct"/>
            <w:tcBorders>
              <w:top w:val="nil"/>
              <w:bottom w:val="nil"/>
            </w:tcBorders>
            <w:shd w:val="clear" w:color="auto" w:fill="C6D9F1" w:themeFill="text2" w:themeFillTint="33"/>
            <w:vAlign w:val="center"/>
          </w:tcPr>
          <w:p w14:paraId="66EA1C19" w14:textId="77777777" w:rsidR="00FE1F15" w:rsidRPr="00AB6F27" w:rsidRDefault="00FE1F15" w:rsidP="007B5E49">
            <w:pPr>
              <w:pStyle w:val="TableText0"/>
              <w:keepNext w:val="0"/>
              <w:rPr>
                <w:szCs w:val="18"/>
              </w:rPr>
            </w:pPr>
            <w:r w:rsidRPr="00AB6F27">
              <w:rPr>
                <w:szCs w:val="18"/>
              </w:rPr>
              <w:t>N Engl J Med 2023;</w:t>
            </w:r>
          </w:p>
          <w:p w14:paraId="3E44D255" w14:textId="77777777" w:rsidR="00FE1F15" w:rsidRPr="00AB6F27" w:rsidRDefault="00FE1F15" w:rsidP="007B5E49">
            <w:pPr>
              <w:pStyle w:val="TableText0"/>
              <w:keepNext w:val="0"/>
              <w:rPr>
                <w:szCs w:val="18"/>
              </w:rPr>
            </w:pPr>
            <w:r w:rsidRPr="00AB6F27">
              <w:rPr>
                <w:szCs w:val="18"/>
              </w:rPr>
              <w:t>388(23):2145-2158.</w:t>
            </w:r>
          </w:p>
        </w:tc>
      </w:tr>
      <w:tr w:rsidR="00FE1F15" w:rsidRPr="00AB6F27" w14:paraId="0EAE1EC3" w14:textId="77777777" w:rsidTr="007B5E49">
        <w:tc>
          <w:tcPr>
            <w:tcW w:w="626" w:type="pct"/>
            <w:tcBorders>
              <w:top w:val="nil"/>
              <w:bottom w:val="nil"/>
            </w:tcBorders>
            <w:shd w:val="clear" w:color="auto" w:fill="C6D9F1" w:themeFill="text2" w:themeFillTint="33"/>
            <w:vAlign w:val="center"/>
          </w:tcPr>
          <w:p w14:paraId="2285709A" w14:textId="77777777" w:rsidR="00FE1F15" w:rsidRPr="00AB6F27" w:rsidRDefault="00FE1F15" w:rsidP="007B5E49">
            <w:pPr>
              <w:pStyle w:val="TableText0"/>
              <w:keepNext w:val="0"/>
            </w:pPr>
          </w:p>
        </w:tc>
        <w:tc>
          <w:tcPr>
            <w:tcW w:w="3380" w:type="pct"/>
            <w:tcBorders>
              <w:top w:val="nil"/>
              <w:bottom w:val="nil"/>
            </w:tcBorders>
            <w:vAlign w:val="center"/>
          </w:tcPr>
          <w:p w14:paraId="743D8880" w14:textId="77777777" w:rsidR="00FE1F15" w:rsidRPr="00AB6F27" w:rsidRDefault="00FE1F15" w:rsidP="007B5E49">
            <w:pPr>
              <w:pStyle w:val="TableText0"/>
              <w:keepNext w:val="0"/>
              <w:rPr>
                <w:szCs w:val="18"/>
              </w:rPr>
            </w:pPr>
            <w:r w:rsidRPr="00AB6F27">
              <w:rPr>
                <w:szCs w:val="18"/>
              </w:rPr>
              <w:t xml:space="preserve">Powell MA et al. Efficacy and safety of dostarlimab in combination with chemotherapy in patients with dMMR/MSI-H primary advanced or recurrent endometrial cancer in a phase 3, randomized, placebo-controlled trial (ENGOT-EN6-NSGO/GOG-3031/RUBY). </w:t>
            </w:r>
          </w:p>
        </w:tc>
        <w:tc>
          <w:tcPr>
            <w:tcW w:w="994" w:type="pct"/>
            <w:tcBorders>
              <w:top w:val="nil"/>
              <w:bottom w:val="nil"/>
            </w:tcBorders>
            <w:vAlign w:val="center"/>
          </w:tcPr>
          <w:p w14:paraId="77AA9E6B" w14:textId="77777777" w:rsidR="00FE1F15" w:rsidRPr="00AB6F27" w:rsidRDefault="00FE1F15" w:rsidP="007B5E49">
            <w:pPr>
              <w:pStyle w:val="TableText0"/>
              <w:keepNext w:val="0"/>
              <w:rPr>
                <w:szCs w:val="18"/>
              </w:rPr>
            </w:pPr>
            <w:proofErr w:type="spellStart"/>
            <w:r w:rsidRPr="00AB6F27">
              <w:rPr>
                <w:szCs w:val="18"/>
              </w:rPr>
              <w:t>Gynecol</w:t>
            </w:r>
            <w:proofErr w:type="spellEnd"/>
            <w:r w:rsidRPr="00AB6F27">
              <w:rPr>
                <w:szCs w:val="18"/>
              </w:rPr>
              <w:t xml:space="preserve"> Oncol. 2024;</w:t>
            </w:r>
          </w:p>
          <w:p w14:paraId="678C5BE4" w14:textId="77777777" w:rsidR="00FE1F15" w:rsidRPr="00AB6F27" w:rsidRDefault="00FE1F15" w:rsidP="007B5E49">
            <w:pPr>
              <w:pStyle w:val="TableText0"/>
              <w:keepNext w:val="0"/>
            </w:pPr>
            <w:r w:rsidRPr="00AB6F27">
              <w:rPr>
                <w:szCs w:val="18"/>
              </w:rPr>
              <w:t>192:40-49.</w:t>
            </w:r>
          </w:p>
        </w:tc>
      </w:tr>
      <w:tr w:rsidR="00FE1F15" w:rsidRPr="00AB6F27" w14:paraId="6F4E6C77" w14:textId="77777777" w:rsidTr="007B5E49">
        <w:tc>
          <w:tcPr>
            <w:tcW w:w="626" w:type="pct"/>
            <w:tcBorders>
              <w:top w:val="nil"/>
              <w:bottom w:val="nil"/>
            </w:tcBorders>
            <w:shd w:val="clear" w:color="auto" w:fill="C6D9F1" w:themeFill="text2" w:themeFillTint="33"/>
            <w:vAlign w:val="center"/>
          </w:tcPr>
          <w:p w14:paraId="48DEC5A7" w14:textId="77777777" w:rsidR="00FE1F15" w:rsidRPr="00AB6F27" w:rsidRDefault="00FE1F15" w:rsidP="007B5E49">
            <w:pPr>
              <w:pStyle w:val="TableText0"/>
              <w:keepNext w:val="0"/>
            </w:pPr>
          </w:p>
        </w:tc>
        <w:tc>
          <w:tcPr>
            <w:tcW w:w="3380" w:type="pct"/>
            <w:tcBorders>
              <w:top w:val="nil"/>
              <w:bottom w:val="nil"/>
            </w:tcBorders>
            <w:vAlign w:val="center"/>
          </w:tcPr>
          <w:p w14:paraId="255174F5" w14:textId="77777777" w:rsidR="00FE1F15" w:rsidRPr="00AB6F27" w:rsidRDefault="00FE1F15" w:rsidP="007B5E49">
            <w:pPr>
              <w:pStyle w:val="TableText0"/>
              <w:keepNext w:val="0"/>
              <w:rPr>
                <w:szCs w:val="18"/>
              </w:rPr>
            </w:pPr>
            <w:r w:rsidRPr="00AB6F27">
              <w:rPr>
                <w:szCs w:val="18"/>
              </w:rPr>
              <w:t>Powell et al. MA Dostarlimab plus chemotherapy in primary advanced or recurrent endometrial cancer (</w:t>
            </w:r>
            <w:proofErr w:type="spellStart"/>
            <w:r w:rsidRPr="00AB6F27">
              <w:rPr>
                <w:szCs w:val="18"/>
              </w:rPr>
              <w:t>pA</w:t>
            </w:r>
            <w:proofErr w:type="spellEnd"/>
            <w:r w:rsidRPr="00AB6F27">
              <w:rPr>
                <w:szCs w:val="18"/>
              </w:rPr>
              <w:t>/</w:t>
            </w:r>
            <w:proofErr w:type="spellStart"/>
            <w:r w:rsidRPr="00AB6F27">
              <w:rPr>
                <w:szCs w:val="18"/>
              </w:rPr>
              <w:t>rEC</w:t>
            </w:r>
            <w:proofErr w:type="spellEnd"/>
            <w:r w:rsidRPr="00AB6F27">
              <w:rPr>
                <w:szCs w:val="18"/>
              </w:rPr>
              <w:t xml:space="preserve">) in the RUBY trial: Overall survival (OS) by MMR status and molecular subgroups </w:t>
            </w:r>
          </w:p>
        </w:tc>
        <w:tc>
          <w:tcPr>
            <w:tcW w:w="994" w:type="pct"/>
            <w:tcBorders>
              <w:top w:val="nil"/>
              <w:bottom w:val="nil"/>
            </w:tcBorders>
            <w:vAlign w:val="center"/>
          </w:tcPr>
          <w:p w14:paraId="410093F3" w14:textId="77777777" w:rsidR="00FE1F15" w:rsidRPr="00AB6F27" w:rsidRDefault="00FE1F15" w:rsidP="007B5E49">
            <w:pPr>
              <w:pStyle w:val="TableText0"/>
              <w:keepNext w:val="0"/>
            </w:pPr>
            <w:r w:rsidRPr="00AB6F27">
              <w:t>Conference abstract</w:t>
            </w:r>
          </w:p>
          <w:p w14:paraId="4E38ACEA" w14:textId="77777777" w:rsidR="00FE1F15" w:rsidRPr="00AB6F27" w:rsidRDefault="00FE1F15" w:rsidP="007B5E49">
            <w:pPr>
              <w:pStyle w:val="TableText0"/>
              <w:keepNext w:val="0"/>
            </w:pPr>
            <w:r w:rsidRPr="00AB6F27">
              <w:rPr>
                <w:szCs w:val="18"/>
              </w:rPr>
              <w:t xml:space="preserve">Annals of Oncology 2024; (5), 103557 </w:t>
            </w:r>
          </w:p>
        </w:tc>
      </w:tr>
      <w:tr w:rsidR="00FE1F15" w:rsidRPr="00AB6F27" w14:paraId="36387216" w14:textId="77777777" w:rsidTr="007B5E49">
        <w:tc>
          <w:tcPr>
            <w:tcW w:w="626" w:type="pct"/>
            <w:tcBorders>
              <w:top w:val="nil"/>
              <w:bottom w:val="nil"/>
            </w:tcBorders>
            <w:shd w:val="clear" w:color="auto" w:fill="C6D9F1" w:themeFill="text2" w:themeFillTint="33"/>
            <w:vAlign w:val="center"/>
          </w:tcPr>
          <w:p w14:paraId="2EA3FACE" w14:textId="77777777" w:rsidR="00FE1F15" w:rsidRPr="00AB6F27" w:rsidRDefault="00FE1F15" w:rsidP="007B5E49">
            <w:pPr>
              <w:pStyle w:val="TableText0"/>
              <w:keepNext w:val="0"/>
            </w:pPr>
          </w:p>
        </w:tc>
        <w:tc>
          <w:tcPr>
            <w:tcW w:w="3380" w:type="pct"/>
            <w:tcBorders>
              <w:top w:val="nil"/>
              <w:bottom w:val="nil"/>
            </w:tcBorders>
            <w:vAlign w:val="center"/>
          </w:tcPr>
          <w:p w14:paraId="63D98820" w14:textId="77777777" w:rsidR="00FE1F15" w:rsidRPr="00AB6F27" w:rsidRDefault="00FE1F15" w:rsidP="007B5E49">
            <w:pPr>
              <w:pStyle w:val="TableText0"/>
              <w:keepNext w:val="0"/>
              <w:rPr>
                <w:szCs w:val="18"/>
              </w:rPr>
            </w:pPr>
            <w:r w:rsidRPr="00AB6F27">
              <w:rPr>
                <w:szCs w:val="18"/>
              </w:rPr>
              <w:t xml:space="preserve">Mirza et al., Post hoc analysis of progression-free survival (PFS) and overall survival (OS) by mechanism of mismatch repair (MMR) protein loss in patients with endometrial cancer (EC) treated with dostarlimab plus chemotherapy in the RUBY trial. </w:t>
            </w:r>
          </w:p>
        </w:tc>
        <w:tc>
          <w:tcPr>
            <w:tcW w:w="994" w:type="pct"/>
            <w:tcBorders>
              <w:top w:val="nil"/>
              <w:bottom w:val="nil"/>
            </w:tcBorders>
            <w:vAlign w:val="center"/>
          </w:tcPr>
          <w:p w14:paraId="2B4824EB" w14:textId="77777777" w:rsidR="00FE1F15" w:rsidRPr="00AB6F27" w:rsidRDefault="00FE1F15" w:rsidP="007B5E49">
            <w:pPr>
              <w:pStyle w:val="TableText0"/>
              <w:keepNext w:val="0"/>
            </w:pPr>
            <w:r w:rsidRPr="00AB6F27">
              <w:t>Conference abstract</w:t>
            </w:r>
          </w:p>
          <w:p w14:paraId="09BD176D" w14:textId="77777777" w:rsidR="00FE1F15" w:rsidRPr="00AB6F27" w:rsidRDefault="00FE1F15" w:rsidP="007B5E49">
            <w:pPr>
              <w:pStyle w:val="TableText0"/>
              <w:keepNext w:val="0"/>
            </w:pPr>
            <w:r w:rsidRPr="00AB6F27">
              <w:rPr>
                <w:szCs w:val="18"/>
              </w:rPr>
              <w:t>J Clin Oncol 2024; 42(16), 5606</w:t>
            </w:r>
          </w:p>
        </w:tc>
      </w:tr>
      <w:tr w:rsidR="00FE1F15" w:rsidRPr="00AB6F27" w14:paraId="33AB6E1A" w14:textId="77777777" w:rsidTr="003024A4">
        <w:tc>
          <w:tcPr>
            <w:tcW w:w="626" w:type="pct"/>
            <w:tcBorders>
              <w:bottom w:val="nil"/>
            </w:tcBorders>
            <w:vAlign w:val="center"/>
          </w:tcPr>
          <w:p w14:paraId="2E7D8664" w14:textId="77777777" w:rsidR="00FE1F15" w:rsidRPr="00AB6F27" w:rsidRDefault="00FE1F15" w:rsidP="007B5E49">
            <w:pPr>
              <w:pStyle w:val="TableText0"/>
              <w:keepNext w:val="0"/>
            </w:pPr>
            <w:r w:rsidRPr="00AB6F27">
              <w:t>DUO-E</w:t>
            </w:r>
          </w:p>
        </w:tc>
        <w:tc>
          <w:tcPr>
            <w:tcW w:w="3380" w:type="pct"/>
            <w:tcBorders>
              <w:bottom w:val="nil"/>
            </w:tcBorders>
            <w:vAlign w:val="center"/>
          </w:tcPr>
          <w:p w14:paraId="20998059" w14:textId="77777777" w:rsidR="00FE1F15" w:rsidRPr="00AB6F27" w:rsidRDefault="00FE1F15" w:rsidP="007B5E49">
            <w:pPr>
              <w:pStyle w:val="TableText0"/>
              <w:keepNext w:val="0"/>
              <w:rPr>
                <w:szCs w:val="18"/>
              </w:rPr>
            </w:pPr>
            <w:r w:rsidRPr="00AB6F27">
              <w:rPr>
                <w:szCs w:val="18"/>
              </w:rPr>
              <w:t xml:space="preserve">IMFINZI (durvalumab) in combination with LYNPARZA for the maintenance treatment of adult patients with newly diagnosed advanced or recurrent endometrial cancer following treatment with Imfinzi and platinum based chemotherapy, based on results from pivotal Phase III study, (DUO-E). </w:t>
            </w:r>
          </w:p>
        </w:tc>
        <w:tc>
          <w:tcPr>
            <w:tcW w:w="994" w:type="pct"/>
            <w:tcBorders>
              <w:bottom w:val="nil"/>
            </w:tcBorders>
            <w:vAlign w:val="center"/>
          </w:tcPr>
          <w:p w14:paraId="3BDD9DE4" w14:textId="77777777" w:rsidR="00FE1F15" w:rsidRPr="00AB6F27" w:rsidRDefault="00FE1F15" w:rsidP="007B5E49">
            <w:pPr>
              <w:pStyle w:val="TableText0"/>
              <w:keepNext w:val="0"/>
            </w:pPr>
            <w:r w:rsidRPr="00AB6F27">
              <w:t>European Public Assessment Report</w:t>
            </w:r>
          </w:p>
          <w:p w14:paraId="3FFEF936" w14:textId="77777777" w:rsidR="00FE1F15" w:rsidRPr="00AB6F27" w:rsidRDefault="00FE1F15" w:rsidP="007B5E49">
            <w:pPr>
              <w:pStyle w:val="TableText0"/>
              <w:keepNext w:val="0"/>
            </w:pPr>
            <w:r w:rsidRPr="00AB6F27">
              <w:t>27 June 2024</w:t>
            </w:r>
          </w:p>
        </w:tc>
      </w:tr>
      <w:tr w:rsidR="00FE1F15" w:rsidRPr="00AB6F27" w14:paraId="438C63DA" w14:textId="77777777" w:rsidTr="003024A4">
        <w:tc>
          <w:tcPr>
            <w:tcW w:w="626" w:type="pct"/>
            <w:tcBorders>
              <w:top w:val="nil"/>
              <w:bottom w:val="nil"/>
            </w:tcBorders>
            <w:vAlign w:val="center"/>
          </w:tcPr>
          <w:p w14:paraId="52AB9AFC" w14:textId="77777777" w:rsidR="00FE1F15" w:rsidRPr="00AB6F27" w:rsidRDefault="00FE1F15" w:rsidP="007B5E49">
            <w:pPr>
              <w:pStyle w:val="TableText0"/>
              <w:keepNext w:val="0"/>
            </w:pPr>
          </w:p>
        </w:tc>
        <w:tc>
          <w:tcPr>
            <w:tcW w:w="3380" w:type="pct"/>
            <w:tcBorders>
              <w:top w:val="nil"/>
              <w:bottom w:val="nil"/>
            </w:tcBorders>
            <w:vAlign w:val="center"/>
          </w:tcPr>
          <w:p w14:paraId="1C659096" w14:textId="77777777" w:rsidR="00FE1F15" w:rsidRPr="00AB6F27" w:rsidRDefault="00FE1F15" w:rsidP="007B5E49">
            <w:pPr>
              <w:pStyle w:val="TableText0"/>
              <w:keepNext w:val="0"/>
              <w:rPr>
                <w:szCs w:val="18"/>
              </w:rPr>
            </w:pPr>
            <w:r w:rsidRPr="00AB6F27">
              <w:rPr>
                <w:szCs w:val="18"/>
              </w:rPr>
              <w:t xml:space="preserve">Westin SN et al. Durvalumab Plus Carboplatin/Paclitaxel Followed by Maintenance Durvalumab With or Without Olaparib as First-Line Treatment for Advanced Endometrial Cancer: The Phase III DUO-E Trial. </w:t>
            </w:r>
          </w:p>
        </w:tc>
        <w:tc>
          <w:tcPr>
            <w:tcW w:w="994" w:type="pct"/>
            <w:tcBorders>
              <w:top w:val="nil"/>
              <w:bottom w:val="nil"/>
            </w:tcBorders>
            <w:vAlign w:val="center"/>
          </w:tcPr>
          <w:p w14:paraId="7F689890" w14:textId="77777777" w:rsidR="00FE1F15" w:rsidRPr="00AB6F27" w:rsidRDefault="00FE1F15" w:rsidP="007B5E49">
            <w:pPr>
              <w:pStyle w:val="TableText0"/>
              <w:keepNext w:val="0"/>
            </w:pPr>
            <w:r w:rsidRPr="00AB6F27">
              <w:t>J Clin Oncol 2024;</w:t>
            </w:r>
          </w:p>
          <w:p w14:paraId="6AB1D6DA" w14:textId="77777777" w:rsidR="00FE1F15" w:rsidRPr="00AB6F27" w:rsidRDefault="00FE1F15" w:rsidP="007B5E49">
            <w:pPr>
              <w:pStyle w:val="TableText0"/>
              <w:keepNext w:val="0"/>
            </w:pPr>
            <w:r w:rsidRPr="00AB6F27">
              <w:t>42(3):283-299.</w:t>
            </w:r>
          </w:p>
        </w:tc>
      </w:tr>
      <w:tr w:rsidR="00FE1F15" w:rsidRPr="00AB6F27" w14:paraId="0DCB8340" w14:textId="77777777" w:rsidTr="003024A4">
        <w:tc>
          <w:tcPr>
            <w:tcW w:w="626" w:type="pct"/>
            <w:tcBorders>
              <w:top w:val="nil"/>
              <w:bottom w:val="single" w:sz="4" w:space="0" w:color="auto"/>
            </w:tcBorders>
            <w:vAlign w:val="center"/>
          </w:tcPr>
          <w:p w14:paraId="7BDF894B" w14:textId="77777777" w:rsidR="00FE1F15" w:rsidRPr="00AB6F27" w:rsidRDefault="00FE1F15" w:rsidP="007B5E49">
            <w:pPr>
              <w:pStyle w:val="TableText0"/>
              <w:keepNext w:val="0"/>
            </w:pPr>
          </w:p>
        </w:tc>
        <w:tc>
          <w:tcPr>
            <w:tcW w:w="3380" w:type="pct"/>
            <w:tcBorders>
              <w:top w:val="nil"/>
              <w:bottom w:val="single" w:sz="4" w:space="0" w:color="auto"/>
            </w:tcBorders>
            <w:vAlign w:val="center"/>
          </w:tcPr>
          <w:p w14:paraId="49A3000D" w14:textId="77777777" w:rsidR="00FE1F15" w:rsidRPr="00AB6F27" w:rsidRDefault="00FE1F15" w:rsidP="007B5E49">
            <w:pPr>
              <w:pStyle w:val="TableText0"/>
              <w:keepNext w:val="0"/>
              <w:rPr>
                <w:szCs w:val="18"/>
              </w:rPr>
            </w:pPr>
            <w:proofErr w:type="spellStart"/>
            <w:r w:rsidRPr="00AB6F27">
              <w:rPr>
                <w:szCs w:val="18"/>
              </w:rPr>
              <w:t>Baurain</w:t>
            </w:r>
            <w:proofErr w:type="spellEnd"/>
            <w:r w:rsidRPr="00AB6F27">
              <w:rPr>
                <w:szCs w:val="18"/>
              </w:rPr>
              <w:t xml:space="preserve">, JF et al. Durvalumab plus carboplatin/paclitaxel followed by durvalumab with or without olaparib as a first line treatment for endometrial cancer: Overall survival and additional secondary efficacy endpoints by mismatch repair status in the DUO-E/GOG-3041/ENGOT-EN10 Trial </w:t>
            </w:r>
          </w:p>
        </w:tc>
        <w:tc>
          <w:tcPr>
            <w:tcW w:w="994" w:type="pct"/>
            <w:tcBorders>
              <w:top w:val="nil"/>
              <w:bottom w:val="single" w:sz="4" w:space="0" w:color="auto"/>
            </w:tcBorders>
            <w:vAlign w:val="center"/>
          </w:tcPr>
          <w:p w14:paraId="0D45CBAA" w14:textId="77777777" w:rsidR="00FE1F15" w:rsidRPr="00AB6F27" w:rsidRDefault="00FE1F15" w:rsidP="007B5E49">
            <w:pPr>
              <w:pStyle w:val="TableText0"/>
              <w:keepNext w:val="0"/>
            </w:pPr>
            <w:r w:rsidRPr="00AB6F27">
              <w:t>Conference abstract</w:t>
            </w:r>
          </w:p>
          <w:p w14:paraId="49A30389" w14:textId="77777777" w:rsidR="00FE1F15" w:rsidRPr="00AB6F27" w:rsidRDefault="00FE1F15" w:rsidP="007B5E49">
            <w:pPr>
              <w:pStyle w:val="TableText0"/>
              <w:keepNext w:val="0"/>
            </w:pPr>
            <w:proofErr w:type="spellStart"/>
            <w:r w:rsidRPr="00AB6F27">
              <w:t>Gynecol</w:t>
            </w:r>
            <w:proofErr w:type="spellEnd"/>
            <w:r w:rsidRPr="00AB6F27">
              <w:t xml:space="preserve"> Oncol 2024; (62-63) 20 </w:t>
            </w:r>
          </w:p>
        </w:tc>
      </w:tr>
    </w:tbl>
    <w:p w14:paraId="5376F7FB" w14:textId="77777777" w:rsidR="00FE1F15" w:rsidRPr="00AB6F27" w:rsidRDefault="00FE1F15" w:rsidP="00FE1F15">
      <w:pPr>
        <w:pStyle w:val="FooterTableFigure"/>
      </w:pPr>
      <w:r w:rsidRPr="00AB6F27">
        <w:lastRenderedPageBreak/>
        <w:t>Source: Tables 2.2-1, 2.2-2 and 2.2-3 of the submission.</w:t>
      </w:r>
    </w:p>
    <w:p w14:paraId="161427D6" w14:textId="77777777" w:rsidR="00FE1F15" w:rsidRPr="00AB6F27" w:rsidRDefault="00FE1F15" w:rsidP="00FE1F15">
      <w:pPr>
        <w:pStyle w:val="FooterTableFigure"/>
        <w:rPr>
          <w:sz w:val="20"/>
        </w:rPr>
      </w:pPr>
      <w:r w:rsidRPr="00AB6F27">
        <w:t>Blue shaded cells indicate information previously considered by the PBAC.</w:t>
      </w:r>
    </w:p>
    <w:p w14:paraId="1E48F371" w14:textId="61BBC5E9" w:rsidR="00FE1F15" w:rsidRPr="00AB6F27" w:rsidRDefault="00FE1F15" w:rsidP="00FE1F15">
      <w:pPr>
        <w:pStyle w:val="3-BodyText"/>
        <w:rPr>
          <w:color w:val="0066FF"/>
        </w:rPr>
      </w:pPr>
      <w:r w:rsidRPr="00AB6F27">
        <w:t xml:space="preserve">The key features of the included randomised trials are summarised in </w:t>
      </w:r>
      <w:r w:rsidRPr="00AB6F27">
        <w:fldChar w:fldCharType="begin"/>
      </w:r>
      <w:r w:rsidRPr="00AB6F27">
        <w:instrText xml:space="preserve"> REF _Ref104804098 \h  \* MERGEFORMAT </w:instrText>
      </w:r>
      <w:r w:rsidRPr="00AB6F27">
        <w:fldChar w:fldCharType="separate"/>
      </w:r>
      <w:r w:rsidR="003359D3" w:rsidRPr="003359D3">
        <w:t>Table 3</w:t>
      </w:r>
      <w:r w:rsidRPr="00AB6F27">
        <w:fldChar w:fldCharType="end"/>
      </w:r>
      <w:r w:rsidRPr="00AB6F27">
        <w:t xml:space="preserve">. </w:t>
      </w:r>
      <w:r w:rsidR="008608AC" w:rsidRPr="00AB6F27">
        <w:t xml:space="preserve">The </w:t>
      </w:r>
      <w:r w:rsidR="00E938DC" w:rsidRPr="00AB6F27">
        <w:t>duration of treatment in the randomised trials is shown in</w:t>
      </w:r>
      <w:r w:rsidR="00466189" w:rsidRPr="00AB6F27">
        <w:t xml:space="preserve"> </w:t>
      </w:r>
      <w:r w:rsidR="00466189" w:rsidRPr="00AB6F27">
        <w:fldChar w:fldCharType="begin"/>
      </w:r>
      <w:r w:rsidR="00466189" w:rsidRPr="00AB6F27">
        <w:instrText xml:space="preserve"> REF _Ref196734500 \h </w:instrText>
      </w:r>
      <w:r w:rsidR="00AB6F27" w:rsidRPr="00AB6F27">
        <w:instrText xml:space="preserve"> \* MERGEFORMAT </w:instrText>
      </w:r>
      <w:r w:rsidR="00466189" w:rsidRPr="00AB6F27">
        <w:fldChar w:fldCharType="separate"/>
      </w:r>
      <w:r w:rsidR="003359D3" w:rsidRPr="00AB6F27">
        <w:t xml:space="preserve">Table </w:t>
      </w:r>
      <w:r w:rsidR="003359D3">
        <w:rPr>
          <w:noProof/>
        </w:rPr>
        <w:t>4</w:t>
      </w:r>
      <w:r w:rsidR="00466189" w:rsidRPr="00AB6F27">
        <w:fldChar w:fldCharType="end"/>
      </w:r>
      <w:r w:rsidR="00466189" w:rsidRPr="00AB6F27">
        <w:t xml:space="preserve">. </w:t>
      </w:r>
    </w:p>
    <w:p w14:paraId="6FB00074" w14:textId="73B23F95" w:rsidR="00FE1F15" w:rsidRPr="00AB6F27" w:rsidRDefault="00FE1F15" w:rsidP="00C2506A">
      <w:pPr>
        <w:pStyle w:val="Caption"/>
        <w:rPr>
          <w:rFonts w:eastAsiaTheme="majorEastAsia" w:cstheme="majorBidi"/>
          <w:szCs w:val="24"/>
        </w:rPr>
      </w:pPr>
      <w:bookmarkStart w:id="24" w:name="_Ref104804098"/>
      <w:r w:rsidRPr="00AB6F27">
        <w:rPr>
          <w:rStyle w:val="CommentReference"/>
          <w:rFonts w:eastAsiaTheme="majorEastAsia" w:cstheme="majorBidi"/>
          <w:b/>
          <w:szCs w:val="24"/>
        </w:rPr>
        <w:t xml:space="preserve">Table </w:t>
      </w:r>
      <w:r w:rsidRPr="00AB6F27">
        <w:rPr>
          <w:rStyle w:val="CommentReference"/>
          <w:rFonts w:eastAsiaTheme="majorEastAsia" w:cstheme="majorBidi"/>
          <w:b/>
          <w:szCs w:val="24"/>
        </w:rPr>
        <w:fldChar w:fldCharType="begin"/>
      </w:r>
      <w:r w:rsidRPr="00AB6F27">
        <w:rPr>
          <w:rStyle w:val="CommentReference"/>
          <w:rFonts w:eastAsiaTheme="majorEastAsia" w:cstheme="majorBidi"/>
          <w:b/>
          <w:szCs w:val="24"/>
        </w:rPr>
        <w:instrText xml:space="preserve"> SEQ Table \* ARABIC </w:instrText>
      </w:r>
      <w:r w:rsidRPr="00AB6F27">
        <w:rPr>
          <w:rStyle w:val="CommentReference"/>
          <w:rFonts w:eastAsiaTheme="majorEastAsia" w:cstheme="majorBidi"/>
          <w:b/>
          <w:szCs w:val="24"/>
        </w:rPr>
        <w:fldChar w:fldCharType="separate"/>
      </w:r>
      <w:r w:rsidR="003359D3">
        <w:rPr>
          <w:rStyle w:val="CommentReference"/>
          <w:rFonts w:eastAsiaTheme="majorEastAsia" w:cstheme="majorBidi"/>
          <w:b/>
          <w:noProof/>
          <w:szCs w:val="24"/>
        </w:rPr>
        <w:t>3</w:t>
      </w:r>
      <w:r w:rsidRPr="00AB6F27">
        <w:rPr>
          <w:rStyle w:val="CommentReference"/>
          <w:rFonts w:eastAsiaTheme="majorEastAsia" w:cstheme="majorBidi"/>
          <w:b/>
          <w:szCs w:val="24"/>
        </w:rPr>
        <w:fldChar w:fldCharType="end"/>
      </w:r>
      <w:bookmarkEnd w:id="24"/>
      <w:r w:rsidRPr="00AB6F27">
        <w:rPr>
          <w:rStyle w:val="CommentReference"/>
          <w:rFonts w:eastAsiaTheme="majorEastAsia" w:cstheme="majorBidi"/>
          <w:b/>
          <w:szCs w:val="24"/>
        </w:rPr>
        <w:t>: Key features of the included evidence</w:t>
      </w:r>
    </w:p>
    <w:tbl>
      <w:tblPr>
        <w:tblStyle w:val="TableGrid"/>
        <w:tblW w:w="5000" w:type="pct"/>
        <w:tblLayout w:type="fixed"/>
        <w:tblLook w:val="04A0" w:firstRow="1" w:lastRow="0" w:firstColumn="1" w:lastColumn="0" w:noHBand="0" w:noVBand="1"/>
        <w:tblCaption w:val="Table 3: Key features of the included evidence"/>
      </w:tblPr>
      <w:tblGrid>
        <w:gridCol w:w="1059"/>
        <w:gridCol w:w="1064"/>
        <w:gridCol w:w="2393"/>
        <w:gridCol w:w="1464"/>
        <w:gridCol w:w="1064"/>
        <w:gridCol w:w="1060"/>
        <w:gridCol w:w="913"/>
      </w:tblGrid>
      <w:tr w:rsidR="00FE1F15" w:rsidRPr="00AB6F27" w14:paraId="40B31855" w14:textId="77777777" w:rsidTr="00CE0448">
        <w:tc>
          <w:tcPr>
            <w:tcW w:w="587" w:type="pct"/>
            <w:vAlign w:val="center"/>
          </w:tcPr>
          <w:p w14:paraId="4E0E4A24" w14:textId="77777777" w:rsidR="00FE1F15" w:rsidRPr="00AB6F27" w:rsidRDefault="00FE1F15" w:rsidP="00C2506A">
            <w:pPr>
              <w:pStyle w:val="FooterTableFigure"/>
              <w:keepNext/>
              <w:keepLines/>
              <w:spacing w:after="0"/>
              <w:jc w:val="center"/>
              <w:rPr>
                <w:sz w:val="20"/>
                <w:szCs w:val="20"/>
              </w:rPr>
            </w:pPr>
            <w:bookmarkStart w:id="25" w:name="_Hlk137112297"/>
            <w:bookmarkStart w:id="26" w:name="_Hlk137111798"/>
            <w:r w:rsidRPr="00AB6F27">
              <w:rPr>
                <w:b/>
                <w:sz w:val="20"/>
                <w:szCs w:val="20"/>
              </w:rPr>
              <w:t>Trial</w:t>
            </w:r>
          </w:p>
        </w:tc>
        <w:tc>
          <w:tcPr>
            <w:tcW w:w="590" w:type="pct"/>
            <w:vAlign w:val="center"/>
          </w:tcPr>
          <w:p w14:paraId="153F256A" w14:textId="77777777" w:rsidR="00FE1F15" w:rsidRPr="00AB6F27" w:rsidRDefault="00FE1F15" w:rsidP="00C2506A">
            <w:pPr>
              <w:pStyle w:val="FooterTableFigure"/>
              <w:keepNext/>
              <w:keepLines/>
              <w:spacing w:after="0"/>
              <w:jc w:val="center"/>
              <w:rPr>
                <w:sz w:val="20"/>
                <w:szCs w:val="20"/>
              </w:rPr>
            </w:pPr>
            <w:r w:rsidRPr="00AB6F27">
              <w:rPr>
                <w:b/>
                <w:sz w:val="20"/>
                <w:szCs w:val="20"/>
              </w:rPr>
              <w:t>N</w:t>
            </w:r>
          </w:p>
        </w:tc>
        <w:tc>
          <w:tcPr>
            <w:tcW w:w="1327" w:type="pct"/>
            <w:vAlign w:val="center"/>
          </w:tcPr>
          <w:p w14:paraId="328B2149" w14:textId="41817A6F" w:rsidR="00FE1F15" w:rsidRPr="00AB6F27" w:rsidRDefault="00FE1F15" w:rsidP="00C2506A">
            <w:pPr>
              <w:pStyle w:val="FooterTableFigure"/>
              <w:keepNext/>
              <w:keepLines/>
              <w:spacing w:after="0"/>
              <w:jc w:val="center"/>
              <w:rPr>
                <w:sz w:val="20"/>
                <w:szCs w:val="20"/>
              </w:rPr>
            </w:pPr>
            <w:r w:rsidRPr="00AB6F27">
              <w:rPr>
                <w:b/>
                <w:sz w:val="20"/>
                <w:szCs w:val="20"/>
              </w:rPr>
              <w:t xml:space="preserve">Design/ median </w:t>
            </w:r>
            <w:r w:rsidR="005F370C" w:rsidRPr="00AB6F27">
              <w:rPr>
                <w:b/>
                <w:sz w:val="20"/>
                <w:szCs w:val="20"/>
              </w:rPr>
              <w:t xml:space="preserve">OS </w:t>
            </w:r>
            <w:r w:rsidRPr="00AB6F27">
              <w:rPr>
                <w:b/>
                <w:sz w:val="20"/>
                <w:szCs w:val="20"/>
              </w:rPr>
              <w:t>follow-up</w:t>
            </w:r>
          </w:p>
        </w:tc>
        <w:tc>
          <w:tcPr>
            <w:tcW w:w="812" w:type="pct"/>
            <w:vAlign w:val="center"/>
          </w:tcPr>
          <w:p w14:paraId="1E88B5D4" w14:textId="77777777" w:rsidR="00FE1F15" w:rsidRPr="00AB6F27" w:rsidRDefault="00FE1F15" w:rsidP="00C2506A">
            <w:pPr>
              <w:pStyle w:val="FooterTableFigure"/>
              <w:keepNext/>
              <w:keepLines/>
              <w:spacing w:after="0"/>
              <w:jc w:val="center"/>
              <w:rPr>
                <w:sz w:val="20"/>
                <w:szCs w:val="20"/>
              </w:rPr>
            </w:pPr>
            <w:r w:rsidRPr="00AB6F27">
              <w:rPr>
                <w:b/>
                <w:sz w:val="20"/>
                <w:szCs w:val="20"/>
              </w:rPr>
              <w:t>Risk of bias</w:t>
            </w:r>
          </w:p>
        </w:tc>
        <w:tc>
          <w:tcPr>
            <w:tcW w:w="590" w:type="pct"/>
            <w:vAlign w:val="center"/>
          </w:tcPr>
          <w:p w14:paraId="7DB4445A" w14:textId="77777777" w:rsidR="00FE1F15" w:rsidRPr="00AB6F27" w:rsidRDefault="00FE1F15" w:rsidP="00C2506A">
            <w:pPr>
              <w:pStyle w:val="FooterTableFigure"/>
              <w:keepNext/>
              <w:keepLines/>
              <w:spacing w:after="0"/>
              <w:jc w:val="center"/>
              <w:rPr>
                <w:sz w:val="20"/>
                <w:szCs w:val="20"/>
              </w:rPr>
            </w:pPr>
            <w:r w:rsidRPr="00AB6F27">
              <w:rPr>
                <w:b/>
                <w:sz w:val="20"/>
                <w:szCs w:val="20"/>
              </w:rPr>
              <w:t>Patient population</w:t>
            </w:r>
          </w:p>
        </w:tc>
        <w:tc>
          <w:tcPr>
            <w:tcW w:w="588" w:type="pct"/>
            <w:vAlign w:val="center"/>
          </w:tcPr>
          <w:p w14:paraId="07AF35B2" w14:textId="77777777" w:rsidR="00FE1F15" w:rsidRPr="00AB6F27" w:rsidRDefault="00FE1F15" w:rsidP="00C2506A">
            <w:pPr>
              <w:pStyle w:val="FooterTableFigure"/>
              <w:keepNext/>
              <w:keepLines/>
              <w:spacing w:after="0"/>
              <w:jc w:val="center"/>
              <w:rPr>
                <w:sz w:val="20"/>
                <w:szCs w:val="20"/>
              </w:rPr>
            </w:pPr>
            <w:r w:rsidRPr="00AB6F27">
              <w:rPr>
                <w:b/>
                <w:sz w:val="20"/>
                <w:szCs w:val="20"/>
              </w:rPr>
              <w:t>Outcomes</w:t>
            </w:r>
          </w:p>
        </w:tc>
        <w:tc>
          <w:tcPr>
            <w:tcW w:w="506" w:type="pct"/>
            <w:vAlign w:val="center"/>
          </w:tcPr>
          <w:p w14:paraId="67ABB106" w14:textId="77777777" w:rsidR="00FE1F15" w:rsidRPr="00AB6F27" w:rsidRDefault="00FE1F15" w:rsidP="00C2506A">
            <w:pPr>
              <w:pStyle w:val="FooterTableFigure"/>
              <w:keepNext/>
              <w:keepLines/>
              <w:spacing w:after="0"/>
              <w:jc w:val="center"/>
              <w:rPr>
                <w:b/>
                <w:sz w:val="20"/>
                <w:szCs w:val="20"/>
              </w:rPr>
            </w:pPr>
            <w:r w:rsidRPr="00AB6F27">
              <w:rPr>
                <w:b/>
                <w:sz w:val="20"/>
                <w:szCs w:val="20"/>
              </w:rPr>
              <w:t>Use in CMA</w:t>
            </w:r>
          </w:p>
        </w:tc>
      </w:tr>
      <w:tr w:rsidR="00FE1F15" w:rsidRPr="00AB6F27" w14:paraId="2E49EC4B" w14:textId="77777777" w:rsidTr="00CE0448">
        <w:trPr>
          <w:trHeight w:hRule="exact" w:val="255"/>
        </w:trPr>
        <w:tc>
          <w:tcPr>
            <w:tcW w:w="5000" w:type="pct"/>
            <w:gridSpan w:val="7"/>
            <w:vAlign w:val="center"/>
          </w:tcPr>
          <w:p w14:paraId="31B956F6" w14:textId="6AB790B1" w:rsidR="00FE1F15" w:rsidRPr="00AB6F27" w:rsidRDefault="00C2506A" w:rsidP="00C2506A">
            <w:pPr>
              <w:pStyle w:val="FooterTableFigure"/>
              <w:keepNext/>
              <w:keepLines/>
              <w:jc w:val="left"/>
              <w:rPr>
                <w:b/>
                <w:bCs/>
                <w:sz w:val="20"/>
                <w:szCs w:val="20"/>
              </w:rPr>
            </w:pPr>
            <w:r>
              <w:rPr>
                <w:b/>
                <w:bCs/>
                <w:sz w:val="20"/>
                <w:szCs w:val="20"/>
              </w:rPr>
              <w:t xml:space="preserve">Pembrolizumab </w:t>
            </w:r>
            <w:r w:rsidR="00FE1F15" w:rsidRPr="00AB6F27">
              <w:rPr>
                <w:b/>
                <w:bCs/>
                <w:sz w:val="20"/>
                <w:szCs w:val="20"/>
              </w:rPr>
              <w:t>+</w:t>
            </w:r>
            <w:r>
              <w:rPr>
                <w:b/>
                <w:bCs/>
                <w:sz w:val="20"/>
                <w:szCs w:val="20"/>
              </w:rPr>
              <w:t xml:space="preserve"> </w:t>
            </w:r>
            <w:r w:rsidR="00FE1F15" w:rsidRPr="00AB6F27">
              <w:rPr>
                <w:b/>
                <w:bCs/>
                <w:sz w:val="20"/>
                <w:szCs w:val="20"/>
              </w:rPr>
              <w:t>PBC versus PBC</w:t>
            </w:r>
          </w:p>
        </w:tc>
      </w:tr>
      <w:tr w:rsidR="00FE1F15" w:rsidRPr="00AB6F27" w14:paraId="7E4C5E27" w14:textId="77777777" w:rsidTr="00CE0448">
        <w:tc>
          <w:tcPr>
            <w:tcW w:w="587" w:type="pct"/>
            <w:vAlign w:val="center"/>
          </w:tcPr>
          <w:p w14:paraId="64FAB350" w14:textId="1F36D934" w:rsidR="00FE1F15" w:rsidRPr="00AB6F27" w:rsidRDefault="00FE1F15" w:rsidP="00C2506A">
            <w:pPr>
              <w:pStyle w:val="FooterTableFigure"/>
              <w:keepNext/>
              <w:keepLines/>
              <w:jc w:val="left"/>
              <w:rPr>
                <w:bCs/>
                <w:sz w:val="20"/>
                <w:szCs w:val="20"/>
              </w:rPr>
            </w:pPr>
            <w:r w:rsidRPr="00AB6F27">
              <w:rPr>
                <w:bCs/>
                <w:sz w:val="20"/>
                <w:szCs w:val="20"/>
              </w:rPr>
              <w:t>NRG-GY018</w:t>
            </w:r>
          </w:p>
        </w:tc>
        <w:tc>
          <w:tcPr>
            <w:tcW w:w="590" w:type="pct"/>
            <w:vAlign w:val="center"/>
          </w:tcPr>
          <w:p w14:paraId="00BDFB81" w14:textId="77777777" w:rsidR="00FE1F15" w:rsidRPr="00AB6F27" w:rsidRDefault="00FE1F15" w:rsidP="00C2506A">
            <w:pPr>
              <w:pStyle w:val="FooterTableFigure"/>
              <w:keepNext/>
              <w:keepLines/>
              <w:jc w:val="center"/>
              <w:rPr>
                <w:sz w:val="20"/>
                <w:szCs w:val="20"/>
              </w:rPr>
            </w:pPr>
            <w:r w:rsidRPr="00AB6F27">
              <w:rPr>
                <w:sz w:val="20"/>
                <w:szCs w:val="20"/>
              </w:rPr>
              <w:t>dMMR:222</w:t>
            </w:r>
          </w:p>
          <w:p w14:paraId="13662582" w14:textId="77777777" w:rsidR="00FE1F15" w:rsidRPr="00AB6F27" w:rsidRDefault="00FE1F15" w:rsidP="00C2506A">
            <w:pPr>
              <w:pStyle w:val="FooterTableFigure"/>
              <w:keepNext/>
              <w:keepLines/>
              <w:jc w:val="center"/>
              <w:rPr>
                <w:sz w:val="20"/>
                <w:szCs w:val="20"/>
              </w:rPr>
            </w:pPr>
            <w:r w:rsidRPr="00AB6F27">
              <w:rPr>
                <w:sz w:val="20"/>
                <w:szCs w:val="20"/>
              </w:rPr>
              <w:t>pMMR:597</w:t>
            </w:r>
          </w:p>
        </w:tc>
        <w:tc>
          <w:tcPr>
            <w:tcW w:w="1327" w:type="pct"/>
            <w:vAlign w:val="center"/>
          </w:tcPr>
          <w:p w14:paraId="50B9B50F" w14:textId="000B7C04" w:rsidR="00FE1F15" w:rsidRPr="00AB6F27" w:rsidRDefault="00FE1F15" w:rsidP="00C2506A">
            <w:pPr>
              <w:pStyle w:val="FooterTableFigure"/>
              <w:keepNext/>
              <w:keepLines/>
              <w:jc w:val="center"/>
              <w:rPr>
                <w:sz w:val="20"/>
                <w:szCs w:val="20"/>
              </w:rPr>
            </w:pPr>
            <w:r w:rsidRPr="00AB6F27">
              <w:rPr>
                <w:sz w:val="20"/>
                <w:szCs w:val="20"/>
              </w:rPr>
              <w:t xml:space="preserve">Phase III DB MC RCT </w:t>
            </w:r>
            <w:r w:rsidRPr="00AB6F27">
              <w:rPr>
                <w:sz w:val="20"/>
                <w:szCs w:val="20"/>
              </w:rPr>
              <w:br/>
              <w:t>IA1: 13.6 months (dMMR),</w:t>
            </w:r>
          </w:p>
          <w:p w14:paraId="7F63D4B4" w14:textId="160856AF" w:rsidR="00FE1F15" w:rsidRPr="00AB6F27" w:rsidRDefault="00FE1F15" w:rsidP="00C2506A">
            <w:pPr>
              <w:pStyle w:val="FooterTableFigure"/>
              <w:keepNext/>
              <w:keepLines/>
              <w:jc w:val="center"/>
              <w:rPr>
                <w:sz w:val="20"/>
                <w:szCs w:val="20"/>
              </w:rPr>
            </w:pPr>
            <w:r w:rsidRPr="00AB6F27">
              <w:rPr>
                <w:sz w:val="20"/>
                <w:szCs w:val="20"/>
              </w:rPr>
              <w:t>8.7 months (pMMR)</w:t>
            </w:r>
            <w:r w:rsidRPr="00AB6F27">
              <w:rPr>
                <w:sz w:val="20"/>
                <w:szCs w:val="20"/>
              </w:rPr>
              <w:br/>
              <w:t>EUR: 19.2 months (dMMR), 15.3 months (pMMR)</w:t>
            </w:r>
          </w:p>
        </w:tc>
        <w:tc>
          <w:tcPr>
            <w:tcW w:w="812" w:type="pct"/>
            <w:vAlign w:val="center"/>
          </w:tcPr>
          <w:p w14:paraId="33E3F43A" w14:textId="53A14E70" w:rsidR="00FE1F15" w:rsidRPr="00AB6F27" w:rsidRDefault="00FE1F15" w:rsidP="00C2506A">
            <w:pPr>
              <w:pStyle w:val="FooterTableFigure"/>
              <w:keepNext/>
              <w:keepLines/>
              <w:jc w:val="center"/>
              <w:rPr>
                <w:sz w:val="20"/>
                <w:szCs w:val="20"/>
              </w:rPr>
            </w:pPr>
            <w:r w:rsidRPr="00AB6F27">
              <w:rPr>
                <w:sz w:val="20"/>
                <w:szCs w:val="20"/>
              </w:rPr>
              <w:t>Low for IA1,</w:t>
            </w:r>
          </w:p>
          <w:p w14:paraId="4B1D3235" w14:textId="77777777" w:rsidR="00FE1F15" w:rsidRPr="00AB6F27" w:rsidRDefault="00FE1F15" w:rsidP="00C2506A">
            <w:pPr>
              <w:pStyle w:val="FooterTableFigure"/>
              <w:keepNext/>
              <w:keepLines/>
              <w:jc w:val="center"/>
              <w:rPr>
                <w:sz w:val="20"/>
                <w:szCs w:val="20"/>
                <w:vertAlign w:val="superscript"/>
              </w:rPr>
            </w:pPr>
            <w:r w:rsidRPr="00AB6F27">
              <w:rPr>
                <w:sz w:val="20"/>
                <w:szCs w:val="20"/>
              </w:rPr>
              <w:t xml:space="preserve">high post IA1 </w:t>
            </w:r>
            <w:r w:rsidRPr="00AB6F27">
              <w:rPr>
                <w:sz w:val="20"/>
                <w:szCs w:val="20"/>
                <w:vertAlign w:val="superscript"/>
              </w:rPr>
              <w:t>a</w:t>
            </w:r>
          </w:p>
        </w:tc>
        <w:tc>
          <w:tcPr>
            <w:tcW w:w="590" w:type="pct"/>
            <w:vAlign w:val="center"/>
          </w:tcPr>
          <w:p w14:paraId="3A1BECA0" w14:textId="77777777" w:rsidR="00FE1F15" w:rsidRPr="00AB6F27" w:rsidRDefault="00FE1F15" w:rsidP="00C2506A">
            <w:pPr>
              <w:pStyle w:val="FooterTableFigure"/>
              <w:keepNext/>
              <w:keepLines/>
              <w:jc w:val="center"/>
              <w:rPr>
                <w:sz w:val="20"/>
                <w:szCs w:val="20"/>
              </w:rPr>
            </w:pPr>
            <w:r w:rsidRPr="00AB6F27">
              <w:rPr>
                <w:sz w:val="20"/>
                <w:szCs w:val="20"/>
              </w:rPr>
              <w:t>1L A/R EC</w:t>
            </w:r>
          </w:p>
        </w:tc>
        <w:tc>
          <w:tcPr>
            <w:tcW w:w="588" w:type="pct"/>
            <w:vAlign w:val="center"/>
          </w:tcPr>
          <w:p w14:paraId="5C519A01" w14:textId="77777777" w:rsidR="00FE1F15" w:rsidRPr="00AB6F27" w:rsidRDefault="00FE1F15" w:rsidP="00C2506A">
            <w:pPr>
              <w:pStyle w:val="FooterTableFigure"/>
              <w:keepNext/>
              <w:keepLines/>
              <w:jc w:val="center"/>
              <w:rPr>
                <w:sz w:val="20"/>
                <w:szCs w:val="20"/>
              </w:rPr>
            </w:pPr>
            <w:r w:rsidRPr="00AB6F27">
              <w:rPr>
                <w:sz w:val="20"/>
                <w:szCs w:val="20"/>
              </w:rPr>
              <w:t>PFS, OS, safety</w:t>
            </w:r>
          </w:p>
        </w:tc>
        <w:tc>
          <w:tcPr>
            <w:tcW w:w="506" w:type="pct"/>
            <w:vAlign w:val="center"/>
          </w:tcPr>
          <w:p w14:paraId="418DF713" w14:textId="6E4B063D" w:rsidR="00FE1F15" w:rsidRPr="00AB6F27" w:rsidRDefault="00FE1F15" w:rsidP="00C2506A">
            <w:pPr>
              <w:pStyle w:val="FooterTableFigure"/>
              <w:keepNext/>
              <w:keepLines/>
              <w:jc w:val="center"/>
              <w:rPr>
                <w:sz w:val="20"/>
                <w:szCs w:val="20"/>
              </w:rPr>
            </w:pPr>
            <w:r w:rsidRPr="00AB6F27">
              <w:rPr>
                <w:sz w:val="20"/>
                <w:szCs w:val="20"/>
              </w:rPr>
              <w:t>AEs</w:t>
            </w:r>
          </w:p>
        </w:tc>
      </w:tr>
      <w:tr w:rsidR="00FE1F15" w:rsidRPr="00AB6F27" w14:paraId="6A67F3F1" w14:textId="77777777" w:rsidTr="00CE0448">
        <w:trPr>
          <w:trHeight w:hRule="exact" w:val="255"/>
        </w:trPr>
        <w:tc>
          <w:tcPr>
            <w:tcW w:w="5000" w:type="pct"/>
            <w:gridSpan w:val="7"/>
            <w:shd w:val="clear" w:color="auto" w:fill="C6D9F1" w:themeFill="text2" w:themeFillTint="33"/>
            <w:vAlign w:val="center"/>
          </w:tcPr>
          <w:p w14:paraId="52C4FE98" w14:textId="16375FE2" w:rsidR="00FE1F15" w:rsidRPr="00AB6F27" w:rsidRDefault="00C2506A" w:rsidP="00C2506A">
            <w:pPr>
              <w:pStyle w:val="FooterTableFigure"/>
              <w:keepNext/>
              <w:keepLines/>
              <w:jc w:val="left"/>
              <w:rPr>
                <w:b/>
                <w:bCs/>
                <w:sz w:val="20"/>
                <w:szCs w:val="20"/>
              </w:rPr>
            </w:pPr>
            <w:r>
              <w:rPr>
                <w:b/>
                <w:bCs/>
                <w:sz w:val="20"/>
                <w:szCs w:val="20"/>
              </w:rPr>
              <w:t>D</w:t>
            </w:r>
            <w:r w:rsidR="00437BAB">
              <w:rPr>
                <w:b/>
                <w:bCs/>
                <w:sz w:val="20"/>
                <w:szCs w:val="20"/>
              </w:rPr>
              <w:t>ostarlimab</w:t>
            </w:r>
            <w:r>
              <w:rPr>
                <w:b/>
                <w:bCs/>
                <w:sz w:val="20"/>
                <w:szCs w:val="20"/>
              </w:rPr>
              <w:t xml:space="preserve"> </w:t>
            </w:r>
            <w:r w:rsidR="00FE1F15" w:rsidRPr="00AB6F27">
              <w:rPr>
                <w:b/>
                <w:bCs/>
                <w:sz w:val="20"/>
                <w:szCs w:val="20"/>
              </w:rPr>
              <w:t>+</w:t>
            </w:r>
            <w:r>
              <w:rPr>
                <w:b/>
                <w:bCs/>
                <w:sz w:val="20"/>
                <w:szCs w:val="20"/>
              </w:rPr>
              <w:t xml:space="preserve"> </w:t>
            </w:r>
            <w:r w:rsidR="00FE1F15" w:rsidRPr="00AB6F27">
              <w:rPr>
                <w:b/>
                <w:bCs/>
                <w:sz w:val="20"/>
                <w:szCs w:val="20"/>
              </w:rPr>
              <w:t>PBC versus PBC</w:t>
            </w:r>
          </w:p>
        </w:tc>
      </w:tr>
      <w:tr w:rsidR="00FE1F15" w:rsidRPr="00AB6F27" w14:paraId="2EFEA385" w14:textId="77777777" w:rsidTr="00CE0448">
        <w:tc>
          <w:tcPr>
            <w:tcW w:w="587" w:type="pct"/>
            <w:shd w:val="clear" w:color="auto" w:fill="C6D9F1" w:themeFill="text2" w:themeFillTint="33"/>
            <w:vAlign w:val="center"/>
          </w:tcPr>
          <w:p w14:paraId="310665E1" w14:textId="320E8DA5" w:rsidR="00FE1F15" w:rsidRPr="00AB6F27" w:rsidRDefault="00FE1F15" w:rsidP="00C2506A">
            <w:pPr>
              <w:pStyle w:val="FooterTableFigure"/>
              <w:keepNext/>
              <w:keepLines/>
              <w:jc w:val="left"/>
              <w:rPr>
                <w:bCs/>
                <w:sz w:val="20"/>
                <w:szCs w:val="20"/>
              </w:rPr>
            </w:pPr>
            <w:r w:rsidRPr="00AB6F27">
              <w:rPr>
                <w:bCs/>
                <w:sz w:val="20"/>
                <w:szCs w:val="20"/>
              </w:rPr>
              <w:t>RUBY-1</w:t>
            </w:r>
          </w:p>
        </w:tc>
        <w:tc>
          <w:tcPr>
            <w:tcW w:w="590" w:type="pct"/>
            <w:shd w:val="clear" w:color="auto" w:fill="C6D9F1" w:themeFill="text2" w:themeFillTint="33"/>
            <w:vAlign w:val="center"/>
          </w:tcPr>
          <w:p w14:paraId="5D7F2FD8" w14:textId="77777777" w:rsidR="00FE1F15" w:rsidRPr="00AB6F27" w:rsidRDefault="00FE1F15" w:rsidP="00C2506A">
            <w:pPr>
              <w:pStyle w:val="FooterTableFigure"/>
              <w:keepNext/>
              <w:keepLines/>
              <w:jc w:val="center"/>
              <w:rPr>
                <w:sz w:val="20"/>
                <w:szCs w:val="20"/>
              </w:rPr>
            </w:pPr>
            <w:r w:rsidRPr="00AB6F27">
              <w:rPr>
                <w:sz w:val="20"/>
                <w:szCs w:val="20"/>
              </w:rPr>
              <w:t>ITT:494</w:t>
            </w:r>
          </w:p>
          <w:p w14:paraId="735B59C4" w14:textId="77777777" w:rsidR="00FE1F15" w:rsidRPr="00AB6F27" w:rsidRDefault="00FE1F15" w:rsidP="00C2506A">
            <w:pPr>
              <w:pStyle w:val="FooterTableFigure"/>
              <w:keepNext/>
              <w:keepLines/>
              <w:jc w:val="center"/>
              <w:rPr>
                <w:sz w:val="20"/>
                <w:szCs w:val="20"/>
              </w:rPr>
            </w:pPr>
            <w:r w:rsidRPr="00AB6F27">
              <w:rPr>
                <w:sz w:val="20"/>
                <w:szCs w:val="20"/>
              </w:rPr>
              <w:t>dMMR:118</w:t>
            </w:r>
          </w:p>
          <w:p w14:paraId="128FAE6A" w14:textId="77777777" w:rsidR="00FE1F15" w:rsidRPr="00AB6F27" w:rsidRDefault="00FE1F15" w:rsidP="00C2506A">
            <w:pPr>
              <w:pStyle w:val="FooterTableFigure"/>
              <w:keepNext/>
              <w:keepLines/>
              <w:jc w:val="center"/>
              <w:rPr>
                <w:sz w:val="20"/>
                <w:szCs w:val="20"/>
              </w:rPr>
            </w:pPr>
            <w:r w:rsidRPr="00AB6F27">
              <w:rPr>
                <w:sz w:val="20"/>
                <w:szCs w:val="20"/>
              </w:rPr>
              <w:t>pMMR:376</w:t>
            </w:r>
          </w:p>
        </w:tc>
        <w:tc>
          <w:tcPr>
            <w:tcW w:w="1327" w:type="pct"/>
            <w:shd w:val="clear" w:color="auto" w:fill="C6D9F1" w:themeFill="text2" w:themeFillTint="33"/>
            <w:vAlign w:val="center"/>
          </w:tcPr>
          <w:p w14:paraId="2D22D5E0" w14:textId="4F3B3AAF" w:rsidR="00FE1F15" w:rsidRPr="00AB6F27" w:rsidRDefault="00FE1F15" w:rsidP="00C2506A">
            <w:pPr>
              <w:pStyle w:val="FooterTableFigure"/>
              <w:keepNext/>
              <w:keepLines/>
              <w:jc w:val="center"/>
              <w:rPr>
                <w:sz w:val="20"/>
                <w:szCs w:val="20"/>
              </w:rPr>
            </w:pPr>
            <w:r w:rsidRPr="00AB6F27">
              <w:rPr>
                <w:sz w:val="20"/>
                <w:szCs w:val="20"/>
              </w:rPr>
              <w:t xml:space="preserve">Phase III DB MC RCT </w:t>
            </w:r>
            <w:r w:rsidRPr="00AB6F27">
              <w:rPr>
                <w:sz w:val="20"/>
                <w:szCs w:val="20"/>
              </w:rPr>
              <w:br/>
              <w:t>IA1 24.8 months (dMMR),</w:t>
            </w:r>
          </w:p>
          <w:p w14:paraId="2C73C326" w14:textId="2E473466" w:rsidR="00FE1F15" w:rsidRPr="00AB6F27" w:rsidRDefault="00FE1F15" w:rsidP="00C2506A">
            <w:pPr>
              <w:pStyle w:val="FooterTableFigure"/>
              <w:keepNext/>
              <w:keepLines/>
              <w:jc w:val="center"/>
              <w:rPr>
                <w:sz w:val="20"/>
                <w:szCs w:val="20"/>
              </w:rPr>
            </w:pPr>
            <w:r w:rsidRPr="00AB6F27">
              <w:rPr>
                <w:sz w:val="20"/>
                <w:szCs w:val="20"/>
              </w:rPr>
              <w:t>25.7 months (pMMR)</w:t>
            </w:r>
            <w:r w:rsidRPr="00AB6F27">
              <w:rPr>
                <w:sz w:val="20"/>
                <w:szCs w:val="20"/>
              </w:rPr>
              <w:br/>
              <w:t>IA2 36.6 months (dMMR),</w:t>
            </w:r>
          </w:p>
          <w:p w14:paraId="70125B4C" w14:textId="77777777" w:rsidR="00FE1F15" w:rsidRPr="00AB6F27" w:rsidRDefault="00FE1F15" w:rsidP="00C2506A">
            <w:pPr>
              <w:pStyle w:val="FooterTableFigure"/>
              <w:keepNext/>
              <w:keepLines/>
              <w:jc w:val="center"/>
              <w:rPr>
                <w:sz w:val="20"/>
                <w:szCs w:val="20"/>
              </w:rPr>
            </w:pPr>
            <w:r w:rsidRPr="00AB6F27">
              <w:rPr>
                <w:sz w:val="20"/>
                <w:szCs w:val="20"/>
              </w:rPr>
              <w:t>37.5 months (pMMR)</w:t>
            </w:r>
          </w:p>
        </w:tc>
        <w:tc>
          <w:tcPr>
            <w:tcW w:w="812" w:type="pct"/>
            <w:shd w:val="clear" w:color="auto" w:fill="C6D9F1" w:themeFill="text2" w:themeFillTint="33"/>
            <w:vAlign w:val="center"/>
          </w:tcPr>
          <w:p w14:paraId="0B45724A" w14:textId="77777777" w:rsidR="00FE1F15" w:rsidRPr="00AB6F27" w:rsidRDefault="00FE1F15" w:rsidP="00C2506A">
            <w:pPr>
              <w:pStyle w:val="FooterTableFigure"/>
              <w:keepNext/>
              <w:keepLines/>
              <w:jc w:val="center"/>
              <w:rPr>
                <w:sz w:val="20"/>
                <w:szCs w:val="20"/>
              </w:rPr>
            </w:pPr>
            <w:r w:rsidRPr="00AB6F27">
              <w:rPr>
                <w:sz w:val="20"/>
                <w:szCs w:val="20"/>
              </w:rPr>
              <w:t>Low for all-comers and dMMR.</w:t>
            </w:r>
          </w:p>
          <w:p w14:paraId="023E4825" w14:textId="77777777" w:rsidR="00FE1F15" w:rsidRPr="00AB6F27" w:rsidRDefault="00FE1F15" w:rsidP="00C2506A">
            <w:pPr>
              <w:pStyle w:val="FooterTableFigure"/>
              <w:keepNext/>
              <w:keepLines/>
              <w:jc w:val="center"/>
              <w:rPr>
                <w:sz w:val="20"/>
                <w:szCs w:val="20"/>
                <w:vertAlign w:val="superscript"/>
              </w:rPr>
            </w:pPr>
            <w:r w:rsidRPr="00AB6F27">
              <w:rPr>
                <w:sz w:val="20"/>
                <w:szCs w:val="20"/>
              </w:rPr>
              <w:t xml:space="preserve">High for pMMR </w:t>
            </w:r>
            <w:r w:rsidRPr="00AB6F27">
              <w:rPr>
                <w:sz w:val="20"/>
                <w:szCs w:val="20"/>
                <w:vertAlign w:val="superscript"/>
              </w:rPr>
              <w:t>b</w:t>
            </w:r>
          </w:p>
        </w:tc>
        <w:tc>
          <w:tcPr>
            <w:tcW w:w="590" w:type="pct"/>
            <w:shd w:val="clear" w:color="auto" w:fill="C6D9F1" w:themeFill="text2" w:themeFillTint="33"/>
            <w:vAlign w:val="center"/>
          </w:tcPr>
          <w:p w14:paraId="2A625CF4" w14:textId="77777777" w:rsidR="00FE1F15" w:rsidRPr="00AB6F27" w:rsidRDefault="00FE1F15" w:rsidP="00C2506A">
            <w:pPr>
              <w:pStyle w:val="FooterTableFigure"/>
              <w:keepNext/>
              <w:keepLines/>
              <w:jc w:val="center"/>
              <w:rPr>
                <w:sz w:val="20"/>
                <w:szCs w:val="20"/>
              </w:rPr>
            </w:pPr>
            <w:r w:rsidRPr="00AB6F27">
              <w:rPr>
                <w:sz w:val="20"/>
                <w:szCs w:val="20"/>
              </w:rPr>
              <w:t>1L A/R EC</w:t>
            </w:r>
          </w:p>
        </w:tc>
        <w:tc>
          <w:tcPr>
            <w:tcW w:w="588" w:type="pct"/>
            <w:shd w:val="clear" w:color="auto" w:fill="C6D9F1" w:themeFill="text2" w:themeFillTint="33"/>
            <w:vAlign w:val="center"/>
          </w:tcPr>
          <w:p w14:paraId="1A94C840" w14:textId="77777777" w:rsidR="00FE1F15" w:rsidRPr="00AB6F27" w:rsidRDefault="00FE1F15" w:rsidP="00C2506A">
            <w:pPr>
              <w:pStyle w:val="FooterTableFigure"/>
              <w:keepNext/>
              <w:keepLines/>
              <w:jc w:val="center"/>
              <w:rPr>
                <w:sz w:val="20"/>
                <w:szCs w:val="20"/>
              </w:rPr>
            </w:pPr>
            <w:r w:rsidRPr="00AB6F27">
              <w:rPr>
                <w:sz w:val="20"/>
                <w:szCs w:val="20"/>
              </w:rPr>
              <w:t>PFS, OS, safety</w:t>
            </w:r>
          </w:p>
        </w:tc>
        <w:tc>
          <w:tcPr>
            <w:tcW w:w="506" w:type="pct"/>
            <w:shd w:val="clear" w:color="auto" w:fill="C6D9F1" w:themeFill="text2" w:themeFillTint="33"/>
            <w:vAlign w:val="center"/>
          </w:tcPr>
          <w:p w14:paraId="58D2EDEE" w14:textId="77777777" w:rsidR="00FE1F15" w:rsidRPr="00AB6F27" w:rsidRDefault="00FE1F15" w:rsidP="00C2506A">
            <w:pPr>
              <w:pStyle w:val="FooterTableFigure"/>
              <w:keepNext/>
              <w:keepLines/>
              <w:jc w:val="center"/>
              <w:rPr>
                <w:sz w:val="20"/>
                <w:szCs w:val="20"/>
              </w:rPr>
            </w:pPr>
            <w:r w:rsidRPr="00AB6F27">
              <w:rPr>
                <w:sz w:val="20"/>
                <w:szCs w:val="20"/>
              </w:rPr>
              <w:t>Not used</w:t>
            </w:r>
          </w:p>
        </w:tc>
      </w:tr>
      <w:tr w:rsidR="00FE1F15" w:rsidRPr="00AB6F27" w14:paraId="54273C41" w14:textId="77777777" w:rsidTr="00CE0448">
        <w:trPr>
          <w:trHeight w:hRule="exact" w:val="255"/>
        </w:trPr>
        <w:tc>
          <w:tcPr>
            <w:tcW w:w="5000" w:type="pct"/>
            <w:gridSpan w:val="7"/>
            <w:vAlign w:val="center"/>
          </w:tcPr>
          <w:p w14:paraId="79D3F9E8" w14:textId="43A59E4C" w:rsidR="00FE1F15" w:rsidRPr="00AB6F27" w:rsidRDefault="00C2506A" w:rsidP="00C2506A">
            <w:pPr>
              <w:pStyle w:val="FooterTableFigure"/>
              <w:keepNext/>
              <w:keepLines/>
              <w:jc w:val="left"/>
              <w:rPr>
                <w:b/>
                <w:bCs/>
                <w:sz w:val="20"/>
                <w:szCs w:val="20"/>
              </w:rPr>
            </w:pPr>
            <w:r>
              <w:rPr>
                <w:b/>
                <w:bCs/>
                <w:sz w:val="20"/>
                <w:szCs w:val="20"/>
              </w:rPr>
              <w:t xml:space="preserve">Durvalumab </w:t>
            </w:r>
            <w:r w:rsidR="00FE1F15" w:rsidRPr="00AB6F27">
              <w:rPr>
                <w:b/>
                <w:bCs/>
                <w:sz w:val="20"/>
                <w:szCs w:val="20"/>
              </w:rPr>
              <w:t>+PBC (</w:t>
            </w:r>
            <w:r>
              <w:rPr>
                <w:b/>
                <w:bCs/>
                <w:sz w:val="20"/>
                <w:szCs w:val="20"/>
              </w:rPr>
              <w:t>±</w:t>
            </w:r>
            <w:r w:rsidR="00FE1F15" w:rsidRPr="00AB6F27">
              <w:rPr>
                <w:b/>
                <w:bCs/>
                <w:sz w:val="20"/>
                <w:szCs w:val="20"/>
              </w:rPr>
              <w:t xml:space="preserve"> </w:t>
            </w:r>
            <w:r>
              <w:rPr>
                <w:b/>
                <w:bCs/>
                <w:sz w:val="20"/>
                <w:szCs w:val="20"/>
              </w:rPr>
              <w:t>olaparib</w:t>
            </w:r>
            <w:r w:rsidR="00FE1F15" w:rsidRPr="00AB6F27">
              <w:rPr>
                <w:b/>
                <w:bCs/>
                <w:sz w:val="20"/>
                <w:szCs w:val="20"/>
              </w:rPr>
              <w:t>) versus PBC</w:t>
            </w:r>
          </w:p>
        </w:tc>
      </w:tr>
      <w:tr w:rsidR="00FE1F15" w:rsidRPr="00AB6F27" w14:paraId="3A1E9873" w14:textId="77777777" w:rsidTr="00CE0448">
        <w:tc>
          <w:tcPr>
            <w:tcW w:w="587" w:type="pct"/>
            <w:vAlign w:val="center"/>
          </w:tcPr>
          <w:p w14:paraId="003F76F0" w14:textId="77777777" w:rsidR="00FE1F15" w:rsidRPr="00AB6F27" w:rsidRDefault="00FE1F15" w:rsidP="00C2506A">
            <w:pPr>
              <w:pStyle w:val="FooterTableFigure"/>
              <w:keepNext/>
              <w:keepLines/>
              <w:jc w:val="left"/>
              <w:rPr>
                <w:bCs/>
                <w:sz w:val="20"/>
                <w:szCs w:val="20"/>
              </w:rPr>
            </w:pPr>
            <w:r w:rsidRPr="00AB6F27">
              <w:rPr>
                <w:bCs/>
                <w:sz w:val="20"/>
                <w:szCs w:val="20"/>
              </w:rPr>
              <w:t>DUO-E</w:t>
            </w:r>
          </w:p>
        </w:tc>
        <w:tc>
          <w:tcPr>
            <w:tcW w:w="590" w:type="pct"/>
            <w:vAlign w:val="center"/>
          </w:tcPr>
          <w:p w14:paraId="1DC28931" w14:textId="77777777" w:rsidR="00FE1F15" w:rsidRPr="00AB6F27" w:rsidRDefault="00FE1F15" w:rsidP="00C2506A">
            <w:pPr>
              <w:pStyle w:val="FooterTableFigure"/>
              <w:keepNext/>
              <w:keepLines/>
              <w:jc w:val="center"/>
              <w:rPr>
                <w:sz w:val="20"/>
                <w:szCs w:val="20"/>
              </w:rPr>
            </w:pPr>
            <w:r w:rsidRPr="00AB6F27">
              <w:rPr>
                <w:sz w:val="20"/>
                <w:szCs w:val="20"/>
              </w:rPr>
              <w:t>ITT:718</w:t>
            </w:r>
          </w:p>
          <w:p w14:paraId="4B15D287" w14:textId="77777777" w:rsidR="00FE1F15" w:rsidRPr="00AB6F27" w:rsidRDefault="00FE1F15" w:rsidP="00C2506A">
            <w:pPr>
              <w:pStyle w:val="FooterTableFigure"/>
              <w:keepNext/>
              <w:keepLines/>
              <w:jc w:val="center"/>
              <w:rPr>
                <w:sz w:val="20"/>
                <w:szCs w:val="20"/>
                <w:vertAlign w:val="superscript"/>
              </w:rPr>
            </w:pPr>
            <w:r w:rsidRPr="00AB6F27">
              <w:rPr>
                <w:sz w:val="20"/>
                <w:szCs w:val="20"/>
              </w:rPr>
              <w:t xml:space="preserve">dMMR:95 </w:t>
            </w:r>
            <w:r w:rsidRPr="00AB6F27">
              <w:rPr>
                <w:sz w:val="20"/>
                <w:szCs w:val="20"/>
                <w:vertAlign w:val="superscript"/>
              </w:rPr>
              <w:t>c</w:t>
            </w:r>
          </w:p>
          <w:p w14:paraId="1F3A4FF9" w14:textId="77777777" w:rsidR="00FE1F15" w:rsidRPr="00AB6F27" w:rsidRDefault="00FE1F15" w:rsidP="00C2506A">
            <w:pPr>
              <w:pStyle w:val="FooterTableFigure"/>
              <w:keepNext/>
              <w:keepLines/>
              <w:jc w:val="center"/>
              <w:rPr>
                <w:sz w:val="20"/>
                <w:szCs w:val="20"/>
                <w:vertAlign w:val="superscript"/>
              </w:rPr>
            </w:pPr>
            <w:r w:rsidRPr="00AB6F27">
              <w:rPr>
                <w:sz w:val="20"/>
                <w:szCs w:val="20"/>
              </w:rPr>
              <w:t xml:space="preserve">pMMR:383 </w:t>
            </w:r>
            <w:r w:rsidRPr="00AB6F27">
              <w:rPr>
                <w:sz w:val="20"/>
                <w:szCs w:val="20"/>
                <w:vertAlign w:val="superscript"/>
              </w:rPr>
              <w:t>d</w:t>
            </w:r>
          </w:p>
        </w:tc>
        <w:tc>
          <w:tcPr>
            <w:tcW w:w="1327" w:type="pct"/>
            <w:vAlign w:val="center"/>
          </w:tcPr>
          <w:p w14:paraId="1B1ACF83" w14:textId="77777777" w:rsidR="00FE1F15" w:rsidRPr="00AB6F27" w:rsidRDefault="00FE1F15" w:rsidP="00C2506A">
            <w:pPr>
              <w:pStyle w:val="FooterTableFigure"/>
              <w:keepNext/>
              <w:keepLines/>
              <w:jc w:val="center"/>
              <w:rPr>
                <w:sz w:val="20"/>
                <w:szCs w:val="20"/>
              </w:rPr>
            </w:pPr>
            <w:r w:rsidRPr="00AB6F27">
              <w:rPr>
                <w:sz w:val="20"/>
                <w:szCs w:val="20"/>
              </w:rPr>
              <w:t>Phase III DB MC RCT</w:t>
            </w:r>
          </w:p>
          <w:p w14:paraId="6E979613" w14:textId="009DC1DC" w:rsidR="00FE1F15" w:rsidRPr="00AB6F27" w:rsidRDefault="00FE1F15" w:rsidP="00C2506A">
            <w:pPr>
              <w:pStyle w:val="FooterTableFigure"/>
              <w:keepNext/>
              <w:keepLines/>
              <w:jc w:val="center"/>
              <w:rPr>
                <w:sz w:val="20"/>
                <w:szCs w:val="20"/>
              </w:rPr>
            </w:pPr>
            <w:r w:rsidRPr="00AB6F27">
              <w:rPr>
                <w:sz w:val="20"/>
                <w:szCs w:val="20"/>
              </w:rPr>
              <w:t xml:space="preserve">IA1 18.4–19.1 months (dMMR), </w:t>
            </w:r>
            <w:r w:rsidR="005F370C" w:rsidRPr="00AB6F27">
              <w:rPr>
                <w:sz w:val="20"/>
                <w:szCs w:val="20"/>
              </w:rPr>
              <w:t>18.2-18.6</w:t>
            </w:r>
            <w:r w:rsidRPr="00AB6F27">
              <w:rPr>
                <w:sz w:val="20"/>
                <w:szCs w:val="20"/>
              </w:rPr>
              <w:t xml:space="preserve"> months (pMMR)</w:t>
            </w:r>
          </w:p>
        </w:tc>
        <w:tc>
          <w:tcPr>
            <w:tcW w:w="812" w:type="pct"/>
            <w:vAlign w:val="center"/>
          </w:tcPr>
          <w:p w14:paraId="48654DAA" w14:textId="079F89DD" w:rsidR="00FE1F15" w:rsidRPr="00E40E7A" w:rsidRDefault="00FE1F15" w:rsidP="00C2506A">
            <w:pPr>
              <w:pStyle w:val="FooterTableFigure"/>
              <w:keepNext/>
              <w:keepLines/>
              <w:jc w:val="center"/>
              <w:rPr>
                <w:sz w:val="20"/>
                <w:szCs w:val="20"/>
                <w:vertAlign w:val="superscript"/>
              </w:rPr>
            </w:pPr>
            <w:r w:rsidRPr="00AB6F27">
              <w:rPr>
                <w:sz w:val="20"/>
                <w:szCs w:val="20"/>
              </w:rPr>
              <w:t>Low for all-comers. High for dMMR &amp; pMMR subgroups</w:t>
            </w:r>
            <w:r w:rsidR="00E40E7A">
              <w:rPr>
                <w:sz w:val="20"/>
                <w:szCs w:val="20"/>
              </w:rPr>
              <w:t xml:space="preserve"> </w:t>
            </w:r>
            <w:r w:rsidR="00E40E7A">
              <w:rPr>
                <w:sz w:val="20"/>
                <w:szCs w:val="20"/>
                <w:vertAlign w:val="superscript"/>
              </w:rPr>
              <w:t>e</w:t>
            </w:r>
          </w:p>
        </w:tc>
        <w:tc>
          <w:tcPr>
            <w:tcW w:w="590" w:type="pct"/>
            <w:vAlign w:val="center"/>
          </w:tcPr>
          <w:p w14:paraId="716148D9" w14:textId="77777777" w:rsidR="00FE1F15" w:rsidRPr="00AB6F27" w:rsidRDefault="00FE1F15" w:rsidP="00C2506A">
            <w:pPr>
              <w:pStyle w:val="FooterTableFigure"/>
              <w:keepNext/>
              <w:keepLines/>
              <w:jc w:val="center"/>
              <w:rPr>
                <w:sz w:val="20"/>
                <w:szCs w:val="20"/>
              </w:rPr>
            </w:pPr>
            <w:r w:rsidRPr="00AB6F27">
              <w:rPr>
                <w:sz w:val="20"/>
                <w:szCs w:val="20"/>
              </w:rPr>
              <w:t>1L A/R EC</w:t>
            </w:r>
          </w:p>
        </w:tc>
        <w:tc>
          <w:tcPr>
            <w:tcW w:w="588" w:type="pct"/>
            <w:vAlign w:val="center"/>
          </w:tcPr>
          <w:p w14:paraId="3C34A1B9" w14:textId="77777777" w:rsidR="00FE1F15" w:rsidRPr="00AB6F27" w:rsidRDefault="00FE1F15" w:rsidP="00C2506A">
            <w:pPr>
              <w:pStyle w:val="FooterTableFigure"/>
              <w:keepNext/>
              <w:keepLines/>
              <w:jc w:val="center"/>
              <w:rPr>
                <w:sz w:val="20"/>
                <w:szCs w:val="20"/>
              </w:rPr>
            </w:pPr>
            <w:r w:rsidRPr="00AB6F27">
              <w:rPr>
                <w:sz w:val="20"/>
                <w:szCs w:val="20"/>
              </w:rPr>
              <w:t>PFS, OS, safety</w:t>
            </w:r>
          </w:p>
        </w:tc>
        <w:tc>
          <w:tcPr>
            <w:tcW w:w="506" w:type="pct"/>
            <w:vAlign w:val="center"/>
          </w:tcPr>
          <w:p w14:paraId="4A2CF778" w14:textId="77777777" w:rsidR="00FE1F15" w:rsidRPr="00AB6F27" w:rsidRDefault="00FE1F15" w:rsidP="00C2506A">
            <w:pPr>
              <w:pStyle w:val="FooterTableFigure"/>
              <w:keepNext/>
              <w:keepLines/>
              <w:jc w:val="center"/>
              <w:rPr>
                <w:sz w:val="20"/>
                <w:szCs w:val="20"/>
              </w:rPr>
            </w:pPr>
            <w:r w:rsidRPr="00AB6F27">
              <w:rPr>
                <w:sz w:val="20"/>
                <w:szCs w:val="20"/>
              </w:rPr>
              <w:t>AEs</w:t>
            </w:r>
          </w:p>
        </w:tc>
      </w:tr>
    </w:tbl>
    <w:p w14:paraId="42CB5629" w14:textId="77777777" w:rsidR="00FE1F15" w:rsidRPr="00AB6F27" w:rsidRDefault="00FE1F15" w:rsidP="00C2506A">
      <w:pPr>
        <w:pStyle w:val="FooterTableFigure"/>
        <w:keepNext/>
        <w:keepLines/>
        <w:jc w:val="left"/>
      </w:pPr>
      <w:r w:rsidRPr="00AB6F27">
        <w:t>Source: Constructed during evaluation using Table 2.4-18 and 2.4-20, pp117-119 of the submission</w:t>
      </w:r>
    </w:p>
    <w:p w14:paraId="0DB52955" w14:textId="20B4A3AA" w:rsidR="00FE1F15" w:rsidRPr="00AB6F27" w:rsidRDefault="00FE1F15" w:rsidP="00C2506A">
      <w:pPr>
        <w:pStyle w:val="FooterTableFigure"/>
        <w:keepNext/>
        <w:keepLines/>
        <w:jc w:val="left"/>
      </w:pPr>
      <w:r w:rsidRPr="00AB6F27">
        <w:t xml:space="preserve">Abbreviations: 1L = first line; </w:t>
      </w:r>
      <w:bookmarkEnd w:id="25"/>
      <w:bookmarkEnd w:id="26"/>
      <w:r w:rsidRPr="00AB6F27">
        <w:t xml:space="preserve">AEs = adverse events; A/R = advanced recurrent; </w:t>
      </w:r>
      <w:r w:rsidR="005F4DEB" w:rsidRPr="00AB6F27">
        <w:t xml:space="preserve">CMA = cost minimisation analysis </w:t>
      </w:r>
      <w:r w:rsidRPr="00AB6F27">
        <w:t xml:space="preserve">DB = double blind; dMMR = mismatch repair deficient; EC = endometrial cancer; EUR = efficacy update report;  IA = Investigator assessment; MC = multi-centre; OS = overall survival; </w:t>
      </w:r>
      <w:r w:rsidR="00C2506A">
        <w:t xml:space="preserve">PBC = platinum-based chemotherapy; </w:t>
      </w:r>
      <w:r w:rsidRPr="00AB6F27">
        <w:t xml:space="preserve">PFS = progression-free survival; pMMR = mismatch repair proficient; RCT = randomised controlled trial; </w:t>
      </w:r>
    </w:p>
    <w:p w14:paraId="79FF4B76" w14:textId="77777777" w:rsidR="00FE1F15" w:rsidRPr="00AB6F27" w:rsidRDefault="00FE1F15" w:rsidP="00C2506A">
      <w:pPr>
        <w:pStyle w:val="FooterTableFigure"/>
        <w:keepNext/>
        <w:keepLines/>
        <w:jc w:val="left"/>
      </w:pPr>
      <w:r w:rsidRPr="00AB6F27">
        <w:rPr>
          <w:vertAlign w:val="superscript"/>
        </w:rPr>
        <w:t xml:space="preserve">a </w:t>
      </w:r>
      <w:r w:rsidRPr="00AB6F27">
        <w:t>Following the publication of positive PFS results at IA1 (Median F/U dMMR~13.6 months) the NRG-GY018 study was unblinded.</w:t>
      </w:r>
    </w:p>
    <w:p w14:paraId="51FEE6CD" w14:textId="77777777" w:rsidR="00FE1F15" w:rsidRPr="00AB6F27" w:rsidRDefault="00FE1F15" w:rsidP="00C2506A">
      <w:pPr>
        <w:pStyle w:val="FooterTableFigure"/>
        <w:keepNext/>
        <w:keepLines/>
        <w:jc w:val="left"/>
      </w:pPr>
      <w:r w:rsidRPr="00AB6F27">
        <w:rPr>
          <w:vertAlign w:val="superscript"/>
        </w:rPr>
        <w:t>b</w:t>
      </w:r>
      <w:r w:rsidRPr="00AB6F27">
        <w:t xml:space="preserve"> PFS and OS in the pMMR population was not formally tested.</w:t>
      </w:r>
    </w:p>
    <w:p w14:paraId="1D86635B" w14:textId="77777777" w:rsidR="00FE1F15" w:rsidRPr="00AB6F27" w:rsidRDefault="00FE1F15" w:rsidP="00C2506A">
      <w:pPr>
        <w:pStyle w:val="FooterTableFigure"/>
        <w:keepNext/>
        <w:keepLines/>
        <w:jc w:val="left"/>
      </w:pPr>
      <w:r w:rsidRPr="00AB6F27">
        <w:rPr>
          <w:vertAlign w:val="superscript"/>
        </w:rPr>
        <w:t xml:space="preserve">c </w:t>
      </w:r>
      <w:r w:rsidRPr="00AB6F27">
        <w:t>Including only DUR + PBC (n=46) and PBO +PBC (n=49).</w:t>
      </w:r>
    </w:p>
    <w:p w14:paraId="467F0AC2" w14:textId="57756AC7" w:rsidR="007D5F5B" w:rsidRDefault="00FE1F15" w:rsidP="00C2506A">
      <w:pPr>
        <w:pStyle w:val="FooterTableFigure"/>
        <w:keepNext/>
        <w:keepLines/>
        <w:rPr>
          <w:vertAlign w:val="superscript"/>
        </w:rPr>
      </w:pPr>
      <w:r w:rsidRPr="00AB6F27">
        <w:rPr>
          <w:vertAlign w:val="superscript"/>
        </w:rPr>
        <w:t xml:space="preserve">d </w:t>
      </w:r>
      <w:r w:rsidRPr="00AB6F27">
        <w:t>Including only DUR+PBC+OLA (n=191) and PBO+PBC (n=192)</w:t>
      </w:r>
      <w:r w:rsidR="007D5F5B">
        <w:t>.</w:t>
      </w:r>
      <w:r w:rsidR="00E40E7A">
        <w:t xml:space="preserve"> </w:t>
      </w:r>
    </w:p>
    <w:p w14:paraId="4B64474F" w14:textId="4E8E3D1E" w:rsidR="00E40E7A" w:rsidRPr="00AB6F27" w:rsidRDefault="00E40E7A" w:rsidP="00C2506A">
      <w:pPr>
        <w:pStyle w:val="FooterTableFigure"/>
        <w:keepNext/>
        <w:keepLines/>
      </w:pPr>
      <w:r>
        <w:rPr>
          <w:vertAlign w:val="superscript"/>
        </w:rPr>
        <w:t>e</w:t>
      </w:r>
      <w:r w:rsidRPr="00AB6F27">
        <w:rPr>
          <w:vertAlign w:val="superscript"/>
        </w:rPr>
        <w:t xml:space="preserve"> </w:t>
      </w:r>
      <w:r w:rsidRPr="00AB6F27">
        <w:t>In DUO-E</w:t>
      </w:r>
      <w:r>
        <w:t>, the</w:t>
      </w:r>
      <w:r w:rsidRPr="00AB6F27">
        <w:t xml:space="preserve"> dMMR and pMMR subgroup analyses were exploratory</w:t>
      </w:r>
      <w:r w:rsidR="007D5F5B">
        <w:t>.</w:t>
      </w:r>
    </w:p>
    <w:p w14:paraId="408F3A7D" w14:textId="77777777" w:rsidR="00E938DC" w:rsidRPr="00AB6F27" w:rsidRDefault="00E938DC" w:rsidP="00FE1F15">
      <w:pPr>
        <w:pStyle w:val="FooterTableFigure"/>
      </w:pPr>
    </w:p>
    <w:p w14:paraId="20B9BC72" w14:textId="44E0C5DE" w:rsidR="00E938DC" w:rsidRPr="00AB6F27" w:rsidRDefault="00E938DC" w:rsidP="003024A4">
      <w:pPr>
        <w:pStyle w:val="Caption"/>
      </w:pPr>
      <w:bookmarkStart w:id="27" w:name="_Ref196734500"/>
      <w:r w:rsidRPr="00AB6F27">
        <w:lastRenderedPageBreak/>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4</w:t>
      </w:r>
      <w:r w:rsidR="00976099" w:rsidRPr="00AB6F27">
        <w:rPr>
          <w:noProof/>
        </w:rPr>
        <w:fldChar w:fldCharType="end"/>
      </w:r>
      <w:bookmarkEnd w:id="27"/>
      <w:r w:rsidRPr="00AB6F27">
        <w:t>: Duration of treatment in NRG-GY018, RUBY-1 and DUO-E</w:t>
      </w:r>
    </w:p>
    <w:tbl>
      <w:tblPr>
        <w:tblStyle w:val="TableGrid"/>
        <w:tblW w:w="5000" w:type="pct"/>
        <w:tblLayout w:type="fixed"/>
        <w:tblLook w:val="04A0" w:firstRow="1" w:lastRow="0" w:firstColumn="1" w:lastColumn="0" w:noHBand="0" w:noVBand="1"/>
        <w:tblCaption w:val="Table 4: Duration of treatment in NRG-GY018, RUBY-1 and DUO-E"/>
      </w:tblPr>
      <w:tblGrid>
        <w:gridCol w:w="2584"/>
        <w:gridCol w:w="1609"/>
        <w:gridCol w:w="1608"/>
        <w:gridCol w:w="1608"/>
        <w:gridCol w:w="1608"/>
      </w:tblGrid>
      <w:tr w:rsidR="00E938DC" w:rsidRPr="00AB6F27" w14:paraId="1A45EFEF" w14:textId="77777777" w:rsidTr="00120CB3">
        <w:trPr>
          <w:trHeight w:val="20"/>
          <w:tblHeader/>
        </w:trPr>
        <w:tc>
          <w:tcPr>
            <w:tcW w:w="2581" w:type="dxa"/>
          </w:tcPr>
          <w:p w14:paraId="36DF8324" w14:textId="77777777" w:rsidR="00E938DC" w:rsidRPr="00AB6F27" w:rsidRDefault="00E938DC" w:rsidP="003024A4">
            <w:pPr>
              <w:keepNext/>
              <w:keepLines/>
              <w:rPr>
                <w:rFonts w:ascii="Arial Narrow" w:hAnsi="Arial Narrow"/>
                <w:b/>
                <w:sz w:val="20"/>
                <w:szCs w:val="20"/>
              </w:rPr>
            </w:pPr>
          </w:p>
        </w:tc>
        <w:tc>
          <w:tcPr>
            <w:tcW w:w="3215" w:type="dxa"/>
            <w:gridSpan w:val="2"/>
            <w:vAlign w:val="center"/>
          </w:tcPr>
          <w:p w14:paraId="37B6D58B" w14:textId="77777777" w:rsidR="00E938DC" w:rsidRPr="00AB6F27" w:rsidRDefault="00E938DC" w:rsidP="003024A4">
            <w:pPr>
              <w:keepNext/>
              <w:keepLines/>
              <w:jc w:val="center"/>
              <w:rPr>
                <w:rFonts w:ascii="Arial Narrow" w:hAnsi="Arial Narrow"/>
                <w:b/>
                <w:sz w:val="20"/>
                <w:szCs w:val="20"/>
              </w:rPr>
            </w:pPr>
            <w:r w:rsidRPr="00AB6F27">
              <w:rPr>
                <w:rFonts w:ascii="Arial Narrow" w:hAnsi="Arial Narrow"/>
                <w:b/>
                <w:sz w:val="20"/>
                <w:szCs w:val="20"/>
              </w:rPr>
              <w:t>dMMR population</w:t>
            </w:r>
          </w:p>
        </w:tc>
        <w:tc>
          <w:tcPr>
            <w:tcW w:w="3214" w:type="dxa"/>
            <w:gridSpan w:val="2"/>
            <w:vAlign w:val="center"/>
          </w:tcPr>
          <w:p w14:paraId="7C2B0AB0" w14:textId="77777777" w:rsidR="00E938DC" w:rsidRPr="00AB6F27" w:rsidRDefault="00E938DC" w:rsidP="003024A4">
            <w:pPr>
              <w:keepNext/>
              <w:keepLines/>
              <w:jc w:val="center"/>
              <w:rPr>
                <w:rFonts w:ascii="Arial Narrow" w:hAnsi="Arial Narrow"/>
                <w:b/>
                <w:sz w:val="20"/>
                <w:szCs w:val="20"/>
              </w:rPr>
            </w:pPr>
            <w:r w:rsidRPr="00AB6F27">
              <w:rPr>
                <w:rFonts w:ascii="Arial Narrow" w:hAnsi="Arial Narrow"/>
                <w:b/>
                <w:sz w:val="20"/>
                <w:szCs w:val="20"/>
              </w:rPr>
              <w:t>pMMR population</w:t>
            </w:r>
          </w:p>
        </w:tc>
      </w:tr>
      <w:tr w:rsidR="00E938DC" w:rsidRPr="00AB6F27" w14:paraId="1668183B" w14:textId="77777777" w:rsidTr="00120CB3">
        <w:trPr>
          <w:trHeight w:val="20"/>
        </w:trPr>
        <w:tc>
          <w:tcPr>
            <w:tcW w:w="2581" w:type="dxa"/>
            <w:tcBorders>
              <w:bottom w:val="single" w:sz="4" w:space="0" w:color="auto"/>
            </w:tcBorders>
            <w:vAlign w:val="center"/>
          </w:tcPr>
          <w:p w14:paraId="0812702E" w14:textId="77777777" w:rsidR="00E938DC" w:rsidRPr="00AB6F27" w:rsidRDefault="00E938DC" w:rsidP="003024A4">
            <w:pPr>
              <w:keepNext/>
              <w:keepLines/>
              <w:rPr>
                <w:rFonts w:ascii="Arial Narrow" w:hAnsi="Arial Narrow"/>
                <w:b/>
                <w:sz w:val="20"/>
                <w:szCs w:val="20"/>
              </w:rPr>
            </w:pPr>
            <w:r w:rsidRPr="00AB6F27">
              <w:rPr>
                <w:rFonts w:ascii="Arial Narrow" w:hAnsi="Arial Narrow"/>
                <w:b/>
                <w:sz w:val="20"/>
                <w:szCs w:val="20"/>
              </w:rPr>
              <w:t>NRG-GY018</w:t>
            </w:r>
          </w:p>
        </w:tc>
        <w:tc>
          <w:tcPr>
            <w:tcW w:w="1608" w:type="dxa"/>
            <w:tcBorders>
              <w:bottom w:val="single" w:sz="4" w:space="0" w:color="auto"/>
            </w:tcBorders>
            <w:vAlign w:val="center"/>
          </w:tcPr>
          <w:p w14:paraId="46664BB5" w14:textId="77777777" w:rsidR="00E938DC" w:rsidRPr="00AB6F27" w:rsidRDefault="00E938DC" w:rsidP="003024A4">
            <w:pPr>
              <w:keepNext/>
              <w:keepLines/>
              <w:jc w:val="center"/>
              <w:rPr>
                <w:rFonts w:ascii="Arial Narrow" w:hAnsi="Arial Narrow"/>
                <w:b/>
                <w:sz w:val="20"/>
                <w:szCs w:val="20"/>
              </w:rPr>
            </w:pPr>
            <w:r w:rsidRPr="00AB6F27">
              <w:rPr>
                <w:rFonts w:ascii="Arial Narrow" w:hAnsi="Arial Narrow"/>
                <w:b/>
                <w:sz w:val="20"/>
                <w:szCs w:val="20"/>
              </w:rPr>
              <w:t>PEM+PBC</w:t>
            </w:r>
          </w:p>
        </w:tc>
        <w:tc>
          <w:tcPr>
            <w:tcW w:w="1607" w:type="dxa"/>
            <w:tcBorders>
              <w:bottom w:val="single" w:sz="4" w:space="0" w:color="auto"/>
            </w:tcBorders>
            <w:vAlign w:val="center"/>
          </w:tcPr>
          <w:p w14:paraId="5D734508" w14:textId="77777777" w:rsidR="00E938DC" w:rsidRPr="00AB6F27" w:rsidRDefault="00E938DC" w:rsidP="003024A4">
            <w:pPr>
              <w:keepNext/>
              <w:keepLines/>
              <w:jc w:val="center"/>
              <w:rPr>
                <w:rFonts w:ascii="Arial Narrow" w:hAnsi="Arial Narrow"/>
                <w:b/>
                <w:sz w:val="20"/>
                <w:szCs w:val="20"/>
              </w:rPr>
            </w:pPr>
            <w:r w:rsidRPr="00AB6F27">
              <w:rPr>
                <w:rFonts w:ascii="Arial Narrow" w:hAnsi="Arial Narrow"/>
                <w:b/>
                <w:sz w:val="20"/>
                <w:szCs w:val="20"/>
              </w:rPr>
              <w:t>PBO+PBC</w:t>
            </w:r>
          </w:p>
        </w:tc>
        <w:tc>
          <w:tcPr>
            <w:tcW w:w="1607" w:type="dxa"/>
            <w:tcBorders>
              <w:bottom w:val="single" w:sz="4" w:space="0" w:color="auto"/>
            </w:tcBorders>
            <w:vAlign w:val="center"/>
          </w:tcPr>
          <w:p w14:paraId="2A2C1B6D" w14:textId="77777777" w:rsidR="00E938DC" w:rsidRPr="00AB6F27" w:rsidRDefault="00E938DC" w:rsidP="003024A4">
            <w:pPr>
              <w:keepNext/>
              <w:keepLines/>
              <w:jc w:val="center"/>
              <w:rPr>
                <w:rFonts w:ascii="Arial Narrow" w:hAnsi="Arial Narrow"/>
                <w:b/>
                <w:sz w:val="20"/>
                <w:szCs w:val="20"/>
              </w:rPr>
            </w:pPr>
            <w:r w:rsidRPr="00AB6F27">
              <w:rPr>
                <w:rFonts w:ascii="Arial Narrow" w:hAnsi="Arial Narrow"/>
                <w:b/>
                <w:sz w:val="20"/>
                <w:szCs w:val="20"/>
              </w:rPr>
              <w:t>PEM+PBC</w:t>
            </w:r>
          </w:p>
        </w:tc>
        <w:tc>
          <w:tcPr>
            <w:tcW w:w="1607" w:type="dxa"/>
            <w:tcBorders>
              <w:bottom w:val="single" w:sz="4" w:space="0" w:color="auto"/>
            </w:tcBorders>
            <w:vAlign w:val="center"/>
          </w:tcPr>
          <w:p w14:paraId="7924DE11" w14:textId="77777777" w:rsidR="00E938DC" w:rsidRPr="00AB6F27" w:rsidRDefault="00E938DC" w:rsidP="003024A4">
            <w:pPr>
              <w:keepNext/>
              <w:keepLines/>
              <w:jc w:val="center"/>
              <w:rPr>
                <w:rFonts w:ascii="Arial Narrow" w:hAnsi="Arial Narrow"/>
                <w:b/>
                <w:sz w:val="20"/>
                <w:szCs w:val="20"/>
              </w:rPr>
            </w:pPr>
            <w:r w:rsidRPr="00AB6F27">
              <w:rPr>
                <w:rFonts w:ascii="Arial Narrow" w:hAnsi="Arial Narrow"/>
                <w:b/>
                <w:sz w:val="20"/>
                <w:szCs w:val="20"/>
              </w:rPr>
              <w:t>PBO+PBC</w:t>
            </w:r>
          </w:p>
        </w:tc>
      </w:tr>
      <w:tr w:rsidR="00E938DC" w:rsidRPr="00AB6F27" w14:paraId="59985B95" w14:textId="77777777" w:rsidTr="00120CB3">
        <w:trPr>
          <w:trHeight w:val="20"/>
        </w:trPr>
        <w:tc>
          <w:tcPr>
            <w:tcW w:w="4189" w:type="dxa"/>
            <w:gridSpan w:val="2"/>
            <w:tcBorders>
              <w:top w:val="single" w:sz="4" w:space="0" w:color="auto"/>
              <w:left w:val="single" w:sz="4" w:space="0" w:color="auto"/>
              <w:bottom w:val="single" w:sz="4" w:space="0" w:color="auto"/>
              <w:right w:val="nil"/>
            </w:tcBorders>
            <w:vAlign w:val="center"/>
          </w:tcPr>
          <w:p w14:paraId="32765232" w14:textId="2C63614C" w:rsidR="00E938DC" w:rsidRPr="00AB6F27" w:rsidRDefault="00E938DC" w:rsidP="003024A4">
            <w:pPr>
              <w:keepNext/>
              <w:keepLines/>
              <w:jc w:val="left"/>
              <w:rPr>
                <w:rFonts w:ascii="Arial Narrow" w:hAnsi="Arial Narrow"/>
                <w:b/>
                <w:sz w:val="20"/>
                <w:szCs w:val="20"/>
              </w:rPr>
            </w:pPr>
            <w:r w:rsidRPr="00AB6F27">
              <w:rPr>
                <w:rFonts w:ascii="Arial Narrow" w:hAnsi="Arial Narrow"/>
                <w:sz w:val="20"/>
                <w:szCs w:val="20"/>
              </w:rPr>
              <w:t>Interim Analysis 1 (Duration on therapy</w:t>
            </w:r>
            <w:r w:rsidR="009E227C" w:rsidRPr="00AB6F27">
              <w:rPr>
                <w:rFonts w:ascii="Arial Narrow" w:hAnsi="Arial Narrow"/>
                <w:sz w:val="20"/>
                <w:szCs w:val="20"/>
              </w:rPr>
              <w:t xml:space="preserve">, months </w:t>
            </w:r>
            <w:r w:rsidR="009E227C" w:rsidRPr="00AB6F27">
              <w:rPr>
                <w:rFonts w:ascii="Arial Narrow" w:hAnsi="Arial Narrow"/>
                <w:sz w:val="20"/>
                <w:szCs w:val="20"/>
                <w:vertAlign w:val="superscript"/>
              </w:rPr>
              <w:t>a</w:t>
            </w:r>
            <w:r w:rsidRPr="00AB6F27">
              <w:rPr>
                <w:rFonts w:ascii="Arial Narrow" w:hAnsi="Arial Narrow"/>
                <w:sz w:val="20"/>
                <w:szCs w:val="20"/>
              </w:rPr>
              <w:t>)</w:t>
            </w:r>
          </w:p>
        </w:tc>
        <w:tc>
          <w:tcPr>
            <w:tcW w:w="1607" w:type="dxa"/>
            <w:tcBorders>
              <w:left w:val="nil"/>
              <w:right w:val="nil"/>
            </w:tcBorders>
          </w:tcPr>
          <w:p w14:paraId="003C1BF0" w14:textId="77777777" w:rsidR="00E938DC" w:rsidRPr="00AB6F27" w:rsidRDefault="00E938DC" w:rsidP="003024A4">
            <w:pPr>
              <w:keepNext/>
              <w:keepLines/>
              <w:rPr>
                <w:rFonts w:ascii="Arial Narrow" w:hAnsi="Arial Narrow"/>
                <w:b/>
                <w:sz w:val="20"/>
                <w:szCs w:val="20"/>
              </w:rPr>
            </w:pPr>
          </w:p>
        </w:tc>
        <w:tc>
          <w:tcPr>
            <w:tcW w:w="1607" w:type="dxa"/>
            <w:tcBorders>
              <w:left w:val="nil"/>
              <w:right w:val="nil"/>
            </w:tcBorders>
          </w:tcPr>
          <w:p w14:paraId="1D087C83" w14:textId="77777777" w:rsidR="00E938DC" w:rsidRPr="00AB6F27" w:rsidRDefault="00E938DC" w:rsidP="003024A4">
            <w:pPr>
              <w:keepNext/>
              <w:keepLines/>
              <w:rPr>
                <w:rFonts w:ascii="Arial Narrow" w:hAnsi="Arial Narrow"/>
                <w:b/>
                <w:sz w:val="20"/>
                <w:szCs w:val="20"/>
              </w:rPr>
            </w:pPr>
          </w:p>
        </w:tc>
        <w:tc>
          <w:tcPr>
            <w:tcW w:w="1607" w:type="dxa"/>
            <w:tcBorders>
              <w:left w:val="nil"/>
            </w:tcBorders>
          </w:tcPr>
          <w:p w14:paraId="699D7B84" w14:textId="77777777" w:rsidR="00E938DC" w:rsidRPr="00AB6F27" w:rsidRDefault="00E938DC" w:rsidP="003024A4">
            <w:pPr>
              <w:keepNext/>
              <w:keepLines/>
              <w:rPr>
                <w:rFonts w:ascii="Arial Narrow" w:hAnsi="Arial Narrow"/>
                <w:b/>
                <w:sz w:val="20"/>
                <w:szCs w:val="20"/>
              </w:rPr>
            </w:pPr>
          </w:p>
        </w:tc>
      </w:tr>
      <w:tr w:rsidR="00120CB3" w:rsidRPr="00AB6F27" w14:paraId="267AF250" w14:textId="77777777" w:rsidTr="00C202B9">
        <w:trPr>
          <w:trHeight w:val="20"/>
        </w:trPr>
        <w:tc>
          <w:tcPr>
            <w:tcW w:w="2581" w:type="dxa"/>
            <w:tcBorders>
              <w:top w:val="single" w:sz="4" w:space="0" w:color="auto"/>
              <w:left w:val="single" w:sz="4" w:space="0" w:color="auto"/>
              <w:bottom w:val="single" w:sz="4" w:space="0" w:color="auto"/>
              <w:right w:val="single" w:sz="4" w:space="0" w:color="auto"/>
            </w:tcBorders>
          </w:tcPr>
          <w:p w14:paraId="44FE3ACC"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Mean (SD)</w:t>
            </w:r>
          </w:p>
        </w:tc>
        <w:tc>
          <w:tcPr>
            <w:tcW w:w="1608" w:type="dxa"/>
            <w:tcBorders>
              <w:top w:val="single" w:sz="4" w:space="0" w:color="auto"/>
              <w:left w:val="nil"/>
              <w:bottom w:val="single" w:sz="4" w:space="0" w:color="auto"/>
              <w:right w:val="single" w:sz="4" w:space="0" w:color="auto"/>
            </w:tcBorders>
            <w:vAlign w:val="bottom"/>
          </w:tcPr>
          <w:p w14:paraId="68226B84" w14:textId="66ECEE98"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9.4 (6.4)</w:t>
            </w:r>
          </w:p>
        </w:tc>
        <w:tc>
          <w:tcPr>
            <w:tcW w:w="1607" w:type="dxa"/>
            <w:tcBorders>
              <w:top w:val="single" w:sz="4" w:space="0" w:color="auto"/>
              <w:left w:val="single" w:sz="4" w:space="0" w:color="auto"/>
              <w:bottom w:val="single" w:sz="4" w:space="0" w:color="auto"/>
              <w:right w:val="single" w:sz="4" w:space="0" w:color="auto"/>
            </w:tcBorders>
            <w:vAlign w:val="bottom"/>
          </w:tcPr>
          <w:p w14:paraId="0B8384C4" w14:textId="02CF5B31"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6.1 (4.5)</w:t>
            </w:r>
          </w:p>
        </w:tc>
        <w:tc>
          <w:tcPr>
            <w:tcW w:w="1607" w:type="dxa"/>
            <w:tcBorders>
              <w:top w:val="single" w:sz="4" w:space="0" w:color="auto"/>
              <w:left w:val="single" w:sz="4" w:space="0" w:color="auto"/>
              <w:bottom w:val="single" w:sz="4" w:space="0" w:color="auto"/>
              <w:right w:val="single" w:sz="4" w:space="0" w:color="auto"/>
            </w:tcBorders>
            <w:vAlign w:val="bottom"/>
          </w:tcPr>
          <w:p w14:paraId="4F891690" w14:textId="28078C43"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6.0 (4.8)</w:t>
            </w:r>
          </w:p>
        </w:tc>
        <w:tc>
          <w:tcPr>
            <w:tcW w:w="1607" w:type="dxa"/>
            <w:tcBorders>
              <w:top w:val="single" w:sz="4" w:space="0" w:color="auto"/>
              <w:left w:val="single" w:sz="4" w:space="0" w:color="auto"/>
              <w:bottom w:val="single" w:sz="4" w:space="0" w:color="auto"/>
              <w:right w:val="single" w:sz="4" w:space="0" w:color="auto"/>
            </w:tcBorders>
            <w:vAlign w:val="bottom"/>
          </w:tcPr>
          <w:p w14:paraId="59337777" w14:textId="24B6EBEB"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5.2 (4.2)</w:t>
            </w:r>
          </w:p>
        </w:tc>
      </w:tr>
      <w:tr w:rsidR="00120CB3" w:rsidRPr="00AB6F27" w14:paraId="224714FF" w14:textId="77777777" w:rsidTr="00C202B9">
        <w:trPr>
          <w:trHeight w:val="20"/>
        </w:trPr>
        <w:tc>
          <w:tcPr>
            <w:tcW w:w="2581" w:type="dxa"/>
            <w:tcBorders>
              <w:top w:val="single" w:sz="4" w:space="0" w:color="auto"/>
              <w:left w:val="single" w:sz="4" w:space="0" w:color="auto"/>
              <w:bottom w:val="single" w:sz="4" w:space="0" w:color="auto"/>
              <w:right w:val="single" w:sz="4" w:space="0" w:color="auto"/>
            </w:tcBorders>
          </w:tcPr>
          <w:p w14:paraId="55AEB7FC"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Median (range)</w:t>
            </w:r>
          </w:p>
        </w:tc>
        <w:tc>
          <w:tcPr>
            <w:tcW w:w="1608" w:type="dxa"/>
            <w:tcBorders>
              <w:top w:val="single" w:sz="4" w:space="0" w:color="auto"/>
              <w:left w:val="nil"/>
              <w:bottom w:val="single" w:sz="4" w:space="0" w:color="auto"/>
              <w:right w:val="single" w:sz="4" w:space="0" w:color="auto"/>
            </w:tcBorders>
            <w:vAlign w:val="bottom"/>
          </w:tcPr>
          <w:p w14:paraId="2AD51EFB" w14:textId="3541E3BC"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7.7 (0, 23)</w:t>
            </w:r>
          </w:p>
        </w:tc>
        <w:tc>
          <w:tcPr>
            <w:tcW w:w="1607" w:type="dxa"/>
            <w:tcBorders>
              <w:top w:val="single" w:sz="4" w:space="0" w:color="auto"/>
              <w:left w:val="single" w:sz="4" w:space="0" w:color="auto"/>
              <w:bottom w:val="single" w:sz="4" w:space="0" w:color="auto"/>
              <w:right w:val="single" w:sz="4" w:space="0" w:color="auto"/>
            </w:tcBorders>
            <w:vAlign w:val="bottom"/>
          </w:tcPr>
          <w:p w14:paraId="4D125441" w14:textId="5567A7A7"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5.2 (0, 21)</w:t>
            </w:r>
          </w:p>
        </w:tc>
        <w:tc>
          <w:tcPr>
            <w:tcW w:w="1607" w:type="dxa"/>
            <w:tcBorders>
              <w:top w:val="single" w:sz="4" w:space="0" w:color="auto"/>
              <w:left w:val="single" w:sz="4" w:space="0" w:color="auto"/>
              <w:bottom w:val="single" w:sz="4" w:space="0" w:color="auto"/>
              <w:right w:val="single" w:sz="4" w:space="0" w:color="auto"/>
            </w:tcBorders>
            <w:vAlign w:val="bottom"/>
          </w:tcPr>
          <w:p w14:paraId="53372FFB" w14:textId="641C7EA9"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5.2 (0, 24)</w:t>
            </w:r>
          </w:p>
        </w:tc>
        <w:tc>
          <w:tcPr>
            <w:tcW w:w="1607" w:type="dxa"/>
            <w:tcBorders>
              <w:top w:val="single" w:sz="4" w:space="0" w:color="auto"/>
              <w:left w:val="single" w:sz="4" w:space="0" w:color="auto"/>
              <w:bottom w:val="single" w:sz="4" w:space="0" w:color="auto"/>
              <w:right w:val="single" w:sz="4" w:space="0" w:color="auto"/>
            </w:tcBorders>
            <w:vAlign w:val="bottom"/>
          </w:tcPr>
          <w:p w14:paraId="07389F62" w14:textId="15745112" w:rsidR="00120CB3" w:rsidRPr="00AB6F27" w:rsidRDefault="00120CB3" w:rsidP="00120CB3">
            <w:pPr>
              <w:keepNext/>
              <w:keepLines/>
              <w:jc w:val="center"/>
              <w:rPr>
                <w:rFonts w:ascii="Arial Narrow" w:hAnsi="Arial Narrow"/>
                <w:bCs/>
                <w:sz w:val="20"/>
                <w:szCs w:val="20"/>
              </w:rPr>
            </w:pPr>
            <w:r w:rsidRPr="00AB6F27">
              <w:rPr>
                <w:rFonts w:ascii="Arial Narrow" w:hAnsi="Arial Narrow"/>
                <w:color w:val="000000"/>
                <w:sz w:val="20"/>
                <w:szCs w:val="20"/>
              </w:rPr>
              <w:t>4.2 (0, 21)</w:t>
            </w:r>
          </w:p>
        </w:tc>
      </w:tr>
      <w:tr w:rsidR="00120CB3" w:rsidRPr="00AB6F27" w14:paraId="53B54EED" w14:textId="77777777" w:rsidTr="00120CB3">
        <w:trPr>
          <w:trHeight w:val="20"/>
        </w:trPr>
        <w:tc>
          <w:tcPr>
            <w:tcW w:w="4189" w:type="dxa"/>
            <w:gridSpan w:val="2"/>
            <w:tcBorders>
              <w:right w:val="nil"/>
            </w:tcBorders>
          </w:tcPr>
          <w:p w14:paraId="1BFD3C6D" w14:textId="77777777" w:rsidR="00120CB3" w:rsidRPr="00AB6F27" w:rsidRDefault="00120CB3" w:rsidP="00120CB3">
            <w:pPr>
              <w:keepNext/>
              <w:keepLines/>
              <w:rPr>
                <w:rFonts w:ascii="Arial Narrow" w:hAnsi="Arial Narrow"/>
                <w:b/>
                <w:sz w:val="20"/>
                <w:szCs w:val="20"/>
              </w:rPr>
            </w:pPr>
            <w:r w:rsidRPr="00AB6F27">
              <w:rPr>
                <w:rFonts w:ascii="Arial Narrow" w:hAnsi="Arial Narrow"/>
                <w:bCs/>
                <w:sz w:val="20"/>
                <w:szCs w:val="20"/>
              </w:rPr>
              <w:t>Efficacy Update Report Anti-PD-1/PD-L1 ToT (months)</w:t>
            </w:r>
          </w:p>
        </w:tc>
        <w:tc>
          <w:tcPr>
            <w:tcW w:w="1607" w:type="dxa"/>
            <w:tcBorders>
              <w:left w:val="nil"/>
              <w:right w:val="nil"/>
            </w:tcBorders>
          </w:tcPr>
          <w:p w14:paraId="5D03E781" w14:textId="77777777" w:rsidR="00120CB3" w:rsidRPr="00AB6F27" w:rsidRDefault="00120CB3" w:rsidP="00120CB3">
            <w:pPr>
              <w:keepNext/>
              <w:keepLines/>
              <w:rPr>
                <w:rFonts w:ascii="Arial Narrow" w:hAnsi="Arial Narrow"/>
                <w:b/>
                <w:sz w:val="20"/>
                <w:szCs w:val="20"/>
              </w:rPr>
            </w:pPr>
          </w:p>
        </w:tc>
        <w:tc>
          <w:tcPr>
            <w:tcW w:w="1607" w:type="dxa"/>
            <w:tcBorders>
              <w:left w:val="nil"/>
              <w:right w:val="nil"/>
            </w:tcBorders>
          </w:tcPr>
          <w:p w14:paraId="79D52BC2" w14:textId="77777777" w:rsidR="00120CB3" w:rsidRPr="00AB6F27" w:rsidRDefault="00120CB3" w:rsidP="00120CB3">
            <w:pPr>
              <w:keepNext/>
              <w:keepLines/>
              <w:rPr>
                <w:rFonts w:ascii="Arial Narrow" w:hAnsi="Arial Narrow"/>
                <w:b/>
                <w:sz w:val="20"/>
                <w:szCs w:val="20"/>
              </w:rPr>
            </w:pPr>
          </w:p>
        </w:tc>
        <w:tc>
          <w:tcPr>
            <w:tcW w:w="1607" w:type="dxa"/>
            <w:tcBorders>
              <w:left w:val="nil"/>
            </w:tcBorders>
          </w:tcPr>
          <w:p w14:paraId="01FCA0E6" w14:textId="77777777" w:rsidR="00120CB3" w:rsidRPr="00AB6F27" w:rsidRDefault="00120CB3" w:rsidP="00120CB3">
            <w:pPr>
              <w:keepNext/>
              <w:keepLines/>
              <w:rPr>
                <w:rFonts w:ascii="Arial Narrow" w:hAnsi="Arial Narrow"/>
                <w:b/>
                <w:sz w:val="20"/>
                <w:szCs w:val="20"/>
              </w:rPr>
            </w:pPr>
          </w:p>
        </w:tc>
      </w:tr>
      <w:tr w:rsidR="00120CB3" w:rsidRPr="00AB6F27" w14:paraId="6205AB3B" w14:textId="77777777" w:rsidTr="00120CB3">
        <w:trPr>
          <w:trHeight w:val="20"/>
        </w:trPr>
        <w:tc>
          <w:tcPr>
            <w:tcW w:w="2581" w:type="dxa"/>
          </w:tcPr>
          <w:p w14:paraId="6DA1BCDA" w14:textId="77777777" w:rsidR="00120CB3" w:rsidRPr="00AB6F27" w:rsidRDefault="00120CB3" w:rsidP="00120CB3">
            <w:pPr>
              <w:keepNext/>
              <w:keepLines/>
              <w:ind w:left="720"/>
              <w:rPr>
                <w:rFonts w:ascii="Arial Narrow" w:hAnsi="Arial Narrow"/>
                <w:sz w:val="20"/>
                <w:szCs w:val="20"/>
              </w:rPr>
            </w:pPr>
            <w:r w:rsidRPr="00AB6F27">
              <w:rPr>
                <w:rFonts w:ascii="Arial Narrow" w:hAnsi="Arial Narrow"/>
                <w:sz w:val="20"/>
                <w:szCs w:val="20"/>
              </w:rPr>
              <w:t>Mean (SE)</w:t>
            </w:r>
          </w:p>
        </w:tc>
        <w:tc>
          <w:tcPr>
            <w:tcW w:w="1608" w:type="dxa"/>
          </w:tcPr>
          <w:p w14:paraId="70D6F778"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14.4 (0.8)</w:t>
            </w:r>
          </w:p>
        </w:tc>
        <w:tc>
          <w:tcPr>
            <w:tcW w:w="1607" w:type="dxa"/>
          </w:tcPr>
          <w:p w14:paraId="01E0B59A"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6.5 (0.5)</w:t>
            </w:r>
          </w:p>
        </w:tc>
        <w:tc>
          <w:tcPr>
            <w:tcW w:w="1607" w:type="dxa"/>
          </w:tcPr>
          <w:p w14:paraId="24A383E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9.9 (0.5)</w:t>
            </w:r>
          </w:p>
        </w:tc>
        <w:tc>
          <w:tcPr>
            <w:tcW w:w="1607" w:type="dxa"/>
          </w:tcPr>
          <w:p w14:paraId="3008F0A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6.1 (0.3)</w:t>
            </w:r>
          </w:p>
        </w:tc>
      </w:tr>
      <w:tr w:rsidR="00120CB3" w:rsidRPr="00AB6F27" w14:paraId="59A75AE6" w14:textId="77777777" w:rsidTr="00120CB3">
        <w:trPr>
          <w:trHeight w:val="20"/>
        </w:trPr>
        <w:tc>
          <w:tcPr>
            <w:tcW w:w="2581" w:type="dxa"/>
          </w:tcPr>
          <w:p w14:paraId="0E86F1D8" w14:textId="77777777" w:rsidR="00120CB3" w:rsidRPr="00AB6F27" w:rsidRDefault="00120CB3" w:rsidP="00120CB3">
            <w:pPr>
              <w:keepNext/>
              <w:keepLines/>
              <w:ind w:left="720"/>
              <w:rPr>
                <w:rFonts w:ascii="Arial Narrow" w:hAnsi="Arial Narrow"/>
                <w:sz w:val="20"/>
                <w:szCs w:val="20"/>
              </w:rPr>
            </w:pPr>
            <w:r w:rsidRPr="00AB6F27">
              <w:rPr>
                <w:rFonts w:ascii="Arial Narrow" w:hAnsi="Arial Narrow"/>
                <w:sz w:val="20"/>
                <w:szCs w:val="20"/>
              </w:rPr>
              <w:t>Median (95% CI)</w:t>
            </w:r>
          </w:p>
        </w:tc>
        <w:tc>
          <w:tcPr>
            <w:tcW w:w="1608" w:type="dxa"/>
          </w:tcPr>
          <w:p w14:paraId="69F8A529"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16.1 (11.53, 20.76)</w:t>
            </w:r>
          </w:p>
        </w:tc>
        <w:tc>
          <w:tcPr>
            <w:tcW w:w="1607" w:type="dxa"/>
          </w:tcPr>
          <w:p w14:paraId="02E510D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5.6 (4.17, 5.78)</w:t>
            </w:r>
          </w:p>
        </w:tc>
        <w:tc>
          <w:tcPr>
            <w:tcW w:w="1607" w:type="dxa"/>
          </w:tcPr>
          <w:p w14:paraId="28C457CF"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7.6 (7.03, 8.77)</w:t>
            </w:r>
          </w:p>
        </w:tc>
        <w:tc>
          <w:tcPr>
            <w:tcW w:w="1607" w:type="dxa"/>
          </w:tcPr>
          <w:p w14:paraId="0F696729"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5.5 (4.47, 5.55)</w:t>
            </w:r>
          </w:p>
        </w:tc>
      </w:tr>
      <w:tr w:rsidR="00120CB3" w:rsidRPr="00AB6F27" w14:paraId="7FB47D05" w14:textId="77777777" w:rsidTr="00120CB3">
        <w:trPr>
          <w:trHeight w:val="20"/>
        </w:trPr>
        <w:tc>
          <w:tcPr>
            <w:tcW w:w="2581" w:type="dxa"/>
            <w:tcBorders>
              <w:bottom w:val="single" w:sz="4" w:space="0" w:color="auto"/>
            </w:tcBorders>
            <w:shd w:val="clear" w:color="auto" w:fill="C6D9F1" w:themeFill="text2" w:themeFillTint="33"/>
            <w:vAlign w:val="center"/>
          </w:tcPr>
          <w:p w14:paraId="0456FC94" w14:textId="77777777" w:rsidR="00120CB3" w:rsidRPr="00AB6F27" w:rsidRDefault="00120CB3" w:rsidP="00120CB3">
            <w:pPr>
              <w:keepNext/>
              <w:keepLines/>
              <w:rPr>
                <w:rFonts w:ascii="Arial Narrow" w:hAnsi="Arial Narrow"/>
                <w:b/>
                <w:bCs/>
                <w:sz w:val="20"/>
                <w:szCs w:val="20"/>
              </w:rPr>
            </w:pPr>
            <w:r w:rsidRPr="00AB6F27">
              <w:rPr>
                <w:rFonts w:ascii="Arial Narrow" w:hAnsi="Arial Narrow"/>
                <w:b/>
                <w:bCs/>
                <w:sz w:val="20"/>
                <w:szCs w:val="20"/>
              </w:rPr>
              <w:t>RUBY-1</w:t>
            </w:r>
          </w:p>
        </w:tc>
        <w:tc>
          <w:tcPr>
            <w:tcW w:w="1608" w:type="dxa"/>
            <w:tcBorders>
              <w:bottom w:val="single" w:sz="4" w:space="0" w:color="auto"/>
            </w:tcBorders>
            <w:shd w:val="clear" w:color="auto" w:fill="C6D9F1" w:themeFill="text2" w:themeFillTint="33"/>
            <w:vAlign w:val="center"/>
          </w:tcPr>
          <w:p w14:paraId="18247722" w14:textId="77777777" w:rsidR="00120CB3" w:rsidRPr="00AB6F27" w:rsidRDefault="00120CB3" w:rsidP="00120CB3">
            <w:pPr>
              <w:keepNext/>
              <w:keepLines/>
              <w:jc w:val="center"/>
              <w:rPr>
                <w:rFonts w:ascii="Arial Narrow" w:hAnsi="Arial Narrow"/>
                <w:b/>
                <w:bCs/>
                <w:sz w:val="20"/>
                <w:szCs w:val="20"/>
              </w:rPr>
            </w:pPr>
            <w:r w:rsidRPr="00AB6F27">
              <w:rPr>
                <w:rFonts w:ascii="Arial Narrow" w:hAnsi="Arial Narrow"/>
                <w:b/>
                <w:bCs/>
                <w:sz w:val="20"/>
                <w:szCs w:val="20"/>
              </w:rPr>
              <w:t>DOS+PBC</w:t>
            </w:r>
          </w:p>
        </w:tc>
        <w:tc>
          <w:tcPr>
            <w:tcW w:w="1607" w:type="dxa"/>
            <w:tcBorders>
              <w:bottom w:val="single" w:sz="4" w:space="0" w:color="auto"/>
            </w:tcBorders>
            <w:shd w:val="clear" w:color="auto" w:fill="C6D9F1" w:themeFill="text2" w:themeFillTint="33"/>
            <w:vAlign w:val="center"/>
          </w:tcPr>
          <w:p w14:paraId="49FB2420"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b/>
                <w:sz w:val="20"/>
                <w:szCs w:val="20"/>
              </w:rPr>
              <w:t>PBO+PBC</w:t>
            </w:r>
          </w:p>
        </w:tc>
        <w:tc>
          <w:tcPr>
            <w:tcW w:w="1607" w:type="dxa"/>
            <w:tcBorders>
              <w:bottom w:val="single" w:sz="4" w:space="0" w:color="auto"/>
            </w:tcBorders>
            <w:shd w:val="clear" w:color="auto" w:fill="C6D9F1" w:themeFill="text2" w:themeFillTint="33"/>
            <w:vAlign w:val="center"/>
          </w:tcPr>
          <w:p w14:paraId="42A5B21F" w14:textId="77777777" w:rsidR="00120CB3" w:rsidRPr="00AB6F27" w:rsidRDefault="00120CB3" w:rsidP="00120CB3">
            <w:pPr>
              <w:keepNext/>
              <w:keepLines/>
              <w:jc w:val="center"/>
              <w:rPr>
                <w:rFonts w:ascii="Arial Narrow" w:hAnsi="Arial Narrow"/>
                <w:b/>
                <w:bCs/>
                <w:sz w:val="20"/>
                <w:szCs w:val="20"/>
              </w:rPr>
            </w:pPr>
            <w:r w:rsidRPr="00AB6F27">
              <w:rPr>
                <w:rFonts w:ascii="Arial Narrow" w:hAnsi="Arial Narrow"/>
                <w:b/>
                <w:bCs/>
                <w:sz w:val="20"/>
                <w:szCs w:val="20"/>
              </w:rPr>
              <w:t>DOS+PBC</w:t>
            </w:r>
          </w:p>
        </w:tc>
        <w:tc>
          <w:tcPr>
            <w:tcW w:w="1607" w:type="dxa"/>
            <w:tcBorders>
              <w:bottom w:val="single" w:sz="4" w:space="0" w:color="auto"/>
            </w:tcBorders>
            <w:shd w:val="clear" w:color="auto" w:fill="C6D9F1" w:themeFill="text2" w:themeFillTint="33"/>
            <w:vAlign w:val="center"/>
          </w:tcPr>
          <w:p w14:paraId="69AF2893" w14:textId="77777777" w:rsidR="00120CB3" w:rsidRPr="00AB6F27" w:rsidRDefault="00120CB3" w:rsidP="00120CB3">
            <w:pPr>
              <w:keepNext/>
              <w:keepLines/>
              <w:jc w:val="center"/>
              <w:rPr>
                <w:rFonts w:ascii="Arial Narrow" w:hAnsi="Arial Narrow"/>
                <w:b/>
                <w:bCs/>
                <w:sz w:val="20"/>
                <w:szCs w:val="20"/>
              </w:rPr>
            </w:pPr>
            <w:r w:rsidRPr="00AB6F27">
              <w:rPr>
                <w:rFonts w:ascii="Arial Narrow" w:hAnsi="Arial Narrow"/>
                <w:b/>
                <w:bCs/>
                <w:sz w:val="20"/>
                <w:szCs w:val="20"/>
              </w:rPr>
              <w:t>PBO+PBC</w:t>
            </w:r>
          </w:p>
        </w:tc>
      </w:tr>
      <w:tr w:rsidR="00120CB3" w:rsidRPr="00AB6F27" w14:paraId="0ADC8B1D" w14:textId="77777777" w:rsidTr="00120CB3">
        <w:trPr>
          <w:trHeight w:val="20"/>
        </w:trPr>
        <w:tc>
          <w:tcPr>
            <w:tcW w:w="4189" w:type="dxa"/>
            <w:gridSpan w:val="2"/>
            <w:tcBorders>
              <w:top w:val="single" w:sz="4" w:space="0" w:color="auto"/>
              <w:left w:val="single" w:sz="4" w:space="0" w:color="auto"/>
              <w:bottom w:val="single" w:sz="4" w:space="0" w:color="auto"/>
              <w:right w:val="nil"/>
            </w:tcBorders>
            <w:shd w:val="clear" w:color="auto" w:fill="C6D9F1" w:themeFill="text2" w:themeFillTint="33"/>
            <w:vAlign w:val="center"/>
          </w:tcPr>
          <w:p w14:paraId="4A2D1F0E" w14:textId="77777777" w:rsidR="00120CB3" w:rsidRPr="00AB6F27" w:rsidRDefault="00120CB3" w:rsidP="00120CB3">
            <w:pPr>
              <w:keepNext/>
              <w:keepLines/>
              <w:rPr>
                <w:rFonts w:ascii="Arial Narrow" w:hAnsi="Arial Narrow"/>
                <w:sz w:val="20"/>
                <w:szCs w:val="20"/>
              </w:rPr>
            </w:pPr>
            <w:r w:rsidRPr="00AB6F27">
              <w:rPr>
                <w:rFonts w:ascii="Arial Narrow" w:hAnsi="Arial Narrow"/>
                <w:sz w:val="20"/>
                <w:szCs w:val="20"/>
              </w:rPr>
              <w:t>Interim Analysis 1 Anti-PD-1/PD-L1 ToT (months)</w:t>
            </w:r>
          </w:p>
        </w:tc>
        <w:tc>
          <w:tcPr>
            <w:tcW w:w="1607" w:type="dxa"/>
            <w:tcBorders>
              <w:top w:val="single" w:sz="4" w:space="0" w:color="auto"/>
              <w:left w:val="nil"/>
              <w:bottom w:val="single" w:sz="4" w:space="0" w:color="auto"/>
              <w:right w:val="nil"/>
            </w:tcBorders>
            <w:shd w:val="clear" w:color="auto" w:fill="C6D9F1" w:themeFill="text2" w:themeFillTint="33"/>
          </w:tcPr>
          <w:p w14:paraId="400D27D7"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nil"/>
            </w:tcBorders>
            <w:shd w:val="clear" w:color="auto" w:fill="C6D9F1" w:themeFill="text2" w:themeFillTint="33"/>
          </w:tcPr>
          <w:p w14:paraId="53BE2F15"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single" w:sz="4" w:space="0" w:color="auto"/>
            </w:tcBorders>
            <w:shd w:val="clear" w:color="auto" w:fill="C6D9F1" w:themeFill="text2" w:themeFillTint="33"/>
          </w:tcPr>
          <w:p w14:paraId="42211983" w14:textId="77777777" w:rsidR="00120CB3" w:rsidRPr="00AB6F27" w:rsidRDefault="00120CB3" w:rsidP="00120CB3">
            <w:pPr>
              <w:keepNext/>
              <w:keepLines/>
              <w:jc w:val="center"/>
              <w:rPr>
                <w:rFonts w:ascii="Arial Narrow" w:hAnsi="Arial Narrow"/>
                <w:sz w:val="20"/>
                <w:szCs w:val="20"/>
              </w:rPr>
            </w:pPr>
          </w:p>
        </w:tc>
      </w:tr>
      <w:tr w:rsidR="00120CB3" w:rsidRPr="00AB6F27" w14:paraId="7F1B3818"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D186D1"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Mean (SD)</w:t>
            </w:r>
          </w:p>
        </w:tc>
        <w:tc>
          <w:tcPr>
            <w:tcW w:w="16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DCB02"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16.4</w:t>
            </w:r>
          </w:p>
        </w:tc>
        <w:tc>
          <w:tcPr>
            <w:tcW w:w="16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1BF5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c>
          <w:tcPr>
            <w:tcW w:w="16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A6BF4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c>
          <w:tcPr>
            <w:tcW w:w="16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05E47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r>
      <w:tr w:rsidR="00120CB3" w:rsidRPr="00AB6F27" w14:paraId="315998E9"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3E2C2"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Median (range)</w:t>
            </w:r>
          </w:p>
        </w:tc>
        <w:tc>
          <w:tcPr>
            <w:tcW w:w="16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F1800"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17.6 (0.69-34.59)</w:t>
            </w:r>
          </w:p>
        </w:tc>
        <w:tc>
          <w:tcPr>
            <w:tcW w:w="16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88495"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7.3 (0.69-35.21)</w:t>
            </w:r>
          </w:p>
        </w:tc>
        <w:tc>
          <w:tcPr>
            <w:tcW w:w="16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72EDAC"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c>
          <w:tcPr>
            <w:tcW w:w="16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149308"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r>
      <w:tr w:rsidR="00120CB3" w:rsidRPr="00AB6F27" w14:paraId="4270156B" w14:textId="77777777" w:rsidTr="00120CB3">
        <w:trPr>
          <w:trHeight w:val="20"/>
        </w:trPr>
        <w:tc>
          <w:tcPr>
            <w:tcW w:w="2581" w:type="dxa"/>
            <w:tcBorders>
              <w:top w:val="single" w:sz="4" w:space="0" w:color="auto"/>
              <w:left w:val="single" w:sz="4" w:space="0" w:color="auto"/>
              <w:bottom w:val="single" w:sz="4" w:space="0" w:color="auto"/>
              <w:right w:val="nil"/>
            </w:tcBorders>
          </w:tcPr>
          <w:p w14:paraId="554BF7FD" w14:textId="77777777" w:rsidR="00120CB3" w:rsidRPr="00AB6F27" w:rsidRDefault="00120CB3" w:rsidP="00120CB3">
            <w:pPr>
              <w:keepNext/>
              <w:keepLines/>
              <w:rPr>
                <w:rFonts w:ascii="Arial Narrow" w:hAnsi="Arial Narrow"/>
                <w:sz w:val="20"/>
                <w:szCs w:val="20"/>
              </w:rPr>
            </w:pPr>
            <w:r w:rsidRPr="00AB6F27">
              <w:rPr>
                <w:rFonts w:ascii="Arial Narrow" w:hAnsi="Arial Narrow"/>
                <w:sz w:val="20"/>
                <w:szCs w:val="20"/>
              </w:rPr>
              <w:t>Interim Analysis 2</w:t>
            </w:r>
          </w:p>
        </w:tc>
        <w:tc>
          <w:tcPr>
            <w:tcW w:w="1608" w:type="dxa"/>
            <w:tcBorders>
              <w:top w:val="single" w:sz="4" w:space="0" w:color="auto"/>
              <w:left w:val="nil"/>
              <w:bottom w:val="single" w:sz="4" w:space="0" w:color="auto"/>
              <w:right w:val="nil"/>
            </w:tcBorders>
          </w:tcPr>
          <w:p w14:paraId="5E757A7A"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nil"/>
            </w:tcBorders>
          </w:tcPr>
          <w:p w14:paraId="5BE884CB"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nil"/>
            </w:tcBorders>
          </w:tcPr>
          <w:p w14:paraId="023B3DDC"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single" w:sz="4" w:space="0" w:color="auto"/>
            </w:tcBorders>
          </w:tcPr>
          <w:p w14:paraId="35C0D9CB" w14:textId="77777777" w:rsidR="00120CB3" w:rsidRPr="00AB6F27" w:rsidRDefault="00120CB3" w:rsidP="00120CB3">
            <w:pPr>
              <w:keepNext/>
              <w:keepLines/>
              <w:jc w:val="center"/>
              <w:rPr>
                <w:rFonts w:ascii="Arial Narrow" w:hAnsi="Arial Narrow"/>
                <w:sz w:val="20"/>
                <w:szCs w:val="20"/>
              </w:rPr>
            </w:pPr>
          </w:p>
        </w:tc>
      </w:tr>
      <w:tr w:rsidR="00120CB3" w:rsidRPr="00AB6F27" w14:paraId="3C57F284"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tcPr>
          <w:p w14:paraId="60F27E17"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Mean (SD)</w:t>
            </w:r>
          </w:p>
        </w:tc>
        <w:tc>
          <w:tcPr>
            <w:tcW w:w="1608" w:type="dxa"/>
            <w:tcBorders>
              <w:top w:val="single" w:sz="4" w:space="0" w:color="auto"/>
              <w:left w:val="single" w:sz="4" w:space="0" w:color="auto"/>
              <w:bottom w:val="single" w:sz="4" w:space="0" w:color="auto"/>
              <w:right w:val="single" w:sz="4" w:space="0" w:color="auto"/>
            </w:tcBorders>
          </w:tcPr>
          <w:p w14:paraId="51DC187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c>
          <w:tcPr>
            <w:tcW w:w="1607" w:type="dxa"/>
            <w:tcBorders>
              <w:top w:val="single" w:sz="4" w:space="0" w:color="auto"/>
              <w:left w:val="single" w:sz="4" w:space="0" w:color="auto"/>
              <w:bottom w:val="single" w:sz="4" w:space="0" w:color="auto"/>
              <w:right w:val="single" w:sz="4" w:space="0" w:color="auto"/>
            </w:tcBorders>
          </w:tcPr>
          <w:p w14:paraId="03A44EFA"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c>
          <w:tcPr>
            <w:tcW w:w="1607" w:type="dxa"/>
            <w:tcBorders>
              <w:top w:val="single" w:sz="4" w:space="0" w:color="auto"/>
              <w:left w:val="single" w:sz="4" w:space="0" w:color="auto"/>
              <w:bottom w:val="single" w:sz="4" w:space="0" w:color="auto"/>
              <w:right w:val="single" w:sz="4" w:space="0" w:color="auto"/>
            </w:tcBorders>
          </w:tcPr>
          <w:p w14:paraId="51767EF2"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c>
          <w:tcPr>
            <w:tcW w:w="1607" w:type="dxa"/>
            <w:tcBorders>
              <w:top w:val="single" w:sz="4" w:space="0" w:color="auto"/>
              <w:left w:val="single" w:sz="4" w:space="0" w:color="auto"/>
              <w:bottom w:val="single" w:sz="4" w:space="0" w:color="auto"/>
              <w:right w:val="single" w:sz="4" w:space="0" w:color="auto"/>
            </w:tcBorders>
          </w:tcPr>
          <w:p w14:paraId="49F0F79C"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NA</w:t>
            </w:r>
          </w:p>
        </w:tc>
      </w:tr>
      <w:tr w:rsidR="00120CB3" w:rsidRPr="00AB6F27" w14:paraId="3DB56C03"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tcPr>
          <w:p w14:paraId="14FF7970"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Median (range)</w:t>
            </w:r>
          </w:p>
        </w:tc>
        <w:tc>
          <w:tcPr>
            <w:tcW w:w="1608" w:type="dxa"/>
            <w:tcBorders>
              <w:top w:val="single" w:sz="4" w:space="0" w:color="auto"/>
              <w:left w:val="single" w:sz="4" w:space="0" w:color="auto"/>
              <w:bottom w:val="single" w:sz="4" w:space="0" w:color="auto"/>
              <w:right w:val="single" w:sz="4" w:space="0" w:color="auto"/>
            </w:tcBorders>
          </w:tcPr>
          <w:p w14:paraId="27E27C1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17.6 (0.69-44.32)</w:t>
            </w:r>
          </w:p>
        </w:tc>
        <w:tc>
          <w:tcPr>
            <w:tcW w:w="1607" w:type="dxa"/>
            <w:tcBorders>
              <w:top w:val="single" w:sz="4" w:space="0" w:color="auto"/>
              <w:left w:val="single" w:sz="4" w:space="0" w:color="auto"/>
              <w:bottom w:val="single" w:sz="4" w:space="0" w:color="auto"/>
              <w:right w:val="single" w:sz="4" w:space="0" w:color="auto"/>
            </w:tcBorders>
          </w:tcPr>
          <w:p w14:paraId="36BFD70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7.3 (0.69, 44.44)-</w:t>
            </w:r>
          </w:p>
        </w:tc>
        <w:tc>
          <w:tcPr>
            <w:tcW w:w="1607" w:type="dxa"/>
            <w:tcBorders>
              <w:top w:val="single" w:sz="4" w:space="0" w:color="auto"/>
              <w:left w:val="single" w:sz="4" w:space="0" w:color="auto"/>
              <w:bottom w:val="single" w:sz="4" w:space="0" w:color="auto"/>
              <w:right w:val="single" w:sz="4" w:space="0" w:color="auto"/>
            </w:tcBorders>
          </w:tcPr>
          <w:p w14:paraId="78A9CCE2"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9.0 (0.69-43.89)</w:t>
            </w:r>
          </w:p>
        </w:tc>
        <w:tc>
          <w:tcPr>
            <w:tcW w:w="1607" w:type="dxa"/>
            <w:tcBorders>
              <w:top w:val="single" w:sz="4" w:space="0" w:color="auto"/>
              <w:left w:val="single" w:sz="4" w:space="0" w:color="auto"/>
              <w:bottom w:val="single" w:sz="4" w:space="0" w:color="auto"/>
              <w:right w:val="single" w:sz="4" w:space="0" w:color="auto"/>
            </w:tcBorders>
          </w:tcPr>
          <w:p w14:paraId="2525FF07"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8.3 (0.48-43.04)</w:t>
            </w:r>
          </w:p>
        </w:tc>
      </w:tr>
      <w:tr w:rsidR="00120CB3" w:rsidRPr="00AB6F27" w14:paraId="359D268C"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vAlign w:val="center"/>
          </w:tcPr>
          <w:p w14:paraId="73FD78F7" w14:textId="77777777" w:rsidR="00120CB3" w:rsidRPr="00AB6F27" w:rsidRDefault="00120CB3" w:rsidP="00120CB3">
            <w:pPr>
              <w:keepNext/>
              <w:keepLines/>
              <w:rPr>
                <w:rFonts w:ascii="Arial Narrow" w:hAnsi="Arial Narrow"/>
                <w:b/>
                <w:sz w:val="20"/>
                <w:szCs w:val="20"/>
              </w:rPr>
            </w:pPr>
            <w:r w:rsidRPr="00AB6F27">
              <w:rPr>
                <w:rFonts w:ascii="Arial Narrow" w:hAnsi="Arial Narrow"/>
                <w:b/>
                <w:sz w:val="20"/>
                <w:szCs w:val="20"/>
              </w:rPr>
              <w:t>DUO-E</w:t>
            </w:r>
          </w:p>
        </w:tc>
        <w:tc>
          <w:tcPr>
            <w:tcW w:w="1608" w:type="dxa"/>
            <w:tcBorders>
              <w:bottom w:val="single" w:sz="4" w:space="0" w:color="auto"/>
            </w:tcBorders>
            <w:vAlign w:val="center"/>
          </w:tcPr>
          <w:p w14:paraId="5E169FA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b/>
                <w:sz w:val="20"/>
                <w:szCs w:val="20"/>
              </w:rPr>
              <w:t>DUR+PBC</w:t>
            </w:r>
          </w:p>
        </w:tc>
        <w:tc>
          <w:tcPr>
            <w:tcW w:w="1607" w:type="dxa"/>
            <w:tcBorders>
              <w:bottom w:val="single" w:sz="4" w:space="0" w:color="auto"/>
            </w:tcBorders>
            <w:vAlign w:val="center"/>
          </w:tcPr>
          <w:p w14:paraId="24F8AB1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b/>
                <w:sz w:val="20"/>
                <w:szCs w:val="20"/>
              </w:rPr>
              <w:t>PBO+PBC</w:t>
            </w:r>
          </w:p>
        </w:tc>
        <w:tc>
          <w:tcPr>
            <w:tcW w:w="1607" w:type="dxa"/>
            <w:tcBorders>
              <w:bottom w:val="single" w:sz="4" w:space="0" w:color="auto"/>
            </w:tcBorders>
            <w:vAlign w:val="center"/>
          </w:tcPr>
          <w:p w14:paraId="72C8FCE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b/>
                <w:sz w:val="20"/>
                <w:szCs w:val="20"/>
              </w:rPr>
              <w:t>DUR+PBC+OLA</w:t>
            </w:r>
          </w:p>
        </w:tc>
        <w:tc>
          <w:tcPr>
            <w:tcW w:w="1607" w:type="dxa"/>
            <w:tcBorders>
              <w:bottom w:val="single" w:sz="4" w:space="0" w:color="auto"/>
              <w:right w:val="single" w:sz="4" w:space="0" w:color="auto"/>
            </w:tcBorders>
            <w:vAlign w:val="center"/>
          </w:tcPr>
          <w:p w14:paraId="239C134D"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b/>
                <w:sz w:val="20"/>
                <w:szCs w:val="20"/>
              </w:rPr>
              <w:t>PBO+PBC</w:t>
            </w:r>
          </w:p>
        </w:tc>
      </w:tr>
      <w:tr w:rsidR="00120CB3" w:rsidRPr="00AB6F27" w14:paraId="4AF478ED" w14:textId="77777777" w:rsidTr="00120CB3">
        <w:trPr>
          <w:trHeight w:val="20"/>
        </w:trPr>
        <w:tc>
          <w:tcPr>
            <w:tcW w:w="4189" w:type="dxa"/>
            <w:gridSpan w:val="2"/>
            <w:tcBorders>
              <w:top w:val="single" w:sz="4" w:space="0" w:color="auto"/>
              <w:left w:val="single" w:sz="4" w:space="0" w:color="auto"/>
              <w:bottom w:val="single" w:sz="4" w:space="0" w:color="auto"/>
              <w:right w:val="nil"/>
            </w:tcBorders>
          </w:tcPr>
          <w:p w14:paraId="68DC9DD3" w14:textId="77777777" w:rsidR="00120CB3" w:rsidRPr="00AB6F27" w:rsidRDefault="00120CB3" w:rsidP="00120CB3">
            <w:pPr>
              <w:keepNext/>
              <w:keepLines/>
              <w:rPr>
                <w:rFonts w:ascii="Arial Narrow" w:hAnsi="Arial Narrow"/>
                <w:sz w:val="20"/>
                <w:szCs w:val="20"/>
              </w:rPr>
            </w:pPr>
            <w:r w:rsidRPr="00AB6F27">
              <w:rPr>
                <w:rFonts w:ascii="Arial Narrow" w:hAnsi="Arial Narrow"/>
                <w:bCs/>
                <w:sz w:val="20"/>
                <w:szCs w:val="20"/>
              </w:rPr>
              <w:t>Interim Analysis 1 Anti-PD-1/PD-L1 ToT (months)</w:t>
            </w:r>
          </w:p>
        </w:tc>
        <w:tc>
          <w:tcPr>
            <w:tcW w:w="1607" w:type="dxa"/>
            <w:tcBorders>
              <w:top w:val="single" w:sz="4" w:space="0" w:color="auto"/>
              <w:left w:val="nil"/>
              <w:bottom w:val="single" w:sz="4" w:space="0" w:color="auto"/>
              <w:right w:val="nil"/>
            </w:tcBorders>
          </w:tcPr>
          <w:p w14:paraId="729FA71A"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nil"/>
            </w:tcBorders>
          </w:tcPr>
          <w:p w14:paraId="71DA8F85"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single" w:sz="4" w:space="0" w:color="auto"/>
            </w:tcBorders>
          </w:tcPr>
          <w:p w14:paraId="68C0E3EA" w14:textId="77777777" w:rsidR="00120CB3" w:rsidRPr="00AB6F27" w:rsidRDefault="00120CB3" w:rsidP="00120CB3">
            <w:pPr>
              <w:keepNext/>
              <w:keepLines/>
              <w:jc w:val="center"/>
              <w:rPr>
                <w:rFonts w:ascii="Arial Narrow" w:hAnsi="Arial Narrow"/>
                <w:sz w:val="20"/>
                <w:szCs w:val="20"/>
              </w:rPr>
            </w:pPr>
          </w:p>
        </w:tc>
      </w:tr>
      <w:tr w:rsidR="00120CB3" w:rsidRPr="00AB6F27" w14:paraId="63E52D03"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tcPr>
          <w:p w14:paraId="1FCFEBAC"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Mean (SD)</w:t>
            </w:r>
          </w:p>
        </w:tc>
        <w:tc>
          <w:tcPr>
            <w:tcW w:w="1608" w:type="dxa"/>
          </w:tcPr>
          <w:p w14:paraId="0690FB95"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14.4 (8.72)</w:t>
            </w:r>
          </w:p>
        </w:tc>
        <w:tc>
          <w:tcPr>
            <w:tcW w:w="1607" w:type="dxa"/>
          </w:tcPr>
          <w:p w14:paraId="03102B4B"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9.3 (7.34)</w:t>
            </w:r>
          </w:p>
        </w:tc>
        <w:tc>
          <w:tcPr>
            <w:tcW w:w="1607" w:type="dxa"/>
          </w:tcPr>
          <w:p w14:paraId="1E599D83"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12.7 (7.45)</w:t>
            </w:r>
          </w:p>
        </w:tc>
        <w:tc>
          <w:tcPr>
            <w:tcW w:w="1607" w:type="dxa"/>
            <w:tcBorders>
              <w:right w:val="single" w:sz="4" w:space="0" w:color="auto"/>
            </w:tcBorders>
          </w:tcPr>
          <w:p w14:paraId="6EFC6615"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10.3 (5.95)</w:t>
            </w:r>
          </w:p>
        </w:tc>
      </w:tr>
      <w:tr w:rsidR="00120CB3" w:rsidRPr="00AB6F27" w14:paraId="109AD9FE"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tcPr>
          <w:p w14:paraId="69FCAFD1"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Median (range)</w:t>
            </w:r>
          </w:p>
        </w:tc>
        <w:tc>
          <w:tcPr>
            <w:tcW w:w="1608" w:type="dxa"/>
            <w:tcBorders>
              <w:bottom w:val="single" w:sz="4" w:space="0" w:color="auto"/>
            </w:tcBorders>
          </w:tcPr>
          <w:p w14:paraId="1DF1DC10"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14.8 (0.69-31.76)</w:t>
            </w:r>
          </w:p>
        </w:tc>
        <w:tc>
          <w:tcPr>
            <w:tcW w:w="1607" w:type="dxa"/>
            <w:tcBorders>
              <w:bottom w:val="single" w:sz="4" w:space="0" w:color="auto"/>
            </w:tcBorders>
          </w:tcPr>
          <w:p w14:paraId="6294244F"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6.7 (0.69-27.46)</w:t>
            </w:r>
          </w:p>
        </w:tc>
        <w:tc>
          <w:tcPr>
            <w:tcW w:w="1607" w:type="dxa"/>
            <w:tcBorders>
              <w:bottom w:val="single" w:sz="4" w:space="0" w:color="auto"/>
            </w:tcBorders>
          </w:tcPr>
          <w:p w14:paraId="6841C403"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12.2 (0.16-33.21)</w:t>
            </w:r>
          </w:p>
        </w:tc>
        <w:tc>
          <w:tcPr>
            <w:tcW w:w="1607" w:type="dxa"/>
            <w:tcBorders>
              <w:bottom w:val="single" w:sz="4" w:space="0" w:color="auto"/>
              <w:right w:val="single" w:sz="4" w:space="0" w:color="auto"/>
            </w:tcBorders>
          </w:tcPr>
          <w:p w14:paraId="3E0994B6"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9.6 (0.16-32.91)</w:t>
            </w:r>
          </w:p>
        </w:tc>
      </w:tr>
      <w:tr w:rsidR="00120CB3" w:rsidRPr="00AB6F27" w14:paraId="048E2845" w14:textId="77777777" w:rsidTr="00120CB3">
        <w:trPr>
          <w:trHeight w:val="20"/>
        </w:trPr>
        <w:tc>
          <w:tcPr>
            <w:tcW w:w="4189" w:type="dxa"/>
            <w:gridSpan w:val="2"/>
            <w:tcBorders>
              <w:top w:val="single" w:sz="4" w:space="0" w:color="auto"/>
              <w:left w:val="single" w:sz="4" w:space="0" w:color="auto"/>
              <w:bottom w:val="single" w:sz="4" w:space="0" w:color="auto"/>
              <w:right w:val="nil"/>
            </w:tcBorders>
          </w:tcPr>
          <w:p w14:paraId="1FA9B0E1" w14:textId="77777777" w:rsidR="00120CB3" w:rsidRPr="00AB6F27" w:rsidRDefault="00120CB3" w:rsidP="00120CB3">
            <w:pPr>
              <w:keepNext/>
              <w:keepLines/>
              <w:rPr>
                <w:rFonts w:ascii="Arial Narrow" w:hAnsi="Arial Narrow"/>
                <w:sz w:val="20"/>
                <w:szCs w:val="20"/>
              </w:rPr>
            </w:pPr>
            <w:r w:rsidRPr="00AB6F27">
              <w:rPr>
                <w:rFonts w:ascii="Arial Narrow" w:hAnsi="Arial Narrow"/>
                <w:bCs/>
                <w:sz w:val="20"/>
                <w:szCs w:val="20"/>
              </w:rPr>
              <w:t>Olaparib/placebo ToT (months) (Maintenance)</w:t>
            </w:r>
          </w:p>
        </w:tc>
        <w:tc>
          <w:tcPr>
            <w:tcW w:w="1607" w:type="dxa"/>
            <w:tcBorders>
              <w:top w:val="single" w:sz="4" w:space="0" w:color="auto"/>
              <w:left w:val="nil"/>
              <w:bottom w:val="single" w:sz="4" w:space="0" w:color="auto"/>
              <w:right w:val="nil"/>
            </w:tcBorders>
          </w:tcPr>
          <w:p w14:paraId="4BF365C7"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nil"/>
            </w:tcBorders>
          </w:tcPr>
          <w:p w14:paraId="53946C6B" w14:textId="77777777" w:rsidR="00120CB3" w:rsidRPr="00AB6F27" w:rsidRDefault="00120CB3" w:rsidP="00120CB3">
            <w:pPr>
              <w:keepNext/>
              <w:keepLines/>
              <w:jc w:val="center"/>
              <w:rPr>
                <w:rFonts w:ascii="Arial Narrow" w:hAnsi="Arial Narrow"/>
                <w:sz w:val="20"/>
                <w:szCs w:val="20"/>
              </w:rPr>
            </w:pPr>
          </w:p>
        </w:tc>
        <w:tc>
          <w:tcPr>
            <w:tcW w:w="1607" w:type="dxa"/>
            <w:tcBorders>
              <w:top w:val="single" w:sz="4" w:space="0" w:color="auto"/>
              <w:left w:val="nil"/>
              <w:bottom w:val="single" w:sz="4" w:space="0" w:color="auto"/>
              <w:right w:val="single" w:sz="4" w:space="0" w:color="auto"/>
            </w:tcBorders>
          </w:tcPr>
          <w:p w14:paraId="001018A5" w14:textId="77777777" w:rsidR="00120CB3" w:rsidRPr="00AB6F27" w:rsidRDefault="00120CB3" w:rsidP="00120CB3">
            <w:pPr>
              <w:keepNext/>
              <w:keepLines/>
              <w:jc w:val="center"/>
              <w:rPr>
                <w:rFonts w:ascii="Arial Narrow" w:hAnsi="Arial Narrow"/>
                <w:sz w:val="20"/>
                <w:szCs w:val="20"/>
              </w:rPr>
            </w:pPr>
          </w:p>
        </w:tc>
      </w:tr>
      <w:tr w:rsidR="00120CB3" w:rsidRPr="00AB6F27" w14:paraId="6CF56496"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tcPr>
          <w:p w14:paraId="5CAB86A1"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Mean (SD)</w:t>
            </w:r>
          </w:p>
        </w:tc>
        <w:tc>
          <w:tcPr>
            <w:tcW w:w="1608" w:type="dxa"/>
          </w:tcPr>
          <w:p w14:paraId="3B58B263"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12.2 (7.24)</w:t>
            </w:r>
          </w:p>
        </w:tc>
        <w:tc>
          <w:tcPr>
            <w:tcW w:w="1607" w:type="dxa"/>
          </w:tcPr>
          <w:p w14:paraId="54C056CE"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8.7 (7.29)</w:t>
            </w:r>
          </w:p>
        </w:tc>
        <w:tc>
          <w:tcPr>
            <w:tcW w:w="1607" w:type="dxa"/>
          </w:tcPr>
          <w:p w14:paraId="71CF0AAE"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10.1 (6.48)</w:t>
            </w:r>
          </w:p>
        </w:tc>
        <w:tc>
          <w:tcPr>
            <w:tcW w:w="1607" w:type="dxa"/>
            <w:tcBorders>
              <w:right w:val="single" w:sz="4" w:space="0" w:color="auto"/>
            </w:tcBorders>
          </w:tcPr>
          <w:p w14:paraId="2ED999FE"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7.3 (5.29)</w:t>
            </w:r>
          </w:p>
        </w:tc>
      </w:tr>
      <w:tr w:rsidR="00120CB3" w:rsidRPr="00AB6F27" w14:paraId="3A734B67" w14:textId="77777777" w:rsidTr="00120CB3">
        <w:trPr>
          <w:trHeight w:val="20"/>
        </w:trPr>
        <w:tc>
          <w:tcPr>
            <w:tcW w:w="2581" w:type="dxa"/>
            <w:tcBorders>
              <w:top w:val="single" w:sz="4" w:space="0" w:color="auto"/>
              <w:left w:val="single" w:sz="4" w:space="0" w:color="auto"/>
              <w:bottom w:val="single" w:sz="4" w:space="0" w:color="auto"/>
              <w:right w:val="single" w:sz="4" w:space="0" w:color="auto"/>
            </w:tcBorders>
          </w:tcPr>
          <w:p w14:paraId="1D20BAFE" w14:textId="77777777" w:rsidR="00120CB3" w:rsidRPr="00AB6F27" w:rsidRDefault="00120CB3" w:rsidP="00120CB3">
            <w:pPr>
              <w:keepNext/>
              <w:keepLines/>
              <w:ind w:left="720"/>
              <w:rPr>
                <w:rFonts w:ascii="Arial Narrow" w:hAnsi="Arial Narrow"/>
                <w:bCs/>
                <w:sz w:val="20"/>
                <w:szCs w:val="20"/>
              </w:rPr>
            </w:pPr>
            <w:r w:rsidRPr="00AB6F27">
              <w:rPr>
                <w:rFonts w:ascii="Arial Narrow" w:hAnsi="Arial Narrow"/>
                <w:bCs/>
                <w:sz w:val="20"/>
                <w:szCs w:val="20"/>
              </w:rPr>
              <w:t>Median (range)</w:t>
            </w:r>
          </w:p>
        </w:tc>
        <w:tc>
          <w:tcPr>
            <w:tcW w:w="1608" w:type="dxa"/>
          </w:tcPr>
          <w:p w14:paraId="0BB2565A"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12.29 (1.84-27.18)</w:t>
            </w:r>
          </w:p>
        </w:tc>
        <w:tc>
          <w:tcPr>
            <w:tcW w:w="1607" w:type="dxa"/>
          </w:tcPr>
          <w:p w14:paraId="53A77763"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7.89 (0.44-23.11)</w:t>
            </w:r>
          </w:p>
        </w:tc>
        <w:tc>
          <w:tcPr>
            <w:tcW w:w="1607" w:type="dxa"/>
          </w:tcPr>
          <w:p w14:paraId="5A9BEFBF"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9.2 (0.32-28.77)</w:t>
            </w:r>
          </w:p>
        </w:tc>
        <w:tc>
          <w:tcPr>
            <w:tcW w:w="1607" w:type="dxa"/>
            <w:tcBorders>
              <w:right w:val="single" w:sz="4" w:space="0" w:color="auto"/>
            </w:tcBorders>
          </w:tcPr>
          <w:p w14:paraId="2B4969F9" w14:textId="77777777" w:rsidR="00120CB3" w:rsidRPr="00AB6F27" w:rsidRDefault="00120CB3" w:rsidP="00120CB3">
            <w:pPr>
              <w:keepNext/>
              <w:keepLines/>
              <w:jc w:val="center"/>
              <w:rPr>
                <w:rFonts w:ascii="Arial Narrow" w:hAnsi="Arial Narrow"/>
                <w:sz w:val="20"/>
                <w:szCs w:val="20"/>
              </w:rPr>
            </w:pPr>
            <w:r w:rsidRPr="00AB6F27">
              <w:rPr>
                <w:rFonts w:ascii="Arial Narrow" w:hAnsi="Arial Narrow"/>
                <w:sz w:val="20"/>
                <w:szCs w:val="20"/>
              </w:rPr>
              <w:t>5.55 (0.21-28.61)</w:t>
            </w:r>
          </w:p>
        </w:tc>
      </w:tr>
    </w:tbl>
    <w:p w14:paraId="74206F01" w14:textId="77777777" w:rsidR="00E938DC" w:rsidRPr="00AB6F27" w:rsidRDefault="00E938DC" w:rsidP="003024A4">
      <w:pPr>
        <w:keepNext/>
        <w:keepLines/>
        <w:rPr>
          <w:rFonts w:ascii="Arial Narrow" w:hAnsi="Arial Narrow"/>
          <w:sz w:val="18"/>
          <w:szCs w:val="18"/>
        </w:rPr>
      </w:pPr>
      <w:r w:rsidRPr="00AB6F27">
        <w:rPr>
          <w:rFonts w:ascii="Arial Narrow" w:hAnsi="Arial Narrow"/>
          <w:sz w:val="18"/>
          <w:szCs w:val="18"/>
        </w:rPr>
        <w:t xml:space="preserve">Source: Table 2.4-9, Table 2.4-10 and Table 2.4-11 of the submission; Table 10-5 and Table 10-6 of IA1 NRG-GY018 clinical study report. </w:t>
      </w:r>
    </w:p>
    <w:p w14:paraId="1B4F693C" w14:textId="41CB8629" w:rsidR="00E938DC" w:rsidRPr="00AB6F27" w:rsidRDefault="00E938DC" w:rsidP="003024A4">
      <w:pPr>
        <w:keepNext/>
        <w:keepLines/>
        <w:rPr>
          <w:rFonts w:ascii="Arial Narrow" w:hAnsi="Arial Narrow"/>
          <w:sz w:val="18"/>
          <w:szCs w:val="18"/>
        </w:rPr>
      </w:pPr>
      <w:r w:rsidRPr="00AB6F27">
        <w:rPr>
          <w:rFonts w:ascii="Arial Narrow" w:hAnsi="Arial Narrow"/>
          <w:sz w:val="18"/>
          <w:szCs w:val="18"/>
        </w:rPr>
        <w:t xml:space="preserve">Abbreviations: dMMR = mismatch repair deficient; DUR = durvalumab; OLA = Olaparib; </w:t>
      </w:r>
      <w:r w:rsidR="00466189" w:rsidRPr="00AB6F27">
        <w:rPr>
          <w:rFonts w:ascii="Arial Narrow" w:hAnsi="Arial Narrow"/>
          <w:sz w:val="18"/>
          <w:szCs w:val="18"/>
        </w:rPr>
        <w:t>PBC = platinum</w:t>
      </w:r>
      <w:r w:rsidR="00C2506A">
        <w:rPr>
          <w:rFonts w:ascii="Arial Narrow" w:hAnsi="Arial Narrow"/>
          <w:sz w:val="18"/>
          <w:szCs w:val="18"/>
        </w:rPr>
        <w:t>-</w:t>
      </w:r>
      <w:r w:rsidR="00466189" w:rsidRPr="00AB6F27">
        <w:rPr>
          <w:rFonts w:ascii="Arial Narrow" w:hAnsi="Arial Narrow"/>
          <w:sz w:val="18"/>
          <w:szCs w:val="18"/>
        </w:rPr>
        <w:t xml:space="preserve">based chemotherapy; PBO = placebo; PEM = pembrolizumab; pMMR = mismatch repair proficient; SD = standard deviation; </w:t>
      </w:r>
      <w:r w:rsidRPr="00AB6F27">
        <w:rPr>
          <w:rFonts w:ascii="Arial Narrow" w:hAnsi="Arial Narrow"/>
          <w:sz w:val="18"/>
          <w:szCs w:val="18"/>
        </w:rPr>
        <w:t>ToT = time on treatment</w:t>
      </w:r>
    </w:p>
    <w:p w14:paraId="5B0751F8" w14:textId="3C4DD30C" w:rsidR="009E227C" w:rsidRPr="00AB6F27" w:rsidRDefault="009E227C" w:rsidP="003024A4">
      <w:pPr>
        <w:keepNext/>
        <w:keepLines/>
        <w:rPr>
          <w:rFonts w:ascii="Arial Narrow" w:hAnsi="Arial Narrow"/>
          <w:sz w:val="18"/>
          <w:szCs w:val="18"/>
        </w:rPr>
      </w:pPr>
      <w:proofErr w:type="spellStart"/>
      <w:r w:rsidRPr="00AB6F27">
        <w:rPr>
          <w:rFonts w:ascii="Arial Narrow" w:hAnsi="Arial Narrow"/>
          <w:sz w:val="18"/>
          <w:szCs w:val="18"/>
          <w:vertAlign w:val="superscript"/>
        </w:rPr>
        <w:t>a</w:t>
      </w:r>
      <w:proofErr w:type="spellEnd"/>
      <w:r w:rsidRPr="00AB6F27">
        <w:rPr>
          <w:rFonts w:ascii="Arial Narrow" w:hAnsi="Arial Narrow"/>
          <w:sz w:val="18"/>
          <w:szCs w:val="18"/>
        </w:rPr>
        <w:t xml:space="preserve"> </w:t>
      </w:r>
      <w:r w:rsidR="00120CB3" w:rsidRPr="00AB6F27">
        <w:rPr>
          <w:rFonts w:ascii="Arial Narrow" w:hAnsi="Arial Narrow"/>
          <w:sz w:val="18"/>
          <w:szCs w:val="18"/>
        </w:rPr>
        <w:t>The e</w:t>
      </w:r>
      <w:r w:rsidRPr="00AB6F27">
        <w:rPr>
          <w:rFonts w:ascii="Arial Narrow" w:hAnsi="Arial Narrow"/>
          <w:sz w:val="18"/>
          <w:szCs w:val="18"/>
        </w:rPr>
        <w:t xml:space="preserve">xtracted durations of treatment </w:t>
      </w:r>
      <w:r w:rsidR="00120CB3" w:rsidRPr="00AB6F27">
        <w:rPr>
          <w:rFonts w:ascii="Arial Narrow" w:hAnsi="Arial Narrow"/>
          <w:sz w:val="18"/>
          <w:szCs w:val="18"/>
        </w:rPr>
        <w:t>from</w:t>
      </w:r>
      <w:r w:rsidRPr="00AB6F27">
        <w:rPr>
          <w:rFonts w:ascii="Arial Narrow" w:hAnsi="Arial Narrow"/>
          <w:sz w:val="18"/>
          <w:szCs w:val="18"/>
        </w:rPr>
        <w:t xml:space="preserve"> IA1 NRG-GY018 were converted from days to months to allow comparison. </w:t>
      </w:r>
    </w:p>
    <w:p w14:paraId="1F628ED2" w14:textId="77777777" w:rsidR="00E938DC" w:rsidRPr="00AB6F27" w:rsidRDefault="00E938DC" w:rsidP="00E938DC"/>
    <w:p w14:paraId="0575BD0A" w14:textId="53158CD1" w:rsidR="007D5F5B" w:rsidRDefault="00357F9B" w:rsidP="00FE1F15">
      <w:pPr>
        <w:pStyle w:val="3-BodyText"/>
      </w:pPr>
      <w:r w:rsidRPr="00AB6F27">
        <w:t xml:space="preserve">Data from NRG-GY018 </w:t>
      </w:r>
      <w:r w:rsidR="007D5F5B" w:rsidRPr="00AB6F27">
        <w:t>w</w:t>
      </w:r>
      <w:r w:rsidR="007D5F5B">
        <w:t>ere</w:t>
      </w:r>
      <w:r w:rsidR="007D5F5B" w:rsidRPr="00AB6F27">
        <w:t xml:space="preserve"> </w:t>
      </w:r>
      <w:r w:rsidRPr="00AB6F27">
        <w:t>available at two timepoints</w:t>
      </w:r>
      <w:r w:rsidR="007D5F5B">
        <w:t>:</w:t>
      </w:r>
      <w:r w:rsidR="007D5F5B" w:rsidRPr="00AB6F27">
        <w:t xml:space="preserve"> </w:t>
      </w:r>
    </w:p>
    <w:p w14:paraId="30B27904" w14:textId="5D0C0629" w:rsidR="007D5F5B" w:rsidRDefault="00695136" w:rsidP="0037102E">
      <w:pPr>
        <w:pStyle w:val="3-BodyText"/>
        <w:numPr>
          <w:ilvl w:val="0"/>
          <w:numId w:val="25"/>
        </w:numPr>
      </w:pPr>
      <w:r w:rsidRPr="00AB6F27">
        <w:t xml:space="preserve">interim analysis 1 (IA1) </w:t>
      </w:r>
      <w:r w:rsidR="00D42E85" w:rsidRPr="00AB6F27">
        <w:t>(data cutoff), 6 December 2022 for pMMR; 16 December 2022 for dMMR)</w:t>
      </w:r>
      <w:r w:rsidR="007D5F5B">
        <w:t>;</w:t>
      </w:r>
      <w:r w:rsidR="00D42E85" w:rsidRPr="00AB6F27">
        <w:t xml:space="preserve"> </w:t>
      </w:r>
      <w:r w:rsidR="007914D1" w:rsidRPr="00AB6F27">
        <w:t xml:space="preserve">and </w:t>
      </w:r>
    </w:p>
    <w:p w14:paraId="04D3F53C" w14:textId="6B5BFD1D" w:rsidR="00357F9B" w:rsidRPr="00AB6F27" w:rsidRDefault="00C2506A" w:rsidP="0037102E">
      <w:pPr>
        <w:pStyle w:val="3-BodyText"/>
        <w:numPr>
          <w:ilvl w:val="0"/>
          <w:numId w:val="25"/>
        </w:numPr>
      </w:pPr>
      <w:r>
        <w:t>e</w:t>
      </w:r>
      <w:r w:rsidR="007914D1" w:rsidRPr="00AB6F27">
        <w:t>fficacy update report (EUR) (</w:t>
      </w:r>
      <w:r w:rsidR="00437BAB" w:rsidRPr="00AB6F27">
        <w:t>data cutoff</w:t>
      </w:r>
      <w:r w:rsidR="007914D1" w:rsidRPr="00AB6F27">
        <w:t xml:space="preserve"> August 2023) </w:t>
      </w:r>
      <w:r w:rsidR="004F7162" w:rsidRPr="00AB6F27">
        <w:t>which included approximately 9-months of additional follow-up</w:t>
      </w:r>
      <w:r w:rsidR="00287117" w:rsidRPr="00AB6F27">
        <w:t>,</w:t>
      </w:r>
      <w:r w:rsidR="004F7162" w:rsidRPr="00AB6F27">
        <w:t xml:space="preserve"> released in response to a request by European regulators. </w:t>
      </w:r>
      <w:r w:rsidR="005A7594" w:rsidRPr="00AB6F27">
        <w:t>T</w:t>
      </w:r>
      <w:r w:rsidR="00424280" w:rsidRPr="00AB6F27">
        <w:t xml:space="preserve">he EUR </w:t>
      </w:r>
      <w:r w:rsidR="00E45B84" w:rsidRPr="00AB6F27">
        <w:t xml:space="preserve">included data </w:t>
      </w:r>
      <w:r w:rsidR="002D5D83" w:rsidRPr="00AB6F27">
        <w:t xml:space="preserve">post treatment switching (see </w:t>
      </w:r>
      <w:r w:rsidR="009C0CB7" w:rsidRPr="00AB6F27">
        <w:t xml:space="preserve">paragraph </w:t>
      </w:r>
      <w:r w:rsidR="009C0CB7" w:rsidRPr="00AB6F27">
        <w:fldChar w:fldCharType="begin"/>
      </w:r>
      <w:r w:rsidR="009C0CB7" w:rsidRPr="00AB6F27">
        <w:instrText xml:space="preserve"> REF _Ref198283794 \r \h </w:instrText>
      </w:r>
      <w:r w:rsidR="00AB6F27" w:rsidRPr="00AB6F27">
        <w:instrText xml:space="preserve"> \* MERGEFORMAT </w:instrText>
      </w:r>
      <w:r w:rsidR="009C0CB7" w:rsidRPr="00AB6F27">
        <w:fldChar w:fldCharType="separate"/>
      </w:r>
      <w:r w:rsidR="003359D3">
        <w:t>6.10</w:t>
      </w:r>
      <w:r w:rsidR="009C0CB7" w:rsidRPr="00AB6F27">
        <w:fldChar w:fldCharType="end"/>
      </w:r>
      <w:r w:rsidR="009C0CB7" w:rsidRPr="00AB6F27">
        <w:t>)</w:t>
      </w:r>
      <w:r w:rsidR="005A7594" w:rsidRPr="00AB6F27">
        <w:t xml:space="preserve">. </w:t>
      </w:r>
      <w:r w:rsidR="007D5F5B">
        <w:t>T</w:t>
      </w:r>
      <w:r w:rsidR="005A7594" w:rsidRPr="00AB6F27">
        <w:t>his</w:t>
      </w:r>
      <w:r w:rsidR="009C0CB7" w:rsidRPr="00AB6F27">
        <w:t xml:space="preserve"> </w:t>
      </w:r>
      <w:r w:rsidR="00424280" w:rsidRPr="00AB6F27">
        <w:t>was not a planned analysis</w:t>
      </w:r>
      <w:r w:rsidR="00412320" w:rsidRPr="00AB6F27">
        <w:t>,</w:t>
      </w:r>
      <w:r w:rsidR="00424280" w:rsidRPr="00AB6F27">
        <w:t xml:space="preserve"> </w:t>
      </w:r>
      <w:r w:rsidR="005A7594" w:rsidRPr="00AB6F27">
        <w:t>and the results are</w:t>
      </w:r>
      <w:r w:rsidR="00424280" w:rsidRPr="00AB6F27">
        <w:t xml:space="preserve"> descriptive in nature with nominal p-values. </w:t>
      </w:r>
    </w:p>
    <w:p w14:paraId="2F8A3DCD" w14:textId="010E5AA6" w:rsidR="00FE1F15" w:rsidRPr="00AB6F27" w:rsidRDefault="609E9103" w:rsidP="00FE1F15">
      <w:pPr>
        <w:pStyle w:val="3-BodyText"/>
      </w:pPr>
      <w:bookmarkStart w:id="28" w:name="_Ref198283794"/>
      <w:r>
        <w:t xml:space="preserve">In NRG-GY018, on 6th February 2023 upon the </w:t>
      </w:r>
      <w:r w:rsidR="6C12A036">
        <w:t xml:space="preserve">reporting </w:t>
      </w:r>
      <w:r>
        <w:t xml:space="preserve">of a positive PFS benefit in the </w:t>
      </w:r>
      <w:r w:rsidR="5BF136C9">
        <w:t>pembrolizumab</w:t>
      </w:r>
      <w:r>
        <w:t xml:space="preserve"> arm (in both </w:t>
      </w:r>
      <w:r w:rsidR="1ED47C6C">
        <w:t xml:space="preserve">the </w:t>
      </w:r>
      <w:r>
        <w:t xml:space="preserve">dMMR </w:t>
      </w:r>
      <w:r w:rsidR="1ED47C6C">
        <w:t xml:space="preserve">and </w:t>
      </w:r>
      <w:r>
        <w:t xml:space="preserve">pMMR populations) at IA1, regulators notified investigators to unblind the trial, requesting the investigators make patients aware of the study outcome and their treatment assignment. Consequently, the majority (99.2%) of patients in the </w:t>
      </w:r>
      <w:r w:rsidR="1ED47C6C">
        <w:t>placebo</w:t>
      </w:r>
      <w:r>
        <w:t xml:space="preserve"> arm discontinued study treatment and many subsequently received immunotherapy (the majority of which was </w:t>
      </w:r>
      <w:r w:rsidR="5BF136C9">
        <w:t>pembrolizumab</w:t>
      </w:r>
      <w:r w:rsidR="1ED47C6C">
        <w:t xml:space="preserve"> </w:t>
      </w:r>
      <w:r w:rsidR="1ED47C6C" w:rsidRPr="25BAA536">
        <w:rPr>
          <w:rFonts w:cstheme="minorBidi"/>
        </w:rPr>
        <w:t>±</w:t>
      </w:r>
      <w:r w:rsidR="1ED47C6C">
        <w:t xml:space="preserve"> </w:t>
      </w:r>
      <w:r w:rsidR="28BC43A6">
        <w:t>lenvatinib</w:t>
      </w:r>
      <w:r>
        <w:t>).</w:t>
      </w:r>
      <w:bookmarkEnd w:id="28"/>
      <w:r>
        <w:t xml:space="preserve"> </w:t>
      </w:r>
    </w:p>
    <w:p w14:paraId="73922A07" w14:textId="3896012C" w:rsidR="006F5D48" w:rsidRDefault="000D491A" w:rsidP="00D2109D">
      <w:pPr>
        <w:pStyle w:val="3-BodyText"/>
      </w:pPr>
      <w:bookmarkStart w:id="29" w:name="_Ref196668557"/>
      <w:r w:rsidRPr="00AB6F27">
        <w:t>A</w:t>
      </w:r>
      <w:r w:rsidR="004402FA" w:rsidRPr="00AB6F27">
        <w:t>fter</w:t>
      </w:r>
      <w:r w:rsidRPr="00AB6F27">
        <w:t xml:space="preserve"> unblinding, </w:t>
      </w:r>
      <w:r w:rsidR="00FE1F15" w:rsidRPr="00AB6F27">
        <w:t xml:space="preserve">some </w:t>
      </w:r>
      <w:r w:rsidR="004402FA" w:rsidRPr="00AB6F27">
        <w:t xml:space="preserve">patients who were randomised to </w:t>
      </w:r>
      <w:r w:rsidR="00C2506A">
        <w:t>place</w:t>
      </w:r>
      <w:r w:rsidR="00C10E53">
        <w:t>b</w:t>
      </w:r>
      <w:r w:rsidR="00C2506A">
        <w:t>o</w:t>
      </w:r>
      <w:r w:rsidR="00FE1F15" w:rsidRPr="00AB6F27">
        <w:t xml:space="preserve"> commence</w:t>
      </w:r>
      <w:r w:rsidR="004402FA" w:rsidRPr="00AB6F27">
        <w:t>d</w:t>
      </w:r>
      <w:r w:rsidR="00FE1F15" w:rsidRPr="00AB6F27">
        <w:t xml:space="preserve"> immunotherapy prior to disease progression, however the number of patients for wh</w:t>
      </w:r>
      <w:r w:rsidR="005A7594" w:rsidRPr="00AB6F27">
        <w:t>om</w:t>
      </w:r>
      <w:r w:rsidR="00FE1F15" w:rsidRPr="00AB6F27">
        <w:t xml:space="preserve"> this was the case was not available. Therefore, the submission claimed that </w:t>
      </w:r>
      <w:r w:rsidR="007D5F5B">
        <w:t xml:space="preserve">the </w:t>
      </w:r>
      <w:r w:rsidR="00FE1F15" w:rsidRPr="00AB6F27">
        <w:t xml:space="preserve">EUR analyses conducted after the unblinding may be confounded, leading to </w:t>
      </w:r>
      <w:r w:rsidR="00FE1F15" w:rsidRPr="00AB6F27">
        <w:lastRenderedPageBreak/>
        <w:t xml:space="preserve">potentially biased estimation of hazard ratios in favour of the </w:t>
      </w:r>
      <w:r w:rsidR="00810B4D">
        <w:t>placebo</w:t>
      </w:r>
      <w:r w:rsidR="00FE1F15" w:rsidRPr="00AB6F27">
        <w:t xml:space="preserve"> group. </w:t>
      </w:r>
      <w:r w:rsidR="00AA5626" w:rsidRPr="00AB6F27">
        <w:t>On the other hand</w:t>
      </w:r>
      <w:r w:rsidR="005A7594" w:rsidRPr="00AB6F27">
        <w:t xml:space="preserve">, a proportion of patients in the </w:t>
      </w:r>
      <w:r w:rsidR="00BF1B0D">
        <w:t>pembrolizumab</w:t>
      </w:r>
      <w:r w:rsidR="005A7594" w:rsidRPr="00AB6F27">
        <w:t xml:space="preserve"> arm also received 2L immunotherapy (10% [11/110] and 16.8% [50/294] in the dMMR and pMMR populations, respectively) in the EUR analysis, which does not reflect Australian practice (the PBS restriction</w:t>
      </w:r>
      <w:r w:rsidR="00AA5626" w:rsidRPr="00AB6F27">
        <w:t>s</w:t>
      </w:r>
      <w:r w:rsidR="005A7594" w:rsidRPr="00AB6F27">
        <w:t xml:space="preserve"> limit use to one PD</w:t>
      </w:r>
      <w:r w:rsidR="0091025B">
        <w:t>-</w:t>
      </w:r>
      <w:r w:rsidR="005A7594" w:rsidRPr="00AB6F27">
        <w:t>(L)1 inhibitor per lifetime)</w:t>
      </w:r>
      <w:r w:rsidR="00AA5626" w:rsidRPr="00AB6F27">
        <w:t xml:space="preserve"> and would favour the </w:t>
      </w:r>
      <w:r w:rsidR="00BF1B0D">
        <w:t>pembrolizumab</w:t>
      </w:r>
      <w:r w:rsidR="00AA5626" w:rsidRPr="00AB6F27">
        <w:t xml:space="preserve"> arm</w:t>
      </w:r>
      <w:r w:rsidR="005A7594" w:rsidRPr="00AB6F27">
        <w:t>.</w:t>
      </w:r>
      <w:r w:rsidR="00AA5626" w:rsidRPr="00AB6F27">
        <w:t xml:space="preserve"> </w:t>
      </w:r>
      <w:r w:rsidR="006D406C" w:rsidRPr="00AB6F27">
        <w:t>T</w:t>
      </w:r>
      <w:r w:rsidR="00FE1F15" w:rsidRPr="00AB6F27">
        <w:t xml:space="preserve">he overall impact of confounding due to differences in subsequent therapy </w:t>
      </w:r>
      <w:r w:rsidR="00AA5626" w:rsidRPr="00AB6F27">
        <w:t>wa</w:t>
      </w:r>
      <w:r w:rsidR="00FE1F15" w:rsidRPr="00AB6F27">
        <w:t>s unclear, as</w:t>
      </w:r>
      <w:r w:rsidR="00D2109D" w:rsidRPr="00AB6F27">
        <w:t xml:space="preserve"> </w:t>
      </w:r>
      <w:bookmarkEnd w:id="29"/>
      <w:r w:rsidR="00D2109D" w:rsidRPr="007D5F5B">
        <w:rPr>
          <w:i/>
          <w:iCs/>
        </w:rPr>
        <w:t>p</w:t>
      </w:r>
      <w:r w:rsidR="00C0502A" w:rsidRPr="007D5F5B">
        <w:rPr>
          <w:i/>
          <w:iCs/>
        </w:rPr>
        <w:t>ost hoc</w:t>
      </w:r>
      <w:r w:rsidR="00C0502A" w:rsidRPr="00AB6F27">
        <w:t xml:space="preserve"> a</w:t>
      </w:r>
      <w:r w:rsidR="00707DCA" w:rsidRPr="00AB6F27">
        <w:t>djustment</w:t>
      </w:r>
      <w:r w:rsidR="00810B4D">
        <w:t>s</w:t>
      </w:r>
      <w:r w:rsidR="00707DCA" w:rsidRPr="00AB6F27">
        <w:t xml:space="preserve"> for treatment switching </w:t>
      </w:r>
      <w:r w:rsidR="00602AD3" w:rsidRPr="00AB6F27">
        <w:t xml:space="preserve">using inverse probability of censoring weights (IPCW) </w:t>
      </w:r>
      <w:r w:rsidR="00CA79BD" w:rsidRPr="00AB6F27">
        <w:t xml:space="preserve">did not result in </w:t>
      </w:r>
      <w:r w:rsidR="00AA5626" w:rsidRPr="00AB6F27">
        <w:t xml:space="preserve">statistically significant </w:t>
      </w:r>
      <w:r w:rsidR="00CA79BD" w:rsidRPr="00AB6F27">
        <w:t xml:space="preserve">OS hazard ratios (HR) </w:t>
      </w:r>
      <w:r w:rsidR="006D406C" w:rsidRPr="00AB6F27">
        <w:t xml:space="preserve">(see paragraph </w:t>
      </w:r>
      <w:r w:rsidR="006D406C" w:rsidRPr="00AB6F27">
        <w:rPr>
          <w:highlight w:val="yellow"/>
        </w:rPr>
        <w:fldChar w:fldCharType="begin"/>
      </w:r>
      <w:r w:rsidR="006D406C" w:rsidRPr="00AB6F27">
        <w:instrText xml:space="preserve"> REF _Ref196668907 \r \h </w:instrText>
      </w:r>
      <w:r w:rsidR="00AB6F27" w:rsidRPr="00AB6F27">
        <w:rPr>
          <w:highlight w:val="yellow"/>
        </w:rPr>
        <w:instrText xml:space="preserve"> \* MERGEFORMAT </w:instrText>
      </w:r>
      <w:r w:rsidR="006D406C" w:rsidRPr="00AB6F27">
        <w:rPr>
          <w:highlight w:val="yellow"/>
        </w:rPr>
      </w:r>
      <w:r w:rsidR="006D406C" w:rsidRPr="00AB6F27">
        <w:rPr>
          <w:highlight w:val="yellow"/>
        </w:rPr>
        <w:fldChar w:fldCharType="separate"/>
      </w:r>
      <w:r w:rsidR="003359D3">
        <w:t>6.17</w:t>
      </w:r>
      <w:r w:rsidR="006D406C" w:rsidRPr="00AB6F27">
        <w:rPr>
          <w:highlight w:val="yellow"/>
        </w:rPr>
        <w:fldChar w:fldCharType="end"/>
      </w:r>
      <w:r w:rsidR="006D406C" w:rsidRPr="00AB6F27">
        <w:t>)</w:t>
      </w:r>
      <w:r w:rsidR="00D2109D" w:rsidRPr="00AB6F27">
        <w:t>.</w:t>
      </w:r>
      <w:bookmarkStart w:id="30" w:name="_Hlk196667238"/>
      <w:r w:rsidR="007D5F5B">
        <w:t xml:space="preserve"> </w:t>
      </w:r>
      <w:r w:rsidR="00AA5626" w:rsidRPr="00AB6F27">
        <w:t>Further</w:t>
      </w:r>
      <w:r w:rsidR="006F5D48" w:rsidRPr="00AB6F27">
        <w:t xml:space="preserve">, differences in subsequent immunotherapy use may </w:t>
      </w:r>
      <w:r w:rsidR="000F3DCC" w:rsidRPr="00AB6F27">
        <w:t xml:space="preserve">contribute to transitivity issues which may preclude </w:t>
      </w:r>
      <w:r w:rsidR="007D5F5B">
        <w:t>the</w:t>
      </w:r>
      <w:r w:rsidR="007D5F5B" w:rsidRPr="00AB6F27">
        <w:t xml:space="preserve"> </w:t>
      </w:r>
      <w:r w:rsidR="000F3DCC" w:rsidRPr="00AB6F27">
        <w:t xml:space="preserve">ITC being informative. This is discussed further in paragraph </w:t>
      </w:r>
      <w:r w:rsidR="00C6251E" w:rsidRPr="00AB6F27">
        <w:rPr>
          <w:highlight w:val="yellow"/>
        </w:rPr>
        <w:fldChar w:fldCharType="begin"/>
      </w:r>
      <w:r w:rsidR="00C6251E" w:rsidRPr="00AB6F27">
        <w:instrText xml:space="preserve"> REF _Ref196673023 \r \h </w:instrText>
      </w:r>
      <w:r w:rsidR="00AB6F27" w:rsidRPr="00AB6F27">
        <w:rPr>
          <w:highlight w:val="yellow"/>
        </w:rPr>
        <w:instrText xml:space="preserve"> \* MERGEFORMAT </w:instrText>
      </w:r>
      <w:r w:rsidR="00C6251E" w:rsidRPr="00AB6F27">
        <w:rPr>
          <w:highlight w:val="yellow"/>
        </w:rPr>
      </w:r>
      <w:r w:rsidR="00C6251E" w:rsidRPr="00AB6F27">
        <w:rPr>
          <w:highlight w:val="yellow"/>
        </w:rPr>
        <w:fldChar w:fldCharType="separate"/>
      </w:r>
      <w:r w:rsidR="003359D3">
        <w:t>6.27</w:t>
      </w:r>
      <w:r w:rsidR="00C6251E" w:rsidRPr="00AB6F27">
        <w:rPr>
          <w:highlight w:val="yellow"/>
        </w:rPr>
        <w:fldChar w:fldCharType="end"/>
      </w:r>
      <w:r w:rsidR="00C6251E" w:rsidRPr="00AB6F27">
        <w:t>.</w:t>
      </w:r>
    </w:p>
    <w:p w14:paraId="4A4FE085" w14:textId="1C5613CC" w:rsidR="00B60939" w:rsidRPr="00AB6F27" w:rsidRDefault="00B60939" w:rsidP="00EC5836">
      <w:pPr>
        <w:pStyle w:val="4-SubsectionHeading"/>
        <w:rPr>
          <w:iCs/>
        </w:rPr>
      </w:pPr>
      <w:bookmarkStart w:id="31" w:name="_Toc198643453"/>
      <w:bookmarkEnd w:id="30"/>
      <w:r w:rsidRPr="00AB6F27">
        <w:rPr>
          <w:iCs/>
        </w:rPr>
        <w:t>Comparative effectiveness</w:t>
      </w:r>
      <w:bookmarkEnd w:id="22"/>
      <w:bookmarkEnd w:id="31"/>
    </w:p>
    <w:bookmarkStart w:id="32" w:name="_Toc22897642"/>
    <w:p w14:paraId="65D25442" w14:textId="1745242D" w:rsidR="00A3213F" w:rsidRPr="00AB6F27" w:rsidRDefault="00A3213F" w:rsidP="00A3213F">
      <w:pPr>
        <w:pStyle w:val="3-BodyText"/>
        <w:rPr>
          <w:color w:val="0066FF"/>
        </w:rPr>
      </w:pPr>
      <w:r w:rsidRPr="00AB6F27">
        <w:fldChar w:fldCharType="begin"/>
      </w:r>
      <w:r w:rsidRPr="00AB6F27">
        <w:instrText xml:space="preserve"> REF _Ref196230603 \h </w:instrText>
      </w:r>
      <w:r w:rsidR="00AB6F27" w:rsidRPr="00AB6F27">
        <w:instrText xml:space="preserve"> \* MERGEFORMAT </w:instrText>
      </w:r>
      <w:r w:rsidRPr="00AB6F27">
        <w:fldChar w:fldCharType="separate"/>
      </w:r>
      <w:r w:rsidR="003359D3" w:rsidRPr="00AB6F27">
        <w:t xml:space="preserve">Figure </w:t>
      </w:r>
      <w:r w:rsidR="003359D3">
        <w:rPr>
          <w:noProof/>
        </w:rPr>
        <w:t>1</w:t>
      </w:r>
      <w:r w:rsidRPr="00AB6F27">
        <w:fldChar w:fldCharType="end"/>
      </w:r>
      <w:r w:rsidRPr="00AB6F27">
        <w:t xml:space="preserve"> shows the OS KM results at IA1 for the NRG-GY018 dMMR (above) and pMMR (below) cohorts.</w:t>
      </w:r>
      <w:r w:rsidR="004D1ABC" w:rsidRPr="00AB6F27">
        <w:t xml:space="preserve"> NRG-GY018 did not present data for all-comers (i.e. dMMR combined with pMMR). </w:t>
      </w:r>
      <w:r w:rsidR="00995A3B" w:rsidRPr="00AB6F27">
        <w:fldChar w:fldCharType="begin"/>
      </w:r>
      <w:r w:rsidR="00995A3B" w:rsidRPr="00AB6F27">
        <w:instrText xml:space="preserve"> REF _Ref196232759 \h  \* MERGEFORMAT </w:instrText>
      </w:r>
      <w:r w:rsidR="00995A3B" w:rsidRPr="00AB6F27">
        <w:fldChar w:fldCharType="separate"/>
      </w:r>
      <w:r w:rsidR="003359D3" w:rsidRPr="00AB6F27">
        <w:t xml:space="preserve">Table </w:t>
      </w:r>
      <w:r w:rsidR="003359D3">
        <w:rPr>
          <w:noProof/>
        </w:rPr>
        <w:t>5</w:t>
      </w:r>
      <w:r w:rsidR="00995A3B" w:rsidRPr="00AB6F27">
        <w:fldChar w:fldCharType="end"/>
      </w:r>
      <w:r w:rsidR="00995A3B" w:rsidRPr="00AB6F27">
        <w:t xml:space="preserve"> presents a summary of the OS results in NRG-GY018.</w:t>
      </w:r>
    </w:p>
    <w:p w14:paraId="50F76841" w14:textId="4BB8F554" w:rsidR="00A3213F" w:rsidRPr="00AB6F27" w:rsidRDefault="00A3213F" w:rsidP="005164B0">
      <w:pPr>
        <w:pStyle w:val="Caption"/>
      </w:pPr>
      <w:bookmarkStart w:id="33" w:name="_Ref196230603"/>
      <w:r w:rsidRPr="00AB6F27">
        <w:lastRenderedPageBreak/>
        <w:t xml:space="preserve">Figure </w:t>
      </w:r>
      <w:r w:rsidR="00976099" w:rsidRPr="00AB6F27">
        <w:fldChar w:fldCharType="begin"/>
      </w:r>
      <w:r w:rsidR="00976099" w:rsidRPr="00AB6F27">
        <w:instrText xml:space="preserve"> SEQ Figure \* ARABIC </w:instrText>
      </w:r>
      <w:r w:rsidR="00976099" w:rsidRPr="00AB6F27">
        <w:fldChar w:fldCharType="separate"/>
      </w:r>
      <w:r w:rsidR="003359D3">
        <w:rPr>
          <w:noProof/>
        </w:rPr>
        <w:t>1</w:t>
      </w:r>
      <w:r w:rsidR="00976099" w:rsidRPr="00AB6F27">
        <w:rPr>
          <w:noProof/>
        </w:rPr>
        <w:fldChar w:fldCharType="end"/>
      </w:r>
      <w:bookmarkEnd w:id="33"/>
      <w:r w:rsidRPr="00AB6F27">
        <w:t xml:space="preserve">: </w:t>
      </w:r>
      <w:r w:rsidRPr="00AB6F27">
        <w:rPr>
          <w:szCs w:val="20"/>
        </w:rPr>
        <w:t>NRG-GY018 KM plot for OS in the dMMR (above) and pMMR (below) cohorts</w:t>
      </w:r>
    </w:p>
    <w:p w14:paraId="3E675E41" w14:textId="77777777" w:rsidR="00A3213F" w:rsidRPr="00AB6F27" w:rsidRDefault="00A3213F" w:rsidP="005164B0">
      <w:pPr>
        <w:pStyle w:val="Caption"/>
      </w:pPr>
      <w:r w:rsidRPr="00AB6F27">
        <w:rPr>
          <w:noProof/>
          <w:color w:val="3366FF"/>
        </w:rPr>
        <w:drawing>
          <wp:inline distT="0" distB="0" distL="0" distR="0" wp14:anchorId="30E38302" wp14:editId="3213015C">
            <wp:extent cx="4451350" cy="3432868"/>
            <wp:effectExtent l="0" t="0" r="6350" b="0"/>
            <wp:docPr id="499900166" name="Picture 1" descr="Figure 1a: NRG-GY018 KM plot for OS in the dMMR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00166" name="Picture 1" descr="Figure 1a: NRG-GY018 KM plot for OS in the dMMR cohort"/>
                    <pic:cNvPicPr/>
                  </pic:nvPicPr>
                  <pic:blipFill>
                    <a:blip r:embed="rId11"/>
                    <a:stretch>
                      <a:fillRect/>
                    </a:stretch>
                  </pic:blipFill>
                  <pic:spPr>
                    <a:xfrm>
                      <a:off x="0" y="0"/>
                      <a:ext cx="4460178" cy="3439676"/>
                    </a:xfrm>
                    <a:prstGeom prst="rect">
                      <a:avLst/>
                    </a:prstGeom>
                  </pic:spPr>
                </pic:pic>
              </a:graphicData>
            </a:graphic>
          </wp:inline>
        </w:drawing>
      </w:r>
    </w:p>
    <w:p w14:paraId="1E97B8E2" w14:textId="77777777" w:rsidR="00A3213F" w:rsidRPr="00AB6F27" w:rsidRDefault="00A3213F" w:rsidP="005164B0">
      <w:pPr>
        <w:keepNext/>
        <w:keepLines/>
      </w:pPr>
      <w:r w:rsidRPr="00AB6F27">
        <w:rPr>
          <w:noProof/>
          <w:color w:val="3366FF"/>
        </w:rPr>
        <w:drawing>
          <wp:inline distT="0" distB="0" distL="0" distR="0" wp14:anchorId="75966701" wp14:editId="172AA2F4">
            <wp:extent cx="4451350" cy="3418066"/>
            <wp:effectExtent l="0" t="0" r="6350" b="0"/>
            <wp:docPr id="147595533" name="Picture 1" descr="Figure 1b: NRG-GY018 KM plot for OS in the pMMR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5533" name="Picture 1" descr="Figure 1b: NRG-GY018 KM plot for OS in the pMMR cohort"/>
                    <pic:cNvPicPr/>
                  </pic:nvPicPr>
                  <pic:blipFill>
                    <a:blip r:embed="rId12"/>
                    <a:stretch>
                      <a:fillRect/>
                    </a:stretch>
                  </pic:blipFill>
                  <pic:spPr>
                    <a:xfrm>
                      <a:off x="0" y="0"/>
                      <a:ext cx="4487107" cy="3445523"/>
                    </a:xfrm>
                    <a:prstGeom prst="rect">
                      <a:avLst/>
                    </a:prstGeom>
                  </pic:spPr>
                </pic:pic>
              </a:graphicData>
            </a:graphic>
          </wp:inline>
        </w:drawing>
      </w:r>
    </w:p>
    <w:p w14:paraId="3D9C84B4" w14:textId="77777777" w:rsidR="00A3213F" w:rsidRPr="00AB6F27" w:rsidRDefault="00A3213F" w:rsidP="005164B0">
      <w:pPr>
        <w:keepNext/>
        <w:keepLines/>
        <w:rPr>
          <w:rFonts w:ascii="Arial Narrow" w:hAnsi="Arial Narrow"/>
          <w:sz w:val="18"/>
          <w:szCs w:val="18"/>
        </w:rPr>
      </w:pPr>
      <w:r w:rsidRPr="00AB6F27">
        <w:rPr>
          <w:rFonts w:ascii="Arial Narrow" w:hAnsi="Arial Narrow"/>
          <w:sz w:val="18"/>
          <w:szCs w:val="18"/>
        </w:rPr>
        <w:t>Source: Figure 11-13 and 11-14, p134 and 137 NRG-GY018 CSR 2022</w:t>
      </w:r>
    </w:p>
    <w:p w14:paraId="389BB59F" w14:textId="77777777" w:rsidR="00A3213F" w:rsidRPr="00AB6F27" w:rsidRDefault="00A3213F" w:rsidP="005164B0">
      <w:pPr>
        <w:keepNext/>
        <w:keepLines/>
        <w:rPr>
          <w:rFonts w:ascii="Arial Narrow" w:hAnsi="Arial Narrow"/>
          <w:sz w:val="18"/>
          <w:szCs w:val="18"/>
        </w:rPr>
      </w:pPr>
      <w:r w:rsidRPr="00AB6F27">
        <w:rPr>
          <w:rFonts w:ascii="Arial Narrow" w:hAnsi="Arial Narrow"/>
          <w:sz w:val="18"/>
          <w:szCs w:val="18"/>
        </w:rPr>
        <w:t xml:space="preserve">Note: IA1 Database Cutoff Date 16 DEC 2022, median follow up 13.6 months (dMMR) and 8.7 months (pMMR). </w:t>
      </w:r>
    </w:p>
    <w:p w14:paraId="4893727F" w14:textId="77777777" w:rsidR="00A3213F" w:rsidRPr="00AB6F27" w:rsidRDefault="00A3213F" w:rsidP="00A3213F">
      <w:pPr>
        <w:rPr>
          <w:rFonts w:ascii="Arial Narrow" w:hAnsi="Arial Narrow"/>
          <w:sz w:val="18"/>
          <w:szCs w:val="18"/>
        </w:rPr>
      </w:pPr>
    </w:p>
    <w:p w14:paraId="37220357" w14:textId="607BFAC9" w:rsidR="00995A3B" w:rsidRPr="00AB6F27" w:rsidRDefault="00995A3B" w:rsidP="00995A3B">
      <w:pPr>
        <w:pStyle w:val="In-tableHeading"/>
        <w:keepLines/>
        <w:rPr>
          <w:sz w:val="18"/>
        </w:rPr>
      </w:pPr>
      <w:bookmarkStart w:id="34" w:name="_Ref196232759"/>
      <w:r w:rsidRPr="00AB6F27">
        <w:lastRenderedPageBreak/>
        <w:t xml:space="preserve">Table </w:t>
      </w:r>
      <w:r w:rsidRPr="00AB6F27">
        <w:fldChar w:fldCharType="begin"/>
      </w:r>
      <w:r w:rsidRPr="00AB6F27">
        <w:instrText xml:space="preserve"> SEQ Table \* ARABIC </w:instrText>
      </w:r>
      <w:r w:rsidRPr="00AB6F27">
        <w:fldChar w:fldCharType="separate"/>
      </w:r>
      <w:r w:rsidR="003359D3">
        <w:rPr>
          <w:noProof/>
        </w:rPr>
        <w:t>5</w:t>
      </w:r>
      <w:r w:rsidRPr="00AB6F27">
        <w:rPr>
          <w:noProof/>
        </w:rPr>
        <w:fldChar w:fldCharType="end"/>
      </w:r>
      <w:bookmarkEnd w:id="34"/>
      <w:r w:rsidRPr="00AB6F27">
        <w:t>: OS results in NRG-GY018</w:t>
      </w:r>
    </w:p>
    <w:tbl>
      <w:tblPr>
        <w:tblStyle w:val="TableGrid"/>
        <w:tblW w:w="5000" w:type="pct"/>
        <w:tblLayout w:type="fixed"/>
        <w:tblLook w:val="04A0" w:firstRow="1" w:lastRow="0" w:firstColumn="1" w:lastColumn="0" w:noHBand="0" w:noVBand="1"/>
        <w:tblCaption w:val="Table 5: OS results in NRG-GY018"/>
      </w:tblPr>
      <w:tblGrid>
        <w:gridCol w:w="704"/>
        <w:gridCol w:w="1025"/>
        <w:gridCol w:w="496"/>
        <w:gridCol w:w="866"/>
        <w:gridCol w:w="936"/>
        <w:gridCol w:w="1431"/>
        <w:gridCol w:w="1584"/>
        <w:gridCol w:w="1062"/>
        <w:gridCol w:w="913"/>
      </w:tblGrid>
      <w:tr w:rsidR="00995A3B" w:rsidRPr="00AB6F27" w14:paraId="4A3BB337" w14:textId="77777777" w:rsidTr="009D1E83">
        <w:trPr>
          <w:trHeight w:val="113"/>
        </w:trPr>
        <w:tc>
          <w:tcPr>
            <w:tcW w:w="704" w:type="dxa"/>
          </w:tcPr>
          <w:p w14:paraId="2EE6EC0F" w14:textId="77777777" w:rsidR="00995A3B" w:rsidRPr="009D1E83" w:rsidRDefault="00995A3B" w:rsidP="007B5E49">
            <w:pPr>
              <w:keepNext/>
              <w:keepLines/>
              <w:rPr>
                <w:rFonts w:ascii="Arial Narrow" w:hAnsi="Arial Narrow"/>
                <w:b/>
                <w:sz w:val="20"/>
                <w:szCs w:val="20"/>
              </w:rPr>
            </w:pPr>
          </w:p>
        </w:tc>
        <w:tc>
          <w:tcPr>
            <w:tcW w:w="1025" w:type="dxa"/>
            <w:vAlign w:val="center"/>
          </w:tcPr>
          <w:p w14:paraId="6BFAD1EA" w14:textId="77777777" w:rsidR="00995A3B" w:rsidRPr="009D1E83" w:rsidRDefault="00995A3B" w:rsidP="007B5E49">
            <w:pPr>
              <w:keepNext/>
              <w:keepLines/>
              <w:jc w:val="center"/>
              <w:rPr>
                <w:rFonts w:ascii="Arial Narrow" w:hAnsi="Arial Narrow"/>
                <w:b/>
                <w:sz w:val="20"/>
                <w:szCs w:val="20"/>
              </w:rPr>
            </w:pPr>
            <w:r w:rsidRPr="009D1E83">
              <w:rPr>
                <w:rFonts w:ascii="Arial Narrow" w:hAnsi="Arial Narrow"/>
                <w:b/>
                <w:sz w:val="20"/>
                <w:szCs w:val="20"/>
              </w:rPr>
              <w:t>Treatment</w:t>
            </w:r>
          </w:p>
        </w:tc>
        <w:tc>
          <w:tcPr>
            <w:tcW w:w="496" w:type="dxa"/>
            <w:vAlign w:val="center"/>
          </w:tcPr>
          <w:p w14:paraId="1053EF61" w14:textId="77777777" w:rsidR="00995A3B" w:rsidRPr="009D1E83" w:rsidRDefault="00995A3B" w:rsidP="007B5E49">
            <w:pPr>
              <w:keepNext/>
              <w:keepLines/>
              <w:jc w:val="center"/>
              <w:rPr>
                <w:rFonts w:ascii="Arial Narrow" w:hAnsi="Arial Narrow"/>
                <w:b/>
                <w:sz w:val="20"/>
                <w:szCs w:val="20"/>
              </w:rPr>
            </w:pPr>
            <w:r w:rsidRPr="009D1E83">
              <w:rPr>
                <w:rFonts w:ascii="Arial Narrow" w:hAnsi="Arial Narrow"/>
                <w:b/>
                <w:sz w:val="20"/>
                <w:szCs w:val="20"/>
              </w:rPr>
              <w:t>N</w:t>
            </w:r>
          </w:p>
        </w:tc>
        <w:tc>
          <w:tcPr>
            <w:tcW w:w="866" w:type="dxa"/>
            <w:vAlign w:val="center"/>
          </w:tcPr>
          <w:p w14:paraId="7F1308F8" w14:textId="77777777" w:rsidR="00995A3B" w:rsidRPr="009D1E83" w:rsidRDefault="00995A3B" w:rsidP="007B5E49">
            <w:pPr>
              <w:keepNext/>
              <w:keepLines/>
              <w:jc w:val="center"/>
              <w:rPr>
                <w:rFonts w:ascii="Arial Narrow" w:hAnsi="Arial Narrow"/>
                <w:b/>
                <w:sz w:val="20"/>
                <w:szCs w:val="20"/>
              </w:rPr>
            </w:pPr>
            <w:r w:rsidRPr="009D1E83">
              <w:rPr>
                <w:rFonts w:ascii="Arial Narrow" w:hAnsi="Arial Narrow"/>
                <w:b/>
                <w:sz w:val="20"/>
                <w:szCs w:val="20"/>
              </w:rPr>
              <w:t>Number of events (%)</w:t>
            </w:r>
          </w:p>
        </w:tc>
        <w:tc>
          <w:tcPr>
            <w:tcW w:w="936" w:type="dxa"/>
            <w:vAlign w:val="center"/>
          </w:tcPr>
          <w:p w14:paraId="184BFCCB" w14:textId="107AFBF9" w:rsidR="00995A3B" w:rsidRPr="009D1E83" w:rsidRDefault="00995A3B" w:rsidP="007B5E49">
            <w:pPr>
              <w:keepNext/>
              <w:keepLines/>
              <w:jc w:val="center"/>
              <w:rPr>
                <w:rFonts w:ascii="Arial Narrow" w:hAnsi="Arial Narrow"/>
                <w:b/>
                <w:sz w:val="20"/>
                <w:szCs w:val="20"/>
              </w:rPr>
            </w:pPr>
            <w:r w:rsidRPr="009D1E83">
              <w:rPr>
                <w:rFonts w:ascii="Arial Narrow" w:hAnsi="Arial Narrow"/>
                <w:b/>
                <w:sz w:val="20"/>
                <w:szCs w:val="20"/>
              </w:rPr>
              <w:t xml:space="preserve">Number </w:t>
            </w:r>
            <w:r w:rsidR="003339F9" w:rsidRPr="009D1E83">
              <w:rPr>
                <w:rFonts w:ascii="Arial Narrow" w:hAnsi="Arial Narrow"/>
                <w:b/>
                <w:sz w:val="20"/>
                <w:szCs w:val="20"/>
              </w:rPr>
              <w:t>c</w:t>
            </w:r>
            <w:r w:rsidRPr="009D1E83">
              <w:rPr>
                <w:rFonts w:ascii="Arial Narrow" w:hAnsi="Arial Narrow"/>
                <w:b/>
                <w:sz w:val="20"/>
                <w:szCs w:val="20"/>
              </w:rPr>
              <w:t>ensored (%)</w:t>
            </w:r>
          </w:p>
        </w:tc>
        <w:tc>
          <w:tcPr>
            <w:tcW w:w="1431" w:type="dxa"/>
            <w:vAlign w:val="center"/>
          </w:tcPr>
          <w:p w14:paraId="362DC466" w14:textId="77777777" w:rsidR="00995A3B" w:rsidRPr="009D1E83" w:rsidRDefault="00995A3B" w:rsidP="007B5E49">
            <w:pPr>
              <w:keepNext/>
              <w:keepLines/>
              <w:jc w:val="center"/>
              <w:rPr>
                <w:rFonts w:ascii="Arial Narrow" w:hAnsi="Arial Narrow"/>
                <w:b/>
                <w:sz w:val="20"/>
                <w:szCs w:val="20"/>
              </w:rPr>
            </w:pPr>
            <w:r w:rsidRPr="009D1E83">
              <w:rPr>
                <w:rFonts w:ascii="Arial Narrow" w:hAnsi="Arial Narrow"/>
                <w:b/>
                <w:sz w:val="20"/>
                <w:szCs w:val="20"/>
              </w:rPr>
              <w:t>Median OS (Months) (95% CI)</w:t>
            </w:r>
          </w:p>
        </w:tc>
        <w:tc>
          <w:tcPr>
            <w:tcW w:w="1584" w:type="dxa"/>
            <w:vAlign w:val="center"/>
          </w:tcPr>
          <w:p w14:paraId="14D44FEE" w14:textId="3C52886C" w:rsidR="00995A3B" w:rsidRPr="009D1E83" w:rsidRDefault="00995A3B" w:rsidP="007B5E49">
            <w:pPr>
              <w:keepNext/>
              <w:keepLines/>
              <w:jc w:val="center"/>
              <w:rPr>
                <w:rFonts w:ascii="Arial Narrow" w:hAnsi="Arial Narrow"/>
                <w:b/>
                <w:sz w:val="20"/>
                <w:szCs w:val="20"/>
              </w:rPr>
            </w:pPr>
            <w:r w:rsidRPr="009D1E83">
              <w:rPr>
                <w:rFonts w:ascii="Arial Narrow" w:hAnsi="Arial Narrow"/>
                <w:b/>
                <w:sz w:val="20"/>
                <w:szCs w:val="20"/>
              </w:rPr>
              <w:t>OS rates at 24 mo</w:t>
            </w:r>
            <w:r w:rsidR="00224AF5" w:rsidRPr="009D1E83">
              <w:rPr>
                <w:rFonts w:ascii="Arial Narrow" w:hAnsi="Arial Narrow"/>
                <w:b/>
                <w:sz w:val="20"/>
                <w:szCs w:val="20"/>
              </w:rPr>
              <w:t>nths</w:t>
            </w:r>
            <w:r w:rsidRPr="009D1E83">
              <w:rPr>
                <w:rFonts w:ascii="Arial Narrow" w:hAnsi="Arial Narrow"/>
                <w:b/>
                <w:sz w:val="20"/>
                <w:szCs w:val="20"/>
              </w:rPr>
              <w:t xml:space="preserve"> % (95% CI)</w:t>
            </w:r>
          </w:p>
        </w:tc>
        <w:tc>
          <w:tcPr>
            <w:tcW w:w="1062" w:type="dxa"/>
            <w:vAlign w:val="center"/>
          </w:tcPr>
          <w:p w14:paraId="300B0CE4" w14:textId="77777777" w:rsidR="00995A3B" w:rsidRPr="00AB6F27" w:rsidRDefault="00995A3B" w:rsidP="007B5E49">
            <w:pPr>
              <w:keepNext/>
              <w:keepLines/>
              <w:jc w:val="center"/>
              <w:rPr>
                <w:rFonts w:ascii="Arial Narrow" w:hAnsi="Arial Narrow"/>
                <w:b/>
                <w:sz w:val="20"/>
                <w:szCs w:val="20"/>
              </w:rPr>
            </w:pPr>
            <w:r w:rsidRPr="00AB6F27">
              <w:rPr>
                <w:rFonts w:ascii="Arial Narrow" w:hAnsi="Arial Narrow"/>
                <w:b/>
                <w:sz w:val="20"/>
                <w:szCs w:val="20"/>
              </w:rPr>
              <w:t xml:space="preserve">Hazard Ratio </w:t>
            </w:r>
            <w:r w:rsidRPr="00AB6F27">
              <w:rPr>
                <w:rFonts w:ascii="Arial Narrow" w:hAnsi="Arial Narrow"/>
                <w:b/>
                <w:sz w:val="20"/>
                <w:szCs w:val="20"/>
              </w:rPr>
              <w:br/>
              <w:t>(95% CI)</w:t>
            </w:r>
          </w:p>
        </w:tc>
        <w:tc>
          <w:tcPr>
            <w:tcW w:w="913" w:type="dxa"/>
            <w:vAlign w:val="center"/>
          </w:tcPr>
          <w:p w14:paraId="32FA5FD8" w14:textId="77777777" w:rsidR="00995A3B" w:rsidRPr="00AB6F27" w:rsidRDefault="00995A3B" w:rsidP="007B5E49">
            <w:pPr>
              <w:keepNext/>
              <w:keepLines/>
              <w:jc w:val="center"/>
              <w:rPr>
                <w:rFonts w:ascii="Arial Narrow" w:hAnsi="Arial Narrow"/>
                <w:b/>
                <w:sz w:val="20"/>
                <w:szCs w:val="20"/>
              </w:rPr>
            </w:pPr>
            <w:r w:rsidRPr="00AB6F27">
              <w:rPr>
                <w:rFonts w:ascii="Arial Narrow" w:hAnsi="Arial Narrow"/>
                <w:b/>
                <w:sz w:val="20"/>
                <w:szCs w:val="20"/>
              </w:rPr>
              <w:t>p-value</w:t>
            </w:r>
          </w:p>
        </w:tc>
      </w:tr>
      <w:tr w:rsidR="00995A3B" w:rsidRPr="00AB6F27" w14:paraId="7D4044B5" w14:textId="77777777" w:rsidTr="009D1E83">
        <w:trPr>
          <w:trHeight w:val="113"/>
        </w:trPr>
        <w:tc>
          <w:tcPr>
            <w:tcW w:w="9017" w:type="dxa"/>
            <w:gridSpan w:val="9"/>
          </w:tcPr>
          <w:p w14:paraId="6F572556" w14:textId="77777777" w:rsidR="00995A3B" w:rsidRPr="009D1E83" w:rsidRDefault="00995A3B" w:rsidP="007B5E49">
            <w:pPr>
              <w:keepNext/>
              <w:keepLines/>
              <w:rPr>
                <w:rFonts w:ascii="Arial Narrow" w:hAnsi="Arial Narrow"/>
                <w:b/>
                <w:sz w:val="20"/>
                <w:szCs w:val="20"/>
              </w:rPr>
            </w:pPr>
            <w:r w:rsidRPr="009D1E83">
              <w:rPr>
                <w:rFonts w:ascii="Arial Narrow" w:hAnsi="Arial Narrow"/>
                <w:b/>
                <w:sz w:val="20"/>
                <w:szCs w:val="20"/>
              </w:rPr>
              <w:t>dMMR population</w:t>
            </w:r>
          </w:p>
        </w:tc>
      </w:tr>
      <w:tr w:rsidR="00995A3B" w:rsidRPr="00AB6F27" w14:paraId="01F7D2BB" w14:textId="77777777" w:rsidTr="009D1E83">
        <w:trPr>
          <w:trHeight w:val="113"/>
        </w:trPr>
        <w:tc>
          <w:tcPr>
            <w:tcW w:w="704" w:type="dxa"/>
            <w:vMerge w:val="restart"/>
            <w:vAlign w:val="center"/>
          </w:tcPr>
          <w:p w14:paraId="2598C652" w14:textId="77777777" w:rsidR="00995A3B" w:rsidRPr="009D1E83" w:rsidRDefault="00995A3B" w:rsidP="007B5E49">
            <w:pPr>
              <w:keepNext/>
              <w:keepLines/>
              <w:rPr>
                <w:rFonts w:ascii="Arial Narrow" w:hAnsi="Arial Narrow"/>
                <w:b/>
                <w:sz w:val="20"/>
                <w:szCs w:val="20"/>
                <w:vertAlign w:val="superscript"/>
              </w:rPr>
            </w:pPr>
            <w:r w:rsidRPr="009D1E83">
              <w:rPr>
                <w:rFonts w:ascii="Arial Narrow" w:hAnsi="Arial Narrow"/>
                <w:b/>
                <w:sz w:val="20"/>
                <w:szCs w:val="20"/>
              </w:rPr>
              <w:t>IA1</w:t>
            </w:r>
            <w:r w:rsidRPr="009D1E83">
              <w:rPr>
                <w:rFonts w:ascii="Arial Narrow" w:hAnsi="Arial Narrow"/>
                <w:b/>
                <w:sz w:val="20"/>
                <w:szCs w:val="20"/>
                <w:vertAlign w:val="superscript"/>
              </w:rPr>
              <w:t>a</w:t>
            </w:r>
          </w:p>
        </w:tc>
        <w:tc>
          <w:tcPr>
            <w:tcW w:w="1025" w:type="dxa"/>
            <w:vAlign w:val="center"/>
          </w:tcPr>
          <w:p w14:paraId="70FD0749"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PEM+PBC</w:t>
            </w:r>
          </w:p>
        </w:tc>
        <w:tc>
          <w:tcPr>
            <w:tcW w:w="496" w:type="dxa"/>
            <w:vAlign w:val="center"/>
          </w:tcPr>
          <w:p w14:paraId="360D7102"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110</w:t>
            </w:r>
          </w:p>
        </w:tc>
        <w:tc>
          <w:tcPr>
            <w:tcW w:w="866" w:type="dxa"/>
            <w:vAlign w:val="center"/>
          </w:tcPr>
          <w:p w14:paraId="3CB52C5F"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10 (9.1)</w:t>
            </w:r>
          </w:p>
        </w:tc>
        <w:tc>
          <w:tcPr>
            <w:tcW w:w="936" w:type="dxa"/>
            <w:vAlign w:val="center"/>
          </w:tcPr>
          <w:p w14:paraId="0D741FC4"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100 (90.9)</w:t>
            </w:r>
          </w:p>
        </w:tc>
        <w:tc>
          <w:tcPr>
            <w:tcW w:w="1431" w:type="dxa"/>
            <w:vAlign w:val="center"/>
          </w:tcPr>
          <w:p w14:paraId="3AF36138"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NR (NR, NR)</w:t>
            </w:r>
          </w:p>
        </w:tc>
        <w:tc>
          <w:tcPr>
            <w:tcW w:w="1584" w:type="dxa"/>
            <w:vAlign w:val="center"/>
          </w:tcPr>
          <w:p w14:paraId="25E571F8"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85.1 (73.2, 92.0)</w:t>
            </w:r>
          </w:p>
        </w:tc>
        <w:tc>
          <w:tcPr>
            <w:tcW w:w="1062" w:type="dxa"/>
            <w:vMerge w:val="restart"/>
            <w:vAlign w:val="center"/>
          </w:tcPr>
          <w:p w14:paraId="6E51FBA7"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 xml:space="preserve">0.55 </w:t>
            </w:r>
            <w:r w:rsidRPr="00AB6F27">
              <w:rPr>
                <w:rFonts w:ascii="Arial Narrow" w:hAnsi="Arial Narrow"/>
                <w:sz w:val="20"/>
                <w:szCs w:val="20"/>
              </w:rPr>
              <w:br/>
              <w:t>(0.25, 1.19)</w:t>
            </w:r>
          </w:p>
        </w:tc>
        <w:tc>
          <w:tcPr>
            <w:tcW w:w="913" w:type="dxa"/>
            <w:vMerge w:val="restart"/>
            <w:vAlign w:val="center"/>
          </w:tcPr>
          <w:p w14:paraId="5A301739"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0.0617</w:t>
            </w:r>
          </w:p>
        </w:tc>
      </w:tr>
      <w:tr w:rsidR="00995A3B" w:rsidRPr="00AB6F27" w14:paraId="1AC91CA9" w14:textId="77777777" w:rsidTr="009D1E83">
        <w:trPr>
          <w:trHeight w:val="113"/>
        </w:trPr>
        <w:tc>
          <w:tcPr>
            <w:tcW w:w="704" w:type="dxa"/>
            <w:vMerge/>
            <w:vAlign w:val="center"/>
          </w:tcPr>
          <w:p w14:paraId="1B5C0E6D" w14:textId="77777777" w:rsidR="00995A3B" w:rsidRPr="009D1E83" w:rsidRDefault="00995A3B" w:rsidP="007B5E49">
            <w:pPr>
              <w:keepNext/>
              <w:keepLines/>
              <w:rPr>
                <w:rFonts w:ascii="Arial Narrow" w:hAnsi="Arial Narrow"/>
                <w:b/>
                <w:sz w:val="20"/>
                <w:szCs w:val="20"/>
              </w:rPr>
            </w:pPr>
          </w:p>
        </w:tc>
        <w:tc>
          <w:tcPr>
            <w:tcW w:w="1025" w:type="dxa"/>
            <w:vAlign w:val="center"/>
          </w:tcPr>
          <w:p w14:paraId="35A231CF"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PBO+PBC</w:t>
            </w:r>
          </w:p>
        </w:tc>
        <w:tc>
          <w:tcPr>
            <w:tcW w:w="496" w:type="dxa"/>
            <w:vAlign w:val="center"/>
          </w:tcPr>
          <w:p w14:paraId="2A5DA43F"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112</w:t>
            </w:r>
          </w:p>
        </w:tc>
        <w:tc>
          <w:tcPr>
            <w:tcW w:w="866" w:type="dxa"/>
            <w:vAlign w:val="center"/>
          </w:tcPr>
          <w:p w14:paraId="6572DAC1"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17 (15.2)</w:t>
            </w:r>
          </w:p>
        </w:tc>
        <w:tc>
          <w:tcPr>
            <w:tcW w:w="936" w:type="dxa"/>
            <w:vAlign w:val="center"/>
          </w:tcPr>
          <w:p w14:paraId="023EFE1A"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95 (84.8)</w:t>
            </w:r>
          </w:p>
        </w:tc>
        <w:tc>
          <w:tcPr>
            <w:tcW w:w="1431" w:type="dxa"/>
            <w:vAlign w:val="center"/>
          </w:tcPr>
          <w:p w14:paraId="45A6D2B5"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NR (NR, NR)</w:t>
            </w:r>
          </w:p>
        </w:tc>
        <w:tc>
          <w:tcPr>
            <w:tcW w:w="1584" w:type="dxa"/>
            <w:vAlign w:val="center"/>
          </w:tcPr>
          <w:p w14:paraId="2BEE4A7D"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73.0 (56.4, 84.1)</w:t>
            </w:r>
          </w:p>
        </w:tc>
        <w:tc>
          <w:tcPr>
            <w:tcW w:w="1062" w:type="dxa"/>
            <w:vMerge/>
            <w:vAlign w:val="center"/>
          </w:tcPr>
          <w:p w14:paraId="6FAC7AFE" w14:textId="77777777" w:rsidR="00995A3B" w:rsidRPr="00AB6F27" w:rsidRDefault="00995A3B" w:rsidP="007B5E49">
            <w:pPr>
              <w:keepNext/>
              <w:keepLines/>
              <w:jc w:val="center"/>
              <w:rPr>
                <w:rFonts w:ascii="Arial Narrow" w:hAnsi="Arial Narrow"/>
                <w:sz w:val="20"/>
                <w:szCs w:val="20"/>
              </w:rPr>
            </w:pPr>
          </w:p>
        </w:tc>
        <w:tc>
          <w:tcPr>
            <w:tcW w:w="913" w:type="dxa"/>
            <w:vMerge/>
            <w:vAlign w:val="center"/>
          </w:tcPr>
          <w:p w14:paraId="46F75D75" w14:textId="77777777" w:rsidR="00995A3B" w:rsidRPr="00AB6F27" w:rsidRDefault="00995A3B" w:rsidP="007B5E49">
            <w:pPr>
              <w:keepNext/>
              <w:keepLines/>
              <w:jc w:val="center"/>
              <w:rPr>
                <w:rFonts w:ascii="Arial Narrow" w:hAnsi="Arial Narrow"/>
                <w:sz w:val="20"/>
                <w:szCs w:val="20"/>
              </w:rPr>
            </w:pPr>
          </w:p>
        </w:tc>
      </w:tr>
      <w:tr w:rsidR="00995A3B" w:rsidRPr="00AB6F27" w14:paraId="6E3D5498" w14:textId="77777777" w:rsidTr="009D1E83">
        <w:trPr>
          <w:trHeight w:val="113"/>
        </w:trPr>
        <w:tc>
          <w:tcPr>
            <w:tcW w:w="704" w:type="dxa"/>
            <w:vMerge w:val="restart"/>
            <w:vAlign w:val="center"/>
          </w:tcPr>
          <w:p w14:paraId="305D39FD" w14:textId="77777777" w:rsidR="00995A3B" w:rsidRPr="009D1E83" w:rsidRDefault="00995A3B" w:rsidP="007B5E49">
            <w:pPr>
              <w:keepNext/>
              <w:keepLines/>
              <w:rPr>
                <w:rFonts w:ascii="Arial Narrow" w:hAnsi="Arial Narrow"/>
                <w:b/>
                <w:sz w:val="20"/>
                <w:szCs w:val="20"/>
                <w:vertAlign w:val="superscript"/>
              </w:rPr>
            </w:pPr>
            <w:r w:rsidRPr="009D1E83">
              <w:rPr>
                <w:rFonts w:ascii="Arial Narrow" w:hAnsi="Arial Narrow"/>
                <w:b/>
                <w:sz w:val="20"/>
                <w:szCs w:val="20"/>
              </w:rPr>
              <w:t xml:space="preserve">EUR </w:t>
            </w:r>
            <w:r w:rsidRPr="009D1E83">
              <w:rPr>
                <w:rFonts w:ascii="Arial Narrow" w:hAnsi="Arial Narrow"/>
                <w:b/>
                <w:sz w:val="20"/>
                <w:szCs w:val="20"/>
                <w:vertAlign w:val="superscript"/>
              </w:rPr>
              <w:t>b</w:t>
            </w:r>
          </w:p>
        </w:tc>
        <w:tc>
          <w:tcPr>
            <w:tcW w:w="1025" w:type="dxa"/>
            <w:vAlign w:val="center"/>
          </w:tcPr>
          <w:p w14:paraId="03867A67"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PEM+PBC</w:t>
            </w:r>
          </w:p>
        </w:tc>
        <w:tc>
          <w:tcPr>
            <w:tcW w:w="496" w:type="dxa"/>
            <w:vAlign w:val="center"/>
          </w:tcPr>
          <w:p w14:paraId="59126C93"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110</w:t>
            </w:r>
          </w:p>
        </w:tc>
        <w:tc>
          <w:tcPr>
            <w:tcW w:w="866" w:type="dxa"/>
            <w:vAlign w:val="center"/>
          </w:tcPr>
          <w:p w14:paraId="32DC3538"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17 (15.5)</w:t>
            </w:r>
          </w:p>
        </w:tc>
        <w:tc>
          <w:tcPr>
            <w:tcW w:w="936" w:type="dxa"/>
            <w:vAlign w:val="center"/>
          </w:tcPr>
          <w:p w14:paraId="44F27BD0"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93 (84.5)</w:t>
            </w:r>
          </w:p>
        </w:tc>
        <w:tc>
          <w:tcPr>
            <w:tcW w:w="1431" w:type="dxa"/>
            <w:vAlign w:val="center"/>
          </w:tcPr>
          <w:p w14:paraId="2584A591"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NR, (NR, NR)</w:t>
            </w:r>
          </w:p>
        </w:tc>
        <w:tc>
          <w:tcPr>
            <w:tcW w:w="1584" w:type="dxa"/>
            <w:vAlign w:val="center"/>
          </w:tcPr>
          <w:p w14:paraId="6CD07EB2"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80.7 (70.3, 87.7)</w:t>
            </w:r>
          </w:p>
        </w:tc>
        <w:tc>
          <w:tcPr>
            <w:tcW w:w="1062" w:type="dxa"/>
            <w:vMerge w:val="restart"/>
            <w:vAlign w:val="center"/>
          </w:tcPr>
          <w:p w14:paraId="15995666"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 xml:space="preserve">0.57 </w:t>
            </w:r>
            <w:r w:rsidRPr="00AB6F27">
              <w:rPr>
                <w:rFonts w:ascii="Arial Narrow" w:hAnsi="Arial Narrow"/>
                <w:sz w:val="20"/>
                <w:szCs w:val="20"/>
              </w:rPr>
              <w:br/>
              <w:t>(0.31, 1.04)</w:t>
            </w:r>
          </w:p>
        </w:tc>
        <w:tc>
          <w:tcPr>
            <w:tcW w:w="913" w:type="dxa"/>
            <w:vMerge w:val="restart"/>
            <w:vAlign w:val="center"/>
          </w:tcPr>
          <w:p w14:paraId="3694318A"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0.0323</w:t>
            </w:r>
          </w:p>
        </w:tc>
      </w:tr>
      <w:tr w:rsidR="00995A3B" w:rsidRPr="00AB6F27" w14:paraId="12A7B43D" w14:textId="77777777" w:rsidTr="009D1E83">
        <w:trPr>
          <w:trHeight w:val="113"/>
        </w:trPr>
        <w:tc>
          <w:tcPr>
            <w:tcW w:w="704" w:type="dxa"/>
            <w:vMerge/>
            <w:vAlign w:val="center"/>
          </w:tcPr>
          <w:p w14:paraId="41E346C7" w14:textId="77777777" w:rsidR="00995A3B" w:rsidRPr="009D1E83" w:rsidRDefault="00995A3B" w:rsidP="007B5E49">
            <w:pPr>
              <w:keepNext/>
              <w:keepLines/>
              <w:rPr>
                <w:rFonts w:ascii="Arial Narrow" w:hAnsi="Arial Narrow"/>
                <w:b/>
                <w:sz w:val="20"/>
                <w:szCs w:val="20"/>
              </w:rPr>
            </w:pPr>
          </w:p>
        </w:tc>
        <w:tc>
          <w:tcPr>
            <w:tcW w:w="1025" w:type="dxa"/>
            <w:vAlign w:val="center"/>
          </w:tcPr>
          <w:p w14:paraId="471F0800"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PBO+PBC</w:t>
            </w:r>
          </w:p>
        </w:tc>
        <w:tc>
          <w:tcPr>
            <w:tcW w:w="496" w:type="dxa"/>
            <w:vAlign w:val="center"/>
          </w:tcPr>
          <w:p w14:paraId="0C82BB53"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112</w:t>
            </w:r>
          </w:p>
        </w:tc>
        <w:tc>
          <w:tcPr>
            <w:tcW w:w="866" w:type="dxa"/>
            <w:vAlign w:val="center"/>
          </w:tcPr>
          <w:p w14:paraId="0E591208"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27 (24.1)</w:t>
            </w:r>
          </w:p>
        </w:tc>
        <w:tc>
          <w:tcPr>
            <w:tcW w:w="936" w:type="dxa"/>
            <w:vAlign w:val="center"/>
          </w:tcPr>
          <w:p w14:paraId="0A157D33"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85 (75.9)</w:t>
            </w:r>
          </w:p>
        </w:tc>
        <w:tc>
          <w:tcPr>
            <w:tcW w:w="1431" w:type="dxa"/>
            <w:vAlign w:val="center"/>
          </w:tcPr>
          <w:p w14:paraId="7570BB28"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42.7 (NR, NR)</w:t>
            </w:r>
          </w:p>
        </w:tc>
        <w:tc>
          <w:tcPr>
            <w:tcW w:w="1584" w:type="dxa"/>
            <w:vAlign w:val="center"/>
          </w:tcPr>
          <w:p w14:paraId="00C8DF20"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70.9 (59.8, 79.4)</w:t>
            </w:r>
          </w:p>
        </w:tc>
        <w:tc>
          <w:tcPr>
            <w:tcW w:w="1062" w:type="dxa"/>
            <w:vMerge/>
          </w:tcPr>
          <w:p w14:paraId="35249030" w14:textId="77777777" w:rsidR="00995A3B" w:rsidRPr="00AB6F27" w:rsidRDefault="00995A3B" w:rsidP="007B5E49">
            <w:pPr>
              <w:keepNext/>
              <w:keepLines/>
              <w:rPr>
                <w:rFonts w:ascii="Arial Narrow" w:hAnsi="Arial Narrow"/>
                <w:sz w:val="20"/>
                <w:szCs w:val="20"/>
              </w:rPr>
            </w:pPr>
          </w:p>
        </w:tc>
        <w:tc>
          <w:tcPr>
            <w:tcW w:w="913" w:type="dxa"/>
            <w:vMerge/>
          </w:tcPr>
          <w:p w14:paraId="56BC58CE" w14:textId="77777777" w:rsidR="00995A3B" w:rsidRPr="00AB6F27" w:rsidRDefault="00995A3B" w:rsidP="007B5E49">
            <w:pPr>
              <w:keepNext/>
              <w:keepLines/>
              <w:rPr>
                <w:rFonts w:ascii="Arial Narrow" w:hAnsi="Arial Narrow"/>
                <w:sz w:val="20"/>
                <w:szCs w:val="20"/>
              </w:rPr>
            </w:pPr>
          </w:p>
        </w:tc>
      </w:tr>
      <w:tr w:rsidR="00995A3B" w:rsidRPr="00AB6F27" w14:paraId="71131372" w14:textId="77777777" w:rsidTr="009D1E83">
        <w:trPr>
          <w:trHeight w:val="113"/>
        </w:trPr>
        <w:tc>
          <w:tcPr>
            <w:tcW w:w="9017" w:type="dxa"/>
            <w:gridSpan w:val="9"/>
          </w:tcPr>
          <w:p w14:paraId="46BA386A" w14:textId="77777777" w:rsidR="00995A3B" w:rsidRPr="009D1E83" w:rsidRDefault="00995A3B" w:rsidP="007B5E49">
            <w:pPr>
              <w:keepNext/>
              <w:keepLines/>
              <w:rPr>
                <w:rFonts w:ascii="Arial Narrow" w:hAnsi="Arial Narrow"/>
                <w:b/>
                <w:bCs/>
                <w:sz w:val="20"/>
                <w:szCs w:val="20"/>
              </w:rPr>
            </w:pPr>
            <w:r w:rsidRPr="009D1E83">
              <w:rPr>
                <w:rFonts w:ascii="Arial Narrow" w:hAnsi="Arial Narrow"/>
                <w:b/>
                <w:bCs/>
                <w:sz w:val="20"/>
                <w:szCs w:val="20"/>
              </w:rPr>
              <w:t>pMMR population</w:t>
            </w:r>
          </w:p>
        </w:tc>
      </w:tr>
      <w:tr w:rsidR="00995A3B" w:rsidRPr="00AB6F27" w14:paraId="5E1A3E2B" w14:textId="77777777" w:rsidTr="009D1E83">
        <w:trPr>
          <w:trHeight w:val="113"/>
        </w:trPr>
        <w:tc>
          <w:tcPr>
            <w:tcW w:w="704" w:type="dxa"/>
            <w:vMerge w:val="restart"/>
            <w:vAlign w:val="center"/>
          </w:tcPr>
          <w:p w14:paraId="03DDED8F" w14:textId="77777777" w:rsidR="00995A3B" w:rsidRPr="009D1E83" w:rsidRDefault="00995A3B" w:rsidP="007B5E49">
            <w:pPr>
              <w:keepNext/>
              <w:keepLines/>
              <w:rPr>
                <w:rFonts w:ascii="Arial Narrow" w:hAnsi="Arial Narrow"/>
                <w:b/>
                <w:sz w:val="20"/>
                <w:szCs w:val="20"/>
              </w:rPr>
            </w:pPr>
            <w:r w:rsidRPr="009D1E83">
              <w:rPr>
                <w:rFonts w:ascii="Arial Narrow" w:hAnsi="Arial Narrow"/>
                <w:b/>
                <w:sz w:val="20"/>
                <w:szCs w:val="20"/>
              </w:rPr>
              <w:t>IA1</w:t>
            </w:r>
            <w:r w:rsidRPr="009D1E83">
              <w:rPr>
                <w:rFonts w:ascii="Arial Narrow" w:hAnsi="Arial Narrow"/>
                <w:b/>
                <w:sz w:val="20"/>
                <w:szCs w:val="20"/>
                <w:vertAlign w:val="superscript"/>
              </w:rPr>
              <w:t>a</w:t>
            </w:r>
          </w:p>
        </w:tc>
        <w:tc>
          <w:tcPr>
            <w:tcW w:w="1025" w:type="dxa"/>
            <w:vAlign w:val="center"/>
          </w:tcPr>
          <w:p w14:paraId="73EF4536"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PEM+PBC</w:t>
            </w:r>
          </w:p>
        </w:tc>
        <w:tc>
          <w:tcPr>
            <w:tcW w:w="496" w:type="dxa"/>
            <w:vAlign w:val="center"/>
          </w:tcPr>
          <w:p w14:paraId="3D3F26A6"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294</w:t>
            </w:r>
          </w:p>
        </w:tc>
        <w:tc>
          <w:tcPr>
            <w:tcW w:w="866" w:type="dxa"/>
            <w:vAlign w:val="center"/>
          </w:tcPr>
          <w:p w14:paraId="3ABA75DD"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45 (15.3)</w:t>
            </w:r>
          </w:p>
        </w:tc>
        <w:tc>
          <w:tcPr>
            <w:tcW w:w="936" w:type="dxa"/>
            <w:vAlign w:val="center"/>
          </w:tcPr>
          <w:p w14:paraId="1E4864AC"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249 (84.7)</w:t>
            </w:r>
          </w:p>
        </w:tc>
        <w:tc>
          <w:tcPr>
            <w:tcW w:w="1431" w:type="dxa"/>
            <w:vAlign w:val="center"/>
          </w:tcPr>
          <w:p w14:paraId="5A4AD59A"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28.0 (21.4, NR)</w:t>
            </w:r>
          </w:p>
        </w:tc>
        <w:tc>
          <w:tcPr>
            <w:tcW w:w="1584" w:type="dxa"/>
            <w:vAlign w:val="center"/>
          </w:tcPr>
          <w:p w14:paraId="03F15ADA"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60.7 (47.5, 71.5)</w:t>
            </w:r>
          </w:p>
        </w:tc>
        <w:tc>
          <w:tcPr>
            <w:tcW w:w="1062" w:type="dxa"/>
            <w:vMerge w:val="restart"/>
            <w:vAlign w:val="center"/>
          </w:tcPr>
          <w:p w14:paraId="5D3711DE"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 xml:space="preserve">0.79 </w:t>
            </w:r>
            <w:r w:rsidRPr="00AB6F27">
              <w:rPr>
                <w:rFonts w:ascii="Arial Narrow" w:hAnsi="Arial Narrow"/>
                <w:sz w:val="20"/>
                <w:szCs w:val="20"/>
              </w:rPr>
              <w:br/>
              <w:t>(0.53, 1.17)</w:t>
            </w:r>
          </w:p>
        </w:tc>
        <w:tc>
          <w:tcPr>
            <w:tcW w:w="913" w:type="dxa"/>
            <w:vMerge w:val="restart"/>
            <w:vAlign w:val="center"/>
          </w:tcPr>
          <w:p w14:paraId="24B56617"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0.1157</w:t>
            </w:r>
          </w:p>
        </w:tc>
      </w:tr>
      <w:tr w:rsidR="00995A3B" w:rsidRPr="00AB6F27" w14:paraId="7FBBB70B" w14:textId="77777777" w:rsidTr="009D1E83">
        <w:trPr>
          <w:trHeight w:val="113"/>
        </w:trPr>
        <w:tc>
          <w:tcPr>
            <w:tcW w:w="704" w:type="dxa"/>
            <w:vMerge/>
            <w:vAlign w:val="center"/>
          </w:tcPr>
          <w:p w14:paraId="2FCFF235" w14:textId="77777777" w:rsidR="00995A3B" w:rsidRPr="009D1E83" w:rsidRDefault="00995A3B" w:rsidP="007B5E49">
            <w:pPr>
              <w:keepNext/>
              <w:keepLines/>
              <w:rPr>
                <w:rFonts w:ascii="Arial Narrow" w:hAnsi="Arial Narrow"/>
                <w:b/>
                <w:sz w:val="20"/>
                <w:szCs w:val="20"/>
              </w:rPr>
            </w:pPr>
          </w:p>
        </w:tc>
        <w:tc>
          <w:tcPr>
            <w:tcW w:w="1025" w:type="dxa"/>
            <w:vAlign w:val="center"/>
          </w:tcPr>
          <w:p w14:paraId="578B9506"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PBO+PBC</w:t>
            </w:r>
          </w:p>
        </w:tc>
        <w:tc>
          <w:tcPr>
            <w:tcW w:w="496" w:type="dxa"/>
            <w:vAlign w:val="center"/>
          </w:tcPr>
          <w:p w14:paraId="20E0E2BF"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294</w:t>
            </w:r>
          </w:p>
        </w:tc>
        <w:tc>
          <w:tcPr>
            <w:tcW w:w="866" w:type="dxa"/>
            <w:vAlign w:val="center"/>
          </w:tcPr>
          <w:p w14:paraId="6E676B83"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54 (18.4)</w:t>
            </w:r>
          </w:p>
        </w:tc>
        <w:tc>
          <w:tcPr>
            <w:tcW w:w="936" w:type="dxa"/>
            <w:vAlign w:val="center"/>
          </w:tcPr>
          <w:p w14:paraId="10946E4A"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240 (81.6)</w:t>
            </w:r>
          </w:p>
        </w:tc>
        <w:tc>
          <w:tcPr>
            <w:tcW w:w="1431" w:type="dxa"/>
            <w:vAlign w:val="center"/>
          </w:tcPr>
          <w:p w14:paraId="2957BD5D"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27.4 (19.5, NR)</w:t>
            </w:r>
          </w:p>
        </w:tc>
        <w:tc>
          <w:tcPr>
            <w:tcW w:w="1584" w:type="dxa"/>
            <w:vAlign w:val="center"/>
          </w:tcPr>
          <w:p w14:paraId="26086045"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52.0 (38.4, 64.0)</w:t>
            </w:r>
          </w:p>
        </w:tc>
        <w:tc>
          <w:tcPr>
            <w:tcW w:w="1062" w:type="dxa"/>
            <w:vMerge/>
            <w:vAlign w:val="center"/>
          </w:tcPr>
          <w:p w14:paraId="2A61F57C" w14:textId="77777777" w:rsidR="00995A3B" w:rsidRPr="00AB6F27" w:rsidRDefault="00995A3B" w:rsidP="007B5E49">
            <w:pPr>
              <w:keepNext/>
              <w:keepLines/>
              <w:jc w:val="center"/>
              <w:rPr>
                <w:rFonts w:ascii="Arial Narrow" w:hAnsi="Arial Narrow"/>
                <w:sz w:val="20"/>
                <w:szCs w:val="20"/>
              </w:rPr>
            </w:pPr>
          </w:p>
        </w:tc>
        <w:tc>
          <w:tcPr>
            <w:tcW w:w="913" w:type="dxa"/>
            <w:vMerge/>
            <w:vAlign w:val="center"/>
          </w:tcPr>
          <w:p w14:paraId="0B13554A" w14:textId="77777777" w:rsidR="00995A3B" w:rsidRPr="00AB6F27" w:rsidRDefault="00995A3B" w:rsidP="007B5E49">
            <w:pPr>
              <w:keepNext/>
              <w:keepLines/>
              <w:jc w:val="center"/>
              <w:rPr>
                <w:rFonts w:ascii="Arial Narrow" w:hAnsi="Arial Narrow"/>
                <w:sz w:val="20"/>
                <w:szCs w:val="20"/>
              </w:rPr>
            </w:pPr>
          </w:p>
        </w:tc>
      </w:tr>
      <w:tr w:rsidR="00995A3B" w:rsidRPr="00AB6F27" w14:paraId="1BBA7D69" w14:textId="77777777" w:rsidTr="009D1E83">
        <w:trPr>
          <w:trHeight w:val="113"/>
        </w:trPr>
        <w:tc>
          <w:tcPr>
            <w:tcW w:w="704" w:type="dxa"/>
            <w:vMerge w:val="restart"/>
            <w:vAlign w:val="center"/>
          </w:tcPr>
          <w:p w14:paraId="5F6A25EB" w14:textId="77777777" w:rsidR="00995A3B" w:rsidRPr="009D1E83" w:rsidRDefault="00995A3B" w:rsidP="007B5E49">
            <w:pPr>
              <w:keepNext/>
              <w:keepLines/>
              <w:rPr>
                <w:rFonts w:ascii="Arial Narrow" w:hAnsi="Arial Narrow"/>
                <w:b/>
                <w:sz w:val="20"/>
                <w:szCs w:val="20"/>
              </w:rPr>
            </w:pPr>
            <w:r w:rsidRPr="009D1E83">
              <w:rPr>
                <w:rFonts w:ascii="Arial Narrow" w:hAnsi="Arial Narrow"/>
                <w:b/>
                <w:sz w:val="20"/>
                <w:szCs w:val="20"/>
              </w:rPr>
              <w:t xml:space="preserve">EUR </w:t>
            </w:r>
            <w:r w:rsidRPr="009D1E83">
              <w:rPr>
                <w:rFonts w:ascii="Arial Narrow" w:hAnsi="Arial Narrow"/>
                <w:b/>
                <w:sz w:val="20"/>
                <w:szCs w:val="20"/>
                <w:vertAlign w:val="superscript"/>
              </w:rPr>
              <w:t>b</w:t>
            </w:r>
          </w:p>
        </w:tc>
        <w:tc>
          <w:tcPr>
            <w:tcW w:w="1025" w:type="dxa"/>
            <w:vAlign w:val="center"/>
          </w:tcPr>
          <w:p w14:paraId="063D8B35"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PEM+PBC</w:t>
            </w:r>
          </w:p>
        </w:tc>
        <w:tc>
          <w:tcPr>
            <w:tcW w:w="496" w:type="dxa"/>
            <w:vAlign w:val="center"/>
          </w:tcPr>
          <w:p w14:paraId="021213C6"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298</w:t>
            </w:r>
          </w:p>
        </w:tc>
        <w:tc>
          <w:tcPr>
            <w:tcW w:w="866" w:type="dxa"/>
            <w:vAlign w:val="center"/>
          </w:tcPr>
          <w:p w14:paraId="0A8D4A28"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77 (25.8)</w:t>
            </w:r>
          </w:p>
        </w:tc>
        <w:tc>
          <w:tcPr>
            <w:tcW w:w="936" w:type="dxa"/>
            <w:vAlign w:val="center"/>
          </w:tcPr>
          <w:p w14:paraId="69628EFD"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221 (74.2)</w:t>
            </w:r>
          </w:p>
        </w:tc>
        <w:tc>
          <w:tcPr>
            <w:tcW w:w="1431" w:type="dxa"/>
            <w:vAlign w:val="center"/>
          </w:tcPr>
          <w:p w14:paraId="05146210"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28.9 (26.8, NR)</w:t>
            </w:r>
          </w:p>
        </w:tc>
        <w:tc>
          <w:tcPr>
            <w:tcW w:w="1584" w:type="dxa"/>
            <w:vAlign w:val="center"/>
          </w:tcPr>
          <w:p w14:paraId="7A02A20D"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63.0 (54.5, 70.3)</w:t>
            </w:r>
          </w:p>
        </w:tc>
        <w:tc>
          <w:tcPr>
            <w:tcW w:w="1062" w:type="dxa"/>
            <w:vMerge w:val="restart"/>
            <w:vAlign w:val="center"/>
          </w:tcPr>
          <w:p w14:paraId="520FCD4C"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 xml:space="preserve">0.80 </w:t>
            </w:r>
            <w:r w:rsidRPr="00AB6F27">
              <w:rPr>
                <w:rFonts w:ascii="Arial Narrow" w:hAnsi="Arial Narrow"/>
                <w:sz w:val="20"/>
                <w:szCs w:val="20"/>
              </w:rPr>
              <w:br/>
              <w:t>(0.59, 1.08)</w:t>
            </w:r>
          </w:p>
        </w:tc>
        <w:tc>
          <w:tcPr>
            <w:tcW w:w="913" w:type="dxa"/>
            <w:vMerge w:val="restart"/>
            <w:vAlign w:val="center"/>
          </w:tcPr>
          <w:p w14:paraId="4343D11F" w14:textId="77777777" w:rsidR="00995A3B" w:rsidRPr="00AB6F27" w:rsidRDefault="00995A3B" w:rsidP="007B5E49">
            <w:pPr>
              <w:keepNext/>
              <w:keepLines/>
              <w:jc w:val="center"/>
              <w:rPr>
                <w:rFonts w:ascii="Arial Narrow" w:hAnsi="Arial Narrow"/>
                <w:sz w:val="20"/>
                <w:szCs w:val="20"/>
              </w:rPr>
            </w:pPr>
            <w:r w:rsidRPr="00AB6F27">
              <w:rPr>
                <w:rFonts w:ascii="Arial Narrow" w:hAnsi="Arial Narrow"/>
                <w:sz w:val="20"/>
                <w:szCs w:val="20"/>
              </w:rPr>
              <w:t>0.0683</w:t>
            </w:r>
          </w:p>
        </w:tc>
      </w:tr>
      <w:tr w:rsidR="00995A3B" w:rsidRPr="00AB6F27" w14:paraId="557B9FEB" w14:textId="77777777" w:rsidTr="009D1E83">
        <w:trPr>
          <w:trHeight w:val="113"/>
        </w:trPr>
        <w:tc>
          <w:tcPr>
            <w:tcW w:w="704" w:type="dxa"/>
            <w:vMerge/>
            <w:vAlign w:val="center"/>
          </w:tcPr>
          <w:p w14:paraId="5C69F53E" w14:textId="77777777" w:rsidR="00995A3B" w:rsidRPr="009D1E83" w:rsidRDefault="00995A3B" w:rsidP="007B5E49">
            <w:pPr>
              <w:keepNext/>
              <w:keepLines/>
              <w:rPr>
                <w:rFonts w:ascii="Arial Narrow" w:hAnsi="Arial Narrow"/>
                <w:b/>
                <w:sz w:val="20"/>
                <w:szCs w:val="20"/>
              </w:rPr>
            </w:pPr>
          </w:p>
        </w:tc>
        <w:tc>
          <w:tcPr>
            <w:tcW w:w="1025" w:type="dxa"/>
            <w:vAlign w:val="center"/>
          </w:tcPr>
          <w:p w14:paraId="67F22C07" w14:textId="77777777" w:rsidR="00995A3B" w:rsidRPr="009D1E83" w:rsidRDefault="00995A3B" w:rsidP="007B5E49">
            <w:pPr>
              <w:keepNext/>
              <w:keepLines/>
              <w:jc w:val="left"/>
              <w:rPr>
                <w:rFonts w:ascii="Arial Narrow" w:hAnsi="Arial Narrow"/>
                <w:sz w:val="20"/>
                <w:szCs w:val="20"/>
              </w:rPr>
            </w:pPr>
            <w:r w:rsidRPr="009D1E83">
              <w:rPr>
                <w:rFonts w:ascii="Arial Narrow" w:hAnsi="Arial Narrow"/>
                <w:sz w:val="20"/>
                <w:szCs w:val="20"/>
              </w:rPr>
              <w:t>PBO+PBC</w:t>
            </w:r>
          </w:p>
        </w:tc>
        <w:tc>
          <w:tcPr>
            <w:tcW w:w="496" w:type="dxa"/>
            <w:vAlign w:val="center"/>
          </w:tcPr>
          <w:p w14:paraId="509006F2"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299</w:t>
            </w:r>
          </w:p>
        </w:tc>
        <w:tc>
          <w:tcPr>
            <w:tcW w:w="866" w:type="dxa"/>
            <w:vAlign w:val="center"/>
          </w:tcPr>
          <w:p w14:paraId="40675C2A"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92 (30.8)</w:t>
            </w:r>
          </w:p>
        </w:tc>
        <w:tc>
          <w:tcPr>
            <w:tcW w:w="936" w:type="dxa"/>
            <w:vAlign w:val="center"/>
          </w:tcPr>
          <w:p w14:paraId="58478076"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207 (69.2)</w:t>
            </w:r>
          </w:p>
        </w:tc>
        <w:tc>
          <w:tcPr>
            <w:tcW w:w="1431" w:type="dxa"/>
            <w:vAlign w:val="center"/>
          </w:tcPr>
          <w:p w14:paraId="4A181A77"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28.7 (24.0, 34.6)</w:t>
            </w:r>
          </w:p>
        </w:tc>
        <w:tc>
          <w:tcPr>
            <w:tcW w:w="1584" w:type="dxa"/>
            <w:vAlign w:val="center"/>
          </w:tcPr>
          <w:p w14:paraId="19BC1AC7" w14:textId="77777777" w:rsidR="00995A3B" w:rsidRPr="009D1E83" w:rsidRDefault="00995A3B" w:rsidP="007B5E49">
            <w:pPr>
              <w:keepNext/>
              <w:keepLines/>
              <w:jc w:val="center"/>
              <w:rPr>
                <w:rFonts w:ascii="Arial Narrow" w:hAnsi="Arial Narrow"/>
                <w:sz w:val="20"/>
                <w:szCs w:val="20"/>
              </w:rPr>
            </w:pPr>
            <w:r w:rsidRPr="009D1E83">
              <w:rPr>
                <w:rFonts w:ascii="Arial Narrow" w:hAnsi="Arial Narrow"/>
                <w:sz w:val="20"/>
                <w:szCs w:val="20"/>
              </w:rPr>
              <w:t>58.3 (50.1, 65.6)</w:t>
            </w:r>
          </w:p>
        </w:tc>
        <w:tc>
          <w:tcPr>
            <w:tcW w:w="1062" w:type="dxa"/>
            <w:vMerge/>
            <w:vAlign w:val="center"/>
          </w:tcPr>
          <w:p w14:paraId="605C0C13" w14:textId="77777777" w:rsidR="00995A3B" w:rsidRPr="00AB6F27" w:rsidRDefault="00995A3B" w:rsidP="007B5E49">
            <w:pPr>
              <w:keepNext/>
              <w:keepLines/>
              <w:rPr>
                <w:rFonts w:ascii="Arial Narrow" w:hAnsi="Arial Narrow"/>
                <w:sz w:val="20"/>
                <w:szCs w:val="20"/>
              </w:rPr>
            </w:pPr>
          </w:p>
        </w:tc>
        <w:tc>
          <w:tcPr>
            <w:tcW w:w="913" w:type="dxa"/>
            <w:vMerge/>
            <w:vAlign w:val="center"/>
          </w:tcPr>
          <w:p w14:paraId="46480F31" w14:textId="77777777" w:rsidR="00995A3B" w:rsidRPr="00AB6F27" w:rsidRDefault="00995A3B" w:rsidP="007B5E49">
            <w:pPr>
              <w:keepNext/>
              <w:keepLines/>
              <w:rPr>
                <w:rFonts w:ascii="Arial Narrow" w:hAnsi="Arial Narrow"/>
                <w:sz w:val="20"/>
                <w:szCs w:val="20"/>
              </w:rPr>
            </w:pPr>
          </w:p>
        </w:tc>
      </w:tr>
    </w:tbl>
    <w:p w14:paraId="02B2E167" w14:textId="77777777" w:rsidR="00995A3B" w:rsidRPr="00AB6F27" w:rsidRDefault="00995A3B" w:rsidP="00995A3B">
      <w:pPr>
        <w:keepNext/>
        <w:keepLines/>
        <w:rPr>
          <w:rFonts w:ascii="Arial Narrow" w:hAnsi="Arial Narrow"/>
          <w:sz w:val="18"/>
          <w:szCs w:val="18"/>
        </w:rPr>
      </w:pPr>
      <w:r w:rsidRPr="00AB6F27">
        <w:rPr>
          <w:rFonts w:ascii="Arial Narrow" w:hAnsi="Arial Narrow"/>
          <w:sz w:val="18"/>
          <w:szCs w:val="18"/>
        </w:rPr>
        <w:t>Source: Table 2.5-3 and 2.5-7, p130 and p143 of the submission</w:t>
      </w:r>
    </w:p>
    <w:p w14:paraId="237DD688" w14:textId="77777777" w:rsidR="00995A3B" w:rsidRPr="00AB6F27" w:rsidRDefault="00995A3B" w:rsidP="00995A3B">
      <w:pPr>
        <w:keepNext/>
        <w:keepLines/>
        <w:rPr>
          <w:rFonts w:ascii="Arial Narrow" w:hAnsi="Arial Narrow"/>
          <w:sz w:val="18"/>
          <w:szCs w:val="18"/>
        </w:rPr>
      </w:pPr>
      <w:r w:rsidRPr="00AB6F27">
        <w:rPr>
          <w:rFonts w:ascii="Arial Narrow" w:hAnsi="Arial Narrow"/>
          <w:sz w:val="18"/>
          <w:szCs w:val="18"/>
        </w:rPr>
        <w:t xml:space="preserve">Abbreviations: CI, confidence interval; NA, not available; NR, not reached </w:t>
      </w:r>
    </w:p>
    <w:p w14:paraId="2D9BD608" w14:textId="3C8D2AFD" w:rsidR="00995A3B" w:rsidRPr="00AB6F27" w:rsidRDefault="00995A3B" w:rsidP="00995A3B">
      <w:pPr>
        <w:keepNext/>
        <w:keepLines/>
        <w:rPr>
          <w:rFonts w:ascii="Arial Narrow" w:hAnsi="Arial Narrow"/>
          <w:sz w:val="18"/>
          <w:szCs w:val="18"/>
        </w:rPr>
      </w:pPr>
      <w:r w:rsidRPr="00AB6F27">
        <w:rPr>
          <w:rFonts w:ascii="Arial Narrow" w:hAnsi="Arial Narrow"/>
          <w:sz w:val="18"/>
          <w:szCs w:val="18"/>
          <w:vertAlign w:val="superscript"/>
        </w:rPr>
        <w:t>a</w:t>
      </w:r>
      <w:r w:rsidRPr="00AB6F27">
        <w:rPr>
          <w:rFonts w:ascii="Arial Narrow" w:hAnsi="Arial Narrow"/>
          <w:sz w:val="18"/>
          <w:szCs w:val="18"/>
        </w:rPr>
        <w:t xml:space="preserve"> Data cutoff date 16 </w:t>
      </w:r>
      <w:r w:rsidR="009D1E83" w:rsidRPr="00AB6F27">
        <w:rPr>
          <w:rFonts w:ascii="Arial Narrow" w:hAnsi="Arial Narrow"/>
          <w:sz w:val="18"/>
          <w:szCs w:val="18"/>
        </w:rPr>
        <w:t>D</w:t>
      </w:r>
      <w:r w:rsidR="009D1E83">
        <w:rPr>
          <w:rFonts w:ascii="Arial Narrow" w:hAnsi="Arial Narrow"/>
          <w:sz w:val="18"/>
          <w:szCs w:val="18"/>
        </w:rPr>
        <w:t>ecember</w:t>
      </w:r>
      <w:r w:rsidR="009D1E83" w:rsidRPr="00AB6F27">
        <w:rPr>
          <w:rFonts w:ascii="Arial Narrow" w:hAnsi="Arial Narrow"/>
          <w:sz w:val="18"/>
          <w:szCs w:val="18"/>
        </w:rPr>
        <w:t xml:space="preserve"> </w:t>
      </w:r>
      <w:r w:rsidRPr="00AB6F27">
        <w:rPr>
          <w:rFonts w:ascii="Arial Narrow" w:hAnsi="Arial Narrow"/>
          <w:sz w:val="18"/>
          <w:szCs w:val="18"/>
        </w:rPr>
        <w:t>2022, median follow up 13.6 months (dMMR) and 8.7 months (pMMR).</w:t>
      </w:r>
    </w:p>
    <w:p w14:paraId="4E6ECB58" w14:textId="0EB6F4AB" w:rsidR="00995A3B" w:rsidRPr="00AB6F27" w:rsidRDefault="00995A3B" w:rsidP="00995A3B">
      <w:pPr>
        <w:keepNext/>
        <w:keepLines/>
        <w:rPr>
          <w:rFonts w:ascii="Arial Narrow" w:hAnsi="Arial Narrow"/>
          <w:sz w:val="18"/>
          <w:szCs w:val="18"/>
        </w:rPr>
      </w:pPr>
      <w:r w:rsidRPr="00AB6F27">
        <w:rPr>
          <w:rFonts w:ascii="Arial Narrow" w:hAnsi="Arial Narrow"/>
          <w:sz w:val="18"/>
          <w:szCs w:val="18"/>
          <w:vertAlign w:val="superscript"/>
        </w:rPr>
        <w:t>b</w:t>
      </w:r>
      <w:r w:rsidRPr="00AB6F27">
        <w:rPr>
          <w:rFonts w:ascii="Arial Narrow" w:hAnsi="Arial Narrow"/>
          <w:sz w:val="18"/>
          <w:szCs w:val="18"/>
        </w:rPr>
        <w:t xml:space="preserve"> Data cutoff date 18 A</w:t>
      </w:r>
      <w:r w:rsidR="009D1E83">
        <w:rPr>
          <w:rFonts w:ascii="Arial Narrow" w:hAnsi="Arial Narrow"/>
          <w:sz w:val="18"/>
          <w:szCs w:val="18"/>
        </w:rPr>
        <w:t>ugust</w:t>
      </w:r>
      <w:r w:rsidRPr="00AB6F27">
        <w:rPr>
          <w:rFonts w:ascii="Arial Narrow" w:hAnsi="Arial Narrow"/>
          <w:sz w:val="18"/>
          <w:szCs w:val="18"/>
        </w:rPr>
        <w:t xml:space="preserve"> 2023, median follow up 19.2 months (dMMR) and 15.3 months (pMMR) </w:t>
      </w:r>
    </w:p>
    <w:p w14:paraId="0B7BD207" w14:textId="1BD505E9" w:rsidR="00995A3B" w:rsidRPr="00AB6F27" w:rsidRDefault="00995A3B" w:rsidP="00995A3B">
      <w:pPr>
        <w:keepNext/>
        <w:keepLines/>
        <w:rPr>
          <w:rFonts w:ascii="Arial Narrow" w:hAnsi="Arial Narrow"/>
          <w:sz w:val="18"/>
          <w:szCs w:val="18"/>
        </w:rPr>
      </w:pPr>
      <w:r w:rsidRPr="00AB6F27">
        <w:rPr>
          <w:rFonts w:ascii="Arial Narrow" w:hAnsi="Arial Narrow"/>
          <w:sz w:val="18"/>
          <w:szCs w:val="18"/>
        </w:rPr>
        <w:t xml:space="preserve">Note: In NRG-GY018 the number of patients included in ITT analysis increased from IA1 (N=588) to EUR (N=597). Nine patients in the pMMR population were randomised after the IA1 </w:t>
      </w:r>
      <w:r w:rsidR="00437BAB" w:rsidRPr="00437BAB">
        <w:rPr>
          <w:rFonts w:ascii="Arial Narrow" w:hAnsi="Arial Narrow"/>
          <w:sz w:val="18"/>
          <w:szCs w:val="18"/>
        </w:rPr>
        <w:t>data cutoff</w:t>
      </w:r>
      <w:r w:rsidRPr="00AB6F27">
        <w:rPr>
          <w:rFonts w:ascii="Arial Narrow" w:hAnsi="Arial Narrow"/>
          <w:sz w:val="18"/>
          <w:szCs w:val="18"/>
        </w:rPr>
        <w:t xml:space="preserve"> and therefore were not included in the IA1 ITT OS analysis.</w:t>
      </w:r>
    </w:p>
    <w:p w14:paraId="38A8D327" w14:textId="77777777" w:rsidR="00E03CF0" w:rsidRPr="00AB6F27" w:rsidRDefault="00E03CF0" w:rsidP="00A3213F">
      <w:pPr>
        <w:rPr>
          <w:rFonts w:ascii="Arial Narrow" w:hAnsi="Arial Narrow"/>
          <w:sz w:val="18"/>
          <w:szCs w:val="18"/>
        </w:rPr>
      </w:pPr>
    </w:p>
    <w:p w14:paraId="6318B033" w14:textId="7E4A49DC" w:rsidR="00995A3B" w:rsidRPr="00AB6F27" w:rsidRDefault="00995A3B" w:rsidP="00995A3B">
      <w:pPr>
        <w:pStyle w:val="3-BodyText"/>
      </w:pPr>
      <w:r w:rsidRPr="00AB6F27">
        <w:t>OS data in the dMMR population w</w:t>
      </w:r>
      <w:r w:rsidR="00914423">
        <w:t>ere</w:t>
      </w:r>
      <w:r w:rsidRPr="00AB6F27">
        <w:t xml:space="preserve"> not mature at the time of data cut</w:t>
      </w:r>
      <w:r w:rsidR="00FC64AF">
        <w:t>-</w:t>
      </w:r>
      <w:r w:rsidRPr="00AB6F27">
        <w:t xml:space="preserve">off for IA1 (Information Fraction 18%; median follow-up 13.6 months) and at the EUR </w:t>
      </w:r>
      <w:r w:rsidR="00437BAB" w:rsidRPr="00437BAB">
        <w:t>data cut</w:t>
      </w:r>
      <w:r w:rsidR="003D1521">
        <w:t>-</w:t>
      </w:r>
      <w:r w:rsidR="00437BAB" w:rsidRPr="00437BAB">
        <w:t>off</w:t>
      </w:r>
      <w:r w:rsidR="00437BAB" w:rsidRPr="00437BAB" w:rsidDel="00437BAB">
        <w:t xml:space="preserve"> </w:t>
      </w:r>
      <w:r w:rsidRPr="00AB6F27">
        <w:t xml:space="preserve">(Information Fraction 29.3%; median follow-up 19.2 months). At IA1, patients randomised to </w:t>
      </w:r>
      <w:r w:rsidR="00BF1B0D">
        <w:t>pembrolizumab</w:t>
      </w:r>
      <w:r w:rsidR="00FC64AF">
        <w:t xml:space="preserve"> </w:t>
      </w:r>
      <w:r w:rsidRPr="00AB6F27">
        <w:t xml:space="preserve">demonstrated a positive numerical trend compared to patients randomised to </w:t>
      </w:r>
      <w:r w:rsidR="00FC64AF">
        <w:t xml:space="preserve">placebo </w:t>
      </w:r>
      <w:r w:rsidR="0022078C" w:rsidRPr="00AB6F27">
        <w:t>with</w:t>
      </w:r>
      <w:r w:rsidRPr="00AB6F27">
        <w:t xml:space="preserve"> a </w:t>
      </w:r>
      <w:r w:rsidR="00466D74" w:rsidRPr="00AB6F27">
        <w:t xml:space="preserve">45% </w:t>
      </w:r>
      <w:r w:rsidRPr="00AB6F27">
        <w:t xml:space="preserve">lower risk of death </w:t>
      </w:r>
      <w:r w:rsidR="0022078C" w:rsidRPr="00AB6F27">
        <w:t>(OS</w:t>
      </w:r>
      <w:r w:rsidRPr="00AB6F27">
        <w:t xml:space="preserve"> HR 0.55 (95% CI 0.25, 1.19)</w:t>
      </w:r>
      <w:r w:rsidR="0022078C" w:rsidRPr="00AB6F27">
        <w:t>)</w:t>
      </w:r>
      <w:r w:rsidRPr="00AB6F27">
        <w:t xml:space="preserve">, however the 95% CI upper bound crossed 1.0 suggesting that there may be no difference between </w:t>
      </w:r>
      <w:r w:rsidR="00BF1B0D">
        <w:t>pembrolizumab</w:t>
      </w:r>
      <w:r w:rsidR="00FC64AF">
        <w:t xml:space="preserve"> </w:t>
      </w:r>
      <w:r w:rsidRPr="00AB6F27">
        <w:t xml:space="preserve">and </w:t>
      </w:r>
      <w:r w:rsidR="00FC64AF">
        <w:t>placebo</w:t>
      </w:r>
      <w:r w:rsidRPr="00AB6F27">
        <w:t xml:space="preserve">. There was no clear divergence of the dMMR OS KM curves. At EUR, the OS HR in the dMMR population was </w:t>
      </w:r>
      <w:proofErr w:type="gramStart"/>
      <w:r w:rsidRPr="00AB6F27">
        <w:t>similar to</w:t>
      </w:r>
      <w:proofErr w:type="gramEnd"/>
      <w:r w:rsidRPr="00AB6F27">
        <w:t xml:space="preserve"> IA1 (HR = 0.57, 95% CI 0.31, 1.04).</w:t>
      </w:r>
    </w:p>
    <w:p w14:paraId="452C76FC" w14:textId="66ED6B41" w:rsidR="00995A3B" w:rsidRPr="00AB6F27" w:rsidRDefault="00995A3B" w:rsidP="00995A3B">
      <w:pPr>
        <w:pStyle w:val="3-BodyText"/>
      </w:pPr>
      <w:r w:rsidRPr="00317C62">
        <w:t xml:space="preserve">OS data in the pMMR population was </w:t>
      </w:r>
      <w:r w:rsidR="003D1521" w:rsidRPr="00317C62">
        <w:t>not mature at the time of data cut-off for IA1</w:t>
      </w:r>
      <w:r w:rsidR="005B5D2F" w:rsidRPr="00317C62">
        <w:t xml:space="preserve"> </w:t>
      </w:r>
      <w:r w:rsidR="003D1521" w:rsidRPr="00317C62">
        <w:t>(</w:t>
      </w:r>
      <w:r w:rsidRPr="00317C62">
        <w:t>Information Fraction 27.2%</w:t>
      </w:r>
      <w:r w:rsidR="003D1521" w:rsidRPr="00317C62">
        <w:t xml:space="preserve">; </w:t>
      </w:r>
      <w:r w:rsidRPr="00317C62">
        <w:t xml:space="preserve">median follow-up 8.7 months) and at EUR </w:t>
      </w:r>
      <w:r w:rsidR="003D1521" w:rsidRPr="00317C62">
        <w:t>data cut-off (I</w:t>
      </w:r>
      <w:r w:rsidRPr="00317C62">
        <w:t>nformation Fraction 46.3%</w:t>
      </w:r>
      <w:r w:rsidR="003D1521" w:rsidRPr="00317C62">
        <w:t xml:space="preserve">; </w:t>
      </w:r>
      <w:r w:rsidRPr="00317C62">
        <w:t>median follow-up 15.3 months). At</w:t>
      </w:r>
      <w:r w:rsidRPr="00AB6F27">
        <w:t xml:space="preserve"> IA1, patients randomised to </w:t>
      </w:r>
      <w:r w:rsidR="00427F5A">
        <w:t xml:space="preserve">the </w:t>
      </w:r>
      <w:r w:rsidR="00BF1B0D">
        <w:t>pembrolizumab</w:t>
      </w:r>
      <w:r w:rsidR="00FC64AF">
        <w:t xml:space="preserve"> </w:t>
      </w:r>
      <w:r w:rsidRPr="00AB6F27">
        <w:t>arm reported a directionally favourable improvement in reducing the risk of death by 21% with a hazard ratio of HR 0.79 (</w:t>
      </w:r>
      <w:r w:rsidR="00084C65" w:rsidRPr="00AB6F27">
        <w:t xml:space="preserve">95% CI: </w:t>
      </w:r>
      <w:r w:rsidRPr="00AB6F27">
        <w:t>0.53, 1.17</w:t>
      </w:r>
      <w:r w:rsidR="00095E1D" w:rsidRPr="00AB6F27">
        <w:t>)</w:t>
      </w:r>
      <w:r w:rsidRPr="00AB6F27">
        <w:t xml:space="preserve">, however the upper bound of the 95% CI crossed 1.0 suggesting that there may be no difference between groups. The median OS by KM estimation was similar for patients randomised to </w:t>
      </w:r>
      <w:r w:rsidR="00BF1B0D">
        <w:t>pembrolizumab</w:t>
      </w:r>
      <w:r w:rsidR="00FC64AF">
        <w:t xml:space="preserve"> </w:t>
      </w:r>
      <w:r w:rsidRPr="00AB6F27">
        <w:t xml:space="preserve">compared with patients randomised to </w:t>
      </w:r>
      <w:r w:rsidR="00FC64AF">
        <w:t xml:space="preserve">placebo </w:t>
      </w:r>
      <w:r w:rsidRPr="00AB6F27">
        <w:t xml:space="preserve">(28.0 vs 27.4 months). The pMMR KM OS curves were overlapping until approximately 14 months, and no clear separation was observed. At </w:t>
      </w:r>
      <w:r w:rsidRPr="00AB6F27">
        <w:lastRenderedPageBreak/>
        <w:t xml:space="preserve">EUR, the OS HR in the pMMR population was </w:t>
      </w:r>
      <w:proofErr w:type="gramStart"/>
      <w:r w:rsidRPr="00AB6F27">
        <w:t>similar to</w:t>
      </w:r>
      <w:proofErr w:type="gramEnd"/>
      <w:r w:rsidRPr="00AB6F27">
        <w:t xml:space="preserve"> IA1 (HR = 0.80, 95% CI 0.59, 1.08).</w:t>
      </w:r>
    </w:p>
    <w:p w14:paraId="55DD6EF2" w14:textId="032FE6B0" w:rsidR="00995A3B" w:rsidRPr="00237A69" w:rsidRDefault="09C86E20" w:rsidP="00995A3B">
      <w:pPr>
        <w:pStyle w:val="3-BodyText"/>
      </w:pPr>
      <w:r>
        <w:t>The submission noted the higher rate of subsequent anti-PD-</w:t>
      </w:r>
      <w:r w:rsidR="22C56F88">
        <w:t>(L)</w:t>
      </w:r>
      <w:r>
        <w:t xml:space="preserve">1 therapies in the </w:t>
      </w:r>
      <w:r w:rsidR="2A557AE5">
        <w:t>placebo</w:t>
      </w:r>
      <w:r>
        <w:t xml:space="preserve"> group (37.5% [42/112] and 48.2% [54/112] at IA1 and EUR, respectively) compared with the </w:t>
      </w:r>
      <w:r w:rsidR="5BF136C9">
        <w:t>pembrolizumab</w:t>
      </w:r>
      <w:r>
        <w:t xml:space="preserve"> (9.1% [10/110] and 10% [11/110] at IA1 and EUR, respectively), and claimed this difference could confound </w:t>
      </w:r>
      <w:r w:rsidR="652EAF6E">
        <w:t xml:space="preserve">the </w:t>
      </w:r>
      <w:r>
        <w:t xml:space="preserve">OS results. However, as discussed in paragraph </w:t>
      </w:r>
      <w:r w:rsidR="00995A3B">
        <w:fldChar w:fldCharType="begin"/>
      </w:r>
      <w:r w:rsidR="00995A3B">
        <w:instrText xml:space="preserve"> REF _Ref196668557 \r \h  \* MERGEFORMAT </w:instrText>
      </w:r>
      <w:r w:rsidR="00995A3B">
        <w:fldChar w:fldCharType="separate"/>
      </w:r>
      <w:r w:rsidR="003359D3">
        <w:t>6.11</w:t>
      </w:r>
      <w:r w:rsidR="00995A3B">
        <w:fldChar w:fldCharType="end"/>
      </w:r>
      <w:r>
        <w:t xml:space="preserve">, if the results of NRG-GY018 were to be applied directly to the Australian setting, in which PBS-subsidised immunotherapy would not be available to patients treated with 1L </w:t>
      </w:r>
      <w:r w:rsidR="5BF136C9">
        <w:t>pembrolizumab</w:t>
      </w:r>
      <w:r>
        <w:t xml:space="preserve"> but would be available to patients treated with 1L </w:t>
      </w:r>
      <w:r w:rsidR="5BF136C9">
        <w:t>chemotherapy</w:t>
      </w:r>
      <w:r>
        <w:t xml:space="preserve"> only, the results of NRG-GY018 </w:t>
      </w:r>
      <w:r w:rsidR="2A557AE5">
        <w:t>may</w:t>
      </w:r>
      <w:r>
        <w:t xml:space="preserve"> overestimate the OS benefit.</w:t>
      </w:r>
    </w:p>
    <w:p w14:paraId="2AF62C1B" w14:textId="4948877D" w:rsidR="00995A3B" w:rsidRPr="00AB6F27" w:rsidRDefault="007E2882" w:rsidP="00995A3B">
      <w:pPr>
        <w:pStyle w:val="3-BodyText"/>
      </w:pPr>
      <w:r w:rsidRPr="00AB6F27">
        <w:t>To address the use of subsequent immunotherapies, t</w:t>
      </w:r>
      <w:r w:rsidR="00995A3B" w:rsidRPr="00AB6F27">
        <w:t xml:space="preserve">he submission also included OS results </w:t>
      </w:r>
      <w:r w:rsidR="000541DA" w:rsidRPr="00AB6F27">
        <w:t>adjust</w:t>
      </w:r>
      <w:r w:rsidR="000541DA">
        <w:t>ed</w:t>
      </w:r>
      <w:r w:rsidR="000541DA" w:rsidRPr="00AB6F27">
        <w:t xml:space="preserve"> </w:t>
      </w:r>
      <w:r w:rsidR="00995A3B" w:rsidRPr="00AB6F27">
        <w:t xml:space="preserve">for subsequent immunotherapy use using the IPCW and 2 Stage methods. These were </w:t>
      </w:r>
      <w:r w:rsidR="00995A3B" w:rsidRPr="000541DA">
        <w:rPr>
          <w:i/>
          <w:iCs/>
        </w:rPr>
        <w:t>post hoc</w:t>
      </w:r>
      <w:r w:rsidR="00995A3B" w:rsidRPr="00AB6F27">
        <w:t xml:space="preserve"> adjustments included in the NRG-GY018 EUR. These adjusted results were included because of the submission’s claim that a greater proportion of patients received subsequent immunotherapy in NRG-GY018 than otherwise would have been expected to occur in clinical practice. </w:t>
      </w:r>
    </w:p>
    <w:p w14:paraId="4106DAC1" w14:textId="77777777" w:rsidR="00995A3B" w:rsidRPr="00AB6F27" w:rsidRDefault="00995A3B" w:rsidP="00995A3B">
      <w:pPr>
        <w:pStyle w:val="3-BodyText"/>
      </w:pPr>
      <w:bookmarkStart w:id="35" w:name="_Ref196668907"/>
      <w:r w:rsidRPr="00AB6F27">
        <w:t xml:space="preserve">The </w:t>
      </w:r>
      <w:r w:rsidRPr="000541DA">
        <w:rPr>
          <w:i/>
          <w:iCs/>
        </w:rPr>
        <w:t>post hoc</w:t>
      </w:r>
      <w:r w:rsidRPr="00AB6F27">
        <w:t xml:space="preserve"> adjusted HRs for OS in the dMMR and pMMR populations using the IPCW method were:</w:t>
      </w:r>
      <w:bookmarkEnd w:id="35"/>
    </w:p>
    <w:p w14:paraId="3F02FAE0" w14:textId="5000F404" w:rsidR="00995A3B" w:rsidRPr="00AB6F27" w:rsidRDefault="00995A3B" w:rsidP="0037102E">
      <w:pPr>
        <w:pStyle w:val="3-BodyText"/>
        <w:numPr>
          <w:ilvl w:val="0"/>
          <w:numId w:val="15"/>
        </w:numPr>
      </w:pPr>
      <w:r w:rsidRPr="00AB6F27">
        <w:t>dMMR: 0.54 (95% CI 0.22, 1.69 2-sided p-value based on IPCW log-rank test nominal p=0.</w:t>
      </w:r>
      <w:r w:rsidR="00236CE8" w:rsidRPr="00AB6F27">
        <w:t>1602</w:t>
      </w:r>
      <w:r w:rsidRPr="00AB6F27">
        <w:t>); and</w:t>
      </w:r>
    </w:p>
    <w:p w14:paraId="705F3844" w14:textId="77777777" w:rsidR="00995A3B" w:rsidRPr="00AB6F27" w:rsidRDefault="00995A3B" w:rsidP="0037102E">
      <w:pPr>
        <w:pStyle w:val="3-BodyText"/>
        <w:numPr>
          <w:ilvl w:val="0"/>
          <w:numId w:val="15"/>
        </w:numPr>
      </w:pPr>
      <w:r w:rsidRPr="00AB6F27">
        <w:t>pMMR: 0.68 (95% CI 0.39, 1.26 2-sided p-value based on IPCW log-rank test nominal p=0.1231).</w:t>
      </w:r>
    </w:p>
    <w:p w14:paraId="0FFE8131" w14:textId="77777777" w:rsidR="00995A3B" w:rsidRPr="00AB6F27" w:rsidRDefault="00995A3B" w:rsidP="00995A3B">
      <w:pPr>
        <w:pStyle w:val="3-BodyText"/>
        <w:numPr>
          <w:ilvl w:val="0"/>
          <w:numId w:val="0"/>
        </w:numPr>
        <w:ind w:left="720"/>
      </w:pPr>
      <w:r w:rsidRPr="00AB6F27">
        <w:t>The IPCW adjusted OS HRs still reported a 95% CI which included 1 and a nominal p value which did not suggest any difference between treatment arms.</w:t>
      </w:r>
    </w:p>
    <w:p w14:paraId="31AEEB46" w14:textId="66446F15" w:rsidR="00995A3B" w:rsidRPr="00AB6F27" w:rsidRDefault="00995A3B" w:rsidP="00995A3B">
      <w:pPr>
        <w:pStyle w:val="3-BodyText"/>
      </w:pPr>
      <w:r w:rsidRPr="00AB6F27">
        <w:t xml:space="preserve">Due to </w:t>
      </w:r>
      <w:r w:rsidR="00C61516">
        <w:t xml:space="preserve">the </w:t>
      </w:r>
      <w:r w:rsidRPr="00AB6F27">
        <w:t xml:space="preserve">sparse </w:t>
      </w:r>
      <w:r w:rsidR="00C61516">
        <w:t xml:space="preserve">occurrence of </w:t>
      </w:r>
      <w:r w:rsidRPr="00AB6F27">
        <w:t>OS events</w:t>
      </w:r>
      <w:r w:rsidR="00C61516">
        <w:t xml:space="preserve"> among participants in the dMMR population</w:t>
      </w:r>
      <w:r w:rsidRPr="00AB6F27">
        <w:t>, the first stage parametric survival model was not stable for the dMMR population. Consequently, the 2-Stage model result for the dMMR population was not reported. Using the 2-Stage model for adjustment for treatment switchover in the pMMR population resulted in an adjusted HR of 0.70 (95% CI 0.50, 0.98).</w:t>
      </w:r>
    </w:p>
    <w:p w14:paraId="2AF06328" w14:textId="35CB3B63" w:rsidR="00995A3B" w:rsidRDefault="00995A3B" w:rsidP="00995A3B">
      <w:pPr>
        <w:pStyle w:val="3-BodyText"/>
      </w:pPr>
      <w:r w:rsidRPr="00AB6F27">
        <w:t xml:space="preserve">Neither the IPCW nor 2-stage model results were used in the submission’s Bucher ITC, though they were tested as sensitivity analyses in the submission’s NMA. </w:t>
      </w:r>
    </w:p>
    <w:p w14:paraId="5421CD13" w14:textId="1112239B" w:rsidR="00E03CF0" w:rsidRPr="00AB6F27" w:rsidRDefault="00E03CF0" w:rsidP="00E03CF0">
      <w:pPr>
        <w:pStyle w:val="3-BodyText"/>
      </w:pPr>
      <w:r w:rsidRPr="00AB6F27">
        <w:fldChar w:fldCharType="begin"/>
      </w:r>
      <w:r w:rsidRPr="00AB6F27">
        <w:instrText xml:space="preserve"> REF _Ref196230499 \h </w:instrText>
      </w:r>
      <w:r w:rsidR="00AB6F27" w:rsidRPr="00AB6F27">
        <w:instrText xml:space="preserve"> \* MERGEFORMAT </w:instrText>
      </w:r>
      <w:r w:rsidRPr="00AB6F27">
        <w:fldChar w:fldCharType="separate"/>
      </w:r>
      <w:r w:rsidR="003359D3" w:rsidRPr="00AB6F27">
        <w:t xml:space="preserve">Figure </w:t>
      </w:r>
      <w:r w:rsidR="003359D3">
        <w:rPr>
          <w:noProof/>
        </w:rPr>
        <w:t>2</w:t>
      </w:r>
      <w:r w:rsidRPr="00AB6F27">
        <w:fldChar w:fldCharType="end"/>
      </w:r>
      <w:r w:rsidRPr="00AB6F27">
        <w:t xml:space="preserve"> shows the PFS Kaplan-Meier (KM) results at IA1 for the NRG-GY018 dMMR (above) and pMMR (below) cohorts. </w:t>
      </w:r>
      <w:r w:rsidR="00995A3B" w:rsidRPr="00AB6F27">
        <w:rPr>
          <w:snapToGrid/>
          <w:lang w:val="en-US"/>
        </w:rPr>
        <w:fldChar w:fldCharType="begin"/>
      </w:r>
      <w:r w:rsidR="00995A3B" w:rsidRPr="00AB6F27">
        <w:instrText xml:space="preserve"> REF _Ref196736198 \h </w:instrText>
      </w:r>
      <w:r w:rsidR="00AB6F27" w:rsidRPr="00AB6F27">
        <w:rPr>
          <w:snapToGrid/>
          <w:lang w:val="en-US"/>
        </w:rPr>
        <w:instrText xml:space="preserve"> \* MERGEFORMAT </w:instrText>
      </w:r>
      <w:r w:rsidR="00995A3B" w:rsidRPr="00AB6F27">
        <w:rPr>
          <w:snapToGrid/>
          <w:lang w:val="en-US"/>
        </w:rPr>
      </w:r>
      <w:r w:rsidR="00995A3B" w:rsidRPr="00AB6F27">
        <w:rPr>
          <w:snapToGrid/>
          <w:lang w:val="en-US"/>
        </w:rPr>
        <w:fldChar w:fldCharType="separate"/>
      </w:r>
      <w:r w:rsidR="003359D3" w:rsidRPr="00AB6F27">
        <w:t xml:space="preserve">Table </w:t>
      </w:r>
      <w:r w:rsidR="003359D3">
        <w:rPr>
          <w:noProof/>
        </w:rPr>
        <w:t>6</w:t>
      </w:r>
      <w:r w:rsidR="00995A3B" w:rsidRPr="00AB6F27">
        <w:rPr>
          <w:snapToGrid/>
          <w:lang w:val="en-US"/>
        </w:rPr>
        <w:fldChar w:fldCharType="end"/>
      </w:r>
      <w:r w:rsidR="00995A3B" w:rsidRPr="00AB6F27">
        <w:rPr>
          <w:snapToGrid/>
          <w:lang w:val="en-US"/>
        </w:rPr>
        <w:t xml:space="preserve"> </w:t>
      </w:r>
      <w:r w:rsidR="00A3213F" w:rsidRPr="00AB6F27">
        <w:rPr>
          <w:snapToGrid/>
          <w:lang w:val="en-US"/>
        </w:rPr>
        <w:t>presents a summary of the PFS results in NRG-GY018</w:t>
      </w:r>
      <w:bookmarkStart w:id="36" w:name="_Ref196232129"/>
      <w:r w:rsidRPr="00AB6F27">
        <w:rPr>
          <w:snapToGrid/>
          <w:lang w:val="en-US"/>
        </w:rPr>
        <w:t>.</w:t>
      </w:r>
    </w:p>
    <w:p w14:paraId="7C3CA188" w14:textId="77777777" w:rsidR="00E03CF0" w:rsidRPr="00AB6F27" w:rsidRDefault="00E03CF0" w:rsidP="00A3213F">
      <w:pPr>
        <w:pStyle w:val="Caption"/>
      </w:pPr>
    </w:p>
    <w:p w14:paraId="614635DA" w14:textId="131A1C5F" w:rsidR="00E03CF0" w:rsidRPr="00AB6F27" w:rsidRDefault="00E03CF0" w:rsidP="00E03CF0">
      <w:pPr>
        <w:pStyle w:val="Caption"/>
      </w:pPr>
      <w:bookmarkStart w:id="37" w:name="_Ref196230499"/>
      <w:r w:rsidRPr="00AB6F27">
        <w:t xml:space="preserve">Figure </w:t>
      </w:r>
      <w:r w:rsidR="00976099" w:rsidRPr="00AB6F27">
        <w:fldChar w:fldCharType="begin"/>
      </w:r>
      <w:r w:rsidR="00976099" w:rsidRPr="00AB6F27">
        <w:instrText xml:space="preserve"> SEQ Figure \* ARABIC </w:instrText>
      </w:r>
      <w:r w:rsidR="00976099" w:rsidRPr="00AB6F27">
        <w:fldChar w:fldCharType="separate"/>
      </w:r>
      <w:r w:rsidR="003359D3">
        <w:rPr>
          <w:noProof/>
        </w:rPr>
        <w:t>2</w:t>
      </w:r>
      <w:r w:rsidR="00976099" w:rsidRPr="00AB6F27">
        <w:rPr>
          <w:noProof/>
        </w:rPr>
        <w:fldChar w:fldCharType="end"/>
      </w:r>
      <w:bookmarkEnd w:id="37"/>
      <w:r w:rsidRPr="00AB6F27">
        <w:t xml:space="preserve">: </w:t>
      </w:r>
      <w:r w:rsidRPr="00AB6F27">
        <w:rPr>
          <w:szCs w:val="20"/>
        </w:rPr>
        <w:t>NRG-GY018 KM plot for PFS in the dMMR (above) and pMMR (below) cohorts</w:t>
      </w:r>
    </w:p>
    <w:p w14:paraId="5D8CE56E" w14:textId="77777777" w:rsidR="00E03CF0" w:rsidRPr="00AB6F27" w:rsidRDefault="00E03CF0" w:rsidP="00E03CF0">
      <w:pPr>
        <w:keepNext/>
        <w:keepLines/>
      </w:pPr>
      <w:r w:rsidRPr="00AB6F27">
        <w:rPr>
          <w:noProof/>
          <w:color w:val="3366FF"/>
        </w:rPr>
        <w:drawing>
          <wp:inline distT="0" distB="0" distL="0" distR="0" wp14:anchorId="1AD02629" wp14:editId="66C888C3">
            <wp:extent cx="4641585" cy="3289300"/>
            <wp:effectExtent l="0" t="0" r="6985" b="6350"/>
            <wp:docPr id="1580662356" name="Picture 1" descr="Figure 2a: NRG-GY018 KM plot for PFS in the dMMR coh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62356" name="Picture 1" descr="Figure 2a: NRG-GY018 KM plot for PFS in the dMMR cohort&#10;"/>
                    <pic:cNvPicPr/>
                  </pic:nvPicPr>
                  <pic:blipFill>
                    <a:blip r:embed="rId13"/>
                    <a:stretch>
                      <a:fillRect/>
                    </a:stretch>
                  </pic:blipFill>
                  <pic:spPr>
                    <a:xfrm>
                      <a:off x="0" y="0"/>
                      <a:ext cx="4659032" cy="3301664"/>
                    </a:xfrm>
                    <a:prstGeom prst="rect">
                      <a:avLst/>
                    </a:prstGeom>
                  </pic:spPr>
                </pic:pic>
              </a:graphicData>
            </a:graphic>
          </wp:inline>
        </w:drawing>
      </w:r>
    </w:p>
    <w:p w14:paraId="014A82C2" w14:textId="77777777" w:rsidR="00E03CF0" w:rsidRPr="00AB6F27" w:rsidRDefault="00E03CF0" w:rsidP="00E03CF0">
      <w:pPr>
        <w:keepNext/>
        <w:keepLines/>
      </w:pPr>
      <w:r w:rsidRPr="00AB6F27">
        <w:rPr>
          <w:noProof/>
          <w:color w:val="3366FF"/>
        </w:rPr>
        <w:drawing>
          <wp:inline distT="0" distB="0" distL="0" distR="0" wp14:anchorId="5055AE0F" wp14:editId="764676AD">
            <wp:extent cx="4641215" cy="3494415"/>
            <wp:effectExtent l="0" t="0" r="6985" b="0"/>
            <wp:docPr id="1414589116" name="Picture 1" descr="Figure 2b: NRG-GY018 KM plot for PFS in the pMMR coh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89116" name="Picture 1" descr="Figure 2b: NRG-GY018 KM plot for PFS in the pMMR cohort&#10;"/>
                    <pic:cNvPicPr/>
                  </pic:nvPicPr>
                  <pic:blipFill>
                    <a:blip r:embed="rId14"/>
                    <a:stretch>
                      <a:fillRect/>
                    </a:stretch>
                  </pic:blipFill>
                  <pic:spPr>
                    <a:xfrm>
                      <a:off x="0" y="0"/>
                      <a:ext cx="4653809" cy="3503897"/>
                    </a:xfrm>
                    <a:prstGeom prst="rect">
                      <a:avLst/>
                    </a:prstGeom>
                  </pic:spPr>
                </pic:pic>
              </a:graphicData>
            </a:graphic>
          </wp:inline>
        </w:drawing>
      </w:r>
    </w:p>
    <w:p w14:paraId="2286FF21" w14:textId="77777777" w:rsidR="00E03CF0" w:rsidRPr="00AB6F27" w:rsidRDefault="00E03CF0" w:rsidP="00E03CF0">
      <w:pPr>
        <w:keepLines/>
        <w:rPr>
          <w:rFonts w:ascii="Arial Narrow" w:hAnsi="Arial Narrow"/>
          <w:sz w:val="18"/>
          <w:szCs w:val="18"/>
        </w:rPr>
      </w:pPr>
      <w:r w:rsidRPr="00AB6F27">
        <w:rPr>
          <w:rFonts w:ascii="Arial Narrow" w:hAnsi="Arial Narrow"/>
          <w:sz w:val="18"/>
          <w:szCs w:val="18"/>
        </w:rPr>
        <w:t>Source: Figures 11-1, p104 and 11-3, p109 NRG-GY018 CSR 2022</w:t>
      </w:r>
    </w:p>
    <w:p w14:paraId="7489D791" w14:textId="4EF073F7" w:rsidR="00E03CF0" w:rsidRPr="00AB6F27" w:rsidRDefault="00E03CF0" w:rsidP="00E03CF0">
      <w:pPr>
        <w:keepLines/>
        <w:rPr>
          <w:rFonts w:ascii="Arial Narrow" w:hAnsi="Arial Narrow"/>
          <w:sz w:val="18"/>
          <w:szCs w:val="18"/>
        </w:rPr>
      </w:pPr>
      <w:r w:rsidRPr="00AB6F27">
        <w:rPr>
          <w:rFonts w:ascii="Arial Narrow" w:hAnsi="Arial Narrow"/>
          <w:sz w:val="18"/>
          <w:szCs w:val="18"/>
        </w:rPr>
        <w:t>Note: IA1 Database Cutoff Date 16 DEC 2022, median follow up 13.6 months (dMMR), and 8.7 months (pMMR).</w:t>
      </w:r>
      <w:bookmarkEnd w:id="36"/>
    </w:p>
    <w:p w14:paraId="6C013236" w14:textId="77777777" w:rsidR="00A3213F" w:rsidRPr="00AB6F27" w:rsidRDefault="00A3213F" w:rsidP="00E03CF0">
      <w:pPr>
        <w:keepNext/>
        <w:rPr>
          <w:rFonts w:ascii="Arial Narrow" w:hAnsi="Arial Narrow"/>
          <w:sz w:val="18"/>
          <w:szCs w:val="18"/>
        </w:rPr>
      </w:pPr>
    </w:p>
    <w:p w14:paraId="10B23004" w14:textId="73C56FC5" w:rsidR="00995A3B" w:rsidRPr="00AB6F27" w:rsidRDefault="00995A3B" w:rsidP="00995A3B">
      <w:pPr>
        <w:pStyle w:val="Caption"/>
      </w:pPr>
      <w:bookmarkStart w:id="38" w:name="_Ref196736198"/>
      <w:r w:rsidRPr="00AB6F27">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6</w:t>
      </w:r>
      <w:r w:rsidR="00976099" w:rsidRPr="00AB6F27">
        <w:rPr>
          <w:noProof/>
        </w:rPr>
        <w:fldChar w:fldCharType="end"/>
      </w:r>
      <w:bookmarkEnd w:id="38"/>
      <w:r w:rsidRPr="00AB6F27">
        <w:t>: PFS based on investigator assessment in NRG-GY018</w:t>
      </w:r>
    </w:p>
    <w:tbl>
      <w:tblPr>
        <w:tblStyle w:val="TableGrid"/>
        <w:tblW w:w="5000" w:type="pct"/>
        <w:tblLook w:val="04A0" w:firstRow="1" w:lastRow="0" w:firstColumn="1" w:lastColumn="0" w:noHBand="0" w:noVBand="1"/>
        <w:tblCaption w:val="Table 6: PFS based on investigator assessment in NRG-GY018"/>
      </w:tblPr>
      <w:tblGrid>
        <w:gridCol w:w="837"/>
        <w:gridCol w:w="1009"/>
        <w:gridCol w:w="534"/>
        <w:gridCol w:w="907"/>
        <w:gridCol w:w="973"/>
        <w:gridCol w:w="1358"/>
        <w:gridCol w:w="1450"/>
        <w:gridCol w:w="1051"/>
        <w:gridCol w:w="898"/>
      </w:tblGrid>
      <w:tr w:rsidR="00995A3B" w:rsidRPr="00AB6F27" w14:paraId="72F77A97" w14:textId="77777777" w:rsidTr="007B5E49">
        <w:trPr>
          <w:trHeight w:val="20"/>
        </w:trPr>
        <w:tc>
          <w:tcPr>
            <w:tcW w:w="472" w:type="pct"/>
            <w:tcBorders>
              <w:bottom w:val="single" w:sz="4" w:space="0" w:color="auto"/>
            </w:tcBorders>
            <w:vAlign w:val="center"/>
          </w:tcPr>
          <w:p w14:paraId="1EE8BDD5" w14:textId="77777777" w:rsidR="00995A3B" w:rsidRPr="00AB6F27" w:rsidRDefault="00995A3B" w:rsidP="007B5E49">
            <w:pPr>
              <w:keepNext/>
              <w:jc w:val="left"/>
              <w:rPr>
                <w:rFonts w:ascii="Arial Narrow" w:hAnsi="Arial Narrow"/>
                <w:b/>
                <w:sz w:val="20"/>
                <w:szCs w:val="20"/>
              </w:rPr>
            </w:pPr>
          </w:p>
        </w:tc>
        <w:tc>
          <w:tcPr>
            <w:tcW w:w="525" w:type="pct"/>
            <w:tcBorders>
              <w:bottom w:val="single" w:sz="4" w:space="0" w:color="auto"/>
            </w:tcBorders>
            <w:vAlign w:val="center"/>
          </w:tcPr>
          <w:p w14:paraId="61C74694"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Treatment</w:t>
            </w:r>
          </w:p>
        </w:tc>
        <w:tc>
          <w:tcPr>
            <w:tcW w:w="304" w:type="pct"/>
            <w:tcBorders>
              <w:bottom w:val="single" w:sz="4" w:space="0" w:color="auto"/>
            </w:tcBorders>
            <w:vAlign w:val="center"/>
          </w:tcPr>
          <w:p w14:paraId="34EB906E"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N</w:t>
            </w:r>
          </w:p>
        </w:tc>
        <w:tc>
          <w:tcPr>
            <w:tcW w:w="510" w:type="pct"/>
            <w:tcBorders>
              <w:bottom w:val="single" w:sz="4" w:space="0" w:color="auto"/>
            </w:tcBorders>
            <w:vAlign w:val="center"/>
          </w:tcPr>
          <w:p w14:paraId="4C109EAE"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Number of events (%)</w:t>
            </w:r>
          </w:p>
        </w:tc>
        <w:tc>
          <w:tcPr>
            <w:tcW w:w="523" w:type="pct"/>
            <w:tcBorders>
              <w:bottom w:val="single" w:sz="4" w:space="0" w:color="auto"/>
            </w:tcBorders>
            <w:vAlign w:val="center"/>
          </w:tcPr>
          <w:p w14:paraId="34A4676E"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Number of Censored (%)</w:t>
            </w:r>
          </w:p>
        </w:tc>
        <w:tc>
          <w:tcPr>
            <w:tcW w:w="759" w:type="pct"/>
            <w:tcBorders>
              <w:bottom w:val="single" w:sz="4" w:space="0" w:color="auto"/>
            </w:tcBorders>
            <w:vAlign w:val="center"/>
          </w:tcPr>
          <w:p w14:paraId="2220C838"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Median PFS (Months) (95% CI)</w:t>
            </w:r>
          </w:p>
        </w:tc>
        <w:tc>
          <w:tcPr>
            <w:tcW w:w="811" w:type="pct"/>
            <w:tcBorders>
              <w:bottom w:val="single" w:sz="4" w:space="0" w:color="auto"/>
            </w:tcBorders>
            <w:vAlign w:val="center"/>
          </w:tcPr>
          <w:p w14:paraId="5EADDD57" w14:textId="74CCD2AA"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PFS rates at 24 mo</w:t>
            </w:r>
            <w:r w:rsidR="00224AF5" w:rsidRPr="00AB6F27">
              <w:rPr>
                <w:rFonts w:ascii="Arial Narrow" w:hAnsi="Arial Narrow"/>
                <w:b/>
                <w:sz w:val="20"/>
                <w:szCs w:val="20"/>
              </w:rPr>
              <w:t>nths</w:t>
            </w:r>
            <w:r w:rsidRPr="00AB6F27">
              <w:rPr>
                <w:rFonts w:ascii="Arial Narrow" w:hAnsi="Arial Narrow"/>
                <w:b/>
                <w:sz w:val="20"/>
                <w:szCs w:val="20"/>
              </w:rPr>
              <w:t xml:space="preserve"> % (95% CI)</w:t>
            </w:r>
          </w:p>
        </w:tc>
        <w:tc>
          <w:tcPr>
            <w:tcW w:w="590" w:type="pct"/>
            <w:tcBorders>
              <w:bottom w:val="single" w:sz="4" w:space="0" w:color="auto"/>
            </w:tcBorders>
            <w:vAlign w:val="center"/>
          </w:tcPr>
          <w:p w14:paraId="4F113A02"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 xml:space="preserve">Hazard Ratio </w:t>
            </w:r>
            <w:r w:rsidRPr="00AB6F27">
              <w:rPr>
                <w:rFonts w:ascii="Arial Narrow" w:hAnsi="Arial Narrow"/>
                <w:b/>
                <w:sz w:val="20"/>
                <w:szCs w:val="20"/>
              </w:rPr>
              <w:br/>
              <w:t>(95% CI)</w:t>
            </w:r>
          </w:p>
        </w:tc>
        <w:tc>
          <w:tcPr>
            <w:tcW w:w="505" w:type="pct"/>
            <w:tcBorders>
              <w:bottom w:val="single" w:sz="4" w:space="0" w:color="auto"/>
            </w:tcBorders>
            <w:vAlign w:val="center"/>
          </w:tcPr>
          <w:p w14:paraId="62EB2BAD" w14:textId="77777777" w:rsidR="00995A3B" w:rsidRPr="00AB6F27" w:rsidRDefault="00995A3B" w:rsidP="007B5E49">
            <w:pPr>
              <w:keepNext/>
              <w:jc w:val="center"/>
              <w:rPr>
                <w:rFonts w:ascii="Arial Narrow" w:hAnsi="Arial Narrow"/>
                <w:b/>
                <w:sz w:val="20"/>
                <w:szCs w:val="20"/>
              </w:rPr>
            </w:pPr>
            <w:r w:rsidRPr="00AB6F27">
              <w:rPr>
                <w:rFonts w:ascii="Arial Narrow" w:hAnsi="Arial Narrow"/>
                <w:b/>
                <w:sz w:val="20"/>
                <w:szCs w:val="20"/>
              </w:rPr>
              <w:t>p-value</w:t>
            </w:r>
          </w:p>
        </w:tc>
      </w:tr>
      <w:tr w:rsidR="00995A3B" w:rsidRPr="00AB6F27" w14:paraId="04B2007C" w14:textId="77777777" w:rsidTr="007B5E49">
        <w:trPr>
          <w:trHeight w:val="20"/>
        </w:trPr>
        <w:tc>
          <w:tcPr>
            <w:tcW w:w="3094" w:type="pct"/>
            <w:gridSpan w:val="6"/>
            <w:tcBorders>
              <w:right w:val="nil"/>
            </w:tcBorders>
            <w:vAlign w:val="center"/>
          </w:tcPr>
          <w:p w14:paraId="1B26DE88" w14:textId="77777777" w:rsidR="00995A3B" w:rsidRPr="00AB6F27" w:rsidRDefault="00995A3B" w:rsidP="007B5E49">
            <w:pPr>
              <w:keepNext/>
              <w:jc w:val="left"/>
              <w:rPr>
                <w:rFonts w:ascii="Arial Narrow" w:hAnsi="Arial Narrow"/>
                <w:b/>
                <w:sz w:val="20"/>
                <w:szCs w:val="20"/>
              </w:rPr>
            </w:pPr>
            <w:r w:rsidRPr="00AB6F27">
              <w:rPr>
                <w:rFonts w:ascii="Arial Narrow" w:hAnsi="Arial Narrow"/>
                <w:b/>
                <w:sz w:val="20"/>
                <w:szCs w:val="20"/>
              </w:rPr>
              <w:t xml:space="preserve">dMMR population </w:t>
            </w:r>
          </w:p>
        </w:tc>
        <w:tc>
          <w:tcPr>
            <w:tcW w:w="1906" w:type="pct"/>
            <w:gridSpan w:val="3"/>
            <w:tcBorders>
              <w:left w:val="nil"/>
            </w:tcBorders>
          </w:tcPr>
          <w:p w14:paraId="3D33BBA2" w14:textId="77777777" w:rsidR="00995A3B" w:rsidRPr="00AB6F27" w:rsidRDefault="00995A3B" w:rsidP="007B5E49">
            <w:pPr>
              <w:keepNext/>
              <w:rPr>
                <w:rFonts w:ascii="Arial Narrow" w:hAnsi="Arial Narrow"/>
                <w:b/>
                <w:sz w:val="20"/>
                <w:szCs w:val="20"/>
              </w:rPr>
            </w:pPr>
          </w:p>
        </w:tc>
      </w:tr>
      <w:tr w:rsidR="00995A3B" w:rsidRPr="00AB6F27" w14:paraId="10F12931" w14:textId="77777777" w:rsidTr="007B5E49">
        <w:trPr>
          <w:trHeight w:val="20"/>
        </w:trPr>
        <w:tc>
          <w:tcPr>
            <w:tcW w:w="472" w:type="pct"/>
            <w:vMerge w:val="restart"/>
            <w:vAlign w:val="center"/>
          </w:tcPr>
          <w:p w14:paraId="3BC9453A" w14:textId="77777777" w:rsidR="00995A3B" w:rsidRPr="00AB6F27" w:rsidRDefault="00995A3B" w:rsidP="007B5E49">
            <w:pPr>
              <w:keepNext/>
              <w:jc w:val="left"/>
              <w:rPr>
                <w:rFonts w:ascii="Arial Narrow" w:hAnsi="Arial Narrow"/>
                <w:b/>
                <w:sz w:val="20"/>
                <w:szCs w:val="20"/>
                <w:vertAlign w:val="superscript"/>
              </w:rPr>
            </w:pPr>
            <w:r w:rsidRPr="00AB6F27">
              <w:rPr>
                <w:rFonts w:ascii="Arial Narrow" w:hAnsi="Arial Narrow"/>
                <w:b/>
                <w:sz w:val="20"/>
                <w:szCs w:val="20"/>
              </w:rPr>
              <w:t>IA1</w:t>
            </w:r>
            <w:r w:rsidRPr="00AB6F27">
              <w:rPr>
                <w:rFonts w:ascii="Arial Narrow" w:hAnsi="Arial Narrow"/>
                <w:b/>
                <w:sz w:val="20"/>
                <w:szCs w:val="20"/>
                <w:vertAlign w:val="superscript"/>
              </w:rPr>
              <w:t>a</w:t>
            </w:r>
          </w:p>
        </w:tc>
        <w:tc>
          <w:tcPr>
            <w:tcW w:w="525" w:type="pct"/>
            <w:vAlign w:val="center"/>
          </w:tcPr>
          <w:p w14:paraId="3371940B"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PEM+PBC</w:t>
            </w:r>
          </w:p>
        </w:tc>
        <w:tc>
          <w:tcPr>
            <w:tcW w:w="304" w:type="pct"/>
            <w:vAlign w:val="center"/>
          </w:tcPr>
          <w:p w14:paraId="274938E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110</w:t>
            </w:r>
          </w:p>
        </w:tc>
        <w:tc>
          <w:tcPr>
            <w:tcW w:w="510" w:type="pct"/>
            <w:vAlign w:val="center"/>
          </w:tcPr>
          <w:p w14:paraId="3F188D4C"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29 (26.4)</w:t>
            </w:r>
          </w:p>
        </w:tc>
        <w:tc>
          <w:tcPr>
            <w:tcW w:w="523" w:type="pct"/>
            <w:vAlign w:val="center"/>
          </w:tcPr>
          <w:p w14:paraId="2BF169DD"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81 (73.6)</w:t>
            </w:r>
          </w:p>
        </w:tc>
        <w:tc>
          <w:tcPr>
            <w:tcW w:w="759" w:type="pct"/>
            <w:vAlign w:val="center"/>
          </w:tcPr>
          <w:p w14:paraId="6777012D"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NR (30.7, NR)</w:t>
            </w:r>
          </w:p>
        </w:tc>
        <w:tc>
          <w:tcPr>
            <w:tcW w:w="811" w:type="pct"/>
            <w:vAlign w:val="center"/>
          </w:tcPr>
          <w:p w14:paraId="5B74F689"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65.2 (52.7, 75.2)</w:t>
            </w:r>
          </w:p>
        </w:tc>
        <w:tc>
          <w:tcPr>
            <w:tcW w:w="590" w:type="pct"/>
            <w:vMerge w:val="restart"/>
            <w:vAlign w:val="center"/>
          </w:tcPr>
          <w:p w14:paraId="3122C1C8" w14:textId="77777777" w:rsidR="00995A3B" w:rsidRPr="00AB6F27" w:rsidRDefault="00995A3B" w:rsidP="007B5E49">
            <w:pPr>
              <w:keepNext/>
              <w:jc w:val="center"/>
              <w:rPr>
                <w:rFonts w:ascii="Arial Narrow" w:hAnsi="Arial Narrow"/>
                <w:b/>
                <w:bCs/>
                <w:sz w:val="20"/>
                <w:szCs w:val="20"/>
              </w:rPr>
            </w:pPr>
            <w:r w:rsidRPr="00AB6F27">
              <w:rPr>
                <w:rFonts w:ascii="Arial Narrow" w:hAnsi="Arial Narrow"/>
                <w:b/>
                <w:bCs/>
                <w:sz w:val="20"/>
                <w:szCs w:val="20"/>
              </w:rPr>
              <w:t xml:space="preserve">0.34 </w:t>
            </w:r>
            <w:r w:rsidRPr="00AB6F27">
              <w:rPr>
                <w:rFonts w:ascii="Arial Narrow" w:hAnsi="Arial Narrow"/>
                <w:b/>
                <w:bCs/>
                <w:sz w:val="20"/>
                <w:szCs w:val="20"/>
              </w:rPr>
              <w:br/>
              <w:t>(0.22, 0.53)</w:t>
            </w:r>
          </w:p>
        </w:tc>
        <w:tc>
          <w:tcPr>
            <w:tcW w:w="505" w:type="pct"/>
            <w:vMerge w:val="restart"/>
            <w:vAlign w:val="center"/>
          </w:tcPr>
          <w:p w14:paraId="1D70F198"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&lt;0.0001</w:t>
            </w:r>
          </w:p>
        </w:tc>
      </w:tr>
      <w:tr w:rsidR="00995A3B" w:rsidRPr="00AB6F27" w14:paraId="658E476D" w14:textId="77777777" w:rsidTr="007B5E49">
        <w:trPr>
          <w:trHeight w:val="20"/>
        </w:trPr>
        <w:tc>
          <w:tcPr>
            <w:tcW w:w="472" w:type="pct"/>
            <w:vMerge/>
            <w:vAlign w:val="center"/>
          </w:tcPr>
          <w:p w14:paraId="0EC5EF88" w14:textId="77777777" w:rsidR="00995A3B" w:rsidRPr="00AB6F27" w:rsidRDefault="00995A3B" w:rsidP="007B5E49">
            <w:pPr>
              <w:keepNext/>
              <w:jc w:val="left"/>
              <w:rPr>
                <w:rFonts w:ascii="Arial Narrow" w:hAnsi="Arial Narrow"/>
                <w:b/>
                <w:sz w:val="20"/>
                <w:szCs w:val="20"/>
              </w:rPr>
            </w:pPr>
          </w:p>
        </w:tc>
        <w:tc>
          <w:tcPr>
            <w:tcW w:w="525" w:type="pct"/>
            <w:vAlign w:val="center"/>
          </w:tcPr>
          <w:p w14:paraId="5A82E6C2"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PBO+PBC</w:t>
            </w:r>
          </w:p>
        </w:tc>
        <w:tc>
          <w:tcPr>
            <w:tcW w:w="304" w:type="pct"/>
            <w:vAlign w:val="center"/>
          </w:tcPr>
          <w:p w14:paraId="6ADB7CB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112</w:t>
            </w:r>
          </w:p>
        </w:tc>
        <w:tc>
          <w:tcPr>
            <w:tcW w:w="510" w:type="pct"/>
            <w:vAlign w:val="center"/>
          </w:tcPr>
          <w:p w14:paraId="014C42F7"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60 (53.6)</w:t>
            </w:r>
          </w:p>
        </w:tc>
        <w:tc>
          <w:tcPr>
            <w:tcW w:w="523" w:type="pct"/>
            <w:vAlign w:val="center"/>
          </w:tcPr>
          <w:p w14:paraId="65B1A01F"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52 (53.6)</w:t>
            </w:r>
          </w:p>
        </w:tc>
        <w:tc>
          <w:tcPr>
            <w:tcW w:w="759" w:type="pct"/>
            <w:vAlign w:val="center"/>
          </w:tcPr>
          <w:p w14:paraId="6A58AD69"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8.3 (6.5, 12.3)</w:t>
            </w:r>
          </w:p>
        </w:tc>
        <w:tc>
          <w:tcPr>
            <w:tcW w:w="811" w:type="pct"/>
            <w:vAlign w:val="center"/>
          </w:tcPr>
          <w:p w14:paraId="67018CE1"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27.4 (15.2, 41.1)</w:t>
            </w:r>
          </w:p>
        </w:tc>
        <w:tc>
          <w:tcPr>
            <w:tcW w:w="590" w:type="pct"/>
            <w:vMerge/>
            <w:vAlign w:val="center"/>
          </w:tcPr>
          <w:p w14:paraId="4186779E" w14:textId="77777777" w:rsidR="00995A3B" w:rsidRPr="00AB6F27" w:rsidRDefault="00995A3B" w:rsidP="007B5E49">
            <w:pPr>
              <w:keepNext/>
              <w:jc w:val="center"/>
              <w:rPr>
                <w:rFonts w:ascii="Arial Narrow" w:hAnsi="Arial Narrow"/>
                <w:sz w:val="20"/>
                <w:szCs w:val="20"/>
              </w:rPr>
            </w:pPr>
          </w:p>
        </w:tc>
        <w:tc>
          <w:tcPr>
            <w:tcW w:w="505" w:type="pct"/>
            <w:vMerge/>
            <w:vAlign w:val="center"/>
          </w:tcPr>
          <w:p w14:paraId="5EA7C71B" w14:textId="77777777" w:rsidR="00995A3B" w:rsidRPr="00AB6F27" w:rsidRDefault="00995A3B" w:rsidP="007B5E49">
            <w:pPr>
              <w:keepNext/>
              <w:jc w:val="center"/>
              <w:rPr>
                <w:rFonts w:ascii="Arial Narrow" w:hAnsi="Arial Narrow"/>
                <w:sz w:val="20"/>
                <w:szCs w:val="20"/>
              </w:rPr>
            </w:pPr>
          </w:p>
        </w:tc>
      </w:tr>
      <w:tr w:rsidR="00995A3B" w:rsidRPr="00AB6F27" w14:paraId="18F8D2FF" w14:textId="77777777" w:rsidTr="007B5E49">
        <w:trPr>
          <w:trHeight w:val="20"/>
        </w:trPr>
        <w:tc>
          <w:tcPr>
            <w:tcW w:w="472" w:type="pct"/>
            <w:vMerge w:val="restart"/>
            <w:vAlign w:val="center"/>
          </w:tcPr>
          <w:p w14:paraId="1E56FAAA" w14:textId="77777777" w:rsidR="00995A3B" w:rsidRPr="00AB6F27" w:rsidRDefault="00995A3B" w:rsidP="007B5E49">
            <w:pPr>
              <w:keepNext/>
              <w:jc w:val="left"/>
              <w:rPr>
                <w:rFonts w:ascii="Arial Narrow" w:hAnsi="Arial Narrow"/>
                <w:b/>
                <w:sz w:val="20"/>
                <w:szCs w:val="20"/>
                <w:vertAlign w:val="superscript"/>
              </w:rPr>
            </w:pPr>
            <w:r w:rsidRPr="00AB6F27">
              <w:rPr>
                <w:rFonts w:ascii="Arial Narrow" w:hAnsi="Arial Narrow"/>
                <w:b/>
                <w:sz w:val="20"/>
                <w:szCs w:val="20"/>
              </w:rPr>
              <w:t xml:space="preserve">EUR </w:t>
            </w:r>
            <w:r w:rsidRPr="00AB6F27">
              <w:rPr>
                <w:rFonts w:ascii="Arial Narrow" w:hAnsi="Arial Narrow"/>
                <w:b/>
                <w:sz w:val="20"/>
                <w:szCs w:val="20"/>
                <w:vertAlign w:val="superscript"/>
              </w:rPr>
              <w:t>b</w:t>
            </w:r>
          </w:p>
        </w:tc>
        <w:tc>
          <w:tcPr>
            <w:tcW w:w="525" w:type="pct"/>
            <w:vAlign w:val="center"/>
          </w:tcPr>
          <w:p w14:paraId="09DB0BFA"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PEM+PBC</w:t>
            </w:r>
          </w:p>
        </w:tc>
        <w:tc>
          <w:tcPr>
            <w:tcW w:w="304" w:type="pct"/>
            <w:vAlign w:val="center"/>
          </w:tcPr>
          <w:p w14:paraId="33671C7C"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110</w:t>
            </w:r>
          </w:p>
        </w:tc>
        <w:tc>
          <w:tcPr>
            <w:tcW w:w="510" w:type="pct"/>
            <w:vAlign w:val="center"/>
          </w:tcPr>
          <w:p w14:paraId="15BC906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36 (32.7)</w:t>
            </w:r>
          </w:p>
        </w:tc>
        <w:tc>
          <w:tcPr>
            <w:tcW w:w="523" w:type="pct"/>
            <w:vAlign w:val="center"/>
          </w:tcPr>
          <w:p w14:paraId="7DFC5A3D"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74 (67.2)</w:t>
            </w:r>
          </w:p>
        </w:tc>
        <w:tc>
          <w:tcPr>
            <w:tcW w:w="759" w:type="pct"/>
            <w:vAlign w:val="center"/>
          </w:tcPr>
          <w:p w14:paraId="551ED769"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NR (30.7, NR)</w:t>
            </w:r>
          </w:p>
        </w:tc>
        <w:tc>
          <w:tcPr>
            <w:tcW w:w="811" w:type="pct"/>
            <w:vAlign w:val="center"/>
          </w:tcPr>
          <w:p w14:paraId="1B3ABDB9"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64.0 (53.0, 73.2)</w:t>
            </w:r>
          </w:p>
        </w:tc>
        <w:tc>
          <w:tcPr>
            <w:tcW w:w="590" w:type="pct"/>
            <w:vMerge w:val="restart"/>
            <w:vAlign w:val="center"/>
          </w:tcPr>
          <w:p w14:paraId="378D2F3C" w14:textId="77777777" w:rsidR="00995A3B" w:rsidRPr="00AB6F27" w:rsidRDefault="00995A3B" w:rsidP="007B5E49">
            <w:pPr>
              <w:keepNext/>
              <w:jc w:val="center"/>
              <w:rPr>
                <w:rFonts w:ascii="Arial Narrow" w:hAnsi="Arial Narrow"/>
                <w:sz w:val="20"/>
                <w:szCs w:val="20"/>
                <w:vertAlign w:val="superscript"/>
              </w:rPr>
            </w:pPr>
            <w:r w:rsidRPr="00AB6F27">
              <w:rPr>
                <w:rFonts w:ascii="Arial Narrow" w:hAnsi="Arial Narrow"/>
                <w:sz w:val="20"/>
                <w:szCs w:val="20"/>
              </w:rPr>
              <w:t xml:space="preserve">0.35 </w:t>
            </w:r>
            <w:r w:rsidRPr="00AB6F27">
              <w:rPr>
                <w:rFonts w:ascii="Arial Narrow" w:hAnsi="Arial Narrow"/>
                <w:sz w:val="20"/>
                <w:szCs w:val="20"/>
              </w:rPr>
              <w:br/>
              <w:t>(0.23, 0.52)</w:t>
            </w:r>
            <w:r w:rsidRPr="00AB6F27">
              <w:rPr>
                <w:rFonts w:ascii="Arial Narrow" w:hAnsi="Arial Narrow"/>
                <w:sz w:val="20"/>
                <w:szCs w:val="20"/>
                <w:vertAlign w:val="superscript"/>
              </w:rPr>
              <w:t>c</w:t>
            </w:r>
          </w:p>
        </w:tc>
        <w:tc>
          <w:tcPr>
            <w:tcW w:w="505" w:type="pct"/>
            <w:vMerge w:val="restart"/>
            <w:vAlign w:val="center"/>
          </w:tcPr>
          <w:p w14:paraId="3E59E025" w14:textId="77777777" w:rsidR="00995A3B" w:rsidRPr="00AB6F27" w:rsidRDefault="00995A3B" w:rsidP="007B5E49">
            <w:pPr>
              <w:keepNext/>
              <w:jc w:val="center"/>
              <w:rPr>
                <w:rFonts w:ascii="Arial Narrow" w:hAnsi="Arial Narrow"/>
                <w:sz w:val="20"/>
                <w:szCs w:val="20"/>
                <w:vertAlign w:val="superscript"/>
              </w:rPr>
            </w:pPr>
            <w:r w:rsidRPr="00AB6F27">
              <w:rPr>
                <w:rFonts w:ascii="Arial Narrow" w:hAnsi="Arial Narrow"/>
                <w:sz w:val="20"/>
                <w:szCs w:val="20"/>
              </w:rPr>
              <w:t xml:space="preserve">&lt;0.0001 </w:t>
            </w:r>
            <w:r w:rsidRPr="00AB6F27">
              <w:rPr>
                <w:rFonts w:ascii="Arial Narrow" w:hAnsi="Arial Narrow"/>
                <w:sz w:val="20"/>
                <w:szCs w:val="20"/>
                <w:vertAlign w:val="superscript"/>
              </w:rPr>
              <w:t>c</w:t>
            </w:r>
          </w:p>
        </w:tc>
      </w:tr>
      <w:tr w:rsidR="00995A3B" w:rsidRPr="00AB6F27" w14:paraId="51468ADA" w14:textId="77777777" w:rsidTr="007B5E49">
        <w:trPr>
          <w:trHeight w:val="20"/>
        </w:trPr>
        <w:tc>
          <w:tcPr>
            <w:tcW w:w="472" w:type="pct"/>
            <w:vMerge/>
            <w:vAlign w:val="center"/>
          </w:tcPr>
          <w:p w14:paraId="1CC3352A" w14:textId="77777777" w:rsidR="00995A3B" w:rsidRPr="00AB6F27" w:rsidRDefault="00995A3B" w:rsidP="007B5E49">
            <w:pPr>
              <w:keepNext/>
              <w:jc w:val="left"/>
              <w:rPr>
                <w:rFonts w:ascii="Arial Narrow" w:hAnsi="Arial Narrow"/>
                <w:b/>
                <w:sz w:val="20"/>
                <w:szCs w:val="20"/>
              </w:rPr>
            </w:pPr>
          </w:p>
        </w:tc>
        <w:tc>
          <w:tcPr>
            <w:tcW w:w="525" w:type="pct"/>
            <w:vAlign w:val="center"/>
          </w:tcPr>
          <w:p w14:paraId="07DB4C6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PBO+PBC</w:t>
            </w:r>
          </w:p>
        </w:tc>
        <w:tc>
          <w:tcPr>
            <w:tcW w:w="304" w:type="pct"/>
            <w:vAlign w:val="center"/>
          </w:tcPr>
          <w:p w14:paraId="030EAB1E"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112</w:t>
            </w:r>
          </w:p>
        </w:tc>
        <w:tc>
          <w:tcPr>
            <w:tcW w:w="510" w:type="pct"/>
            <w:vAlign w:val="center"/>
          </w:tcPr>
          <w:p w14:paraId="64C74B01"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70 (62.5)</w:t>
            </w:r>
          </w:p>
        </w:tc>
        <w:tc>
          <w:tcPr>
            <w:tcW w:w="523" w:type="pct"/>
            <w:vAlign w:val="center"/>
          </w:tcPr>
          <w:p w14:paraId="4C954C8B"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42 (37.5)</w:t>
            </w:r>
          </w:p>
        </w:tc>
        <w:tc>
          <w:tcPr>
            <w:tcW w:w="759" w:type="pct"/>
            <w:vAlign w:val="center"/>
          </w:tcPr>
          <w:p w14:paraId="16A63F8C"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8.3 (6.5, 12.7)</w:t>
            </w:r>
          </w:p>
        </w:tc>
        <w:tc>
          <w:tcPr>
            <w:tcW w:w="811" w:type="pct"/>
            <w:vAlign w:val="center"/>
          </w:tcPr>
          <w:p w14:paraId="02E0A98A"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31.1 (21.7, 40.9)</w:t>
            </w:r>
          </w:p>
        </w:tc>
        <w:tc>
          <w:tcPr>
            <w:tcW w:w="590" w:type="pct"/>
            <w:vMerge/>
            <w:vAlign w:val="center"/>
          </w:tcPr>
          <w:p w14:paraId="7FD4D823" w14:textId="77777777" w:rsidR="00995A3B" w:rsidRPr="00AB6F27" w:rsidRDefault="00995A3B" w:rsidP="007B5E49">
            <w:pPr>
              <w:keepNext/>
              <w:jc w:val="center"/>
              <w:rPr>
                <w:rFonts w:ascii="Arial Narrow" w:hAnsi="Arial Narrow"/>
                <w:sz w:val="20"/>
                <w:szCs w:val="20"/>
              </w:rPr>
            </w:pPr>
          </w:p>
        </w:tc>
        <w:tc>
          <w:tcPr>
            <w:tcW w:w="505" w:type="pct"/>
            <w:vMerge/>
            <w:vAlign w:val="center"/>
          </w:tcPr>
          <w:p w14:paraId="2374C216" w14:textId="77777777" w:rsidR="00995A3B" w:rsidRPr="00AB6F27" w:rsidRDefault="00995A3B" w:rsidP="007B5E49">
            <w:pPr>
              <w:keepNext/>
              <w:jc w:val="center"/>
              <w:rPr>
                <w:rFonts w:ascii="Arial Narrow" w:hAnsi="Arial Narrow"/>
                <w:sz w:val="20"/>
                <w:szCs w:val="20"/>
              </w:rPr>
            </w:pPr>
          </w:p>
        </w:tc>
      </w:tr>
      <w:tr w:rsidR="00995A3B" w:rsidRPr="00AB6F27" w14:paraId="162F7ABB" w14:textId="77777777" w:rsidTr="007B5E49">
        <w:trPr>
          <w:trHeight w:val="20"/>
        </w:trPr>
        <w:tc>
          <w:tcPr>
            <w:tcW w:w="5000" w:type="pct"/>
            <w:gridSpan w:val="9"/>
            <w:vAlign w:val="center"/>
          </w:tcPr>
          <w:p w14:paraId="1A49A444" w14:textId="77777777" w:rsidR="00995A3B" w:rsidRPr="00AB6F27" w:rsidRDefault="00995A3B" w:rsidP="007B5E49">
            <w:pPr>
              <w:keepNext/>
              <w:rPr>
                <w:rFonts w:ascii="Arial Narrow" w:hAnsi="Arial Narrow"/>
                <w:b/>
                <w:bCs/>
                <w:sz w:val="20"/>
                <w:szCs w:val="20"/>
              </w:rPr>
            </w:pPr>
            <w:r w:rsidRPr="00AB6F27">
              <w:rPr>
                <w:rFonts w:ascii="Arial Narrow" w:hAnsi="Arial Narrow"/>
                <w:b/>
                <w:bCs/>
                <w:sz w:val="20"/>
                <w:szCs w:val="20"/>
              </w:rPr>
              <w:t>pMMR population</w:t>
            </w:r>
          </w:p>
        </w:tc>
      </w:tr>
      <w:tr w:rsidR="00995A3B" w:rsidRPr="00AB6F27" w14:paraId="790CB715" w14:textId="77777777" w:rsidTr="007B5E49">
        <w:trPr>
          <w:trHeight w:val="20"/>
        </w:trPr>
        <w:tc>
          <w:tcPr>
            <w:tcW w:w="472" w:type="pct"/>
            <w:vMerge w:val="restart"/>
            <w:vAlign w:val="center"/>
          </w:tcPr>
          <w:p w14:paraId="368409FD" w14:textId="77777777" w:rsidR="00995A3B" w:rsidRPr="00AB6F27" w:rsidRDefault="00995A3B" w:rsidP="007B5E49">
            <w:pPr>
              <w:keepNext/>
              <w:jc w:val="left"/>
              <w:rPr>
                <w:rFonts w:ascii="Arial Narrow" w:hAnsi="Arial Narrow"/>
                <w:b/>
                <w:sz w:val="20"/>
                <w:szCs w:val="20"/>
              </w:rPr>
            </w:pPr>
            <w:r w:rsidRPr="00AB6F27">
              <w:rPr>
                <w:rFonts w:ascii="Arial Narrow" w:hAnsi="Arial Narrow"/>
                <w:b/>
                <w:sz w:val="20"/>
                <w:szCs w:val="20"/>
              </w:rPr>
              <w:t xml:space="preserve">IA1 </w:t>
            </w:r>
            <w:r w:rsidRPr="00AB6F27">
              <w:rPr>
                <w:rFonts w:ascii="Arial Narrow" w:hAnsi="Arial Narrow"/>
                <w:b/>
                <w:sz w:val="20"/>
                <w:szCs w:val="20"/>
                <w:vertAlign w:val="superscript"/>
              </w:rPr>
              <w:t>a</w:t>
            </w:r>
          </w:p>
        </w:tc>
        <w:tc>
          <w:tcPr>
            <w:tcW w:w="525" w:type="pct"/>
            <w:vAlign w:val="center"/>
          </w:tcPr>
          <w:p w14:paraId="027FEF47"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PEM+PBC</w:t>
            </w:r>
          </w:p>
        </w:tc>
        <w:tc>
          <w:tcPr>
            <w:tcW w:w="304" w:type="pct"/>
            <w:vAlign w:val="center"/>
          </w:tcPr>
          <w:p w14:paraId="010B2B6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294</w:t>
            </w:r>
          </w:p>
        </w:tc>
        <w:tc>
          <w:tcPr>
            <w:tcW w:w="510" w:type="pct"/>
            <w:vAlign w:val="center"/>
          </w:tcPr>
          <w:p w14:paraId="248C88CD"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95 (32.3)</w:t>
            </w:r>
          </w:p>
        </w:tc>
        <w:tc>
          <w:tcPr>
            <w:tcW w:w="523" w:type="pct"/>
            <w:vAlign w:val="center"/>
          </w:tcPr>
          <w:p w14:paraId="3E68F968"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199 (67.7)</w:t>
            </w:r>
          </w:p>
        </w:tc>
        <w:tc>
          <w:tcPr>
            <w:tcW w:w="759" w:type="pct"/>
            <w:vAlign w:val="center"/>
          </w:tcPr>
          <w:p w14:paraId="5C34E8C7"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13.1 (10.6, 19.5)</w:t>
            </w:r>
          </w:p>
        </w:tc>
        <w:tc>
          <w:tcPr>
            <w:tcW w:w="811" w:type="pct"/>
            <w:vAlign w:val="center"/>
          </w:tcPr>
          <w:p w14:paraId="74D3024A"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38.3 (28.8, 47.7)</w:t>
            </w:r>
          </w:p>
        </w:tc>
        <w:tc>
          <w:tcPr>
            <w:tcW w:w="590" w:type="pct"/>
            <w:vMerge w:val="restart"/>
            <w:vAlign w:val="center"/>
          </w:tcPr>
          <w:p w14:paraId="5E0BD594" w14:textId="77777777" w:rsidR="00995A3B" w:rsidRPr="00AB6F27" w:rsidRDefault="00995A3B" w:rsidP="007B5E49">
            <w:pPr>
              <w:keepNext/>
              <w:jc w:val="center"/>
              <w:rPr>
                <w:rFonts w:ascii="Arial Narrow" w:hAnsi="Arial Narrow"/>
                <w:b/>
                <w:bCs/>
                <w:sz w:val="20"/>
                <w:szCs w:val="20"/>
              </w:rPr>
            </w:pPr>
            <w:r w:rsidRPr="00AB6F27">
              <w:rPr>
                <w:rFonts w:ascii="Arial Narrow" w:hAnsi="Arial Narrow"/>
                <w:b/>
                <w:bCs/>
                <w:sz w:val="20"/>
                <w:szCs w:val="20"/>
              </w:rPr>
              <w:t xml:space="preserve">0.57 </w:t>
            </w:r>
          </w:p>
          <w:p w14:paraId="070D82FC" w14:textId="77777777" w:rsidR="00995A3B" w:rsidRPr="00AB6F27" w:rsidRDefault="00995A3B" w:rsidP="007B5E49">
            <w:pPr>
              <w:keepNext/>
              <w:jc w:val="center"/>
              <w:rPr>
                <w:rFonts w:ascii="Arial Narrow" w:hAnsi="Arial Narrow"/>
                <w:sz w:val="20"/>
                <w:szCs w:val="20"/>
              </w:rPr>
            </w:pPr>
            <w:r w:rsidRPr="00AB6F27">
              <w:rPr>
                <w:rFonts w:ascii="Arial Narrow" w:hAnsi="Arial Narrow"/>
                <w:b/>
                <w:bCs/>
                <w:sz w:val="20"/>
                <w:szCs w:val="20"/>
              </w:rPr>
              <w:t>(0.44, 0.74)</w:t>
            </w:r>
          </w:p>
        </w:tc>
        <w:tc>
          <w:tcPr>
            <w:tcW w:w="505" w:type="pct"/>
            <w:vMerge w:val="restart"/>
            <w:vAlign w:val="center"/>
          </w:tcPr>
          <w:p w14:paraId="2C66A67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&lt;0.0001</w:t>
            </w:r>
          </w:p>
        </w:tc>
      </w:tr>
      <w:tr w:rsidR="00995A3B" w:rsidRPr="00AB6F27" w14:paraId="3D981E68" w14:textId="77777777" w:rsidTr="007B5E49">
        <w:trPr>
          <w:trHeight w:val="20"/>
        </w:trPr>
        <w:tc>
          <w:tcPr>
            <w:tcW w:w="472" w:type="pct"/>
            <w:vMerge/>
            <w:vAlign w:val="center"/>
          </w:tcPr>
          <w:p w14:paraId="77D8A600" w14:textId="77777777" w:rsidR="00995A3B" w:rsidRPr="00AB6F27" w:rsidRDefault="00995A3B" w:rsidP="007B5E49">
            <w:pPr>
              <w:keepNext/>
              <w:jc w:val="left"/>
              <w:rPr>
                <w:rFonts w:ascii="Arial Narrow" w:hAnsi="Arial Narrow"/>
                <w:b/>
                <w:sz w:val="20"/>
                <w:szCs w:val="20"/>
              </w:rPr>
            </w:pPr>
          </w:p>
        </w:tc>
        <w:tc>
          <w:tcPr>
            <w:tcW w:w="525" w:type="pct"/>
            <w:vAlign w:val="center"/>
          </w:tcPr>
          <w:p w14:paraId="4D653420"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PBO+PBC</w:t>
            </w:r>
          </w:p>
        </w:tc>
        <w:tc>
          <w:tcPr>
            <w:tcW w:w="304" w:type="pct"/>
            <w:vAlign w:val="center"/>
          </w:tcPr>
          <w:p w14:paraId="3E8D9FA5"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294</w:t>
            </w:r>
          </w:p>
        </w:tc>
        <w:tc>
          <w:tcPr>
            <w:tcW w:w="510" w:type="pct"/>
            <w:vAlign w:val="center"/>
          </w:tcPr>
          <w:p w14:paraId="5A32459F"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138 (46.9)</w:t>
            </w:r>
          </w:p>
        </w:tc>
        <w:tc>
          <w:tcPr>
            <w:tcW w:w="523" w:type="pct"/>
            <w:vAlign w:val="center"/>
          </w:tcPr>
          <w:p w14:paraId="55A5C5F1"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156 (53.0)</w:t>
            </w:r>
          </w:p>
        </w:tc>
        <w:tc>
          <w:tcPr>
            <w:tcW w:w="759" w:type="pct"/>
            <w:vAlign w:val="center"/>
          </w:tcPr>
          <w:p w14:paraId="53A79EF1"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8.7 (8.4, 11.0)</w:t>
            </w:r>
          </w:p>
        </w:tc>
        <w:tc>
          <w:tcPr>
            <w:tcW w:w="811" w:type="pct"/>
            <w:vAlign w:val="center"/>
          </w:tcPr>
          <w:p w14:paraId="60896F12"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13.5 (6.9, 22.2)</w:t>
            </w:r>
          </w:p>
        </w:tc>
        <w:tc>
          <w:tcPr>
            <w:tcW w:w="590" w:type="pct"/>
            <w:vMerge/>
            <w:vAlign w:val="center"/>
          </w:tcPr>
          <w:p w14:paraId="1376F87B" w14:textId="77777777" w:rsidR="00995A3B" w:rsidRPr="00AB6F27" w:rsidRDefault="00995A3B" w:rsidP="007B5E49">
            <w:pPr>
              <w:keepNext/>
              <w:jc w:val="center"/>
              <w:rPr>
                <w:rFonts w:ascii="Arial Narrow" w:hAnsi="Arial Narrow"/>
                <w:sz w:val="20"/>
                <w:szCs w:val="20"/>
              </w:rPr>
            </w:pPr>
          </w:p>
        </w:tc>
        <w:tc>
          <w:tcPr>
            <w:tcW w:w="505" w:type="pct"/>
            <w:vMerge/>
            <w:vAlign w:val="center"/>
          </w:tcPr>
          <w:p w14:paraId="56275296" w14:textId="77777777" w:rsidR="00995A3B" w:rsidRPr="00AB6F27" w:rsidRDefault="00995A3B" w:rsidP="007B5E49">
            <w:pPr>
              <w:keepNext/>
              <w:jc w:val="center"/>
              <w:rPr>
                <w:rFonts w:ascii="Arial Narrow" w:hAnsi="Arial Narrow"/>
                <w:sz w:val="20"/>
                <w:szCs w:val="20"/>
              </w:rPr>
            </w:pPr>
          </w:p>
        </w:tc>
      </w:tr>
      <w:tr w:rsidR="00995A3B" w:rsidRPr="00AB6F27" w14:paraId="717DC3C7" w14:textId="77777777" w:rsidTr="007B5E49">
        <w:trPr>
          <w:trHeight w:val="20"/>
        </w:trPr>
        <w:tc>
          <w:tcPr>
            <w:tcW w:w="472" w:type="pct"/>
            <w:vMerge w:val="restart"/>
            <w:vAlign w:val="center"/>
          </w:tcPr>
          <w:p w14:paraId="0FD3546D" w14:textId="77777777" w:rsidR="00995A3B" w:rsidRPr="00AB6F27" w:rsidRDefault="00995A3B" w:rsidP="007B5E49">
            <w:pPr>
              <w:keepNext/>
              <w:jc w:val="left"/>
              <w:rPr>
                <w:rFonts w:ascii="Arial Narrow" w:hAnsi="Arial Narrow"/>
                <w:b/>
                <w:sz w:val="20"/>
                <w:szCs w:val="20"/>
              </w:rPr>
            </w:pPr>
            <w:r w:rsidRPr="00AB6F27">
              <w:rPr>
                <w:rFonts w:ascii="Arial Narrow" w:hAnsi="Arial Narrow"/>
                <w:b/>
                <w:sz w:val="20"/>
                <w:szCs w:val="20"/>
              </w:rPr>
              <w:t>EUR</w:t>
            </w:r>
            <w:r w:rsidRPr="00AB6F27">
              <w:rPr>
                <w:rFonts w:ascii="Arial Narrow" w:hAnsi="Arial Narrow"/>
                <w:b/>
                <w:sz w:val="20"/>
                <w:szCs w:val="20"/>
                <w:vertAlign w:val="superscript"/>
              </w:rPr>
              <w:t xml:space="preserve"> b</w:t>
            </w:r>
          </w:p>
        </w:tc>
        <w:tc>
          <w:tcPr>
            <w:tcW w:w="525" w:type="pct"/>
            <w:vAlign w:val="center"/>
          </w:tcPr>
          <w:p w14:paraId="395A8881"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PEM+PBC</w:t>
            </w:r>
          </w:p>
        </w:tc>
        <w:tc>
          <w:tcPr>
            <w:tcW w:w="304" w:type="pct"/>
            <w:vAlign w:val="center"/>
          </w:tcPr>
          <w:p w14:paraId="61338B76"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298</w:t>
            </w:r>
          </w:p>
        </w:tc>
        <w:tc>
          <w:tcPr>
            <w:tcW w:w="510" w:type="pct"/>
            <w:vAlign w:val="center"/>
          </w:tcPr>
          <w:p w14:paraId="117A1C77"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163 (54.7)</w:t>
            </w:r>
          </w:p>
        </w:tc>
        <w:tc>
          <w:tcPr>
            <w:tcW w:w="523" w:type="pct"/>
            <w:vAlign w:val="center"/>
          </w:tcPr>
          <w:p w14:paraId="14A2B89B"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131 (55.4)</w:t>
            </w:r>
          </w:p>
        </w:tc>
        <w:tc>
          <w:tcPr>
            <w:tcW w:w="759" w:type="pct"/>
            <w:vAlign w:val="center"/>
          </w:tcPr>
          <w:p w14:paraId="4190CEB3"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11.4 (10.9, 15.1)</w:t>
            </w:r>
          </w:p>
        </w:tc>
        <w:tc>
          <w:tcPr>
            <w:tcW w:w="811" w:type="pct"/>
            <w:vAlign w:val="center"/>
          </w:tcPr>
          <w:p w14:paraId="6B56924D"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34.1 (27.5, 40.8)</w:t>
            </w:r>
          </w:p>
        </w:tc>
        <w:tc>
          <w:tcPr>
            <w:tcW w:w="590" w:type="pct"/>
            <w:vMerge w:val="restart"/>
            <w:vAlign w:val="center"/>
          </w:tcPr>
          <w:p w14:paraId="733775AD"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 xml:space="preserve">0.74 </w:t>
            </w:r>
            <w:r w:rsidRPr="00AB6F27">
              <w:rPr>
                <w:rFonts w:ascii="Arial Narrow" w:hAnsi="Arial Narrow"/>
                <w:sz w:val="20"/>
                <w:szCs w:val="20"/>
              </w:rPr>
              <w:br/>
              <w:t>(0.60, 0.91)</w:t>
            </w:r>
          </w:p>
        </w:tc>
        <w:tc>
          <w:tcPr>
            <w:tcW w:w="505" w:type="pct"/>
            <w:vMerge w:val="restart"/>
            <w:vAlign w:val="center"/>
          </w:tcPr>
          <w:p w14:paraId="31AA68A8"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0.0022</w:t>
            </w:r>
          </w:p>
        </w:tc>
      </w:tr>
      <w:tr w:rsidR="00995A3B" w:rsidRPr="00AB6F27" w14:paraId="16BA6983" w14:textId="77777777" w:rsidTr="007B5E49">
        <w:trPr>
          <w:trHeight w:val="20"/>
        </w:trPr>
        <w:tc>
          <w:tcPr>
            <w:tcW w:w="472" w:type="pct"/>
            <w:vMerge/>
            <w:vAlign w:val="center"/>
          </w:tcPr>
          <w:p w14:paraId="00CCA5D4" w14:textId="77777777" w:rsidR="00995A3B" w:rsidRPr="00AB6F27" w:rsidRDefault="00995A3B" w:rsidP="007B5E49">
            <w:pPr>
              <w:keepNext/>
              <w:jc w:val="left"/>
              <w:rPr>
                <w:rFonts w:ascii="Arial Narrow" w:hAnsi="Arial Narrow"/>
                <w:b/>
                <w:sz w:val="20"/>
                <w:szCs w:val="20"/>
              </w:rPr>
            </w:pPr>
          </w:p>
        </w:tc>
        <w:tc>
          <w:tcPr>
            <w:tcW w:w="525" w:type="pct"/>
            <w:vAlign w:val="center"/>
          </w:tcPr>
          <w:p w14:paraId="4602654C"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PBO+PBC</w:t>
            </w:r>
          </w:p>
        </w:tc>
        <w:tc>
          <w:tcPr>
            <w:tcW w:w="304" w:type="pct"/>
            <w:vAlign w:val="center"/>
          </w:tcPr>
          <w:p w14:paraId="64F4DFB0"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299</w:t>
            </w:r>
          </w:p>
        </w:tc>
        <w:tc>
          <w:tcPr>
            <w:tcW w:w="510" w:type="pct"/>
            <w:vAlign w:val="center"/>
          </w:tcPr>
          <w:p w14:paraId="21364865"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187 (62.5)</w:t>
            </w:r>
          </w:p>
        </w:tc>
        <w:tc>
          <w:tcPr>
            <w:tcW w:w="523" w:type="pct"/>
            <w:vAlign w:val="center"/>
          </w:tcPr>
          <w:p w14:paraId="3A83FBEC"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107 (36.4)</w:t>
            </w:r>
          </w:p>
        </w:tc>
        <w:tc>
          <w:tcPr>
            <w:tcW w:w="759" w:type="pct"/>
            <w:vAlign w:val="center"/>
          </w:tcPr>
          <w:p w14:paraId="74644D2B"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10.6 (8.7, 11.3)</w:t>
            </w:r>
          </w:p>
        </w:tc>
        <w:tc>
          <w:tcPr>
            <w:tcW w:w="811" w:type="pct"/>
            <w:vAlign w:val="center"/>
          </w:tcPr>
          <w:p w14:paraId="46F172EA" w14:textId="77777777" w:rsidR="00995A3B" w:rsidRPr="00AB6F27" w:rsidRDefault="00995A3B" w:rsidP="007B5E49">
            <w:pPr>
              <w:keepNext/>
              <w:jc w:val="center"/>
              <w:rPr>
                <w:rFonts w:ascii="Arial Narrow" w:hAnsi="Arial Narrow"/>
                <w:sz w:val="20"/>
                <w:szCs w:val="20"/>
              </w:rPr>
            </w:pPr>
            <w:r w:rsidRPr="00AB6F27">
              <w:rPr>
                <w:rFonts w:ascii="Arial Narrow" w:hAnsi="Arial Narrow"/>
                <w:sz w:val="20"/>
                <w:szCs w:val="20"/>
              </w:rPr>
              <w:t>21.2 (15.0,28.1)</w:t>
            </w:r>
          </w:p>
        </w:tc>
        <w:tc>
          <w:tcPr>
            <w:tcW w:w="590" w:type="pct"/>
            <w:vMerge/>
          </w:tcPr>
          <w:p w14:paraId="37D2646F" w14:textId="77777777" w:rsidR="00995A3B" w:rsidRPr="00AB6F27" w:rsidRDefault="00995A3B" w:rsidP="007B5E49">
            <w:pPr>
              <w:keepNext/>
              <w:jc w:val="center"/>
              <w:rPr>
                <w:rFonts w:ascii="Arial Narrow" w:hAnsi="Arial Narrow"/>
                <w:sz w:val="20"/>
                <w:szCs w:val="20"/>
              </w:rPr>
            </w:pPr>
          </w:p>
        </w:tc>
        <w:tc>
          <w:tcPr>
            <w:tcW w:w="505" w:type="pct"/>
            <w:vMerge/>
          </w:tcPr>
          <w:p w14:paraId="1D63BF9B" w14:textId="77777777" w:rsidR="00995A3B" w:rsidRPr="00AB6F27" w:rsidRDefault="00995A3B" w:rsidP="007B5E49">
            <w:pPr>
              <w:keepNext/>
              <w:jc w:val="center"/>
              <w:rPr>
                <w:rFonts w:ascii="Arial Narrow" w:hAnsi="Arial Narrow"/>
                <w:sz w:val="20"/>
                <w:szCs w:val="20"/>
              </w:rPr>
            </w:pPr>
          </w:p>
        </w:tc>
      </w:tr>
    </w:tbl>
    <w:p w14:paraId="086E9604" w14:textId="77777777" w:rsidR="00995A3B" w:rsidRPr="00AB6F27" w:rsidRDefault="00995A3B" w:rsidP="00995A3B">
      <w:pPr>
        <w:keepNext/>
        <w:rPr>
          <w:rFonts w:ascii="Arial Narrow" w:hAnsi="Arial Narrow"/>
          <w:sz w:val="18"/>
          <w:szCs w:val="18"/>
        </w:rPr>
      </w:pPr>
      <w:r w:rsidRPr="00AB6F27">
        <w:rPr>
          <w:rFonts w:ascii="Arial Narrow" w:hAnsi="Arial Narrow"/>
          <w:sz w:val="18"/>
          <w:szCs w:val="18"/>
        </w:rPr>
        <w:t>Source: Table 2.5-1, 2.5-6 p125 and p138 of the submission</w:t>
      </w:r>
    </w:p>
    <w:p w14:paraId="157DDF9D" w14:textId="77777777" w:rsidR="00995A3B" w:rsidRPr="00AB6F27" w:rsidRDefault="00995A3B" w:rsidP="00995A3B">
      <w:pPr>
        <w:keepNext/>
        <w:rPr>
          <w:rFonts w:ascii="Arial Narrow" w:hAnsi="Arial Narrow"/>
          <w:sz w:val="18"/>
          <w:szCs w:val="18"/>
        </w:rPr>
      </w:pPr>
      <w:r w:rsidRPr="00AB6F27">
        <w:rPr>
          <w:rFonts w:ascii="Arial Narrow" w:hAnsi="Arial Narrow"/>
          <w:sz w:val="18"/>
          <w:szCs w:val="18"/>
        </w:rPr>
        <w:t>Abbreviations: CI = confidence interval; NA = not available; NR = not reached; PFS = progression free survival; PEM = pembrolizumab; PBC = platinum based chemotherapy; DOS = dostarlimab; DUR = durvalumab</w:t>
      </w:r>
    </w:p>
    <w:p w14:paraId="18F83A71" w14:textId="77777777" w:rsidR="00995A3B" w:rsidRPr="00AB6F27" w:rsidRDefault="00995A3B" w:rsidP="00995A3B">
      <w:pPr>
        <w:keepNext/>
        <w:rPr>
          <w:rFonts w:ascii="Arial Narrow" w:hAnsi="Arial Narrow"/>
          <w:sz w:val="18"/>
          <w:szCs w:val="18"/>
        </w:rPr>
      </w:pPr>
      <w:r w:rsidRPr="00AB6F27">
        <w:rPr>
          <w:rFonts w:ascii="Arial Narrow" w:hAnsi="Arial Narrow"/>
          <w:sz w:val="18"/>
          <w:szCs w:val="18"/>
          <w:vertAlign w:val="superscript"/>
        </w:rPr>
        <w:t>a</w:t>
      </w:r>
      <w:r w:rsidRPr="00AB6F27">
        <w:rPr>
          <w:rFonts w:ascii="Arial Narrow" w:hAnsi="Arial Narrow"/>
          <w:sz w:val="18"/>
          <w:szCs w:val="18"/>
        </w:rPr>
        <w:t xml:space="preserve"> Data cutoff date 16 DEC 2022, median follow up 13.6 months (dMMR) and 8.7 months (pMMR).</w:t>
      </w:r>
    </w:p>
    <w:p w14:paraId="05E6C191" w14:textId="77777777" w:rsidR="00995A3B" w:rsidRPr="00AB6F27" w:rsidRDefault="00995A3B" w:rsidP="00995A3B">
      <w:pPr>
        <w:keepNext/>
        <w:rPr>
          <w:rFonts w:ascii="Arial Narrow" w:hAnsi="Arial Narrow"/>
          <w:sz w:val="18"/>
          <w:szCs w:val="18"/>
        </w:rPr>
      </w:pPr>
      <w:r w:rsidRPr="00AB6F27">
        <w:rPr>
          <w:rFonts w:ascii="Arial Narrow" w:hAnsi="Arial Narrow"/>
          <w:sz w:val="18"/>
          <w:szCs w:val="18"/>
          <w:vertAlign w:val="superscript"/>
        </w:rPr>
        <w:t>b</w:t>
      </w:r>
      <w:r w:rsidRPr="00AB6F27">
        <w:rPr>
          <w:rFonts w:ascii="Arial Narrow" w:hAnsi="Arial Narrow"/>
          <w:sz w:val="18"/>
          <w:szCs w:val="18"/>
        </w:rPr>
        <w:t xml:space="preserve"> Data cutoff date 18 AUG 2023, median follow up 19.2 months (dMMR) and 15.3 months (pMMR) </w:t>
      </w:r>
    </w:p>
    <w:p w14:paraId="009C9A37" w14:textId="7550B66A" w:rsidR="00995A3B" w:rsidRPr="00AB6F27" w:rsidRDefault="2C89BEDC" w:rsidP="00995A3B">
      <w:pPr>
        <w:keepNext/>
        <w:rPr>
          <w:rFonts w:ascii="Arial Narrow" w:hAnsi="Arial Narrow"/>
          <w:sz w:val="18"/>
          <w:szCs w:val="18"/>
        </w:rPr>
      </w:pPr>
      <w:r w:rsidRPr="7A59D51F">
        <w:rPr>
          <w:rFonts w:ascii="Arial Narrow" w:hAnsi="Arial Narrow"/>
          <w:sz w:val="18"/>
          <w:szCs w:val="18"/>
          <w:vertAlign w:val="superscript"/>
        </w:rPr>
        <w:t>c</w:t>
      </w:r>
      <w:r w:rsidRPr="7A59D51F">
        <w:rPr>
          <w:rFonts w:ascii="Arial Narrow" w:hAnsi="Arial Narrow"/>
          <w:sz w:val="18"/>
          <w:szCs w:val="18"/>
        </w:rPr>
        <w:t>.</w:t>
      </w:r>
      <w:r w:rsidR="00993845">
        <w:rPr>
          <w:rFonts w:ascii="Arial Narrow" w:hAnsi="Arial Narrow"/>
          <w:sz w:val="18"/>
          <w:szCs w:val="18"/>
        </w:rPr>
        <w:t xml:space="preserve"> </w:t>
      </w:r>
      <w:r w:rsidR="00993845" w:rsidRPr="00993845">
        <w:rPr>
          <w:rFonts w:ascii="Arial Narrow" w:hAnsi="Arial Narrow"/>
          <w:sz w:val="18"/>
          <w:szCs w:val="18"/>
        </w:rPr>
        <w:t>The analysis was descriptive as statistical significance was met in prior IA.</w:t>
      </w:r>
    </w:p>
    <w:p w14:paraId="12D4EED9" w14:textId="77777777" w:rsidR="00995A3B" w:rsidRPr="00AB6F27" w:rsidRDefault="00995A3B" w:rsidP="00995A3B">
      <w:pPr>
        <w:keepNext/>
        <w:rPr>
          <w:rFonts w:ascii="Arial Narrow" w:hAnsi="Arial Narrow"/>
          <w:sz w:val="18"/>
          <w:szCs w:val="18"/>
        </w:rPr>
      </w:pPr>
      <w:r w:rsidRPr="00AB6F27">
        <w:rPr>
          <w:rFonts w:ascii="Arial Narrow" w:hAnsi="Arial Narrow"/>
          <w:sz w:val="18"/>
          <w:szCs w:val="18"/>
        </w:rPr>
        <w:t>Values in bold indicate statistically significant differences</w:t>
      </w:r>
    </w:p>
    <w:p w14:paraId="721E5510" w14:textId="7E8290CF" w:rsidR="00995A3B" w:rsidRPr="00AB6F27" w:rsidRDefault="00995A3B" w:rsidP="00E03CF0">
      <w:pPr>
        <w:keepNext/>
        <w:rPr>
          <w:rFonts w:ascii="Arial Narrow" w:hAnsi="Arial Narrow"/>
          <w:sz w:val="18"/>
          <w:szCs w:val="18"/>
        </w:rPr>
      </w:pPr>
      <w:r w:rsidRPr="00AB6F27">
        <w:rPr>
          <w:rFonts w:ascii="Arial Narrow" w:hAnsi="Arial Narrow"/>
          <w:sz w:val="18"/>
          <w:szCs w:val="18"/>
        </w:rPr>
        <w:t xml:space="preserve">Note: In NRG-GY018 the number of patients included in ITT analysis increased from IA1 (N=588) to EUR (N=597). Nine patients in the pMMR population were randomised after the IA1 </w:t>
      </w:r>
      <w:r w:rsidR="00437BAB" w:rsidRPr="00437BAB">
        <w:rPr>
          <w:rFonts w:ascii="Arial Narrow" w:hAnsi="Arial Narrow"/>
          <w:sz w:val="18"/>
          <w:szCs w:val="18"/>
        </w:rPr>
        <w:t>data cutoff</w:t>
      </w:r>
      <w:r w:rsidRPr="00AB6F27">
        <w:rPr>
          <w:rFonts w:ascii="Arial Narrow" w:hAnsi="Arial Narrow"/>
          <w:sz w:val="18"/>
          <w:szCs w:val="18"/>
        </w:rPr>
        <w:t xml:space="preserve"> and therefore were not included in the IA1 ITT PFS analysis. </w:t>
      </w:r>
    </w:p>
    <w:p w14:paraId="437122EE" w14:textId="77777777" w:rsidR="00A3213F" w:rsidRPr="00AB6F27" w:rsidRDefault="00A3213F" w:rsidP="00A3213F">
      <w:pPr>
        <w:keepNext/>
        <w:rPr>
          <w:rFonts w:ascii="Arial Narrow" w:hAnsi="Arial Narrow"/>
          <w:sz w:val="18"/>
          <w:szCs w:val="18"/>
        </w:rPr>
      </w:pPr>
    </w:p>
    <w:p w14:paraId="096E886E" w14:textId="54FE4434" w:rsidR="00A3213F" w:rsidRPr="00AB6F27" w:rsidRDefault="00A3213F" w:rsidP="00A571C7">
      <w:pPr>
        <w:pStyle w:val="3-BodyText"/>
      </w:pPr>
      <w:r w:rsidRPr="00AB6F27">
        <w:t xml:space="preserve">At the time of IA1 with a median 13.6 months of follow-up in the dMMR group, </w:t>
      </w:r>
      <w:r w:rsidR="0085037B" w:rsidRPr="00AB6F27">
        <w:t xml:space="preserve">patients randomised to </w:t>
      </w:r>
      <w:r w:rsidR="00BF1B0D">
        <w:t>pembrolizumab</w:t>
      </w:r>
      <w:r w:rsidRPr="00AB6F27">
        <w:t xml:space="preserve"> </w:t>
      </w:r>
      <w:r w:rsidR="0085037B" w:rsidRPr="00AB6F27">
        <w:t>reported a</w:t>
      </w:r>
      <w:r w:rsidRPr="00AB6F27">
        <w:t xml:space="preserve"> risk of progression or death </w:t>
      </w:r>
      <w:r w:rsidR="0085037B" w:rsidRPr="00AB6F27">
        <w:t xml:space="preserve">which was </w:t>
      </w:r>
      <w:r w:rsidRPr="00AB6F27">
        <w:t>66%</w:t>
      </w:r>
      <w:r w:rsidR="0085037B" w:rsidRPr="00AB6F27">
        <w:t xml:space="preserve"> lower than patients randomised to </w:t>
      </w:r>
      <w:r w:rsidR="0065665F">
        <w:t>placebo</w:t>
      </w:r>
      <w:r w:rsidRPr="00AB6F27">
        <w:t xml:space="preserve">, with a statistically significant HR of 0.34 (95% CI 0.22, 0.53; stratified log-rank test p-value &lt;0.0001). </w:t>
      </w:r>
      <w:r w:rsidR="0065665F">
        <w:t>M</w:t>
      </w:r>
      <w:r w:rsidRPr="00AB6F27">
        <w:t xml:space="preserve">edian PFS was not reached in the </w:t>
      </w:r>
      <w:r w:rsidR="00BF1B0D">
        <w:t>pembrolizumab</w:t>
      </w:r>
      <w:r w:rsidRPr="00AB6F27">
        <w:t xml:space="preserve"> </w:t>
      </w:r>
      <w:r w:rsidR="0065665F">
        <w:t>arm</w:t>
      </w:r>
      <w:r w:rsidR="0065665F" w:rsidRPr="00AB6F27">
        <w:t xml:space="preserve"> </w:t>
      </w:r>
      <w:r w:rsidRPr="00AB6F27">
        <w:t xml:space="preserve">compared to 8.3 months in the </w:t>
      </w:r>
      <w:r w:rsidR="0065665F">
        <w:t>placebo</w:t>
      </w:r>
      <w:r w:rsidRPr="00AB6F27">
        <w:t xml:space="preserve"> arm. At IA1, a clear separation of the KM curves was observed from approximately four months.</w:t>
      </w:r>
      <w:r w:rsidR="00A571C7" w:rsidRPr="00AB6F27">
        <w:t xml:space="preserve"> </w:t>
      </w:r>
      <w:r w:rsidRPr="00AB6F27">
        <w:t xml:space="preserve">At the time of EUR with a median follow up of 19.2 months in the dMMR group, </w:t>
      </w:r>
      <w:r w:rsidR="00A571C7" w:rsidRPr="00AB6F27">
        <w:t xml:space="preserve">the PFS </w:t>
      </w:r>
      <w:r w:rsidRPr="00AB6F27">
        <w:t xml:space="preserve">HR </w:t>
      </w:r>
      <w:r w:rsidR="00A571C7" w:rsidRPr="00AB6F27">
        <w:t xml:space="preserve">was </w:t>
      </w:r>
      <w:proofErr w:type="gramStart"/>
      <w:r w:rsidR="00A571C7" w:rsidRPr="00AB6F27">
        <w:t>similar</w:t>
      </w:r>
      <w:r w:rsidRPr="00AB6F27">
        <w:t xml:space="preserve"> </w:t>
      </w:r>
      <w:r w:rsidR="0065665F">
        <w:t>to</w:t>
      </w:r>
      <w:proofErr w:type="gramEnd"/>
      <w:r w:rsidR="0065665F">
        <w:t xml:space="preserve"> IA1 </w:t>
      </w:r>
      <w:r w:rsidR="00A571C7" w:rsidRPr="00AB6F27">
        <w:t xml:space="preserve">(HR = </w:t>
      </w:r>
      <w:r w:rsidRPr="00AB6F27">
        <w:t xml:space="preserve">0.35 (95% CI 0.23 to 0.52, nominal p-value &lt;0.0001). </w:t>
      </w:r>
      <w:r w:rsidR="0065665F">
        <w:t>M</w:t>
      </w:r>
      <w:r w:rsidRPr="00AB6F27">
        <w:t xml:space="preserve">edian PFS was not reached in the </w:t>
      </w:r>
      <w:r w:rsidR="00BF1B0D">
        <w:t>pembrolizumab</w:t>
      </w:r>
      <w:r w:rsidR="0065665F">
        <w:t xml:space="preserve"> arm</w:t>
      </w:r>
      <w:r w:rsidRPr="00AB6F27">
        <w:t xml:space="preserve"> compared to 8.3 months in the </w:t>
      </w:r>
      <w:r w:rsidR="0065665F">
        <w:t>placebo</w:t>
      </w:r>
      <w:r w:rsidRPr="00AB6F27">
        <w:t xml:space="preserve"> arm. Results reported from the unplanned EUR </w:t>
      </w:r>
      <w:r w:rsidR="00FB4A4E" w:rsidRPr="00AB6F27">
        <w:t xml:space="preserve">analysis </w:t>
      </w:r>
      <w:r w:rsidRPr="00AB6F27">
        <w:t xml:space="preserve">were exploratory and as such not considered statistically significant. </w:t>
      </w:r>
    </w:p>
    <w:p w14:paraId="6FD4D555" w14:textId="01C786F6" w:rsidR="005B5D2F" w:rsidRDefault="00A3213F" w:rsidP="00A3213F">
      <w:pPr>
        <w:pStyle w:val="3-BodyText"/>
      </w:pPr>
      <w:r w:rsidRPr="00AB6F27">
        <w:t xml:space="preserve">At the time of IA1 with a median 8.7 months of follow-up in the pMMR group, </w:t>
      </w:r>
      <w:r w:rsidR="00EA524B" w:rsidRPr="00AB6F27">
        <w:t xml:space="preserve">patients randomised to </w:t>
      </w:r>
      <w:r w:rsidR="00BF1B0D">
        <w:t>pembrolizumab</w:t>
      </w:r>
      <w:r w:rsidRPr="00AB6F27">
        <w:t xml:space="preserve"> </w:t>
      </w:r>
      <w:r w:rsidR="00EA524B" w:rsidRPr="00AB6F27">
        <w:t xml:space="preserve">reported a </w:t>
      </w:r>
      <w:r w:rsidRPr="00AB6F27">
        <w:t xml:space="preserve">risk of progression or death </w:t>
      </w:r>
      <w:r w:rsidR="00EA524B" w:rsidRPr="00AB6F27">
        <w:t xml:space="preserve">which was </w:t>
      </w:r>
      <w:r w:rsidRPr="00AB6F27">
        <w:t>43%</w:t>
      </w:r>
      <w:r w:rsidR="00EA524B" w:rsidRPr="00AB6F27">
        <w:t xml:space="preserve"> lower than patients randomised</w:t>
      </w:r>
      <w:r w:rsidRPr="00AB6F27">
        <w:t xml:space="preserve"> to </w:t>
      </w:r>
      <w:r w:rsidR="0065665F">
        <w:t>placebo</w:t>
      </w:r>
      <w:r w:rsidRPr="00AB6F27">
        <w:t>, with a statistically significant HR of 0.57 (95% CI 0.44, 0.74, stratified log-rank test p-value &lt;0.0001). Consistent with the results reported in the dMMR population</w:t>
      </w:r>
      <w:r w:rsidR="0065665F">
        <w:t>,</w:t>
      </w:r>
      <w:r w:rsidRPr="00AB6F27">
        <w:t xml:space="preserve"> the KM curves demonstrated early separation at 3-4 months. The separation of the KM curves in the pMMR population was heavily </w:t>
      </w:r>
      <w:r w:rsidRPr="00AB6F27">
        <w:lastRenderedPageBreak/>
        <w:t>censored and observed to be markedly less pronounced than in the dMMR population.</w:t>
      </w:r>
      <w:r w:rsidR="005B5D2F">
        <w:t xml:space="preserve"> </w:t>
      </w:r>
    </w:p>
    <w:p w14:paraId="441ED2A5" w14:textId="5E912DD5" w:rsidR="00A3213F" w:rsidRPr="00AB6F27" w:rsidRDefault="00A3213F" w:rsidP="00A3213F">
      <w:pPr>
        <w:pStyle w:val="3-BodyText"/>
      </w:pPr>
      <w:r w:rsidRPr="00AB6F27">
        <w:t xml:space="preserve">The submission noted that the EUR (data cut-off August 2023) showed a smaller magnitude of PFS benefit in the pMMR population compared to IA1 (HR 0.74 95% CI 0.60 to 0.91). The submission claimed that this may be partly due to unblinding of patients following IA1, as patients in the </w:t>
      </w:r>
      <w:r w:rsidR="0065665F">
        <w:t>placebo arm</w:t>
      </w:r>
      <w:r w:rsidRPr="00AB6F27">
        <w:t xml:space="preserve"> commenced immunotherapy, even before investigator’s declared progression. Without information on the number of patients that commenced immunotherapy prior to disease progression, it was unclear whether this was a plausible explanation for the worsening of PFS benefit over time.</w:t>
      </w:r>
    </w:p>
    <w:p w14:paraId="07BE2589" w14:textId="699FD36F" w:rsidR="004D3CCC" w:rsidRPr="00AB6F27" w:rsidRDefault="009A5BFB" w:rsidP="007B5E49">
      <w:pPr>
        <w:pStyle w:val="3-BodyText"/>
      </w:pPr>
      <w:r w:rsidRPr="00AB6F27">
        <w:t>NRG-GY018 reported other secondary outcomes including time from randomisation to disease progression by investigator assessment or death (whichever occurs first) on subsequent anticancer therapy (PFS2)</w:t>
      </w:r>
      <w:r w:rsidR="00E90F86" w:rsidRPr="00AB6F27">
        <w:t xml:space="preserve"> and</w:t>
      </w:r>
      <w:r w:rsidRPr="00AB6F27">
        <w:t xml:space="preserve"> objective response rat</w:t>
      </w:r>
      <w:r w:rsidR="00E90F86" w:rsidRPr="00AB6F27">
        <w:t>e.</w:t>
      </w:r>
      <w:r w:rsidRPr="00AB6F27">
        <w:t xml:space="preserve"> </w:t>
      </w:r>
      <w:r w:rsidR="00A9526D" w:rsidRPr="00AB6F27">
        <w:t>P</w:t>
      </w:r>
      <w:r w:rsidR="00750528" w:rsidRPr="00AB6F27">
        <w:t>atient reported outcomes</w:t>
      </w:r>
      <w:r w:rsidR="00A9526D" w:rsidRPr="00AB6F27">
        <w:t xml:space="preserve"> </w:t>
      </w:r>
      <w:r w:rsidR="0037124B" w:rsidRPr="00AB6F27">
        <w:t xml:space="preserve">(not reported in the submission) </w:t>
      </w:r>
      <w:r w:rsidR="00A9526D" w:rsidRPr="00AB6F27">
        <w:t>were collected for pMMR patients only</w:t>
      </w:r>
      <w:r w:rsidR="00296CB7" w:rsidRPr="00AB6F27">
        <w:t>.</w:t>
      </w:r>
      <w:r w:rsidR="00A9526D" w:rsidRPr="00AB6F27">
        <w:t xml:space="preserve"> </w:t>
      </w:r>
      <w:r w:rsidR="00540F36" w:rsidRPr="00AB6F27">
        <w:t xml:space="preserve">In brief, PFS2 and ORR results in NRG-GY018 were consistent with the OS and PFS results and favoured </w:t>
      </w:r>
      <w:r w:rsidR="00BF1B0D">
        <w:t>pembrolizumab</w:t>
      </w:r>
      <w:r w:rsidR="00540F36" w:rsidRPr="00AB6F27">
        <w:t xml:space="preserve">. </w:t>
      </w:r>
      <w:r w:rsidR="001216A0" w:rsidRPr="00AB6F27">
        <w:t xml:space="preserve">The difference in quality of life between treatment arms measured by the Functional Assessment of Cancer Therapy –Endometrial Trial Outcome Index (FACT-En-TOI), which was a validated assessment tool for patient QoL in EC, was not considered to be clinically meaningful at up to week 54 in the NRG-GY018 clinical study report. </w:t>
      </w:r>
    </w:p>
    <w:p w14:paraId="082FC6AF" w14:textId="558C629F" w:rsidR="00E804CE" w:rsidRPr="00AB6F27" w:rsidRDefault="0065665F" w:rsidP="007B5E49">
      <w:pPr>
        <w:pStyle w:val="3-BodyText"/>
      </w:pPr>
      <w:r>
        <w:t>The evaluation considered that, e</w:t>
      </w:r>
      <w:r w:rsidR="00E804CE" w:rsidRPr="00AB6F27">
        <w:t xml:space="preserve">ven though no such clinical claim was made, it was reasonable to conclude that </w:t>
      </w:r>
      <w:r w:rsidR="00BF1B0D">
        <w:t>pembrolizumab</w:t>
      </w:r>
      <w:r w:rsidR="00E804CE" w:rsidRPr="00AB6F27">
        <w:t xml:space="preserve"> was superior to </w:t>
      </w:r>
      <w:r>
        <w:t>placebo</w:t>
      </w:r>
      <w:r w:rsidR="00E804CE" w:rsidRPr="00AB6F27">
        <w:t xml:space="preserve"> in pMMR </w:t>
      </w:r>
      <w:r>
        <w:t>for</w:t>
      </w:r>
      <w:r w:rsidRPr="00AB6F27">
        <w:t xml:space="preserve"> </w:t>
      </w:r>
      <w:r w:rsidR="00E804CE" w:rsidRPr="00AB6F27">
        <w:t>the outcome of PFS (but not OS) based on direct evidence from NRG-GY018.</w:t>
      </w:r>
    </w:p>
    <w:p w14:paraId="1618BA70" w14:textId="1D8D0A8C" w:rsidR="00FB4A4E" w:rsidRPr="00AB6F27" w:rsidRDefault="00FB4A4E" w:rsidP="00524938">
      <w:pPr>
        <w:pStyle w:val="3-BodyText"/>
        <w:numPr>
          <w:ilvl w:val="0"/>
          <w:numId w:val="0"/>
        </w:numPr>
        <w:outlineLvl w:val="2"/>
        <w:rPr>
          <w:i/>
          <w:iCs/>
          <w:u w:val="single"/>
        </w:rPr>
      </w:pPr>
      <w:r w:rsidRPr="00AB6F27">
        <w:rPr>
          <w:i/>
          <w:iCs/>
          <w:u w:val="single"/>
        </w:rPr>
        <w:t>Indirect comparisons</w:t>
      </w:r>
    </w:p>
    <w:p w14:paraId="7E5C9500" w14:textId="7C92C680" w:rsidR="00A3213F" w:rsidRPr="00AB6F27" w:rsidRDefault="006A1FED" w:rsidP="00A3213F">
      <w:pPr>
        <w:pStyle w:val="3-BodyText"/>
      </w:pPr>
      <w:bookmarkStart w:id="39" w:name="_Ref196673677"/>
      <w:r>
        <w:t>L</w:t>
      </w:r>
      <w:r w:rsidR="00F334EA" w:rsidRPr="00AB6F27">
        <w:t>andmark OS and PFS percentages from NRG-GY018, RUBY-1 and DUO</w:t>
      </w:r>
      <w:r w:rsidR="007D1642" w:rsidRPr="00AB6F27">
        <w:noBreakHyphen/>
      </w:r>
      <w:r w:rsidR="00F334EA" w:rsidRPr="00AB6F27">
        <w:t xml:space="preserve">E </w:t>
      </w:r>
      <w:r w:rsidR="007C1511">
        <w:t xml:space="preserve">are </w:t>
      </w:r>
      <w:r w:rsidR="00A3213F" w:rsidRPr="00AB6F27">
        <w:t xml:space="preserve">shown in </w:t>
      </w:r>
      <w:r w:rsidR="00A3213F" w:rsidRPr="00AB6F27">
        <w:fldChar w:fldCharType="begin"/>
      </w:r>
      <w:r w:rsidR="00A3213F" w:rsidRPr="00AB6F27">
        <w:instrText xml:space="preserve"> REF _Ref196305562 \h </w:instrText>
      </w:r>
      <w:r w:rsidR="00AB6F27" w:rsidRPr="00AB6F27">
        <w:instrText xml:space="preserve"> \* MERGEFORMAT </w:instrText>
      </w:r>
      <w:r w:rsidR="00A3213F" w:rsidRPr="00AB6F27">
        <w:fldChar w:fldCharType="separate"/>
      </w:r>
      <w:r w:rsidR="003359D3" w:rsidRPr="00AB6F27">
        <w:t xml:space="preserve">Table </w:t>
      </w:r>
      <w:r w:rsidR="003359D3">
        <w:rPr>
          <w:noProof/>
        </w:rPr>
        <w:t>7</w:t>
      </w:r>
      <w:r w:rsidR="00A3213F" w:rsidRPr="00AB6F27">
        <w:fldChar w:fldCharType="end"/>
      </w:r>
      <w:r w:rsidR="00A3213F" w:rsidRPr="00AB6F27">
        <w:t xml:space="preserve">. </w:t>
      </w:r>
      <w:bookmarkEnd w:id="39"/>
    </w:p>
    <w:p w14:paraId="40CD2EEA" w14:textId="1675CD1D" w:rsidR="00A3213F" w:rsidRPr="00AB6F27" w:rsidRDefault="00A3213F" w:rsidP="00A3213F">
      <w:pPr>
        <w:pStyle w:val="Caption"/>
      </w:pPr>
      <w:bookmarkStart w:id="40" w:name="_Ref196305562"/>
      <w:r w:rsidRPr="00AB6F27">
        <w:lastRenderedPageBreak/>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7</w:t>
      </w:r>
      <w:r w:rsidR="00976099" w:rsidRPr="00AB6F27">
        <w:rPr>
          <w:noProof/>
        </w:rPr>
        <w:fldChar w:fldCharType="end"/>
      </w:r>
      <w:bookmarkEnd w:id="40"/>
      <w:r w:rsidRPr="00AB6F27">
        <w:t xml:space="preserve">: Landmark survival estimates in NRG-GY018, RUBY-1 and DUO-E </w:t>
      </w:r>
    </w:p>
    <w:tbl>
      <w:tblPr>
        <w:tblStyle w:val="TableGrid"/>
        <w:tblW w:w="0" w:type="auto"/>
        <w:tblLook w:val="04A0" w:firstRow="1" w:lastRow="0" w:firstColumn="1" w:lastColumn="0" w:noHBand="0" w:noVBand="1"/>
        <w:tblCaption w:val="Table 7: Landmark survival estimates in NRG-GY018, RUBY-1 and DUO-E "/>
      </w:tblPr>
      <w:tblGrid>
        <w:gridCol w:w="1602"/>
        <w:gridCol w:w="1190"/>
        <w:gridCol w:w="1191"/>
        <w:gridCol w:w="1190"/>
        <w:gridCol w:w="1191"/>
        <w:gridCol w:w="1455"/>
        <w:gridCol w:w="1191"/>
      </w:tblGrid>
      <w:tr w:rsidR="00A3213F" w:rsidRPr="00AB6F27" w14:paraId="08F28EDF" w14:textId="77777777" w:rsidTr="005D6015">
        <w:trPr>
          <w:trHeight w:val="547"/>
        </w:trPr>
        <w:tc>
          <w:tcPr>
            <w:tcW w:w="1602" w:type="dxa"/>
            <w:tcBorders>
              <w:bottom w:val="nil"/>
            </w:tcBorders>
          </w:tcPr>
          <w:p w14:paraId="1A8DA20C"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 xml:space="preserve">Therapy and </w:t>
            </w:r>
            <w:r w:rsidRPr="00AB6F27">
              <w:rPr>
                <w:rFonts w:ascii="Arial Narrow" w:hAnsi="Arial Narrow"/>
                <w:b/>
                <w:sz w:val="20"/>
                <w:szCs w:val="20"/>
              </w:rPr>
              <w:br/>
              <w:t>trial ID</w:t>
            </w:r>
          </w:p>
        </w:tc>
        <w:tc>
          <w:tcPr>
            <w:tcW w:w="2381" w:type="dxa"/>
            <w:gridSpan w:val="2"/>
            <w:tcBorders>
              <w:bottom w:val="nil"/>
            </w:tcBorders>
            <w:vAlign w:val="center"/>
          </w:tcPr>
          <w:p w14:paraId="468E746F" w14:textId="77777777" w:rsidR="00A3213F" w:rsidRPr="00B510A0" w:rsidRDefault="00A3213F" w:rsidP="007B5E49">
            <w:pPr>
              <w:keepNext/>
              <w:jc w:val="center"/>
              <w:rPr>
                <w:rFonts w:ascii="Arial Narrow" w:hAnsi="Arial Narrow"/>
                <w:sz w:val="20"/>
                <w:szCs w:val="20"/>
                <w:lang w:val="fr-BE"/>
              </w:rPr>
            </w:pPr>
            <w:r w:rsidRPr="00B510A0">
              <w:rPr>
                <w:rFonts w:ascii="Arial Narrow" w:hAnsi="Arial Narrow"/>
                <w:b/>
                <w:sz w:val="20"/>
                <w:szCs w:val="20"/>
                <w:lang w:val="fr-BE"/>
              </w:rPr>
              <w:t>NRG-GY018 EUR</w:t>
            </w:r>
          </w:p>
          <w:p w14:paraId="7ED4937A" w14:textId="77777777" w:rsidR="00A3213F" w:rsidRPr="00B510A0" w:rsidRDefault="00A3213F" w:rsidP="007B5E49">
            <w:pPr>
              <w:keepNext/>
              <w:jc w:val="center"/>
              <w:rPr>
                <w:rFonts w:ascii="Arial Narrow" w:hAnsi="Arial Narrow"/>
                <w:b/>
                <w:sz w:val="20"/>
                <w:szCs w:val="20"/>
                <w:lang w:val="fr-BE"/>
              </w:rPr>
            </w:pPr>
            <w:r w:rsidRPr="00B510A0">
              <w:rPr>
                <w:rFonts w:ascii="Arial Narrow" w:hAnsi="Arial Narrow"/>
                <w:b/>
                <w:sz w:val="20"/>
                <w:szCs w:val="20"/>
                <w:lang w:val="fr-BE"/>
              </w:rPr>
              <w:t>N=222</w:t>
            </w:r>
            <w:r w:rsidR="000F1931" w:rsidRPr="00B510A0">
              <w:rPr>
                <w:rFonts w:ascii="Arial Narrow" w:hAnsi="Arial Narrow"/>
                <w:b/>
                <w:sz w:val="20"/>
                <w:szCs w:val="20"/>
                <w:lang w:val="fr-BE"/>
              </w:rPr>
              <w:t xml:space="preserve"> (dMMR)</w:t>
            </w:r>
          </w:p>
          <w:p w14:paraId="6215AA80" w14:textId="7E830F02" w:rsidR="000F1931" w:rsidRPr="00AB6F27" w:rsidRDefault="000F1931" w:rsidP="007B5E49">
            <w:pPr>
              <w:keepNext/>
              <w:jc w:val="center"/>
              <w:rPr>
                <w:rFonts w:ascii="Arial Narrow" w:hAnsi="Arial Narrow"/>
                <w:b/>
                <w:sz w:val="20"/>
                <w:szCs w:val="20"/>
              </w:rPr>
            </w:pPr>
            <w:r w:rsidRPr="00AB6F27">
              <w:rPr>
                <w:rFonts w:ascii="Arial Narrow" w:hAnsi="Arial Narrow"/>
                <w:b/>
                <w:sz w:val="20"/>
                <w:szCs w:val="20"/>
              </w:rPr>
              <w:t>N = 597 (pMMR)</w:t>
            </w:r>
          </w:p>
        </w:tc>
        <w:tc>
          <w:tcPr>
            <w:tcW w:w="2381" w:type="dxa"/>
            <w:gridSpan w:val="2"/>
            <w:tcBorders>
              <w:bottom w:val="nil"/>
            </w:tcBorders>
            <w:vAlign w:val="center"/>
          </w:tcPr>
          <w:p w14:paraId="743AEB14" w14:textId="77777777" w:rsidR="00A3213F" w:rsidRPr="00B510A0" w:rsidRDefault="00A3213F" w:rsidP="007B5E49">
            <w:pPr>
              <w:keepNext/>
              <w:jc w:val="center"/>
              <w:rPr>
                <w:rFonts w:ascii="Arial Narrow" w:hAnsi="Arial Narrow"/>
                <w:sz w:val="20"/>
                <w:szCs w:val="20"/>
                <w:lang w:val="pt-BR"/>
              </w:rPr>
            </w:pPr>
            <w:r w:rsidRPr="00B510A0">
              <w:rPr>
                <w:rFonts w:ascii="Arial Narrow" w:hAnsi="Arial Narrow"/>
                <w:b/>
                <w:sz w:val="20"/>
                <w:szCs w:val="20"/>
                <w:lang w:val="pt-BR"/>
              </w:rPr>
              <w:t>RUBY-1 IA1</w:t>
            </w:r>
          </w:p>
          <w:p w14:paraId="5EA73398" w14:textId="77777777" w:rsidR="00A3213F" w:rsidRPr="00B510A0" w:rsidRDefault="00A3213F" w:rsidP="007B5E49">
            <w:pPr>
              <w:keepNext/>
              <w:jc w:val="center"/>
              <w:rPr>
                <w:rFonts w:ascii="Arial Narrow" w:hAnsi="Arial Narrow"/>
                <w:b/>
                <w:sz w:val="20"/>
                <w:szCs w:val="20"/>
                <w:lang w:val="pt-BR"/>
              </w:rPr>
            </w:pPr>
            <w:r w:rsidRPr="00B510A0">
              <w:rPr>
                <w:rFonts w:ascii="Arial Narrow" w:hAnsi="Arial Narrow"/>
                <w:b/>
                <w:sz w:val="20"/>
                <w:szCs w:val="20"/>
                <w:lang w:val="pt-BR"/>
              </w:rPr>
              <w:t>N=118</w:t>
            </w:r>
            <w:r w:rsidR="000F1931" w:rsidRPr="00B510A0">
              <w:rPr>
                <w:rFonts w:ascii="Arial Narrow" w:hAnsi="Arial Narrow"/>
                <w:b/>
                <w:sz w:val="20"/>
                <w:szCs w:val="20"/>
                <w:lang w:val="pt-BR"/>
              </w:rPr>
              <w:t xml:space="preserve"> (dMMR)</w:t>
            </w:r>
          </w:p>
          <w:p w14:paraId="135964C4" w14:textId="376D0D95" w:rsidR="000F1931" w:rsidRPr="00B510A0" w:rsidRDefault="000F1931" w:rsidP="007B5E49">
            <w:pPr>
              <w:keepNext/>
              <w:jc w:val="center"/>
              <w:rPr>
                <w:rFonts w:ascii="Arial Narrow" w:hAnsi="Arial Narrow"/>
                <w:b/>
                <w:sz w:val="20"/>
                <w:szCs w:val="20"/>
                <w:lang w:val="pt-BR"/>
              </w:rPr>
            </w:pPr>
            <w:r w:rsidRPr="00B510A0">
              <w:rPr>
                <w:rFonts w:ascii="Arial Narrow" w:hAnsi="Arial Narrow"/>
                <w:b/>
                <w:sz w:val="20"/>
                <w:szCs w:val="20"/>
                <w:lang w:val="pt-BR"/>
              </w:rPr>
              <w:t>N = 376 (pMMR)</w:t>
            </w:r>
          </w:p>
        </w:tc>
        <w:tc>
          <w:tcPr>
            <w:tcW w:w="2646" w:type="dxa"/>
            <w:gridSpan w:val="2"/>
            <w:tcBorders>
              <w:bottom w:val="nil"/>
            </w:tcBorders>
            <w:vAlign w:val="center"/>
          </w:tcPr>
          <w:p w14:paraId="677B687A" w14:textId="77777777" w:rsidR="00A3213F" w:rsidRPr="00B510A0" w:rsidRDefault="00A3213F" w:rsidP="007B5E49">
            <w:pPr>
              <w:keepNext/>
              <w:jc w:val="center"/>
              <w:rPr>
                <w:rFonts w:ascii="Arial Narrow" w:hAnsi="Arial Narrow"/>
                <w:sz w:val="20"/>
                <w:szCs w:val="20"/>
                <w:lang w:val="pt-BR"/>
              </w:rPr>
            </w:pPr>
            <w:r w:rsidRPr="00B510A0">
              <w:rPr>
                <w:rFonts w:ascii="Arial Narrow" w:hAnsi="Arial Narrow"/>
                <w:b/>
                <w:sz w:val="20"/>
                <w:szCs w:val="20"/>
                <w:lang w:val="pt-BR"/>
              </w:rPr>
              <w:t>DUO-E IA1</w:t>
            </w:r>
          </w:p>
          <w:p w14:paraId="22723E93" w14:textId="77777777" w:rsidR="00A3213F" w:rsidRPr="00B510A0" w:rsidRDefault="00A3213F" w:rsidP="007B5E49">
            <w:pPr>
              <w:keepNext/>
              <w:jc w:val="center"/>
              <w:rPr>
                <w:rFonts w:ascii="Arial Narrow" w:hAnsi="Arial Narrow"/>
                <w:b/>
                <w:sz w:val="20"/>
                <w:szCs w:val="20"/>
                <w:lang w:val="pt-BR"/>
              </w:rPr>
            </w:pPr>
            <w:r w:rsidRPr="00B510A0">
              <w:rPr>
                <w:rFonts w:ascii="Arial Narrow" w:hAnsi="Arial Narrow"/>
                <w:b/>
                <w:sz w:val="20"/>
                <w:szCs w:val="20"/>
                <w:lang w:val="pt-BR"/>
              </w:rPr>
              <w:t>N=95</w:t>
            </w:r>
            <w:r w:rsidR="000F1931" w:rsidRPr="00B510A0">
              <w:rPr>
                <w:rFonts w:ascii="Arial Narrow" w:hAnsi="Arial Narrow"/>
                <w:b/>
                <w:sz w:val="20"/>
                <w:szCs w:val="20"/>
                <w:lang w:val="pt-BR"/>
              </w:rPr>
              <w:t xml:space="preserve"> (dMMR)</w:t>
            </w:r>
          </w:p>
          <w:p w14:paraId="0463EFC8" w14:textId="1C3A4262" w:rsidR="000F1931" w:rsidRPr="00AB6F27" w:rsidRDefault="000F1931" w:rsidP="007B5E49">
            <w:pPr>
              <w:keepNext/>
              <w:jc w:val="center"/>
              <w:rPr>
                <w:rFonts w:ascii="Arial Narrow" w:hAnsi="Arial Narrow"/>
                <w:b/>
                <w:sz w:val="20"/>
                <w:szCs w:val="20"/>
              </w:rPr>
            </w:pPr>
            <w:r w:rsidRPr="00AB6F27">
              <w:rPr>
                <w:rFonts w:ascii="Arial Narrow" w:hAnsi="Arial Narrow"/>
                <w:b/>
                <w:sz w:val="20"/>
                <w:szCs w:val="20"/>
              </w:rPr>
              <w:t>N =</w:t>
            </w:r>
            <w:r w:rsidR="00D607E0" w:rsidRPr="00AB6F27">
              <w:rPr>
                <w:rFonts w:ascii="Arial Narrow" w:hAnsi="Arial Narrow"/>
                <w:b/>
                <w:sz w:val="20"/>
                <w:szCs w:val="20"/>
              </w:rPr>
              <w:t xml:space="preserve"> 383 (pMMR)</w:t>
            </w:r>
          </w:p>
        </w:tc>
      </w:tr>
      <w:tr w:rsidR="00A3213F" w:rsidRPr="00AB6F27" w14:paraId="2A3781D6" w14:textId="77777777" w:rsidTr="005D6015">
        <w:tc>
          <w:tcPr>
            <w:tcW w:w="1602" w:type="dxa"/>
            <w:tcBorders>
              <w:top w:val="nil"/>
            </w:tcBorders>
          </w:tcPr>
          <w:p w14:paraId="5C5FB1DD" w14:textId="748F8D69" w:rsidR="00A3213F" w:rsidRPr="00AB6F27" w:rsidRDefault="00A3213F" w:rsidP="007B5E49">
            <w:pPr>
              <w:keepNext/>
              <w:jc w:val="left"/>
              <w:rPr>
                <w:rFonts w:ascii="Arial Narrow" w:hAnsi="Arial Narrow"/>
                <w:b/>
                <w:sz w:val="20"/>
                <w:szCs w:val="20"/>
              </w:rPr>
            </w:pPr>
          </w:p>
        </w:tc>
        <w:tc>
          <w:tcPr>
            <w:tcW w:w="2381" w:type="dxa"/>
            <w:gridSpan w:val="2"/>
            <w:tcBorders>
              <w:top w:val="nil"/>
            </w:tcBorders>
            <w:vAlign w:val="center"/>
          </w:tcPr>
          <w:p w14:paraId="5E37559B" w14:textId="4230DCC5" w:rsidR="00A3213F" w:rsidRPr="00AB6F27" w:rsidRDefault="00A3213F" w:rsidP="007B5E49">
            <w:pPr>
              <w:keepNext/>
              <w:jc w:val="center"/>
              <w:rPr>
                <w:rFonts w:ascii="Arial Narrow" w:hAnsi="Arial Narrow"/>
                <w:bCs/>
                <w:sz w:val="20"/>
                <w:szCs w:val="20"/>
                <w:vertAlign w:val="superscript"/>
              </w:rPr>
            </w:pPr>
          </w:p>
        </w:tc>
        <w:tc>
          <w:tcPr>
            <w:tcW w:w="2381" w:type="dxa"/>
            <w:gridSpan w:val="2"/>
            <w:tcBorders>
              <w:top w:val="nil"/>
            </w:tcBorders>
            <w:vAlign w:val="center"/>
          </w:tcPr>
          <w:p w14:paraId="0BDC11D9" w14:textId="6792537F" w:rsidR="00A3213F" w:rsidRPr="00AB6F27" w:rsidRDefault="00A3213F" w:rsidP="007B5E49">
            <w:pPr>
              <w:keepNext/>
              <w:jc w:val="center"/>
              <w:rPr>
                <w:rFonts w:ascii="Arial Narrow" w:hAnsi="Arial Narrow"/>
                <w:bCs/>
                <w:sz w:val="20"/>
                <w:szCs w:val="20"/>
                <w:vertAlign w:val="superscript"/>
              </w:rPr>
            </w:pPr>
          </w:p>
        </w:tc>
        <w:tc>
          <w:tcPr>
            <w:tcW w:w="2646" w:type="dxa"/>
            <w:gridSpan w:val="2"/>
            <w:tcBorders>
              <w:top w:val="nil"/>
            </w:tcBorders>
            <w:vAlign w:val="center"/>
          </w:tcPr>
          <w:p w14:paraId="14A572F3" w14:textId="739A187C" w:rsidR="00DD225E" w:rsidRPr="00AB6F27" w:rsidRDefault="00DD225E" w:rsidP="00DD225E">
            <w:pPr>
              <w:keepNext/>
              <w:jc w:val="center"/>
              <w:rPr>
                <w:rFonts w:ascii="Arial Narrow" w:hAnsi="Arial Narrow"/>
                <w:bCs/>
                <w:sz w:val="20"/>
                <w:szCs w:val="20"/>
              </w:rPr>
            </w:pPr>
          </w:p>
        </w:tc>
      </w:tr>
      <w:tr w:rsidR="005F370C" w:rsidRPr="00AB6F27" w14:paraId="3F78CB1F" w14:textId="77777777" w:rsidTr="005D6015">
        <w:tc>
          <w:tcPr>
            <w:tcW w:w="1602" w:type="dxa"/>
            <w:tcBorders>
              <w:top w:val="nil"/>
            </w:tcBorders>
          </w:tcPr>
          <w:p w14:paraId="759A89C9" w14:textId="13F07AF7" w:rsidR="005F370C" w:rsidRPr="00AB6F27" w:rsidRDefault="005F370C" w:rsidP="007B5E49">
            <w:pPr>
              <w:keepNext/>
              <w:jc w:val="left"/>
              <w:rPr>
                <w:rFonts w:ascii="Arial Narrow" w:hAnsi="Arial Narrow"/>
                <w:b/>
                <w:sz w:val="20"/>
                <w:szCs w:val="20"/>
              </w:rPr>
            </w:pPr>
            <w:r w:rsidRPr="00AB6F27">
              <w:rPr>
                <w:rFonts w:ascii="Arial Narrow" w:hAnsi="Arial Narrow"/>
                <w:b/>
                <w:sz w:val="20"/>
                <w:szCs w:val="20"/>
              </w:rPr>
              <w:t>OS Follow-up (median)</w:t>
            </w:r>
          </w:p>
        </w:tc>
        <w:tc>
          <w:tcPr>
            <w:tcW w:w="2381" w:type="dxa"/>
            <w:gridSpan w:val="2"/>
            <w:vMerge w:val="restart"/>
            <w:tcBorders>
              <w:top w:val="nil"/>
            </w:tcBorders>
            <w:vAlign w:val="center"/>
          </w:tcPr>
          <w:p w14:paraId="09983AFD" w14:textId="237425B9" w:rsidR="005F370C" w:rsidRPr="00AB6F27" w:rsidRDefault="005F370C" w:rsidP="007B5E49">
            <w:pPr>
              <w:keepNext/>
              <w:jc w:val="center"/>
              <w:rPr>
                <w:rFonts w:ascii="Arial Narrow" w:hAnsi="Arial Narrow"/>
                <w:bCs/>
                <w:sz w:val="20"/>
                <w:szCs w:val="20"/>
              </w:rPr>
            </w:pPr>
            <w:r w:rsidRPr="00AB6F27">
              <w:rPr>
                <w:rFonts w:ascii="Arial Narrow" w:hAnsi="Arial Narrow"/>
                <w:bCs/>
                <w:sz w:val="20"/>
                <w:szCs w:val="20"/>
              </w:rPr>
              <w:t xml:space="preserve">22.5 months (dMMR), </w:t>
            </w:r>
          </w:p>
          <w:p w14:paraId="44A4E75E" w14:textId="24772376" w:rsidR="005F370C" w:rsidRPr="00AB6F27" w:rsidRDefault="005F370C" w:rsidP="007B5E49">
            <w:pPr>
              <w:keepNext/>
              <w:jc w:val="center"/>
              <w:rPr>
                <w:rFonts w:ascii="Arial Narrow" w:hAnsi="Arial Narrow"/>
                <w:bCs/>
                <w:sz w:val="20"/>
                <w:szCs w:val="20"/>
              </w:rPr>
            </w:pPr>
            <w:r w:rsidRPr="00AB6F27">
              <w:rPr>
                <w:rFonts w:ascii="Arial Narrow" w:hAnsi="Arial Narrow"/>
                <w:bCs/>
                <w:sz w:val="20"/>
                <w:szCs w:val="20"/>
              </w:rPr>
              <w:t xml:space="preserve">18.3 months (pMMR) </w:t>
            </w:r>
            <w:r w:rsidRPr="00AB6F27">
              <w:rPr>
                <w:rFonts w:ascii="Arial Narrow" w:hAnsi="Arial Narrow"/>
                <w:bCs/>
                <w:sz w:val="20"/>
                <w:szCs w:val="20"/>
                <w:vertAlign w:val="superscript"/>
              </w:rPr>
              <w:t>a</w:t>
            </w:r>
          </w:p>
        </w:tc>
        <w:tc>
          <w:tcPr>
            <w:tcW w:w="2381" w:type="dxa"/>
            <w:gridSpan w:val="2"/>
            <w:vMerge w:val="restart"/>
            <w:tcBorders>
              <w:top w:val="nil"/>
            </w:tcBorders>
            <w:vAlign w:val="center"/>
          </w:tcPr>
          <w:p w14:paraId="4F9658F0" w14:textId="77777777" w:rsidR="005F370C" w:rsidRPr="00AB6F27" w:rsidRDefault="005F370C" w:rsidP="007B5E49">
            <w:pPr>
              <w:keepNext/>
              <w:jc w:val="center"/>
              <w:rPr>
                <w:rFonts w:ascii="Arial Narrow" w:hAnsi="Arial Narrow"/>
                <w:bCs/>
                <w:sz w:val="20"/>
                <w:szCs w:val="20"/>
              </w:rPr>
            </w:pPr>
            <w:r w:rsidRPr="00AB6F27">
              <w:rPr>
                <w:rFonts w:ascii="Arial Narrow" w:hAnsi="Arial Narrow"/>
                <w:bCs/>
                <w:sz w:val="20"/>
                <w:szCs w:val="20"/>
              </w:rPr>
              <w:t>24.8 months</w:t>
            </w:r>
            <w:r w:rsidR="000A74DE" w:rsidRPr="00AB6F27">
              <w:rPr>
                <w:rFonts w:ascii="Arial Narrow" w:hAnsi="Arial Narrow"/>
                <w:bCs/>
                <w:sz w:val="20"/>
                <w:szCs w:val="20"/>
              </w:rPr>
              <w:t xml:space="preserve"> (dMMR)</w:t>
            </w:r>
          </w:p>
          <w:p w14:paraId="054CEB07" w14:textId="72798D08" w:rsidR="000A74DE" w:rsidRPr="00AB6F27" w:rsidRDefault="000A74DE" w:rsidP="007B5E49">
            <w:pPr>
              <w:keepNext/>
              <w:jc w:val="center"/>
              <w:rPr>
                <w:rFonts w:ascii="Arial Narrow" w:hAnsi="Arial Narrow"/>
                <w:bCs/>
                <w:sz w:val="20"/>
                <w:szCs w:val="20"/>
              </w:rPr>
            </w:pPr>
            <w:r w:rsidRPr="00AB6F27">
              <w:rPr>
                <w:rFonts w:ascii="Arial Narrow" w:hAnsi="Arial Narrow"/>
                <w:bCs/>
                <w:sz w:val="20"/>
                <w:szCs w:val="20"/>
              </w:rPr>
              <w:t>25.7 months (pMMR)</w:t>
            </w:r>
          </w:p>
        </w:tc>
        <w:tc>
          <w:tcPr>
            <w:tcW w:w="2646" w:type="dxa"/>
            <w:gridSpan w:val="2"/>
            <w:tcBorders>
              <w:top w:val="nil"/>
            </w:tcBorders>
            <w:vAlign w:val="center"/>
          </w:tcPr>
          <w:p w14:paraId="15F39BBE" w14:textId="77777777" w:rsidR="005F370C" w:rsidRPr="00AB6F27" w:rsidRDefault="005F370C" w:rsidP="00DD225E">
            <w:pPr>
              <w:keepNext/>
              <w:jc w:val="center"/>
              <w:rPr>
                <w:rFonts w:ascii="Arial Narrow" w:hAnsi="Arial Narrow"/>
                <w:bCs/>
                <w:sz w:val="20"/>
                <w:szCs w:val="20"/>
              </w:rPr>
            </w:pPr>
            <w:r w:rsidRPr="00AB6F27">
              <w:rPr>
                <w:rFonts w:ascii="Arial Narrow" w:hAnsi="Arial Narrow"/>
                <w:bCs/>
                <w:sz w:val="20"/>
                <w:szCs w:val="20"/>
              </w:rPr>
              <w:t xml:space="preserve">18.4-19.1 months (dMMR), </w:t>
            </w:r>
          </w:p>
          <w:p w14:paraId="72E111E7" w14:textId="2C0EDD5D" w:rsidR="005F370C" w:rsidRPr="00AB6F27" w:rsidRDefault="005F370C" w:rsidP="00DD225E">
            <w:pPr>
              <w:keepNext/>
              <w:jc w:val="center"/>
              <w:rPr>
                <w:rFonts w:ascii="Arial Narrow" w:hAnsi="Arial Narrow"/>
                <w:bCs/>
                <w:sz w:val="20"/>
                <w:szCs w:val="20"/>
                <w:vertAlign w:val="superscript"/>
              </w:rPr>
            </w:pPr>
            <w:r w:rsidRPr="00AB6F27">
              <w:rPr>
                <w:rFonts w:ascii="Arial Narrow" w:hAnsi="Arial Narrow"/>
                <w:bCs/>
                <w:sz w:val="20"/>
                <w:szCs w:val="20"/>
              </w:rPr>
              <w:t xml:space="preserve">18.2-18.6 months (pMMR) </w:t>
            </w:r>
            <w:r w:rsidRPr="00AB6F27">
              <w:rPr>
                <w:rFonts w:ascii="Arial Narrow" w:hAnsi="Arial Narrow"/>
                <w:bCs/>
                <w:sz w:val="20"/>
                <w:szCs w:val="20"/>
                <w:vertAlign w:val="superscript"/>
              </w:rPr>
              <w:t>b</w:t>
            </w:r>
          </w:p>
        </w:tc>
      </w:tr>
      <w:tr w:rsidR="005F370C" w:rsidRPr="00AB6F27" w14:paraId="25E2FEB4" w14:textId="77777777" w:rsidTr="007B5E49">
        <w:tc>
          <w:tcPr>
            <w:tcW w:w="1602" w:type="dxa"/>
            <w:tcBorders>
              <w:top w:val="nil"/>
            </w:tcBorders>
          </w:tcPr>
          <w:p w14:paraId="5FE1E2A9" w14:textId="416210B9" w:rsidR="005F370C" w:rsidRPr="00AB6F27" w:rsidRDefault="005F370C" w:rsidP="007B5E49">
            <w:pPr>
              <w:keepNext/>
              <w:jc w:val="left"/>
              <w:rPr>
                <w:rFonts w:ascii="Arial Narrow" w:hAnsi="Arial Narrow"/>
                <w:b/>
                <w:sz w:val="20"/>
                <w:szCs w:val="20"/>
              </w:rPr>
            </w:pPr>
            <w:r w:rsidRPr="00AB6F27">
              <w:rPr>
                <w:rFonts w:ascii="Arial Narrow" w:hAnsi="Arial Narrow"/>
                <w:b/>
                <w:sz w:val="20"/>
                <w:szCs w:val="20"/>
              </w:rPr>
              <w:t>PFS Follow-up (median)</w:t>
            </w:r>
          </w:p>
        </w:tc>
        <w:tc>
          <w:tcPr>
            <w:tcW w:w="2381" w:type="dxa"/>
            <w:gridSpan w:val="2"/>
            <w:vMerge/>
            <w:vAlign w:val="center"/>
          </w:tcPr>
          <w:p w14:paraId="77C146EE" w14:textId="77777777" w:rsidR="005F370C" w:rsidRPr="00AB6F27" w:rsidRDefault="005F370C" w:rsidP="007B5E49">
            <w:pPr>
              <w:keepNext/>
              <w:jc w:val="center"/>
              <w:rPr>
                <w:rFonts w:ascii="Arial Narrow" w:hAnsi="Arial Narrow"/>
                <w:bCs/>
                <w:sz w:val="20"/>
                <w:szCs w:val="20"/>
              </w:rPr>
            </w:pPr>
          </w:p>
        </w:tc>
        <w:tc>
          <w:tcPr>
            <w:tcW w:w="2381" w:type="dxa"/>
            <w:gridSpan w:val="2"/>
            <w:vMerge/>
            <w:vAlign w:val="center"/>
          </w:tcPr>
          <w:p w14:paraId="4CCB1AFC" w14:textId="77777777" w:rsidR="005F370C" w:rsidRPr="00AB6F27" w:rsidRDefault="005F370C" w:rsidP="007B5E49">
            <w:pPr>
              <w:keepNext/>
              <w:jc w:val="center"/>
              <w:rPr>
                <w:rFonts w:ascii="Arial Narrow" w:hAnsi="Arial Narrow"/>
                <w:bCs/>
                <w:sz w:val="20"/>
                <w:szCs w:val="20"/>
              </w:rPr>
            </w:pPr>
          </w:p>
        </w:tc>
        <w:tc>
          <w:tcPr>
            <w:tcW w:w="2646" w:type="dxa"/>
            <w:gridSpan w:val="2"/>
            <w:tcBorders>
              <w:top w:val="nil"/>
            </w:tcBorders>
            <w:vAlign w:val="center"/>
          </w:tcPr>
          <w:p w14:paraId="1B86608D" w14:textId="77777777" w:rsidR="005F370C" w:rsidRPr="00AB6F27" w:rsidRDefault="005F370C" w:rsidP="005F370C">
            <w:pPr>
              <w:keepNext/>
              <w:jc w:val="center"/>
              <w:rPr>
                <w:rFonts w:ascii="Arial Narrow" w:hAnsi="Arial Narrow"/>
                <w:bCs/>
                <w:sz w:val="20"/>
                <w:szCs w:val="20"/>
              </w:rPr>
            </w:pPr>
            <w:r w:rsidRPr="00AB6F27">
              <w:rPr>
                <w:rFonts w:ascii="Arial Narrow" w:hAnsi="Arial Narrow"/>
                <w:bCs/>
                <w:sz w:val="20"/>
                <w:szCs w:val="20"/>
              </w:rPr>
              <w:t xml:space="preserve">10.2-15.5 (dMMR) </w:t>
            </w:r>
          </w:p>
          <w:p w14:paraId="26D71F93" w14:textId="2B6D8B0C" w:rsidR="005F370C" w:rsidRPr="00AB6F27" w:rsidRDefault="005F370C" w:rsidP="005F370C">
            <w:pPr>
              <w:keepNext/>
              <w:jc w:val="center"/>
              <w:rPr>
                <w:rFonts w:ascii="Arial Narrow" w:hAnsi="Arial Narrow"/>
                <w:bCs/>
                <w:sz w:val="20"/>
                <w:szCs w:val="20"/>
                <w:vertAlign w:val="superscript"/>
              </w:rPr>
            </w:pPr>
            <w:r w:rsidRPr="00AB6F27">
              <w:rPr>
                <w:rFonts w:ascii="Arial Narrow" w:hAnsi="Arial Narrow"/>
                <w:bCs/>
                <w:sz w:val="20"/>
                <w:szCs w:val="20"/>
              </w:rPr>
              <w:t xml:space="preserve">12.8-15.2 months (pMMR) </w:t>
            </w:r>
            <w:r w:rsidRPr="00AB6F27">
              <w:rPr>
                <w:rFonts w:ascii="Arial Narrow" w:hAnsi="Arial Narrow"/>
                <w:bCs/>
                <w:sz w:val="20"/>
                <w:szCs w:val="20"/>
                <w:vertAlign w:val="superscript"/>
              </w:rPr>
              <w:t>c</w:t>
            </w:r>
          </w:p>
        </w:tc>
      </w:tr>
      <w:tr w:rsidR="00A3213F" w:rsidRPr="00AB6F27" w14:paraId="5DD85200" w14:textId="77777777" w:rsidTr="005D6015">
        <w:tc>
          <w:tcPr>
            <w:tcW w:w="1602" w:type="dxa"/>
          </w:tcPr>
          <w:p w14:paraId="2E7CB301" w14:textId="65B67FA5"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PFS</w:t>
            </w:r>
            <w:r w:rsidR="00D607E0" w:rsidRPr="00AB6F27">
              <w:rPr>
                <w:rFonts w:ascii="Arial Narrow" w:hAnsi="Arial Narrow"/>
                <w:b/>
                <w:bCs/>
                <w:sz w:val="20"/>
                <w:szCs w:val="20"/>
              </w:rPr>
              <w:t xml:space="preserve"> (dMMR)</w:t>
            </w:r>
          </w:p>
        </w:tc>
        <w:tc>
          <w:tcPr>
            <w:tcW w:w="1190" w:type="dxa"/>
            <w:vAlign w:val="center"/>
          </w:tcPr>
          <w:p w14:paraId="00EBF30D"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b/>
                <w:bCs/>
                <w:sz w:val="20"/>
                <w:szCs w:val="20"/>
              </w:rPr>
              <w:t>PEM+PBC</w:t>
            </w:r>
          </w:p>
        </w:tc>
        <w:tc>
          <w:tcPr>
            <w:tcW w:w="1191" w:type="dxa"/>
            <w:vAlign w:val="center"/>
          </w:tcPr>
          <w:p w14:paraId="76D7EA59"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b/>
                <w:bCs/>
                <w:sz w:val="20"/>
                <w:szCs w:val="20"/>
              </w:rPr>
              <w:t>PBO+PBC</w:t>
            </w:r>
          </w:p>
        </w:tc>
        <w:tc>
          <w:tcPr>
            <w:tcW w:w="1190" w:type="dxa"/>
            <w:vAlign w:val="center"/>
          </w:tcPr>
          <w:p w14:paraId="5446541D"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b/>
                <w:bCs/>
                <w:sz w:val="20"/>
                <w:szCs w:val="20"/>
              </w:rPr>
              <w:t>DOS+PBC</w:t>
            </w:r>
          </w:p>
        </w:tc>
        <w:tc>
          <w:tcPr>
            <w:tcW w:w="1191" w:type="dxa"/>
            <w:vAlign w:val="center"/>
          </w:tcPr>
          <w:p w14:paraId="2915C49D"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b/>
                <w:bCs/>
                <w:sz w:val="20"/>
                <w:szCs w:val="20"/>
              </w:rPr>
              <w:t>PBO+PBC</w:t>
            </w:r>
          </w:p>
        </w:tc>
        <w:tc>
          <w:tcPr>
            <w:tcW w:w="1455" w:type="dxa"/>
            <w:vAlign w:val="center"/>
          </w:tcPr>
          <w:p w14:paraId="432479FA"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b/>
                <w:bCs/>
                <w:sz w:val="20"/>
                <w:szCs w:val="20"/>
              </w:rPr>
              <w:t>DUR+PBC</w:t>
            </w:r>
          </w:p>
        </w:tc>
        <w:tc>
          <w:tcPr>
            <w:tcW w:w="1191" w:type="dxa"/>
            <w:vAlign w:val="center"/>
          </w:tcPr>
          <w:p w14:paraId="69683579"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b/>
                <w:bCs/>
                <w:sz w:val="20"/>
                <w:szCs w:val="20"/>
              </w:rPr>
              <w:t>PBO+PBC</w:t>
            </w:r>
          </w:p>
        </w:tc>
      </w:tr>
      <w:tr w:rsidR="00A3213F" w:rsidRPr="00AB6F27" w14:paraId="328BC9EA" w14:textId="77777777" w:rsidTr="005D6015">
        <w:tc>
          <w:tcPr>
            <w:tcW w:w="1602" w:type="dxa"/>
          </w:tcPr>
          <w:p w14:paraId="4ECEAB2E"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6 month PFS</w:t>
            </w:r>
          </w:p>
        </w:tc>
        <w:tc>
          <w:tcPr>
            <w:tcW w:w="1190" w:type="dxa"/>
            <w:vAlign w:val="center"/>
          </w:tcPr>
          <w:p w14:paraId="6989F41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90.8% </w:t>
            </w:r>
          </w:p>
        </w:tc>
        <w:tc>
          <w:tcPr>
            <w:tcW w:w="1191" w:type="dxa"/>
            <w:vAlign w:val="center"/>
          </w:tcPr>
          <w:p w14:paraId="6C6674F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74.7%</w:t>
            </w:r>
          </w:p>
        </w:tc>
        <w:tc>
          <w:tcPr>
            <w:tcW w:w="1190" w:type="dxa"/>
            <w:vAlign w:val="center"/>
          </w:tcPr>
          <w:p w14:paraId="31A21AA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80.2% </w:t>
            </w:r>
          </w:p>
        </w:tc>
        <w:tc>
          <w:tcPr>
            <w:tcW w:w="1191" w:type="dxa"/>
            <w:vAlign w:val="center"/>
          </w:tcPr>
          <w:p w14:paraId="32E6048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59.7%</w:t>
            </w:r>
          </w:p>
        </w:tc>
        <w:tc>
          <w:tcPr>
            <w:tcW w:w="1455" w:type="dxa"/>
            <w:vAlign w:val="center"/>
          </w:tcPr>
          <w:p w14:paraId="3D48E39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90.6% </w:t>
            </w:r>
          </w:p>
        </w:tc>
        <w:tc>
          <w:tcPr>
            <w:tcW w:w="1191" w:type="dxa"/>
            <w:vAlign w:val="center"/>
          </w:tcPr>
          <w:p w14:paraId="30511B2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73.1%</w:t>
            </w:r>
          </w:p>
        </w:tc>
      </w:tr>
      <w:tr w:rsidR="00A3213F" w:rsidRPr="00AB6F27" w14:paraId="240BB736" w14:textId="77777777" w:rsidTr="005D6015">
        <w:tc>
          <w:tcPr>
            <w:tcW w:w="1602" w:type="dxa"/>
          </w:tcPr>
          <w:p w14:paraId="37CDDD91"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12 month PFS</w:t>
            </w:r>
          </w:p>
        </w:tc>
        <w:tc>
          <w:tcPr>
            <w:tcW w:w="1190" w:type="dxa"/>
            <w:vAlign w:val="center"/>
          </w:tcPr>
          <w:p w14:paraId="6FB9C90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75.2% </w:t>
            </w:r>
          </w:p>
        </w:tc>
        <w:tc>
          <w:tcPr>
            <w:tcW w:w="1191" w:type="dxa"/>
            <w:vAlign w:val="center"/>
          </w:tcPr>
          <w:p w14:paraId="456325E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41.0%</w:t>
            </w:r>
          </w:p>
        </w:tc>
        <w:tc>
          <w:tcPr>
            <w:tcW w:w="1190" w:type="dxa"/>
            <w:vAlign w:val="center"/>
          </w:tcPr>
          <w:p w14:paraId="07B3017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63.5%</w:t>
            </w:r>
          </w:p>
        </w:tc>
        <w:tc>
          <w:tcPr>
            <w:tcW w:w="1191" w:type="dxa"/>
            <w:vAlign w:val="center"/>
          </w:tcPr>
          <w:p w14:paraId="794B07B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24.4%</w:t>
            </w:r>
          </w:p>
        </w:tc>
        <w:tc>
          <w:tcPr>
            <w:tcW w:w="1455" w:type="dxa"/>
            <w:vAlign w:val="center"/>
          </w:tcPr>
          <w:p w14:paraId="4E73019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67.9% </w:t>
            </w:r>
          </w:p>
        </w:tc>
        <w:tc>
          <w:tcPr>
            <w:tcW w:w="1191" w:type="dxa"/>
            <w:vAlign w:val="center"/>
          </w:tcPr>
          <w:p w14:paraId="2D11EF0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43.3%</w:t>
            </w:r>
          </w:p>
        </w:tc>
      </w:tr>
      <w:tr w:rsidR="00A3213F" w:rsidRPr="00AB6F27" w14:paraId="0C6102EC" w14:textId="77777777" w:rsidTr="005D6015">
        <w:tc>
          <w:tcPr>
            <w:tcW w:w="1602" w:type="dxa"/>
          </w:tcPr>
          <w:p w14:paraId="70805A05"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18 month PFS</w:t>
            </w:r>
          </w:p>
        </w:tc>
        <w:tc>
          <w:tcPr>
            <w:tcW w:w="1190" w:type="dxa"/>
            <w:vAlign w:val="center"/>
          </w:tcPr>
          <w:p w14:paraId="070A75F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67.8% </w:t>
            </w:r>
          </w:p>
        </w:tc>
        <w:tc>
          <w:tcPr>
            <w:tcW w:w="1191" w:type="dxa"/>
            <w:vAlign w:val="center"/>
          </w:tcPr>
          <w:p w14:paraId="375D54A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32.9%</w:t>
            </w:r>
          </w:p>
        </w:tc>
        <w:tc>
          <w:tcPr>
            <w:tcW w:w="1190" w:type="dxa"/>
            <w:vAlign w:val="center"/>
          </w:tcPr>
          <w:p w14:paraId="1284B00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61.4% </w:t>
            </w:r>
          </w:p>
        </w:tc>
        <w:tc>
          <w:tcPr>
            <w:tcW w:w="1191" w:type="dxa"/>
            <w:vAlign w:val="center"/>
          </w:tcPr>
          <w:p w14:paraId="0760F87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17.9%</w:t>
            </w:r>
          </w:p>
        </w:tc>
        <w:tc>
          <w:tcPr>
            <w:tcW w:w="1455" w:type="dxa"/>
            <w:vAlign w:val="center"/>
          </w:tcPr>
          <w:p w14:paraId="2E27FE5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67.9% </w:t>
            </w:r>
          </w:p>
        </w:tc>
        <w:tc>
          <w:tcPr>
            <w:tcW w:w="1191" w:type="dxa"/>
            <w:vAlign w:val="center"/>
          </w:tcPr>
          <w:p w14:paraId="4F5509A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31.7%</w:t>
            </w:r>
          </w:p>
        </w:tc>
      </w:tr>
      <w:tr w:rsidR="00A3213F" w:rsidRPr="00AB6F27" w14:paraId="098BFA46" w14:textId="77777777" w:rsidTr="005D6015">
        <w:tc>
          <w:tcPr>
            <w:tcW w:w="1602" w:type="dxa"/>
          </w:tcPr>
          <w:p w14:paraId="00B9DFBF"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24 month PFS</w:t>
            </w:r>
          </w:p>
        </w:tc>
        <w:tc>
          <w:tcPr>
            <w:tcW w:w="1190" w:type="dxa"/>
            <w:vAlign w:val="center"/>
          </w:tcPr>
          <w:p w14:paraId="75C944D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64.0% </w:t>
            </w:r>
          </w:p>
        </w:tc>
        <w:tc>
          <w:tcPr>
            <w:tcW w:w="1191" w:type="dxa"/>
            <w:vAlign w:val="center"/>
          </w:tcPr>
          <w:p w14:paraId="45634E5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31.1%</w:t>
            </w:r>
          </w:p>
        </w:tc>
        <w:tc>
          <w:tcPr>
            <w:tcW w:w="1190" w:type="dxa"/>
            <w:vAlign w:val="center"/>
          </w:tcPr>
          <w:p w14:paraId="0DC046D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61.4%</w:t>
            </w:r>
          </w:p>
        </w:tc>
        <w:tc>
          <w:tcPr>
            <w:tcW w:w="1191" w:type="dxa"/>
            <w:vAlign w:val="center"/>
          </w:tcPr>
          <w:p w14:paraId="2469FED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15.7%</w:t>
            </w:r>
          </w:p>
        </w:tc>
        <w:tc>
          <w:tcPr>
            <w:tcW w:w="2646" w:type="dxa"/>
            <w:gridSpan w:val="2"/>
            <w:vAlign w:val="center"/>
          </w:tcPr>
          <w:p w14:paraId="1162776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NR</w:t>
            </w:r>
          </w:p>
        </w:tc>
      </w:tr>
      <w:tr w:rsidR="00A3213F" w:rsidRPr="00AB6F27" w14:paraId="02DC6D84" w14:textId="77777777" w:rsidTr="005D6015">
        <w:tc>
          <w:tcPr>
            <w:tcW w:w="1602" w:type="dxa"/>
          </w:tcPr>
          <w:p w14:paraId="5A0CFDF5" w14:textId="417A52BA"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OS</w:t>
            </w:r>
            <w:r w:rsidR="00D607E0" w:rsidRPr="00AB6F27">
              <w:rPr>
                <w:rFonts w:ascii="Arial Narrow" w:hAnsi="Arial Narrow"/>
                <w:b/>
                <w:bCs/>
                <w:sz w:val="20"/>
                <w:szCs w:val="20"/>
              </w:rPr>
              <w:t xml:space="preserve"> (dMMR)</w:t>
            </w:r>
          </w:p>
        </w:tc>
        <w:tc>
          <w:tcPr>
            <w:tcW w:w="1190" w:type="dxa"/>
            <w:vAlign w:val="center"/>
          </w:tcPr>
          <w:p w14:paraId="3F77987D" w14:textId="77777777" w:rsidR="00A3213F" w:rsidRPr="00AB6F27" w:rsidRDefault="00A3213F" w:rsidP="007B5E49">
            <w:pPr>
              <w:keepNext/>
              <w:jc w:val="center"/>
              <w:rPr>
                <w:rFonts w:ascii="Arial Narrow" w:hAnsi="Arial Narrow"/>
                <w:sz w:val="20"/>
                <w:szCs w:val="20"/>
              </w:rPr>
            </w:pPr>
            <w:r w:rsidRPr="00AB6F27">
              <w:rPr>
                <w:rFonts w:ascii="Arial Narrow" w:hAnsi="Arial Narrow"/>
                <w:b/>
                <w:bCs/>
                <w:sz w:val="20"/>
                <w:szCs w:val="20"/>
              </w:rPr>
              <w:t>PEM+PBC</w:t>
            </w:r>
          </w:p>
        </w:tc>
        <w:tc>
          <w:tcPr>
            <w:tcW w:w="1191" w:type="dxa"/>
            <w:vAlign w:val="center"/>
          </w:tcPr>
          <w:p w14:paraId="6A21D03E" w14:textId="77777777" w:rsidR="00A3213F" w:rsidRPr="00AB6F27" w:rsidRDefault="00A3213F" w:rsidP="007B5E49">
            <w:pPr>
              <w:keepNext/>
              <w:jc w:val="center"/>
              <w:rPr>
                <w:rFonts w:ascii="Arial Narrow" w:hAnsi="Arial Narrow"/>
                <w:sz w:val="20"/>
                <w:szCs w:val="20"/>
              </w:rPr>
            </w:pPr>
            <w:r w:rsidRPr="00AB6F27">
              <w:rPr>
                <w:rFonts w:ascii="Arial Narrow" w:hAnsi="Arial Narrow"/>
                <w:b/>
                <w:bCs/>
                <w:sz w:val="20"/>
                <w:szCs w:val="20"/>
              </w:rPr>
              <w:t>PBO+PBC</w:t>
            </w:r>
          </w:p>
        </w:tc>
        <w:tc>
          <w:tcPr>
            <w:tcW w:w="1190" w:type="dxa"/>
            <w:vAlign w:val="center"/>
          </w:tcPr>
          <w:p w14:paraId="2E3EDCC0" w14:textId="77777777" w:rsidR="00A3213F" w:rsidRPr="00AB6F27" w:rsidRDefault="00A3213F" w:rsidP="007B5E49">
            <w:pPr>
              <w:keepNext/>
              <w:jc w:val="center"/>
              <w:rPr>
                <w:rFonts w:ascii="Arial Narrow" w:hAnsi="Arial Narrow"/>
                <w:sz w:val="20"/>
                <w:szCs w:val="20"/>
              </w:rPr>
            </w:pPr>
            <w:r w:rsidRPr="00AB6F27">
              <w:rPr>
                <w:rFonts w:ascii="Arial Narrow" w:hAnsi="Arial Narrow"/>
                <w:b/>
                <w:bCs/>
                <w:sz w:val="20"/>
                <w:szCs w:val="20"/>
              </w:rPr>
              <w:t>DOS+PBC</w:t>
            </w:r>
          </w:p>
        </w:tc>
        <w:tc>
          <w:tcPr>
            <w:tcW w:w="1191" w:type="dxa"/>
            <w:vAlign w:val="center"/>
          </w:tcPr>
          <w:p w14:paraId="3CA77FC0" w14:textId="77777777" w:rsidR="00A3213F" w:rsidRPr="00AB6F27" w:rsidRDefault="00A3213F" w:rsidP="007B5E49">
            <w:pPr>
              <w:keepNext/>
              <w:jc w:val="center"/>
              <w:rPr>
                <w:rFonts w:ascii="Arial Narrow" w:hAnsi="Arial Narrow"/>
                <w:sz w:val="20"/>
                <w:szCs w:val="20"/>
              </w:rPr>
            </w:pPr>
            <w:r w:rsidRPr="00AB6F27">
              <w:rPr>
                <w:rFonts w:ascii="Arial Narrow" w:hAnsi="Arial Narrow"/>
                <w:b/>
                <w:bCs/>
                <w:sz w:val="20"/>
                <w:szCs w:val="20"/>
              </w:rPr>
              <w:t>PBO+PBC</w:t>
            </w:r>
          </w:p>
        </w:tc>
        <w:tc>
          <w:tcPr>
            <w:tcW w:w="1455" w:type="dxa"/>
            <w:vAlign w:val="center"/>
          </w:tcPr>
          <w:p w14:paraId="00DCC5F7" w14:textId="77777777" w:rsidR="00A3213F" w:rsidRPr="00AB6F27" w:rsidRDefault="00A3213F" w:rsidP="007B5E49">
            <w:pPr>
              <w:keepNext/>
              <w:jc w:val="center"/>
              <w:rPr>
                <w:rFonts w:ascii="Arial Narrow" w:hAnsi="Arial Narrow"/>
                <w:sz w:val="20"/>
                <w:szCs w:val="20"/>
              </w:rPr>
            </w:pPr>
            <w:r w:rsidRPr="00AB6F27">
              <w:rPr>
                <w:rFonts w:ascii="Arial Narrow" w:hAnsi="Arial Narrow"/>
                <w:b/>
                <w:bCs/>
                <w:sz w:val="20"/>
                <w:szCs w:val="20"/>
              </w:rPr>
              <w:t>DUR+PBC</w:t>
            </w:r>
          </w:p>
        </w:tc>
        <w:tc>
          <w:tcPr>
            <w:tcW w:w="1191" w:type="dxa"/>
            <w:vAlign w:val="center"/>
          </w:tcPr>
          <w:p w14:paraId="30A346B5" w14:textId="77777777" w:rsidR="00A3213F" w:rsidRPr="00AB6F27" w:rsidRDefault="00A3213F" w:rsidP="007B5E49">
            <w:pPr>
              <w:keepNext/>
              <w:jc w:val="center"/>
              <w:rPr>
                <w:rFonts w:ascii="Arial Narrow" w:hAnsi="Arial Narrow"/>
                <w:sz w:val="20"/>
                <w:szCs w:val="20"/>
              </w:rPr>
            </w:pPr>
            <w:r w:rsidRPr="00AB6F27">
              <w:rPr>
                <w:rFonts w:ascii="Arial Narrow" w:hAnsi="Arial Narrow"/>
                <w:b/>
                <w:bCs/>
                <w:sz w:val="20"/>
                <w:szCs w:val="20"/>
              </w:rPr>
              <w:t>PBO+PBC</w:t>
            </w:r>
          </w:p>
        </w:tc>
      </w:tr>
      <w:tr w:rsidR="00A3213F" w:rsidRPr="00AB6F27" w14:paraId="012EC976" w14:textId="77777777" w:rsidTr="005D6015">
        <w:tc>
          <w:tcPr>
            <w:tcW w:w="1602" w:type="dxa"/>
          </w:tcPr>
          <w:p w14:paraId="5D62252D"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12 month OS</w:t>
            </w:r>
          </w:p>
        </w:tc>
        <w:tc>
          <w:tcPr>
            <w:tcW w:w="1190" w:type="dxa"/>
            <w:vAlign w:val="center"/>
          </w:tcPr>
          <w:p w14:paraId="193904B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91.7%</w:t>
            </w:r>
          </w:p>
        </w:tc>
        <w:tc>
          <w:tcPr>
            <w:tcW w:w="1191" w:type="dxa"/>
            <w:vAlign w:val="center"/>
          </w:tcPr>
          <w:p w14:paraId="3B7756C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85.7%</w:t>
            </w:r>
          </w:p>
        </w:tc>
        <w:tc>
          <w:tcPr>
            <w:tcW w:w="1190" w:type="dxa"/>
            <w:vAlign w:val="center"/>
          </w:tcPr>
          <w:p w14:paraId="6C489F6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86.8%</w:t>
            </w:r>
          </w:p>
        </w:tc>
        <w:tc>
          <w:tcPr>
            <w:tcW w:w="1191" w:type="dxa"/>
            <w:vAlign w:val="center"/>
          </w:tcPr>
          <w:p w14:paraId="39190CF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79.9%</w:t>
            </w:r>
          </w:p>
        </w:tc>
        <w:tc>
          <w:tcPr>
            <w:tcW w:w="1455" w:type="dxa"/>
            <w:vAlign w:val="center"/>
          </w:tcPr>
          <w:p w14:paraId="111316A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91.2%</w:t>
            </w:r>
          </w:p>
        </w:tc>
        <w:tc>
          <w:tcPr>
            <w:tcW w:w="1191" w:type="dxa"/>
            <w:vAlign w:val="center"/>
          </w:tcPr>
          <w:p w14:paraId="2458E3F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74.4%</w:t>
            </w:r>
          </w:p>
        </w:tc>
      </w:tr>
      <w:tr w:rsidR="00A3213F" w:rsidRPr="00AB6F27" w14:paraId="244DFB5C" w14:textId="77777777" w:rsidTr="005D6015">
        <w:tc>
          <w:tcPr>
            <w:tcW w:w="1602" w:type="dxa"/>
          </w:tcPr>
          <w:p w14:paraId="7AF36CF6"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18 month OS</w:t>
            </w:r>
          </w:p>
        </w:tc>
        <w:tc>
          <w:tcPr>
            <w:tcW w:w="1190" w:type="dxa"/>
            <w:vAlign w:val="center"/>
          </w:tcPr>
          <w:p w14:paraId="67A802F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82.3%</w:t>
            </w:r>
          </w:p>
        </w:tc>
        <w:tc>
          <w:tcPr>
            <w:tcW w:w="1191" w:type="dxa"/>
            <w:vAlign w:val="center"/>
          </w:tcPr>
          <w:p w14:paraId="3385BA6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73.9%</w:t>
            </w:r>
          </w:p>
        </w:tc>
        <w:tc>
          <w:tcPr>
            <w:tcW w:w="1190" w:type="dxa"/>
            <w:vAlign w:val="center"/>
          </w:tcPr>
          <w:p w14:paraId="2C4C0B7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86.8%</w:t>
            </w:r>
          </w:p>
        </w:tc>
        <w:tc>
          <w:tcPr>
            <w:tcW w:w="1191" w:type="dxa"/>
            <w:vAlign w:val="center"/>
          </w:tcPr>
          <w:p w14:paraId="7C614B4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67.3%</w:t>
            </w:r>
          </w:p>
        </w:tc>
        <w:tc>
          <w:tcPr>
            <w:tcW w:w="1455" w:type="dxa"/>
            <w:vAlign w:val="center"/>
          </w:tcPr>
          <w:p w14:paraId="3B916AE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86.1%</w:t>
            </w:r>
          </w:p>
        </w:tc>
        <w:tc>
          <w:tcPr>
            <w:tcW w:w="1191" w:type="dxa"/>
            <w:vAlign w:val="center"/>
          </w:tcPr>
          <w:p w14:paraId="54BE519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65.8%</w:t>
            </w:r>
          </w:p>
        </w:tc>
      </w:tr>
      <w:tr w:rsidR="00A3213F" w:rsidRPr="00AB6F27" w14:paraId="210814FA" w14:textId="77777777" w:rsidTr="005D6015">
        <w:tc>
          <w:tcPr>
            <w:tcW w:w="1602" w:type="dxa"/>
          </w:tcPr>
          <w:p w14:paraId="5EB0AD8B"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24 month OS</w:t>
            </w:r>
          </w:p>
        </w:tc>
        <w:tc>
          <w:tcPr>
            <w:tcW w:w="1190" w:type="dxa"/>
            <w:vAlign w:val="center"/>
          </w:tcPr>
          <w:p w14:paraId="3AFEA56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80.7%</w:t>
            </w:r>
          </w:p>
        </w:tc>
        <w:tc>
          <w:tcPr>
            <w:tcW w:w="1191" w:type="dxa"/>
            <w:vAlign w:val="center"/>
          </w:tcPr>
          <w:p w14:paraId="561B6C0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70.9%</w:t>
            </w:r>
          </w:p>
        </w:tc>
        <w:tc>
          <w:tcPr>
            <w:tcW w:w="1190" w:type="dxa"/>
            <w:vAlign w:val="center"/>
          </w:tcPr>
          <w:p w14:paraId="750D2B8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82.8%</w:t>
            </w:r>
          </w:p>
        </w:tc>
        <w:tc>
          <w:tcPr>
            <w:tcW w:w="1191" w:type="dxa"/>
            <w:vAlign w:val="center"/>
          </w:tcPr>
          <w:p w14:paraId="154CB19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54.1%</w:t>
            </w:r>
          </w:p>
        </w:tc>
        <w:tc>
          <w:tcPr>
            <w:tcW w:w="2646" w:type="dxa"/>
            <w:gridSpan w:val="2"/>
            <w:vAlign w:val="center"/>
          </w:tcPr>
          <w:p w14:paraId="3A45C0F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NR</w:t>
            </w:r>
          </w:p>
        </w:tc>
      </w:tr>
      <w:tr w:rsidR="00D607E0" w:rsidRPr="00AB6F27" w14:paraId="49669812" w14:textId="77777777" w:rsidTr="005D6015">
        <w:tc>
          <w:tcPr>
            <w:tcW w:w="1602" w:type="dxa"/>
          </w:tcPr>
          <w:p w14:paraId="4C8B1A19" w14:textId="29FF9420" w:rsidR="00D607E0" w:rsidRPr="00AB6F27" w:rsidRDefault="00D607E0" w:rsidP="00D607E0">
            <w:pPr>
              <w:keepNext/>
              <w:jc w:val="left"/>
              <w:rPr>
                <w:rFonts w:ascii="Arial Narrow" w:hAnsi="Arial Narrow"/>
                <w:b/>
                <w:bCs/>
                <w:sz w:val="20"/>
                <w:szCs w:val="20"/>
              </w:rPr>
            </w:pPr>
            <w:r w:rsidRPr="00AB6F27">
              <w:rPr>
                <w:rFonts w:ascii="Arial Narrow" w:hAnsi="Arial Narrow"/>
                <w:b/>
                <w:bCs/>
                <w:sz w:val="20"/>
                <w:szCs w:val="20"/>
              </w:rPr>
              <w:t>PFS (pMMR)</w:t>
            </w:r>
          </w:p>
        </w:tc>
        <w:tc>
          <w:tcPr>
            <w:tcW w:w="1190" w:type="dxa"/>
            <w:vAlign w:val="center"/>
          </w:tcPr>
          <w:p w14:paraId="0F751E7B" w14:textId="38834EAE"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PEM+PBC</w:t>
            </w:r>
          </w:p>
        </w:tc>
        <w:tc>
          <w:tcPr>
            <w:tcW w:w="1191" w:type="dxa"/>
            <w:vAlign w:val="center"/>
          </w:tcPr>
          <w:p w14:paraId="1B1F0FA8" w14:textId="206E339E"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PBO+PBC</w:t>
            </w:r>
          </w:p>
        </w:tc>
        <w:tc>
          <w:tcPr>
            <w:tcW w:w="1190" w:type="dxa"/>
            <w:vAlign w:val="center"/>
          </w:tcPr>
          <w:p w14:paraId="11A851A3" w14:textId="3EBEF609"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DOS+PBC</w:t>
            </w:r>
          </w:p>
        </w:tc>
        <w:tc>
          <w:tcPr>
            <w:tcW w:w="1191" w:type="dxa"/>
            <w:vAlign w:val="center"/>
          </w:tcPr>
          <w:p w14:paraId="01509723" w14:textId="3EF1959B"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PBO+PBC</w:t>
            </w:r>
          </w:p>
        </w:tc>
        <w:tc>
          <w:tcPr>
            <w:tcW w:w="1455" w:type="dxa"/>
            <w:vAlign w:val="center"/>
          </w:tcPr>
          <w:p w14:paraId="378F9454" w14:textId="535C96F5"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DUR+PBC</w:t>
            </w:r>
            <w:r w:rsidR="00205F61" w:rsidRPr="00AB6F27">
              <w:rPr>
                <w:rFonts w:ascii="Arial Narrow" w:hAnsi="Arial Narrow"/>
                <w:b/>
                <w:bCs/>
                <w:sz w:val="20"/>
                <w:szCs w:val="20"/>
              </w:rPr>
              <w:t>+OLA</w:t>
            </w:r>
          </w:p>
        </w:tc>
        <w:tc>
          <w:tcPr>
            <w:tcW w:w="1191" w:type="dxa"/>
            <w:vAlign w:val="center"/>
          </w:tcPr>
          <w:p w14:paraId="0BC2C0AE" w14:textId="4205F94C"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PBO+PBC</w:t>
            </w:r>
          </w:p>
        </w:tc>
      </w:tr>
      <w:tr w:rsidR="005D6015" w:rsidRPr="00AB6F27" w14:paraId="5D53B6D0" w14:textId="77777777" w:rsidTr="007B5E49">
        <w:tc>
          <w:tcPr>
            <w:tcW w:w="1602" w:type="dxa"/>
          </w:tcPr>
          <w:p w14:paraId="280809ED" w14:textId="21C33F27" w:rsidR="005D6015" w:rsidRPr="00AB6F27" w:rsidRDefault="005D6015" w:rsidP="00D607E0">
            <w:pPr>
              <w:keepNext/>
              <w:jc w:val="left"/>
              <w:rPr>
                <w:rFonts w:ascii="Arial Narrow" w:hAnsi="Arial Narrow"/>
                <w:b/>
                <w:bCs/>
                <w:sz w:val="20"/>
                <w:szCs w:val="20"/>
              </w:rPr>
            </w:pPr>
            <w:r w:rsidRPr="00AB6F27">
              <w:rPr>
                <w:rFonts w:ascii="Arial Narrow" w:hAnsi="Arial Narrow"/>
                <w:b/>
                <w:bCs/>
                <w:sz w:val="20"/>
                <w:szCs w:val="20"/>
              </w:rPr>
              <w:t>6 month PFS</w:t>
            </w:r>
          </w:p>
        </w:tc>
        <w:tc>
          <w:tcPr>
            <w:tcW w:w="1190" w:type="dxa"/>
            <w:vAlign w:val="center"/>
          </w:tcPr>
          <w:p w14:paraId="5771899C" w14:textId="4E6C7DA7"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85.5%</w:t>
            </w:r>
          </w:p>
        </w:tc>
        <w:tc>
          <w:tcPr>
            <w:tcW w:w="1191" w:type="dxa"/>
            <w:vAlign w:val="center"/>
          </w:tcPr>
          <w:p w14:paraId="39B90E92" w14:textId="743A05D5"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79.9%</w:t>
            </w:r>
          </w:p>
        </w:tc>
        <w:tc>
          <w:tcPr>
            <w:tcW w:w="2381" w:type="dxa"/>
            <w:gridSpan w:val="2"/>
            <w:vAlign w:val="center"/>
          </w:tcPr>
          <w:p w14:paraId="03BF05C2" w14:textId="421F4A0F"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NR</w:t>
            </w:r>
          </w:p>
        </w:tc>
        <w:tc>
          <w:tcPr>
            <w:tcW w:w="2646" w:type="dxa"/>
            <w:gridSpan w:val="2"/>
            <w:vAlign w:val="center"/>
          </w:tcPr>
          <w:p w14:paraId="524C89EA" w14:textId="63E52F80"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NR</w:t>
            </w:r>
          </w:p>
        </w:tc>
      </w:tr>
      <w:tr w:rsidR="005D6015" w:rsidRPr="00AB6F27" w14:paraId="2806CB80" w14:textId="77777777" w:rsidTr="007B5E49">
        <w:tc>
          <w:tcPr>
            <w:tcW w:w="1602" w:type="dxa"/>
          </w:tcPr>
          <w:p w14:paraId="444C3AA6" w14:textId="5A5A89B1" w:rsidR="005D6015" w:rsidRPr="00AB6F27" w:rsidRDefault="005D6015" w:rsidP="00D607E0">
            <w:pPr>
              <w:keepNext/>
              <w:jc w:val="left"/>
              <w:rPr>
                <w:rFonts w:ascii="Arial Narrow" w:hAnsi="Arial Narrow"/>
                <w:b/>
                <w:bCs/>
                <w:sz w:val="20"/>
                <w:szCs w:val="20"/>
              </w:rPr>
            </w:pPr>
            <w:r w:rsidRPr="00AB6F27">
              <w:rPr>
                <w:rFonts w:ascii="Arial Narrow" w:hAnsi="Arial Narrow"/>
                <w:b/>
                <w:bCs/>
                <w:sz w:val="20"/>
                <w:szCs w:val="20"/>
              </w:rPr>
              <w:t>12 month PFS</w:t>
            </w:r>
          </w:p>
        </w:tc>
        <w:tc>
          <w:tcPr>
            <w:tcW w:w="1190" w:type="dxa"/>
            <w:vAlign w:val="center"/>
          </w:tcPr>
          <w:p w14:paraId="3B72BB23" w14:textId="7492301D"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47.7%</w:t>
            </w:r>
          </w:p>
        </w:tc>
        <w:tc>
          <w:tcPr>
            <w:tcW w:w="1191" w:type="dxa"/>
            <w:vAlign w:val="center"/>
          </w:tcPr>
          <w:p w14:paraId="3B81F679" w14:textId="12EC0FD9"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36.8%</w:t>
            </w:r>
          </w:p>
        </w:tc>
        <w:tc>
          <w:tcPr>
            <w:tcW w:w="2381" w:type="dxa"/>
            <w:gridSpan w:val="2"/>
            <w:vAlign w:val="center"/>
          </w:tcPr>
          <w:p w14:paraId="40BC024C" w14:textId="1DB7DE86"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NR</w:t>
            </w:r>
          </w:p>
        </w:tc>
        <w:tc>
          <w:tcPr>
            <w:tcW w:w="1455" w:type="dxa"/>
            <w:vAlign w:val="center"/>
          </w:tcPr>
          <w:p w14:paraId="22615B4E" w14:textId="58B74466"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59.4%</w:t>
            </w:r>
          </w:p>
        </w:tc>
        <w:tc>
          <w:tcPr>
            <w:tcW w:w="1191" w:type="dxa"/>
            <w:vAlign w:val="center"/>
          </w:tcPr>
          <w:p w14:paraId="07B0E326" w14:textId="51D22A86"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40.8%</w:t>
            </w:r>
          </w:p>
        </w:tc>
      </w:tr>
      <w:tr w:rsidR="005D6015" w:rsidRPr="00AB6F27" w14:paraId="6680C2DA" w14:textId="77777777" w:rsidTr="007B5E49">
        <w:tc>
          <w:tcPr>
            <w:tcW w:w="1602" w:type="dxa"/>
          </w:tcPr>
          <w:p w14:paraId="5977EECB" w14:textId="5E6132ED" w:rsidR="005D6015" w:rsidRPr="00AB6F27" w:rsidRDefault="005D6015" w:rsidP="00D607E0">
            <w:pPr>
              <w:keepNext/>
              <w:jc w:val="left"/>
              <w:rPr>
                <w:rFonts w:ascii="Arial Narrow" w:hAnsi="Arial Narrow"/>
                <w:b/>
                <w:bCs/>
                <w:sz w:val="20"/>
                <w:szCs w:val="20"/>
              </w:rPr>
            </w:pPr>
            <w:r w:rsidRPr="00AB6F27">
              <w:rPr>
                <w:rFonts w:ascii="Arial Narrow" w:hAnsi="Arial Narrow"/>
                <w:b/>
                <w:bCs/>
                <w:sz w:val="20"/>
                <w:szCs w:val="20"/>
              </w:rPr>
              <w:t>18 month PFS</w:t>
            </w:r>
          </w:p>
        </w:tc>
        <w:tc>
          <w:tcPr>
            <w:tcW w:w="1190" w:type="dxa"/>
            <w:vAlign w:val="center"/>
          </w:tcPr>
          <w:p w14:paraId="6910BFEE" w14:textId="10905899"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38.0%</w:t>
            </w:r>
          </w:p>
        </w:tc>
        <w:tc>
          <w:tcPr>
            <w:tcW w:w="1191" w:type="dxa"/>
            <w:vAlign w:val="center"/>
          </w:tcPr>
          <w:p w14:paraId="429FF3AA" w14:textId="6E7E18A1"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27.4%</w:t>
            </w:r>
          </w:p>
        </w:tc>
        <w:tc>
          <w:tcPr>
            <w:tcW w:w="2381" w:type="dxa"/>
            <w:gridSpan w:val="2"/>
            <w:vAlign w:val="center"/>
          </w:tcPr>
          <w:p w14:paraId="59FA414A" w14:textId="77A19926"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NR</w:t>
            </w:r>
          </w:p>
        </w:tc>
        <w:tc>
          <w:tcPr>
            <w:tcW w:w="1455" w:type="dxa"/>
            <w:vAlign w:val="center"/>
          </w:tcPr>
          <w:p w14:paraId="70A7998F" w14:textId="7B44F82F"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42.0%</w:t>
            </w:r>
          </w:p>
        </w:tc>
        <w:tc>
          <w:tcPr>
            <w:tcW w:w="1191" w:type="dxa"/>
            <w:vAlign w:val="center"/>
          </w:tcPr>
          <w:p w14:paraId="68BAEF71" w14:textId="696D89DC"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20.0%</w:t>
            </w:r>
          </w:p>
        </w:tc>
      </w:tr>
      <w:tr w:rsidR="00991586" w:rsidRPr="00AB6F27" w14:paraId="010DCBF1" w14:textId="77777777" w:rsidTr="005D6015">
        <w:tc>
          <w:tcPr>
            <w:tcW w:w="1602" w:type="dxa"/>
          </w:tcPr>
          <w:p w14:paraId="0597FDDE" w14:textId="51EB8FF4" w:rsidR="00991586" w:rsidRPr="00AB6F27" w:rsidRDefault="00991586" w:rsidP="00D607E0">
            <w:pPr>
              <w:keepNext/>
              <w:jc w:val="left"/>
              <w:rPr>
                <w:rFonts w:ascii="Arial Narrow" w:hAnsi="Arial Narrow"/>
                <w:b/>
                <w:bCs/>
                <w:sz w:val="20"/>
                <w:szCs w:val="20"/>
              </w:rPr>
            </w:pPr>
            <w:r w:rsidRPr="00AB6F27">
              <w:rPr>
                <w:rFonts w:ascii="Arial Narrow" w:hAnsi="Arial Narrow"/>
                <w:b/>
                <w:bCs/>
                <w:sz w:val="20"/>
                <w:szCs w:val="20"/>
              </w:rPr>
              <w:t>24 month PFS</w:t>
            </w:r>
          </w:p>
        </w:tc>
        <w:tc>
          <w:tcPr>
            <w:tcW w:w="1190" w:type="dxa"/>
            <w:vAlign w:val="center"/>
          </w:tcPr>
          <w:p w14:paraId="32F2E4CC" w14:textId="063625EB" w:rsidR="00991586" w:rsidRPr="00AB6F27" w:rsidRDefault="00991586" w:rsidP="00D607E0">
            <w:pPr>
              <w:keepNext/>
              <w:jc w:val="center"/>
              <w:rPr>
                <w:rFonts w:ascii="Arial Narrow" w:hAnsi="Arial Narrow"/>
                <w:sz w:val="20"/>
                <w:szCs w:val="20"/>
              </w:rPr>
            </w:pPr>
            <w:r w:rsidRPr="00AB6F27">
              <w:rPr>
                <w:rFonts w:ascii="Arial Narrow" w:hAnsi="Arial Narrow"/>
                <w:sz w:val="20"/>
                <w:szCs w:val="20"/>
              </w:rPr>
              <w:t>34.1%</w:t>
            </w:r>
          </w:p>
        </w:tc>
        <w:tc>
          <w:tcPr>
            <w:tcW w:w="1191" w:type="dxa"/>
            <w:vAlign w:val="center"/>
          </w:tcPr>
          <w:p w14:paraId="2B4033F6" w14:textId="64AC36E2" w:rsidR="00991586" w:rsidRPr="00AB6F27" w:rsidRDefault="00991586" w:rsidP="00D607E0">
            <w:pPr>
              <w:keepNext/>
              <w:jc w:val="center"/>
              <w:rPr>
                <w:rFonts w:ascii="Arial Narrow" w:hAnsi="Arial Narrow"/>
                <w:sz w:val="20"/>
                <w:szCs w:val="20"/>
              </w:rPr>
            </w:pPr>
            <w:r w:rsidRPr="00AB6F27">
              <w:rPr>
                <w:rFonts w:ascii="Arial Narrow" w:hAnsi="Arial Narrow"/>
                <w:sz w:val="20"/>
                <w:szCs w:val="20"/>
              </w:rPr>
              <w:t>21.2%</w:t>
            </w:r>
          </w:p>
        </w:tc>
        <w:tc>
          <w:tcPr>
            <w:tcW w:w="1190" w:type="dxa"/>
            <w:vAlign w:val="center"/>
          </w:tcPr>
          <w:p w14:paraId="591633A4" w14:textId="5EBD6531" w:rsidR="00991586" w:rsidRPr="00AB6F27" w:rsidRDefault="00991586" w:rsidP="00D607E0">
            <w:pPr>
              <w:keepNext/>
              <w:jc w:val="center"/>
              <w:rPr>
                <w:rFonts w:ascii="Arial Narrow" w:hAnsi="Arial Narrow"/>
                <w:sz w:val="20"/>
                <w:szCs w:val="20"/>
              </w:rPr>
            </w:pPr>
            <w:r w:rsidRPr="00AB6F27">
              <w:rPr>
                <w:rFonts w:ascii="Arial Narrow" w:hAnsi="Arial Narrow"/>
                <w:sz w:val="20"/>
                <w:szCs w:val="20"/>
              </w:rPr>
              <w:t>28.4%</w:t>
            </w:r>
          </w:p>
        </w:tc>
        <w:tc>
          <w:tcPr>
            <w:tcW w:w="1191" w:type="dxa"/>
            <w:vAlign w:val="center"/>
          </w:tcPr>
          <w:p w14:paraId="43C7FB29" w14:textId="6D3C0F8B" w:rsidR="00991586" w:rsidRPr="00AB6F27" w:rsidRDefault="00991586" w:rsidP="00D607E0">
            <w:pPr>
              <w:keepNext/>
              <w:jc w:val="center"/>
              <w:rPr>
                <w:rFonts w:ascii="Arial Narrow" w:hAnsi="Arial Narrow"/>
                <w:sz w:val="20"/>
                <w:szCs w:val="20"/>
              </w:rPr>
            </w:pPr>
            <w:r w:rsidRPr="00AB6F27">
              <w:rPr>
                <w:rFonts w:ascii="Arial Narrow" w:hAnsi="Arial Narrow"/>
                <w:sz w:val="20"/>
                <w:szCs w:val="20"/>
              </w:rPr>
              <w:t>18.8%</w:t>
            </w:r>
          </w:p>
        </w:tc>
        <w:tc>
          <w:tcPr>
            <w:tcW w:w="2646" w:type="dxa"/>
            <w:gridSpan w:val="2"/>
            <w:vAlign w:val="center"/>
          </w:tcPr>
          <w:p w14:paraId="64DCAE0B" w14:textId="6EB3B94E" w:rsidR="00991586" w:rsidRPr="00AB6F27" w:rsidRDefault="00991586" w:rsidP="00D607E0">
            <w:pPr>
              <w:keepNext/>
              <w:jc w:val="center"/>
              <w:rPr>
                <w:rFonts w:ascii="Arial Narrow" w:hAnsi="Arial Narrow"/>
                <w:sz w:val="20"/>
                <w:szCs w:val="20"/>
              </w:rPr>
            </w:pPr>
            <w:r w:rsidRPr="00AB6F27">
              <w:rPr>
                <w:rFonts w:ascii="Arial Narrow" w:hAnsi="Arial Narrow"/>
                <w:sz w:val="20"/>
                <w:szCs w:val="20"/>
              </w:rPr>
              <w:t>NR</w:t>
            </w:r>
          </w:p>
        </w:tc>
      </w:tr>
      <w:tr w:rsidR="00D607E0" w:rsidRPr="00AB6F27" w14:paraId="0D345510" w14:textId="77777777" w:rsidTr="005D6015">
        <w:tc>
          <w:tcPr>
            <w:tcW w:w="1602" w:type="dxa"/>
          </w:tcPr>
          <w:p w14:paraId="570B7C9D" w14:textId="6C5F6756" w:rsidR="00D607E0" w:rsidRPr="00AB6F27" w:rsidRDefault="00D607E0" w:rsidP="00D607E0">
            <w:pPr>
              <w:keepNext/>
              <w:jc w:val="left"/>
              <w:rPr>
                <w:rFonts w:ascii="Arial Narrow" w:hAnsi="Arial Narrow"/>
                <w:b/>
                <w:bCs/>
                <w:sz w:val="20"/>
                <w:szCs w:val="20"/>
              </w:rPr>
            </w:pPr>
            <w:r w:rsidRPr="00AB6F27">
              <w:rPr>
                <w:rFonts w:ascii="Arial Narrow" w:hAnsi="Arial Narrow"/>
                <w:b/>
                <w:bCs/>
                <w:sz w:val="20"/>
                <w:szCs w:val="20"/>
              </w:rPr>
              <w:t>OS (</w:t>
            </w:r>
            <w:r w:rsidR="006E075E" w:rsidRPr="00AB6F27">
              <w:rPr>
                <w:rFonts w:ascii="Arial Narrow" w:hAnsi="Arial Narrow"/>
                <w:b/>
                <w:bCs/>
                <w:sz w:val="20"/>
                <w:szCs w:val="20"/>
              </w:rPr>
              <w:t>p</w:t>
            </w:r>
            <w:r w:rsidRPr="00AB6F27">
              <w:rPr>
                <w:rFonts w:ascii="Arial Narrow" w:hAnsi="Arial Narrow"/>
                <w:b/>
                <w:bCs/>
                <w:sz w:val="20"/>
                <w:szCs w:val="20"/>
              </w:rPr>
              <w:t>MMR)</w:t>
            </w:r>
          </w:p>
        </w:tc>
        <w:tc>
          <w:tcPr>
            <w:tcW w:w="1190" w:type="dxa"/>
            <w:vAlign w:val="center"/>
          </w:tcPr>
          <w:p w14:paraId="6EB881B4" w14:textId="7DF9EADD"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PEM+PBC</w:t>
            </w:r>
          </w:p>
        </w:tc>
        <w:tc>
          <w:tcPr>
            <w:tcW w:w="1191" w:type="dxa"/>
            <w:vAlign w:val="center"/>
          </w:tcPr>
          <w:p w14:paraId="3754BB18" w14:textId="77B41505"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PBO+PBC</w:t>
            </w:r>
          </w:p>
        </w:tc>
        <w:tc>
          <w:tcPr>
            <w:tcW w:w="1190" w:type="dxa"/>
            <w:vAlign w:val="center"/>
          </w:tcPr>
          <w:p w14:paraId="489A665A" w14:textId="52976105"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DOS+PBC</w:t>
            </w:r>
          </w:p>
        </w:tc>
        <w:tc>
          <w:tcPr>
            <w:tcW w:w="1191" w:type="dxa"/>
            <w:vAlign w:val="center"/>
          </w:tcPr>
          <w:p w14:paraId="66557458" w14:textId="1471CE91"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PBO+PBC</w:t>
            </w:r>
          </w:p>
        </w:tc>
        <w:tc>
          <w:tcPr>
            <w:tcW w:w="1455" w:type="dxa"/>
            <w:vAlign w:val="center"/>
          </w:tcPr>
          <w:p w14:paraId="775D3227" w14:textId="6D0E4AAB"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DUR+PBC</w:t>
            </w:r>
          </w:p>
        </w:tc>
        <w:tc>
          <w:tcPr>
            <w:tcW w:w="1191" w:type="dxa"/>
            <w:vAlign w:val="center"/>
          </w:tcPr>
          <w:p w14:paraId="4D59E85F" w14:textId="58537296" w:rsidR="00D607E0" w:rsidRPr="00AB6F27" w:rsidRDefault="00D607E0" w:rsidP="00D607E0">
            <w:pPr>
              <w:keepNext/>
              <w:jc w:val="center"/>
              <w:rPr>
                <w:rFonts w:ascii="Arial Narrow" w:hAnsi="Arial Narrow"/>
                <w:sz w:val="20"/>
                <w:szCs w:val="20"/>
              </w:rPr>
            </w:pPr>
            <w:r w:rsidRPr="00AB6F27">
              <w:rPr>
                <w:rFonts w:ascii="Arial Narrow" w:hAnsi="Arial Narrow"/>
                <w:b/>
                <w:bCs/>
                <w:sz w:val="20"/>
                <w:szCs w:val="20"/>
              </w:rPr>
              <w:t>PBO+PBC</w:t>
            </w:r>
          </w:p>
        </w:tc>
      </w:tr>
      <w:tr w:rsidR="005D6015" w:rsidRPr="00AB6F27" w14:paraId="00C26BA5" w14:textId="77777777" w:rsidTr="007B5E49">
        <w:trPr>
          <w:trHeight w:val="157"/>
        </w:trPr>
        <w:tc>
          <w:tcPr>
            <w:tcW w:w="1602" w:type="dxa"/>
          </w:tcPr>
          <w:p w14:paraId="320C2E85" w14:textId="18A9BB9D" w:rsidR="005D6015" w:rsidRPr="00AB6F27" w:rsidRDefault="005D6015" w:rsidP="00D607E0">
            <w:pPr>
              <w:keepNext/>
              <w:jc w:val="left"/>
              <w:rPr>
                <w:rFonts w:ascii="Arial Narrow" w:hAnsi="Arial Narrow"/>
                <w:b/>
                <w:bCs/>
                <w:sz w:val="20"/>
                <w:szCs w:val="20"/>
              </w:rPr>
            </w:pPr>
            <w:r w:rsidRPr="00AB6F27">
              <w:rPr>
                <w:rFonts w:ascii="Arial Narrow" w:hAnsi="Arial Narrow"/>
                <w:b/>
                <w:bCs/>
                <w:sz w:val="20"/>
                <w:szCs w:val="20"/>
              </w:rPr>
              <w:t>12 month OS</w:t>
            </w:r>
          </w:p>
        </w:tc>
        <w:tc>
          <w:tcPr>
            <w:tcW w:w="1190" w:type="dxa"/>
            <w:vAlign w:val="center"/>
          </w:tcPr>
          <w:p w14:paraId="18617EE8" w14:textId="262A81F0"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83.8%</w:t>
            </w:r>
          </w:p>
        </w:tc>
        <w:tc>
          <w:tcPr>
            <w:tcW w:w="1191" w:type="dxa"/>
            <w:vAlign w:val="center"/>
          </w:tcPr>
          <w:p w14:paraId="6F4E54E8" w14:textId="3CD5B044"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81.2%</w:t>
            </w:r>
          </w:p>
        </w:tc>
        <w:tc>
          <w:tcPr>
            <w:tcW w:w="2381" w:type="dxa"/>
            <w:gridSpan w:val="2"/>
            <w:vAlign w:val="center"/>
          </w:tcPr>
          <w:p w14:paraId="7697147B" w14:textId="7A516D76"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NR</w:t>
            </w:r>
          </w:p>
        </w:tc>
        <w:tc>
          <w:tcPr>
            <w:tcW w:w="1455" w:type="dxa"/>
            <w:vAlign w:val="center"/>
          </w:tcPr>
          <w:p w14:paraId="1CF9AEEB" w14:textId="5294F31F"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87.3%</w:t>
            </w:r>
          </w:p>
        </w:tc>
        <w:tc>
          <w:tcPr>
            <w:tcW w:w="1191" w:type="dxa"/>
            <w:vAlign w:val="center"/>
          </w:tcPr>
          <w:p w14:paraId="31B82724" w14:textId="1BB1B530"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81.0%</w:t>
            </w:r>
          </w:p>
        </w:tc>
      </w:tr>
      <w:tr w:rsidR="005D6015" w:rsidRPr="00AB6F27" w14:paraId="13576131" w14:textId="77777777" w:rsidTr="007B5E49">
        <w:tc>
          <w:tcPr>
            <w:tcW w:w="1602" w:type="dxa"/>
          </w:tcPr>
          <w:p w14:paraId="104145A1" w14:textId="428F349A" w:rsidR="005D6015" w:rsidRPr="00AB6F27" w:rsidRDefault="005D6015" w:rsidP="00D607E0">
            <w:pPr>
              <w:keepNext/>
              <w:jc w:val="left"/>
              <w:rPr>
                <w:rFonts w:ascii="Arial Narrow" w:hAnsi="Arial Narrow"/>
                <w:b/>
                <w:bCs/>
                <w:sz w:val="20"/>
                <w:szCs w:val="20"/>
              </w:rPr>
            </w:pPr>
            <w:r w:rsidRPr="00AB6F27">
              <w:rPr>
                <w:rFonts w:ascii="Arial Narrow" w:hAnsi="Arial Narrow"/>
                <w:b/>
                <w:bCs/>
                <w:sz w:val="20"/>
                <w:szCs w:val="20"/>
              </w:rPr>
              <w:t>18 month OS</w:t>
            </w:r>
          </w:p>
        </w:tc>
        <w:tc>
          <w:tcPr>
            <w:tcW w:w="1190" w:type="dxa"/>
            <w:vAlign w:val="center"/>
          </w:tcPr>
          <w:p w14:paraId="3318EB2F" w14:textId="6C1C2E6F"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72.9%</w:t>
            </w:r>
          </w:p>
        </w:tc>
        <w:tc>
          <w:tcPr>
            <w:tcW w:w="1191" w:type="dxa"/>
            <w:vAlign w:val="center"/>
          </w:tcPr>
          <w:p w14:paraId="5E033EAB" w14:textId="17424161"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67.1%</w:t>
            </w:r>
          </w:p>
        </w:tc>
        <w:tc>
          <w:tcPr>
            <w:tcW w:w="2381" w:type="dxa"/>
            <w:gridSpan w:val="2"/>
            <w:vAlign w:val="center"/>
          </w:tcPr>
          <w:p w14:paraId="25DDAD42" w14:textId="0DEFA888"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NR</w:t>
            </w:r>
          </w:p>
        </w:tc>
        <w:tc>
          <w:tcPr>
            <w:tcW w:w="1455" w:type="dxa"/>
            <w:vAlign w:val="center"/>
          </w:tcPr>
          <w:p w14:paraId="444C70FA" w14:textId="16C2713E"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76.9%</w:t>
            </w:r>
          </w:p>
        </w:tc>
        <w:tc>
          <w:tcPr>
            <w:tcW w:w="1191" w:type="dxa"/>
            <w:vAlign w:val="center"/>
          </w:tcPr>
          <w:p w14:paraId="439702E8" w14:textId="306CB341" w:rsidR="005D6015" w:rsidRPr="00AB6F27" w:rsidRDefault="005D6015" w:rsidP="00D607E0">
            <w:pPr>
              <w:keepNext/>
              <w:jc w:val="center"/>
              <w:rPr>
                <w:rFonts w:ascii="Arial Narrow" w:hAnsi="Arial Narrow"/>
                <w:sz w:val="20"/>
                <w:szCs w:val="20"/>
              </w:rPr>
            </w:pPr>
            <w:r w:rsidRPr="00AB6F27">
              <w:rPr>
                <w:rFonts w:ascii="Arial Narrow" w:hAnsi="Arial Narrow"/>
                <w:sz w:val="20"/>
                <w:szCs w:val="20"/>
              </w:rPr>
              <w:t>69.9%</w:t>
            </w:r>
          </w:p>
        </w:tc>
      </w:tr>
      <w:tr w:rsidR="006E075E" w:rsidRPr="00AB6F27" w14:paraId="5694A341" w14:textId="77777777" w:rsidTr="005D6015">
        <w:tc>
          <w:tcPr>
            <w:tcW w:w="1602" w:type="dxa"/>
          </w:tcPr>
          <w:p w14:paraId="755B41C3" w14:textId="0AE1C520" w:rsidR="006E075E" w:rsidRPr="00AB6F27" w:rsidRDefault="006E075E" w:rsidP="00D607E0">
            <w:pPr>
              <w:keepNext/>
              <w:jc w:val="left"/>
              <w:rPr>
                <w:rFonts w:ascii="Arial Narrow" w:hAnsi="Arial Narrow"/>
                <w:b/>
                <w:bCs/>
                <w:sz w:val="20"/>
                <w:szCs w:val="20"/>
              </w:rPr>
            </w:pPr>
            <w:r w:rsidRPr="00AB6F27">
              <w:rPr>
                <w:rFonts w:ascii="Arial Narrow" w:hAnsi="Arial Narrow"/>
                <w:b/>
                <w:bCs/>
                <w:sz w:val="20"/>
                <w:szCs w:val="20"/>
              </w:rPr>
              <w:t>24 month OS</w:t>
            </w:r>
          </w:p>
        </w:tc>
        <w:tc>
          <w:tcPr>
            <w:tcW w:w="1190" w:type="dxa"/>
            <w:vAlign w:val="center"/>
          </w:tcPr>
          <w:p w14:paraId="48F6D7EA" w14:textId="43602110" w:rsidR="006E075E" w:rsidRPr="00AB6F27" w:rsidRDefault="006E075E" w:rsidP="00D607E0">
            <w:pPr>
              <w:keepNext/>
              <w:jc w:val="center"/>
              <w:rPr>
                <w:rFonts w:ascii="Arial Narrow" w:hAnsi="Arial Narrow"/>
                <w:sz w:val="20"/>
                <w:szCs w:val="20"/>
              </w:rPr>
            </w:pPr>
            <w:r w:rsidRPr="00AB6F27">
              <w:rPr>
                <w:rFonts w:ascii="Arial Narrow" w:hAnsi="Arial Narrow"/>
                <w:sz w:val="20"/>
                <w:szCs w:val="20"/>
              </w:rPr>
              <w:t>63.0%</w:t>
            </w:r>
          </w:p>
        </w:tc>
        <w:tc>
          <w:tcPr>
            <w:tcW w:w="1191" w:type="dxa"/>
            <w:vAlign w:val="center"/>
          </w:tcPr>
          <w:p w14:paraId="40C6126F" w14:textId="0267175E" w:rsidR="006E075E" w:rsidRPr="00AB6F27" w:rsidRDefault="006E075E" w:rsidP="00D607E0">
            <w:pPr>
              <w:keepNext/>
              <w:jc w:val="center"/>
              <w:rPr>
                <w:rFonts w:ascii="Arial Narrow" w:hAnsi="Arial Narrow"/>
                <w:sz w:val="20"/>
                <w:szCs w:val="20"/>
              </w:rPr>
            </w:pPr>
            <w:r w:rsidRPr="00AB6F27">
              <w:rPr>
                <w:rFonts w:ascii="Arial Narrow" w:hAnsi="Arial Narrow"/>
                <w:sz w:val="20"/>
                <w:szCs w:val="20"/>
              </w:rPr>
              <w:t>58.3%</w:t>
            </w:r>
          </w:p>
        </w:tc>
        <w:tc>
          <w:tcPr>
            <w:tcW w:w="1190" w:type="dxa"/>
            <w:vAlign w:val="center"/>
          </w:tcPr>
          <w:p w14:paraId="09BE11C8" w14:textId="214119FB" w:rsidR="006E075E" w:rsidRPr="00AB6F27" w:rsidRDefault="006E075E" w:rsidP="00D607E0">
            <w:pPr>
              <w:keepNext/>
              <w:jc w:val="center"/>
              <w:rPr>
                <w:rFonts w:ascii="Arial Narrow" w:hAnsi="Arial Narrow"/>
                <w:sz w:val="20"/>
                <w:szCs w:val="20"/>
              </w:rPr>
            </w:pPr>
            <w:r w:rsidRPr="00AB6F27">
              <w:rPr>
                <w:rFonts w:ascii="Arial Narrow" w:hAnsi="Arial Narrow"/>
                <w:sz w:val="20"/>
                <w:szCs w:val="20"/>
              </w:rPr>
              <w:t>6</w:t>
            </w:r>
            <w:r w:rsidR="00205F61" w:rsidRPr="00AB6F27">
              <w:rPr>
                <w:rFonts w:ascii="Arial Narrow" w:hAnsi="Arial Narrow"/>
                <w:sz w:val="20"/>
                <w:szCs w:val="20"/>
              </w:rPr>
              <w:t>7.7%</w:t>
            </w:r>
          </w:p>
        </w:tc>
        <w:tc>
          <w:tcPr>
            <w:tcW w:w="1191" w:type="dxa"/>
            <w:vAlign w:val="center"/>
          </w:tcPr>
          <w:p w14:paraId="5BBCD6E2" w14:textId="468A6DA8" w:rsidR="006E075E" w:rsidRPr="00AB6F27" w:rsidRDefault="006E075E" w:rsidP="00D607E0">
            <w:pPr>
              <w:keepNext/>
              <w:jc w:val="center"/>
              <w:rPr>
                <w:rFonts w:ascii="Arial Narrow" w:hAnsi="Arial Narrow"/>
                <w:sz w:val="20"/>
                <w:szCs w:val="20"/>
              </w:rPr>
            </w:pPr>
            <w:r w:rsidRPr="00AB6F27">
              <w:rPr>
                <w:rFonts w:ascii="Arial Narrow" w:hAnsi="Arial Narrow"/>
                <w:sz w:val="20"/>
                <w:szCs w:val="20"/>
              </w:rPr>
              <w:t>5</w:t>
            </w:r>
            <w:r w:rsidR="00205F61" w:rsidRPr="00AB6F27">
              <w:rPr>
                <w:rFonts w:ascii="Arial Narrow" w:hAnsi="Arial Narrow"/>
                <w:sz w:val="20"/>
                <w:szCs w:val="20"/>
              </w:rPr>
              <w:t>5.1%</w:t>
            </w:r>
          </w:p>
        </w:tc>
        <w:tc>
          <w:tcPr>
            <w:tcW w:w="2646" w:type="dxa"/>
            <w:gridSpan w:val="2"/>
            <w:vAlign w:val="center"/>
          </w:tcPr>
          <w:p w14:paraId="0786B9DA" w14:textId="1C72B2E6" w:rsidR="006E075E" w:rsidRPr="00AB6F27" w:rsidRDefault="006E075E" w:rsidP="00D607E0">
            <w:pPr>
              <w:keepNext/>
              <w:jc w:val="center"/>
              <w:rPr>
                <w:rFonts w:ascii="Arial Narrow" w:hAnsi="Arial Narrow"/>
                <w:sz w:val="20"/>
                <w:szCs w:val="20"/>
              </w:rPr>
            </w:pPr>
            <w:r w:rsidRPr="00AB6F27">
              <w:rPr>
                <w:rFonts w:ascii="Arial Narrow" w:hAnsi="Arial Narrow"/>
                <w:sz w:val="20"/>
                <w:szCs w:val="20"/>
              </w:rPr>
              <w:t>NR</w:t>
            </w:r>
          </w:p>
        </w:tc>
      </w:tr>
    </w:tbl>
    <w:p w14:paraId="4E198779" w14:textId="318F4075" w:rsidR="00A3213F" w:rsidRPr="00AB6F27" w:rsidRDefault="00A3213F" w:rsidP="00A3213F">
      <w:pPr>
        <w:keepNext/>
        <w:rPr>
          <w:rFonts w:ascii="Arial Narrow" w:hAnsi="Arial Narrow"/>
          <w:sz w:val="18"/>
          <w:szCs w:val="18"/>
        </w:rPr>
      </w:pPr>
      <w:r w:rsidRPr="00AB6F27">
        <w:rPr>
          <w:rFonts w:ascii="Arial Narrow" w:hAnsi="Arial Narrow"/>
          <w:sz w:val="18"/>
          <w:szCs w:val="18"/>
        </w:rPr>
        <w:t xml:space="preserve">Source: Table </w:t>
      </w:r>
      <w:r w:rsidR="000A74DE" w:rsidRPr="00AB6F27">
        <w:rPr>
          <w:rFonts w:ascii="Arial Narrow" w:hAnsi="Arial Narrow"/>
          <w:sz w:val="18"/>
          <w:szCs w:val="18"/>
        </w:rPr>
        <w:t xml:space="preserve">2.3-6, </w:t>
      </w:r>
      <w:r w:rsidRPr="00AB6F27">
        <w:rPr>
          <w:rFonts w:ascii="Arial Narrow" w:hAnsi="Arial Narrow"/>
          <w:sz w:val="18"/>
          <w:szCs w:val="18"/>
        </w:rPr>
        <w:t>2.6-2, p168 and Table 2.6-4, p170 of the submission</w:t>
      </w:r>
      <w:r w:rsidR="00991586" w:rsidRPr="00AB6F27">
        <w:rPr>
          <w:rFonts w:ascii="Arial Narrow" w:hAnsi="Arial Narrow"/>
          <w:sz w:val="18"/>
          <w:szCs w:val="18"/>
        </w:rPr>
        <w:t>, Table 6</w:t>
      </w:r>
      <w:r w:rsidR="006E075E" w:rsidRPr="00AB6F27">
        <w:rPr>
          <w:rFonts w:ascii="Arial Narrow" w:hAnsi="Arial Narrow"/>
          <w:sz w:val="18"/>
          <w:szCs w:val="18"/>
        </w:rPr>
        <w:t xml:space="preserve"> and Table 17 of</w:t>
      </w:r>
      <w:r w:rsidR="00991586" w:rsidRPr="00AB6F27">
        <w:rPr>
          <w:rFonts w:ascii="Arial Narrow" w:hAnsi="Arial Narrow"/>
          <w:sz w:val="18"/>
          <w:szCs w:val="18"/>
        </w:rPr>
        <w:t xml:space="preserve"> NRG-GY018 EUR</w:t>
      </w:r>
    </w:p>
    <w:p w14:paraId="446EFFD4" w14:textId="77777777" w:rsidR="00A3213F" w:rsidRPr="00AB6F27" w:rsidRDefault="00A3213F" w:rsidP="00A3213F">
      <w:pPr>
        <w:keepNext/>
        <w:rPr>
          <w:rFonts w:ascii="Arial Narrow" w:hAnsi="Arial Narrow" w:cstheme="minorHAnsi"/>
          <w:sz w:val="18"/>
          <w:szCs w:val="18"/>
        </w:rPr>
      </w:pPr>
      <w:r w:rsidRPr="00AB6F27">
        <w:rPr>
          <w:rFonts w:ascii="Arial Narrow" w:hAnsi="Arial Narrow"/>
          <w:sz w:val="18"/>
          <w:szCs w:val="18"/>
        </w:rPr>
        <w:t xml:space="preserve">Abbreviations: </w:t>
      </w:r>
      <w:r w:rsidRPr="00AB6F27">
        <w:rPr>
          <w:rFonts w:ascii="Arial Narrow" w:hAnsi="Arial Narrow" w:cstheme="minorHAnsi"/>
          <w:sz w:val="18"/>
          <w:szCs w:val="18"/>
        </w:rPr>
        <w:t>EUR = efficacy update report; IA1 = first interim analysis; DOS = dostarlimab; PEM = pembrolizumab; PBC = platinum based chemotherapy; DUR = durvalumab; PFS = progression free survival</w:t>
      </w:r>
    </w:p>
    <w:p w14:paraId="3E96FA96" w14:textId="350254B7" w:rsidR="00236CE8" w:rsidRPr="00AB6F27" w:rsidRDefault="00236CE8" w:rsidP="00A3213F">
      <w:pPr>
        <w:keepNext/>
        <w:rPr>
          <w:rFonts w:ascii="Arial Narrow" w:hAnsi="Arial Narrow" w:cstheme="minorHAnsi"/>
          <w:sz w:val="18"/>
          <w:szCs w:val="18"/>
        </w:rPr>
      </w:pPr>
      <w:proofErr w:type="spellStart"/>
      <w:r w:rsidRPr="00AB6F27">
        <w:rPr>
          <w:rFonts w:ascii="Arial Narrow" w:hAnsi="Arial Narrow" w:cstheme="minorHAnsi"/>
          <w:sz w:val="18"/>
          <w:szCs w:val="18"/>
          <w:vertAlign w:val="superscript"/>
        </w:rPr>
        <w:t>a</w:t>
      </w:r>
      <w:proofErr w:type="spellEnd"/>
      <w:r w:rsidRPr="00AB6F27">
        <w:rPr>
          <w:rFonts w:ascii="Arial Narrow" w:hAnsi="Arial Narrow" w:cstheme="minorHAnsi"/>
          <w:sz w:val="18"/>
          <w:szCs w:val="18"/>
          <w:vertAlign w:val="superscript"/>
        </w:rPr>
        <w:t xml:space="preserve"> </w:t>
      </w:r>
      <w:r w:rsidRPr="00AB6F27">
        <w:rPr>
          <w:rFonts w:ascii="Arial Narrow" w:hAnsi="Arial Narrow" w:cstheme="minorHAnsi"/>
          <w:sz w:val="18"/>
          <w:szCs w:val="18"/>
        </w:rPr>
        <w:t>For the ITC, the submission presented a ‘theoretical follow-up time’ for NRG-GY018 (dMMR 22.5 months; pMMR 18.3 months) which was longer than the follow-up time reported in the EUR (dMMR 19.2 months; pMMR 15.3 months). The submission claimed that the theoretical follow-up time was defined as the time between the date of randomisation until the date of database cutoff, for all patients, and that this definition was the same as RUBY-1. This was in place of the NRG-GY018 definition: the time between the date of randomisation until the date of death or the date of database cutoff for patients without documented death at the time of database cutoff.</w:t>
      </w:r>
      <w:r w:rsidR="003D3337" w:rsidRPr="00AB6F27">
        <w:rPr>
          <w:rFonts w:ascii="Arial Narrow" w:hAnsi="Arial Narrow" w:cstheme="minorHAnsi"/>
          <w:sz w:val="18"/>
          <w:szCs w:val="18"/>
        </w:rPr>
        <w:t xml:space="preserve"> The theoretical follow-up time could not be independently verified during evaluation.</w:t>
      </w:r>
    </w:p>
    <w:p w14:paraId="382E31B3" w14:textId="7F2A1313" w:rsidR="005F370C" w:rsidRPr="00AB6F27" w:rsidRDefault="005F370C" w:rsidP="00A3213F">
      <w:pPr>
        <w:keepNext/>
        <w:rPr>
          <w:rFonts w:ascii="Arial Narrow" w:hAnsi="Arial Narrow" w:cstheme="minorHAnsi"/>
          <w:sz w:val="18"/>
          <w:szCs w:val="18"/>
        </w:rPr>
      </w:pPr>
      <w:r w:rsidRPr="00AB6F27">
        <w:rPr>
          <w:rFonts w:ascii="Arial Narrow" w:hAnsi="Arial Narrow" w:cstheme="minorHAnsi"/>
          <w:sz w:val="18"/>
          <w:szCs w:val="18"/>
          <w:vertAlign w:val="superscript"/>
        </w:rPr>
        <w:t xml:space="preserve">b </w:t>
      </w:r>
      <w:r w:rsidRPr="00AB6F27">
        <w:rPr>
          <w:rFonts w:ascii="Arial Narrow" w:hAnsi="Arial Narrow" w:cstheme="minorHAnsi"/>
          <w:sz w:val="18"/>
          <w:szCs w:val="18"/>
        </w:rPr>
        <w:t xml:space="preserve">The median OS duration of follow-up was 18.4 months for DUR+PBC+OLA (dMMR), 19.1 months for </w:t>
      </w:r>
      <w:r w:rsidR="009E7055" w:rsidRPr="00AB6F27">
        <w:rPr>
          <w:rFonts w:ascii="Arial Narrow" w:hAnsi="Arial Narrow" w:cstheme="minorHAnsi"/>
          <w:sz w:val="18"/>
          <w:szCs w:val="18"/>
        </w:rPr>
        <w:t>PBO+PBC (dMMR), 18.2 months for DUR+PBC (pMMR) and 18.6 months for PBO+PBC (pMMR)</w:t>
      </w:r>
    </w:p>
    <w:p w14:paraId="0BCE1103" w14:textId="145BD846" w:rsidR="009E7055" w:rsidRPr="00AB6F27" w:rsidRDefault="009E7055" w:rsidP="00A3213F">
      <w:pPr>
        <w:keepNext/>
        <w:rPr>
          <w:rFonts w:ascii="Arial Narrow" w:hAnsi="Arial Narrow" w:cstheme="minorHAnsi"/>
          <w:sz w:val="18"/>
          <w:szCs w:val="18"/>
        </w:rPr>
      </w:pPr>
      <w:r w:rsidRPr="00AB6F27">
        <w:rPr>
          <w:rFonts w:ascii="Arial Narrow" w:hAnsi="Arial Narrow" w:cstheme="minorHAnsi"/>
          <w:sz w:val="18"/>
          <w:szCs w:val="18"/>
          <w:vertAlign w:val="superscript"/>
        </w:rPr>
        <w:t xml:space="preserve">c </w:t>
      </w:r>
      <w:r w:rsidRPr="00AB6F27">
        <w:rPr>
          <w:rFonts w:ascii="Arial Narrow" w:hAnsi="Arial Narrow" w:cstheme="minorHAnsi"/>
          <w:sz w:val="18"/>
          <w:szCs w:val="18"/>
        </w:rPr>
        <w:t>The median PFS duration of follow-up was 10.2 months for PBO+PBC (dMMR), 15.5 months for DUR+PBC (dMMR), 12.8 months for PBO+PBC (pMMR) and 15.2 months for DUR+PBC+OLA (pMMR)</w:t>
      </w:r>
    </w:p>
    <w:p w14:paraId="71593DCE" w14:textId="77777777" w:rsidR="00A3213F" w:rsidRPr="00AB6F27" w:rsidRDefault="00A3213F" w:rsidP="00A3213F">
      <w:pPr>
        <w:keepNext/>
        <w:rPr>
          <w:rFonts w:ascii="Arial Narrow" w:hAnsi="Arial Narrow"/>
          <w:sz w:val="18"/>
          <w:szCs w:val="18"/>
        </w:rPr>
      </w:pPr>
    </w:p>
    <w:p w14:paraId="1049F589" w14:textId="18D12A72" w:rsidR="006A1FED" w:rsidRPr="00DF01CF" w:rsidRDefault="276831DC" w:rsidP="006A1FED">
      <w:pPr>
        <w:pStyle w:val="3-BodyText"/>
      </w:pPr>
      <w:bookmarkStart w:id="41" w:name="_Ref196673023"/>
      <w:r>
        <w:t xml:space="preserve">The evaluation and the ESC noted the differences in event rates between the dMMR common comparator arms (placebo), with a larger proportion of patients randomised to placebo in NRG-GY018 remaining progression free at 24 months (31.1%) compared to RUBY-1 (15.7%). Similarly, a larger proportion of patients randomised to placebo in NRG-GY018 remained alive at 18 months (73.9%) compared to RUBY-1 (67.3%) and DUO-E (65.8%). The evaluation and the ESC considered this may indicate that there was poor exchangeability in the dMMR population between these trials and the results of an ITC based on these results may be uncertain. In the pMMR population, differences in event rates between the common comparator arms (placebo) were less pronounced. </w:t>
      </w:r>
    </w:p>
    <w:p w14:paraId="0A1A18B2" w14:textId="4AB35B66" w:rsidR="006A1FED" w:rsidRPr="00DF01CF" w:rsidRDefault="006A1FED" w:rsidP="006A1FED">
      <w:pPr>
        <w:pStyle w:val="3-BodyText"/>
      </w:pPr>
      <w:r w:rsidRPr="00DF01CF">
        <w:lastRenderedPageBreak/>
        <w:t xml:space="preserve">Overall, the evaluation and the ESC considered there were significant exchangeability issues with the trials included in the ITC. In addition, comparisons in the pMMR population were reliant on exploratory subgroup analyses of RUBY-1 and DUO-E, and therefore were associated with a higher degree of uncertainty. </w:t>
      </w:r>
    </w:p>
    <w:p w14:paraId="31237542" w14:textId="79FB1DC1" w:rsidR="00C10E53" w:rsidRPr="00DF01CF" w:rsidRDefault="00C10E53" w:rsidP="00A3213F">
      <w:pPr>
        <w:pStyle w:val="3-BodyText"/>
      </w:pPr>
      <w:r w:rsidRPr="00DF01CF">
        <w:t xml:space="preserve">The ESC considered a key reason for the different event rates in the common comparator arms was the early </w:t>
      </w:r>
      <w:r w:rsidR="00AB2D03">
        <w:t>treatment switching</w:t>
      </w:r>
      <w:r w:rsidRPr="00DF01CF">
        <w:t xml:space="preserve"> in</w:t>
      </w:r>
      <w:r w:rsidR="00AB2D03">
        <w:t xml:space="preserve"> the</w:t>
      </w:r>
      <w:r w:rsidRPr="00DF01CF">
        <w:t xml:space="preserve"> NRG-GY018 </w:t>
      </w:r>
      <w:r w:rsidR="00AB2D03">
        <w:t xml:space="preserve">trial </w:t>
      </w:r>
      <w:r w:rsidRPr="00DF01CF">
        <w:t>after IA1 (median follow-up of 13.6 months), with higher rates of subsequent ant</w:t>
      </w:r>
      <w:r w:rsidR="00DA34F9">
        <w:t>i</w:t>
      </w:r>
      <w:r w:rsidRPr="00DF01CF">
        <w:t>-PD-(L)1 use in the placebo arm of NRG-GY018</w:t>
      </w:r>
      <w:r w:rsidR="006E163F" w:rsidRPr="00DF01CF">
        <w:t xml:space="preserve"> than the other trials (e.g.</w:t>
      </w:r>
      <w:r w:rsidRPr="00DF01CF">
        <w:t xml:space="preserve"> EUR 48.2% versus RUBY-1 IA1 38.5%</w:t>
      </w:r>
      <w:r w:rsidR="006E163F" w:rsidRPr="00DF01CF">
        <w:t xml:space="preserve">, in the </w:t>
      </w:r>
      <w:r w:rsidRPr="00DF01CF">
        <w:t>dMMR subpopulations).</w:t>
      </w:r>
    </w:p>
    <w:p w14:paraId="07A50738" w14:textId="26B8967A" w:rsidR="00A3213F" w:rsidRPr="00DF01CF" w:rsidRDefault="00C10E53" w:rsidP="00A3213F">
      <w:pPr>
        <w:pStyle w:val="3-BodyText"/>
      </w:pPr>
      <w:r w:rsidRPr="00DF01CF">
        <w:t>The evaluation identified a range of o</w:t>
      </w:r>
      <w:r w:rsidR="00A3213F" w:rsidRPr="00DF01CF">
        <w:t xml:space="preserve">ther factors </w:t>
      </w:r>
      <w:r w:rsidRPr="00DF01CF">
        <w:t xml:space="preserve">that may have </w:t>
      </w:r>
      <w:r w:rsidR="00A3213F" w:rsidRPr="00DF01CF">
        <w:t>impact</w:t>
      </w:r>
      <w:r w:rsidRPr="00DF01CF">
        <w:t>ed</w:t>
      </w:r>
      <w:r w:rsidR="00A3213F" w:rsidRPr="00DF01CF">
        <w:t xml:space="preserve"> the comparability of treatment efficacy between trials</w:t>
      </w:r>
      <w:r w:rsidRPr="00DF01CF">
        <w:t>, though the ESC considered these were less relevant than the early cross-over in NRG-GY018. These factors</w:t>
      </w:r>
      <w:r w:rsidR="00A3213F" w:rsidRPr="00DF01CF">
        <w:t xml:space="preserve"> included:</w:t>
      </w:r>
      <w:bookmarkEnd w:id="41"/>
    </w:p>
    <w:p w14:paraId="46CAD8A8" w14:textId="694DE0CE" w:rsidR="00E67B42" w:rsidRPr="00DF01CF" w:rsidRDefault="00A3213F" w:rsidP="0037102E">
      <w:pPr>
        <w:pStyle w:val="3-BodyText"/>
        <w:numPr>
          <w:ilvl w:val="0"/>
          <w:numId w:val="16"/>
        </w:numPr>
      </w:pPr>
      <w:r w:rsidRPr="00DF01CF">
        <w:t>NRG-GY018 was the only trial powered to detect PFS differences in the dMMR and pMMR population</w:t>
      </w:r>
      <w:r w:rsidR="009A3F9F" w:rsidRPr="00DF01CF">
        <w:t>s</w:t>
      </w:r>
      <w:r w:rsidR="00E67B42" w:rsidRPr="00DF01CF">
        <w:t>;</w:t>
      </w:r>
    </w:p>
    <w:p w14:paraId="429F60B5" w14:textId="3E228DB6" w:rsidR="00B60379" w:rsidRPr="00DF01CF" w:rsidRDefault="737CB245" w:rsidP="7A59D51F">
      <w:pPr>
        <w:pStyle w:val="ListParagraph"/>
      </w:pPr>
      <w:r>
        <w:t xml:space="preserve">The median duration of follow-up </w:t>
      </w:r>
      <w:r w:rsidR="70791426">
        <w:t xml:space="preserve">for PFS </w:t>
      </w:r>
      <w:r>
        <w:t xml:space="preserve">varied between NRG-GY018 EUR (dMMR: 19.2 months, pMMR: 15.3 months), RUBY-1 (dMMR: 24.8 months, pMMR: 25.7 months) and DUO-E (dMMR 10.2–15.5 months; pMMR: </w:t>
      </w:r>
      <w:r w:rsidR="70791426">
        <w:t>12.8–</w:t>
      </w:r>
      <w:r>
        <w:t>15.2 months). A longer duration of follow-up was likely correlated to more PFS and OS events and more certainty in the data;</w:t>
      </w:r>
    </w:p>
    <w:p w14:paraId="774DD70B" w14:textId="2E052B09" w:rsidR="00B60379" w:rsidRPr="00DF01CF" w:rsidRDefault="00B60379" w:rsidP="0037102E">
      <w:pPr>
        <w:pStyle w:val="ListParagraph"/>
        <w:numPr>
          <w:ilvl w:val="0"/>
          <w:numId w:val="16"/>
        </w:numPr>
      </w:pPr>
      <w:r w:rsidRPr="00DF01CF">
        <w:t>The frequency of tumour assessments differed across the three trials;</w:t>
      </w:r>
    </w:p>
    <w:p w14:paraId="71A2A3CD" w14:textId="4EA357E8" w:rsidR="00A3213F" w:rsidRPr="00DF01CF" w:rsidRDefault="00A3213F" w:rsidP="0037102E">
      <w:pPr>
        <w:pStyle w:val="ListParagraph"/>
        <w:numPr>
          <w:ilvl w:val="0"/>
          <w:numId w:val="16"/>
        </w:numPr>
      </w:pPr>
      <w:r w:rsidRPr="00DF01CF">
        <w:t>The proportion of Asian patients was substantially lower in NRG-GYO18 (dMMR: 3.2%, pMMR: 5.4%) and RUBY-1 (dMMR: 1.7%, pMMR: 3.5%) compared with DUO</w:t>
      </w:r>
      <w:r w:rsidR="006327F0" w:rsidRPr="00DF01CF">
        <w:noBreakHyphen/>
      </w:r>
      <w:r w:rsidRPr="00DF01CF">
        <w:t>E (dMMR: 30.5%, pMMR: 30.0%). Kim</w:t>
      </w:r>
      <w:r w:rsidR="00086B90" w:rsidRPr="00DF01CF">
        <w:t xml:space="preserve"> et al</w:t>
      </w:r>
      <w:r w:rsidRPr="00DF01CF">
        <w:t xml:space="preserve"> 2024, a meta-analyses of immunotherapy trials in A/R EC, reported that Caucasian patients appear to have better PFS outcomes (PFS HR 0.52; 95% CI: 0.43, 0.63) from checkpoint inhibitors than non-Caucasian patients (PFS HR 0.67; 95% CI: 0.42, 1.07); </w:t>
      </w:r>
    </w:p>
    <w:p w14:paraId="264E2AE9" w14:textId="1199699B" w:rsidR="00520418" w:rsidRPr="00DF01CF" w:rsidRDefault="00A3213F" w:rsidP="0037102E">
      <w:pPr>
        <w:pStyle w:val="ListParagraph"/>
        <w:numPr>
          <w:ilvl w:val="0"/>
          <w:numId w:val="16"/>
        </w:numPr>
      </w:pPr>
      <w:r w:rsidRPr="00DF01CF">
        <w:t xml:space="preserve">Patients with carcinosarcoma histology </w:t>
      </w:r>
      <w:r w:rsidR="00A72C4C" w:rsidRPr="00DF01CF">
        <w:t xml:space="preserve">were </w:t>
      </w:r>
      <w:r w:rsidRPr="00DF01CF">
        <w:t>excluded from NRG-GY018, however were included in RUBY-1 and DUO-E</w:t>
      </w:r>
      <w:r w:rsidR="006327F0" w:rsidRPr="00DF01CF">
        <w:t xml:space="preserve">. </w:t>
      </w:r>
      <w:r w:rsidR="00F869F2" w:rsidRPr="00DF01CF">
        <w:t>In addition, more pMMR patients in NRG-GY018 and DUO-E had endometroid histology compared to RUBY-1 (52.1% [311/597] versus 54.4% [313/575] versus 45.2% [170/376], respectively)</w:t>
      </w:r>
      <w:r w:rsidR="00520418" w:rsidRPr="00DF01CF">
        <w:t>;</w:t>
      </w:r>
      <w:r w:rsidR="0032600E" w:rsidRPr="00DF01CF">
        <w:t xml:space="preserve"> </w:t>
      </w:r>
    </w:p>
    <w:p w14:paraId="5A124D50" w14:textId="0F4FAAD7" w:rsidR="0032600E" w:rsidRPr="00DF01CF" w:rsidRDefault="00520418" w:rsidP="0037102E">
      <w:pPr>
        <w:pStyle w:val="ListParagraph"/>
        <w:numPr>
          <w:ilvl w:val="0"/>
          <w:numId w:val="16"/>
        </w:numPr>
      </w:pPr>
      <w:r w:rsidRPr="00DF01CF">
        <w:t>I</w:t>
      </w:r>
      <w:r w:rsidR="0032600E" w:rsidRPr="00DF01CF">
        <w:t>n NRG-GY018</w:t>
      </w:r>
      <w:r w:rsidR="00304A7E">
        <w:t>,</w:t>
      </w:r>
      <w:r w:rsidR="0032600E" w:rsidRPr="00DF01CF">
        <w:t xml:space="preserve"> 10.8% (24/222) of dMMR patients and 9.9% (59/597) of </w:t>
      </w:r>
      <w:r w:rsidR="00872592" w:rsidRPr="00DF01CF">
        <w:t xml:space="preserve">pMMR </w:t>
      </w:r>
      <w:r w:rsidR="0032600E" w:rsidRPr="00DF01CF">
        <w:t xml:space="preserve">patients had adenocarcinomas not otherwise specified (NOS) histology. There were </w:t>
      </w:r>
      <w:r w:rsidR="00EB6E3D" w:rsidRPr="00DF01CF">
        <w:t>no</w:t>
      </w:r>
      <w:r w:rsidR="0032600E" w:rsidRPr="00DF01CF">
        <w:t xml:space="preserve"> patients with adenocarcinoma NOS in RUBY-1, and DUO-E did not report any patients with this histology</w:t>
      </w:r>
      <w:r w:rsidR="00F657CC" w:rsidRPr="00DF01CF">
        <w:t xml:space="preserve">. </w:t>
      </w:r>
      <w:r w:rsidR="0032600E" w:rsidRPr="00DF01CF">
        <w:t>Adenocarcinomas are classified as Type I tumours, which are typically low grade and have a better prognosis than Type II tumours</w:t>
      </w:r>
      <w:r w:rsidR="00B60379" w:rsidRPr="00DF01CF">
        <w:t>;</w:t>
      </w:r>
    </w:p>
    <w:p w14:paraId="79D5FAB7" w14:textId="4CB37BC4" w:rsidR="00F869F2" w:rsidRPr="00DF01CF" w:rsidRDefault="6F709AB6" w:rsidP="7A59D51F">
      <w:pPr>
        <w:pStyle w:val="ListBullet"/>
        <w:spacing w:after="120"/>
        <w:ind w:left="1434" w:hanging="357"/>
      </w:pPr>
      <w:r>
        <w:lastRenderedPageBreak/>
        <w:t xml:space="preserve">Patients </w:t>
      </w:r>
      <w:r w:rsidR="6B470433">
        <w:t xml:space="preserve">were </w:t>
      </w:r>
      <w:r>
        <w:t xml:space="preserve">required </w:t>
      </w:r>
      <w:r w:rsidR="6B470433">
        <w:t xml:space="preserve">to have </w:t>
      </w:r>
      <w:r>
        <w:t>a disease</w:t>
      </w:r>
      <w:r w:rsidR="43C077B5">
        <w:t>-</w:t>
      </w:r>
      <w:r>
        <w:t>free interval of ≥12 months to be eligible for NRG-GY018 and DUO-E, whereas RUBY-1 allowed patients with a disease</w:t>
      </w:r>
      <w:r w:rsidR="43C077B5">
        <w:t>-</w:t>
      </w:r>
      <w:r>
        <w:t xml:space="preserve">free interval of ≥6 months to enrol. There is some evidence that longer progression-free intervals after primary chemotherapy treatment may be a predictor of improved survival after recurrence in A/R EC and as such, patients in RUBY-1 </w:t>
      </w:r>
      <w:proofErr w:type="gramStart"/>
      <w:r>
        <w:t>may have,</w:t>
      </w:r>
      <w:proofErr w:type="gramEnd"/>
      <w:r>
        <w:t xml:space="preserve"> on average, a poorer prognosis than patients in NRG-GY018 and DUO-E;</w:t>
      </w:r>
      <w:r w:rsidR="65310E9D">
        <w:t xml:space="preserve"> and</w:t>
      </w:r>
    </w:p>
    <w:p w14:paraId="5F4F3817" w14:textId="5B22CA8B" w:rsidR="00991FDC" w:rsidRPr="00DF01CF" w:rsidRDefault="19619335" w:rsidP="25BAA536">
      <w:pPr>
        <w:pStyle w:val="ListParagraph"/>
      </w:pPr>
      <w:r>
        <w:t>In the dMMR population</w:t>
      </w:r>
      <w:r w:rsidR="2A0BA748">
        <w:t xml:space="preserve">, </w:t>
      </w:r>
      <w:r w:rsidR="38720D95">
        <w:t>t</w:t>
      </w:r>
      <w:r w:rsidR="53D2CA6D">
        <w:t>he proportion of patients with an ECOG PS score of 0 was higher in NRG-GY018 (64% [142/222]) compared with either RUBY-1 or DUO-E (57% [67/118] and 58% [83/143], respectively)</w:t>
      </w:r>
      <w:r w:rsidR="7752DFD2">
        <w:t>. In the pMMR population, the proportion of patients with an ECOG PS score of 0 was lower in RUBY-1 (63.3% [238/376] compared with either NRG-GY018 or DUO-E (67.2% [401/597] and 68.7% [395/575])</w:t>
      </w:r>
      <w:r w:rsidR="16AD53C7">
        <w:t>.</w:t>
      </w:r>
    </w:p>
    <w:p w14:paraId="3F32FBEE" w14:textId="1B8BF42E" w:rsidR="00A3213F" w:rsidRPr="00DF01CF" w:rsidRDefault="00A3213F" w:rsidP="00A3213F">
      <w:pPr>
        <w:pStyle w:val="3-BodyText"/>
      </w:pPr>
      <w:r w:rsidRPr="00DF01CF">
        <w:rPr>
          <w:highlight w:val="yellow"/>
        </w:rPr>
        <w:fldChar w:fldCharType="begin"/>
      </w:r>
      <w:r w:rsidRPr="00DF01CF">
        <w:instrText xml:space="preserve"> REF _Ref196302933 \h </w:instrText>
      </w:r>
      <w:r w:rsidR="00AB6F27" w:rsidRPr="00DF01CF">
        <w:rPr>
          <w:highlight w:val="yellow"/>
        </w:rPr>
        <w:instrText xml:space="preserve"> \* MERGEFORMAT </w:instrText>
      </w:r>
      <w:r w:rsidRPr="00DF01CF">
        <w:rPr>
          <w:highlight w:val="yellow"/>
        </w:rPr>
      </w:r>
      <w:r w:rsidRPr="00DF01CF">
        <w:rPr>
          <w:highlight w:val="yellow"/>
        </w:rPr>
        <w:fldChar w:fldCharType="separate"/>
      </w:r>
      <w:r w:rsidR="003359D3" w:rsidRPr="00DF01CF">
        <w:t xml:space="preserve">Table </w:t>
      </w:r>
      <w:r w:rsidR="003359D3">
        <w:rPr>
          <w:noProof/>
        </w:rPr>
        <w:t>8</w:t>
      </w:r>
      <w:r w:rsidRPr="00DF01CF">
        <w:rPr>
          <w:highlight w:val="yellow"/>
        </w:rPr>
        <w:fldChar w:fldCharType="end"/>
      </w:r>
      <w:r w:rsidRPr="00DF01CF">
        <w:t xml:space="preserve"> summarises the Bucher ITC and NMA results in the dMMR populations of NRG-GY018, RUBY-1 and DUO-E. </w:t>
      </w:r>
    </w:p>
    <w:p w14:paraId="21F7AA17" w14:textId="438773C1" w:rsidR="00A3213F" w:rsidRPr="00DF01CF" w:rsidRDefault="00A3213F" w:rsidP="00A3213F">
      <w:pPr>
        <w:pStyle w:val="Caption"/>
      </w:pPr>
      <w:bookmarkStart w:id="42" w:name="_Ref196302933"/>
      <w:r w:rsidRPr="00DF01CF">
        <w:lastRenderedPageBreak/>
        <w:t xml:space="preserve">Table </w:t>
      </w:r>
      <w:r w:rsidR="00976099" w:rsidRPr="00DF01CF">
        <w:fldChar w:fldCharType="begin"/>
      </w:r>
      <w:r w:rsidR="00976099" w:rsidRPr="00DF01CF">
        <w:instrText xml:space="preserve"> SEQ Table \* ARABIC </w:instrText>
      </w:r>
      <w:r w:rsidR="00976099" w:rsidRPr="00DF01CF">
        <w:fldChar w:fldCharType="separate"/>
      </w:r>
      <w:r w:rsidR="003359D3">
        <w:rPr>
          <w:noProof/>
        </w:rPr>
        <w:t>8</w:t>
      </w:r>
      <w:r w:rsidR="00976099" w:rsidRPr="00DF01CF">
        <w:rPr>
          <w:noProof/>
        </w:rPr>
        <w:fldChar w:fldCharType="end"/>
      </w:r>
      <w:bookmarkEnd w:id="42"/>
      <w:r w:rsidRPr="00DF01CF">
        <w:t>: Summary of Bucher ITC and NMA Results dMMR population</w:t>
      </w:r>
    </w:p>
    <w:tbl>
      <w:tblPr>
        <w:tblStyle w:val="TableGrid"/>
        <w:tblW w:w="0" w:type="auto"/>
        <w:tblLook w:val="04A0" w:firstRow="1" w:lastRow="0" w:firstColumn="1" w:lastColumn="0" w:noHBand="0" w:noVBand="1"/>
        <w:tblCaption w:val="Table 8: Summary of Bucher ITC and NMA Results dMMR population"/>
      </w:tblPr>
      <w:tblGrid>
        <w:gridCol w:w="1291"/>
        <w:gridCol w:w="1659"/>
        <w:gridCol w:w="918"/>
        <w:gridCol w:w="1715"/>
        <w:gridCol w:w="1704"/>
        <w:gridCol w:w="1730"/>
      </w:tblGrid>
      <w:tr w:rsidR="00A3213F" w:rsidRPr="00DF01CF" w14:paraId="1870FF9A" w14:textId="77777777" w:rsidTr="007B5E49">
        <w:trPr>
          <w:trHeight w:val="1099"/>
        </w:trPr>
        <w:tc>
          <w:tcPr>
            <w:tcW w:w="1336" w:type="dxa"/>
            <w:tcBorders>
              <w:bottom w:val="single" w:sz="4" w:space="0" w:color="auto"/>
            </w:tcBorders>
            <w:vAlign w:val="center"/>
          </w:tcPr>
          <w:p w14:paraId="3544E98E"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Arm of the trial</w:t>
            </w:r>
          </w:p>
        </w:tc>
        <w:tc>
          <w:tcPr>
            <w:tcW w:w="1813" w:type="dxa"/>
            <w:tcBorders>
              <w:bottom w:val="single" w:sz="4" w:space="0" w:color="auto"/>
            </w:tcBorders>
            <w:vAlign w:val="center"/>
          </w:tcPr>
          <w:p w14:paraId="2FC0C514"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 xml:space="preserve">Event </w:t>
            </w:r>
            <w:r w:rsidRPr="00DF01CF">
              <w:rPr>
                <w:rFonts w:ascii="Arial Narrow" w:hAnsi="Arial Narrow" w:cstheme="minorHAnsi"/>
                <w:b/>
                <w:sz w:val="20"/>
                <w:szCs w:val="20"/>
              </w:rPr>
              <w:br/>
              <w:t>n/N (%)</w:t>
            </w:r>
          </w:p>
        </w:tc>
        <w:tc>
          <w:tcPr>
            <w:tcW w:w="918" w:type="dxa"/>
            <w:tcBorders>
              <w:bottom w:val="single" w:sz="4" w:space="0" w:color="auto"/>
            </w:tcBorders>
            <w:vAlign w:val="center"/>
          </w:tcPr>
          <w:p w14:paraId="1155579A"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Median PFS (months)</w:t>
            </w:r>
          </w:p>
        </w:tc>
        <w:tc>
          <w:tcPr>
            <w:tcW w:w="1882" w:type="dxa"/>
            <w:tcBorders>
              <w:bottom w:val="single" w:sz="4" w:space="0" w:color="auto"/>
            </w:tcBorders>
            <w:vAlign w:val="center"/>
          </w:tcPr>
          <w:p w14:paraId="120E5F6D"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HR (95% CI)</w:t>
            </w:r>
          </w:p>
        </w:tc>
        <w:tc>
          <w:tcPr>
            <w:tcW w:w="1790" w:type="dxa"/>
            <w:tcBorders>
              <w:bottom w:val="single" w:sz="4" w:space="0" w:color="auto"/>
            </w:tcBorders>
            <w:vAlign w:val="center"/>
          </w:tcPr>
          <w:p w14:paraId="4C6FA014" w14:textId="1351191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 xml:space="preserve">Indirect comparison Bucher </w:t>
            </w:r>
            <w:r w:rsidRPr="00DF01CF">
              <w:rPr>
                <w:rFonts w:ascii="Arial Narrow" w:hAnsi="Arial Narrow" w:cstheme="minorHAnsi"/>
                <w:b/>
                <w:sz w:val="20"/>
                <w:szCs w:val="20"/>
              </w:rPr>
              <w:br/>
              <w:t xml:space="preserve">Fixed effects </w:t>
            </w:r>
            <w:r w:rsidR="00CE640F" w:rsidRPr="00DF01CF">
              <w:rPr>
                <w:rFonts w:ascii="Arial Narrow" w:hAnsi="Arial Narrow" w:cstheme="minorHAnsi"/>
                <w:b/>
                <w:sz w:val="20"/>
                <w:szCs w:val="20"/>
                <w:vertAlign w:val="superscript"/>
              </w:rPr>
              <w:t>b</w:t>
            </w:r>
            <w:r w:rsidRPr="00DF01CF">
              <w:rPr>
                <w:rFonts w:ascii="Arial Narrow" w:hAnsi="Arial Narrow" w:cstheme="minorHAnsi"/>
                <w:b/>
                <w:sz w:val="20"/>
                <w:szCs w:val="20"/>
              </w:rPr>
              <w:br/>
              <w:t>HR (95% CI)</w:t>
            </w:r>
            <w:r w:rsidRPr="00DF01CF">
              <w:rPr>
                <w:rFonts w:ascii="Arial Narrow" w:hAnsi="Arial Narrow" w:cstheme="minorHAnsi"/>
                <w:b/>
                <w:sz w:val="20"/>
                <w:szCs w:val="20"/>
              </w:rPr>
              <w:br/>
              <w:t>p-value</w:t>
            </w:r>
          </w:p>
        </w:tc>
        <w:tc>
          <w:tcPr>
            <w:tcW w:w="1820" w:type="dxa"/>
            <w:tcBorders>
              <w:bottom w:val="single" w:sz="4" w:space="0" w:color="auto"/>
            </w:tcBorders>
            <w:vAlign w:val="center"/>
          </w:tcPr>
          <w:p w14:paraId="715D040B" w14:textId="2C7A776B"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Indirect comparison</w:t>
            </w:r>
            <w:r w:rsidRPr="00DF01CF">
              <w:rPr>
                <w:rFonts w:ascii="Arial Narrow" w:hAnsi="Arial Narrow" w:cstheme="minorHAnsi"/>
                <w:b/>
                <w:sz w:val="20"/>
                <w:szCs w:val="20"/>
              </w:rPr>
              <w:br/>
              <w:t xml:space="preserve">Bayesian NMA </w:t>
            </w:r>
            <w:r w:rsidRPr="00DF01CF">
              <w:rPr>
                <w:rFonts w:ascii="Arial Narrow" w:hAnsi="Arial Narrow" w:cstheme="minorHAnsi"/>
                <w:b/>
                <w:sz w:val="20"/>
                <w:szCs w:val="20"/>
              </w:rPr>
              <w:br/>
              <w:t xml:space="preserve">Fixed effects </w:t>
            </w:r>
            <w:r w:rsidR="0051078C" w:rsidRPr="00DF01CF">
              <w:rPr>
                <w:rFonts w:ascii="Arial Narrow" w:hAnsi="Arial Narrow" w:cstheme="minorHAnsi"/>
                <w:b/>
                <w:sz w:val="20"/>
                <w:szCs w:val="20"/>
                <w:vertAlign w:val="superscript"/>
              </w:rPr>
              <w:t>c</w:t>
            </w:r>
            <w:r w:rsidRPr="00DF01CF">
              <w:rPr>
                <w:rFonts w:ascii="Arial Narrow" w:hAnsi="Arial Narrow" w:cstheme="minorHAnsi"/>
                <w:sz w:val="20"/>
                <w:szCs w:val="20"/>
              </w:rPr>
              <w:br/>
            </w:r>
            <w:r w:rsidRPr="00DF01CF">
              <w:rPr>
                <w:rFonts w:ascii="Arial Narrow" w:hAnsi="Arial Narrow" w:cstheme="minorHAnsi"/>
                <w:b/>
                <w:sz w:val="20"/>
                <w:szCs w:val="20"/>
              </w:rPr>
              <w:t>HR (95% CI)</w:t>
            </w:r>
          </w:p>
        </w:tc>
      </w:tr>
      <w:tr w:rsidR="00A3213F" w:rsidRPr="00DF01CF" w14:paraId="16105E9E" w14:textId="77777777" w:rsidTr="007B5E49">
        <w:tc>
          <w:tcPr>
            <w:tcW w:w="5949" w:type="dxa"/>
            <w:gridSpan w:val="4"/>
            <w:tcBorders>
              <w:right w:val="nil"/>
            </w:tcBorders>
          </w:tcPr>
          <w:p w14:paraId="420A761C" w14:textId="77777777" w:rsidR="00A3213F" w:rsidRPr="00DF01CF" w:rsidRDefault="00A3213F" w:rsidP="007B5E49">
            <w:pPr>
              <w:keepNext/>
              <w:jc w:val="left"/>
              <w:rPr>
                <w:rFonts w:ascii="Arial Narrow" w:hAnsi="Arial Narrow" w:cstheme="minorHAnsi"/>
                <w:b/>
                <w:bCs/>
                <w:sz w:val="20"/>
                <w:szCs w:val="20"/>
              </w:rPr>
            </w:pPr>
            <w:r w:rsidRPr="00DF01CF">
              <w:rPr>
                <w:rFonts w:ascii="Arial Narrow" w:hAnsi="Arial Narrow" w:cstheme="minorHAnsi"/>
                <w:b/>
                <w:bCs/>
                <w:sz w:val="20"/>
                <w:szCs w:val="20"/>
              </w:rPr>
              <w:t>Progression Free Survival</w:t>
            </w:r>
          </w:p>
        </w:tc>
        <w:tc>
          <w:tcPr>
            <w:tcW w:w="3610" w:type="dxa"/>
            <w:gridSpan w:val="2"/>
            <w:tcBorders>
              <w:left w:val="nil"/>
            </w:tcBorders>
          </w:tcPr>
          <w:p w14:paraId="2661EEBC" w14:textId="77777777" w:rsidR="00A3213F" w:rsidRPr="00DF01CF" w:rsidRDefault="00A3213F" w:rsidP="007B5E49">
            <w:pPr>
              <w:keepNext/>
              <w:jc w:val="center"/>
              <w:rPr>
                <w:rFonts w:ascii="Arial Narrow" w:hAnsi="Arial Narrow" w:cstheme="minorHAnsi"/>
                <w:b/>
                <w:sz w:val="20"/>
                <w:szCs w:val="20"/>
              </w:rPr>
            </w:pPr>
          </w:p>
        </w:tc>
      </w:tr>
      <w:tr w:rsidR="00A3213F" w:rsidRPr="00DF01CF" w14:paraId="06E09066" w14:textId="77777777" w:rsidTr="007B5E49">
        <w:tc>
          <w:tcPr>
            <w:tcW w:w="5949" w:type="dxa"/>
            <w:gridSpan w:val="4"/>
          </w:tcPr>
          <w:p w14:paraId="0D0A8F58" w14:textId="7362F9BC" w:rsidR="00A3213F" w:rsidRPr="00DF01CF" w:rsidRDefault="00A3213F" w:rsidP="007B5E49">
            <w:pPr>
              <w:keepNext/>
              <w:rPr>
                <w:rFonts w:ascii="Arial Narrow" w:hAnsi="Arial Narrow" w:cstheme="minorHAnsi"/>
                <w:b/>
                <w:sz w:val="20"/>
                <w:szCs w:val="20"/>
                <w:vertAlign w:val="superscript"/>
              </w:rPr>
            </w:pPr>
            <w:r w:rsidRPr="00DF01CF">
              <w:rPr>
                <w:rFonts w:ascii="Arial Narrow" w:hAnsi="Arial Narrow" w:cstheme="minorHAnsi"/>
                <w:b/>
                <w:bCs/>
                <w:sz w:val="20"/>
                <w:szCs w:val="20"/>
              </w:rPr>
              <w:t xml:space="preserve">NRG-GY018 EUR: </w:t>
            </w:r>
            <w:r w:rsidRPr="00DF01CF">
              <w:rPr>
                <w:rFonts w:ascii="Arial Narrow" w:hAnsi="Arial Narrow" w:cstheme="minorHAnsi"/>
                <w:b/>
                <w:sz w:val="20"/>
                <w:szCs w:val="20"/>
              </w:rPr>
              <w:t xml:space="preserve">22.5 months median FU (same definition as RUBY-1) </w:t>
            </w:r>
          </w:p>
        </w:tc>
        <w:tc>
          <w:tcPr>
            <w:tcW w:w="3610" w:type="dxa"/>
            <w:gridSpan w:val="2"/>
          </w:tcPr>
          <w:p w14:paraId="6929E26E"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PEM+PBC vs DOS+ PBC</w:t>
            </w:r>
          </w:p>
        </w:tc>
      </w:tr>
      <w:tr w:rsidR="00A3213F" w:rsidRPr="00DF01CF" w14:paraId="73FC71C5" w14:textId="77777777" w:rsidTr="007B5E49">
        <w:tc>
          <w:tcPr>
            <w:tcW w:w="1336" w:type="dxa"/>
          </w:tcPr>
          <w:p w14:paraId="701044E3"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cstheme="minorHAnsi"/>
                <w:bCs/>
                <w:sz w:val="20"/>
                <w:szCs w:val="20"/>
              </w:rPr>
              <w:t>PEM+PBC</w:t>
            </w:r>
          </w:p>
        </w:tc>
        <w:tc>
          <w:tcPr>
            <w:tcW w:w="1813" w:type="dxa"/>
            <w:vAlign w:val="center"/>
          </w:tcPr>
          <w:p w14:paraId="3B2F9C4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36 (32.7)</w:t>
            </w:r>
          </w:p>
        </w:tc>
        <w:tc>
          <w:tcPr>
            <w:tcW w:w="918" w:type="dxa"/>
            <w:vAlign w:val="center"/>
          </w:tcPr>
          <w:p w14:paraId="2C8ADACF"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NR</w:t>
            </w:r>
          </w:p>
        </w:tc>
        <w:tc>
          <w:tcPr>
            <w:tcW w:w="1882" w:type="dxa"/>
            <w:vMerge w:val="restart"/>
            <w:vAlign w:val="center"/>
          </w:tcPr>
          <w:p w14:paraId="65F90592"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0.35 (0.23, 0.52)</w:t>
            </w:r>
          </w:p>
        </w:tc>
        <w:tc>
          <w:tcPr>
            <w:tcW w:w="1790" w:type="dxa"/>
            <w:vMerge w:val="restart"/>
            <w:vAlign w:val="center"/>
          </w:tcPr>
          <w:p w14:paraId="1D57B218" w14:textId="3B574798"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 xml:space="preserve">1.24 </w:t>
            </w:r>
            <w:r w:rsidR="00B82A10" w:rsidRPr="00DF01CF">
              <w:rPr>
                <w:rFonts w:ascii="Arial Narrow" w:hAnsi="Arial Narrow" w:cstheme="minorHAnsi"/>
                <w:bCs/>
                <w:sz w:val="20"/>
                <w:szCs w:val="20"/>
              </w:rPr>
              <w:t>(</w:t>
            </w:r>
            <w:r w:rsidRPr="00DF01CF">
              <w:rPr>
                <w:rFonts w:ascii="Arial Narrow" w:hAnsi="Arial Narrow" w:cstheme="minorHAnsi"/>
                <w:bCs/>
                <w:sz w:val="20"/>
                <w:szCs w:val="20"/>
              </w:rPr>
              <w:t>0.62, 2.49</w:t>
            </w:r>
            <w:r w:rsidR="00B82A10" w:rsidRPr="00DF01CF">
              <w:rPr>
                <w:rFonts w:ascii="Arial Narrow" w:hAnsi="Arial Narrow" w:cstheme="minorHAnsi"/>
                <w:bCs/>
                <w:sz w:val="20"/>
                <w:szCs w:val="20"/>
              </w:rPr>
              <w:t>)</w:t>
            </w:r>
            <w:r w:rsidRPr="00DF01CF">
              <w:rPr>
                <w:rFonts w:ascii="Arial Narrow" w:hAnsi="Arial Narrow" w:cstheme="minorHAnsi"/>
                <w:bCs/>
                <w:sz w:val="20"/>
                <w:szCs w:val="20"/>
              </w:rPr>
              <w:br/>
              <w:t>p=0.549</w:t>
            </w:r>
          </w:p>
        </w:tc>
        <w:tc>
          <w:tcPr>
            <w:tcW w:w="1820" w:type="dxa"/>
            <w:vMerge w:val="restart"/>
            <w:vAlign w:val="center"/>
          </w:tcPr>
          <w:p w14:paraId="48580674" w14:textId="5DD595E2" w:rsidR="00A3213F" w:rsidRPr="00DF01CF" w:rsidRDefault="00A3213F" w:rsidP="007B5E49">
            <w:pPr>
              <w:keepNext/>
              <w:jc w:val="center"/>
              <w:rPr>
                <w:rFonts w:ascii="Arial Narrow" w:hAnsi="Arial Narrow" w:cstheme="minorHAnsi"/>
                <w:bCs/>
                <w:sz w:val="20"/>
                <w:szCs w:val="20"/>
                <w:vertAlign w:val="superscript"/>
              </w:rPr>
            </w:pPr>
            <w:r w:rsidRPr="00DF01CF">
              <w:rPr>
                <w:rFonts w:ascii="Arial Narrow" w:hAnsi="Arial Narrow" w:cstheme="minorHAnsi"/>
                <w:bCs/>
                <w:sz w:val="20"/>
                <w:szCs w:val="20"/>
              </w:rPr>
              <w:t xml:space="preserve">1.25 </w:t>
            </w:r>
            <w:r w:rsidR="00B82A10" w:rsidRPr="00DF01CF">
              <w:rPr>
                <w:rFonts w:ascii="Arial Narrow" w:hAnsi="Arial Narrow" w:cstheme="minorHAnsi"/>
                <w:bCs/>
                <w:sz w:val="20"/>
                <w:szCs w:val="20"/>
              </w:rPr>
              <w:t>(</w:t>
            </w:r>
            <w:r w:rsidRPr="00DF01CF">
              <w:rPr>
                <w:rFonts w:ascii="Arial Narrow" w:hAnsi="Arial Narrow" w:cstheme="minorHAnsi"/>
                <w:bCs/>
                <w:sz w:val="20"/>
                <w:szCs w:val="20"/>
              </w:rPr>
              <w:t>0.62, 2.51</w:t>
            </w:r>
            <w:r w:rsidR="00B82A10" w:rsidRPr="00DF01CF">
              <w:rPr>
                <w:rFonts w:ascii="Arial Narrow" w:hAnsi="Arial Narrow" w:cstheme="minorHAnsi"/>
                <w:bCs/>
                <w:sz w:val="20"/>
                <w:szCs w:val="20"/>
              </w:rPr>
              <w:t>)</w:t>
            </w:r>
            <w:r w:rsidRPr="00DF01CF">
              <w:rPr>
                <w:rFonts w:ascii="Arial Narrow" w:hAnsi="Arial Narrow" w:cstheme="minorHAnsi"/>
                <w:bCs/>
                <w:sz w:val="20"/>
                <w:szCs w:val="20"/>
              </w:rPr>
              <w:t xml:space="preserve"> </w:t>
            </w:r>
            <w:r w:rsidRPr="00DF01CF">
              <w:rPr>
                <w:rFonts w:ascii="Arial Narrow" w:hAnsi="Arial Narrow" w:cstheme="minorHAnsi"/>
                <w:bCs/>
                <w:sz w:val="20"/>
                <w:szCs w:val="20"/>
                <w:vertAlign w:val="superscript"/>
              </w:rPr>
              <w:t>b</w:t>
            </w:r>
          </w:p>
        </w:tc>
      </w:tr>
      <w:tr w:rsidR="00A3213F" w:rsidRPr="00DF01CF" w14:paraId="020419D1" w14:textId="77777777" w:rsidTr="007B5E49">
        <w:tc>
          <w:tcPr>
            <w:tcW w:w="1336" w:type="dxa"/>
          </w:tcPr>
          <w:p w14:paraId="36A58668" w14:textId="7CED1BD3" w:rsidR="00A3213F" w:rsidRPr="00DF01CF" w:rsidRDefault="003D3337" w:rsidP="007B5E49">
            <w:pPr>
              <w:keepNext/>
              <w:rPr>
                <w:rFonts w:ascii="Arial Narrow" w:hAnsi="Arial Narrow" w:cstheme="minorHAnsi"/>
                <w:bCs/>
                <w:sz w:val="20"/>
                <w:szCs w:val="20"/>
              </w:rPr>
            </w:pPr>
            <w:r w:rsidRPr="00DF01CF">
              <w:rPr>
                <w:rFonts w:ascii="Arial Narrow" w:hAnsi="Arial Narrow" w:cstheme="minorHAnsi"/>
                <w:bCs/>
                <w:sz w:val="20"/>
                <w:szCs w:val="20"/>
              </w:rPr>
              <w:t>PBO+</w:t>
            </w:r>
            <w:r w:rsidR="00A3213F" w:rsidRPr="00DF01CF">
              <w:rPr>
                <w:rFonts w:ascii="Arial Narrow" w:hAnsi="Arial Narrow" w:cstheme="minorHAnsi"/>
                <w:bCs/>
                <w:sz w:val="20"/>
                <w:szCs w:val="20"/>
              </w:rPr>
              <w:t>PBC</w:t>
            </w:r>
          </w:p>
        </w:tc>
        <w:tc>
          <w:tcPr>
            <w:tcW w:w="1813" w:type="dxa"/>
            <w:vAlign w:val="center"/>
          </w:tcPr>
          <w:p w14:paraId="072216BB"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70 (62.5)</w:t>
            </w:r>
          </w:p>
        </w:tc>
        <w:tc>
          <w:tcPr>
            <w:tcW w:w="918" w:type="dxa"/>
            <w:vAlign w:val="center"/>
          </w:tcPr>
          <w:p w14:paraId="41CEBA5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8.3</w:t>
            </w:r>
          </w:p>
        </w:tc>
        <w:tc>
          <w:tcPr>
            <w:tcW w:w="1882" w:type="dxa"/>
            <w:vMerge/>
            <w:vAlign w:val="center"/>
          </w:tcPr>
          <w:p w14:paraId="32CF23C6"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4F9C350D" w14:textId="77777777" w:rsidR="00A3213F" w:rsidRPr="00DF01CF" w:rsidRDefault="00A3213F" w:rsidP="007B5E49">
            <w:pPr>
              <w:keepNext/>
              <w:rPr>
                <w:rFonts w:ascii="Arial Narrow" w:hAnsi="Arial Narrow" w:cstheme="minorHAnsi"/>
                <w:sz w:val="20"/>
                <w:szCs w:val="20"/>
              </w:rPr>
            </w:pPr>
          </w:p>
        </w:tc>
        <w:tc>
          <w:tcPr>
            <w:tcW w:w="1820" w:type="dxa"/>
            <w:vMerge/>
          </w:tcPr>
          <w:p w14:paraId="36AC108F" w14:textId="77777777" w:rsidR="00A3213F" w:rsidRPr="00DF01CF" w:rsidRDefault="00A3213F" w:rsidP="007B5E49">
            <w:pPr>
              <w:keepNext/>
              <w:rPr>
                <w:rFonts w:ascii="Arial Narrow" w:hAnsi="Arial Narrow" w:cstheme="minorHAnsi"/>
                <w:sz w:val="20"/>
                <w:szCs w:val="20"/>
              </w:rPr>
            </w:pPr>
          </w:p>
        </w:tc>
      </w:tr>
      <w:tr w:rsidR="00A3213F" w:rsidRPr="00DF01CF" w14:paraId="6FEA0FBD" w14:textId="77777777" w:rsidTr="007B5E49">
        <w:trPr>
          <w:trHeight w:val="156"/>
        </w:trPr>
        <w:tc>
          <w:tcPr>
            <w:tcW w:w="5949" w:type="dxa"/>
            <w:gridSpan w:val="4"/>
          </w:tcPr>
          <w:p w14:paraId="725F0E8F"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RUBY-1 IA1: 24.8 months median FU</w:t>
            </w:r>
          </w:p>
        </w:tc>
        <w:tc>
          <w:tcPr>
            <w:tcW w:w="1790" w:type="dxa"/>
            <w:vMerge/>
          </w:tcPr>
          <w:p w14:paraId="43BE8787" w14:textId="77777777" w:rsidR="00A3213F" w:rsidRPr="00DF01CF" w:rsidRDefault="00A3213F" w:rsidP="007B5E49">
            <w:pPr>
              <w:keepNext/>
              <w:rPr>
                <w:rFonts w:ascii="Arial Narrow" w:hAnsi="Arial Narrow" w:cstheme="minorHAnsi"/>
                <w:sz w:val="20"/>
                <w:szCs w:val="20"/>
              </w:rPr>
            </w:pPr>
          </w:p>
        </w:tc>
        <w:tc>
          <w:tcPr>
            <w:tcW w:w="1820" w:type="dxa"/>
            <w:vMerge/>
          </w:tcPr>
          <w:p w14:paraId="7F620F18" w14:textId="77777777" w:rsidR="00A3213F" w:rsidRPr="00DF01CF" w:rsidRDefault="00A3213F" w:rsidP="007B5E49">
            <w:pPr>
              <w:keepNext/>
              <w:rPr>
                <w:rFonts w:ascii="Arial Narrow" w:hAnsi="Arial Narrow" w:cstheme="minorHAnsi"/>
                <w:sz w:val="20"/>
                <w:szCs w:val="20"/>
              </w:rPr>
            </w:pPr>
          </w:p>
        </w:tc>
      </w:tr>
      <w:tr w:rsidR="00A3213F" w:rsidRPr="00DF01CF" w14:paraId="32687149" w14:textId="77777777" w:rsidTr="007B5E49">
        <w:tc>
          <w:tcPr>
            <w:tcW w:w="1336" w:type="dxa"/>
          </w:tcPr>
          <w:p w14:paraId="016AC7F7"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cstheme="minorHAnsi"/>
                <w:bCs/>
                <w:sz w:val="20"/>
                <w:szCs w:val="20"/>
              </w:rPr>
              <w:t>DOS+PBC</w:t>
            </w:r>
          </w:p>
        </w:tc>
        <w:tc>
          <w:tcPr>
            <w:tcW w:w="1813" w:type="dxa"/>
            <w:vAlign w:val="center"/>
          </w:tcPr>
          <w:p w14:paraId="7885FD68"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19 (35.8)</w:t>
            </w:r>
          </w:p>
        </w:tc>
        <w:tc>
          <w:tcPr>
            <w:tcW w:w="918" w:type="dxa"/>
            <w:vAlign w:val="center"/>
          </w:tcPr>
          <w:p w14:paraId="47578534"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NR</w:t>
            </w:r>
          </w:p>
        </w:tc>
        <w:tc>
          <w:tcPr>
            <w:tcW w:w="1882" w:type="dxa"/>
            <w:vMerge w:val="restart"/>
            <w:vAlign w:val="center"/>
          </w:tcPr>
          <w:p w14:paraId="039DFC07"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0.28 (0.16, 0.50)</w:t>
            </w:r>
          </w:p>
        </w:tc>
        <w:tc>
          <w:tcPr>
            <w:tcW w:w="1790" w:type="dxa"/>
            <w:vMerge/>
          </w:tcPr>
          <w:p w14:paraId="5EDA4DBE" w14:textId="77777777" w:rsidR="00A3213F" w:rsidRPr="00DF01CF" w:rsidRDefault="00A3213F" w:rsidP="007B5E49">
            <w:pPr>
              <w:keepNext/>
              <w:rPr>
                <w:rFonts w:ascii="Arial Narrow" w:hAnsi="Arial Narrow" w:cstheme="minorHAnsi"/>
                <w:sz w:val="20"/>
                <w:szCs w:val="20"/>
              </w:rPr>
            </w:pPr>
          </w:p>
        </w:tc>
        <w:tc>
          <w:tcPr>
            <w:tcW w:w="1820" w:type="dxa"/>
            <w:vMerge/>
          </w:tcPr>
          <w:p w14:paraId="77E54A83" w14:textId="77777777" w:rsidR="00A3213F" w:rsidRPr="00DF01CF" w:rsidRDefault="00A3213F" w:rsidP="007B5E49">
            <w:pPr>
              <w:keepNext/>
              <w:rPr>
                <w:rFonts w:ascii="Arial Narrow" w:hAnsi="Arial Narrow" w:cstheme="minorHAnsi"/>
                <w:sz w:val="20"/>
                <w:szCs w:val="20"/>
              </w:rPr>
            </w:pPr>
          </w:p>
        </w:tc>
      </w:tr>
      <w:tr w:rsidR="00A3213F" w:rsidRPr="00DF01CF" w14:paraId="386332E2" w14:textId="77777777" w:rsidTr="007B5E49">
        <w:tc>
          <w:tcPr>
            <w:tcW w:w="1336" w:type="dxa"/>
          </w:tcPr>
          <w:p w14:paraId="6BCED45C" w14:textId="3D0DB8CF" w:rsidR="00A3213F" w:rsidRPr="00DF01CF" w:rsidRDefault="003D3337" w:rsidP="007B5E49">
            <w:pPr>
              <w:keepNext/>
              <w:rPr>
                <w:rFonts w:ascii="Arial Narrow" w:hAnsi="Arial Narrow" w:cstheme="minorHAnsi"/>
                <w:bCs/>
                <w:sz w:val="20"/>
                <w:szCs w:val="20"/>
              </w:rPr>
            </w:pPr>
            <w:r w:rsidRPr="00DF01CF">
              <w:rPr>
                <w:rFonts w:ascii="Arial Narrow" w:hAnsi="Arial Narrow" w:cstheme="minorHAnsi"/>
                <w:bCs/>
                <w:sz w:val="20"/>
                <w:szCs w:val="20"/>
              </w:rPr>
              <w:t>PBO+</w:t>
            </w:r>
            <w:r w:rsidR="00A3213F" w:rsidRPr="00DF01CF">
              <w:rPr>
                <w:rFonts w:ascii="Arial Narrow" w:hAnsi="Arial Narrow" w:cstheme="minorHAnsi"/>
                <w:bCs/>
                <w:sz w:val="20"/>
                <w:szCs w:val="20"/>
              </w:rPr>
              <w:t>PBC</w:t>
            </w:r>
          </w:p>
        </w:tc>
        <w:tc>
          <w:tcPr>
            <w:tcW w:w="1813" w:type="dxa"/>
            <w:vAlign w:val="center"/>
          </w:tcPr>
          <w:p w14:paraId="78B5BB43"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47 (72.3)</w:t>
            </w:r>
          </w:p>
        </w:tc>
        <w:tc>
          <w:tcPr>
            <w:tcW w:w="918" w:type="dxa"/>
            <w:vAlign w:val="center"/>
          </w:tcPr>
          <w:p w14:paraId="6EDE04A1"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NR</w:t>
            </w:r>
          </w:p>
        </w:tc>
        <w:tc>
          <w:tcPr>
            <w:tcW w:w="1882" w:type="dxa"/>
            <w:vMerge/>
            <w:vAlign w:val="center"/>
          </w:tcPr>
          <w:p w14:paraId="5664881A"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69C631C6" w14:textId="77777777" w:rsidR="00A3213F" w:rsidRPr="00DF01CF" w:rsidRDefault="00A3213F" w:rsidP="007B5E49">
            <w:pPr>
              <w:keepNext/>
              <w:rPr>
                <w:rFonts w:ascii="Arial Narrow" w:hAnsi="Arial Narrow" w:cstheme="minorHAnsi"/>
                <w:sz w:val="20"/>
                <w:szCs w:val="20"/>
              </w:rPr>
            </w:pPr>
          </w:p>
        </w:tc>
        <w:tc>
          <w:tcPr>
            <w:tcW w:w="1820" w:type="dxa"/>
            <w:vMerge/>
          </w:tcPr>
          <w:p w14:paraId="73705B15" w14:textId="77777777" w:rsidR="00A3213F" w:rsidRPr="00DF01CF" w:rsidRDefault="00A3213F" w:rsidP="007B5E49">
            <w:pPr>
              <w:keepNext/>
              <w:rPr>
                <w:rFonts w:ascii="Arial Narrow" w:hAnsi="Arial Narrow" w:cstheme="minorHAnsi"/>
                <w:sz w:val="20"/>
                <w:szCs w:val="20"/>
              </w:rPr>
            </w:pPr>
          </w:p>
        </w:tc>
      </w:tr>
      <w:tr w:rsidR="00A3213F" w:rsidRPr="00DF01CF" w14:paraId="1178F062" w14:textId="77777777" w:rsidTr="007B5E49">
        <w:tc>
          <w:tcPr>
            <w:tcW w:w="5949" w:type="dxa"/>
            <w:gridSpan w:val="4"/>
          </w:tcPr>
          <w:p w14:paraId="50A3E47D"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NRG-GY018 EUR 22.5 months median FU</w:t>
            </w:r>
          </w:p>
        </w:tc>
        <w:tc>
          <w:tcPr>
            <w:tcW w:w="3610" w:type="dxa"/>
            <w:gridSpan w:val="2"/>
          </w:tcPr>
          <w:p w14:paraId="3A8167D4"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PEM+PBC vs DUR+PBC</w:t>
            </w:r>
          </w:p>
        </w:tc>
      </w:tr>
      <w:tr w:rsidR="00A3213F" w:rsidRPr="00DF01CF" w14:paraId="729CA741" w14:textId="77777777" w:rsidTr="007B5E49">
        <w:tc>
          <w:tcPr>
            <w:tcW w:w="1336" w:type="dxa"/>
          </w:tcPr>
          <w:p w14:paraId="67AA9433"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cstheme="minorHAnsi"/>
                <w:bCs/>
                <w:sz w:val="20"/>
                <w:szCs w:val="20"/>
              </w:rPr>
              <w:t>PEM+PBC</w:t>
            </w:r>
          </w:p>
        </w:tc>
        <w:tc>
          <w:tcPr>
            <w:tcW w:w="1813" w:type="dxa"/>
            <w:vAlign w:val="center"/>
          </w:tcPr>
          <w:p w14:paraId="16045600"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36 (32.7)</w:t>
            </w:r>
          </w:p>
        </w:tc>
        <w:tc>
          <w:tcPr>
            <w:tcW w:w="918" w:type="dxa"/>
            <w:vAlign w:val="center"/>
          </w:tcPr>
          <w:p w14:paraId="3F63FFF0"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NR</w:t>
            </w:r>
          </w:p>
        </w:tc>
        <w:tc>
          <w:tcPr>
            <w:tcW w:w="1882" w:type="dxa"/>
            <w:vMerge w:val="restart"/>
            <w:vAlign w:val="center"/>
          </w:tcPr>
          <w:p w14:paraId="7A5E6E07"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0.35 (0.23, 0.52)</w:t>
            </w:r>
          </w:p>
        </w:tc>
        <w:tc>
          <w:tcPr>
            <w:tcW w:w="1790" w:type="dxa"/>
            <w:vMerge w:val="restart"/>
            <w:vAlign w:val="center"/>
          </w:tcPr>
          <w:p w14:paraId="13B00C90" w14:textId="59C5B684"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0.83 </w:t>
            </w:r>
            <w:r w:rsidR="00B82A10" w:rsidRPr="00DF01CF">
              <w:rPr>
                <w:rFonts w:ascii="Arial Narrow" w:hAnsi="Arial Narrow" w:cstheme="minorHAnsi"/>
                <w:sz w:val="20"/>
                <w:szCs w:val="20"/>
              </w:rPr>
              <w:t>(</w:t>
            </w:r>
            <w:r w:rsidRPr="00DF01CF">
              <w:rPr>
                <w:rFonts w:ascii="Arial Narrow" w:hAnsi="Arial Narrow" w:cstheme="minorHAnsi"/>
                <w:sz w:val="20"/>
                <w:szCs w:val="20"/>
              </w:rPr>
              <w:t>0.39, 1.77</w:t>
            </w:r>
            <w:r w:rsidR="00B82A10" w:rsidRPr="00DF01CF">
              <w:rPr>
                <w:rFonts w:ascii="Arial Narrow" w:hAnsi="Arial Narrow" w:cstheme="minorHAnsi"/>
                <w:sz w:val="20"/>
                <w:szCs w:val="20"/>
              </w:rPr>
              <w:t>)</w:t>
            </w:r>
            <w:r w:rsidRPr="00DF01CF">
              <w:rPr>
                <w:rFonts w:ascii="Arial Narrow" w:hAnsi="Arial Narrow" w:cstheme="minorHAnsi"/>
                <w:sz w:val="20"/>
                <w:szCs w:val="20"/>
              </w:rPr>
              <w:br/>
              <w:t>p=0.623</w:t>
            </w:r>
          </w:p>
        </w:tc>
        <w:tc>
          <w:tcPr>
            <w:tcW w:w="1820" w:type="dxa"/>
            <w:vMerge w:val="restart"/>
            <w:vAlign w:val="center"/>
          </w:tcPr>
          <w:p w14:paraId="63DEBA44" w14:textId="558762E7" w:rsidR="00A3213F" w:rsidRPr="00DF01CF" w:rsidRDefault="00A3213F" w:rsidP="007B5E49">
            <w:pPr>
              <w:keepNext/>
              <w:jc w:val="center"/>
              <w:rPr>
                <w:rFonts w:ascii="Arial Narrow" w:hAnsi="Arial Narrow" w:cstheme="minorHAnsi"/>
                <w:sz w:val="20"/>
                <w:szCs w:val="20"/>
                <w:vertAlign w:val="superscript"/>
              </w:rPr>
            </w:pPr>
            <w:r w:rsidRPr="00DF01CF">
              <w:rPr>
                <w:rFonts w:ascii="Arial Narrow" w:hAnsi="Arial Narrow" w:cstheme="minorHAnsi"/>
                <w:sz w:val="20"/>
                <w:szCs w:val="20"/>
              </w:rPr>
              <w:t xml:space="preserve">0.83 </w:t>
            </w:r>
            <w:r w:rsidR="00B82A10" w:rsidRPr="00DF01CF">
              <w:rPr>
                <w:rFonts w:ascii="Arial Narrow" w:hAnsi="Arial Narrow" w:cstheme="minorHAnsi"/>
                <w:sz w:val="20"/>
                <w:szCs w:val="20"/>
              </w:rPr>
              <w:t>(</w:t>
            </w:r>
            <w:r w:rsidRPr="00DF01CF">
              <w:rPr>
                <w:rFonts w:ascii="Arial Narrow" w:hAnsi="Arial Narrow" w:cstheme="minorHAnsi"/>
                <w:sz w:val="20"/>
                <w:szCs w:val="20"/>
              </w:rPr>
              <w:t>0.39, 1.79</w:t>
            </w:r>
            <w:r w:rsidR="00B82A10" w:rsidRPr="00DF01CF">
              <w:rPr>
                <w:rFonts w:ascii="Arial Narrow" w:hAnsi="Arial Narrow" w:cstheme="minorHAnsi"/>
                <w:sz w:val="20"/>
                <w:szCs w:val="20"/>
              </w:rPr>
              <w:t>)</w:t>
            </w:r>
            <w:r w:rsidRPr="00DF01CF">
              <w:rPr>
                <w:rFonts w:ascii="Arial Narrow" w:hAnsi="Arial Narrow" w:cstheme="minorHAnsi"/>
                <w:sz w:val="20"/>
                <w:szCs w:val="20"/>
              </w:rPr>
              <w:t xml:space="preserve"> </w:t>
            </w:r>
            <w:r w:rsidRPr="00DF01CF">
              <w:rPr>
                <w:rFonts w:ascii="Arial Narrow" w:hAnsi="Arial Narrow" w:cstheme="minorHAnsi"/>
                <w:sz w:val="20"/>
                <w:szCs w:val="20"/>
                <w:vertAlign w:val="superscript"/>
              </w:rPr>
              <w:t>b</w:t>
            </w:r>
          </w:p>
        </w:tc>
      </w:tr>
      <w:tr w:rsidR="00A3213F" w:rsidRPr="00DF01CF" w14:paraId="5A609C16" w14:textId="77777777" w:rsidTr="007B5E49">
        <w:tc>
          <w:tcPr>
            <w:tcW w:w="1336" w:type="dxa"/>
          </w:tcPr>
          <w:p w14:paraId="7EC95FAC" w14:textId="46635538" w:rsidR="00A3213F" w:rsidRPr="00DF01CF" w:rsidRDefault="003D3337" w:rsidP="007B5E49">
            <w:pPr>
              <w:keepNext/>
              <w:rPr>
                <w:rFonts w:ascii="Arial Narrow" w:hAnsi="Arial Narrow" w:cstheme="minorHAnsi"/>
                <w:bCs/>
                <w:sz w:val="20"/>
                <w:szCs w:val="20"/>
              </w:rPr>
            </w:pPr>
            <w:r w:rsidRPr="00DF01CF">
              <w:rPr>
                <w:rFonts w:ascii="Arial Narrow" w:hAnsi="Arial Narrow" w:cstheme="minorHAnsi"/>
                <w:bCs/>
                <w:sz w:val="20"/>
                <w:szCs w:val="20"/>
              </w:rPr>
              <w:t>PBO+</w:t>
            </w:r>
            <w:r w:rsidR="00A3213F" w:rsidRPr="00DF01CF">
              <w:rPr>
                <w:rFonts w:ascii="Arial Narrow" w:hAnsi="Arial Narrow" w:cstheme="minorHAnsi"/>
                <w:bCs/>
                <w:sz w:val="20"/>
                <w:szCs w:val="20"/>
              </w:rPr>
              <w:t>PBC</w:t>
            </w:r>
          </w:p>
        </w:tc>
        <w:tc>
          <w:tcPr>
            <w:tcW w:w="1813" w:type="dxa"/>
            <w:vAlign w:val="center"/>
          </w:tcPr>
          <w:p w14:paraId="0E683B74"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70 (62.5)</w:t>
            </w:r>
          </w:p>
        </w:tc>
        <w:tc>
          <w:tcPr>
            <w:tcW w:w="918" w:type="dxa"/>
            <w:vAlign w:val="center"/>
          </w:tcPr>
          <w:p w14:paraId="4FBD8F41"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8.3</w:t>
            </w:r>
          </w:p>
        </w:tc>
        <w:tc>
          <w:tcPr>
            <w:tcW w:w="1882" w:type="dxa"/>
            <w:vMerge/>
            <w:vAlign w:val="center"/>
          </w:tcPr>
          <w:p w14:paraId="362DA0B5"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0F7B0F68" w14:textId="77777777" w:rsidR="00A3213F" w:rsidRPr="00DF01CF" w:rsidRDefault="00A3213F" w:rsidP="007B5E49">
            <w:pPr>
              <w:keepNext/>
              <w:rPr>
                <w:rFonts w:ascii="Arial Narrow" w:hAnsi="Arial Narrow" w:cstheme="minorHAnsi"/>
                <w:sz w:val="20"/>
                <w:szCs w:val="20"/>
              </w:rPr>
            </w:pPr>
          </w:p>
        </w:tc>
        <w:tc>
          <w:tcPr>
            <w:tcW w:w="1820" w:type="dxa"/>
            <w:vMerge/>
          </w:tcPr>
          <w:p w14:paraId="7F0ABF7A" w14:textId="77777777" w:rsidR="00A3213F" w:rsidRPr="00DF01CF" w:rsidRDefault="00A3213F" w:rsidP="007B5E49">
            <w:pPr>
              <w:keepNext/>
              <w:rPr>
                <w:rFonts w:ascii="Arial Narrow" w:hAnsi="Arial Narrow" w:cstheme="minorHAnsi"/>
                <w:sz w:val="20"/>
                <w:szCs w:val="20"/>
              </w:rPr>
            </w:pPr>
          </w:p>
        </w:tc>
      </w:tr>
      <w:tr w:rsidR="00A3213F" w:rsidRPr="00DF01CF" w14:paraId="3FE24349" w14:textId="77777777" w:rsidTr="007B5E49">
        <w:tc>
          <w:tcPr>
            <w:tcW w:w="5949" w:type="dxa"/>
            <w:gridSpan w:val="4"/>
          </w:tcPr>
          <w:p w14:paraId="4750E011"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DUO-E-1 IA1 DUR+PBC 15.4 vs PBO+PBC 10.2 months median FU</w:t>
            </w:r>
          </w:p>
        </w:tc>
        <w:tc>
          <w:tcPr>
            <w:tcW w:w="1790" w:type="dxa"/>
            <w:vMerge/>
          </w:tcPr>
          <w:p w14:paraId="04B0D17C" w14:textId="77777777" w:rsidR="00A3213F" w:rsidRPr="00DF01CF" w:rsidRDefault="00A3213F" w:rsidP="007B5E49">
            <w:pPr>
              <w:keepNext/>
              <w:rPr>
                <w:rFonts w:ascii="Arial Narrow" w:hAnsi="Arial Narrow" w:cstheme="minorHAnsi"/>
                <w:sz w:val="20"/>
                <w:szCs w:val="20"/>
              </w:rPr>
            </w:pPr>
          </w:p>
        </w:tc>
        <w:tc>
          <w:tcPr>
            <w:tcW w:w="1820" w:type="dxa"/>
            <w:vMerge/>
          </w:tcPr>
          <w:p w14:paraId="0E612557" w14:textId="77777777" w:rsidR="00A3213F" w:rsidRPr="00DF01CF" w:rsidRDefault="00A3213F" w:rsidP="007B5E49">
            <w:pPr>
              <w:keepNext/>
              <w:rPr>
                <w:rFonts w:ascii="Arial Narrow" w:hAnsi="Arial Narrow" w:cstheme="minorHAnsi"/>
                <w:sz w:val="20"/>
                <w:szCs w:val="20"/>
              </w:rPr>
            </w:pPr>
          </w:p>
        </w:tc>
      </w:tr>
      <w:tr w:rsidR="00A3213F" w:rsidRPr="00DF01CF" w14:paraId="458A995E" w14:textId="77777777" w:rsidTr="007B5E49">
        <w:tc>
          <w:tcPr>
            <w:tcW w:w="1336" w:type="dxa"/>
          </w:tcPr>
          <w:p w14:paraId="663C28B3"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cstheme="minorHAnsi"/>
                <w:bCs/>
                <w:sz w:val="20"/>
                <w:szCs w:val="20"/>
              </w:rPr>
              <w:t>DUR+PBC</w:t>
            </w:r>
          </w:p>
        </w:tc>
        <w:tc>
          <w:tcPr>
            <w:tcW w:w="1813" w:type="dxa"/>
            <w:vAlign w:val="center"/>
          </w:tcPr>
          <w:p w14:paraId="2CF24B6C"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15 (32.6)</w:t>
            </w:r>
          </w:p>
        </w:tc>
        <w:tc>
          <w:tcPr>
            <w:tcW w:w="918" w:type="dxa"/>
            <w:vAlign w:val="center"/>
          </w:tcPr>
          <w:p w14:paraId="66443364"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NR</w:t>
            </w:r>
          </w:p>
        </w:tc>
        <w:tc>
          <w:tcPr>
            <w:tcW w:w="1882" w:type="dxa"/>
            <w:vMerge w:val="restart"/>
            <w:vAlign w:val="center"/>
          </w:tcPr>
          <w:p w14:paraId="61747644"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0.42 (0.22, 0.80)</w:t>
            </w:r>
          </w:p>
        </w:tc>
        <w:tc>
          <w:tcPr>
            <w:tcW w:w="1790" w:type="dxa"/>
            <w:vMerge/>
          </w:tcPr>
          <w:p w14:paraId="4BEA00F8" w14:textId="77777777" w:rsidR="00A3213F" w:rsidRPr="00DF01CF" w:rsidRDefault="00A3213F" w:rsidP="007B5E49">
            <w:pPr>
              <w:keepNext/>
              <w:rPr>
                <w:rFonts w:ascii="Arial Narrow" w:hAnsi="Arial Narrow" w:cstheme="minorHAnsi"/>
                <w:sz w:val="20"/>
                <w:szCs w:val="20"/>
              </w:rPr>
            </w:pPr>
          </w:p>
        </w:tc>
        <w:tc>
          <w:tcPr>
            <w:tcW w:w="1820" w:type="dxa"/>
            <w:vMerge/>
          </w:tcPr>
          <w:p w14:paraId="6B340401" w14:textId="77777777" w:rsidR="00A3213F" w:rsidRPr="00DF01CF" w:rsidRDefault="00A3213F" w:rsidP="007B5E49">
            <w:pPr>
              <w:keepNext/>
              <w:rPr>
                <w:rFonts w:ascii="Arial Narrow" w:hAnsi="Arial Narrow" w:cstheme="minorHAnsi"/>
                <w:sz w:val="20"/>
                <w:szCs w:val="20"/>
              </w:rPr>
            </w:pPr>
          </w:p>
        </w:tc>
      </w:tr>
      <w:tr w:rsidR="00A3213F" w:rsidRPr="00DF01CF" w14:paraId="2CE01A4C" w14:textId="77777777" w:rsidTr="007B5E49">
        <w:tc>
          <w:tcPr>
            <w:tcW w:w="1336" w:type="dxa"/>
          </w:tcPr>
          <w:p w14:paraId="712A807D" w14:textId="6A56D344" w:rsidR="00A3213F" w:rsidRPr="00DF01CF" w:rsidRDefault="003D3337" w:rsidP="007B5E49">
            <w:pPr>
              <w:keepNext/>
              <w:rPr>
                <w:rFonts w:ascii="Arial Narrow" w:hAnsi="Arial Narrow" w:cstheme="minorHAnsi"/>
                <w:bCs/>
                <w:sz w:val="20"/>
                <w:szCs w:val="20"/>
              </w:rPr>
            </w:pPr>
            <w:r w:rsidRPr="00DF01CF">
              <w:rPr>
                <w:rFonts w:ascii="Arial Narrow" w:hAnsi="Arial Narrow" w:cstheme="minorHAnsi"/>
                <w:bCs/>
                <w:sz w:val="20"/>
                <w:szCs w:val="20"/>
              </w:rPr>
              <w:t>PBO+</w:t>
            </w:r>
            <w:r w:rsidR="00A3213F" w:rsidRPr="00DF01CF">
              <w:rPr>
                <w:rFonts w:ascii="Arial Narrow" w:hAnsi="Arial Narrow" w:cstheme="minorHAnsi"/>
                <w:bCs/>
                <w:sz w:val="20"/>
                <w:szCs w:val="20"/>
              </w:rPr>
              <w:t>PBC</w:t>
            </w:r>
          </w:p>
        </w:tc>
        <w:tc>
          <w:tcPr>
            <w:tcW w:w="1813" w:type="dxa"/>
            <w:vAlign w:val="center"/>
          </w:tcPr>
          <w:p w14:paraId="06903758"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25 (51.0)</w:t>
            </w:r>
          </w:p>
        </w:tc>
        <w:tc>
          <w:tcPr>
            <w:tcW w:w="918" w:type="dxa"/>
            <w:vAlign w:val="center"/>
          </w:tcPr>
          <w:p w14:paraId="65A7EF3A"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7.0</w:t>
            </w:r>
          </w:p>
        </w:tc>
        <w:tc>
          <w:tcPr>
            <w:tcW w:w="1882" w:type="dxa"/>
            <w:vMerge/>
            <w:vAlign w:val="center"/>
          </w:tcPr>
          <w:p w14:paraId="7691701D"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448705E4" w14:textId="77777777" w:rsidR="00A3213F" w:rsidRPr="00DF01CF" w:rsidRDefault="00A3213F" w:rsidP="007B5E49">
            <w:pPr>
              <w:keepNext/>
              <w:rPr>
                <w:rFonts w:ascii="Arial Narrow" w:hAnsi="Arial Narrow" w:cstheme="minorHAnsi"/>
                <w:sz w:val="20"/>
                <w:szCs w:val="20"/>
              </w:rPr>
            </w:pPr>
          </w:p>
        </w:tc>
        <w:tc>
          <w:tcPr>
            <w:tcW w:w="1820" w:type="dxa"/>
            <w:vMerge/>
          </w:tcPr>
          <w:p w14:paraId="0AF9D153" w14:textId="77777777" w:rsidR="00A3213F" w:rsidRPr="00DF01CF" w:rsidRDefault="00A3213F" w:rsidP="007B5E49">
            <w:pPr>
              <w:keepNext/>
              <w:rPr>
                <w:rFonts w:ascii="Arial Narrow" w:hAnsi="Arial Narrow" w:cstheme="minorHAnsi"/>
                <w:sz w:val="20"/>
                <w:szCs w:val="20"/>
              </w:rPr>
            </w:pPr>
          </w:p>
        </w:tc>
      </w:tr>
      <w:tr w:rsidR="00A3213F" w:rsidRPr="00DF01CF" w14:paraId="1CA2D42F" w14:textId="77777777" w:rsidTr="007B5E49">
        <w:tc>
          <w:tcPr>
            <w:tcW w:w="9559" w:type="dxa"/>
            <w:gridSpan w:val="6"/>
          </w:tcPr>
          <w:p w14:paraId="2C5D917B"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cstheme="minorHAnsi"/>
                <w:b/>
                <w:bCs/>
                <w:sz w:val="20"/>
                <w:szCs w:val="20"/>
              </w:rPr>
              <w:t>Overall Survival</w:t>
            </w:r>
          </w:p>
        </w:tc>
      </w:tr>
      <w:tr w:rsidR="00A3213F" w:rsidRPr="00DF01CF" w14:paraId="1EF74CFD" w14:textId="77777777" w:rsidTr="007B5E49">
        <w:tc>
          <w:tcPr>
            <w:tcW w:w="5949" w:type="dxa"/>
            <w:gridSpan w:val="4"/>
          </w:tcPr>
          <w:p w14:paraId="2DB2C0E7" w14:textId="77777777" w:rsidR="00A3213F" w:rsidRPr="00DF01CF" w:rsidRDefault="00A3213F" w:rsidP="007B5E49">
            <w:pPr>
              <w:keepNext/>
              <w:rPr>
                <w:rFonts w:ascii="Arial Narrow" w:hAnsi="Arial Narrow" w:cstheme="minorHAnsi"/>
                <w:b/>
                <w:sz w:val="20"/>
                <w:szCs w:val="20"/>
                <w:vertAlign w:val="superscript"/>
              </w:rPr>
            </w:pPr>
            <w:r w:rsidRPr="00DF01CF">
              <w:rPr>
                <w:rFonts w:ascii="Arial Narrow" w:hAnsi="Arial Narrow"/>
                <w:b/>
                <w:sz w:val="20"/>
                <w:szCs w:val="20"/>
              </w:rPr>
              <w:t>NRG-GY018 EUR: 22.5 months median FU (same definition as RUBY-1)</w:t>
            </w:r>
          </w:p>
        </w:tc>
        <w:tc>
          <w:tcPr>
            <w:tcW w:w="3610" w:type="dxa"/>
            <w:gridSpan w:val="2"/>
          </w:tcPr>
          <w:p w14:paraId="3D9F2FBD" w14:textId="77777777" w:rsidR="00A3213F" w:rsidRPr="00DF01CF" w:rsidRDefault="00A3213F" w:rsidP="007B5E49">
            <w:pPr>
              <w:keepNext/>
              <w:jc w:val="center"/>
              <w:rPr>
                <w:rFonts w:ascii="Arial Narrow" w:hAnsi="Arial Narrow" w:cstheme="minorHAnsi"/>
                <w:b/>
                <w:bCs/>
                <w:sz w:val="20"/>
                <w:szCs w:val="20"/>
              </w:rPr>
            </w:pPr>
            <w:r w:rsidRPr="00DF01CF">
              <w:rPr>
                <w:rFonts w:ascii="Arial Narrow" w:hAnsi="Arial Narrow" w:cstheme="minorHAnsi"/>
                <w:b/>
                <w:bCs/>
                <w:sz w:val="20"/>
                <w:szCs w:val="20"/>
              </w:rPr>
              <w:t>PEM+PBC vs DOS+ PBC</w:t>
            </w:r>
          </w:p>
        </w:tc>
      </w:tr>
      <w:tr w:rsidR="00A3213F" w:rsidRPr="00DF01CF" w14:paraId="39EF4789" w14:textId="77777777" w:rsidTr="007B5E49">
        <w:tc>
          <w:tcPr>
            <w:tcW w:w="1336" w:type="dxa"/>
          </w:tcPr>
          <w:p w14:paraId="10514BE5"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PEM+PBC</w:t>
            </w:r>
          </w:p>
        </w:tc>
        <w:tc>
          <w:tcPr>
            <w:tcW w:w="1813" w:type="dxa"/>
          </w:tcPr>
          <w:p w14:paraId="19D95CB2"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17 (15.5)</w:t>
            </w:r>
          </w:p>
        </w:tc>
        <w:tc>
          <w:tcPr>
            <w:tcW w:w="918" w:type="dxa"/>
          </w:tcPr>
          <w:p w14:paraId="42C5DD9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NR</w:t>
            </w:r>
          </w:p>
        </w:tc>
        <w:tc>
          <w:tcPr>
            <w:tcW w:w="1882" w:type="dxa"/>
            <w:vMerge w:val="restart"/>
            <w:vAlign w:val="center"/>
          </w:tcPr>
          <w:p w14:paraId="3BD3149E"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0.57 (0.31, 1.04)</w:t>
            </w:r>
          </w:p>
        </w:tc>
        <w:tc>
          <w:tcPr>
            <w:tcW w:w="1790" w:type="dxa"/>
            <w:vMerge w:val="restart"/>
            <w:vAlign w:val="center"/>
          </w:tcPr>
          <w:p w14:paraId="2BCAC9AA" w14:textId="46532CF6"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1.77 </w:t>
            </w:r>
            <w:r w:rsidR="00B82A10" w:rsidRPr="00DF01CF">
              <w:rPr>
                <w:rFonts w:ascii="Arial Narrow" w:hAnsi="Arial Narrow" w:cstheme="minorHAnsi"/>
                <w:sz w:val="20"/>
                <w:szCs w:val="20"/>
              </w:rPr>
              <w:t>(</w:t>
            </w:r>
            <w:r w:rsidRPr="00DF01CF">
              <w:rPr>
                <w:rFonts w:ascii="Arial Narrow" w:hAnsi="Arial Narrow" w:cstheme="minorHAnsi"/>
                <w:sz w:val="20"/>
                <w:szCs w:val="20"/>
              </w:rPr>
              <w:t>0.73, 4.34</w:t>
            </w:r>
            <w:r w:rsidR="00B82A10" w:rsidRPr="00DF01CF">
              <w:rPr>
                <w:rFonts w:ascii="Arial Narrow" w:hAnsi="Arial Narrow" w:cstheme="minorHAnsi"/>
                <w:sz w:val="20"/>
                <w:szCs w:val="20"/>
              </w:rPr>
              <w:t>)</w:t>
            </w:r>
          </w:p>
          <w:p w14:paraId="1DA7578D"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p=0.209</w:t>
            </w:r>
          </w:p>
        </w:tc>
        <w:tc>
          <w:tcPr>
            <w:tcW w:w="1820" w:type="dxa"/>
            <w:vMerge w:val="restart"/>
            <w:vAlign w:val="center"/>
          </w:tcPr>
          <w:p w14:paraId="37D67911" w14:textId="2F953AAD"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1.79 </w:t>
            </w:r>
            <w:r w:rsidR="00B82A10" w:rsidRPr="00DF01CF">
              <w:rPr>
                <w:rFonts w:ascii="Arial Narrow" w:hAnsi="Arial Narrow" w:cstheme="minorHAnsi"/>
                <w:sz w:val="20"/>
                <w:szCs w:val="20"/>
              </w:rPr>
              <w:t>(</w:t>
            </w:r>
            <w:r w:rsidRPr="00DF01CF">
              <w:rPr>
                <w:rFonts w:ascii="Arial Narrow" w:hAnsi="Arial Narrow" w:cstheme="minorHAnsi"/>
                <w:sz w:val="20"/>
                <w:szCs w:val="20"/>
              </w:rPr>
              <w:t>0.73, 4.35</w:t>
            </w:r>
            <w:r w:rsidR="00B82A10" w:rsidRPr="00DF01CF">
              <w:rPr>
                <w:rFonts w:ascii="Arial Narrow" w:hAnsi="Arial Narrow" w:cstheme="minorHAnsi"/>
                <w:sz w:val="20"/>
                <w:szCs w:val="20"/>
              </w:rPr>
              <w:t>)</w:t>
            </w:r>
          </w:p>
        </w:tc>
      </w:tr>
      <w:tr w:rsidR="00A3213F" w:rsidRPr="00DF01CF" w14:paraId="61BD40BA" w14:textId="77777777" w:rsidTr="007B5E49">
        <w:tc>
          <w:tcPr>
            <w:tcW w:w="1336" w:type="dxa"/>
          </w:tcPr>
          <w:p w14:paraId="2B981BC0" w14:textId="1794B0D4"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813" w:type="dxa"/>
          </w:tcPr>
          <w:p w14:paraId="056D6B72"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27 (24.1)</w:t>
            </w:r>
          </w:p>
        </w:tc>
        <w:tc>
          <w:tcPr>
            <w:tcW w:w="918" w:type="dxa"/>
          </w:tcPr>
          <w:p w14:paraId="51BFADF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42.7</w:t>
            </w:r>
          </w:p>
        </w:tc>
        <w:tc>
          <w:tcPr>
            <w:tcW w:w="1882" w:type="dxa"/>
            <w:vMerge/>
            <w:vAlign w:val="center"/>
          </w:tcPr>
          <w:p w14:paraId="41817D06"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1FA63409" w14:textId="77777777" w:rsidR="00A3213F" w:rsidRPr="00DF01CF" w:rsidRDefault="00A3213F" w:rsidP="007B5E49">
            <w:pPr>
              <w:keepNext/>
              <w:rPr>
                <w:rFonts w:ascii="Arial Narrow" w:hAnsi="Arial Narrow" w:cstheme="minorHAnsi"/>
                <w:sz w:val="20"/>
                <w:szCs w:val="20"/>
              </w:rPr>
            </w:pPr>
          </w:p>
        </w:tc>
        <w:tc>
          <w:tcPr>
            <w:tcW w:w="1820" w:type="dxa"/>
            <w:vMerge/>
          </w:tcPr>
          <w:p w14:paraId="4627037A" w14:textId="77777777" w:rsidR="00A3213F" w:rsidRPr="00DF01CF" w:rsidRDefault="00A3213F" w:rsidP="007B5E49">
            <w:pPr>
              <w:keepNext/>
              <w:rPr>
                <w:rFonts w:ascii="Arial Narrow" w:hAnsi="Arial Narrow" w:cstheme="minorHAnsi"/>
                <w:sz w:val="20"/>
                <w:szCs w:val="20"/>
              </w:rPr>
            </w:pPr>
          </w:p>
        </w:tc>
      </w:tr>
      <w:tr w:rsidR="00A3213F" w:rsidRPr="00DF01CF" w14:paraId="3CE47071" w14:textId="77777777" w:rsidTr="007B5E49">
        <w:tc>
          <w:tcPr>
            <w:tcW w:w="5949" w:type="dxa"/>
            <w:gridSpan w:val="4"/>
          </w:tcPr>
          <w:p w14:paraId="3468FE81"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b/>
                <w:bCs/>
                <w:sz w:val="20"/>
                <w:szCs w:val="20"/>
              </w:rPr>
              <w:t>RUBY-1 IA2: 36.6 months median follow-up</w:t>
            </w:r>
          </w:p>
        </w:tc>
        <w:tc>
          <w:tcPr>
            <w:tcW w:w="1790" w:type="dxa"/>
            <w:vMerge/>
          </w:tcPr>
          <w:p w14:paraId="3AF87A06" w14:textId="77777777" w:rsidR="00A3213F" w:rsidRPr="00DF01CF" w:rsidRDefault="00A3213F" w:rsidP="007B5E49">
            <w:pPr>
              <w:keepNext/>
              <w:rPr>
                <w:rFonts w:ascii="Arial Narrow" w:hAnsi="Arial Narrow" w:cstheme="minorHAnsi"/>
                <w:sz w:val="20"/>
                <w:szCs w:val="20"/>
              </w:rPr>
            </w:pPr>
          </w:p>
        </w:tc>
        <w:tc>
          <w:tcPr>
            <w:tcW w:w="1820" w:type="dxa"/>
            <w:vMerge/>
          </w:tcPr>
          <w:p w14:paraId="696E05E1" w14:textId="77777777" w:rsidR="00A3213F" w:rsidRPr="00DF01CF" w:rsidRDefault="00A3213F" w:rsidP="007B5E49">
            <w:pPr>
              <w:keepNext/>
              <w:rPr>
                <w:rFonts w:ascii="Arial Narrow" w:hAnsi="Arial Narrow" w:cstheme="minorHAnsi"/>
                <w:sz w:val="20"/>
                <w:szCs w:val="20"/>
              </w:rPr>
            </w:pPr>
          </w:p>
        </w:tc>
      </w:tr>
      <w:tr w:rsidR="00A3213F" w:rsidRPr="00DF01CF" w14:paraId="0F6BF1CA" w14:textId="77777777" w:rsidTr="007B5E49">
        <w:tc>
          <w:tcPr>
            <w:tcW w:w="1336" w:type="dxa"/>
          </w:tcPr>
          <w:p w14:paraId="22BA6184"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DOS+PBC</w:t>
            </w:r>
          </w:p>
        </w:tc>
        <w:tc>
          <w:tcPr>
            <w:tcW w:w="1813" w:type="dxa"/>
          </w:tcPr>
          <w:p w14:paraId="633BBCD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12 (22.6)</w:t>
            </w:r>
          </w:p>
        </w:tc>
        <w:tc>
          <w:tcPr>
            <w:tcW w:w="918" w:type="dxa"/>
          </w:tcPr>
          <w:p w14:paraId="05C8BE02"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NR</w:t>
            </w:r>
          </w:p>
        </w:tc>
        <w:tc>
          <w:tcPr>
            <w:tcW w:w="1882" w:type="dxa"/>
            <w:vMerge w:val="restart"/>
            <w:vAlign w:val="center"/>
          </w:tcPr>
          <w:p w14:paraId="012DF8CB"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0.32 (0.17, 0.63)</w:t>
            </w:r>
          </w:p>
        </w:tc>
        <w:tc>
          <w:tcPr>
            <w:tcW w:w="1790" w:type="dxa"/>
            <w:vMerge/>
          </w:tcPr>
          <w:p w14:paraId="5BAE41B6" w14:textId="77777777" w:rsidR="00A3213F" w:rsidRPr="00DF01CF" w:rsidRDefault="00A3213F" w:rsidP="007B5E49">
            <w:pPr>
              <w:keepNext/>
              <w:rPr>
                <w:rFonts w:ascii="Arial Narrow" w:hAnsi="Arial Narrow" w:cstheme="minorHAnsi"/>
                <w:sz w:val="20"/>
                <w:szCs w:val="20"/>
              </w:rPr>
            </w:pPr>
          </w:p>
        </w:tc>
        <w:tc>
          <w:tcPr>
            <w:tcW w:w="1820" w:type="dxa"/>
            <w:vMerge/>
          </w:tcPr>
          <w:p w14:paraId="471BC546" w14:textId="77777777" w:rsidR="00A3213F" w:rsidRPr="00DF01CF" w:rsidRDefault="00A3213F" w:rsidP="007B5E49">
            <w:pPr>
              <w:keepNext/>
              <w:rPr>
                <w:rFonts w:ascii="Arial Narrow" w:hAnsi="Arial Narrow" w:cstheme="minorHAnsi"/>
                <w:sz w:val="20"/>
                <w:szCs w:val="20"/>
              </w:rPr>
            </w:pPr>
          </w:p>
        </w:tc>
      </w:tr>
      <w:tr w:rsidR="00A3213F" w:rsidRPr="00DF01CF" w14:paraId="5A0A9F80" w14:textId="77777777" w:rsidTr="007B5E49">
        <w:tc>
          <w:tcPr>
            <w:tcW w:w="1336" w:type="dxa"/>
          </w:tcPr>
          <w:p w14:paraId="3B278051" w14:textId="5BEDD3DD"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813" w:type="dxa"/>
          </w:tcPr>
          <w:p w14:paraId="7572642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35 (53.8)</w:t>
            </w:r>
          </w:p>
        </w:tc>
        <w:tc>
          <w:tcPr>
            <w:tcW w:w="918" w:type="dxa"/>
          </w:tcPr>
          <w:p w14:paraId="407976B3"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31.4</w:t>
            </w:r>
          </w:p>
        </w:tc>
        <w:tc>
          <w:tcPr>
            <w:tcW w:w="1882" w:type="dxa"/>
            <w:vMerge/>
            <w:vAlign w:val="center"/>
          </w:tcPr>
          <w:p w14:paraId="0ECB89F8"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3178B9E0" w14:textId="77777777" w:rsidR="00A3213F" w:rsidRPr="00DF01CF" w:rsidRDefault="00A3213F" w:rsidP="007B5E49">
            <w:pPr>
              <w:keepNext/>
              <w:rPr>
                <w:rFonts w:ascii="Arial Narrow" w:hAnsi="Arial Narrow" w:cstheme="minorHAnsi"/>
                <w:sz w:val="20"/>
                <w:szCs w:val="20"/>
              </w:rPr>
            </w:pPr>
          </w:p>
        </w:tc>
        <w:tc>
          <w:tcPr>
            <w:tcW w:w="1820" w:type="dxa"/>
            <w:vMerge/>
          </w:tcPr>
          <w:p w14:paraId="7F7F847D" w14:textId="77777777" w:rsidR="00A3213F" w:rsidRPr="00DF01CF" w:rsidRDefault="00A3213F" w:rsidP="007B5E49">
            <w:pPr>
              <w:keepNext/>
              <w:rPr>
                <w:rFonts w:ascii="Arial Narrow" w:hAnsi="Arial Narrow" w:cstheme="minorHAnsi"/>
                <w:sz w:val="20"/>
                <w:szCs w:val="20"/>
              </w:rPr>
            </w:pPr>
          </w:p>
        </w:tc>
      </w:tr>
      <w:tr w:rsidR="00A3213F" w:rsidRPr="00DF01CF" w14:paraId="46E4F612" w14:textId="77777777" w:rsidTr="007B5E49">
        <w:tc>
          <w:tcPr>
            <w:tcW w:w="5949" w:type="dxa"/>
            <w:gridSpan w:val="4"/>
          </w:tcPr>
          <w:p w14:paraId="6495E783"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b/>
                <w:bCs/>
                <w:sz w:val="20"/>
                <w:szCs w:val="20"/>
              </w:rPr>
              <w:t>NRG-GY018 EUR 22.5 months median follow-up</w:t>
            </w:r>
          </w:p>
        </w:tc>
        <w:tc>
          <w:tcPr>
            <w:tcW w:w="3610" w:type="dxa"/>
            <w:gridSpan w:val="2"/>
          </w:tcPr>
          <w:p w14:paraId="65DF69A6" w14:textId="77777777" w:rsidR="00A3213F" w:rsidRPr="00DF01CF" w:rsidRDefault="00A3213F" w:rsidP="007B5E49">
            <w:pPr>
              <w:keepNext/>
              <w:jc w:val="center"/>
              <w:rPr>
                <w:rFonts w:ascii="Arial Narrow" w:hAnsi="Arial Narrow" w:cstheme="minorHAnsi"/>
                <w:b/>
                <w:bCs/>
                <w:sz w:val="20"/>
                <w:szCs w:val="20"/>
              </w:rPr>
            </w:pPr>
            <w:r w:rsidRPr="00DF01CF">
              <w:rPr>
                <w:rFonts w:ascii="Arial Narrow" w:hAnsi="Arial Narrow" w:cstheme="minorHAnsi"/>
                <w:b/>
                <w:bCs/>
                <w:sz w:val="20"/>
                <w:szCs w:val="20"/>
              </w:rPr>
              <w:t>PEM+PBC vs DUR+PBC</w:t>
            </w:r>
          </w:p>
        </w:tc>
      </w:tr>
      <w:tr w:rsidR="00A3213F" w:rsidRPr="00DF01CF" w14:paraId="37F88380" w14:textId="77777777" w:rsidTr="007B5E49">
        <w:tc>
          <w:tcPr>
            <w:tcW w:w="1336" w:type="dxa"/>
          </w:tcPr>
          <w:p w14:paraId="58C0F88A"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PEM+PBC</w:t>
            </w:r>
          </w:p>
        </w:tc>
        <w:tc>
          <w:tcPr>
            <w:tcW w:w="1813" w:type="dxa"/>
          </w:tcPr>
          <w:p w14:paraId="7E0BA477"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17 (15.5)</w:t>
            </w:r>
          </w:p>
        </w:tc>
        <w:tc>
          <w:tcPr>
            <w:tcW w:w="918" w:type="dxa"/>
          </w:tcPr>
          <w:p w14:paraId="1FB15D5F"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NR</w:t>
            </w:r>
          </w:p>
        </w:tc>
        <w:tc>
          <w:tcPr>
            <w:tcW w:w="1882" w:type="dxa"/>
            <w:vMerge w:val="restart"/>
            <w:vAlign w:val="center"/>
          </w:tcPr>
          <w:p w14:paraId="7257CDF7"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0.57 (0.31, 1.04)</w:t>
            </w:r>
          </w:p>
        </w:tc>
        <w:tc>
          <w:tcPr>
            <w:tcW w:w="1790" w:type="dxa"/>
            <w:vMerge w:val="restart"/>
            <w:vAlign w:val="center"/>
          </w:tcPr>
          <w:p w14:paraId="2D856F5F" w14:textId="28E6C5F3"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1.67 </w:t>
            </w:r>
            <w:r w:rsidR="00B82A10" w:rsidRPr="00DF01CF">
              <w:rPr>
                <w:rFonts w:ascii="Arial Narrow" w:hAnsi="Arial Narrow" w:cstheme="minorHAnsi"/>
                <w:sz w:val="20"/>
                <w:szCs w:val="20"/>
              </w:rPr>
              <w:t>(</w:t>
            </w:r>
            <w:r w:rsidRPr="00DF01CF">
              <w:rPr>
                <w:rFonts w:ascii="Arial Narrow" w:hAnsi="Arial Narrow" w:cstheme="minorHAnsi"/>
                <w:sz w:val="20"/>
                <w:szCs w:val="20"/>
              </w:rPr>
              <w:t>0.56, 4.96</w:t>
            </w:r>
            <w:r w:rsidR="00B82A10" w:rsidRPr="00DF01CF">
              <w:rPr>
                <w:rFonts w:ascii="Arial Narrow" w:hAnsi="Arial Narrow" w:cstheme="minorHAnsi"/>
                <w:sz w:val="20"/>
                <w:szCs w:val="20"/>
              </w:rPr>
              <w:t>)</w:t>
            </w:r>
          </w:p>
          <w:p w14:paraId="730E660D"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p=0.356</w:t>
            </w:r>
          </w:p>
        </w:tc>
        <w:tc>
          <w:tcPr>
            <w:tcW w:w="1820" w:type="dxa"/>
            <w:vMerge w:val="restart"/>
            <w:vAlign w:val="center"/>
          </w:tcPr>
          <w:p w14:paraId="0A6DF910" w14:textId="47C1824A"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1.69 </w:t>
            </w:r>
            <w:r w:rsidR="00B82A10" w:rsidRPr="00DF01CF">
              <w:rPr>
                <w:rFonts w:ascii="Arial Narrow" w:hAnsi="Arial Narrow" w:cstheme="minorHAnsi"/>
                <w:sz w:val="20"/>
                <w:szCs w:val="20"/>
              </w:rPr>
              <w:t>(</w:t>
            </w:r>
            <w:r w:rsidRPr="00DF01CF">
              <w:rPr>
                <w:rFonts w:ascii="Arial Narrow" w:hAnsi="Arial Narrow" w:cstheme="minorHAnsi"/>
                <w:sz w:val="20"/>
                <w:szCs w:val="20"/>
              </w:rPr>
              <w:t>0.58, 4.99</w:t>
            </w:r>
            <w:r w:rsidR="00B82A10" w:rsidRPr="00DF01CF">
              <w:rPr>
                <w:rFonts w:ascii="Arial Narrow" w:hAnsi="Arial Narrow" w:cstheme="minorHAnsi"/>
                <w:sz w:val="20"/>
                <w:szCs w:val="20"/>
              </w:rPr>
              <w:t>)</w:t>
            </w:r>
          </w:p>
        </w:tc>
      </w:tr>
      <w:tr w:rsidR="00A3213F" w:rsidRPr="00DF01CF" w14:paraId="6D2616B5" w14:textId="77777777" w:rsidTr="007B5E49">
        <w:tc>
          <w:tcPr>
            <w:tcW w:w="1336" w:type="dxa"/>
          </w:tcPr>
          <w:p w14:paraId="53D9912D" w14:textId="28C4E086"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813" w:type="dxa"/>
          </w:tcPr>
          <w:p w14:paraId="5CA356B8"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27 (24.1)</w:t>
            </w:r>
          </w:p>
        </w:tc>
        <w:tc>
          <w:tcPr>
            <w:tcW w:w="918" w:type="dxa"/>
          </w:tcPr>
          <w:p w14:paraId="0142B5DA"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42.7</w:t>
            </w:r>
          </w:p>
        </w:tc>
        <w:tc>
          <w:tcPr>
            <w:tcW w:w="1882" w:type="dxa"/>
            <w:vMerge/>
            <w:vAlign w:val="center"/>
          </w:tcPr>
          <w:p w14:paraId="774719F9"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7DBC64FC" w14:textId="77777777" w:rsidR="00A3213F" w:rsidRPr="00DF01CF" w:rsidRDefault="00A3213F" w:rsidP="007B5E49">
            <w:pPr>
              <w:keepNext/>
              <w:rPr>
                <w:rFonts w:ascii="Arial Narrow" w:hAnsi="Arial Narrow" w:cstheme="minorHAnsi"/>
                <w:sz w:val="20"/>
                <w:szCs w:val="20"/>
              </w:rPr>
            </w:pPr>
          </w:p>
        </w:tc>
        <w:tc>
          <w:tcPr>
            <w:tcW w:w="1820" w:type="dxa"/>
            <w:vMerge/>
          </w:tcPr>
          <w:p w14:paraId="3F7B02C5" w14:textId="77777777" w:rsidR="00A3213F" w:rsidRPr="00DF01CF" w:rsidRDefault="00A3213F" w:rsidP="007B5E49">
            <w:pPr>
              <w:keepNext/>
              <w:rPr>
                <w:rFonts w:ascii="Arial Narrow" w:hAnsi="Arial Narrow" w:cstheme="minorHAnsi"/>
                <w:sz w:val="20"/>
                <w:szCs w:val="20"/>
              </w:rPr>
            </w:pPr>
          </w:p>
        </w:tc>
      </w:tr>
      <w:tr w:rsidR="00A3213F" w:rsidRPr="00DF01CF" w14:paraId="1F966F1B" w14:textId="77777777" w:rsidTr="007B5E49">
        <w:tc>
          <w:tcPr>
            <w:tcW w:w="5949" w:type="dxa"/>
            <w:gridSpan w:val="4"/>
          </w:tcPr>
          <w:p w14:paraId="6942011B"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b/>
                <w:bCs/>
                <w:sz w:val="20"/>
                <w:szCs w:val="20"/>
              </w:rPr>
              <w:t>DUO-E-1 IA1 DUR+PBC 18.4 vs PBO+PBC 18.6 months median FU</w:t>
            </w:r>
          </w:p>
        </w:tc>
        <w:tc>
          <w:tcPr>
            <w:tcW w:w="1790" w:type="dxa"/>
            <w:vMerge/>
          </w:tcPr>
          <w:p w14:paraId="2431639E" w14:textId="77777777" w:rsidR="00A3213F" w:rsidRPr="00DF01CF" w:rsidRDefault="00A3213F" w:rsidP="007B5E49">
            <w:pPr>
              <w:keepNext/>
              <w:rPr>
                <w:rFonts w:ascii="Arial Narrow" w:hAnsi="Arial Narrow" w:cstheme="minorHAnsi"/>
                <w:sz w:val="20"/>
                <w:szCs w:val="20"/>
              </w:rPr>
            </w:pPr>
          </w:p>
        </w:tc>
        <w:tc>
          <w:tcPr>
            <w:tcW w:w="1820" w:type="dxa"/>
            <w:vMerge/>
          </w:tcPr>
          <w:p w14:paraId="15C77313" w14:textId="77777777" w:rsidR="00A3213F" w:rsidRPr="00DF01CF" w:rsidRDefault="00A3213F" w:rsidP="007B5E49">
            <w:pPr>
              <w:keepNext/>
              <w:rPr>
                <w:rFonts w:ascii="Arial Narrow" w:hAnsi="Arial Narrow" w:cstheme="minorHAnsi"/>
                <w:sz w:val="20"/>
                <w:szCs w:val="20"/>
              </w:rPr>
            </w:pPr>
          </w:p>
        </w:tc>
      </w:tr>
      <w:tr w:rsidR="00A3213F" w:rsidRPr="00DF01CF" w14:paraId="796E4ACC" w14:textId="77777777" w:rsidTr="007B5E49">
        <w:tc>
          <w:tcPr>
            <w:tcW w:w="1336" w:type="dxa"/>
          </w:tcPr>
          <w:p w14:paraId="6931120F"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DUR+PBC</w:t>
            </w:r>
          </w:p>
        </w:tc>
        <w:tc>
          <w:tcPr>
            <w:tcW w:w="1813" w:type="dxa"/>
          </w:tcPr>
          <w:p w14:paraId="1A8EAC9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7 (15.2)</w:t>
            </w:r>
          </w:p>
        </w:tc>
        <w:tc>
          <w:tcPr>
            <w:tcW w:w="918" w:type="dxa"/>
          </w:tcPr>
          <w:p w14:paraId="6E7F8F84"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NR</w:t>
            </w:r>
          </w:p>
        </w:tc>
        <w:tc>
          <w:tcPr>
            <w:tcW w:w="1882" w:type="dxa"/>
            <w:vMerge w:val="restart"/>
            <w:vAlign w:val="center"/>
          </w:tcPr>
          <w:p w14:paraId="2EB1AE6B"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0.34 (0.13, 0.79)</w:t>
            </w:r>
          </w:p>
        </w:tc>
        <w:tc>
          <w:tcPr>
            <w:tcW w:w="1790" w:type="dxa"/>
            <w:vMerge/>
          </w:tcPr>
          <w:p w14:paraId="717D1543" w14:textId="77777777" w:rsidR="00A3213F" w:rsidRPr="00DF01CF" w:rsidRDefault="00A3213F" w:rsidP="007B5E49">
            <w:pPr>
              <w:keepNext/>
              <w:rPr>
                <w:rFonts w:ascii="Arial Narrow" w:hAnsi="Arial Narrow" w:cstheme="minorHAnsi"/>
                <w:sz w:val="20"/>
                <w:szCs w:val="20"/>
              </w:rPr>
            </w:pPr>
          </w:p>
        </w:tc>
        <w:tc>
          <w:tcPr>
            <w:tcW w:w="1820" w:type="dxa"/>
            <w:vMerge/>
          </w:tcPr>
          <w:p w14:paraId="66A595BC" w14:textId="77777777" w:rsidR="00A3213F" w:rsidRPr="00DF01CF" w:rsidRDefault="00A3213F" w:rsidP="007B5E49">
            <w:pPr>
              <w:keepNext/>
              <w:rPr>
                <w:rFonts w:ascii="Arial Narrow" w:hAnsi="Arial Narrow" w:cstheme="minorHAnsi"/>
                <w:sz w:val="20"/>
                <w:szCs w:val="20"/>
              </w:rPr>
            </w:pPr>
          </w:p>
        </w:tc>
      </w:tr>
      <w:tr w:rsidR="00A3213F" w:rsidRPr="00DF01CF" w14:paraId="2317F4E6" w14:textId="77777777" w:rsidTr="007B5E49">
        <w:tc>
          <w:tcPr>
            <w:tcW w:w="1336" w:type="dxa"/>
          </w:tcPr>
          <w:p w14:paraId="17387DD5" w14:textId="132A973E"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813" w:type="dxa"/>
          </w:tcPr>
          <w:p w14:paraId="6D40027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18 (36.7)</w:t>
            </w:r>
          </w:p>
        </w:tc>
        <w:tc>
          <w:tcPr>
            <w:tcW w:w="918" w:type="dxa"/>
          </w:tcPr>
          <w:p w14:paraId="4BAB378B"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23.7</w:t>
            </w:r>
          </w:p>
        </w:tc>
        <w:tc>
          <w:tcPr>
            <w:tcW w:w="1882" w:type="dxa"/>
            <w:vMerge/>
            <w:vAlign w:val="center"/>
          </w:tcPr>
          <w:p w14:paraId="027E9ED9" w14:textId="77777777" w:rsidR="00A3213F" w:rsidRPr="00DF01CF" w:rsidRDefault="00A3213F" w:rsidP="007B5E49">
            <w:pPr>
              <w:keepNext/>
              <w:jc w:val="center"/>
              <w:rPr>
                <w:rFonts w:ascii="Arial Narrow" w:hAnsi="Arial Narrow" w:cstheme="minorHAnsi"/>
                <w:sz w:val="20"/>
                <w:szCs w:val="20"/>
              </w:rPr>
            </w:pPr>
          </w:p>
        </w:tc>
        <w:tc>
          <w:tcPr>
            <w:tcW w:w="1790" w:type="dxa"/>
            <w:vMerge/>
          </w:tcPr>
          <w:p w14:paraId="4EA0AC05" w14:textId="77777777" w:rsidR="00A3213F" w:rsidRPr="00DF01CF" w:rsidRDefault="00A3213F" w:rsidP="007B5E49">
            <w:pPr>
              <w:keepNext/>
              <w:rPr>
                <w:rFonts w:ascii="Arial Narrow" w:hAnsi="Arial Narrow" w:cstheme="minorHAnsi"/>
                <w:sz w:val="20"/>
                <w:szCs w:val="20"/>
              </w:rPr>
            </w:pPr>
          </w:p>
        </w:tc>
        <w:tc>
          <w:tcPr>
            <w:tcW w:w="1820" w:type="dxa"/>
            <w:vMerge/>
          </w:tcPr>
          <w:p w14:paraId="04F416B6" w14:textId="77777777" w:rsidR="00A3213F" w:rsidRPr="00DF01CF" w:rsidRDefault="00A3213F" w:rsidP="007B5E49">
            <w:pPr>
              <w:keepNext/>
              <w:rPr>
                <w:rFonts w:ascii="Arial Narrow" w:hAnsi="Arial Narrow" w:cstheme="minorHAnsi"/>
                <w:sz w:val="20"/>
                <w:szCs w:val="20"/>
              </w:rPr>
            </w:pPr>
          </w:p>
        </w:tc>
      </w:tr>
    </w:tbl>
    <w:p w14:paraId="691AD88B" w14:textId="77777777" w:rsidR="00A3213F" w:rsidRPr="00DF01CF" w:rsidRDefault="00A3213F" w:rsidP="00A3213F">
      <w:pPr>
        <w:rPr>
          <w:rFonts w:ascii="Arial Narrow" w:hAnsi="Arial Narrow"/>
          <w:sz w:val="18"/>
          <w:szCs w:val="18"/>
        </w:rPr>
      </w:pPr>
      <w:r w:rsidRPr="00DF01CF">
        <w:rPr>
          <w:rFonts w:ascii="Arial Narrow" w:hAnsi="Arial Narrow"/>
          <w:sz w:val="18"/>
          <w:szCs w:val="18"/>
        </w:rPr>
        <w:t>Source: Table 2.6-3, p169 and 2.6-5, p171 of the submission; p 72 Attachment 9_ITC_NMA_Report</w:t>
      </w:r>
    </w:p>
    <w:p w14:paraId="45F24727" w14:textId="77777777" w:rsidR="00A3213F" w:rsidRPr="00DF01CF" w:rsidRDefault="00A3213F" w:rsidP="00A3213F">
      <w:pPr>
        <w:rPr>
          <w:rFonts w:ascii="Arial Narrow" w:hAnsi="Arial Narrow"/>
          <w:sz w:val="18"/>
          <w:szCs w:val="18"/>
        </w:rPr>
      </w:pPr>
      <w:r w:rsidRPr="00DF01CF">
        <w:rPr>
          <w:rFonts w:ascii="Arial Narrow" w:hAnsi="Arial Narrow"/>
          <w:sz w:val="18"/>
          <w:szCs w:val="18"/>
        </w:rPr>
        <w:t xml:space="preserve">Abbreviations: EUR = efficacy update report; IA1 = first interim analysis; FU = follow up; DOS = dostarlimab; PEM = pembrolizumab; PBC = platinum based chemotherapy; DUR = durvalumab; NMA = network </w:t>
      </w:r>
      <w:proofErr w:type="spellStart"/>
      <w:r w:rsidRPr="00DF01CF">
        <w:rPr>
          <w:rFonts w:ascii="Arial Narrow" w:hAnsi="Arial Narrow"/>
          <w:sz w:val="18"/>
          <w:szCs w:val="18"/>
        </w:rPr>
        <w:t>meta analysis</w:t>
      </w:r>
      <w:proofErr w:type="spellEnd"/>
      <w:r w:rsidRPr="00DF01CF">
        <w:rPr>
          <w:rFonts w:ascii="Arial Narrow" w:hAnsi="Arial Narrow"/>
          <w:sz w:val="18"/>
          <w:szCs w:val="18"/>
        </w:rPr>
        <w:t>; HR = hazard ratio; PFS = progression free survival</w:t>
      </w:r>
    </w:p>
    <w:p w14:paraId="7BE55081" w14:textId="607EEA94" w:rsidR="00A3213F" w:rsidRPr="00DF01CF" w:rsidRDefault="00CE640F" w:rsidP="00A3213F">
      <w:pPr>
        <w:rPr>
          <w:rFonts w:ascii="Arial Narrow" w:hAnsi="Arial Narrow"/>
          <w:sz w:val="18"/>
          <w:szCs w:val="18"/>
        </w:rPr>
      </w:pPr>
      <w:proofErr w:type="spellStart"/>
      <w:r w:rsidRPr="00DF01CF">
        <w:rPr>
          <w:rFonts w:ascii="Arial Narrow" w:hAnsi="Arial Narrow"/>
          <w:sz w:val="18"/>
          <w:szCs w:val="18"/>
          <w:vertAlign w:val="superscript"/>
        </w:rPr>
        <w:t>a</w:t>
      </w:r>
      <w:proofErr w:type="spellEnd"/>
      <w:r w:rsidR="00A3213F" w:rsidRPr="00DF01CF">
        <w:rPr>
          <w:rFonts w:ascii="Arial Narrow" w:hAnsi="Arial Narrow"/>
          <w:sz w:val="18"/>
          <w:szCs w:val="18"/>
        </w:rPr>
        <w:t xml:space="preserve"> The proportional hazards assumption for PFS may have been violated in the RUBY-1 trial, because the </w:t>
      </w:r>
      <w:proofErr w:type="spellStart"/>
      <w:r w:rsidR="00A3213F" w:rsidRPr="00DF01CF">
        <w:rPr>
          <w:rFonts w:ascii="Arial Narrow" w:hAnsi="Arial Narrow"/>
          <w:sz w:val="18"/>
          <w:szCs w:val="18"/>
        </w:rPr>
        <w:t>Grambsch</w:t>
      </w:r>
      <w:proofErr w:type="spellEnd"/>
      <w:r w:rsidR="00A3213F" w:rsidRPr="00DF01CF">
        <w:rPr>
          <w:rFonts w:ascii="Arial Narrow" w:hAnsi="Arial Narrow"/>
          <w:sz w:val="18"/>
          <w:szCs w:val="18"/>
        </w:rPr>
        <w:t xml:space="preserve"> and </w:t>
      </w:r>
      <w:proofErr w:type="spellStart"/>
      <w:r w:rsidR="00A3213F" w:rsidRPr="00DF01CF">
        <w:rPr>
          <w:rFonts w:ascii="Arial Narrow" w:hAnsi="Arial Narrow"/>
          <w:sz w:val="18"/>
          <w:szCs w:val="18"/>
        </w:rPr>
        <w:t>Therneau</w:t>
      </w:r>
      <w:proofErr w:type="spellEnd"/>
      <w:r w:rsidR="00A3213F" w:rsidRPr="00DF01CF">
        <w:rPr>
          <w:rFonts w:ascii="Arial Narrow" w:hAnsi="Arial Narrow"/>
          <w:sz w:val="18"/>
          <w:szCs w:val="18"/>
        </w:rPr>
        <w:t xml:space="preserve"> test p-value was less than 0.05. Therefore, an NMA involving this trial under the assumption of proportional hazards may be inappropriate.</w:t>
      </w:r>
    </w:p>
    <w:p w14:paraId="5BB3721E" w14:textId="64A272F6" w:rsidR="0051078C" w:rsidRPr="00DF01CF" w:rsidRDefault="00CE640F" w:rsidP="00A3213F">
      <w:pPr>
        <w:rPr>
          <w:rFonts w:ascii="Arial Narrow" w:hAnsi="Arial Narrow"/>
          <w:sz w:val="18"/>
          <w:szCs w:val="18"/>
        </w:rPr>
      </w:pPr>
      <w:r w:rsidRPr="00DF01CF">
        <w:rPr>
          <w:rFonts w:ascii="Arial Narrow" w:hAnsi="Arial Narrow"/>
          <w:sz w:val="18"/>
          <w:szCs w:val="18"/>
          <w:vertAlign w:val="superscript"/>
        </w:rPr>
        <w:t xml:space="preserve">b </w:t>
      </w:r>
      <w:r w:rsidR="0051078C" w:rsidRPr="00DF01CF">
        <w:rPr>
          <w:rFonts w:ascii="Arial Narrow" w:hAnsi="Arial Narrow"/>
          <w:sz w:val="18"/>
          <w:szCs w:val="18"/>
        </w:rPr>
        <w:t>The ITCs were conducted under a fixed effects model, which may not be reasonable given the heterogeneity between trials. The PBAC guidelines (v5.0, p45) indicate that a random effects model should be used for pooling data.</w:t>
      </w:r>
    </w:p>
    <w:p w14:paraId="274E642B" w14:textId="77777777" w:rsidR="00A3213F" w:rsidRPr="00DF01CF" w:rsidRDefault="53D2CA6D" w:rsidP="00A3213F">
      <w:pPr>
        <w:rPr>
          <w:rFonts w:ascii="Arial Narrow" w:hAnsi="Arial Narrow"/>
          <w:sz w:val="18"/>
          <w:szCs w:val="18"/>
        </w:rPr>
      </w:pPr>
      <w:r w:rsidRPr="25BAA536">
        <w:rPr>
          <w:rFonts w:ascii="Arial Narrow" w:hAnsi="Arial Narrow"/>
          <w:sz w:val="18"/>
          <w:szCs w:val="18"/>
        </w:rPr>
        <w:t>Note:  ITC hazard ratios less than 1.0 favour PEM+PBC, and, if greater than 1.0, favour the comparator.</w:t>
      </w:r>
    </w:p>
    <w:p w14:paraId="66428890" w14:textId="49AB331C" w:rsidR="25BAA536" w:rsidRDefault="25BAA536" w:rsidP="25BAA536">
      <w:pPr>
        <w:rPr>
          <w:rFonts w:ascii="Arial Narrow" w:hAnsi="Arial Narrow"/>
          <w:sz w:val="18"/>
          <w:szCs w:val="18"/>
        </w:rPr>
      </w:pPr>
    </w:p>
    <w:p w14:paraId="5E218037" w14:textId="14ABCB1D" w:rsidR="007C4925" w:rsidRPr="00092004" w:rsidRDefault="007C4925" w:rsidP="007C4925">
      <w:pPr>
        <w:rPr>
          <w:rFonts w:ascii="Arial Narrow" w:hAnsi="Arial Narrow"/>
          <w:sz w:val="18"/>
          <w:szCs w:val="18"/>
        </w:rPr>
      </w:pPr>
    </w:p>
    <w:p w14:paraId="7D4BD0CA" w14:textId="2E5CE3A8" w:rsidR="00092004" w:rsidRPr="00092004" w:rsidRDefault="00092004" w:rsidP="00A3213F">
      <w:pPr>
        <w:rPr>
          <w:rFonts w:ascii="Arial Narrow" w:hAnsi="Arial Narrow"/>
          <w:sz w:val="18"/>
          <w:szCs w:val="18"/>
        </w:rPr>
      </w:pPr>
    </w:p>
    <w:p w14:paraId="0565907A" w14:textId="77777777" w:rsidR="00A3213F" w:rsidRPr="00DF01CF" w:rsidRDefault="00A3213F" w:rsidP="00A3213F"/>
    <w:p w14:paraId="24645D68" w14:textId="7229CE9E" w:rsidR="00A3213F" w:rsidRPr="00DF01CF" w:rsidRDefault="00A3213F" w:rsidP="00A3213F">
      <w:pPr>
        <w:pStyle w:val="3-BodyText"/>
      </w:pPr>
      <w:r w:rsidRPr="00DF01CF">
        <w:fldChar w:fldCharType="begin"/>
      </w:r>
      <w:r w:rsidRPr="00DF01CF">
        <w:instrText xml:space="preserve"> REF _Ref196303090 \h </w:instrText>
      </w:r>
      <w:r w:rsidR="00AB6F27" w:rsidRPr="00DF01CF">
        <w:instrText xml:space="preserve"> \* MERGEFORMAT </w:instrText>
      </w:r>
      <w:r w:rsidRPr="00DF01CF">
        <w:fldChar w:fldCharType="separate"/>
      </w:r>
      <w:r w:rsidR="003359D3">
        <w:t xml:space="preserve">Table </w:t>
      </w:r>
      <w:r w:rsidR="003359D3">
        <w:rPr>
          <w:noProof/>
        </w:rPr>
        <w:t>9</w:t>
      </w:r>
      <w:r w:rsidRPr="00DF01CF">
        <w:fldChar w:fldCharType="end"/>
      </w:r>
      <w:r w:rsidRPr="00DF01CF">
        <w:t xml:space="preserve"> summarises the Bucher ITC and NMA results in the </w:t>
      </w:r>
      <w:r w:rsidR="00495AA2">
        <w:t>p</w:t>
      </w:r>
      <w:r w:rsidRPr="00DF01CF">
        <w:t>MMR populations of NRG-GY018, RUBY-1 and DUO-E.</w:t>
      </w:r>
    </w:p>
    <w:p w14:paraId="39602464" w14:textId="5854BA70" w:rsidR="00A3213F" w:rsidRPr="00DF01CF" w:rsidRDefault="6F709AB6" w:rsidP="00A3213F">
      <w:pPr>
        <w:pStyle w:val="Caption"/>
      </w:pPr>
      <w:bookmarkStart w:id="43" w:name="_Ref196303090"/>
      <w:r>
        <w:lastRenderedPageBreak/>
        <w:t xml:space="preserve">Table </w:t>
      </w:r>
      <w:r w:rsidR="00A3213F" w:rsidRPr="7A59D51F">
        <w:fldChar w:fldCharType="begin"/>
      </w:r>
      <w:r w:rsidR="00A3213F">
        <w:instrText xml:space="preserve"> SEQ Table \* ARABIC </w:instrText>
      </w:r>
      <w:r w:rsidR="00A3213F" w:rsidRPr="7A59D51F">
        <w:fldChar w:fldCharType="separate"/>
      </w:r>
      <w:r w:rsidR="003359D3">
        <w:rPr>
          <w:noProof/>
        </w:rPr>
        <w:t>9</w:t>
      </w:r>
      <w:r w:rsidR="00A3213F" w:rsidRPr="7A59D51F">
        <w:rPr>
          <w:noProof/>
        </w:rPr>
        <w:fldChar w:fldCharType="end"/>
      </w:r>
      <w:bookmarkEnd w:id="43"/>
      <w:r>
        <w:t>: Summary of Bucher ITC and NMA Results pMMR population</w:t>
      </w:r>
    </w:p>
    <w:tbl>
      <w:tblPr>
        <w:tblStyle w:val="TableGrid"/>
        <w:tblW w:w="0" w:type="auto"/>
        <w:tblLook w:val="04A0" w:firstRow="1" w:lastRow="0" w:firstColumn="1" w:lastColumn="0" w:noHBand="0" w:noVBand="1"/>
        <w:tblCaption w:val="Table 9: Summary of Bucher ITC and NMA Results pMMR population"/>
      </w:tblPr>
      <w:tblGrid>
        <w:gridCol w:w="1430"/>
        <w:gridCol w:w="1037"/>
        <w:gridCol w:w="918"/>
        <w:gridCol w:w="2072"/>
        <w:gridCol w:w="1866"/>
        <w:gridCol w:w="1694"/>
      </w:tblGrid>
      <w:tr w:rsidR="00A3213F" w:rsidRPr="00DF01CF" w14:paraId="62E3E25B" w14:textId="77777777" w:rsidTr="00373ED3">
        <w:trPr>
          <w:trHeight w:val="1099"/>
        </w:trPr>
        <w:tc>
          <w:tcPr>
            <w:tcW w:w="1429" w:type="dxa"/>
            <w:tcBorders>
              <w:bottom w:val="single" w:sz="4" w:space="0" w:color="auto"/>
            </w:tcBorders>
            <w:vAlign w:val="center"/>
          </w:tcPr>
          <w:p w14:paraId="3860E05A"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Arm of the trial</w:t>
            </w:r>
          </w:p>
        </w:tc>
        <w:tc>
          <w:tcPr>
            <w:tcW w:w="1110" w:type="dxa"/>
            <w:tcBorders>
              <w:bottom w:val="single" w:sz="4" w:space="0" w:color="auto"/>
            </w:tcBorders>
            <w:vAlign w:val="center"/>
          </w:tcPr>
          <w:p w14:paraId="778BB63B"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 xml:space="preserve">Event </w:t>
            </w:r>
            <w:r w:rsidRPr="00DF01CF">
              <w:rPr>
                <w:rFonts w:ascii="Arial Narrow" w:hAnsi="Arial Narrow" w:cstheme="minorHAnsi"/>
                <w:b/>
                <w:sz w:val="20"/>
                <w:szCs w:val="20"/>
              </w:rPr>
              <w:br/>
              <w:t>n/N (%)</w:t>
            </w:r>
          </w:p>
        </w:tc>
        <w:tc>
          <w:tcPr>
            <w:tcW w:w="918" w:type="dxa"/>
            <w:tcBorders>
              <w:bottom w:val="single" w:sz="4" w:space="0" w:color="auto"/>
            </w:tcBorders>
            <w:vAlign w:val="center"/>
          </w:tcPr>
          <w:p w14:paraId="45DAF7F5"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Median PFS (months)</w:t>
            </w:r>
          </w:p>
        </w:tc>
        <w:tc>
          <w:tcPr>
            <w:tcW w:w="2350" w:type="dxa"/>
            <w:tcBorders>
              <w:bottom w:val="single" w:sz="4" w:space="0" w:color="auto"/>
            </w:tcBorders>
            <w:vAlign w:val="center"/>
          </w:tcPr>
          <w:p w14:paraId="7C675C06"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HR (95% CI)</w:t>
            </w:r>
          </w:p>
        </w:tc>
        <w:tc>
          <w:tcPr>
            <w:tcW w:w="2006" w:type="dxa"/>
            <w:tcBorders>
              <w:bottom w:val="single" w:sz="4" w:space="0" w:color="auto"/>
            </w:tcBorders>
            <w:vAlign w:val="center"/>
          </w:tcPr>
          <w:p w14:paraId="24425335" w14:textId="73FA92E0"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 xml:space="preserve">Indirect comparison Bucher </w:t>
            </w:r>
            <w:r w:rsidRPr="00DF01CF">
              <w:rPr>
                <w:rFonts w:ascii="Arial Narrow" w:hAnsi="Arial Narrow" w:cstheme="minorHAnsi"/>
                <w:b/>
                <w:sz w:val="20"/>
                <w:szCs w:val="20"/>
              </w:rPr>
              <w:br/>
              <w:t xml:space="preserve">Fixed effects </w:t>
            </w:r>
            <w:r w:rsidR="00CE640F" w:rsidRPr="00DF01CF">
              <w:rPr>
                <w:rFonts w:ascii="Arial Narrow" w:hAnsi="Arial Narrow" w:cstheme="minorHAnsi"/>
                <w:b/>
                <w:sz w:val="20"/>
                <w:szCs w:val="20"/>
                <w:vertAlign w:val="superscript"/>
              </w:rPr>
              <w:t>b</w:t>
            </w:r>
            <w:r w:rsidRPr="00DF01CF">
              <w:rPr>
                <w:rFonts w:ascii="Arial Narrow" w:hAnsi="Arial Narrow" w:cstheme="minorHAnsi"/>
                <w:b/>
                <w:sz w:val="20"/>
                <w:szCs w:val="20"/>
              </w:rPr>
              <w:br/>
              <w:t>HR (95% CI)</w:t>
            </w:r>
            <w:r w:rsidRPr="00DF01CF">
              <w:rPr>
                <w:rFonts w:ascii="Arial Narrow" w:hAnsi="Arial Narrow" w:cstheme="minorHAnsi"/>
                <w:b/>
                <w:sz w:val="20"/>
                <w:szCs w:val="20"/>
              </w:rPr>
              <w:br/>
              <w:t>p-value</w:t>
            </w:r>
          </w:p>
        </w:tc>
        <w:tc>
          <w:tcPr>
            <w:tcW w:w="1801" w:type="dxa"/>
            <w:tcBorders>
              <w:bottom w:val="single" w:sz="4" w:space="0" w:color="auto"/>
            </w:tcBorders>
            <w:vAlign w:val="center"/>
          </w:tcPr>
          <w:p w14:paraId="1F7EEA01" w14:textId="6EE17EF4"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Indirect comparison</w:t>
            </w:r>
            <w:r w:rsidRPr="00DF01CF">
              <w:rPr>
                <w:rFonts w:ascii="Arial Narrow" w:hAnsi="Arial Narrow" w:cstheme="minorHAnsi"/>
                <w:b/>
                <w:sz w:val="20"/>
                <w:szCs w:val="20"/>
              </w:rPr>
              <w:br/>
              <w:t xml:space="preserve">Bayesian NMA </w:t>
            </w:r>
            <w:r w:rsidRPr="00DF01CF">
              <w:rPr>
                <w:rFonts w:ascii="Arial Narrow" w:hAnsi="Arial Narrow" w:cstheme="minorHAnsi"/>
                <w:b/>
                <w:sz w:val="20"/>
                <w:szCs w:val="20"/>
              </w:rPr>
              <w:br/>
              <w:t xml:space="preserve">Fixed effects </w:t>
            </w:r>
            <w:r w:rsidR="00CE640F" w:rsidRPr="00DF01CF">
              <w:rPr>
                <w:rFonts w:ascii="Arial Narrow" w:hAnsi="Arial Narrow" w:cstheme="minorHAnsi"/>
                <w:b/>
                <w:sz w:val="20"/>
                <w:szCs w:val="20"/>
                <w:vertAlign w:val="superscript"/>
              </w:rPr>
              <w:t>b</w:t>
            </w:r>
            <w:r w:rsidRPr="00DF01CF">
              <w:rPr>
                <w:rFonts w:ascii="Arial Narrow" w:hAnsi="Arial Narrow" w:cstheme="minorHAnsi"/>
                <w:sz w:val="20"/>
                <w:szCs w:val="20"/>
              </w:rPr>
              <w:br/>
            </w:r>
            <w:r w:rsidRPr="00DF01CF">
              <w:rPr>
                <w:rFonts w:ascii="Arial Narrow" w:hAnsi="Arial Narrow" w:cstheme="minorHAnsi"/>
                <w:b/>
                <w:sz w:val="20"/>
                <w:szCs w:val="20"/>
              </w:rPr>
              <w:t>HR (95% CI)</w:t>
            </w:r>
          </w:p>
        </w:tc>
      </w:tr>
      <w:tr w:rsidR="00A3213F" w:rsidRPr="00DF01CF" w14:paraId="2D84C071" w14:textId="77777777" w:rsidTr="00373ED3">
        <w:tc>
          <w:tcPr>
            <w:tcW w:w="5807" w:type="dxa"/>
            <w:gridSpan w:val="4"/>
            <w:tcBorders>
              <w:right w:val="single" w:sz="4" w:space="0" w:color="auto"/>
            </w:tcBorders>
          </w:tcPr>
          <w:p w14:paraId="5B6FAD86" w14:textId="77777777" w:rsidR="00A3213F" w:rsidRPr="00DF01CF" w:rsidRDefault="00A3213F" w:rsidP="007B5E49">
            <w:pPr>
              <w:keepNext/>
              <w:jc w:val="left"/>
              <w:rPr>
                <w:rFonts w:ascii="Arial Narrow" w:hAnsi="Arial Narrow" w:cstheme="minorHAnsi"/>
                <w:b/>
                <w:bCs/>
                <w:sz w:val="20"/>
                <w:szCs w:val="20"/>
              </w:rPr>
            </w:pPr>
            <w:r w:rsidRPr="00DF01CF">
              <w:rPr>
                <w:rFonts w:ascii="Arial Narrow" w:hAnsi="Arial Narrow" w:cstheme="minorHAnsi"/>
                <w:b/>
                <w:bCs/>
                <w:sz w:val="20"/>
                <w:szCs w:val="20"/>
              </w:rPr>
              <w:t>Progression Free Survival</w:t>
            </w:r>
          </w:p>
        </w:tc>
        <w:tc>
          <w:tcPr>
            <w:tcW w:w="3807" w:type="dxa"/>
            <w:gridSpan w:val="2"/>
            <w:tcBorders>
              <w:left w:val="single" w:sz="4" w:space="0" w:color="auto"/>
            </w:tcBorders>
          </w:tcPr>
          <w:p w14:paraId="6660E02B" w14:textId="77777777" w:rsidR="00A3213F" w:rsidRPr="00DF01CF" w:rsidRDefault="00A3213F" w:rsidP="007B5E49">
            <w:pPr>
              <w:keepNext/>
              <w:jc w:val="center"/>
              <w:rPr>
                <w:rFonts w:ascii="Arial Narrow" w:hAnsi="Arial Narrow" w:cstheme="minorHAnsi"/>
                <w:b/>
                <w:sz w:val="20"/>
                <w:szCs w:val="20"/>
              </w:rPr>
            </w:pPr>
          </w:p>
        </w:tc>
      </w:tr>
      <w:tr w:rsidR="00A3213F" w:rsidRPr="00DF01CF" w14:paraId="55727DAE" w14:textId="77777777" w:rsidTr="00373ED3">
        <w:tc>
          <w:tcPr>
            <w:tcW w:w="5807" w:type="dxa"/>
            <w:gridSpan w:val="4"/>
          </w:tcPr>
          <w:p w14:paraId="58D77B54" w14:textId="371388B3" w:rsidR="00A3213F" w:rsidRPr="00DF01CF" w:rsidRDefault="00A3213F" w:rsidP="007B5E49">
            <w:pPr>
              <w:keepNext/>
              <w:rPr>
                <w:rFonts w:ascii="Arial Narrow" w:hAnsi="Arial Narrow" w:cstheme="minorHAnsi"/>
                <w:b/>
                <w:sz w:val="20"/>
                <w:szCs w:val="20"/>
                <w:vertAlign w:val="superscript"/>
              </w:rPr>
            </w:pPr>
            <w:r w:rsidRPr="00DF01CF">
              <w:rPr>
                <w:rFonts w:ascii="Arial Narrow" w:hAnsi="Arial Narrow" w:cstheme="minorHAnsi"/>
                <w:b/>
                <w:sz w:val="20"/>
                <w:szCs w:val="20"/>
              </w:rPr>
              <w:t xml:space="preserve">NRG-GY018 EUR: 18.3 months median FU (same definition as RUBY-1) </w:t>
            </w:r>
          </w:p>
        </w:tc>
        <w:tc>
          <w:tcPr>
            <w:tcW w:w="3807" w:type="dxa"/>
            <w:gridSpan w:val="2"/>
          </w:tcPr>
          <w:p w14:paraId="5DA31BE8"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PEM+PBC vs DOS+ PBC</w:t>
            </w:r>
          </w:p>
        </w:tc>
      </w:tr>
      <w:tr w:rsidR="00A3213F" w:rsidRPr="00DF01CF" w14:paraId="700CEE3D" w14:textId="77777777" w:rsidTr="00373ED3">
        <w:tc>
          <w:tcPr>
            <w:tcW w:w="1429" w:type="dxa"/>
            <w:tcBorders>
              <w:top w:val="single" w:sz="4" w:space="0" w:color="auto"/>
              <w:left w:val="single" w:sz="4" w:space="0" w:color="auto"/>
              <w:bottom w:val="single" w:sz="4" w:space="0" w:color="auto"/>
            </w:tcBorders>
          </w:tcPr>
          <w:p w14:paraId="244C535B"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PEM+PBC</w:t>
            </w:r>
          </w:p>
        </w:tc>
        <w:tc>
          <w:tcPr>
            <w:tcW w:w="1110" w:type="dxa"/>
            <w:tcBorders>
              <w:top w:val="single" w:sz="4" w:space="0" w:color="auto"/>
              <w:bottom w:val="single" w:sz="4" w:space="0" w:color="auto"/>
            </w:tcBorders>
          </w:tcPr>
          <w:p w14:paraId="1F26870D"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163 (54.7)</w:t>
            </w:r>
          </w:p>
        </w:tc>
        <w:tc>
          <w:tcPr>
            <w:tcW w:w="918" w:type="dxa"/>
            <w:tcBorders>
              <w:top w:val="single" w:sz="4" w:space="0" w:color="auto"/>
              <w:bottom w:val="single" w:sz="4" w:space="0" w:color="auto"/>
            </w:tcBorders>
          </w:tcPr>
          <w:p w14:paraId="2417D20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11.4</w:t>
            </w:r>
          </w:p>
        </w:tc>
        <w:tc>
          <w:tcPr>
            <w:tcW w:w="2350" w:type="dxa"/>
            <w:vMerge w:val="restart"/>
            <w:tcBorders>
              <w:top w:val="single" w:sz="4" w:space="0" w:color="auto"/>
              <w:bottom w:val="single" w:sz="4" w:space="0" w:color="auto"/>
            </w:tcBorders>
            <w:vAlign w:val="center"/>
          </w:tcPr>
          <w:p w14:paraId="40E0CA8E"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0.74 (0.60, 0.91)</w:t>
            </w:r>
          </w:p>
        </w:tc>
        <w:tc>
          <w:tcPr>
            <w:tcW w:w="2006" w:type="dxa"/>
            <w:vMerge w:val="restart"/>
            <w:vAlign w:val="center"/>
          </w:tcPr>
          <w:p w14:paraId="0AC78108" w14:textId="61E626DD"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 xml:space="preserve">0.97 </w:t>
            </w:r>
            <w:r w:rsidR="00B82A10" w:rsidRPr="00DF01CF">
              <w:rPr>
                <w:rFonts w:ascii="Arial Narrow" w:hAnsi="Arial Narrow" w:cstheme="minorHAnsi"/>
                <w:bCs/>
                <w:sz w:val="20"/>
                <w:szCs w:val="20"/>
              </w:rPr>
              <w:t>(</w:t>
            </w:r>
            <w:r w:rsidRPr="00DF01CF">
              <w:rPr>
                <w:rFonts w:ascii="Arial Narrow" w:hAnsi="Arial Narrow" w:cstheme="minorHAnsi"/>
                <w:bCs/>
                <w:sz w:val="20"/>
                <w:szCs w:val="20"/>
              </w:rPr>
              <w:t>0.70, 1.35</w:t>
            </w:r>
            <w:r w:rsidR="00B82A10" w:rsidRPr="00DF01CF">
              <w:rPr>
                <w:rFonts w:ascii="Arial Narrow" w:hAnsi="Arial Narrow" w:cstheme="minorHAnsi"/>
                <w:bCs/>
                <w:sz w:val="20"/>
                <w:szCs w:val="20"/>
              </w:rPr>
              <w:t>)</w:t>
            </w:r>
          </w:p>
          <w:p w14:paraId="22ADC26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stheme="minorHAnsi"/>
                <w:bCs/>
                <w:sz w:val="20"/>
                <w:szCs w:val="20"/>
              </w:rPr>
              <w:t>p value = 0.859</w:t>
            </w:r>
          </w:p>
        </w:tc>
        <w:tc>
          <w:tcPr>
            <w:tcW w:w="1801" w:type="dxa"/>
            <w:vMerge w:val="restart"/>
            <w:vAlign w:val="center"/>
          </w:tcPr>
          <w:p w14:paraId="7F07F9F3" w14:textId="49C853DD" w:rsidR="00A3213F" w:rsidRPr="00DF01CF" w:rsidRDefault="00A3213F" w:rsidP="007B5E49">
            <w:pPr>
              <w:keepNext/>
              <w:jc w:val="center"/>
              <w:rPr>
                <w:rFonts w:ascii="Arial Narrow" w:hAnsi="Arial Narrow" w:cstheme="minorHAnsi"/>
                <w:bCs/>
                <w:sz w:val="20"/>
                <w:szCs w:val="20"/>
                <w:vertAlign w:val="superscript"/>
              </w:rPr>
            </w:pPr>
            <w:r w:rsidRPr="00DF01CF">
              <w:rPr>
                <w:rFonts w:ascii="Arial Narrow" w:hAnsi="Arial Narrow" w:cstheme="minorHAnsi"/>
                <w:bCs/>
                <w:sz w:val="20"/>
                <w:szCs w:val="20"/>
              </w:rPr>
              <w:t xml:space="preserve">0.97 </w:t>
            </w:r>
            <w:r w:rsidR="00B82A10" w:rsidRPr="00DF01CF">
              <w:rPr>
                <w:rFonts w:ascii="Arial Narrow" w:hAnsi="Arial Narrow" w:cstheme="minorHAnsi"/>
                <w:bCs/>
                <w:sz w:val="20"/>
                <w:szCs w:val="20"/>
              </w:rPr>
              <w:t>(</w:t>
            </w:r>
            <w:r w:rsidRPr="00DF01CF">
              <w:rPr>
                <w:rFonts w:ascii="Arial Narrow" w:hAnsi="Arial Narrow" w:cstheme="minorHAnsi"/>
                <w:bCs/>
                <w:sz w:val="20"/>
                <w:szCs w:val="20"/>
              </w:rPr>
              <w:t>0.70, 1.35</w:t>
            </w:r>
            <w:r w:rsidR="00B82A10" w:rsidRPr="00DF01CF">
              <w:rPr>
                <w:rFonts w:ascii="Arial Narrow" w:hAnsi="Arial Narrow" w:cstheme="minorHAnsi"/>
                <w:bCs/>
                <w:sz w:val="20"/>
                <w:szCs w:val="20"/>
              </w:rPr>
              <w:t>)</w:t>
            </w:r>
            <w:r w:rsidRPr="00DF01CF">
              <w:rPr>
                <w:rFonts w:ascii="Arial Narrow" w:hAnsi="Arial Narrow" w:cstheme="minorHAnsi"/>
                <w:bCs/>
                <w:sz w:val="20"/>
                <w:szCs w:val="20"/>
              </w:rPr>
              <w:t xml:space="preserve"> </w:t>
            </w:r>
            <w:r w:rsidRPr="00DF01CF">
              <w:rPr>
                <w:rFonts w:ascii="Arial Narrow" w:hAnsi="Arial Narrow" w:cstheme="minorHAnsi"/>
                <w:bCs/>
                <w:sz w:val="20"/>
                <w:szCs w:val="20"/>
                <w:vertAlign w:val="superscript"/>
              </w:rPr>
              <w:t>b</w:t>
            </w:r>
          </w:p>
        </w:tc>
      </w:tr>
      <w:tr w:rsidR="00A3213F" w:rsidRPr="00DF01CF" w14:paraId="7FEBCC40" w14:textId="77777777" w:rsidTr="00373ED3">
        <w:tc>
          <w:tcPr>
            <w:tcW w:w="1429" w:type="dxa"/>
            <w:tcBorders>
              <w:top w:val="single" w:sz="4" w:space="0" w:color="auto"/>
              <w:left w:val="single" w:sz="4" w:space="0" w:color="auto"/>
              <w:bottom w:val="single" w:sz="4" w:space="0" w:color="auto"/>
            </w:tcBorders>
          </w:tcPr>
          <w:p w14:paraId="3B1C89E1" w14:textId="11733B58"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110" w:type="dxa"/>
            <w:tcBorders>
              <w:top w:val="single" w:sz="4" w:space="0" w:color="auto"/>
              <w:bottom w:val="single" w:sz="4" w:space="0" w:color="auto"/>
            </w:tcBorders>
          </w:tcPr>
          <w:p w14:paraId="50E24FFC"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187 (62.5)</w:t>
            </w:r>
          </w:p>
        </w:tc>
        <w:tc>
          <w:tcPr>
            <w:tcW w:w="918" w:type="dxa"/>
            <w:tcBorders>
              <w:top w:val="single" w:sz="4" w:space="0" w:color="auto"/>
              <w:bottom w:val="single" w:sz="4" w:space="0" w:color="auto"/>
            </w:tcBorders>
          </w:tcPr>
          <w:p w14:paraId="152348D2"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10.6</w:t>
            </w:r>
          </w:p>
        </w:tc>
        <w:tc>
          <w:tcPr>
            <w:tcW w:w="2350" w:type="dxa"/>
            <w:vMerge/>
            <w:tcBorders>
              <w:top w:val="single" w:sz="4" w:space="0" w:color="auto"/>
              <w:bottom w:val="single" w:sz="4" w:space="0" w:color="auto"/>
            </w:tcBorders>
            <w:vAlign w:val="center"/>
          </w:tcPr>
          <w:p w14:paraId="05AD64B4"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67FCFAA5" w14:textId="77777777" w:rsidR="00A3213F" w:rsidRPr="00DF01CF" w:rsidRDefault="00A3213F" w:rsidP="007B5E49">
            <w:pPr>
              <w:keepNext/>
              <w:rPr>
                <w:rFonts w:ascii="Arial Narrow" w:hAnsi="Arial Narrow" w:cstheme="minorHAnsi"/>
                <w:sz w:val="20"/>
                <w:szCs w:val="20"/>
              </w:rPr>
            </w:pPr>
          </w:p>
        </w:tc>
        <w:tc>
          <w:tcPr>
            <w:tcW w:w="1801" w:type="dxa"/>
            <w:vMerge/>
          </w:tcPr>
          <w:p w14:paraId="6F28810D" w14:textId="77777777" w:rsidR="00A3213F" w:rsidRPr="00DF01CF" w:rsidRDefault="00A3213F" w:rsidP="007B5E49">
            <w:pPr>
              <w:keepNext/>
              <w:rPr>
                <w:rFonts w:ascii="Arial Narrow" w:hAnsi="Arial Narrow" w:cstheme="minorHAnsi"/>
                <w:sz w:val="20"/>
                <w:szCs w:val="20"/>
              </w:rPr>
            </w:pPr>
          </w:p>
        </w:tc>
      </w:tr>
      <w:tr w:rsidR="00A3213F" w:rsidRPr="00DF01CF" w14:paraId="4CB73B67" w14:textId="77777777" w:rsidTr="00373ED3">
        <w:trPr>
          <w:trHeight w:val="156"/>
        </w:trPr>
        <w:tc>
          <w:tcPr>
            <w:tcW w:w="5807" w:type="dxa"/>
            <w:gridSpan w:val="4"/>
          </w:tcPr>
          <w:p w14:paraId="1407AF42"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RUBY-1 IA1: 25.7 months median follow-up</w:t>
            </w:r>
          </w:p>
        </w:tc>
        <w:tc>
          <w:tcPr>
            <w:tcW w:w="2006" w:type="dxa"/>
            <w:vMerge/>
          </w:tcPr>
          <w:p w14:paraId="05DB4222" w14:textId="77777777" w:rsidR="00A3213F" w:rsidRPr="00DF01CF" w:rsidRDefault="00A3213F" w:rsidP="007B5E49">
            <w:pPr>
              <w:keepNext/>
              <w:rPr>
                <w:rFonts w:ascii="Arial Narrow" w:hAnsi="Arial Narrow" w:cstheme="minorHAnsi"/>
                <w:sz w:val="20"/>
                <w:szCs w:val="20"/>
              </w:rPr>
            </w:pPr>
          </w:p>
        </w:tc>
        <w:tc>
          <w:tcPr>
            <w:tcW w:w="1801" w:type="dxa"/>
            <w:vMerge/>
          </w:tcPr>
          <w:p w14:paraId="4784CCF2" w14:textId="77777777" w:rsidR="00A3213F" w:rsidRPr="00DF01CF" w:rsidRDefault="00A3213F" w:rsidP="007B5E49">
            <w:pPr>
              <w:keepNext/>
              <w:rPr>
                <w:rFonts w:ascii="Arial Narrow" w:hAnsi="Arial Narrow" w:cstheme="minorHAnsi"/>
                <w:sz w:val="20"/>
                <w:szCs w:val="20"/>
              </w:rPr>
            </w:pPr>
          </w:p>
        </w:tc>
      </w:tr>
      <w:tr w:rsidR="00A3213F" w:rsidRPr="00DF01CF" w14:paraId="6CA3559E" w14:textId="77777777" w:rsidTr="00373ED3">
        <w:tc>
          <w:tcPr>
            <w:tcW w:w="1429" w:type="dxa"/>
            <w:tcBorders>
              <w:top w:val="single" w:sz="4" w:space="0" w:color="auto"/>
              <w:left w:val="single" w:sz="4" w:space="0" w:color="auto"/>
              <w:bottom w:val="single" w:sz="4" w:space="0" w:color="auto"/>
            </w:tcBorders>
          </w:tcPr>
          <w:p w14:paraId="2C6EAFF1"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DOS+PBC</w:t>
            </w:r>
          </w:p>
        </w:tc>
        <w:tc>
          <w:tcPr>
            <w:tcW w:w="1110" w:type="dxa"/>
            <w:tcBorders>
              <w:top w:val="single" w:sz="4" w:space="0" w:color="auto"/>
              <w:bottom w:val="single" w:sz="4" w:space="0" w:color="auto"/>
            </w:tcBorders>
          </w:tcPr>
          <w:p w14:paraId="2D607C01"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116 (60.4)</w:t>
            </w:r>
          </w:p>
        </w:tc>
        <w:tc>
          <w:tcPr>
            <w:tcW w:w="918" w:type="dxa"/>
            <w:tcBorders>
              <w:top w:val="single" w:sz="4" w:space="0" w:color="auto"/>
              <w:bottom w:val="single" w:sz="4" w:space="0" w:color="auto"/>
            </w:tcBorders>
          </w:tcPr>
          <w:p w14:paraId="698208D4"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9.9</w:t>
            </w:r>
          </w:p>
        </w:tc>
        <w:tc>
          <w:tcPr>
            <w:tcW w:w="2350" w:type="dxa"/>
            <w:vMerge w:val="restart"/>
            <w:tcBorders>
              <w:top w:val="single" w:sz="4" w:space="0" w:color="auto"/>
              <w:bottom w:val="single" w:sz="4" w:space="0" w:color="auto"/>
            </w:tcBorders>
            <w:vAlign w:val="center"/>
          </w:tcPr>
          <w:p w14:paraId="3C999E62"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0.76 (0.59, 0.98)</w:t>
            </w:r>
          </w:p>
        </w:tc>
        <w:tc>
          <w:tcPr>
            <w:tcW w:w="2006" w:type="dxa"/>
            <w:vMerge/>
          </w:tcPr>
          <w:p w14:paraId="6C5DE89F" w14:textId="77777777" w:rsidR="00A3213F" w:rsidRPr="00DF01CF" w:rsidRDefault="00A3213F" w:rsidP="007B5E49">
            <w:pPr>
              <w:keepNext/>
              <w:rPr>
                <w:rFonts w:ascii="Arial Narrow" w:hAnsi="Arial Narrow" w:cstheme="minorHAnsi"/>
                <w:sz w:val="20"/>
                <w:szCs w:val="20"/>
              </w:rPr>
            </w:pPr>
          </w:p>
        </w:tc>
        <w:tc>
          <w:tcPr>
            <w:tcW w:w="1801" w:type="dxa"/>
            <w:vMerge/>
          </w:tcPr>
          <w:p w14:paraId="69B1FF7D" w14:textId="77777777" w:rsidR="00A3213F" w:rsidRPr="00DF01CF" w:rsidRDefault="00A3213F" w:rsidP="007B5E49">
            <w:pPr>
              <w:keepNext/>
              <w:rPr>
                <w:rFonts w:ascii="Arial Narrow" w:hAnsi="Arial Narrow" w:cstheme="minorHAnsi"/>
                <w:sz w:val="20"/>
                <w:szCs w:val="20"/>
              </w:rPr>
            </w:pPr>
          </w:p>
        </w:tc>
      </w:tr>
      <w:tr w:rsidR="00A3213F" w:rsidRPr="00DF01CF" w14:paraId="027CDA54" w14:textId="77777777" w:rsidTr="00373ED3">
        <w:tc>
          <w:tcPr>
            <w:tcW w:w="1429" w:type="dxa"/>
            <w:tcBorders>
              <w:top w:val="single" w:sz="4" w:space="0" w:color="auto"/>
              <w:left w:val="single" w:sz="4" w:space="0" w:color="auto"/>
              <w:bottom w:val="single" w:sz="4" w:space="0" w:color="auto"/>
            </w:tcBorders>
          </w:tcPr>
          <w:p w14:paraId="51188E3A" w14:textId="59C5AF8F"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110" w:type="dxa"/>
            <w:tcBorders>
              <w:top w:val="single" w:sz="4" w:space="0" w:color="auto"/>
              <w:bottom w:val="single" w:sz="4" w:space="0" w:color="auto"/>
            </w:tcBorders>
          </w:tcPr>
          <w:p w14:paraId="36151C6A"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130 (70.7)</w:t>
            </w:r>
          </w:p>
        </w:tc>
        <w:tc>
          <w:tcPr>
            <w:tcW w:w="918" w:type="dxa"/>
            <w:tcBorders>
              <w:top w:val="single" w:sz="4" w:space="0" w:color="auto"/>
              <w:bottom w:val="single" w:sz="4" w:space="0" w:color="auto"/>
            </w:tcBorders>
          </w:tcPr>
          <w:p w14:paraId="62EFE413"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7.9</w:t>
            </w:r>
          </w:p>
        </w:tc>
        <w:tc>
          <w:tcPr>
            <w:tcW w:w="2350" w:type="dxa"/>
            <w:vMerge/>
            <w:tcBorders>
              <w:top w:val="single" w:sz="4" w:space="0" w:color="auto"/>
              <w:bottom w:val="single" w:sz="4" w:space="0" w:color="auto"/>
            </w:tcBorders>
            <w:vAlign w:val="center"/>
          </w:tcPr>
          <w:p w14:paraId="280D9761"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2C751BFD" w14:textId="77777777" w:rsidR="00A3213F" w:rsidRPr="00DF01CF" w:rsidRDefault="00A3213F" w:rsidP="007B5E49">
            <w:pPr>
              <w:keepNext/>
              <w:rPr>
                <w:rFonts w:ascii="Arial Narrow" w:hAnsi="Arial Narrow" w:cstheme="minorHAnsi"/>
                <w:sz w:val="20"/>
                <w:szCs w:val="20"/>
              </w:rPr>
            </w:pPr>
          </w:p>
        </w:tc>
        <w:tc>
          <w:tcPr>
            <w:tcW w:w="1801" w:type="dxa"/>
            <w:vMerge/>
          </w:tcPr>
          <w:p w14:paraId="23BF71C8" w14:textId="77777777" w:rsidR="00A3213F" w:rsidRPr="00DF01CF" w:rsidRDefault="00A3213F" w:rsidP="007B5E49">
            <w:pPr>
              <w:keepNext/>
              <w:rPr>
                <w:rFonts w:ascii="Arial Narrow" w:hAnsi="Arial Narrow" w:cstheme="minorHAnsi"/>
                <w:sz w:val="20"/>
                <w:szCs w:val="20"/>
              </w:rPr>
            </w:pPr>
          </w:p>
        </w:tc>
      </w:tr>
      <w:tr w:rsidR="00A3213F" w:rsidRPr="00DF01CF" w14:paraId="37544A16" w14:textId="77777777" w:rsidTr="00373ED3">
        <w:tc>
          <w:tcPr>
            <w:tcW w:w="5807" w:type="dxa"/>
            <w:gridSpan w:val="4"/>
          </w:tcPr>
          <w:p w14:paraId="0AD085BC"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NRG-GY018 EUR 18.3 months median follow-up (same definition as RUBY-1)</w:t>
            </w:r>
          </w:p>
        </w:tc>
        <w:tc>
          <w:tcPr>
            <w:tcW w:w="3807" w:type="dxa"/>
            <w:gridSpan w:val="2"/>
            <w:vAlign w:val="center"/>
          </w:tcPr>
          <w:p w14:paraId="7CA74022" w14:textId="77777777" w:rsidR="00A3213F" w:rsidRPr="00DF01CF" w:rsidRDefault="00A3213F" w:rsidP="007B5E49">
            <w:pPr>
              <w:keepNext/>
              <w:jc w:val="center"/>
              <w:rPr>
                <w:rFonts w:ascii="Arial Narrow" w:hAnsi="Arial Narrow" w:cstheme="minorHAnsi"/>
                <w:b/>
                <w:sz w:val="20"/>
                <w:szCs w:val="20"/>
              </w:rPr>
            </w:pPr>
            <w:r w:rsidRPr="00DF01CF">
              <w:rPr>
                <w:rFonts w:ascii="Arial Narrow" w:hAnsi="Arial Narrow" w:cstheme="minorHAnsi"/>
                <w:b/>
                <w:sz w:val="20"/>
                <w:szCs w:val="20"/>
              </w:rPr>
              <w:t>PEM+PBC vs DUR+PBC+OLA</w:t>
            </w:r>
          </w:p>
        </w:tc>
      </w:tr>
      <w:tr w:rsidR="00A3213F" w:rsidRPr="00DF01CF" w14:paraId="0916A2C5" w14:textId="77777777" w:rsidTr="00373ED3">
        <w:tc>
          <w:tcPr>
            <w:tcW w:w="1429" w:type="dxa"/>
            <w:tcBorders>
              <w:top w:val="single" w:sz="4" w:space="0" w:color="auto"/>
              <w:left w:val="single" w:sz="4" w:space="0" w:color="auto"/>
              <w:bottom w:val="single" w:sz="4" w:space="0" w:color="auto"/>
            </w:tcBorders>
          </w:tcPr>
          <w:p w14:paraId="37AAEE5B"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PEM + PBC</w:t>
            </w:r>
          </w:p>
        </w:tc>
        <w:tc>
          <w:tcPr>
            <w:tcW w:w="1110" w:type="dxa"/>
            <w:tcBorders>
              <w:top w:val="single" w:sz="4" w:space="0" w:color="auto"/>
              <w:bottom w:val="single" w:sz="4" w:space="0" w:color="auto"/>
            </w:tcBorders>
          </w:tcPr>
          <w:p w14:paraId="3386F406"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163 (54.7)</w:t>
            </w:r>
          </w:p>
        </w:tc>
        <w:tc>
          <w:tcPr>
            <w:tcW w:w="918" w:type="dxa"/>
            <w:tcBorders>
              <w:top w:val="single" w:sz="4" w:space="0" w:color="auto"/>
              <w:bottom w:val="single" w:sz="4" w:space="0" w:color="auto"/>
            </w:tcBorders>
          </w:tcPr>
          <w:p w14:paraId="5B4C514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11.4</w:t>
            </w:r>
          </w:p>
        </w:tc>
        <w:tc>
          <w:tcPr>
            <w:tcW w:w="2350" w:type="dxa"/>
            <w:vMerge w:val="restart"/>
            <w:tcBorders>
              <w:top w:val="single" w:sz="4" w:space="0" w:color="auto"/>
              <w:bottom w:val="single" w:sz="4" w:space="0" w:color="auto"/>
            </w:tcBorders>
            <w:vAlign w:val="center"/>
          </w:tcPr>
          <w:p w14:paraId="19D745D3"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0.74 (0.60, 0.91)</w:t>
            </w:r>
          </w:p>
        </w:tc>
        <w:tc>
          <w:tcPr>
            <w:tcW w:w="2006" w:type="dxa"/>
            <w:vMerge w:val="restart"/>
            <w:vAlign w:val="center"/>
          </w:tcPr>
          <w:p w14:paraId="729E5D22" w14:textId="57EACE7E"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1.29 </w:t>
            </w:r>
            <w:r w:rsidR="00B82A10" w:rsidRPr="00DF01CF">
              <w:rPr>
                <w:rFonts w:ascii="Arial Narrow" w:hAnsi="Arial Narrow" w:cstheme="minorHAnsi"/>
                <w:sz w:val="20"/>
                <w:szCs w:val="20"/>
              </w:rPr>
              <w:t>(</w:t>
            </w:r>
            <w:r w:rsidRPr="00DF01CF">
              <w:rPr>
                <w:rFonts w:ascii="Arial Narrow" w:hAnsi="Arial Narrow" w:cstheme="minorHAnsi"/>
                <w:sz w:val="20"/>
                <w:szCs w:val="20"/>
              </w:rPr>
              <w:t>0.93, 1.80</w:t>
            </w:r>
            <w:r w:rsidR="00B82A10" w:rsidRPr="00DF01CF">
              <w:rPr>
                <w:rFonts w:ascii="Arial Narrow" w:hAnsi="Arial Narrow" w:cstheme="minorHAnsi"/>
                <w:sz w:val="20"/>
                <w:szCs w:val="20"/>
              </w:rPr>
              <w:t>)</w:t>
            </w:r>
          </w:p>
          <w:p w14:paraId="4067C502"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p value= 0.125</w:t>
            </w:r>
          </w:p>
        </w:tc>
        <w:tc>
          <w:tcPr>
            <w:tcW w:w="1801" w:type="dxa"/>
            <w:vMerge w:val="restart"/>
            <w:vAlign w:val="center"/>
          </w:tcPr>
          <w:p w14:paraId="67FDA7AE" w14:textId="400FB800" w:rsidR="00A3213F" w:rsidRPr="00DF01CF" w:rsidRDefault="00A3213F" w:rsidP="007B5E49">
            <w:pPr>
              <w:keepNext/>
              <w:jc w:val="center"/>
              <w:rPr>
                <w:rFonts w:ascii="Arial Narrow" w:hAnsi="Arial Narrow" w:cstheme="minorHAnsi"/>
                <w:sz w:val="20"/>
                <w:szCs w:val="20"/>
                <w:vertAlign w:val="superscript"/>
              </w:rPr>
            </w:pPr>
            <w:r w:rsidRPr="00DF01CF">
              <w:rPr>
                <w:rFonts w:ascii="Arial Narrow" w:hAnsi="Arial Narrow" w:cstheme="minorHAnsi"/>
                <w:sz w:val="20"/>
                <w:szCs w:val="20"/>
              </w:rPr>
              <w:t xml:space="preserve">1.30 </w:t>
            </w:r>
            <w:r w:rsidR="00B82A10" w:rsidRPr="00DF01CF">
              <w:rPr>
                <w:rFonts w:ascii="Arial Narrow" w:hAnsi="Arial Narrow" w:cstheme="minorHAnsi"/>
                <w:sz w:val="20"/>
                <w:szCs w:val="20"/>
              </w:rPr>
              <w:t>(</w:t>
            </w:r>
            <w:r w:rsidRPr="00DF01CF">
              <w:rPr>
                <w:rFonts w:ascii="Arial Narrow" w:hAnsi="Arial Narrow" w:cstheme="minorHAnsi"/>
                <w:sz w:val="20"/>
                <w:szCs w:val="20"/>
              </w:rPr>
              <w:t>0.94, 1.80</w:t>
            </w:r>
            <w:r w:rsidR="00B82A10" w:rsidRPr="00DF01CF">
              <w:rPr>
                <w:rFonts w:ascii="Arial Narrow" w:hAnsi="Arial Narrow" w:cstheme="minorHAnsi"/>
                <w:sz w:val="20"/>
                <w:szCs w:val="20"/>
              </w:rPr>
              <w:t>)</w:t>
            </w:r>
            <w:r w:rsidRPr="00DF01CF">
              <w:rPr>
                <w:rFonts w:ascii="Arial Narrow" w:hAnsi="Arial Narrow" w:cstheme="minorHAnsi"/>
                <w:sz w:val="20"/>
                <w:szCs w:val="20"/>
              </w:rPr>
              <w:t xml:space="preserve"> </w:t>
            </w:r>
            <w:r w:rsidRPr="00DF01CF">
              <w:rPr>
                <w:rFonts w:ascii="Arial Narrow" w:hAnsi="Arial Narrow" w:cstheme="minorHAnsi"/>
                <w:sz w:val="20"/>
                <w:szCs w:val="20"/>
                <w:vertAlign w:val="superscript"/>
              </w:rPr>
              <w:t>b</w:t>
            </w:r>
          </w:p>
        </w:tc>
      </w:tr>
      <w:tr w:rsidR="00A3213F" w:rsidRPr="00DF01CF" w14:paraId="0C8AFBB9" w14:textId="77777777" w:rsidTr="00373ED3">
        <w:tc>
          <w:tcPr>
            <w:tcW w:w="1429" w:type="dxa"/>
            <w:tcBorders>
              <w:top w:val="single" w:sz="4" w:space="0" w:color="auto"/>
              <w:left w:val="single" w:sz="4" w:space="0" w:color="auto"/>
              <w:bottom w:val="single" w:sz="4" w:space="0" w:color="auto"/>
            </w:tcBorders>
          </w:tcPr>
          <w:p w14:paraId="446F09E7" w14:textId="2F83661C"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110" w:type="dxa"/>
            <w:tcBorders>
              <w:top w:val="single" w:sz="4" w:space="0" w:color="auto"/>
              <w:bottom w:val="single" w:sz="4" w:space="0" w:color="auto"/>
            </w:tcBorders>
          </w:tcPr>
          <w:p w14:paraId="72DBAE71"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187 (62.5)</w:t>
            </w:r>
          </w:p>
        </w:tc>
        <w:tc>
          <w:tcPr>
            <w:tcW w:w="918" w:type="dxa"/>
            <w:tcBorders>
              <w:top w:val="single" w:sz="4" w:space="0" w:color="auto"/>
              <w:bottom w:val="single" w:sz="4" w:space="0" w:color="auto"/>
            </w:tcBorders>
          </w:tcPr>
          <w:p w14:paraId="70C028D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10.6</w:t>
            </w:r>
          </w:p>
        </w:tc>
        <w:tc>
          <w:tcPr>
            <w:tcW w:w="2350" w:type="dxa"/>
            <w:vMerge/>
            <w:tcBorders>
              <w:top w:val="single" w:sz="4" w:space="0" w:color="auto"/>
              <w:bottom w:val="single" w:sz="4" w:space="0" w:color="auto"/>
            </w:tcBorders>
            <w:vAlign w:val="center"/>
          </w:tcPr>
          <w:p w14:paraId="16EBFA28"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75E8849A" w14:textId="77777777" w:rsidR="00A3213F" w:rsidRPr="00DF01CF" w:rsidRDefault="00A3213F" w:rsidP="007B5E49">
            <w:pPr>
              <w:keepNext/>
              <w:rPr>
                <w:rFonts w:ascii="Arial Narrow" w:hAnsi="Arial Narrow" w:cstheme="minorHAnsi"/>
                <w:sz w:val="20"/>
                <w:szCs w:val="20"/>
              </w:rPr>
            </w:pPr>
          </w:p>
        </w:tc>
        <w:tc>
          <w:tcPr>
            <w:tcW w:w="1801" w:type="dxa"/>
            <w:vMerge/>
          </w:tcPr>
          <w:p w14:paraId="7434115C" w14:textId="77777777" w:rsidR="00A3213F" w:rsidRPr="00DF01CF" w:rsidRDefault="00A3213F" w:rsidP="007B5E49">
            <w:pPr>
              <w:keepNext/>
              <w:rPr>
                <w:rFonts w:ascii="Arial Narrow" w:hAnsi="Arial Narrow" w:cstheme="minorHAnsi"/>
                <w:sz w:val="20"/>
                <w:szCs w:val="20"/>
              </w:rPr>
            </w:pPr>
          </w:p>
        </w:tc>
      </w:tr>
      <w:tr w:rsidR="00A3213F" w:rsidRPr="00DF01CF" w14:paraId="31078C9E" w14:textId="77777777" w:rsidTr="00373ED3">
        <w:tc>
          <w:tcPr>
            <w:tcW w:w="5807" w:type="dxa"/>
            <w:gridSpan w:val="4"/>
          </w:tcPr>
          <w:p w14:paraId="4AE7A114"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DUO-E-1 IA1 DUR+PBC+OLA 15.2 vs PBO+PBC 12.8 months median FU</w:t>
            </w:r>
          </w:p>
        </w:tc>
        <w:tc>
          <w:tcPr>
            <w:tcW w:w="2006" w:type="dxa"/>
            <w:vMerge/>
          </w:tcPr>
          <w:p w14:paraId="331B50F0" w14:textId="77777777" w:rsidR="00A3213F" w:rsidRPr="00DF01CF" w:rsidRDefault="00A3213F" w:rsidP="007B5E49">
            <w:pPr>
              <w:keepNext/>
              <w:rPr>
                <w:rFonts w:ascii="Arial Narrow" w:hAnsi="Arial Narrow" w:cstheme="minorHAnsi"/>
                <w:sz w:val="20"/>
                <w:szCs w:val="20"/>
              </w:rPr>
            </w:pPr>
          </w:p>
        </w:tc>
        <w:tc>
          <w:tcPr>
            <w:tcW w:w="1801" w:type="dxa"/>
            <w:vMerge/>
          </w:tcPr>
          <w:p w14:paraId="39FCC468" w14:textId="77777777" w:rsidR="00A3213F" w:rsidRPr="00DF01CF" w:rsidRDefault="00A3213F" w:rsidP="007B5E49">
            <w:pPr>
              <w:keepNext/>
              <w:rPr>
                <w:rFonts w:ascii="Arial Narrow" w:hAnsi="Arial Narrow" w:cstheme="minorHAnsi"/>
                <w:sz w:val="20"/>
                <w:szCs w:val="20"/>
              </w:rPr>
            </w:pPr>
          </w:p>
        </w:tc>
      </w:tr>
      <w:tr w:rsidR="00A3213F" w:rsidRPr="00DF01CF" w14:paraId="7DC52AEC" w14:textId="77777777" w:rsidTr="00373ED3">
        <w:tc>
          <w:tcPr>
            <w:tcW w:w="1429" w:type="dxa"/>
            <w:tcBorders>
              <w:top w:val="single" w:sz="4" w:space="0" w:color="auto"/>
              <w:left w:val="single" w:sz="4" w:space="0" w:color="auto"/>
              <w:bottom w:val="single" w:sz="4" w:space="0" w:color="auto"/>
            </w:tcBorders>
          </w:tcPr>
          <w:p w14:paraId="09AA6424"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color w:val="000000" w:themeColor="text1"/>
                <w:sz w:val="20"/>
                <w:szCs w:val="20"/>
              </w:rPr>
              <w:t>DUR+PBC+OLA</w:t>
            </w:r>
          </w:p>
        </w:tc>
        <w:tc>
          <w:tcPr>
            <w:tcW w:w="1110" w:type="dxa"/>
            <w:tcBorders>
              <w:top w:val="single" w:sz="4" w:space="0" w:color="auto"/>
              <w:bottom w:val="single" w:sz="4" w:space="0" w:color="auto"/>
            </w:tcBorders>
          </w:tcPr>
          <w:p w14:paraId="68D06B47"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olor w:val="000000" w:themeColor="text1"/>
                <w:sz w:val="20"/>
                <w:szCs w:val="20"/>
              </w:rPr>
              <w:t>108 (56.5)</w:t>
            </w:r>
          </w:p>
        </w:tc>
        <w:tc>
          <w:tcPr>
            <w:tcW w:w="918" w:type="dxa"/>
            <w:tcBorders>
              <w:top w:val="single" w:sz="4" w:space="0" w:color="auto"/>
              <w:bottom w:val="single" w:sz="4" w:space="0" w:color="auto"/>
            </w:tcBorders>
          </w:tcPr>
          <w:p w14:paraId="1EB0777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olor w:val="000000" w:themeColor="text1"/>
                <w:sz w:val="20"/>
                <w:szCs w:val="20"/>
              </w:rPr>
              <w:t>15.0</w:t>
            </w:r>
          </w:p>
        </w:tc>
        <w:tc>
          <w:tcPr>
            <w:tcW w:w="2350" w:type="dxa"/>
            <w:vMerge w:val="restart"/>
            <w:tcBorders>
              <w:top w:val="single" w:sz="4" w:space="0" w:color="auto"/>
              <w:bottom w:val="single" w:sz="4" w:space="0" w:color="auto"/>
            </w:tcBorders>
            <w:vAlign w:val="center"/>
          </w:tcPr>
          <w:p w14:paraId="72E39639"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0.57 (0.44, 0.73)</w:t>
            </w:r>
          </w:p>
        </w:tc>
        <w:tc>
          <w:tcPr>
            <w:tcW w:w="2006" w:type="dxa"/>
            <w:vMerge/>
          </w:tcPr>
          <w:p w14:paraId="2006F6EE" w14:textId="77777777" w:rsidR="00A3213F" w:rsidRPr="00DF01CF" w:rsidRDefault="00A3213F" w:rsidP="007B5E49">
            <w:pPr>
              <w:keepNext/>
              <w:rPr>
                <w:rFonts w:ascii="Arial Narrow" w:hAnsi="Arial Narrow" w:cstheme="minorHAnsi"/>
                <w:sz w:val="20"/>
                <w:szCs w:val="20"/>
              </w:rPr>
            </w:pPr>
          </w:p>
        </w:tc>
        <w:tc>
          <w:tcPr>
            <w:tcW w:w="1801" w:type="dxa"/>
            <w:vMerge/>
          </w:tcPr>
          <w:p w14:paraId="463BC36E" w14:textId="77777777" w:rsidR="00A3213F" w:rsidRPr="00DF01CF" w:rsidRDefault="00A3213F" w:rsidP="007B5E49">
            <w:pPr>
              <w:keepNext/>
              <w:rPr>
                <w:rFonts w:ascii="Arial Narrow" w:hAnsi="Arial Narrow" w:cstheme="minorHAnsi"/>
                <w:sz w:val="20"/>
                <w:szCs w:val="20"/>
              </w:rPr>
            </w:pPr>
          </w:p>
        </w:tc>
      </w:tr>
      <w:tr w:rsidR="00A3213F" w:rsidRPr="00DF01CF" w14:paraId="334E7D0D" w14:textId="77777777" w:rsidTr="00373ED3">
        <w:tc>
          <w:tcPr>
            <w:tcW w:w="1429" w:type="dxa"/>
            <w:tcBorders>
              <w:top w:val="single" w:sz="4" w:space="0" w:color="auto"/>
              <w:left w:val="single" w:sz="4" w:space="0" w:color="auto"/>
              <w:bottom w:val="single" w:sz="4" w:space="0" w:color="auto"/>
            </w:tcBorders>
          </w:tcPr>
          <w:p w14:paraId="100CA962" w14:textId="6FD23C5C" w:rsidR="00A3213F" w:rsidRPr="00DF01CF" w:rsidRDefault="003D3337" w:rsidP="007B5E49">
            <w:pPr>
              <w:keepNext/>
              <w:rPr>
                <w:rFonts w:ascii="Arial Narrow" w:hAnsi="Arial Narrow" w:cstheme="minorHAnsi"/>
                <w:bCs/>
                <w:sz w:val="20"/>
                <w:szCs w:val="20"/>
              </w:rPr>
            </w:pPr>
            <w:r w:rsidRPr="00DF01CF">
              <w:rPr>
                <w:rFonts w:ascii="Arial Narrow" w:hAnsi="Arial Narrow"/>
                <w:color w:val="000000" w:themeColor="text1"/>
                <w:sz w:val="20"/>
                <w:szCs w:val="20"/>
              </w:rPr>
              <w:t>PBO+</w:t>
            </w:r>
            <w:r w:rsidR="00A3213F" w:rsidRPr="00DF01CF">
              <w:rPr>
                <w:rFonts w:ascii="Arial Narrow" w:hAnsi="Arial Narrow"/>
                <w:color w:val="000000" w:themeColor="text1"/>
                <w:sz w:val="20"/>
                <w:szCs w:val="20"/>
              </w:rPr>
              <w:t>PBC</w:t>
            </w:r>
          </w:p>
        </w:tc>
        <w:tc>
          <w:tcPr>
            <w:tcW w:w="1110" w:type="dxa"/>
            <w:tcBorders>
              <w:top w:val="single" w:sz="4" w:space="0" w:color="auto"/>
              <w:bottom w:val="single" w:sz="4" w:space="0" w:color="auto"/>
            </w:tcBorders>
          </w:tcPr>
          <w:p w14:paraId="50CABBA3"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olor w:val="000000" w:themeColor="text1"/>
                <w:sz w:val="20"/>
                <w:szCs w:val="20"/>
              </w:rPr>
              <w:t>148 (77.1)</w:t>
            </w:r>
          </w:p>
        </w:tc>
        <w:tc>
          <w:tcPr>
            <w:tcW w:w="918" w:type="dxa"/>
            <w:tcBorders>
              <w:top w:val="single" w:sz="4" w:space="0" w:color="auto"/>
              <w:bottom w:val="single" w:sz="4" w:space="0" w:color="000000" w:themeColor="text1"/>
            </w:tcBorders>
          </w:tcPr>
          <w:p w14:paraId="0C8D4E6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color w:val="000000" w:themeColor="text1"/>
                <w:sz w:val="20"/>
                <w:szCs w:val="20"/>
              </w:rPr>
              <w:t>9.7</w:t>
            </w:r>
          </w:p>
        </w:tc>
        <w:tc>
          <w:tcPr>
            <w:tcW w:w="2350" w:type="dxa"/>
            <w:vMerge/>
            <w:tcBorders>
              <w:top w:val="single" w:sz="4" w:space="0" w:color="auto"/>
            </w:tcBorders>
            <w:vAlign w:val="center"/>
          </w:tcPr>
          <w:p w14:paraId="2405BEBB"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0B72C256" w14:textId="77777777" w:rsidR="00A3213F" w:rsidRPr="00DF01CF" w:rsidRDefault="00A3213F" w:rsidP="007B5E49">
            <w:pPr>
              <w:keepNext/>
              <w:rPr>
                <w:rFonts w:ascii="Arial Narrow" w:hAnsi="Arial Narrow" w:cstheme="minorHAnsi"/>
                <w:sz w:val="20"/>
                <w:szCs w:val="20"/>
              </w:rPr>
            </w:pPr>
          </w:p>
        </w:tc>
        <w:tc>
          <w:tcPr>
            <w:tcW w:w="1801" w:type="dxa"/>
            <w:vMerge/>
          </w:tcPr>
          <w:p w14:paraId="4C960BC6" w14:textId="77777777" w:rsidR="00A3213F" w:rsidRPr="00DF01CF" w:rsidRDefault="00A3213F" w:rsidP="007B5E49">
            <w:pPr>
              <w:keepNext/>
              <w:rPr>
                <w:rFonts w:ascii="Arial Narrow" w:hAnsi="Arial Narrow" w:cstheme="minorHAnsi"/>
                <w:sz w:val="20"/>
                <w:szCs w:val="20"/>
              </w:rPr>
            </w:pPr>
          </w:p>
        </w:tc>
      </w:tr>
      <w:tr w:rsidR="00A3213F" w:rsidRPr="00DF01CF" w14:paraId="2026A1D0" w14:textId="77777777" w:rsidTr="007B5E49">
        <w:tc>
          <w:tcPr>
            <w:tcW w:w="9614" w:type="dxa"/>
            <w:gridSpan w:val="6"/>
          </w:tcPr>
          <w:p w14:paraId="6520388F"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cstheme="minorHAnsi"/>
                <w:b/>
                <w:bCs/>
                <w:sz w:val="20"/>
                <w:szCs w:val="20"/>
              </w:rPr>
              <w:t>Overall Survival</w:t>
            </w:r>
          </w:p>
        </w:tc>
      </w:tr>
      <w:tr w:rsidR="00A3213F" w:rsidRPr="00DF01CF" w14:paraId="284EA006" w14:textId="77777777" w:rsidTr="00373ED3">
        <w:tc>
          <w:tcPr>
            <w:tcW w:w="5807" w:type="dxa"/>
            <w:gridSpan w:val="4"/>
          </w:tcPr>
          <w:p w14:paraId="051A7691" w14:textId="77777777" w:rsidR="00A3213F" w:rsidRPr="00DF01CF" w:rsidRDefault="00A3213F" w:rsidP="007B5E49">
            <w:pPr>
              <w:keepNext/>
              <w:rPr>
                <w:rFonts w:ascii="Arial Narrow" w:hAnsi="Arial Narrow" w:cstheme="minorHAnsi"/>
                <w:b/>
                <w:sz w:val="20"/>
                <w:szCs w:val="20"/>
              </w:rPr>
            </w:pPr>
            <w:r w:rsidRPr="00DF01CF">
              <w:rPr>
                <w:rFonts w:ascii="Arial Narrow" w:hAnsi="Arial Narrow" w:cstheme="minorHAnsi"/>
                <w:b/>
                <w:sz w:val="20"/>
                <w:szCs w:val="20"/>
              </w:rPr>
              <w:t>NRG-GY018 EUR: 18.3 months median follow-up (same definition as RUBY-1)</w:t>
            </w:r>
          </w:p>
        </w:tc>
        <w:tc>
          <w:tcPr>
            <w:tcW w:w="3807" w:type="dxa"/>
            <w:gridSpan w:val="2"/>
            <w:vAlign w:val="center"/>
          </w:tcPr>
          <w:p w14:paraId="63434F85" w14:textId="77777777" w:rsidR="00A3213F" w:rsidRPr="00DF01CF" w:rsidRDefault="00A3213F" w:rsidP="007B5E49">
            <w:pPr>
              <w:keepNext/>
              <w:jc w:val="center"/>
              <w:rPr>
                <w:rFonts w:ascii="Arial Narrow" w:hAnsi="Arial Narrow" w:cstheme="minorHAnsi"/>
                <w:b/>
                <w:bCs/>
                <w:sz w:val="20"/>
                <w:szCs w:val="20"/>
              </w:rPr>
            </w:pPr>
            <w:r w:rsidRPr="00DF01CF">
              <w:rPr>
                <w:rFonts w:ascii="Arial Narrow" w:hAnsi="Arial Narrow" w:cstheme="minorHAnsi"/>
                <w:b/>
                <w:bCs/>
                <w:sz w:val="20"/>
                <w:szCs w:val="20"/>
              </w:rPr>
              <w:t>PEM+PBC vs DOS+PBC</w:t>
            </w:r>
          </w:p>
        </w:tc>
      </w:tr>
      <w:tr w:rsidR="00A3213F" w:rsidRPr="00DF01CF" w14:paraId="4327E005" w14:textId="77777777" w:rsidTr="00373ED3">
        <w:tc>
          <w:tcPr>
            <w:tcW w:w="1429" w:type="dxa"/>
            <w:tcBorders>
              <w:top w:val="single" w:sz="4" w:space="0" w:color="auto"/>
              <w:left w:val="single" w:sz="4" w:space="0" w:color="auto"/>
              <w:bottom w:val="single" w:sz="4" w:space="0" w:color="auto"/>
            </w:tcBorders>
          </w:tcPr>
          <w:p w14:paraId="6B5DBF93"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PEM+PBC</w:t>
            </w:r>
          </w:p>
        </w:tc>
        <w:tc>
          <w:tcPr>
            <w:tcW w:w="1110" w:type="dxa"/>
          </w:tcPr>
          <w:p w14:paraId="068B497D"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77 (25.8)</w:t>
            </w:r>
          </w:p>
        </w:tc>
        <w:tc>
          <w:tcPr>
            <w:tcW w:w="918" w:type="dxa"/>
          </w:tcPr>
          <w:p w14:paraId="288F0738"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28.9</w:t>
            </w:r>
          </w:p>
        </w:tc>
        <w:tc>
          <w:tcPr>
            <w:tcW w:w="2350" w:type="dxa"/>
            <w:vMerge w:val="restart"/>
            <w:vAlign w:val="center"/>
          </w:tcPr>
          <w:p w14:paraId="1214BBC6"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0.80 (0.59, 1.08)</w:t>
            </w:r>
          </w:p>
        </w:tc>
        <w:tc>
          <w:tcPr>
            <w:tcW w:w="2006" w:type="dxa"/>
            <w:vMerge w:val="restart"/>
            <w:vAlign w:val="center"/>
          </w:tcPr>
          <w:p w14:paraId="407458E5" w14:textId="725A5C0F"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1.01 </w:t>
            </w:r>
            <w:r w:rsidR="00B82A10" w:rsidRPr="00DF01CF">
              <w:rPr>
                <w:rFonts w:ascii="Arial Narrow" w:hAnsi="Arial Narrow" w:cstheme="minorHAnsi"/>
                <w:sz w:val="20"/>
                <w:szCs w:val="20"/>
              </w:rPr>
              <w:t>(</w:t>
            </w:r>
            <w:r w:rsidRPr="00DF01CF">
              <w:rPr>
                <w:rFonts w:ascii="Arial Narrow" w:hAnsi="Arial Narrow" w:cstheme="minorHAnsi"/>
                <w:sz w:val="20"/>
                <w:szCs w:val="20"/>
              </w:rPr>
              <w:t>0.67, 1.52</w:t>
            </w:r>
            <w:r w:rsidR="00B82A10" w:rsidRPr="00DF01CF">
              <w:rPr>
                <w:rFonts w:ascii="Arial Narrow" w:hAnsi="Arial Narrow" w:cstheme="minorHAnsi"/>
                <w:sz w:val="20"/>
                <w:szCs w:val="20"/>
              </w:rPr>
              <w:t>)</w:t>
            </w:r>
          </w:p>
          <w:p w14:paraId="4A832B59"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p value=0.975</w:t>
            </w:r>
          </w:p>
        </w:tc>
        <w:tc>
          <w:tcPr>
            <w:tcW w:w="1801" w:type="dxa"/>
            <w:vMerge w:val="restart"/>
            <w:vAlign w:val="center"/>
          </w:tcPr>
          <w:p w14:paraId="2522CD3A" w14:textId="14B83B39"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1.01 </w:t>
            </w:r>
            <w:r w:rsidR="00B82A10" w:rsidRPr="00DF01CF">
              <w:rPr>
                <w:rFonts w:ascii="Arial Narrow" w:hAnsi="Arial Narrow" w:cstheme="minorHAnsi"/>
                <w:sz w:val="20"/>
                <w:szCs w:val="20"/>
              </w:rPr>
              <w:t>(</w:t>
            </w:r>
            <w:r w:rsidRPr="00DF01CF">
              <w:rPr>
                <w:rFonts w:ascii="Arial Narrow" w:hAnsi="Arial Narrow" w:cstheme="minorHAnsi"/>
                <w:sz w:val="20"/>
                <w:szCs w:val="20"/>
              </w:rPr>
              <w:t>0.67, 1.52</w:t>
            </w:r>
            <w:r w:rsidR="00B82A10" w:rsidRPr="00DF01CF">
              <w:rPr>
                <w:rFonts w:ascii="Arial Narrow" w:hAnsi="Arial Narrow" w:cstheme="minorHAnsi"/>
                <w:sz w:val="20"/>
                <w:szCs w:val="20"/>
              </w:rPr>
              <w:t>)</w:t>
            </w:r>
          </w:p>
        </w:tc>
      </w:tr>
      <w:tr w:rsidR="00A3213F" w:rsidRPr="00DF01CF" w14:paraId="15DD66F7" w14:textId="77777777" w:rsidTr="00373ED3">
        <w:tc>
          <w:tcPr>
            <w:tcW w:w="1429" w:type="dxa"/>
            <w:tcBorders>
              <w:top w:val="single" w:sz="4" w:space="0" w:color="auto"/>
              <w:left w:val="single" w:sz="4" w:space="0" w:color="auto"/>
              <w:bottom w:val="single" w:sz="4" w:space="0" w:color="auto"/>
            </w:tcBorders>
          </w:tcPr>
          <w:p w14:paraId="6BC9F143" w14:textId="725C52D6"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110" w:type="dxa"/>
          </w:tcPr>
          <w:p w14:paraId="3D398230"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92 (30.8)</w:t>
            </w:r>
          </w:p>
        </w:tc>
        <w:tc>
          <w:tcPr>
            <w:tcW w:w="918" w:type="dxa"/>
          </w:tcPr>
          <w:p w14:paraId="6244462D"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28.7</w:t>
            </w:r>
          </w:p>
        </w:tc>
        <w:tc>
          <w:tcPr>
            <w:tcW w:w="2350" w:type="dxa"/>
            <w:vMerge/>
            <w:vAlign w:val="center"/>
          </w:tcPr>
          <w:p w14:paraId="704504E9"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22DA534F" w14:textId="77777777" w:rsidR="00A3213F" w:rsidRPr="00DF01CF" w:rsidRDefault="00A3213F" w:rsidP="007B5E49">
            <w:pPr>
              <w:keepNext/>
              <w:rPr>
                <w:rFonts w:ascii="Arial Narrow" w:hAnsi="Arial Narrow" w:cstheme="minorHAnsi"/>
                <w:sz w:val="20"/>
                <w:szCs w:val="20"/>
              </w:rPr>
            </w:pPr>
          </w:p>
        </w:tc>
        <w:tc>
          <w:tcPr>
            <w:tcW w:w="1801" w:type="dxa"/>
            <w:vMerge/>
          </w:tcPr>
          <w:p w14:paraId="2CBAD07F" w14:textId="77777777" w:rsidR="00A3213F" w:rsidRPr="00DF01CF" w:rsidRDefault="00A3213F" w:rsidP="007B5E49">
            <w:pPr>
              <w:keepNext/>
              <w:rPr>
                <w:rFonts w:ascii="Arial Narrow" w:hAnsi="Arial Narrow" w:cstheme="minorHAnsi"/>
                <w:sz w:val="20"/>
                <w:szCs w:val="20"/>
              </w:rPr>
            </w:pPr>
          </w:p>
        </w:tc>
      </w:tr>
      <w:tr w:rsidR="00A3213F" w:rsidRPr="00DF01CF" w14:paraId="70DE468E" w14:textId="77777777" w:rsidTr="00373ED3">
        <w:tc>
          <w:tcPr>
            <w:tcW w:w="5807" w:type="dxa"/>
            <w:gridSpan w:val="4"/>
          </w:tcPr>
          <w:p w14:paraId="69C3C880"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cstheme="minorHAnsi"/>
                <w:b/>
                <w:bCs/>
                <w:sz w:val="20"/>
                <w:szCs w:val="20"/>
              </w:rPr>
              <w:t>RUBY-1 IA2: 37.5 months median follow-up</w:t>
            </w:r>
          </w:p>
        </w:tc>
        <w:tc>
          <w:tcPr>
            <w:tcW w:w="2006" w:type="dxa"/>
            <w:vMerge/>
          </w:tcPr>
          <w:p w14:paraId="16EFCE3D" w14:textId="77777777" w:rsidR="00A3213F" w:rsidRPr="00DF01CF" w:rsidRDefault="00A3213F" w:rsidP="007B5E49">
            <w:pPr>
              <w:keepNext/>
              <w:rPr>
                <w:rFonts w:ascii="Arial Narrow" w:hAnsi="Arial Narrow" w:cstheme="minorHAnsi"/>
                <w:sz w:val="20"/>
                <w:szCs w:val="20"/>
              </w:rPr>
            </w:pPr>
          </w:p>
        </w:tc>
        <w:tc>
          <w:tcPr>
            <w:tcW w:w="1801" w:type="dxa"/>
            <w:vMerge/>
          </w:tcPr>
          <w:p w14:paraId="08C7B7AE" w14:textId="77777777" w:rsidR="00A3213F" w:rsidRPr="00DF01CF" w:rsidRDefault="00A3213F" w:rsidP="007B5E49">
            <w:pPr>
              <w:keepNext/>
              <w:rPr>
                <w:rFonts w:ascii="Arial Narrow" w:hAnsi="Arial Narrow" w:cstheme="minorHAnsi"/>
                <w:sz w:val="20"/>
                <w:szCs w:val="20"/>
              </w:rPr>
            </w:pPr>
          </w:p>
        </w:tc>
      </w:tr>
      <w:tr w:rsidR="00A3213F" w:rsidRPr="00DF01CF" w14:paraId="186AAC29" w14:textId="77777777" w:rsidTr="00373ED3">
        <w:tc>
          <w:tcPr>
            <w:tcW w:w="1429" w:type="dxa"/>
            <w:tcBorders>
              <w:top w:val="single" w:sz="4" w:space="0" w:color="auto"/>
              <w:left w:val="single" w:sz="4" w:space="0" w:color="auto"/>
              <w:bottom w:val="single" w:sz="4" w:space="0" w:color="auto"/>
            </w:tcBorders>
          </w:tcPr>
          <w:p w14:paraId="1A45A635"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DOS+PBC</w:t>
            </w:r>
          </w:p>
        </w:tc>
        <w:tc>
          <w:tcPr>
            <w:tcW w:w="1110" w:type="dxa"/>
          </w:tcPr>
          <w:p w14:paraId="7D05F307"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97 (50.5)</w:t>
            </w:r>
            <w:r w:rsidRPr="00DF01CF">
              <w:rPr>
                <w:rFonts w:ascii="Arial Narrow" w:hAnsi="Arial Narrow"/>
                <w:bCs/>
                <w:sz w:val="20"/>
                <w:szCs w:val="20"/>
              </w:rPr>
              <w:tab/>
            </w:r>
          </w:p>
        </w:tc>
        <w:tc>
          <w:tcPr>
            <w:tcW w:w="918" w:type="dxa"/>
          </w:tcPr>
          <w:p w14:paraId="68494116"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34.0</w:t>
            </w:r>
          </w:p>
        </w:tc>
        <w:tc>
          <w:tcPr>
            <w:tcW w:w="2350" w:type="dxa"/>
            <w:vMerge w:val="restart"/>
            <w:vAlign w:val="center"/>
          </w:tcPr>
          <w:p w14:paraId="5D52D869"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0.79 (0.60, 1.04)</w:t>
            </w:r>
          </w:p>
        </w:tc>
        <w:tc>
          <w:tcPr>
            <w:tcW w:w="2006" w:type="dxa"/>
            <w:vMerge/>
          </w:tcPr>
          <w:p w14:paraId="4E4511CE" w14:textId="77777777" w:rsidR="00A3213F" w:rsidRPr="00DF01CF" w:rsidRDefault="00A3213F" w:rsidP="007B5E49">
            <w:pPr>
              <w:keepNext/>
              <w:rPr>
                <w:rFonts w:ascii="Arial Narrow" w:hAnsi="Arial Narrow" w:cstheme="minorHAnsi"/>
                <w:sz w:val="20"/>
                <w:szCs w:val="20"/>
              </w:rPr>
            </w:pPr>
          </w:p>
        </w:tc>
        <w:tc>
          <w:tcPr>
            <w:tcW w:w="1801" w:type="dxa"/>
            <w:vMerge/>
          </w:tcPr>
          <w:p w14:paraId="4AC8E79F" w14:textId="77777777" w:rsidR="00A3213F" w:rsidRPr="00DF01CF" w:rsidRDefault="00A3213F" w:rsidP="007B5E49">
            <w:pPr>
              <w:keepNext/>
              <w:rPr>
                <w:rFonts w:ascii="Arial Narrow" w:hAnsi="Arial Narrow" w:cstheme="minorHAnsi"/>
                <w:sz w:val="20"/>
                <w:szCs w:val="20"/>
              </w:rPr>
            </w:pPr>
          </w:p>
        </w:tc>
      </w:tr>
      <w:tr w:rsidR="00A3213F" w:rsidRPr="00DF01CF" w14:paraId="2F543F10" w14:textId="77777777" w:rsidTr="00373ED3">
        <w:tc>
          <w:tcPr>
            <w:tcW w:w="1429" w:type="dxa"/>
            <w:tcBorders>
              <w:top w:val="single" w:sz="4" w:space="0" w:color="auto"/>
              <w:left w:val="single" w:sz="4" w:space="0" w:color="auto"/>
              <w:bottom w:val="single" w:sz="4" w:space="0" w:color="auto"/>
            </w:tcBorders>
          </w:tcPr>
          <w:p w14:paraId="4F5B5BDD" w14:textId="6AA13099"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110" w:type="dxa"/>
          </w:tcPr>
          <w:p w14:paraId="7EE0053F"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109 (59.2)</w:t>
            </w:r>
          </w:p>
        </w:tc>
        <w:tc>
          <w:tcPr>
            <w:tcW w:w="918" w:type="dxa"/>
          </w:tcPr>
          <w:p w14:paraId="73364B87"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27.0</w:t>
            </w:r>
          </w:p>
        </w:tc>
        <w:tc>
          <w:tcPr>
            <w:tcW w:w="2350" w:type="dxa"/>
            <w:vMerge/>
            <w:vAlign w:val="center"/>
          </w:tcPr>
          <w:p w14:paraId="04FC6DD0"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630D6A1A" w14:textId="77777777" w:rsidR="00A3213F" w:rsidRPr="00DF01CF" w:rsidRDefault="00A3213F" w:rsidP="007B5E49">
            <w:pPr>
              <w:keepNext/>
              <w:rPr>
                <w:rFonts w:ascii="Arial Narrow" w:hAnsi="Arial Narrow" w:cstheme="minorHAnsi"/>
                <w:sz w:val="20"/>
                <w:szCs w:val="20"/>
              </w:rPr>
            </w:pPr>
          </w:p>
        </w:tc>
        <w:tc>
          <w:tcPr>
            <w:tcW w:w="1801" w:type="dxa"/>
            <w:vMerge/>
          </w:tcPr>
          <w:p w14:paraId="14AC415D" w14:textId="77777777" w:rsidR="00A3213F" w:rsidRPr="00DF01CF" w:rsidRDefault="00A3213F" w:rsidP="007B5E49">
            <w:pPr>
              <w:keepNext/>
              <w:rPr>
                <w:rFonts w:ascii="Arial Narrow" w:hAnsi="Arial Narrow" w:cstheme="minorHAnsi"/>
                <w:sz w:val="20"/>
                <w:szCs w:val="20"/>
              </w:rPr>
            </w:pPr>
          </w:p>
        </w:tc>
      </w:tr>
      <w:tr w:rsidR="00A3213F" w:rsidRPr="00DF01CF" w14:paraId="7B7AD1A9" w14:textId="77777777" w:rsidTr="00373ED3">
        <w:tc>
          <w:tcPr>
            <w:tcW w:w="5807" w:type="dxa"/>
            <w:gridSpan w:val="4"/>
          </w:tcPr>
          <w:p w14:paraId="4E041E15"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cstheme="minorHAnsi"/>
                <w:b/>
                <w:bCs/>
                <w:sz w:val="20"/>
                <w:szCs w:val="20"/>
              </w:rPr>
              <w:t>NRG-GY018 EUR 18.3 months median follow-up (same definition as RUBY-1)</w:t>
            </w:r>
          </w:p>
        </w:tc>
        <w:tc>
          <w:tcPr>
            <w:tcW w:w="3807" w:type="dxa"/>
            <w:gridSpan w:val="2"/>
            <w:vAlign w:val="center"/>
          </w:tcPr>
          <w:p w14:paraId="0F02DA3B" w14:textId="77777777" w:rsidR="00A3213F" w:rsidRPr="00DF01CF" w:rsidRDefault="00A3213F" w:rsidP="007B5E49">
            <w:pPr>
              <w:keepNext/>
              <w:jc w:val="center"/>
              <w:rPr>
                <w:rFonts w:ascii="Arial Narrow" w:hAnsi="Arial Narrow" w:cstheme="minorHAnsi"/>
                <w:b/>
                <w:bCs/>
                <w:sz w:val="20"/>
                <w:szCs w:val="20"/>
              </w:rPr>
            </w:pPr>
            <w:r w:rsidRPr="00DF01CF">
              <w:rPr>
                <w:rFonts w:ascii="Arial Narrow" w:hAnsi="Arial Narrow" w:cstheme="minorHAnsi"/>
                <w:b/>
                <w:bCs/>
                <w:sz w:val="20"/>
                <w:szCs w:val="20"/>
              </w:rPr>
              <w:t>PEM+PBC vs DUR+ PBC+OLA</w:t>
            </w:r>
          </w:p>
        </w:tc>
      </w:tr>
      <w:tr w:rsidR="00A3213F" w:rsidRPr="00DF01CF" w14:paraId="613A9143" w14:textId="77777777" w:rsidTr="00373ED3">
        <w:tc>
          <w:tcPr>
            <w:tcW w:w="1429" w:type="dxa"/>
            <w:tcBorders>
              <w:top w:val="single" w:sz="4" w:space="0" w:color="auto"/>
              <w:left w:val="single" w:sz="4" w:space="0" w:color="auto"/>
              <w:bottom w:val="single" w:sz="4" w:space="0" w:color="auto"/>
            </w:tcBorders>
          </w:tcPr>
          <w:p w14:paraId="31CA447F"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sz w:val="20"/>
                <w:szCs w:val="20"/>
              </w:rPr>
              <w:t>PEM + PBC</w:t>
            </w:r>
          </w:p>
        </w:tc>
        <w:tc>
          <w:tcPr>
            <w:tcW w:w="1110" w:type="dxa"/>
          </w:tcPr>
          <w:p w14:paraId="37B2789B"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77 (25.8)</w:t>
            </w:r>
          </w:p>
        </w:tc>
        <w:tc>
          <w:tcPr>
            <w:tcW w:w="918" w:type="dxa"/>
          </w:tcPr>
          <w:p w14:paraId="54C99C30"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28.9</w:t>
            </w:r>
          </w:p>
        </w:tc>
        <w:tc>
          <w:tcPr>
            <w:tcW w:w="2350" w:type="dxa"/>
            <w:vMerge w:val="restart"/>
            <w:vAlign w:val="center"/>
          </w:tcPr>
          <w:p w14:paraId="5579BB06"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0.80 (0.59, 1.08)</w:t>
            </w:r>
          </w:p>
        </w:tc>
        <w:tc>
          <w:tcPr>
            <w:tcW w:w="2006" w:type="dxa"/>
            <w:vMerge w:val="restart"/>
            <w:vAlign w:val="center"/>
          </w:tcPr>
          <w:p w14:paraId="3A08AA00" w14:textId="65874230"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1.15 </w:t>
            </w:r>
            <w:r w:rsidR="00B82A10" w:rsidRPr="00DF01CF">
              <w:rPr>
                <w:rFonts w:ascii="Arial Narrow" w:hAnsi="Arial Narrow" w:cstheme="minorHAnsi"/>
                <w:sz w:val="20"/>
                <w:szCs w:val="20"/>
              </w:rPr>
              <w:t>(</w:t>
            </w:r>
            <w:r w:rsidRPr="00DF01CF">
              <w:rPr>
                <w:rFonts w:ascii="Arial Narrow" w:hAnsi="Arial Narrow" w:cstheme="minorHAnsi"/>
                <w:sz w:val="20"/>
                <w:szCs w:val="20"/>
              </w:rPr>
              <w:t>0.71, 1.87</w:t>
            </w:r>
            <w:r w:rsidR="00B82A10" w:rsidRPr="00DF01CF">
              <w:rPr>
                <w:rFonts w:ascii="Arial Narrow" w:hAnsi="Arial Narrow" w:cstheme="minorHAnsi"/>
                <w:sz w:val="20"/>
                <w:szCs w:val="20"/>
              </w:rPr>
              <w:t>)</w:t>
            </w:r>
          </w:p>
          <w:p w14:paraId="796E8D26"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p-value=0.566</w:t>
            </w:r>
          </w:p>
        </w:tc>
        <w:tc>
          <w:tcPr>
            <w:tcW w:w="1801" w:type="dxa"/>
            <w:vMerge w:val="restart"/>
            <w:vAlign w:val="center"/>
          </w:tcPr>
          <w:p w14:paraId="2129F221" w14:textId="15A97748"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 xml:space="preserve">1.16 </w:t>
            </w:r>
            <w:r w:rsidR="00B82A10" w:rsidRPr="00DF01CF">
              <w:rPr>
                <w:rFonts w:ascii="Arial Narrow" w:hAnsi="Arial Narrow" w:cstheme="minorHAnsi"/>
                <w:sz w:val="20"/>
                <w:szCs w:val="20"/>
              </w:rPr>
              <w:t>(</w:t>
            </w:r>
            <w:r w:rsidRPr="00DF01CF">
              <w:rPr>
                <w:rFonts w:ascii="Arial Narrow" w:hAnsi="Arial Narrow" w:cstheme="minorHAnsi"/>
                <w:sz w:val="20"/>
                <w:szCs w:val="20"/>
              </w:rPr>
              <w:t>0.71, 1.88</w:t>
            </w:r>
            <w:r w:rsidR="00B82A10" w:rsidRPr="00DF01CF">
              <w:rPr>
                <w:rFonts w:ascii="Arial Narrow" w:hAnsi="Arial Narrow" w:cstheme="minorHAnsi"/>
                <w:sz w:val="20"/>
                <w:szCs w:val="20"/>
              </w:rPr>
              <w:t>)</w:t>
            </w:r>
          </w:p>
        </w:tc>
      </w:tr>
      <w:tr w:rsidR="00A3213F" w:rsidRPr="00DF01CF" w14:paraId="39FBF853" w14:textId="77777777" w:rsidTr="00373ED3">
        <w:tc>
          <w:tcPr>
            <w:tcW w:w="1429" w:type="dxa"/>
            <w:tcBorders>
              <w:top w:val="single" w:sz="4" w:space="0" w:color="auto"/>
              <w:left w:val="single" w:sz="4" w:space="0" w:color="auto"/>
              <w:bottom w:val="single" w:sz="4" w:space="0" w:color="auto"/>
            </w:tcBorders>
          </w:tcPr>
          <w:p w14:paraId="1EE396CD" w14:textId="5BA5A587" w:rsidR="00A3213F" w:rsidRPr="00DF01CF" w:rsidRDefault="003D3337" w:rsidP="007B5E49">
            <w:pPr>
              <w:keepNext/>
              <w:rPr>
                <w:rFonts w:ascii="Arial Narrow" w:hAnsi="Arial Narrow" w:cstheme="minorHAnsi"/>
                <w:bCs/>
                <w:sz w:val="20"/>
                <w:szCs w:val="20"/>
              </w:rPr>
            </w:pPr>
            <w:r w:rsidRPr="00DF01CF">
              <w:rPr>
                <w:rFonts w:ascii="Arial Narrow" w:hAnsi="Arial Narrow"/>
                <w:sz w:val="20"/>
                <w:szCs w:val="20"/>
              </w:rPr>
              <w:t>PBO+</w:t>
            </w:r>
            <w:r w:rsidR="00A3213F" w:rsidRPr="00DF01CF">
              <w:rPr>
                <w:rFonts w:ascii="Arial Narrow" w:hAnsi="Arial Narrow"/>
                <w:sz w:val="20"/>
                <w:szCs w:val="20"/>
              </w:rPr>
              <w:t>PBC</w:t>
            </w:r>
          </w:p>
        </w:tc>
        <w:tc>
          <w:tcPr>
            <w:tcW w:w="1110" w:type="dxa"/>
          </w:tcPr>
          <w:p w14:paraId="1C1CF9B0"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92 (30.8)</w:t>
            </w:r>
          </w:p>
        </w:tc>
        <w:tc>
          <w:tcPr>
            <w:tcW w:w="918" w:type="dxa"/>
          </w:tcPr>
          <w:p w14:paraId="1EA385CB"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bCs/>
                <w:sz w:val="20"/>
                <w:szCs w:val="20"/>
              </w:rPr>
              <w:t>28.7</w:t>
            </w:r>
          </w:p>
        </w:tc>
        <w:tc>
          <w:tcPr>
            <w:tcW w:w="2350" w:type="dxa"/>
            <w:vMerge/>
            <w:vAlign w:val="center"/>
          </w:tcPr>
          <w:p w14:paraId="025080B6"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65666FED" w14:textId="77777777" w:rsidR="00A3213F" w:rsidRPr="00DF01CF" w:rsidRDefault="00A3213F" w:rsidP="007B5E49">
            <w:pPr>
              <w:keepNext/>
              <w:rPr>
                <w:rFonts w:ascii="Arial Narrow" w:hAnsi="Arial Narrow" w:cstheme="minorHAnsi"/>
                <w:sz w:val="20"/>
                <w:szCs w:val="20"/>
              </w:rPr>
            </w:pPr>
          </w:p>
        </w:tc>
        <w:tc>
          <w:tcPr>
            <w:tcW w:w="1801" w:type="dxa"/>
            <w:vMerge/>
          </w:tcPr>
          <w:p w14:paraId="25E0BE94" w14:textId="77777777" w:rsidR="00A3213F" w:rsidRPr="00DF01CF" w:rsidRDefault="00A3213F" w:rsidP="007B5E49">
            <w:pPr>
              <w:keepNext/>
              <w:rPr>
                <w:rFonts w:ascii="Arial Narrow" w:hAnsi="Arial Narrow" w:cstheme="minorHAnsi"/>
                <w:sz w:val="20"/>
                <w:szCs w:val="20"/>
              </w:rPr>
            </w:pPr>
          </w:p>
        </w:tc>
      </w:tr>
      <w:tr w:rsidR="00A3213F" w:rsidRPr="00DF01CF" w14:paraId="0F05DA73" w14:textId="77777777" w:rsidTr="00373ED3">
        <w:tc>
          <w:tcPr>
            <w:tcW w:w="5807" w:type="dxa"/>
            <w:gridSpan w:val="4"/>
          </w:tcPr>
          <w:p w14:paraId="127269B6" w14:textId="77777777" w:rsidR="00A3213F" w:rsidRPr="00DF01CF" w:rsidRDefault="00A3213F" w:rsidP="007B5E49">
            <w:pPr>
              <w:keepNext/>
              <w:rPr>
                <w:rFonts w:ascii="Arial Narrow" w:hAnsi="Arial Narrow" w:cstheme="minorHAnsi"/>
                <w:b/>
                <w:bCs/>
                <w:sz w:val="20"/>
                <w:szCs w:val="20"/>
              </w:rPr>
            </w:pPr>
            <w:r w:rsidRPr="00DF01CF">
              <w:rPr>
                <w:rFonts w:ascii="Arial Narrow" w:hAnsi="Arial Narrow" w:cstheme="minorHAnsi"/>
                <w:b/>
                <w:bCs/>
                <w:sz w:val="20"/>
                <w:szCs w:val="20"/>
              </w:rPr>
              <w:t>DUO-E-1 IA1 18.2 months minimum median follow-up</w:t>
            </w:r>
          </w:p>
        </w:tc>
        <w:tc>
          <w:tcPr>
            <w:tcW w:w="2006" w:type="dxa"/>
            <w:vMerge/>
          </w:tcPr>
          <w:p w14:paraId="4A4E31A0" w14:textId="77777777" w:rsidR="00A3213F" w:rsidRPr="00DF01CF" w:rsidRDefault="00A3213F" w:rsidP="007B5E49">
            <w:pPr>
              <w:keepNext/>
              <w:rPr>
                <w:rFonts w:ascii="Arial Narrow" w:hAnsi="Arial Narrow" w:cstheme="minorHAnsi"/>
                <w:sz w:val="20"/>
                <w:szCs w:val="20"/>
              </w:rPr>
            </w:pPr>
          </w:p>
        </w:tc>
        <w:tc>
          <w:tcPr>
            <w:tcW w:w="1801" w:type="dxa"/>
            <w:vMerge/>
          </w:tcPr>
          <w:p w14:paraId="34D29E0B" w14:textId="77777777" w:rsidR="00A3213F" w:rsidRPr="00DF01CF" w:rsidRDefault="00A3213F" w:rsidP="007B5E49">
            <w:pPr>
              <w:keepNext/>
              <w:rPr>
                <w:rFonts w:ascii="Arial Narrow" w:hAnsi="Arial Narrow" w:cstheme="minorHAnsi"/>
                <w:sz w:val="20"/>
                <w:szCs w:val="20"/>
              </w:rPr>
            </w:pPr>
          </w:p>
        </w:tc>
      </w:tr>
      <w:tr w:rsidR="00A3213F" w:rsidRPr="00DF01CF" w14:paraId="0DAB3D05" w14:textId="77777777" w:rsidTr="00373ED3">
        <w:tc>
          <w:tcPr>
            <w:tcW w:w="1429" w:type="dxa"/>
            <w:tcBorders>
              <w:top w:val="single" w:sz="4" w:space="0" w:color="auto"/>
              <w:left w:val="single" w:sz="4" w:space="0" w:color="auto"/>
              <w:bottom w:val="single" w:sz="4" w:space="0" w:color="auto"/>
            </w:tcBorders>
          </w:tcPr>
          <w:p w14:paraId="6E9A2812" w14:textId="77777777" w:rsidR="00A3213F" w:rsidRPr="00DF01CF" w:rsidRDefault="00A3213F" w:rsidP="007B5E49">
            <w:pPr>
              <w:keepNext/>
              <w:rPr>
                <w:rFonts w:ascii="Arial Narrow" w:hAnsi="Arial Narrow" w:cstheme="minorHAnsi"/>
                <w:bCs/>
                <w:sz w:val="20"/>
                <w:szCs w:val="20"/>
              </w:rPr>
            </w:pPr>
            <w:r w:rsidRPr="00DF01CF">
              <w:rPr>
                <w:rFonts w:ascii="Arial Narrow" w:hAnsi="Arial Narrow"/>
                <w:color w:val="000000" w:themeColor="text1"/>
                <w:sz w:val="20"/>
                <w:szCs w:val="20"/>
              </w:rPr>
              <w:t>DUR+PBC+OLA</w:t>
            </w:r>
          </w:p>
        </w:tc>
        <w:tc>
          <w:tcPr>
            <w:tcW w:w="1110" w:type="dxa"/>
            <w:tcBorders>
              <w:top w:val="single" w:sz="4" w:space="0" w:color="auto"/>
              <w:bottom w:val="single" w:sz="4" w:space="0" w:color="auto"/>
            </w:tcBorders>
          </w:tcPr>
          <w:p w14:paraId="2B002085"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sz w:val="20"/>
                <w:szCs w:val="20"/>
              </w:rPr>
              <w:t>46 (24.1)</w:t>
            </w:r>
          </w:p>
        </w:tc>
        <w:tc>
          <w:tcPr>
            <w:tcW w:w="918" w:type="dxa"/>
            <w:tcBorders>
              <w:top w:val="single" w:sz="4" w:space="0" w:color="auto"/>
              <w:bottom w:val="single" w:sz="4" w:space="0" w:color="auto"/>
            </w:tcBorders>
          </w:tcPr>
          <w:p w14:paraId="3EEC4A09"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sz w:val="20"/>
                <w:szCs w:val="20"/>
              </w:rPr>
              <w:t>NR</w:t>
            </w:r>
          </w:p>
        </w:tc>
        <w:tc>
          <w:tcPr>
            <w:tcW w:w="2350" w:type="dxa"/>
            <w:vMerge w:val="restart"/>
            <w:vAlign w:val="center"/>
          </w:tcPr>
          <w:p w14:paraId="09E10C32" w14:textId="77777777" w:rsidR="00A3213F" w:rsidRPr="00DF01CF" w:rsidRDefault="00A3213F" w:rsidP="007B5E49">
            <w:pPr>
              <w:keepNext/>
              <w:jc w:val="center"/>
              <w:rPr>
                <w:rFonts w:ascii="Arial Narrow" w:hAnsi="Arial Narrow" w:cstheme="minorHAnsi"/>
                <w:sz w:val="20"/>
                <w:szCs w:val="20"/>
              </w:rPr>
            </w:pPr>
            <w:r w:rsidRPr="00DF01CF">
              <w:rPr>
                <w:rFonts w:ascii="Arial Narrow" w:hAnsi="Arial Narrow" w:cstheme="minorHAnsi"/>
                <w:sz w:val="20"/>
                <w:szCs w:val="20"/>
              </w:rPr>
              <w:t>0.69 (0.47-1.00)</w:t>
            </w:r>
          </w:p>
        </w:tc>
        <w:tc>
          <w:tcPr>
            <w:tcW w:w="2006" w:type="dxa"/>
            <w:vMerge/>
          </w:tcPr>
          <w:p w14:paraId="199D943C" w14:textId="77777777" w:rsidR="00A3213F" w:rsidRPr="00DF01CF" w:rsidRDefault="00A3213F" w:rsidP="007B5E49">
            <w:pPr>
              <w:keepNext/>
              <w:rPr>
                <w:rFonts w:ascii="Arial Narrow" w:hAnsi="Arial Narrow" w:cstheme="minorHAnsi"/>
                <w:sz w:val="20"/>
                <w:szCs w:val="20"/>
              </w:rPr>
            </w:pPr>
          </w:p>
        </w:tc>
        <w:tc>
          <w:tcPr>
            <w:tcW w:w="1801" w:type="dxa"/>
            <w:vMerge/>
          </w:tcPr>
          <w:p w14:paraId="4D4C92DE" w14:textId="77777777" w:rsidR="00A3213F" w:rsidRPr="00DF01CF" w:rsidRDefault="00A3213F" w:rsidP="007B5E49">
            <w:pPr>
              <w:keepNext/>
              <w:rPr>
                <w:rFonts w:ascii="Arial Narrow" w:hAnsi="Arial Narrow" w:cstheme="minorHAnsi"/>
                <w:sz w:val="20"/>
                <w:szCs w:val="20"/>
              </w:rPr>
            </w:pPr>
          </w:p>
        </w:tc>
      </w:tr>
      <w:tr w:rsidR="00A3213F" w:rsidRPr="00DF01CF" w14:paraId="6B60FEF5" w14:textId="77777777" w:rsidTr="00373ED3">
        <w:tc>
          <w:tcPr>
            <w:tcW w:w="1429" w:type="dxa"/>
            <w:tcBorders>
              <w:top w:val="single" w:sz="4" w:space="0" w:color="auto"/>
              <w:left w:val="single" w:sz="4" w:space="0" w:color="auto"/>
              <w:bottom w:val="single" w:sz="4" w:space="0" w:color="auto"/>
            </w:tcBorders>
          </w:tcPr>
          <w:p w14:paraId="7D50B1A5" w14:textId="0C6A3AE6" w:rsidR="00A3213F" w:rsidRPr="00DF01CF" w:rsidRDefault="003D3337" w:rsidP="007B5E49">
            <w:pPr>
              <w:keepNext/>
              <w:rPr>
                <w:rFonts w:ascii="Arial Narrow" w:hAnsi="Arial Narrow" w:cstheme="minorHAnsi"/>
                <w:bCs/>
                <w:sz w:val="20"/>
                <w:szCs w:val="20"/>
              </w:rPr>
            </w:pPr>
            <w:r w:rsidRPr="00DF01CF">
              <w:rPr>
                <w:rFonts w:ascii="Arial Narrow" w:hAnsi="Arial Narrow"/>
                <w:color w:val="000000" w:themeColor="text1"/>
                <w:sz w:val="20"/>
                <w:szCs w:val="20"/>
              </w:rPr>
              <w:t>PBO+</w:t>
            </w:r>
            <w:r w:rsidR="00A3213F" w:rsidRPr="00DF01CF">
              <w:rPr>
                <w:rFonts w:ascii="Arial Narrow" w:hAnsi="Arial Narrow"/>
                <w:color w:val="000000" w:themeColor="text1"/>
                <w:sz w:val="20"/>
                <w:szCs w:val="20"/>
              </w:rPr>
              <w:t>PBC</w:t>
            </w:r>
          </w:p>
        </w:tc>
        <w:tc>
          <w:tcPr>
            <w:tcW w:w="1110" w:type="dxa"/>
            <w:tcBorders>
              <w:top w:val="single" w:sz="4" w:space="0" w:color="auto"/>
              <w:bottom w:val="single" w:sz="4" w:space="0" w:color="auto"/>
            </w:tcBorders>
          </w:tcPr>
          <w:p w14:paraId="1BBBF610"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sz w:val="20"/>
                <w:szCs w:val="20"/>
              </w:rPr>
              <w:t>64 (33.3)</w:t>
            </w:r>
          </w:p>
        </w:tc>
        <w:tc>
          <w:tcPr>
            <w:tcW w:w="918" w:type="dxa"/>
            <w:tcBorders>
              <w:top w:val="single" w:sz="4" w:space="0" w:color="auto"/>
              <w:bottom w:val="single" w:sz="4" w:space="0" w:color="auto"/>
            </w:tcBorders>
          </w:tcPr>
          <w:p w14:paraId="14DB85AD" w14:textId="77777777" w:rsidR="00A3213F" w:rsidRPr="00DF01CF" w:rsidRDefault="00A3213F" w:rsidP="007B5E49">
            <w:pPr>
              <w:keepNext/>
              <w:jc w:val="center"/>
              <w:rPr>
                <w:rFonts w:ascii="Arial Narrow" w:hAnsi="Arial Narrow" w:cstheme="minorHAnsi"/>
                <w:bCs/>
                <w:sz w:val="20"/>
                <w:szCs w:val="20"/>
              </w:rPr>
            </w:pPr>
            <w:r w:rsidRPr="00DF01CF">
              <w:rPr>
                <w:rFonts w:ascii="Arial Narrow" w:hAnsi="Arial Narrow"/>
                <w:sz w:val="20"/>
                <w:szCs w:val="20"/>
              </w:rPr>
              <w:t>25.9</w:t>
            </w:r>
          </w:p>
        </w:tc>
        <w:tc>
          <w:tcPr>
            <w:tcW w:w="2350" w:type="dxa"/>
            <w:vMerge/>
            <w:vAlign w:val="center"/>
          </w:tcPr>
          <w:p w14:paraId="44A40AB9" w14:textId="77777777" w:rsidR="00A3213F" w:rsidRPr="00DF01CF" w:rsidRDefault="00A3213F" w:rsidP="007B5E49">
            <w:pPr>
              <w:keepNext/>
              <w:jc w:val="center"/>
              <w:rPr>
                <w:rFonts w:ascii="Arial Narrow" w:hAnsi="Arial Narrow" w:cstheme="minorHAnsi"/>
                <w:sz w:val="20"/>
                <w:szCs w:val="20"/>
              </w:rPr>
            </w:pPr>
          </w:p>
        </w:tc>
        <w:tc>
          <w:tcPr>
            <w:tcW w:w="2006" w:type="dxa"/>
            <w:vMerge/>
          </w:tcPr>
          <w:p w14:paraId="643C42FB" w14:textId="77777777" w:rsidR="00A3213F" w:rsidRPr="00DF01CF" w:rsidRDefault="00A3213F" w:rsidP="007B5E49">
            <w:pPr>
              <w:keepNext/>
              <w:rPr>
                <w:rFonts w:ascii="Arial Narrow" w:hAnsi="Arial Narrow" w:cstheme="minorHAnsi"/>
                <w:sz w:val="20"/>
                <w:szCs w:val="20"/>
              </w:rPr>
            </w:pPr>
          </w:p>
        </w:tc>
        <w:tc>
          <w:tcPr>
            <w:tcW w:w="1801" w:type="dxa"/>
            <w:vMerge/>
          </w:tcPr>
          <w:p w14:paraId="76E286F9" w14:textId="77777777" w:rsidR="00A3213F" w:rsidRPr="00DF01CF" w:rsidRDefault="00A3213F" w:rsidP="007B5E49">
            <w:pPr>
              <w:keepNext/>
              <w:rPr>
                <w:rFonts w:ascii="Arial Narrow" w:hAnsi="Arial Narrow" w:cstheme="minorHAnsi"/>
                <w:sz w:val="20"/>
                <w:szCs w:val="20"/>
              </w:rPr>
            </w:pPr>
          </w:p>
        </w:tc>
      </w:tr>
    </w:tbl>
    <w:p w14:paraId="0321EAA1" w14:textId="77777777" w:rsidR="00A3213F" w:rsidRPr="00DF01CF" w:rsidRDefault="00A3213F" w:rsidP="00A3213F">
      <w:pPr>
        <w:keepNext/>
        <w:rPr>
          <w:rFonts w:ascii="Arial Narrow" w:hAnsi="Arial Narrow" w:cstheme="minorHAnsi"/>
          <w:sz w:val="18"/>
          <w:szCs w:val="18"/>
        </w:rPr>
      </w:pPr>
      <w:r w:rsidRPr="00DF01CF">
        <w:rPr>
          <w:rFonts w:ascii="Arial Narrow" w:hAnsi="Arial Narrow" w:cstheme="minorHAnsi"/>
          <w:sz w:val="18"/>
          <w:szCs w:val="18"/>
        </w:rPr>
        <w:t>Source: Table 2.6-7, p174 and 2.6-8, p176 of the submission; p 72 Attachment 9_ITC_NMA_Report</w:t>
      </w:r>
    </w:p>
    <w:p w14:paraId="4732CC13" w14:textId="77777777" w:rsidR="00A3213F" w:rsidRPr="00DF01CF" w:rsidRDefault="00A3213F" w:rsidP="00A3213F">
      <w:pPr>
        <w:keepNext/>
        <w:rPr>
          <w:rFonts w:ascii="Arial Narrow" w:hAnsi="Arial Narrow" w:cstheme="minorHAnsi"/>
          <w:sz w:val="18"/>
          <w:szCs w:val="18"/>
        </w:rPr>
      </w:pPr>
      <w:r w:rsidRPr="00DF01CF">
        <w:rPr>
          <w:rFonts w:ascii="Arial Narrow" w:hAnsi="Arial Narrow" w:cstheme="minorHAnsi"/>
          <w:sz w:val="18"/>
          <w:szCs w:val="18"/>
        </w:rPr>
        <w:t xml:space="preserve">Abbreviations: EUR = efficacy update report; IA1 = first interim analysis; FU = follow up; DOS = dostarlimab; PEM = pembrolizumab; PBC = platinum based chemotherapy; DUR = durvalumab; NMA = network </w:t>
      </w:r>
      <w:proofErr w:type="spellStart"/>
      <w:r w:rsidRPr="00DF01CF">
        <w:rPr>
          <w:rFonts w:ascii="Arial Narrow" w:hAnsi="Arial Narrow" w:cstheme="minorHAnsi"/>
          <w:sz w:val="18"/>
          <w:szCs w:val="18"/>
        </w:rPr>
        <w:t>meta analysis</w:t>
      </w:r>
      <w:proofErr w:type="spellEnd"/>
      <w:r w:rsidRPr="00DF01CF">
        <w:rPr>
          <w:rFonts w:ascii="Arial Narrow" w:hAnsi="Arial Narrow" w:cstheme="minorHAnsi"/>
          <w:sz w:val="18"/>
          <w:szCs w:val="18"/>
        </w:rPr>
        <w:t>; HR = hazard ratio; PFS = progression free survival</w:t>
      </w:r>
    </w:p>
    <w:p w14:paraId="5EB0643E" w14:textId="065C328C" w:rsidR="00A3213F" w:rsidRPr="00DF01CF" w:rsidRDefault="00CE640F" w:rsidP="00A3213F">
      <w:pPr>
        <w:keepNext/>
        <w:rPr>
          <w:rFonts w:ascii="Arial Narrow" w:hAnsi="Arial Narrow" w:cstheme="minorHAnsi"/>
          <w:sz w:val="18"/>
          <w:szCs w:val="18"/>
        </w:rPr>
      </w:pPr>
      <w:proofErr w:type="spellStart"/>
      <w:r w:rsidRPr="00DF01CF">
        <w:rPr>
          <w:rFonts w:ascii="Arial Narrow" w:hAnsi="Arial Narrow" w:cstheme="minorHAnsi"/>
          <w:sz w:val="18"/>
          <w:szCs w:val="18"/>
          <w:vertAlign w:val="superscript"/>
        </w:rPr>
        <w:t>a</w:t>
      </w:r>
      <w:proofErr w:type="spellEnd"/>
      <w:r w:rsidR="00A3213F" w:rsidRPr="00DF01CF">
        <w:rPr>
          <w:rFonts w:ascii="Arial Narrow" w:hAnsi="Arial Narrow" w:cstheme="minorHAnsi"/>
          <w:sz w:val="18"/>
          <w:szCs w:val="18"/>
          <w:vertAlign w:val="superscript"/>
        </w:rPr>
        <w:t xml:space="preserve"> </w:t>
      </w:r>
      <w:r w:rsidR="00A3213F" w:rsidRPr="00DF01CF">
        <w:rPr>
          <w:rFonts w:ascii="Arial Narrow" w:hAnsi="Arial Narrow" w:cstheme="minorHAnsi"/>
          <w:sz w:val="18"/>
          <w:szCs w:val="18"/>
        </w:rPr>
        <w:t xml:space="preserve">The proportional hazards assumption may have been violated in LEAP-001 and DUO-E, as the </w:t>
      </w:r>
      <w:proofErr w:type="spellStart"/>
      <w:r w:rsidR="00A3213F" w:rsidRPr="00DF01CF">
        <w:rPr>
          <w:rFonts w:ascii="Arial Narrow" w:hAnsi="Arial Narrow" w:cstheme="minorHAnsi"/>
          <w:sz w:val="18"/>
          <w:szCs w:val="18"/>
        </w:rPr>
        <w:t>Grambsch</w:t>
      </w:r>
      <w:proofErr w:type="spellEnd"/>
      <w:r w:rsidR="00A3213F" w:rsidRPr="00DF01CF">
        <w:rPr>
          <w:rFonts w:ascii="Arial Narrow" w:hAnsi="Arial Narrow" w:cstheme="minorHAnsi"/>
          <w:sz w:val="18"/>
          <w:szCs w:val="18"/>
        </w:rPr>
        <w:t xml:space="preserve"> and </w:t>
      </w:r>
      <w:proofErr w:type="spellStart"/>
      <w:r w:rsidR="00A3213F" w:rsidRPr="00DF01CF">
        <w:rPr>
          <w:rFonts w:ascii="Arial Narrow" w:hAnsi="Arial Narrow" w:cstheme="minorHAnsi"/>
          <w:sz w:val="18"/>
          <w:szCs w:val="18"/>
        </w:rPr>
        <w:t>Therneau</w:t>
      </w:r>
      <w:proofErr w:type="spellEnd"/>
      <w:r w:rsidR="00A3213F" w:rsidRPr="00DF01CF">
        <w:rPr>
          <w:rFonts w:ascii="Arial Narrow" w:hAnsi="Arial Narrow" w:cstheme="minorHAnsi"/>
          <w:sz w:val="18"/>
          <w:szCs w:val="18"/>
        </w:rPr>
        <w:t xml:space="preserve"> test p-values were less than 0.05. Therefore, an NMA involving these trials under the assumption of proportional hazards may be inappropriate.</w:t>
      </w:r>
    </w:p>
    <w:p w14:paraId="52D35449" w14:textId="20048BC2" w:rsidR="00CE640F" w:rsidRPr="00DF01CF" w:rsidRDefault="00CE640F" w:rsidP="00CE640F">
      <w:pPr>
        <w:rPr>
          <w:rFonts w:ascii="Arial Narrow" w:hAnsi="Arial Narrow"/>
          <w:sz w:val="18"/>
          <w:szCs w:val="18"/>
        </w:rPr>
      </w:pPr>
      <w:r w:rsidRPr="00DF01CF">
        <w:rPr>
          <w:rFonts w:ascii="Arial Narrow" w:hAnsi="Arial Narrow" w:cstheme="minorHAnsi"/>
          <w:sz w:val="18"/>
          <w:szCs w:val="18"/>
          <w:vertAlign w:val="superscript"/>
        </w:rPr>
        <w:t xml:space="preserve">b </w:t>
      </w:r>
      <w:r w:rsidRPr="00DF01CF">
        <w:rPr>
          <w:rFonts w:ascii="Arial Narrow" w:hAnsi="Arial Narrow"/>
          <w:sz w:val="18"/>
          <w:szCs w:val="18"/>
        </w:rPr>
        <w:t>The ITCs were conducted under a fixed effects model, which may not be reasonable given the heterogeneity between trials. The PBAC guidelines (v5.0, p45) indicate that a random effects model should be used for pooling data.</w:t>
      </w:r>
    </w:p>
    <w:p w14:paraId="6ACD6514" w14:textId="477DA817" w:rsidR="00A3213F" w:rsidRPr="00DF01CF" w:rsidRDefault="00CE640F" w:rsidP="00CE640F">
      <w:pPr>
        <w:keepNext/>
        <w:rPr>
          <w:rFonts w:ascii="Arial Narrow" w:hAnsi="Arial Narrow" w:cstheme="minorHAnsi"/>
          <w:sz w:val="18"/>
          <w:szCs w:val="18"/>
        </w:rPr>
      </w:pPr>
      <w:r w:rsidRPr="00DF01CF">
        <w:rPr>
          <w:rFonts w:ascii="Arial Narrow" w:hAnsi="Arial Narrow" w:cstheme="minorHAnsi"/>
          <w:sz w:val="18"/>
          <w:szCs w:val="18"/>
        </w:rPr>
        <w:t>Note:  ITC hazard ratios less than 1.0 favour PEM+PBC, and, if greater than 1.0, favour the comparator.</w:t>
      </w:r>
    </w:p>
    <w:p w14:paraId="17B14E18" w14:textId="77777777" w:rsidR="00CE640F" w:rsidRPr="00DF01CF" w:rsidRDefault="00CE640F" w:rsidP="00CE640F">
      <w:pPr>
        <w:keepNext/>
        <w:rPr>
          <w:rFonts w:ascii="Arial Narrow" w:hAnsi="Arial Narrow" w:cstheme="minorHAnsi"/>
          <w:sz w:val="18"/>
          <w:szCs w:val="18"/>
        </w:rPr>
      </w:pPr>
    </w:p>
    <w:p w14:paraId="23F1A346" w14:textId="77122269" w:rsidR="00A3213F" w:rsidRPr="00DF01CF" w:rsidRDefault="001762F9" w:rsidP="007B5E49">
      <w:pPr>
        <w:pStyle w:val="3-BodyText"/>
      </w:pPr>
      <w:r w:rsidRPr="00DF01CF">
        <w:t xml:space="preserve">No non-inferiority margin was proposed in the submission. </w:t>
      </w:r>
      <w:r w:rsidR="00086B90" w:rsidRPr="00DF01CF">
        <w:t xml:space="preserve">The evaluation noted the wide confidence intervals (e.g. in dMMR, the HR </w:t>
      </w:r>
      <w:r w:rsidR="004B4093">
        <w:t xml:space="preserve">for OS </w:t>
      </w:r>
      <w:r w:rsidR="00086B90" w:rsidRPr="00DF01CF">
        <w:t xml:space="preserve">was 1.67 (0.56, 4.96) for the Bucher ITC between </w:t>
      </w:r>
      <w:r w:rsidR="00BF1B0D" w:rsidRPr="00DF01CF">
        <w:t>pembrolizumab</w:t>
      </w:r>
      <w:r w:rsidR="0065665F" w:rsidRPr="00DF01CF">
        <w:t xml:space="preserve"> versus</w:t>
      </w:r>
      <w:r w:rsidR="00086B90" w:rsidRPr="00DF01CF">
        <w:t xml:space="preserve"> </w:t>
      </w:r>
      <w:r w:rsidR="008F1D87" w:rsidRPr="00DF01CF">
        <w:t>durvalumab</w:t>
      </w:r>
      <w:r w:rsidR="00086B90" w:rsidRPr="00DF01CF">
        <w:t xml:space="preserve">) and considered the claim of non-inferiority was not adequately supported. </w:t>
      </w:r>
    </w:p>
    <w:p w14:paraId="6E63FBBD" w14:textId="2E46F469" w:rsidR="006B04E1" w:rsidRPr="00DF01CF" w:rsidRDefault="672395C2" w:rsidP="00A3213F">
      <w:pPr>
        <w:pStyle w:val="3-BodyText"/>
      </w:pPr>
      <w:r>
        <w:lastRenderedPageBreak/>
        <w:t>The Bayesian NMA demonstrated consistent results to the Bucher analysis with respect to the HR and 95% CI. This was to be expected given the same studies were included for each of the treatments</w:t>
      </w:r>
      <w:r w:rsidR="3F3F4E80">
        <w:t xml:space="preserve"> in both the Bucher ITC and the NMA</w:t>
      </w:r>
      <w:r>
        <w:t>.</w:t>
      </w:r>
    </w:p>
    <w:p w14:paraId="08118090" w14:textId="35C45673" w:rsidR="00A3213F" w:rsidRPr="00DF01CF" w:rsidRDefault="6F709AB6" w:rsidP="00A3213F">
      <w:pPr>
        <w:pStyle w:val="3-BodyText"/>
      </w:pPr>
      <w:r>
        <w:t>Overall, the</w:t>
      </w:r>
      <w:r w:rsidR="7D7E8232">
        <w:t xml:space="preserve"> evaluation considered the</w:t>
      </w:r>
      <w:r>
        <w:t xml:space="preserve"> results of the Bucher ITCs in the dMMR and pMMR populations were uncertain with wide C</w:t>
      </w:r>
      <w:r w:rsidR="62D9A934">
        <w:t>I</w:t>
      </w:r>
      <w:r>
        <w:t xml:space="preserve">s, and </w:t>
      </w:r>
      <w:r w:rsidR="7D7E8232">
        <w:t xml:space="preserve">considered that </w:t>
      </w:r>
      <w:r>
        <w:t>no reliable conclusions on comparative treatment efficacy could be drawn. Moreover,</w:t>
      </w:r>
      <w:r w:rsidR="62D9A934">
        <w:t xml:space="preserve"> the evaluation considered that</w:t>
      </w:r>
      <w:r>
        <w:t xml:space="preserve"> without a non-inferiority margin, no assessment of non-inferiority based on the evidence presented could be reasonably conducted.</w:t>
      </w:r>
    </w:p>
    <w:p w14:paraId="03C067C4" w14:textId="653BB93C" w:rsidR="00EC4F46" w:rsidRPr="00DF01CF" w:rsidRDefault="00EC4F46" w:rsidP="00EC4F46">
      <w:pPr>
        <w:pStyle w:val="3-BodyText"/>
      </w:pPr>
      <w:r w:rsidRPr="00DF01CF">
        <w:t xml:space="preserve">Nonetheless, given that </w:t>
      </w:r>
      <w:r w:rsidR="00BF1B0D" w:rsidRPr="00DF01CF">
        <w:t>pembrolizumab</w:t>
      </w:r>
      <w:r w:rsidRPr="00DF01CF">
        <w:t xml:space="preserve"> and </w:t>
      </w:r>
      <w:r w:rsidR="00437BAB" w:rsidRPr="00DF01CF">
        <w:t>dostarlimab</w:t>
      </w:r>
      <w:r w:rsidRPr="00DF01CF">
        <w:t xml:space="preserve"> are both PD-L1 inhibitors that have demonstrated PFS benefit in combination with </w:t>
      </w:r>
      <w:r w:rsidR="00BF1B0D" w:rsidRPr="00DF01CF">
        <w:t>chemotherapy</w:t>
      </w:r>
      <w:r w:rsidRPr="00DF01CF">
        <w:t xml:space="preserve"> versus </w:t>
      </w:r>
      <w:r w:rsidR="00BF1B0D" w:rsidRPr="00DF01CF">
        <w:t>chemotherapy</w:t>
      </w:r>
      <w:r w:rsidRPr="00DF01CF">
        <w:t xml:space="preserve"> alone, </w:t>
      </w:r>
      <w:r w:rsidR="00086B90" w:rsidRPr="00DF01CF">
        <w:t xml:space="preserve">the evaluation considered that </w:t>
      </w:r>
      <w:r w:rsidRPr="00DF01CF">
        <w:t xml:space="preserve">it was biologically plausible that </w:t>
      </w:r>
      <w:r w:rsidR="00BF1B0D" w:rsidRPr="00DF01CF">
        <w:t>pembrolizumab</w:t>
      </w:r>
      <w:r w:rsidRPr="00DF01CF">
        <w:t xml:space="preserve"> may be non-inferior to </w:t>
      </w:r>
      <w:r w:rsidR="00437BAB" w:rsidRPr="00DF01CF">
        <w:t>dostarlimab</w:t>
      </w:r>
      <w:r w:rsidRPr="00DF01CF">
        <w:t xml:space="preserve"> </w:t>
      </w:r>
      <w:r w:rsidR="00CF643A" w:rsidRPr="00DF01CF">
        <w:t xml:space="preserve">and durvalumab </w:t>
      </w:r>
      <w:r w:rsidRPr="00DF01CF">
        <w:t xml:space="preserve">in terms of effectiveness as </w:t>
      </w:r>
      <w:r w:rsidR="003D1275" w:rsidRPr="00DF01CF">
        <w:t xml:space="preserve">a </w:t>
      </w:r>
      <w:r w:rsidRPr="00DF01CF">
        <w:t xml:space="preserve">1L treatment in dMMR A/R EC. </w:t>
      </w:r>
    </w:p>
    <w:p w14:paraId="243CE71D" w14:textId="2C7A7FFF" w:rsidR="00EC4F46" w:rsidRPr="00DF01CF" w:rsidRDefault="77EDA109" w:rsidP="00A3213F">
      <w:pPr>
        <w:pStyle w:val="3-BodyText"/>
      </w:pPr>
      <w:r>
        <w:t xml:space="preserve">However, </w:t>
      </w:r>
      <w:r w:rsidR="7D7E8232">
        <w:t xml:space="preserve">the evaluation considered that </w:t>
      </w:r>
      <w:r>
        <w:t>such an argument could not be made for pMMR A/R EC as:</w:t>
      </w:r>
    </w:p>
    <w:p w14:paraId="15F698CB" w14:textId="72637C6E" w:rsidR="00DF13EA" w:rsidRPr="00DF01CF" w:rsidRDefault="00DF13EA" w:rsidP="0037102E">
      <w:pPr>
        <w:pStyle w:val="3-BodyText"/>
        <w:numPr>
          <w:ilvl w:val="0"/>
          <w:numId w:val="21"/>
        </w:numPr>
      </w:pPr>
      <w:r w:rsidRPr="00DF01CF">
        <w:t xml:space="preserve">The PBAC has previously considered that the benefit of </w:t>
      </w:r>
      <w:r w:rsidR="00437BAB" w:rsidRPr="00DF01CF">
        <w:t>dostarlimab</w:t>
      </w:r>
      <w:r w:rsidRPr="00DF01CF">
        <w:t xml:space="preserve"> in pMMR EC was unclear (paragraph 7.17, dostarlimab PSD, November 2023), and as such, even if non-inferiority of </w:t>
      </w:r>
      <w:r w:rsidR="00BF1B0D" w:rsidRPr="00DF01CF">
        <w:t>pembrolizumab</w:t>
      </w:r>
      <w:r w:rsidRPr="00DF01CF">
        <w:t xml:space="preserve"> to </w:t>
      </w:r>
      <w:r w:rsidR="00437BAB" w:rsidRPr="00DF01CF">
        <w:t>dostarlimab</w:t>
      </w:r>
      <w:r w:rsidRPr="00DF01CF">
        <w:t xml:space="preserve"> in pMMR could be established, it may not be sufficient to establish the benefit of </w:t>
      </w:r>
      <w:r w:rsidR="00BF1B0D" w:rsidRPr="00DF01CF">
        <w:t>pembrolizumab</w:t>
      </w:r>
      <w:r w:rsidRPr="00DF01CF">
        <w:t xml:space="preserve"> in pMMR A/R EC in the Australian clinical setting; and</w:t>
      </w:r>
    </w:p>
    <w:p w14:paraId="1B63C0C4" w14:textId="06186E08" w:rsidR="00DF13EA" w:rsidRPr="00DF01CF" w:rsidRDefault="008F1D87" w:rsidP="0037102E">
      <w:pPr>
        <w:pStyle w:val="3-BodyText"/>
        <w:numPr>
          <w:ilvl w:val="0"/>
          <w:numId w:val="21"/>
        </w:numPr>
      </w:pPr>
      <w:r w:rsidRPr="00DF01CF">
        <w:t>durvalumab</w:t>
      </w:r>
      <w:r w:rsidR="00CF643A" w:rsidRPr="00DF01CF">
        <w:t xml:space="preserve"> </w:t>
      </w:r>
      <w:r w:rsidR="006D748E" w:rsidRPr="00DF01CF">
        <w:t>+</w:t>
      </w:r>
      <w:r w:rsidR="00CF643A" w:rsidRPr="00DF01CF">
        <w:t xml:space="preserve"> </w:t>
      </w:r>
      <w:r w:rsidRPr="00DF01CF">
        <w:t>olaparib</w:t>
      </w:r>
      <w:r w:rsidR="006D748E" w:rsidRPr="00DF01CF">
        <w:t xml:space="preserve"> </w:t>
      </w:r>
      <w:r w:rsidR="00CF643A" w:rsidRPr="00DF01CF">
        <w:t xml:space="preserve">includes </w:t>
      </w:r>
      <w:r w:rsidR="006D748E" w:rsidRPr="00DF01CF">
        <w:t xml:space="preserve">maintenance </w:t>
      </w:r>
      <w:r w:rsidRPr="00DF01CF">
        <w:t>olaparib</w:t>
      </w:r>
      <w:r w:rsidR="006D748E" w:rsidRPr="00DF01CF">
        <w:t xml:space="preserve"> which belongs to a different drug class (a poly ADP ribose polymerase (PARP) inhibitor) with no direct equivalent in </w:t>
      </w:r>
      <w:r w:rsidR="00011433">
        <w:t xml:space="preserve">the proposed </w:t>
      </w:r>
      <w:r w:rsidR="00BF1B0D" w:rsidRPr="00DF01CF">
        <w:t>pembrolizumab</w:t>
      </w:r>
      <w:r w:rsidR="00011433">
        <w:t xml:space="preserve"> regimen</w:t>
      </w:r>
      <w:r w:rsidR="006D748E" w:rsidRPr="00DF01CF">
        <w:t xml:space="preserve">. </w:t>
      </w:r>
    </w:p>
    <w:p w14:paraId="1452C351" w14:textId="0D19F1B0" w:rsidR="00B60939" w:rsidRPr="00AB6F27" w:rsidRDefault="00B60939" w:rsidP="00D86231">
      <w:pPr>
        <w:pStyle w:val="4-SubsectionHeading"/>
        <w:rPr>
          <w:iCs/>
        </w:rPr>
      </w:pPr>
      <w:bookmarkStart w:id="44" w:name="_Toc198643454"/>
      <w:r w:rsidRPr="00AB6F27">
        <w:rPr>
          <w:iCs/>
        </w:rPr>
        <w:t>Comparative harms</w:t>
      </w:r>
      <w:bookmarkEnd w:id="32"/>
      <w:bookmarkEnd w:id="44"/>
    </w:p>
    <w:p w14:paraId="50B7056B" w14:textId="46D37608" w:rsidR="00A3213F" w:rsidRPr="00AB6F27" w:rsidRDefault="00A3213F" w:rsidP="00A3213F">
      <w:pPr>
        <w:pStyle w:val="5-SubsectionSubheading"/>
        <w:rPr>
          <w:i/>
          <w:iCs/>
        </w:rPr>
      </w:pPr>
      <w:bookmarkStart w:id="45" w:name="_Toc198643455"/>
      <w:bookmarkStart w:id="46" w:name="_Toc22897643"/>
      <w:r w:rsidRPr="00AB6F27">
        <w:rPr>
          <w:i/>
          <w:iCs/>
        </w:rPr>
        <w:t>NRG-GY018 (</w:t>
      </w:r>
      <w:r w:rsidR="00BF1B0D">
        <w:rPr>
          <w:i/>
          <w:iCs/>
        </w:rPr>
        <w:t>pembrolizumab</w:t>
      </w:r>
      <w:r w:rsidR="00CF643A">
        <w:rPr>
          <w:i/>
          <w:iCs/>
        </w:rPr>
        <w:t xml:space="preserve"> versus placebo</w:t>
      </w:r>
      <w:r w:rsidRPr="00AB6F27">
        <w:rPr>
          <w:i/>
          <w:iCs/>
        </w:rPr>
        <w:t>)</w:t>
      </w:r>
      <w:bookmarkEnd w:id="45"/>
    </w:p>
    <w:p w14:paraId="1857ACBF" w14:textId="3D09187C" w:rsidR="00A3213F" w:rsidRPr="00AB6F27" w:rsidRDefault="00A3213F" w:rsidP="00A3213F">
      <w:pPr>
        <w:pStyle w:val="3-BodyText"/>
      </w:pPr>
      <w:r w:rsidRPr="00AB6F27">
        <w:t xml:space="preserve">A summary of the frequency of </w:t>
      </w:r>
      <w:r w:rsidR="0075725D" w:rsidRPr="00AB6F27">
        <w:t>adverse events (</w:t>
      </w:r>
      <w:r w:rsidRPr="00AB6F27">
        <w:t>AEs</w:t>
      </w:r>
      <w:r w:rsidR="0075725D" w:rsidRPr="00AB6F27">
        <w:t>)</w:t>
      </w:r>
      <w:r w:rsidRPr="00AB6F27">
        <w:t xml:space="preserve"> in NRG-GY018 </w:t>
      </w:r>
      <w:r w:rsidR="005C6F4F" w:rsidRPr="00AB6F27">
        <w:t xml:space="preserve">in the all-comers population </w:t>
      </w:r>
      <w:r w:rsidR="00C46A88" w:rsidRPr="00AB6F27">
        <w:t xml:space="preserve">at IA1 </w:t>
      </w:r>
      <w:r w:rsidRPr="00AB6F27">
        <w:t xml:space="preserve">is presented in </w:t>
      </w:r>
      <w:r w:rsidR="007D6796" w:rsidRPr="00AB6F27">
        <w:fldChar w:fldCharType="begin"/>
      </w:r>
      <w:r w:rsidR="007D6796" w:rsidRPr="00AB6F27">
        <w:instrText xml:space="preserve"> REF _Ref198643428 \h </w:instrText>
      </w:r>
      <w:r w:rsidR="00AB6F27" w:rsidRPr="00AB6F27">
        <w:instrText xml:space="preserve"> \* MERGEFORMAT </w:instrText>
      </w:r>
      <w:r w:rsidR="007D6796" w:rsidRPr="00AB6F27">
        <w:fldChar w:fldCharType="separate"/>
      </w:r>
      <w:r w:rsidR="003359D3" w:rsidRPr="00AB6F27">
        <w:t xml:space="preserve">Table </w:t>
      </w:r>
      <w:r w:rsidR="003359D3">
        <w:rPr>
          <w:noProof/>
        </w:rPr>
        <w:t>10</w:t>
      </w:r>
      <w:r w:rsidR="007D6796" w:rsidRPr="00AB6F27">
        <w:fldChar w:fldCharType="end"/>
      </w:r>
      <w:r w:rsidR="007D6796" w:rsidRPr="00AB6F27">
        <w:t>.</w:t>
      </w:r>
      <w:r w:rsidRPr="00AB6F27">
        <w:t xml:space="preserve"> The submission only presented safety results for NRG-GY018 from the EUR which had approximate</w:t>
      </w:r>
      <w:r w:rsidR="003D1275" w:rsidRPr="00AB6F27">
        <w:t>ly</w:t>
      </w:r>
      <w:r w:rsidRPr="00AB6F27">
        <w:t xml:space="preserve"> 9 </w:t>
      </w:r>
      <w:r w:rsidR="003D1275" w:rsidRPr="00AB6F27">
        <w:t xml:space="preserve">additional </w:t>
      </w:r>
      <w:r w:rsidRPr="00AB6F27">
        <w:t xml:space="preserve">months of data from IA1. However, as the majority (&gt;99%) of </w:t>
      </w:r>
      <w:r w:rsidR="00CF643A">
        <w:t>placebo</w:t>
      </w:r>
      <w:r w:rsidRPr="00AB6F27">
        <w:t xml:space="preserve"> patients discontinued treatment following the unblinding of the trial at IA1, the </w:t>
      </w:r>
      <w:r w:rsidR="00CF643A">
        <w:t xml:space="preserve">EUR results </w:t>
      </w:r>
      <w:r w:rsidRPr="00AB6F27">
        <w:t xml:space="preserve">may be confounded by reduced adherence to the assigned treatment in the </w:t>
      </w:r>
      <w:r w:rsidR="00CF643A">
        <w:t>placebo</w:t>
      </w:r>
      <w:r w:rsidRPr="00AB6F27">
        <w:t xml:space="preserve"> arm. Therefore, information from NRG-GY018 </w:t>
      </w:r>
      <w:r w:rsidR="005A0F4E" w:rsidRPr="00AB6F27">
        <w:t xml:space="preserve">IA1 </w:t>
      </w:r>
      <w:r w:rsidRPr="00AB6F27">
        <w:t xml:space="preserve">was extracted during the evaluation for estimations of relative risk (RR) and risk differences (RD). </w:t>
      </w:r>
    </w:p>
    <w:p w14:paraId="43383C59" w14:textId="6F7C8052" w:rsidR="00A91273" w:rsidRPr="00AB6F27" w:rsidRDefault="00A91273" w:rsidP="005A0F4E">
      <w:pPr>
        <w:keepNext/>
        <w:keepLines/>
        <w:rPr>
          <w:rFonts w:ascii="Arial Narrow" w:hAnsi="Arial Narrow"/>
          <w:sz w:val="18"/>
          <w:szCs w:val="18"/>
        </w:rPr>
      </w:pPr>
    </w:p>
    <w:p w14:paraId="3AE42C21" w14:textId="517E676B" w:rsidR="00A91273" w:rsidRPr="00AB6F27" w:rsidRDefault="00A91273" w:rsidP="00A91273">
      <w:pPr>
        <w:pStyle w:val="In-tableHeading"/>
        <w:keepLines/>
      </w:pPr>
      <w:bookmarkStart w:id="47" w:name="_Ref198643428"/>
      <w:r w:rsidRPr="00AB6F27">
        <w:t xml:space="preserve">Table </w:t>
      </w:r>
      <w:r w:rsidRPr="00AB6F27">
        <w:fldChar w:fldCharType="begin"/>
      </w:r>
      <w:r w:rsidRPr="00AB6F27">
        <w:instrText xml:space="preserve"> SEQ Table \* ARABIC </w:instrText>
      </w:r>
      <w:r w:rsidRPr="00AB6F27">
        <w:fldChar w:fldCharType="separate"/>
      </w:r>
      <w:r w:rsidR="003359D3">
        <w:rPr>
          <w:noProof/>
        </w:rPr>
        <w:t>10</w:t>
      </w:r>
      <w:r w:rsidRPr="00AB6F27">
        <w:fldChar w:fldCharType="end"/>
      </w:r>
      <w:bookmarkEnd w:id="47"/>
      <w:r w:rsidRPr="00AB6F27">
        <w:t>: Summary of adverse events in NRG-GY018 IA1 (patients as treated)</w:t>
      </w:r>
    </w:p>
    <w:tbl>
      <w:tblPr>
        <w:tblStyle w:val="TableGrid"/>
        <w:tblW w:w="5000" w:type="pct"/>
        <w:tblLook w:val="04A0" w:firstRow="1" w:lastRow="0" w:firstColumn="1" w:lastColumn="0" w:noHBand="0" w:noVBand="1"/>
        <w:tblCaption w:val="Table 10: Summary of adverse events in NRG-GY018 IA1 (patients as treated)"/>
      </w:tblPr>
      <w:tblGrid>
        <w:gridCol w:w="3048"/>
        <w:gridCol w:w="1488"/>
        <w:gridCol w:w="1417"/>
        <w:gridCol w:w="1560"/>
        <w:gridCol w:w="1504"/>
      </w:tblGrid>
      <w:tr w:rsidR="00A91273" w:rsidRPr="00AB6F27" w14:paraId="4E0C3C1B" w14:textId="77777777" w:rsidTr="00A91273">
        <w:tc>
          <w:tcPr>
            <w:tcW w:w="1690" w:type="pct"/>
            <w:vMerge w:val="restart"/>
            <w:tcBorders>
              <w:top w:val="single" w:sz="4" w:space="0" w:color="auto"/>
              <w:left w:val="single" w:sz="4" w:space="0" w:color="auto"/>
              <w:bottom w:val="single" w:sz="4" w:space="0" w:color="auto"/>
              <w:right w:val="single" w:sz="4" w:space="0" w:color="auto"/>
            </w:tcBorders>
            <w:vAlign w:val="center"/>
            <w:hideMark/>
          </w:tcPr>
          <w:p w14:paraId="64D01A2B" w14:textId="77777777" w:rsidR="00A91273" w:rsidRPr="00AB6F27" w:rsidRDefault="00A91273" w:rsidP="007B5E49">
            <w:pPr>
              <w:keepNext/>
              <w:keepLines/>
              <w:rPr>
                <w:rFonts w:ascii="Arial Narrow" w:hAnsi="Arial Narrow"/>
                <w:b/>
                <w:bCs/>
                <w:sz w:val="20"/>
                <w:szCs w:val="20"/>
              </w:rPr>
            </w:pPr>
            <w:r w:rsidRPr="00AB6F27">
              <w:rPr>
                <w:rFonts w:ascii="Arial Narrow" w:hAnsi="Arial Narrow"/>
                <w:b/>
                <w:bCs/>
                <w:sz w:val="20"/>
                <w:szCs w:val="20"/>
              </w:rPr>
              <w:t>Adverse Events, n (%)</w:t>
            </w:r>
          </w:p>
        </w:tc>
        <w:tc>
          <w:tcPr>
            <w:tcW w:w="1611" w:type="pct"/>
            <w:gridSpan w:val="2"/>
            <w:tcBorders>
              <w:top w:val="single" w:sz="4" w:space="0" w:color="auto"/>
              <w:left w:val="single" w:sz="4" w:space="0" w:color="auto"/>
              <w:bottom w:val="single" w:sz="4" w:space="0" w:color="auto"/>
              <w:right w:val="single" w:sz="4" w:space="0" w:color="auto"/>
            </w:tcBorders>
          </w:tcPr>
          <w:p w14:paraId="1E88C841" w14:textId="77777777" w:rsidR="00A91273" w:rsidRPr="00AB6F27" w:rsidRDefault="00A91273" w:rsidP="007B5E49">
            <w:pPr>
              <w:keepNext/>
              <w:keepLines/>
              <w:jc w:val="center"/>
              <w:rPr>
                <w:rFonts w:ascii="Arial Narrow" w:hAnsi="Arial Narrow"/>
                <w:b/>
                <w:bCs/>
                <w:sz w:val="20"/>
                <w:szCs w:val="20"/>
              </w:rPr>
            </w:pPr>
            <w:r w:rsidRPr="00AB6F27">
              <w:rPr>
                <w:rFonts w:ascii="Arial Narrow" w:hAnsi="Arial Narrow"/>
                <w:b/>
                <w:bCs/>
                <w:sz w:val="20"/>
                <w:szCs w:val="20"/>
              </w:rPr>
              <w:t>All-comers</w:t>
            </w:r>
          </w:p>
        </w:tc>
        <w:tc>
          <w:tcPr>
            <w:tcW w:w="865" w:type="pct"/>
            <w:vMerge w:val="restart"/>
            <w:tcBorders>
              <w:top w:val="single" w:sz="4" w:space="0" w:color="auto"/>
              <w:left w:val="single" w:sz="4" w:space="0" w:color="auto"/>
              <w:right w:val="single" w:sz="4" w:space="0" w:color="auto"/>
            </w:tcBorders>
            <w:vAlign w:val="center"/>
          </w:tcPr>
          <w:p w14:paraId="007716EC" w14:textId="6292189C" w:rsidR="00A91273" w:rsidRPr="00AB6F27" w:rsidRDefault="00A91273" w:rsidP="00A91273">
            <w:pPr>
              <w:keepNext/>
              <w:keepLines/>
              <w:jc w:val="center"/>
              <w:rPr>
                <w:rFonts w:ascii="Arial Narrow" w:hAnsi="Arial Narrow"/>
                <w:b/>
                <w:bCs/>
                <w:sz w:val="20"/>
                <w:szCs w:val="20"/>
              </w:rPr>
            </w:pPr>
            <w:r w:rsidRPr="00AB6F27">
              <w:rPr>
                <w:rFonts w:ascii="Arial Narrow" w:hAnsi="Arial Narrow"/>
                <w:b/>
                <w:bCs/>
                <w:sz w:val="20"/>
                <w:szCs w:val="20"/>
              </w:rPr>
              <w:t>RR (95% CI)</w:t>
            </w:r>
          </w:p>
        </w:tc>
        <w:tc>
          <w:tcPr>
            <w:tcW w:w="834" w:type="pct"/>
            <w:vMerge w:val="restart"/>
            <w:tcBorders>
              <w:top w:val="single" w:sz="4" w:space="0" w:color="auto"/>
              <w:left w:val="single" w:sz="4" w:space="0" w:color="auto"/>
              <w:right w:val="single" w:sz="4" w:space="0" w:color="auto"/>
            </w:tcBorders>
            <w:vAlign w:val="center"/>
          </w:tcPr>
          <w:p w14:paraId="73B6FCC6" w14:textId="1F179E1C" w:rsidR="00A91273" w:rsidRPr="00AB6F27" w:rsidRDefault="00A91273" w:rsidP="007B5E49">
            <w:pPr>
              <w:keepNext/>
              <w:keepLines/>
              <w:jc w:val="center"/>
              <w:rPr>
                <w:rFonts w:ascii="Arial Narrow" w:hAnsi="Arial Narrow"/>
                <w:b/>
                <w:bCs/>
                <w:sz w:val="20"/>
                <w:szCs w:val="20"/>
              </w:rPr>
            </w:pPr>
            <w:r w:rsidRPr="00AB6F27">
              <w:rPr>
                <w:rFonts w:ascii="Arial Narrow" w:hAnsi="Arial Narrow"/>
                <w:b/>
                <w:bCs/>
                <w:sz w:val="20"/>
                <w:szCs w:val="20"/>
              </w:rPr>
              <w:t>RD (95% CI)</w:t>
            </w:r>
          </w:p>
        </w:tc>
      </w:tr>
      <w:tr w:rsidR="00A91273" w:rsidRPr="00AB6F27" w14:paraId="2DB00D83" w14:textId="77777777" w:rsidTr="00A91273">
        <w:tc>
          <w:tcPr>
            <w:tcW w:w="1690" w:type="pct"/>
            <w:vMerge/>
            <w:tcBorders>
              <w:top w:val="single" w:sz="4" w:space="0" w:color="auto"/>
              <w:left w:val="single" w:sz="4" w:space="0" w:color="auto"/>
              <w:bottom w:val="single" w:sz="4" w:space="0" w:color="auto"/>
              <w:right w:val="single" w:sz="4" w:space="0" w:color="auto"/>
            </w:tcBorders>
            <w:vAlign w:val="center"/>
            <w:hideMark/>
          </w:tcPr>
          <w:p w14:paraId="466AA6B5" w14:textId="77777777" w:rsidR="00A91273" w:rsidRPr="00AB6F27" w:rsidRDefault="00A91273" w:rsidP="007B5E49">
            <w:pPr>
              <w:keepNext/>
              <w:keepLines/>
              <w:rPr>
                <w:rFonts w:ascii="Arial Narrow" w:hAnsi="Arial Narrow"/>
                <w:b/>
                <w:bCs/>
                <w:sz w:val="20"/>
                <w:szCs w:val="20"/>
              </w:rPr>
            </w:pPr>
          </w:p>
        </w:tc>
        <w:tc>
          <w:tcPr>
            <w:tcW w:w="825" w:type="pct"/>
            <w:tcBorders>
              <w:top w:val="single" w:sz="4" w:space="0" w:color="auto"/>
              <w:left w:val="single" w:sz="4" w:space="0" w:color="auto"/>
              <w:bottom w:val="single" w:sz="4" w:space="0" w:color="auto"/>
              <w:right w:val="single" w:sz="4" w:space="0" w:color="auto"/>
            </w:tcBorders>
            <w:vAlign w:val="center"/>
          </w:tcPr>
          <w:p w14:paraId="048A51DD" w14:textId="77777777" w:rsidR="00A91273" w:rsidRPr="00AB6F27" w:rsidRDefault="00A91273" w:rsidP="007B5E49">
            <w:pPr>
              <w:keepNext/>
              <w:keepLines/>
              <w:jc w:val="center"/>
              <w:rPr>
                <w:rFonts w:ascii="Arial Narrow" w:hAnsi="Arial Narrow"/>
                <w:b/>
                <w:bCs/>
                <w:sz w:val="20"/>
                <w:szCs w:val="20"/>
              </w:rPr>
            </w:pPr>
            <w:r w:rsidRPr="00AB6F27">
              <w:rPr>
                <w:rFonts w:ascii="Arial Narrow" w:hAnsi="Arial Narrow"/>
                <w:b/>
                <w:bCs/>
                <w:sz w:val="20"/>
                <w:szCs w:val="20"/>
              </w:rPr>
              <w:t>PEM+PBC</w:t>
            </w:r>
          </w:p>
          <w:p w14:paraId="4973322C" w14:textId="77777777" w:rsidR="00A91273" w:rsidRPr="00AB6F27" w:rsidRDefault="00A91273" w:rsidP="007B5E49">
            <w:pPr>
              <w:keepNext/>
              <w:keepLines/>
              <w:jc w:val="center"/>
              <w:rPr>
                <w:rFonts w:ascii="Arial Narrow" w:hAnsi="Arial Narrow"/>
                <w:b/>
                <w:bCs/>
                <w:sz w:val="20"/>
                <w:szCs w:val="20"/>
              </w:rPr>
            </w:pPr>
            <w:r w:rsidRPr="00AB6F27">
              <w:rPr>
                <w:rFonts w:ascii="Arial Narrow" w:hAnsi="Arial Narrow"/>
                <w:b/>
                <w:bCs/>
                <w:sz w:val="20"/>
                <w:szCs w:val="20"/>
              </w:rPr>
              <w:t>(N=382)</w:t>
            </w:r>
          </w:p>
        </w:tc>
        <w:tc>
          <w:tcPr>
            <w:tcW w:w="786" w:type="pct"/>
            <w:tcBorders>
              <w:top w:val="single" w:sz="4" w:space="0" w:color="auto"/>
              <w:left w:val="single" w:sz="4" w:space="0" w:color="auto"/>
              <w:bottom w:val="single" w:sz="4" w:space="0" w:color="auto"/>
              <w:right w:val="single" w:sz="4" w:space="0" w:color="auto"/>
            </w:tcBorders>
            <w:vAlign w:val="center"/>
          </w:tcPr>
          <w:p w14:paraId="6358A63D" w14:textId="77777777" w:rsidR="00A91273" w:rsidRPr="00AB6F27" w:rsidRDefault="00A91273" w:rsidP="007B5E49">
            <w:pPr>
              <w:keepNext/>
              <w:keepLines/>
              <w:jc w:val="center"/>
              <w:rPr>
                <w:rFonts w:ascii="Arial Narrow" w:hAnsi="Arial Narrow"/>
                <w:b/>
                <w:bCs/>
                <w:sz w:val="20"/>
                <w:szCs w:val="20"/>
              </w:rPr>
            </w:pPr>
            <w:r w:rsidRPr="00AB6F27">
              <w:rPr>
                <w:rFonts w:ascii="Arial Narrow" w:hAnsi="Arial Narrow"/>
                <w:b/>
                <w:bCs/>
                <w:sz w:val="20"/>
                <w:szCs w:val="20"/>
              </w:rPr>
              <w:t>PBO+PBC</w:t>
            </w:r>
          </w:p>
          <w:p w14:paraId="5AEE4D59" w14:textId="77777777" w:rsidR="00A91273" w:rsidRPr="00AB6F27" w:rsidRDefault="00A91273" w:rsidP="007B5E49">
            <w:pPr>
              <w:keepNext/>
              <w:keepLines/>
              <w:jc w:val="center"/>
              <w:rPr>
                <w:rFonts w:ascii="Arial Narrow" w:hAnsi="Arial Narrow"/>
                <w:b/>
                <w:bCs/>
                <w:sz w:val="20"/>
                <w:szCs w:val="20"/>
              </w:rPr>
            </w:pPr>
            <w:r w:rsidRPr="00AB6F27">
              <w:rPr>
                <w:rFonts w:ascii="Arial Narrow" w:hAnsi="Arial Narrow"/>
                <w:b/>
                <w:bCs/>
                <w:sz w:val="20"/>
                <w:szCs w:val="20"/>
              </w:rPr>
              <w:t>(N=377)</w:t>
            </w:r>
          </w:p>
        </w:tc>
        <w:tc>
          <w:tcPr>
            <w:tcW w:w="865" w:type="pct"/>
            <w:vMerge/>
            <w:tcBorders>
              <w:left w:val="single" w:sz="4" w:space="0" w:color="auto"/>
              <w:bottom w:val="single" w:sz="4" w:space="0" w:color="auto"/>
              <w:right w:val="single" w:sz="4" w:space="0" w:color="auto"/>
            </w:tcBorders>
            <w:vAlign w:val="center"/>
          </w:tcPr>
          <w:p w14:paraId="34C39658" w14:textId="55CBFECB" w:rsidR="00A91273" w:rsidRPr="00AB6F27" w:rsidRDefault="00A91273" w:rsidP="007B5E49">
            <w:pPr>
              <w:keepNext/>
              <w:keepLines/>
              <w:jc w:val="center"/>
              <w:rPr>
                <w:rFonts w:ascii="Arial Narrow" w:hAnsi="Arial Narrow"/>
                <w:b/>
                <w:bCs/>
                <w:sz w:val="20"/>
                <w:szCs w:val="20"/>
              </w:rPr>
            </w:pPr>
          </w:p>
        </w:tc>
        <w:tc>
          <w:tcPr>
            <w:tcW w:w="834" w:type="pct"/>
            <w:vMerge/>
            <w:tcBorders>
              <w:left w:val="single" w:sz="4" w:space="0" w:color="auto"/>
              <w:bottom w:val="single" w:sz="4" w:space="0" w:color="auto"/>
              <w:right w:val="single" w:sz="4" w:space="0" w:color="auto"/>
            </w:tcBorders>
            <w:vAlign w:val="center"/>
          </w:tcPr>
          <w:p w14:paraId="4372FF11" w14:textId="0DA330CA" w:rsidR="00A91273" w:rsidRPr="00AB6F27" w:rsidRDefault="00A91273" w:rsidP="007B5E49">
            <w:pPr>
              <w:keepNext/>
              <w:keepLines/>
              <w:jc w:val="center"/>
              <w:rPr>
                <w:rFonts w:ascii="Arial Narrow" w:hAnsi="Arial Narrow"/>
                <w:b/>
                <w:bCs/>
                <w:sz w:val="20"/>
                <w:szCs w:val="20"/>
              </w:rPr>
            </w:pPr>
          </w:p>
        </w:tc>
      </w:tr>
      <w:tr w:rsidR="00A91273" w:rsidRPr="00AB6F27" w14:paraId="0585ABD0"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5603285D"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One or more adverse events</w:t>
            </w:r>
          </w:p>
        </w:tc>
        <w:tc>
          <w:tcPr>
            <w:tcW w:w="825" w:type="pct"/>
            <w:tcBorders>
              <w:top w:val="single" w:sz="4" w:space="0" w:color="auto"/>
              <w:left w:val="single" w:sz="4" w:space="0" w:color="auto"/>
              <w:bottom w:val="single" w:sz="4" w:space="0" w:color="auto"/>
              <w:right w:val="single" w:sz="4" w:space="0" w:color="auto"/>
            </w:tcBorders>
            <w:vAlign w:val="center"/>
          </w:tcPr>
          <w:p w14:paraId="52306674"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376 (98.4)</w:t>
            </w:r>
          </w:p>
        </w:tc>
        <w:tc>
          <w:tcPr>
            <w:tcW w:w="786" w:type="pct"/>
            <w:tcBorders>
              <w:top w:val="single" w:sz="4" w:space="0" w:color="auto"/>
              <w:left w:val="single" w:sz="4" w:space="0" w:color="auto"/>
              <w:bottom w:val="single" w:sz="4" w:space="0" w:color="auto"/>
              <w:right w:val="single" w:sz="4" w:space="0" w:color="auto"/>
            </w:tcBorders>
            <w:vAlign w:val="center"/>
          </w:tcPr>
          <w:p w14:paraId="25D754D9"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375 (99.5)</w:t>
            </w:r>
          </w:p>
        </w:tc>
        <w:tc>
          <w:tcPr>
            <w:tcW w:w="865" w:type="pct"/>
            <w:tcBorders>
              <w:top w:val="single" w:sz="4" w:space="0" w:color="auto"/>
              <w:left w:val="nil"/>
              <w:bottom w:val="single" w:sz="4" w:space="0" w:color="auto"/>
              <w:right w:val="single" w:sz="4" w:space="0" w:color="auto"/>
            </w:tcBorders>
            <w:vAlign w:val="center"/>
          </w:tcPr>
          <w:p w14:paraId="0CA2EC19" w14:textId="48E77C10"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0.99 (0.98, 1.00)</w:t>
            </w:r>
          </w:p>
        </w:tc>
        <w:tc>
          <w:tcPr>
            <w:tcW w:w="834" w:type="pct"/>
            <w:tcBorders>
              <w:top w:val="single" w:sz="4" w:space="0" w:color="auto"/>
              <w:left w:val="nil"/>
              <w:bottom w:val="single" w:sz="4" w:space="0" w:color="auto"/>
              <w:right w:val="single" w:sz="4" w:space="0" w:color="auto"/>
            </w:tcBorders>
            <w:vAlign w:val="center"/>
          </w:tcPr>
          <w:p w14:paraId="29D5AE1F" w14:textId="10DB84C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-1.0 (-2.5, 0.4)</w:t>
            </w:r>
          </w:p>
        </w:tc>
      </w:tr>
      <w:tr w:rsidR="00A91273" w:rsidRPr="00AB6F27" w14:paraId="4F608DC0"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741D0827"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Drug-related adverse events</w:t>
            </w:r>
          </w:p>
        </w:tc>
        <w:tc>
          <w:tcPr>
            <w:tcW w:w="825" w:type="pct"/>
            <w:tcBorders>
              <w:top w:val="single" w:sz="4" w:space="0" w:color="auto"/>
              <w:left w:val="single" w:sz="4" w:space="0" w:color="auto"/>
              <w:bottom w:val="single" w:sz="4" w:space="0" w:color="auto"/>
              <w:right w:val="single" w:sz="4" w:space="0" w:color="auto"/>
            </w:tcBorders>
            <w:vAlign w:val="center"/>
          </w:tcPr>
          <w:p w14:paraId="18CEA5D9"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365 (95.5)</w:t>
            </w:r>
          </w:p>
        </w:tc>
        <w:tc>
          <w:tcPr>
            <w:tcW w:w="786" w:type="pct"/>
            <w:tcBorders>
              <w:top w:val="single" w:sz="4" w:space="0" w:color="auto"/>
              <w:left w:val="single" w:sz="4" w:space="0" w:color="auto"/>
              <w:bottom w:val="single" w:sz="4" w:space="0" w:color="auto"/>
              <w:right w:val="single" w:sz="4" w:space="0" w:color="auto"/>
            </w:tcBorders>
            <w:vAlign w:val="center"/>
          </w:tcPr>
          <w:p w14:paraId="4ABD3C0A"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358 (95.0)</w:t>
            </w:r>
          </w:p>
        </w:tc>
        <w:tc>
          <w:tcPr>
            <w:tcW w:w="865" w:type="pct"/>
            <w:tcBorders>
              <w:top w:val="single" w:sz="4" w:space="0" w:color="auto"/>
              <w:left w:val="nil"/>
              <w:bottom w:val="single" w:sz="4" w:space="0" w:color="auto"/>
              <w:right w:val="single" w:sz="4" w:space="0" w:color="auto"/>
            </w:tcBorders>
            <w:vAlign w:val="center"/>
          </w:tcPr>
          <w:p w14:paraId="398DB791" w14:textId="738F460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1.01 (0.97, 1.04)</w:t>
            </w:r>
          </w:p>
        </w:tc>
        <w:tc>
          <w:tcPr>
            <w:tcW w:w="834" w:type="pct"/>
            <w:tcBorders>
              <w:top w:val="single" w:sz="4" w:space="0" w:color="auto"/>
              <w:left w:val="nil"/>
              <w:bottom w:val="single" w:sz="4" w:space="0" w:color="auto"/>
              <w:right w:val="single" w:sz="4" w:space="0" w:color="auto"/>
            </w:tcBorders>
            <w:vAlign w:val="center"/>
          </w:tcPr>
          <w:p w14:paraId="72D42371" w14:textId="50818528"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0.6 (-2.4, 3.6)</w:t>
            </w:r>
          </w:p>
        </w:tc>
      </w:tr>
      <w:tr w:rsidR="00A91273" w:rsidRPr="00AB6F27" w14:paraId="79AA7AC7"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462AE793"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Grade 3-5 adverse events</w:t>
            </w:r>
          </w:p>
        </w:tc>
        <w:tc>
          <w:tcPr>
            <w:tcW w:w="825" w:type="pct"/>
            <w:tcBorders>
              <w:top w:val="single" w:sz="4" w:space="0" w:color="auto"/>
              <w:left w:val="single" w:sz="4" w:space="0" w:color="auto"/>
              <w:bottom w:val="single" w:sz="4" w:space="0" w:color="auto"/>
              <w:right w:val="single" w:sz="4" w:space="0" w:color="auto"/>
            </w:tcBorders>
            <w:vAlign w:val="center"/>
          </w:tcPr>
          <w:p w14:paraId="7702D0A9"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225 (58.9)</w:t>
            </w:r>
          </w:p>
        </w:tc>
        <w:tc>
          <w:tcPr>
            <w:tcW w:w="786" w:type="pct"/>
            <w:tcBorders>
              <w:top w:val="single" w:sz="4" w:space="0" w:color="auto"/>
              <w:left w:val="single" w:sz="4" w:space="0" w:color="auto"/>
              <w:bottom w:val="single" w:sz="4" w:space="0" w:color="auto"/>
              <w:right w:val="single" w:sz="4" w:space="0" w:color="auto"/>
            </w:tcBorders>
            <w:vAlign w:val="center"/>
          </w:tcPr>
          <w:p w14:paraId="420BD091"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174 (46.2)</w:t>
            </w:r>
          </w:p>
        </w:tc>
        <w:tc>
          <w:tcPr>
            <w:tcW w:w="865" w:type="pct"/>
            <w:tcBorders>
              <w:top w:val="single" w:sz="4" w:space="0" w:color="auto"/>
              <w:left w:val="nil"/>
              <w:bottom w:val="single" w:sz="4" w:space="0" w:color="auto"/>
              <w:right w:val="single" w:sz="4" w:space="0" w:color="auto"/>
            </w:tcBorders>
            <w:vAlign w:val="center"/>
          </w:tcPr>
          <w:p w14:paraId="5A7F04A5" w14:textId="5A7E810A"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1.28 (1.11, 1.46)</w:t>
            </w:r>
          </w:p>
        </w:tc>
        <w:tc>
          <w:tcPr>
            <w:tcW w:w="834" w:type="pct"/>
            <w:tcBorders>
              <w:top w:val="single" w:sz="4" w:space="0" w:color="auto"/>
              <w:left w:val="nil"/>
              <w:bottom w:val="single" w:sz="4" w:space="0" w:color="auto"/>
              <w:right w:val="single" w:sz="4" w:space="0" w:color="auto"/>
            </w:tcBorders>
            <w:vAlign w:val="center"/>
          </w:tcPr>
          <w:p w14:paraId="5BF24E16" w14:textId="13DE3895"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12.7 (5.7, 19.8)</w:t>
            </w:r>
          </w:p>
        </w:tc>
      </w:tr>
      <w:tr w:rsidR="00A91273" w:rsidRPr="00AB6F27" w14:paraId="4DB9AC15"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1C352DDD"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Grade 3-5 drug-related adverse events</w:t>
            </w:r>
          </w:p>
        </w:tc>
        <w:tc>
          <w:tcPr>
            <w:tcW w:w="825" w:type="pct"/>
            <w:tcBorders>
              <w:top w:val="single" w:sz="4" w:space="0" w:color="auto"/>
              <w:left w:val="single" w:sz="4" w:space="0" w:color="auto"/>
              <w:bottom w:val="single" w:sz="4" w:space="0" w:color="auto"/>
              <w:right w:val="single" w:sz="4" w:space="0" w:color="auto"/>
            </w:tcBorders>
            <w:vAlign w:val="center"/>
          </w:tcPr>
          <w:p w14:paraId="3F2D3DA5"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172 (45.0)</w:t>
            </w:r>
          </w:p>
        </w:tc>
        <w:tc>
          <w:tcPr>
            <w:tcW w:w="786" w:type="pct"/>
            <w:tcBorders>
              <w:top w:val="single" w:sz="4" w:space="0" w:color="auto"/>
              <w:left w:val="single" w:sz="4" w:space="0" w:color="auto"/>
              <w:bottom w:val="single" w:sz="4" w:space="0" w:color="auto"/>
              <w:right w:val="single" w:sz="4" w:space="0" w:color="auto"/>
            </w:tcBorders>
            <w:vAlign w:val="center"/>
          </w:tcPr>
          <w:p w14:paraId="45A2ABEC"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120 (31.8)</w:t>
            </w:r>
          </w:p>
        </w:tc>
        <w:tc>
          <w:tcPr>
            <w:tcW w:w="865" w:type="pct"/>
            <w:tcBorders>
              <w:top w:val="single" w:sz="4" w:space="0" w:color="auto"/>
              <w:left w:val="nil"/>
              <w:bottom w:val="single" w:sz="4" w:space="0" w:color="auto"/>
              <w:right w:val="single" w:sz="4" w:space="0" w:color="auto"/>
            </w:tcBorders>
            <w:vAlign w:val="center"/>
          </w:tcPr>
          <w:p w14:paraId="7D4F5C81" w14:textId="42293845"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1.41 (1.18, 1.70)</w:t>
            </w:r>
          </w:p>
        </w:tc>
        <w:tc>
          <w:tcPr>
            <w:tcW w:w="834" w:type="pct"/>
            <w:tcBorders>
              <w:top w:val="single" w:sz="4" w:space="0" w:color="auto"/>
              <w:left w:val="nil"/>
              <w:bottom w:val="single" w:sz="4" w:space="0" w:color="auto"/>
              <w:right w:val="single" w:sz="4" w:space="0" w:color="auto"/>
            </w:tcBorders>
            <w:vAlign w:val="center"/>
          </w:tcPr>
          <w:p w14:paraId="5DC79C07" w14:textId="4F2D78EE"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13.2 (6.3, 20.1)</w:t>
            </w:r>
          </w:p>
        </w:tc>
      </w:tr>
      <w:tr w:rsidR="00A91273" w:rsidRPr="00AB6F27" w14:paraId="506AC8DC"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670B7EEA"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Serious adverse events</w:t>
            </w:r>
          </w:p>
        </w:tc>
        <w:tc>
          <w:tcPr>
            <w:tcW w:w="825" w:type="pct"/>
            <w:tcBorders>
              <w:top w:val="single" w:sz="4" w:space="0" w:color="auto"/>
              <w:left w:val="single" w:sz="4" w:space="0" w:color="auto"/>
              <w:bottom w:val="single" w:sz="4" w:space="0" w:color="auto"/>
              <w:right w:val="single" w:sz="4" w:space="0" w:color="auto"/>
            </w:tcBorders>
            <w:vAlign w:val="center"/>
          </w:tcPr>
          <w:p w14:paraId="3F10B651"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132 (34.6)</w:t>
            </w:r>
          </w:p>
        </w:tc>
        <w:tc>
          <w:tcPr>
            <w:tcW w:w="786" w:type="pct"/>
            <w:tcBorders>
              <w:top w:val="single" w:sz="4" w:space="0" w:color="auto"/>
              <w:left w:val="single" w:sz="4" w:space="0" w:color="auto"/>
              <w:bottom w:val="single" w:sz="4" w:space="0" w:color="auto"/>
              <w:right w:val="single" w:sz="4" w:space="0" w:color="auto"/>
            </w:tcBorders>
            <w:vAlign w:val="center"/>
          </w:tcPr>
          <w:p w14:paraId="7F2F1D0F"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73 (19.4)</w:t>
            </w:r>
          </w:p>
        </w:tc>
        <w:tc>
          <w:tcPr>
            <w:tcW w:w="865" w:type="pct"/>
            <w:tcBorders>
              <w:top w:val="single" w:sz="4" w:space="0" w:color="auto"/>
              <w:left w:val="nil"/>
              <w:bottom w:val="single" w:sz="4" w:space="0" w:color="auto"/>
              <w:right w:val="single" w:sz="4" w:space="0" w:color="auto"/>
            </w:tcBorders>
            <w:vAlign w:val="center"/>
          </w:tcPr>
          <w:p w14:paraId="7B4816C9" w14:textId="42608E86"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1.78 (1.39, 2.29)</w:t>
            </w:r>
          </w:p>
        </w:tc>
        <w:tc>
          <w:tcPr>
            <w:tcW w:w="834" w:type="pct"/>
            <w:tcBorders>
              <w:top w:val="single" w:sz="4" w:space="0" w:color="auto"/>
              <w:left w:val="nil"/>
              <w:bottom w:val="single" w:sz="4" w:space="0" w:color="auto"/>
              <w:right w:val="single" w:sz="4" w:space="0" w:color="auto"/>
            </w:tcBorders>
            <w:vAlign w:val="center"/>
          </w:tcPr>
          <w:p w14:paraId="4FE2F200" w14:textId="1E852345"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15.2 (9.0, 21.4)</w:t>
            </w:r>
          </w:p>
        </w:tc>
      </w:tr>
      <w:tr w:rsidR="00A91273" w:rsidRPr="00AB6F27" w14:paraId="1C1D5277"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2BA8781D"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Serious drug-related adverse events</w:t>
            </w:r>
          </w:p>
        </w:tc>
        <w:tc>
          <w:tcPr>
            <w:tcW w:w="825" w:type="pct"/>
            <w:tcBorders>
              <w:top w:val="single" w:sz="4" w:space="0" w:color="auto"/>
              <w:left w:val="single" w:sz="4" w:space="0" w:color="auto"/>
              <w:bottom w:val="single" w:sz="4" w:space="0" w:color="auto"/>
              <w:right w:val="single" w:sz="4" w:space="0" w:color="auto"/>
            </w:tcBorders>
            <w:vAlign w:val="center"/>
          </w:tcPr>
          <w:p w14:paraId="7914C25B"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82 (21.5)</w:t>
            </w:r>
          </w:p>
        </w:tc>
        <w:tc>
          <w:tcPr>
            <w:tcW w:w="786" w:type="pct"/>
            <w:tcBorders>
              <w:top w:val="single" w:sz="4" w:space="0" w:color="auto"/>
              <w:left w:val="single" w:sz="4" w:space="0" w:color="auto"/>
              <w:bottom w:val="single" w:sz="4" w:space="0" w:color="auto"/>
              <w:right w:val="single" w:sz="4" w:space="0" w:color="auto"/>
            </w:tcBorders>
            <w:vAlign w:val="center"/>
          </w:tcPr>
          <w:p w14:paraId="2C710463"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43 (11.4)</w:t>
            </w:r>
          </w:p>
        </w:tc>
        <w:tc>
          <w:tcPr>
            <w:tcW w:w="865" w:type="pct"/>
            <w:tcBorders>
              <w:top w:val="single" w:sz="4" w:space="0" w:color="auto"/>
              <w:left w:val="nil"/>
              <w:bottom w:val="single" w:sz="4" w:space="0" w:color="auto"/>
              <w:right w:val="single" w:sz="4" w:space="0" w:color="auto"/>
            </w:tcBorders>
            <w:vAlign w:val="center"/>
          </w:tcPr>
          <w:p w14:paraId="5DED89A6" w14:textId="0D489442"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1.88 (1.34, 2.65)</w:t>
            </w:r>
          </w:p>
        </w:tc>
        <w:tc>
          <w:tcPr>
            <w:tcW w:w="834" w:type="pct"/>
            <w:tcBorders>
              <w:top w:val="single" w:sz="4" w:space="0" w:color="auto"/>
              <w:left w:val="nil"/>
              <w:bottom w:val="single" w:sz="4" w:space="0" w:color="auto"/>
              <w:right w:val="single" w:sz="4" w:space="0" w:color="auto"/>
            </w:tcBorders>
            <w:vAlign w:val="center"/>
          </w:tcPr>
          <w:p w14:paraId="68082917" w14:textId="74A6DB9D" w:rsidR="00A91273" w:rsidRPr="00AB6F27" w:rsidRDefault="00A91273" w:rsidP="00A91273">
            <w:pPr>
              <w:keepNext/>
              <w:keepLines/>
              <w:jc w:val="center"/>
              <w:rPr>
                <w:rFonts w:ascii="Arial Narrow" w:hAnsi="Arial Narrow"/>
                <w:sz w:val="20"/>
                <w:szCs w:val="20"/>
              </w:rPr>
            </w:pPr>
            <w:r w:rsidRPr="00AB6F27">
              <w:rPr>
                <w:rFonts w:ascii="Arial Narrow" w:hAnsi="Arial Narrow"/>
                <w:b/>
                <w:bCs/>
                <w:sz w:val="20"/>
                <w:szCs w:val="20"/>
              </w:rPr>
              <w:t>10.1 (4.8, 15.3)</w:t>
            </w:r>
          </w:p>
        </w:tc>
      </w:tr>
      <w:tr w:rsidR="00A91273" w:rsidRPr="00AB6F27" w14:paraId="2769731C"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2BF1636B"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Death</w:t>
            </w:r>
          </w:p>
        </w:tc>
        <w:tc>
          <w:tcPr>
            <w:tcW w:w="825" w:type="pct"/>
            <w:tcBorders>
              <w:top w:val="single" w:sz="4" w:space="0" w:color="auto"/>
              <w:left w:val="single" w:sz="4" w:space="0" w:color="auto"/>
              <w:bottom w:val="single" w:sz="4" w:space="0" w:color="auto"/>
              <w:right w:val="single" w:sz="4" w:space="0" w:color="auto"/>
            </w:tcBorders>
            <w:vAlign w:val="center"/>
          </w:tcPr>
          <w:p w14:paraId="667FBE96" w14:textId="3EE5F95C" w:rsidR="00A91273" w:rsidRPr="00AB6F27" w:rsidRDefault="00A91273" w:rsidP="00A91273">
            <w:pPr>
              <w:keepNext/>
              <w:keepLines/>
              <w:jc w:val="center"/>
              <w:rPr>
                <w:rFonts w:ascii="Arial Narrow" w:hAnsi="Arial Narrow"/>
                <w:sz w:val="20"/>
                <w:szCs w:val="20"/>
                <w:vertAlign w:val="superscript"/>
              </w:rPr>
            </w:pPr>
            <w:r w:rsidRPr="00AB6F27">
              <w:rPr>
                <w:rFonts w:ascii="Arial Narrow" w:hAnsi="Arial Narrow"/>
                <w:sz w:val="20"/>
                <w:szCs w:val="20"/>
              </w:rPr>
              <w:t>6 (1.6)</w:t>
            </w:r>
          </w:p>
        </w:tc>
        <w:tc>
          <w:tcPr>
            <w:tcW w:w="786" w:type="pct"/>
            <w:tcBorders>
              <w:top w:val="single" w:sz="4" w:space="0" w:color="auto"/>
              <w:left w:val="single" w:sz="4" w:space="0" w:color="auto"/>
              <w:bottom w:val="single" w:sz="4" w:space="0" w:color="auto"/>
              <w:right w:val="single" w:sz="4" w:space="0" w:color="auto"/>
            </w:tcBorders>
            <w:vAlign w:val="center"/>
          </w:tcPr>
          <w:p w14:paraId="4DBF5B9B"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4 (1.1)</w:t>
            </w:r>
          </w:p>
        </w:tc>
        <w:tc>
          <w:tcPr>
            <w:tcW w:w="865" w:type="pct"/>
            <w:tcBorders>
              <w:top w:val="single" w:sz="4" w:space="0" w:color="auto"/>
              <w:left w:val="nil"/>
              <w:bottom w:val="single" w:sz="4" w:space="0" w:color="auto"/>
              <w:right w:val="single" w:sz="4" w:space="0" w:color="auto"/>
            </w:tcBorders>
            <w:vAlign w:val="center"/>
          </w:tcPr>
          <w:p w14:paraId="07DB42C2" w14:textId="346C58D5"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1.48 (0.42, 5.20)</w:t>
            </w:r>
          </w:p>
        </w:tc>
        <w:tc>
          <w:tcPr>
            <w:tcW w:w="834" w:type="pct"/>
            <w:tcBorders>
              <w:top w:val="single" w:sz="4" w:space="0" w:color="auto"/>
              <w:left w:val="nil"/>
              <w:bottom w:val="single" w:sz="4" w:space="0" w:color="auto"/>
              <w:right w:val="single" w:sz="4" w:space="0" w:color="auto"/>
            </w:tcBorders>
            <w:vAlign w:val="center"/>
          </w:tcPr>
          <w:p w14:paraId="74B38E5D" w14:textId="4044162A"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0.5 (-1.1, 2.1)</w:t>
            </w:r>
          </w:p>
        </w:tc>
      </w:tr>
      <w:tr w:rsidR="00A91273" w:rsidRPr="00AB6F27" w14:paraId="6F75FE90" w14:textId="77777777" w:rsidTr="00EB6E3D">
        <w:tc>
          <w:tcPr>
            <w:tcW w:w="1690" w:type="pct"/>
            <w:tcBorders>
              <w:top w:val="single" w:sz="4" w:space="0" w:color="auto"/>
              <w:left w:val="single" w:sz="4" w:space="0" w:color="auto"/>
              <w:bottom w:val="single" w:sz="4" w:space="0" w:color="auto"/>
              <w:right w:val="single" w:sz="4" w:space="0" w:color="auto"/>
            </w:tcBorders>
            <w:vAlign w:val="center"/>
          </w:tcPr>
          <w:p w14:paraId="1371B8CA" w14:textId="77777777" w:rsidR="00A91273" w:rsidRPr="00AB6F27" w:rsidRDefault="00A91273" w:rsidP="00A91273">
            <w:pPr>
              <w:keepNext/>
              <w:keepLines/>
              <w:rPr>
                <w:rFonts w:ascii="Arial Narrow" w:hAnsi="Arial Narrow"/>
                <w:sz w:val="20"/>
                <w:szCs w:val="20"/>
              </w:rPr>
            </w:pPr>
            <w:r w:rsidRPr="00AB6F27">
              <w:rPr>
                <w:rFonts w:ascii="Arial Narrow" w:hAnsi="Arial Narrow"/>
                <w:sz w:val="20"/>
                <w:szCs w:val="20"/>
              </w:rPr>
              <w:t>Death due to a drug-related adverse event</w:t>
            </w:r>
          </w:p>
        </w:tc>
        <w:tc>
          <w:tcPr>
            <w:tcW w:w="825" w:type="pct"/>
            <w:tcBorders>
              <w:top w:val="single" w:sz="4" w:space="0" w:color="auto"/>
              <w:left w:val="single" w:sz="4" w:space="0" w:color="auto"/>
              <w:bottom w:val="single" w:sz="4" w:space="0" w:color="auto"/>
              <w:right w:val="single" w:sz="4" w:space="0" w:color="auto"/>
            </w:tcBorders>
            <w:vAlign w:val="center"/>
          </w:tcPr>
          <w:p w14:paraId="0CCAD907"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1 (0.3)</w:t>
            </w:r>
          </w:p>
        </w:tc>
        <w:tc>
          <w:tcPr>
            <w:tcW w:w="786" w:type="pct"/>
            <w:tcBorders>
              <w:top w:val="single" w:sz="4" w:space="0" w:color="auto"/>
              <w:left w:val="single" w:sz="4" w:space="0" w:color="auto"/>
              <w:bottom w:val="single" w:sz="4" w:space="0" w:color="auto"/>
              <w:right w:val="single" w:sz="4" w:space="0" w:color="auto"/>
            </w:tcBorders>
            <w:vAlign w:val="center"/>
          </w:tcPr>
          <w:p w14:paraId="5CF4AB7F" w14:textId="7777777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2 (0.5)</w:t>
            </w:r>
          </w:p>
        </w:tc>
        <w:tc>
          <w:tcPr>
            <w:tcW w:w="865" w:type="pct"/>
            <w:tcBorders>
              <w:top w:val="single" w:sz="4" w:space="0" w:color="auto"/>
              <w:left w:val="nil"/>
              <w:bottom w:val="single" w:sz="4" w:space="0" w:color="auto"/>
              <w:right w:val="single" w:sz="4" w:space="0" w:color="auto"/>
            </w:tcBorders>
            <w:vAlign w:val="center"/>
          </w:tcPr>
          <w:p w14:paraId="662155FF" w14:textId="3B98A757"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0.49 (0.04, 5.42)</w:t>
            </w:r>
          </w:p>
        </w:tc>
        <w:tc>
          <w:tcPr>
            <w:tcW w:w="834" w:type="pct"/>
            <w:tcBorders>
              <w:top w:val="single" w:sz="4" w:space="0" w:color="auto"/>
              <w:left w:val="nil"/>
              <w:bottom w:val="single" w:sz="4" w:space="0" w:color="auto"/>
              <w:right w:val="single" w:sz="4" w:space="0" w:color="auto"/>
            </w:tcBorders>
            <w:vAlign w:val="center"/>
          </w:tcPr>
          <w:p w14:paraId="4B935D7A" w14:textId="0F13141D" w:rsidR="00A91273" w:rsidRPr="00AB6F27" w:rsidRDefault="00A91273" w:rsidP="00A91273">
            <w:pPr>
              <w:keepNext/>
              <w:keepLines/>
              <w:jc w:val="center"/>
              <w:rPr>
                <w:rFonts w:ascii="Arial Narrow" w:hAnsi="Arial Narrow"/>
                <w:sz w:val="20"/>
                <w:szCs w:val="20"/>
              </w:rPr>
            </w:pPr>
            <w:r w:rsidRPr="00AB6F27">
              <w:rPr>
                <w:rFonts w:ascii="Arial Narrow" w:hAnsi="Arial Narrow"/>
                <w:sz w:val="20"/>
                <w:szCs w:val="20"/>
              </w:rPr>
              <w:t>-0.3 (-1.2, 0.6)</w:t>
            </w:r>
          </w:p>
        </w:tc>
      </w:tr>
    </w:tbl>
    <w:p w14:paraId="5CAC042B" w14:textId="05ED21AB" w:rsidR="00A91273" w:rsidRPr="00AB6F27" w:rsidRDefault="00A91273" w:rsidP="00A91273">
      <w:pPr>
        <w:keepNext/>
        <w:keepLines/>
        <w:rPr>
          <w:rFonts w:ascii="Arial Narrow" w:hAnsi="Arial Narrow"/>
          <w:sz w:val="18"/>
          <w:szCs w:val="18"/>
        </w:rPr>
      </w:pPr>
      <w:r w:rsidRPr="00AB6F27">
        <w:rPr>
          <w:rFonts w:ascii="Arial Narrow" w:hAnsi="Arial Narrow"/>
          <w:sz w:val="18"/>
          <w:szCs w:val="18"/>
        </w:rPr>
        <w:t>Source: p16 and p17 of NRG-GY018 CSR IA1; Table 55, p 86 of Pembrolizumab EPAR 2024. The relative risk</w:t>
      </w:r>
      <w:r w:rsidR="00931342">
        <w:rPr>
          <w:rFonts w:ascii="Arial Narrow" w:hAnsi="Arial Narrow"/>
          <w:sz w:val="18"/>
          <w:szCs w:val="18"/>
        </w:rPr>
        <w:t>s</w:t>
      </w:r>
      <w:r w:rsidRPr="00AB6F27">
        <w:rPr>
          <w:rFonts w:ascii="Arial Narrow" w:hAnsi="Arial Narrow"/>
          <w:sz w:val="18"/>
          <w:szCs w:val="18"/>
        </w:rPr>
        <w:t xml:space="preserve"> were analysed during the evaluation using the numbers in Table 2.5.10. This was performed using the statistical methods for deriving RR and RD by Gardner &amp; Altman 1997</w:t>
      </w:r>
    </w:p>
    <w:p w14:paraId="4E28DC28" w14:textId="77777777" w:rsidR="00A91273" w:rsidRPr="00AB6F27" w:rsidRDefault="00A91273" w:rsidP="00A91273">
      <w:pPr>
        <w:keepNext/>
        <w:keepLines/>
        <w:rPr>
          <w:rFonts w:ascii="Arial Narrow" w:hAnsi="Arial Narrow"/>
          <w:sz w:val="18"/>
          <w:szCs w:val="18"/>
        </w:rPr>
      </w:pPr>
      <w:r w:rsidRPr="00AB6F27">
        <w:rPr>
          <w:rFonts w:ascii="Arial Narrow" w:hAnsi="Arial Narrow"/>
          <w:sz w:val="18"/>
          <w:szCs w:val="18"/>
        </w:rPr>
        <w:t>Abbreviations: PEM = pembrolizumab; PBC = platinum based chemotherapy; PBO = placebo; dMMR = mismatch repair deficient; pMMR = mismatch repair proficient</w:t>
      </w:r>
    </w:p>
    <w:p w14:paraId="1092D203" w14:textId="77777777" w:rsidR="00A91273" w:rsidRPr="00AB6F27" w:rsidRDefault="00A91273" w:rsidP="00A91273">
      <w:pPr>
        <w:keepNext/>
        <w:keepLines/>
        <w:rPr>
          <w:rFonts w:ascii="Arial Narrow" w:hAnsi="Arial Narrow"/>
          <w:sz w:val="18"/>
          <w:szCs w:val="18"/>
        </w:rPr>
      </w:pPr>
      <w:r w:rsidRPr="00AB6F27">
        <w:rPr>
          <w:rFonts w:ascii="Arial Narrow" w:hAnsi="Arial Narrow"/>
          <w:sz w:val="18"/>
          <w:szCs w:val="18"/>
        </w:rPr>
        <w:t>Database cutoff date 16 DEC 2022 for dMMR and 06 DEC 2022 for pMMR</w:t>
      </w:r>
    </w:p>
    <w:p w14:paraId="6B8F6AA5" w14:textId="5B96928C" w:rsidR="00A91273" w:rsidRPr="00AB6F27" w:rsidRDefault="00A91273" w:rsidP="00A91273">
      <w:pPr>
        <w:keepNext/>
        <w:keepLines/>
        <w:rPr>
          <w:rFonts w:ascii="Arial Narrow" w:hAnsi="Arial Narrow"/>
          <w:sz w:val="18"/>
          <w:szCs w:val="18"/>
        </w:rPr>
      </w:pPr>
      <w:r w:rsidRPr="00AB6F27">
        <w:rPr>
          <w:rFonts w:ascii="Arial Narrow" w:hAnsi="Arial Narrow"/>
          <w:sz w:val="18"/>
          <w:szCs w:val="18"/>
        </w:rPr>
        <w:t>Bold indicates values where the 95% CI did not include ‘1’</w:t>
      </w:r>
    </w:p>
    <w:p w14:paraId="7FB40092" w14:textId="77777777" w:rsidR="00A91273" w:rsidRPr="00AB6F27" w:rsidRDefault="00A91273" w:rsidP="005A0F4E">
      <w:pPr>
        <w:keepNext/>
        <w:keepLines/>
        <w:rPr>
          <w:rFonts w:ascii="Arial Narrow" w:hAnsi="Arial Narrow"/>
          <w:sz w:val="18"/>
          <w:szCs w:val="18"/>
        </w:rPr>
      </w:pPr>
    </w:p>
    <w:p w14:paraId="56FA26C7" w14:textId="1B799801" w:rsidR="00A3213F" w:rsidRPr="00AB6F27" w:rsidRDefault="00A3213F" w:rsidP="00A3213F">
      <w:pPr>
        <w:pStyle w:val="3-BodyText"/>
      </w:pPr>
      <w:r w:rsidRPr="00AB6F27">
        <w:t>The proportion of patients reporting Grade ≥3 drug</w:t>
      </w:r>
      <w:r w:rsidR="00CF643A">
        <w:t>-</w:t>
      </w:r>
      <w:r w:rsidRPr="00AB6F27">
        <w:t xml:space="preserve">related AEs was approximately 10 to 15% higher in the </w:t>
      </w:r>
      <w:r w:rsidR="00BF1B0D">
        <w:t>pembrolizumab</w:t>
      </w:r>
      <w:r w:rsidRPr="00AB6F27">
        <w:t xml:space="preserve"> arm compared to </w:t>
      </w:r>
      <w:r w:rsidR="00CF643A">
        <w:t>placebo</w:t>
      </w:r>
      <w:r w:rsidRPr="00AB6F27">
        <w:t xml:space="preserve"> (</w:t>
      </w:r>
      <w:r w:rsidR="00CD2421" w:rsidRPr="00AB6F27">
        <w:t>RD</w:t>
      </w:r>
      <w:r w:rsidRPr="00AB6F27">
        <w:t xml:space="preserve">: all comers 13.2%; dMMR 15.3%; pMMR: 12.4%). Serious drug-related </w:t>
      </w:r>
      <w:r w:rsidR="00FD7634" w:rsidRPr="00AB6F27">
        <w:t>AEs</w:t>
      </w:r>
      <w:r w:rsidRPr="00AB6F27">
        <w:t xml:space="preserve"> were approximately 10% higher in the </w:t>
      </w:r>
      <w:r w:rsidR="00BF1B0D">
        <w:t>pembrolizumab</w:t>
      </w:r>
      <w:r w:rsidRPr="00AB6F27">
        <w:t xml:space="preserve"> arm compared to</w:t>
      </w:r>
      <w:r w:rsidR="00CF643A">
        <w:t xml:space="preserve"> the</w:t>
      </w:r>
      <w:r w:rsidRPr="00AB6F27">
        <w:t xml:space="preserve"> </w:t>
      </w:r>
      <w:r w:rsidR="00CF643A">
        <w:t>placebo</w:t>
      </w:r>
      <w:r w:rsidRPr="00AB6F27">
        <w:t xml:space="preserve"> </w:t>
      </w:r>
      <w:r w:rsidR="00CF643A">
        <w:t xml:space="preserve">arm </w:t>
      </w:r>
      <w:r w:rsidRPr="00AB6F27">
        <w:t>(</w:t>
      </w:r>
      <w:r w:rsidR="00FD7634" w:rsidRPr="00AB6F27">
        <w:t>RD</w:t>
      </w:r>
      <w:r w:rsidRPr="00AB6F27">
        <w:t xml:space="preserve">: all comers 10.1%; dMMR 10.9%; pMMR: 9.7%). The differences in AEs </w:t>
      </w:r>
      <w:r w:rsidR="00CF643A" w:rsidRPr="00AB6F27">
        <w:t>w</w:t>
      </w:r>
      <w:r w:rsidR="00CF643A">
        <w:t>ere</w:t>
      </w:r>
      <w:r w:rsidR="00CF643A" w:rsidRPr="00AB6F27">
        <w:t xml:space="preserve"> </w:t>
      </w:r>
      <w:r w:rsidRPr="00AB6F27">
        <w:t>generally comparable across the dMMR and pMMR population (≤5% difference).</w:t>
      </w:r>
    </w:p>
    <w:p w14:paraId="55AE8C90" w14:textId="1185E7A1" w:rsidR="00A3213F" w:rsidRPr="00AB6F27" w:rsidRDefault="00A3213F" w:rsidP="00A3213F">
      <w:pPr>
        <w:pStyle w:val="3-BodyText"/>
      </w:pPr>
      <w:r w:rsidRPr="00AB6F27">
        <w:t xml:space="preserve">In NRG-GY018, six patients who received at least one dose of study intervention in the </w:t>
      </w:r>
      <w:r w:rsidR="00BF1B0D">
        <w:t>pembrolizumab</w:t>
      </w:r>
      <w:r w:rsidRPr="00AB6F27">
        <w:t xml:space="preserve"> arm </w:t>
      </w:r>
      <w:r w:rsidR="00CF643A">
        <w:t>experienced</w:t>
      </w:r>
      <w:r w:rsidR="00CF643A" w:rsidRPr="00AB6F27">
        <w:t xml:space="preserve"> </w:t>
      </w:r>
      <w:r w:rsidRPr="00AB6F27">
        <w:t xml:space="preserve">a fatal AE (five in pMMR group and one in dMMR group) of which one in </w:t>
      </w:r>
      <w:r w:rsidR="00CF643A">
        <w:t xml:space="preserve">the </w:t>
      </w:r>
      <w:r w:rsidRPr="00AB6F27">
        <w:t>pMMR group was considered related to study treatment as assessed by the investigator (cardiac arrest). The updated safety data (</w:t>
      </w:r>
      <w:r w:rsidR="00437BAB" w:rsidRPr="00437BAB">
        <w:t>data cutoff</w:t>
      </w:r>
      <w:r w:rsidRPr="00AB6F27">
        <w:t xml:space="preserve"> of 18 August 2023) showed that a total of 10 patients with a fatal AE in the </w:t>
      </w:r>
      <w:r w:rsidR="00BF1B0D">
        <w:t>pembrolizumab</w:t>
      </w:r>
      <w:r w:rsidRPr="00AB6F27">
        <w:t xml:space="preserve"> group (four additional deaths from IA1) had been reported, of which three were considered drug related (two due to cardiac arrest and one due to sepsis).</w:t>
      </w:r>
    </w:p>
    <w:p w14:paraId="24535C36" w14:textId="70EFFF03" w:rsidR="00A3213F" w:rsidRPr="00AB6F27" w:rsidRDefault="00C75C13" w:rsidP="00A3213F">
      <w:pPr>
        <w:pStyle w:val="3-BodyText"/>
      </w:pPr>
      <w:r w:rsidRPr="00AB6F27">
        <w:fldChar w:fldCharType="begin"/>
      </w:r>
      <w:r w:rsidRPr="00AB6F27">
        <w:instrText xml:space="preserve"> REF _Ref196674961 \h </w:instrText>
      </w:r>
      <w:r w:rsidR="00AB6F27" w:rsidRPr="00AB6F27">
        <w:instrText xml:space="preserve"> \* MERGEFORMAT </w:instrText>
      </w:r>
      <w:r w:rsidRPr="00AB6F27">
        <w:fldChar w:fldCharType="separate"/>
      </w:r>
      <w:r w:rsidR="003359D3" w:rsidRPr="00AB6F27">
        <w:t xml:space="preserve">Table </w:t>
      </w:r>
      <w:r w:rsidR="003359D3">
        <w:rPr>
          <w:noProof/>
        </w:rPr>
        <w:t>11</w:t>
      </w:r>
      <w:r w:rsidRPr="00AB6F27">
        <w:fldChar w:fldCharType="end"/>
      </w:r>
      <w:r w:rsidRPr="00AB6F27">
        <w:t xml:space="preserve"> </w:t>
      </w:r>
      <w:r w:rsidR="00A3213F" w:rsidRPr="00AB6F27">
        <w:t xml:space="preserve">summarises serious adverse events (SAEs) occurring in &gt; 1% of patients in NRG-GY018 at IA1 in the all-comers population. </w:t>
      </w:r>
    </w:p>
    <w:p w14:paraId="08F44978" w14:textId="2692E8B5" w:rsidR="00A3213F" w:rsidRPr="00AB6F27" w:rsidRDefault="00A3213F" w:rsidP="00A3213F">
      <w:pPr>
        <w:pStyle w:val="Caption"/>
      </w:pPr>
      <w:bookmarkStart w:id="48" w:name="_Ref196674961"/>
      <w:r w:rsidRPr="00AB6F27">
        <w:lastRenderedPageBreak/>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11</w:t>
      </w:r>
      <w:r w:rsidR="00976099" w:rsidRPr="00AB6F27">
        <w:rPr>
          <w:noProof/>
        </w:rPr>
        <w:fldChar w:fldCharType="end"/>
      </w:r>
      <w:bookmarkEnd w:id="48"/>
      <w:r w:rsidRPr="00AB6F27">
        <w:t>: Most Common SAEs occurring in &gt;1% of patients in NRG-GY018 (IA1, all-comers)</w:t>
      </w:r>
    </w:p>
    <w:tbl>
      <w:tblPr>
        <w:tblStyle w:val="TableGrid"/>
        <w:tblW w:w="5000" w:type="pct"/>
        <w:tblLayout w:type="fixed"/>
        <w:tblLook w:val="04A0" w:firstRow="1" w:lastRow="0" w:firstColumn="1" w:lastColumn="0" w:noHBand="0" w:noVBand="1"/>
        <w:tblCaption w:val="Table 11: Most Common SAEs occurring in &gt;1% of patients in NRG-GY018 (IA1, all-comers)"/>
      </w:tblPr>
      <w:tblGrid>
        <w:gridCol w:w="3026"/>
        <w:gridCol w:w="1218"/>
        <w:gridCol w:w="1334"/>
        <w:gridCol w:w="1941"/>
        <w:gridCol w:w="1498"/>
      </w:tblGrid>
      <w:tr w:rsidR="00A3213F" w:rsidRPr="00AB6F27" w14:paraId="1CA9304C" w14:textId="77777777" w:rsidTr="007B5E49">
        <w:trPr>
          <w:cantSplit/>
        </w:trPr>
        <w:tc>
          <w:tcPr>
            <w:tcW w:w="3238" w:type="dxa"/>
            <w:vMerge w:val="restart"/>
            <w:noWrap/>
          </w:tcPr>
          <w:p w14:paraId="1EB33B91" w14:textId="77777777" w:rsidR="00A3213F" w:rsidRPr="00AB6F27" w:rsidRDefault="00A3213F" w:rsidP="007B5E49">
            <w:pPr>
              <w:keepNext/>
              <w:keepLines/>
              <w:widowControl w:val="0"/>
              <w:rPr>
                <w:rFonts w:ascii="Arial Narrow" w:hAnsi="Arial Narrow"/>
                <w:b/>
                <w:sz w:val="20"/>
                <w:szCs w:val="20"/>
              </w:rPr>
            </w:pPr>
            <w:r w:rsidRPr="00AB6F27">
              <w:rPr>
                <w:rFonts w:ascii="Arial Narrow" w:hAnsi="Arial Narrow"/>
                <w:b/>
                <w:sz w:val="20"/>
                <w:szCs w:val="20"/>
              </w:rPr>
              <w:t>N, (%)</w:t>
            </w:r>
          </w:p>
        </w:tc>
        <w:tc>
          <w:tcPr>
            <w:tcW w:w="2711" w:type="dxa"/>
            <w:gridSpan w:val="2"/>
            <w:noWrap/>
            <w:vAlign w:val="center"/>
          </w:tcPr>
          <w:p w14:paraId="5D00DB47"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b/>
                <w:sz w:val="20"/>
                <w:szCs w:val="20"/>
              </w:rPr>
              <w:t>NRG-GY018</w:t>
            </w:r>
          </w:p>
        </w:tc>
        <w:tc>
          <w:tcPr>
            <w:tcW w:w="2071" w:type="dxa"/>
            <w:vMerge w:val="restart"/>
            <w:vAlign w:val="center"/>
          </w:tcPr>
          <w:p w14:paraId="04E91614"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b/>
                <w:bCs/>
                <w:sz w:val="20"/>
                <w:szCs w:val="20"/>
              </w:rPr>
              <w:t>RR (95% CI)</w:t>
            </w:r>
          </w:p>
        </w:tc>
        <w:tc>
          <w:tcPr>
            <w:tcW w:w="1594" w:type="dxa"/>
            <w:vMerge w:val="restart"/>
            <w:vAlign w:val="center"/>
          </w:tcPr>
          <w:p w14:paraId="7D00A43A"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b/>
                <w:bCs/>
                <w:sz w:val="20"/>
                <w:szCs w:val="20"/>
              </w:rPr>
              <w:t>RD (95% CI)</w:t>
            </w:r>
          </w:p>
        </w:tc>
      </w:tr>
      <w:tr w:rsidR="00A3213F" w:rsidRPr="00AB6F27" w14:paraId="6FB5C3BD" w14:textId="77777777" w:rsidTr="007B5E49">
        <w:trPr>
          <w:cantSplit/>
        </w:trPr>
        <w:tc>
          <w:tcPr>
            <w:tcW w:w="3238" w:type="dxa"/>
            <w:vMerge/>
            <w:noWrap/>
          </w:tcPr>
          <w:p w14:paraId="21AE8464" w14:textId="77777777" w:rsidR="00A3213F" w:rsidRPr="00AB6F27" w:rsidRDefault="00A3213F" w:rsidP="007B5E49">
            <w:pPr>
              <w:keepNext/>
              <w:keepLines/>
              <w:widowControl w:val="0"/>
              <w:rPr>
                <w:rFonts w:ascii="Arial Narrow" w:hAnsi="Arial Narrow"/>
                <w:b/>
                <w:sz w:val="20"/>
                <w:szCs w:val="20"/>
              </w:rPr>
            </w:pPr>
          </w:p>
        </w:tc>
        <w:tc>
          <w:tcPr>
            <w:tcW w:w="1293" w:type="dxa"/>
            <w:noWrap/>
            <w:vAlign w:val="center"/>
          </w:tcPr>
          <w:p w14:paraId="3F19AD52"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b/>
                <w:sz w:val="20"/>
                <w:szCs w:val="20"/>
              </w:rPr>
              <w:t>PEM+PBC</w:t>
            </w:r>
            <w:r w:rsidRPr="00AB6F27">
              <w:rPr>
                <w:rFonts w:ascii="Arial Narrow" w:hAnsi="Arial Narrow"/>
                <w:b/>
                <w:sz w:val="20"/>
                <w:szCs w:val="20"/>
              </w:rPr>
              <w:br/>
              <w:t>N=382</w:t>
            </w:r>
          </w:p>
        </w:tc>
        <w:tc>
          <w:tcPr>
            <w:tcW w:w="1418" w:type="dxa"/>
            <w:vAlign w:val="center"/>
          </w:tcPr>
          <w:p w14:paraId="571AF715"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b/>
                <w:sz w:val="20"/>
                <w:szCs w:val="20"/>
              </w:rPr>
              <w:t>PBO+PBC</w:t>
            </w:r>
            <w:r w:rsidRPr="00AB6F27">
              <w:rPr>
                <w:rFonts w:ascii="Arial Narrow" w:hAnsi="Arial Narrow"/>
                <w:b/>
                <w:sz w:val="20"/>
                <w:szCs w:val="20"/>
              </w:rPr>
              <w:br/>
              <w:t>N=377</w:t>
            </w:r>
          </w:p>
        </w:tc>
        <w:tc>
          <w:tcPr>
            <w:tcW w:w="2071" w:type="dxa"/>
            <w:vMerge/>
          </w:tcPr>
          <w:p w14:paraId="4085C7BB" w14:textId="77777777" w:rsidR="00A3213F" w:rsidRPr="00AB6F27" w:rsidRDefault="00A3213F" w:rsidP="007B5E49">
            <w:pPr>
              <w:keepNext/>
              <w:keepLines/>
              <w:widowControl w:val="0"/>
              <w:jc w:val="center"/>
              <w:rPr>
                <w:rFonts w:ascii="Arial Narrow" w:hAnsi="Arial Narrow"/>
                <w:b/>
                <w:sz w:val="20"/>
                <w:szCs w:val="20"/>
              </w:rPr>
            </w:pPr>
          </w:p>
        </w:tc>
        <w:tc>
          <w:tcPr>
            <w:tcW w:w="1594" w:type="dxa"/>
            <w:vMerge/>
          </w:tcPr>
          <w:p w14:paraId="674C285F" w14:textId="77777777" w:rsidR="00A3213F" w:rsidRPr="00AB6F27" w:rsidRDefault="00A3213F" w:rsidP="007B5E49">
            <w:pPr>
              <w:keepNext/>
              <w:keepLines/>
              <w:widowControl w:val="0"/>
              <w:jc w:val="center"/>
              <w:rPr>
                <w:rFonts w:ascii="Arial Narrow" w:hAnsi="Arial Narrow"/>
                <w:b/>
                <w:sz w:val="20"/>
                <w:szCs w:val="20"/>
              </w:rPr>
            </w:pPr>
          </w:p>
        </w:tc>
      </w:tr>
      <w:tr w:rsidR="00A3213F" w:rsidRPr="00AB6F27" w14:paraId="120E037B" w14:textId="77777777" w:rsidTr="007B5E49">
        <w:trPr>
          <w:cantSplit/>
        </w:trPr>
        <w:tc>
          <w:tcPr>
            <w:tcW w:w="3238" w:type="dxa"/>
            <w:noWrap/>
          </w:tcPr>
          <w:p w14:paraId="2B2313D6" w14:textId="77777777" w:rsidR="00A3213F" w:rsidRPr="00AB6F27" w:rsidRDefault="00A3213F" w:rsidP="007B5E49">
            <w:pPr>
              <w:keepNext/>
              <w:keepLines/>
              <w:widowControl w:val="0"/>
              <w:rPr>
                <w:rFonts w:ascii="Arial Narrow" w:hAnsi="Arial Narrow"/>
                <w:b/>
                <w:sz w:val="20"/>
                <w:szCs w:val="20"/>
              </w:rPr>
            </w:pPr>
            <w:r w:rsidRPr="00AB6F27">
              <w:rPr>
                <w:rFonts w:ascii="Arial Narrow" w:hAnsi="Arial Narrow"/>
                <w:b/>
                <w:sz w:val="20"/>
                <w:szCs w:val="20"/>
              </w:rPr>
              <w:t>Any</w:t>
            </w:r>
          </w:p>
        </w:tc>
        <w:tc>
          <w:tcPr>
            <w:tcW w:w="1293" w:type="dxa"/>
            <w:noWrap/>
            <w:vAlign w:val="bottom"/>
          </w:tcPr>
          <w:p w14:paraId="7BBCBB0D"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sz w:val="20"/>
                <w:szCs w:val="20"/>
              </w:rPr>
              <w:t>132 (34.6)</w:t>
            </w:r>
          </w:p>
        </w:tc>
        <w:tc>
          <w:tcPr>
            <w:tcW w:w="1418" w:type="dxa"/>
            <w:vAlign w:val="bottom"/>
          </w:tcPr>
          <w:p w14:paraId="1260D86A" w14:textId="77777777" w:rsidR="00A3213F" w:rsidRPr="00AB6F27" w:rsidRDefault="00A3213F" w:rsidP="007B5E49">
            <w:pPr>
              <w:keepNext/>
              <w:keepLines/>
              <w:widowControl w:val="0"/>
              <w:jc w:val="center"/>
              <w:rPr>
                <w:rFonts w:ascii="Arial Narrow" w:hAnsi="Arial Narrow"/>
                <w:b/>
                <w:sz w:val="20"/>
                <w:szCs w:val="20"/>
              </w:rPr>
            </w:pPr>
            <w:r w:rsidRPr="00AB6F27">
              <w:rPr>
                <w:rFonts w:ascii="Arial Narrow" w:hAnsi="Arial Narrow"/>
                <w:sz w:val="20"/>
                <w:szCs w:val="20"/>
              </w:rPr>
              <w:t>73 (19.4)</w:t>
            </w:r>
          </w:p>
        </w:tc>
        <w:tc>
          <w:tcPr>
            <w:tcW w:w="2071" w:type="dxa"/>
            <w:vAlign w:val="bottom"/>
          </w:tcPr>
          <w:p w14:paraId="285B0332" w14:textId="77777777" w:rsidR="00A3213F" w:rsidRPr="00AB6F27" w:rsidRDefault="00A3213F" w:rsidP="007B5E49">
            <w:pPr>
              <w:keepNext/>
              <w:keepLines/>
              <w:widowControl w:val="0"/>
              <w:jc w:val="center"/>
              <w:rPr>
                <w:rFonts w:ascii="Arial Narrow" w:hAnsi="Arial Narrow"/>
                <w:b/>
                <w:bCs/>
                <w:sz w:val="20"/>
                <w:szCs w:val="20"/>
              </w:rPr>
            </w:pPr>
            <w:r w:rsidRPr="00AB6F27">
              <w:rPr>
                <w:rFonts w:ascii="Arial Narrow" w:hAnsi="Arial Narrow"/>
                <w:b/>
                <w:bCs/>
                <w:sz w:val="20"/>
                <w:szCs w:val="20"/>
              </w:rPr>
              <w:t>1.78 (1.39, 2.29)</w:t>
            </w:r>
          </w:p>
        </w:tc>
        <w:tc>
          <w:tcPr>
            <w:tcW w:w="1594" w:type="dxa"/>
            <w:vAlign w:val="bottom"/>
          </w:tcPr>
          <w:p w14:paraId="469660D7" w14:textId="77777777" w:rsidR="00A3213F" w:rsidRPr="00AB6F27" w:rsidRDefault="00A3213F" w:rsidP="007B5E49">
            <w:pPr>
              <w:keepNext/>
              <w:keepLines/>
              <w:widowControl w:val="0"/>
              <w:jc w:val="center"/>
              <w:rPr>
                <w:rFonts w:ascii="Arial Narrow" w:hAnsi="Arial Narrow"/>
                <w:b/>
                <w:bCs/>
                <w:sz w:val="20"/>
                <w:szCs w:val="20"/>
              </w:rPr>
            </w:pPr>
            <w:r w:rsidRPr="00AB6F27">
              <w:rPr>
                <w:rFonts w:ascii="Arial Narrow" w:hAnsi="Arial Narrow"/>
                <w:b/>
                <w:bCs/>
                <w:sz w:val="20"/>
                <w:szCs w:val="20"/>
              </w:rPr>
              <w:t>15.2 (9.0, 21.4)</w:t>
            </w:r>
          </w:p>
        </w:tc>
      </w:tr>
      <w:tr w:rsidR="00A3213F" w:rsidRPr="00AB6F27" w14:paraId="4F75ED05" w14:textId="77777777" w:rsidTr="007B5E49">
        <w:trPr>
          <w:cantSplit/>
        </w:trPr>
        <w:tc>
          <w:tcPr>
            <w:tcW w:w="3238" w:type="dxa"/>
            <w:noWrap/>
          </w:tcPr>
          <w:p w14:paraId="3EA84453"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 xml:space="preserve">Anaemia </w:t>
            </w:r>
          </w:p>
        </w:tc>
        <w:tc>
          <w:tcPr>
            <w:tcW w:w="1293" w:type="dxa"/>
            <w:noWrap/>
            <w:vAlign w:val="bottom"/>
          </w:tcPr>
          <w:p w14:paraId="5851F84C"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16 (4.2)</w:t>
            </w:r>
          </w:p>
        </w:tc>
        <w:tc>
          <w:tcPr>
            <w:tcW w:w="1418" w:type="dxa"/>
            <w:vAlign w:val="bottom"/>
          </w:tcPr>
          <w:p w14:paraId="5BAF54C6"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13 (3.4)</w:t>
            </w:r>
          </w:p>
        </w:tc>
        <w:tc>
          <w:tcPr>
            <w:tcW w:w="2071" w:type="dxa"/>
            <w:vAlign w:val="bottom"/>
          </w:tcPr>
          <w:p w14:paraId="70540F9C"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1.21 (0.59, 2.49)</w:t>
            </w:r>
          </w:p>
        </w:tc>
        <w:tc>
          <w:tcPr>
            <w:tcW w:w="1594" w:type="dxa"/>
            <w:vAlign w:val="bottom"/>
          </w:tcPr>
          <w:p w14:paraId="63E7D226"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0.7 (-2.0, 3.5)</w:t>
            </w:r>
          </w:p>
        </w:tc>
      </w:tr>
      <w:tr w:rsidR="00A3213F" w:rsidRPr="00AB6F27" w14:paraId="2B3A75D4" w14:textId="77777777" w:rsidTr="007B5E49">
        <w:trPr>
          <w:cantSplit/>
        </w:trPr>
        <w:tc>
          <w:tcPr>
            <w:tcW w:w="3238" w:type="dxa"/>
            <w:noWrap/>
          </w:tcPr>
          <w:p w14:paraId="7A12C443"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Febrile neutropenia</w:t>
            </w:r>
          </w:p>
        </w:tc>
        <w:tc>
          <w:tcPr>
            <w:tcW w:w="1293" w:type="dxa"/>
            <w:noWrap/>
            <w:vAlign w:val="bottom"/>
          </w:tcPr>
          <w:p w14:paraId="3D002A50"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11 (2.9)</w:t>
            </w:r>
          </w:p>
        </w:tc>
        <w:tc>
          <w:tcPr>
            <w:tcW w:w="1418" w:type="dxa"/>
            <w:vAlign w:val="bottom"/>
          </w:tcPr>
          <w:p w14:paraId="4A640F29"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5 (1.3)</w:t>
            </w:r>
          </w:p>
        </w:tc>
        <w:tc>
          <w:tcPr>
            <w:tcW w:w="2071" w:type="dxa"/>
            <w:vAlign w:val="bottom"/>
          </w:tcPr>
          <w:p w14:paraId="7BA67866"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2.17 (0.76, 6.19)</w:t>
            </w:r>
          </w:p>
        </w:tc>
        <w:tc>
          <w:tcPr>
            <w:tcW w:w="1594" w:type="dxa"/>
            <w:vAlign w:val="bottom"/>
          </w:tcPr>
          <w:p w14:paraId="3C65DF76"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1.6 (-0.5, 3.6)</w:t>
            </w:r>
          </w:p>
        </w:tc>
      </w:tr>
      <w:tr w:rsidR="00A3213F" w:rsidRPr="00AB6F27" w14:paraId="54FE49EA" w14:textId="77777777" w:rsidTr="007B5E49">
        <w:trPr>
          <w:cantSplit/>
        </w:trPr>
        <w:tc>
          <w:tcPr>
            <w:tcW w:w="3238" w:type="dxa"/>
            <w:noWrap/>
          </w:tcPr>
          <w:p w14:paraId="7CC7162F"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Urinary tract infection</w:t>
            </w:r>
          </w:p>
        </w:tc>
        <w:tc>
          <w:tcPr>
            <w:tcW w:w="1293" w:type="dxa"/>
            <w:noWrap/>
            <w:vAlign w:val="bottom"/>
          </w:tcPr>
          <w:p w14:paraId="7CAB16E9"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8 (2.1)</w:t>
            </w:r>
          </w:p>
        </w:tc>
        <w:tc>
          <w:tcPr>
            <w:tcW w:w="1418" w:type="dxa"/>
            <w:vAlign w:val="bottom"/>
          </w:tcPr>
          <w:p w14:paraId="4A9AE301"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6 (1.6)</w:t>
            </w:r>
          </w:p>
        </w:tc>
        <w:tc>
          <w:tcPr>
            <w:tcW w:w="2071" w:type="dxa"/>
            <w:vAlign w:val="bottom"/>
          </w:tcPr>
          <w:p w14:paraId="330368AB"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1.32 (0.46, 3.76)</w:t>
            </w:r>
          </w:p>
        </w:tc>
        <w:tc>
          <w:tcPr>
            <w:tcW w:w="1594" w:type="dxa"/>
            <w:vAlign w:val="bottom"/>
          </w:tcPr>
          <w:p w14:paraId="24D330A7"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0.5 (-1.4, 2.4)</w:t>
            </w:r>
          </w:p>
        </w:tc>
      </w:tr>
      <w:tr w:rsidR="00A3213F" w:rsidRPr="00AB6F27" w14:paraId="367D5738" w14:textId="77777777" w:rsidTr="007B5E49">
        <w:trPr>
          <w:cantSplit/>
        </w:trPr>
        <w:tc>
          <w:tcPr>
            <w:tcW w:w="3238" w:type="dxa"/>
            <w:noWrap/>
          </w:tcPr>
          <w:p w14:paraId="3A666848" w14:textId="77777777" w:rsidR="00A3213F" w:rsidRPr="00AB6F27" w:rsidRDefault="00A3213F" w:rsidP="00703B81">
            <w:pPr>
              <w:keepNext/>
              <w:keepLines/>
              <w:widowControl w:val="0"/>
              <w:ind w:left="174"/>
              <w:jc w:val="left"/>
              <w:rPr>
                <w:rFonts w:ascii="Arial Narrow" w:hAnsi="Arial Narrow"/>
                <w:b/>
                <w:sz w:val="20"/>
                <w:szCs w:val="20"/>
              </w:rPr>
            </w:pPr>
            <w:r w:rsidRPr="00AB6F27">
              <w:rPr>
                <w:rFonts w:ascii="Arial Narrow" w:hAnsi="Arial Narrow"/>
                <w:sz w:val="20"/>
                <w:szCs w:val="20"/>
              </w:rPr>
              <w:t>White blood cell decreased/neutropenia</w:t>
            </w:r>
          </w:p>
        </w:tc>
        <w:tc>
          <w:tcPr>
            <w:tcW w:w="1293" w:type="dxa"/>
            <w:noWrap/>
            <w:vAlign w:val="bottom"/>
          </w:tcPr>
          <w:p w14:paraId="05BB5692"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8 (2.1)</w:t>
            </w:r>
          </w:p>
        </w:tc>
        <w:tc>
          <w:tcPr>
            <w:tcW w:w="1418" w:type="dxa"/>
            <w:vAlign w:val="bottom"/>
          </w:tcPr>
          <w:p w14:paraId="7EF4CC4B"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4 (1.1)</w:t>
            </w:r>
          </w:p>
        </w:tc>
        <w:tc>
          <w:tcPr>
            <w:tcW w:w="2071" w:type="dxa"/>
            <w:vAlign w:val="bottom"/>
          </w:tcPr>
          <w:p w14:paraId="104E4E5D"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1.97 (0.60, 6.50)</w:t>
            </w:r>
          </w:p>
        </w:tc>
        <w:tc>
          <w:tcPr>
            <w:tcW w:w="1594" w:type="dxa"/>
            <w:vAlign w:val="bottom"/>
          </w:tcPr>
          <w:p w14:paraId="2720F5AB"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1.0 (-0.7, 2.8)</w:t>
            </w:r>
          </w:p>
        </w:tc>
      </w:tr>
      <w:tr w:rsidR="00A3213F" w:rsidRPr="00AB6F27" w14:paraId="6E3529DD" w14:textId="77777777" w:rsidTr="007B5E49">
        <w:trPr>
          <w:cantSplit/>
        </w:trPr>
        <w:tc>
          <w:tcPr>
            <w:tcW w:w="3238" w:type="dxa"/>
            <w:noWrap/>
          </w:tcPr>
          <w:p w14:paraId="0187DEBB"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 xml:space="preserve">Dyspnoea  </w:t>
            </w:r>
          </w:p>
        </w:tc>
        <w:tc>
          <w:tcPr>
            <w:tcW w:w="1293" w:type="dxa"/>
            <w:noWrap/>
            <w:vAlign w:val="bottom"/>
          </w:tcPr>
          <w:p w14:paraId="5478682D"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7 (1.8)</w:t>
            </w:r>
          </w:p>
        </w:tc>
        <w:tc>
          <w:tcPr>
            <w:tcW w:w="1418" w:type="dxa"/>
            <w:vAlign w:val="bottom"/>
          </w:tcPr>
          <w:p w14:paraId="2A4161B0"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w:t>
            </w:r>
          </w:p>
        </w:tc>
        <w:tc>
          <w:tcPr>
            <w:tcW w:w="2071" w:type="dxa"/>
            <w:vAlign w:val="bottom"/>
          </w:tcPr>
          <w:p w14:paraId="294D6BFD"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w:t>
            </w:r>
          </w:p>
        </w:tc>
        <w:tc>
          <w:tcPr>
            <w:tcW w:w="1594" w:type="dxa"/>
            <w:vAlign w:val="bottom"/>
          </w:tcPr>
          <w:p w14:paraId="1A349497" w14:textId="77777777" w:rsidR="00A3213F" w:rsidRPr="00AB6F27" w:rsidRDefault="00A3213F" w:rsidP="007B5E49">
            <w:pPr>
              <w:keepNext/>
              <w:keepLines/>
              <w:widowControl w:val="0"/>
              <w:jc w:val="center"/>
              <w:rPr>
                <w:rFonts w:ascii="Arial Narrow" w:hAnsi="Arial Narrow"/>
                <w:b/>
                <w:bCs/>
                <w:sz w:val="20"/>
                <w:szCs w:val="20"/>
              </w:rPr>
            </w:pPr>
            <w:r w:rsidRPr="00AB6F27">
              <w:rPr>
                <w:rFonts w:ascii="Arial Narrow" w:hAnsi="Arial Narrow"/>
                <w:b/>
                <w:bCs/>
                <w:sz w:val="20"/>
                <w:szCs w:val="20"/>
              </w:rPr>
              <w:t>1.8 (0.5, 3.2)</w:t>
            </w:r>
          </w:p>
        </w:tc>
      </w:tr>
      <w:tr w:rsidR="00A3213F" w:rsidRPr="00AB6F27" w14:paraId="73E81CB0" w14:textId="77777777" w:rsidTr="007B5E49">
        <w:trPr>
          <w:cantSplit/>
        </w:trPr>
        <w:tc>
          <w:tcPr>
            <w:tcW w:w="3238" w:type="dxa"/>
            <w:noWrap/>
          </w:tcPr>
          <w:p w14:paraId="0893E84B"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Hyperglycaemia</w:t>
            </w:r>
          </w:p>
        </w:tc>
        <w:tc>
          <w:tcPr>
            <w:tcW w:w="1293" w:type="dxa"/>
            <w:noWrap/>
            <w:vAlign w:val="bottom"/>
          </w:tcPr>
          <w:p w14:paraId="2D433307"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7 (1.8)</w:t>
            </w:r>
          </w:p>
        </w:tc>
        <w:tc>
          <w:tcPr>
            <w:tcW w:w="1418" w:type="dxa"/>
            <w:vAlign w:val="bottom"/>
          </w:tcPr>
          <w:p w14:paraId="06096CB6"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w:t>
            </w:r>
          </w:p>
        </w:tc>
        <w:tc>
          <w:tcPr>
            <w:tcW w:w="2071" w:type="dxa"/>
            <w:vAlign w:val="bottom"/>
          </w:tcPr>
          <w:p w14:paraId="329C3B70"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w:t>
            </w:r>
          </w:p>
        </w:tc>
        <w:tc>
          <w:tcPr>
            <w:tcW w:w="1594" w:type="dxa"/>
            <w:vAlign w:val="bottom"/>
          </w:tcPr>
          <w:p w14:paraId="2EA10FCE" w14:textId="77777777" w:rsidR="00A3213F" w:rsidRPr="00AB6F27" w:rsidRDefault="00A3213F" w:rsidP="007B5E49">
            <w:pPr>
              <w:keepNext/>
              <w:keepLines/>
              <w:widowControl w:val="0"/>
              <w:jc w:val="center"/>
              <w:rPr>
                <w:rFonts w:ascii="Arial Narrow" w:hAnsi="Arial Narrow"/>
                <w:b/>
                <w:bCs/>
                <w:sz w:val="20"/>
                <w:szCs w:val="20"/>
              </w:rPr>
            </w:pPr>
            <w:r w:rsidRPr="00AB6F27">
              <w:rPr>
                <w:rFonts w:ascii="Arial Narrow" w:hAnsi="Arial Narrow"/>
                <w:b/>
                <w:bCs/>
                <w:sz w:val="20"/>
                <w:szCs w:val="20"/>
              </w:rPr>
              <w:t>1.8 (0.5, 3.2)</w:t>
            </w:r>
          </w:p>
        </w:tc>
      </w:tr>
      <w:tr w:rsidR="00A3213F" w:rsidRPr="00AB6F27" w14:paraId="12E86BFD" w14:textId="77777777" w:rsidTr="007B5E49">
        <w:trPr>
          <w:cantSplit/>
        </w:trPr>
        <w:tc>
          <w:tcPr>
            <w:tcW w:w="3238" w:type="dxa"/>
            <w:noWrap/>
          </w:tcPr>
          <w:p w14:paraId="2AA17763"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Neutrophil count decreased</w:t>
            </w:r>
          </w:p>
        </w:tc>
        <w:tc>
          <w:tcPr>
            <w:tcW w:w="1293" w:type="dxa"/>
            <w:noWrap/>
            <w:vAlign w:val="bottom"/>
          </w:tcPr>
          <w:p w14:paraId="0F6DD6BA"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7 (1.8)</w:t>
            </w:r>
          </w:p>
        </w:tc>
        <w:tc>
          <w:tcPr>
            <w:tcW w:w="1418" w:type="dxa"/>
            <w:vAlign w:val="bottom"/>
          </w:tcPr>
          <w:p w14:paraId="03D3552C"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7 (1.9)</w:t>
            </w:r>
          </w:p>
        </w:tc>
        <w:tc>
          <w:tcPr>
            <w:tcW w:w="2071" w:type="dxa"/>
            <w:vAlign w:val="bottom"/>
          </w:tcPr>
          <w:p w14:paraId="5D7723EB"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0.99 (0.35, 2.79)</w:t>
            </w:r>
          </w:p>
        </w:tc>
        <w:tc>
          <w:tcPr>
            <w:tcW w:w="1594" w:type="dxa"/>
            <w:vAlign w:val="bottom"/>
          </w:tcPr>
          <w:p w14:paraId="3EA9CB48"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0.0 (-1.9, 1.9)</w:t>
            </w:r>
          </w:p>
        </w:tc>
      </w:tr>
      <w:tr w:rsidR="00A3213F" w:rsidRPr="00AB6F27" w14:paraId="2C7545F6" w14:textId="77777777" w:rsidTr="007B5E49">
        <w:trPr>
          <w:cantSplit/>
        </w:trPr>
        <w:tc>
          <w:tcPr>
            <w:tcW w:w="3238" w:type="dxa"/>
            <w:noWrap/>
          </w:tcPr>
          <w:p w14:paraId="798392C9"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Pulmonary embolism</w:t>
            </w:r>
          </w:p>
        </w:tc>
        <w:tc>
          <w:tcPr>
            <w:tcW w:w="1293" w:type="dxa"/>
            <w:noWrap/>
            <w:vAlign w:val="bottom"/>
          </w:tcPr>
          <w:p w14:paraId="47A32CF8"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7 (1.8)</w:t>
            </w:r>
          </w:p>
        </w:tc>
        <w:tc>
          <w:tcPr>
            <w:tcW w:w="1418" w:type="dxa"/>
            <w:vAlign w:val="bottom"/>
          </w:tcPr>
          <w:p w14:paraId="5A00FAFC"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8 (2.1)</w:t>
            </w:r>
          </w:p>
        </w:tc>
        <w:tc>
          <w:tcPr>
            <w:tcW w:w="2071" w:type="dxa"/>
            <w:vAlign w:val="bottom"/>
          </w:tcPr>
          <w:p w14:paraId="72A98E07"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0.86 (0.32, 2.36)</w:t>
            </w:r>
          </w:p>
        </w:tc>
        <w:tc>
          <w:tcPr>
            <w:tcW w:w="1594" w:type="dxa"/>
            <w:vAlign w:val="bottom"/>
          </w:tcPr>
          <w:p w14:paraId="6DBAA5BD"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-0.3 (-2.3, 1.7)</w:t>
            </w:r>
          </w:p>
        </w:tc>
      </w:tr>
      <w:tr w:rsidR="00A3213F" w:rsidRPr="00AB6F27" w14:paraId="66E68022" w14:textId="77777777" w:rsidTr="007B5E49">
        <w:trPr>
          <w:cantSplit/>
        </w:trPr>
        <w:tc>
          <w:tcPr>
            <w:tcW w:w="3238" w:type="dxa"/>
            <w:noWrap/>
          </w:tcPr>
          <w:p w14:paraId="2A09C36A"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Sepsis</w:t>
            </w:r>
          </w:p>
        </w:tc>
        <w:tc>
          <w:tcPr>
            <w:tcW w:w="1293" w:type="dxa"/>
            <w:noWrap/>
            <w:vAlign w:val="bottom"/>
          </w:tcPr>
          <w:p w14:paraId="539A7334"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7 (1.8)</w:t>
            </w:r>
          </w:p>
        </w:tc>
        <w:tc>
          <w:tcPr>
            <w:tcW w:w="1418" w:type="dxa"/>
            <w:vAlign w:val="bottom"/>
          </w:tcPr>
          <w:p w14:paraId="6742667C"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5 (1.3)</w:t>
            </w:r>
          </w:p>
        </w:tc>
        <w:tc>
          <w:tcPr>
            <w:tcW w:w="2071" w:type="dxa"/>
            <w:vAlign w:val="bottom"/>
          </w:tcPr>
          <w:p w14:paraId="79627FA8"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1.38 (0.44, 4.32)</w:t>
            </w:r>
          </w:p>
        </w:tc>
        <w:tc>
          <w:tcPr>
            <w:tcW w:w="1594" w:type="dxa"/>
            <w:vAlign w:val="bottom"/>
          </w:tcPr>
          <w:p w14:paraId="52C83D5A"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0.5 (-1.3, 2.3)</w:t>
            </w:r>
          </w:p>
        </w:tc>
      </w:tr>
      <w:tr w:rsidR="00A3213F" w:rsidRPr="00AB6F27" w14:paraId="46C7CDDC" w14:textId="77777777" w:rsidTr="007B5E49">
        <w:trPr>
          <w:cantSplit/>
        </w:trPr>
        <w:tc>
          <w:tcPr>
            <w:tcW w:w="3238" w:type="dxa"/>
            <w:noWrap/>
          </w:tcPr>
          <w:p w14:paraId="33CE7B68"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COVID-19</w:t>
            </w:r>
          </w:p>
        </w:tc>
        <w:tc>
          <w:tcPr>
            <w:tcW w:w="1293" w:type="dxa"/>
            <w:noWrap/>
            <w:vAlign w:val="bottom"/>
          </w:tcPr>
          <w:p w14:paraId="13612392"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6 (1.6)</w:t>
            </w:r>
          </w:p>
        </w:tc>
        <w:tc>
          <w:tcPr>
            <w:tcW w:w="1418" w:type="dxa"/>
            <w:vAlign w:val="bottom"/>
          </w:tcPr>
          <w:p w14:paraId="109E42E7"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w:t>
            </w:r>
          </w:p>
        </w:tc>
        <w:tc>
          <w:tcPr>
            <w:tcW w:w="2071" w:type="dxa"/>
            <w:vAlign w:val="bottom"/>
          </w:tcPr>
          <w:p w14:paraId="22794780"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w:t>
            </w:r>
          </w:p>
        </w:tc>
        <w:tc>
          <w:tcPr>
            <w:tcW w:w="1594" w:type="dxa"/>
            <w:vAlign w:val="bottom"/>
          </w:tcPr>
          <w:p w14:paraId="21B8BA17" w14:textId="77777777" w:rsidR="00A3213F" w:rsidRPr="00AB6F27" w:rsidRDefault="00A3213F" w:rsidP="007B5E49">
            <w:pPr>
              <w:keepNext/>
              <w:keepLines/>
              <w:widowControl w:val="0"/>
              <w:jc w:val="center"/>
              <w:rPr>
                <w:rFonts w:ascii="Arial Narrow" w:hAnsi="Arial Narrow"/>
                <w:b/>
                <w:bCs/>
                <w:sz w:val="20"/>
                <w:szCs w:val="20"/>
              </w:rPr>
            </w:pPr>
            <w:r w:rsidRPr="00AB6F27">
              <w:rPr>
                <w:rFonts w:ascii="Arial Narrow" w:hAnsi="Arial Narrow"/>
                <w:b/>
                <w:bCs/>
                <w:sz w:val="20"/>
                <w:szCs w:val="20"/>
              </w:rPr>
              <w:t>1.6 (0.3, 2.8)</w:t>
            </w:r>
          </w:p>
        </w:tc>
      </w:tr>
      <w:tr w:rsidR="00A3213F" w:rsidRPr="00AB6F27" w14:paraId="757B09A8" w14:textId="77777777" w:rsidTr="007B5E49">
        <w:trPr>
          <w:cantSplit/>
        </w:trPr>
        <w:tc>
          <w:tcPr>
            <w:tcW w:w="3238" w:type="dxa"/>
            <w:noWrap/>
          </w:tcPr>
          <w:p w14:paraId="7A315207"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Diarrhoea</w:t>
            </w:r>
          </w:p>
        </w:tc>
        <w:tc>
          <w:tcPr>
            <w:tcW w:w="1293" w:type="dxa"/>
            <w:noWrap/>
            <w:vAlign w:val="bottom"/>
          </w:tcPr>
          <w:p w14:paraId="5124BFF7"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6 (1.6)</w:t>
            </w:r>
          </w:p>
        </w:tc>
        <w:tc>
          <w:tcPr>
            <w:tcW w:w="1418" w:type="dxa"/>
            <w:vAlign w:val="bottom"/>
          </w:tcPr>
          <w:p w14:paraId="09E55674"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3 (0.8)</w:t>
            </w:r>
          </w:p>
        </w:tc>
        <w:tc>
          <w:tcPr>
            <w:tcW w:w="2071" w:type="dxa"/>
            <w:vAlign w:val="bottom"/>
          </w:tcPr>
          <w:p w14:paraId="3E324CF3"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1.97 (0.50, 7.83)</w:t>
            </w:r>
          </w:p>
        </w:tc>
        <w:tc>
          <w:tcPr>
            <w:tcW w:w="1594" w:type="dxa"/>
            <w:vAlign w:val="bottom"/>
          </w:tcPr>
          <w:p w14:paraId="2ABED195"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0.8 (-0.8, 2.3)</w:t>
            </w:r>
          </w:p>
        </w:tc>
      </w:tr>
      <w:tr w:rsidR="00A3213F" w:rsidRPr="00AB6F27" w14:paraId="210E71F0" w14:textId="77777777" w:rsidTr="007B5E49">
        <w:trPr>
          <w:cantSplit/>
        </w:trPr>
        <w:tc>
          <w:tcPr>
            <w:tcW w:w="3238" w:type="dxa"/>
            <w:noWrap/>
          </w:tcPr>
          <w:p w14:paraId="0C2E6BA5" w14:textId="77777777" w:rsidR="00A3213F" w:rsidRPr="00AB6F27" w:rsidRDefault="00A3213F" w:rsidP="007B5E49">
            <w:pPr>
              <w:keepNext/>
              <w:keepLines/>
              <w:widowControl w:val="0"/>
              <w:ind w:left="174"/>
              <w:rPr>
                <w:rFonts w:ascii="Arial Narrow" w:hAnsi="Arial Narrow"/>
                <w:sz w:val="20"/>
                <w:szCs w:val="20"/>
              </w:rPr>
            </w:pPr>
            <w:r w:rsidRPr="00AB6F27">
              <w:rPr>
                <w:rFonts w:ascii="Arial Narrow" w:hAnsi="Arial Narrow"/>
                <w:sz w:val="20"/>
                <w:szCs w:val="20"/>
              </w:rPr>
              <w:t>Embolism</w:t>
            </w:r>
          </w:p>
        </w:tc>
        <w:tc>
          <w:tcPr>
            <w:tcW w:w="1293" w:type="dxa"/>
            <w:noWrap/>
            <w:vAlign w:val="bottom"/>
          </w:tcPr>
          <w:p w14:paraId="6BE444EC"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6 (1.6)</w:t>
            </w:r>
          </w:p>
        </w:tc>
        <w:tc>
          <w:tcPr>
            <w:tcW w:w="1418" w:type="dxa"/>
            <w:vAlign w:val="bottom"/>
          </w:tcPr>
          <w:p w14:paraId="2F35037A"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 (0.3)</w:t>
            </w:r>
          </w:p>
        </w:tc>
        <w:tc>
          <w:tcPr>
            <w:tcW w:w="2071" w:type="dxa"/>
            <w:vAlign w:val="bottom"/>
          </w:tcPr>
          <w:p w14:paraId="1FD32EF9"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5.92 (0.72, 48.95)</w:t>
            </w:r>
          </w:p>
        </w:tc>
        <w:tc>
          <w:tcPr>
            <w:tcW w:w="1594" w:type="dxa"/>
            <w:vAlign w:val="bottom"/>
          </w:tcPr>
          <w:p w14:paraId="03BDBD29" w14:textId="77777777" w:rsidR="00A3213F" w:rsidRPr="00AB6F27" w:rsidRDefault="00A3213F" w:rsidP="007B5E49">
            <w:pPr>
              <w:keepNext/>
              <w:keepLines/>
              <w:widowControl w:val="0"/>
              <w:jc w:val="center"/>
              <w:rPr>
                <w:rFonts w:ascii="Arial Narrow" w:hAnsi="Arial Narrow"/>
                <w:sz w:val="20"/>
                <w:szCs w:val="20"/>
              </w:rPr>
            </w:pPr>
            <w:r w:rsidRPr="00AB6F27">
              <w:rPr>
                <w:rFonts w:ascii="Arial Narrow" w:hAnsi="Arial Narrow"/>
                <w:sz w:val="20"/>
                <w:szCs w:val="20"/>
              </w:rPr>
              <w:t>1.3 (0.0, 2.7)</w:t>
            </w:r>
          </w:p>
        </w:tc>
      </w:tr>
      <w:tr w:rsidR="00A3213F" w:rsidRPr="00AB6F27" w14:paraId="0F033AB5" w14:textId="77777777" w:rsidTr="007B5E49">
        <w:trPr>
          <w:cantSplit/>
        </w:trPr>
        <w:tc>
          <w:tcPr>
            <w:tcW w:w="3238" w:type="dxa"/>
            <w:noWrap/>
          </w:tcPr>
          <w:p w14:paraId="4235C5D3" w14:textId="77777777" w:rsidR="00A3213F" w:rsidRPr="00AB6F27" w:rsidRDefault="00A3213F" w:rsidP="007B5E49">
            <w:pPr>
              <w:keepLines/>
              <w:widowControl w:val="0"/>
              <w:ind w:left="174"/>
              <w:rPr>
                <w:rFonts w:ascii="Arial Narrow" w:hAnsi="Arial Narrow"/>
                <w:sz w:val="20"/>
                <w:szCs w:val="20"/>
              </w:rPr>
            </w:pPr>
            <w:r w:rsidRPr="00AB6F27">
              <w:rPr>
                <w:rFonts w:ascii="Arial Narrow" w:hAnsi="Arial Narrow"/>
                <w:sz w:val="20"/>
                <w:szCs w:val="20"/>
              </w:rPr>
              <w:t>Hypokalaemia</w:t>
            </w:r>
          </w:p>
        </w:tc>
        <w:tc>
          <w:tcPr>
            <w:tcW w:w="1293" w:type="dxa"/>
            <w:noWrap/>
            <w:vAlign w:val="bottom"/>
          </w:tcPr>
          <w:p w14:paraId="23F30DFD" w14:textId="77777777" w:rsidR="00A3213F" w:rsidRPr="00AB6F27" w:rsidRDefault="00A3213F" w:rsidP="007B5E49">
            <w:pPr>
              <w:keepLines/>
              <w:widowControl w:val="0"/>
              <w:jc w:val="center"/>
              <w:rPr>
                <w:rFonts w:ascii="Arial Narrow" w:hAnsi="Arial Narrow"/>
                <w:sz w:val="20"/>
                <w:szCs w:val="20"/>
              </w:rPr>
            </w:pPr>
            <w:r w:rsidRPr="00AB6F27">
              <w:rPr>
                <w:rFonts w:ascii="Arial Narrow" w:hAnsi="Arial Narrow"/>
                <w:sz w:val="20"/>
                <w:szCs w:val="20"/>
              </w:rPr>
              <w:t>6 (1.6)</w:t>
            </w:r>
          </w:p>
        </w:tc>
        <w:tc>
          <w:tcPr>
            <w:tcW w:w="1418" w:type="dxa"/>
            <w:vAlign w:val="bottom"/>
          </w:tcPr>
          <w:p w14:paraId="3E6C70B0" w14:textId="77777777" w:rsidR="00A3213F" w:rsidRPr="00AB6F27" w:rsidRDefault="00A3213F" w:rsidP="007B5E49">
            <w:pPr>
              <w:keepLines/>
              <w:widowControl w:val="0"/>
              <w:jc w:val="center"/>
              <w:rPr>
                <w:rFonts w:ascii="Arial Narrow" w:hAnsi="Arial Narrow"/>
                <w:sz w:val="20"/>
                <w:szCs w:val="20"/>
              </w:rPr>
            </w:pPr>
            <w:r w:rsidRPr="00AB6F27">
              <w:rPr>
                <w:rFonts w:ascii="Arial Narrow" w:hAnsi="Arial Narrow"/>
                <w:sz w:val="20"/>
                <w:szCs w:val="20"/>
              </w:rPr>
              <w:t>2 (0.5)</w:t>
            </w:r>
          </w:p>
        </w:tc>
        <w:tc>
          <w:tcPr>
            <w:tcW w:w="2071" w:type="dxa"/>
            <w:vAlign w:val="bottom"/>
          </w:tcPr>
          <w:p w14:paraId="612BD83E" w14:textId="77777777" w:rsidR="00A3213F" w:rsidRPr="00AB6F27" w:rsidRDefault="00A3213F" w:rsidP="007B5E49">
            <w:pPr>
              <w:keepLines/>
              <w:widowControl w:val="0"/>
              <w:jc w:val="center"/>
              <w:rPr>
                <w:rFonts w:ascii="Arial Narrow" w:hAnsi="Arial Narrow"/>
                <w:sz w:val="20"/>
                <w:szCs w:val="20"/>
              </w:rPr>
            </w:pPr>
            <w:r w:rsidRPr="00AB6F27">
              <w:rPr>
                <w:rFonts w:ascii="Arial Narrow" w:hAnsi="Arial Narrow"/>
                <w:sz w:val="20"/>
                <w:szCs w:val="20"/>
              </w:rPr>
              <w:t>2.96 (0.60, 14.58)</w:t>
            </w:r>
          </w:p>
        </w:tc>
        <w:tc>
          <w:tcPr>
            <w:tcW w:w="1594" w:type="dxa"/>
            <w:vAlign w:val="bottom"/>
          </w:tcPr>
          <w:p w14:paraId="6A13A73A" w14:textId="77777777" w:rsidR="00A3213F" w:rsidRPr="00AB6F27" w:rsidRDefault="00A3213F" w:rsidP="007B5E49">
            <w:pPr>
              <w:keepLines/>
              <w:widowControl w:val="0"/>
              <w:jc w:val="center"/>
              <w:rPr>
                <w:rFonts w:ascii="Arial Narrow" w:hAnsi="Arial Narrow"/>
                <w:sz w:val="20"/>
                <w:szCs w:val="20"/>
              </w:rPr>
            </w:pPr>
            <w:r w:rsidRPr="00AB6F27">
              <w:rPr>
                <w:rFonts w:ascii="Arial Narrow" w:hAnsi="Arial Narrow"/>
                <w:sz w:val="20"/>
                <w:szCs w:val="20"/>
              </w:rPr>
              <w:t>1.0 (-0.4, 2.5)</w:t>
            </w:r>
          </w:p>
        </w:tc>
      </w:tr>
    </w:tbl>
    <w:p w14:paraId="09EFF50B" w14:textId="3A583919" w:rsidR="00A3213F" w:rsidRPr="00AB6F27" w:rsidRDefault="00A3213F" w:rsidP="00A3213F">
      <w:pPr>
        <w:keepNext/>
        <w:keepLines/>
        <w:widowControl w:val="0"/>
        <w:rPr>
          <w:rFonts w:ascii="Arial Narrow" w:hAnsi="Arial Narrow"/>
          <w:sz w:val="18"/>
          <w:szCs w:val="18"/>
        </w:rPr>
      </w:pPr>
      <w:r w:rsidRPr="00AB6F27">
        <w:rPr>
          <w:rFonts w:ascii="Arial Narrow" w:hAnsi="Arial Narrow"/>
          <w:sz w:val="18"/>
          <w:szCs w:val="18"/>
        </w:rPr>
        <w:t>Source: Table 69, Pembrolizumab EPAR. The relative risk</w:t>
      </w:r>
      <w:r w:rsidR="004B3036">
        <w:rPr>
          <w:rFonts w:ascii="Arial Narrow" w:hAnsi="Arial Narrow"/>
          <w:sz w:val="18"/>
          <w:szCs w:val="18"/>
        </w:rPr>
        <w:t>s</w:t>
      </w:r>
      <w:r w:rsidRPr="00AB6F27">
        <w:rPr>
          <w:rFonts w:ascii="Arial Narrow" w:hAnsi="Arial Narrow"/>
          <w:sz w:val="18"/>
          <w:szCs w:val="18"/>
        </w:rPr>
        <w:t xml:space="preserve"> were analysed during the evaluation using the statistical methods for deriving RR and RD by Gardner &amp; Altman 1997</w:t>
      </w:r>
    </w:p>
    <w:p w14:paraId="55985ED1" w14:textId="77777777" w:rsidR="00A3213F" w:rsidRPr="00AB6F27" w:rsidRDefault="00A3213F" w:rsidP="00A3213F">
      <w:pPr>
        <w:keepNext/>
        <w:keepLines/>
        <w:widowControl w:val="0"/>
        <w:rPr>
          <w:rFonts w:ascii="Arial Narrow" w:hAnsi="Arial Narrow"/>
          <w:sz w:val="18"/>
          <w:szCs w:val="18"/>
        </w:rPr>
      </w:pPr>
      <w:r w:rsidRPr="00AB6F27">
        <w:rPr>
          <w:rFonts w:ascii="Arial Narrow" w:hAnsi="Arial Narrow"/>
          <w:sz w:val="18"/>
          <w:szCs w:val="18"/>
        </w:rPr>
        <w:t>Abbreviations: EPAR = European public assessment report; PEM = pembrolizumab; PBC = platinum based chemotherapy; PBO = placebo; RD = risk difference; RR =relative risk</w:t>
      </w:r>
    </w:p>
    <w:p w14:paraId="517A5E21" w14:textId="77777777" w:rsidR="00A3213F" w:rsidRPr="00AB6F27" w:rsidRDefault="00A3213F" w:rsidP="00A3213F">
      <w:pPr>
        <w:keepNext/>
        <w:keepLines/>
        <w:widowControl w:val="0"/>
        <w:rPr>
          <w:rFonts w:ascii="Arial Narrow" w:hAnsi="Arial Narrow"/>
          <w:sz w:val="18"/>
          <w:szCs w:val="18"/>
        </w:rPr>
      </w:pPr>
      <w:r w:rsidRPr="00AB6F27">
        <w:rPr>
          <w:rFonts w:ascii="Arial Narrow" w:hAnsi="Arial Narrow"/>
          <w:sz w:val="18"/>
          <w:szCs w:val="18"/>
        </w:rPr>
        <w:t>Note: For NRG-GY018, reporting of unrelated serious adverse events between 30 and 90 days of last dose are not required</w:t>
      </w:r>
    </w:p>
    <w:p w14:paraId="5E79E889" w14:textId="77777777" w:rsidR="00A3213F" w:rsidRPr="00AB6F27" w:rsidRDefault="00A3213F" w:rsidP="00A3213F">
      <w:pPr>
        <w:keepNext/>
        <w:keepLines/>
        <w:widowControl w:val="0"/>
        <w:rPr>
          <w:rFonts w:ascii="Arial Narrow" w:hAnsi="Arial Narrow"/>
          <w:sz w:val="18"/>
          <w:szCs w:val="18"/>
        </w:rPr>
      </w:pPr>
      <w:r w:rsidRPr="00AB6F27">
        <w:rPr>
          <w:rFonts w:ascii="Arial Narrow" w:hAnsi="Arial Narrow"/>
          <w:sz w:val="18"/>
          <w:szCs w:val="18"/>
        </w:rPr>
        <w:t>Bold indicates values where the 95% CI did not include ‘1’</w:t>
      </w:r>
    </w:p>
    <w:p w14:paraId="05DAB3BA" w14:textId="77777777" w:rsidR="00A3213F" w:rsidRPr="00AB6F27" w:rsidRDefault="00A3213F" w:rsidP="00A3213F">
      <w:pPr>
        <w:keepNext/>
        <w:keepLines/>
        <w:widowControl w:val="0"/>
        <w:rPr>
          <w:rFonts w:ascii="Arial Narrow" w:hAnsi="Arial Narrow"/>
          <w:sz w:val="18"/>
          <w:szCs w:val="18"/>
        </w:rPr>
      </w:pPr>
    </w:p>
    <w:p w14:paraId="322DA5E3" w14:textId="437273C5" w:rsidR="00A3213F" w:rsidRPr="00AB6F27" w:rsidRDefault="00A3213F" w:rsidP="00A3213F">
      <w:pPr>
        <w:pStyle w:val="3-BodyText"/>
        <w:rPr>
          <w:rFonts w:eastAsia="Calibri"/>
        </w:rPr>
      </w:pPr>
      <w:r w:rsidRPr="00AB6F27">
        <w:rPr>
          <w:rFonts w:eastAsia="Calibri"/>
        </w:rPr>
        <w:t xml:space="preserve">The rates of any SAE </w:t>
      </w:r>
      <w:r w:rsidR="00FF08C4" w:rsidRPr="00AB6F27">
        <w:rPr>
          <w:rFonts w:eastAsia="Calibri"/>
        </w:rPr>
        <w:t xml:space="preserve">were </w:t>
      </w:r>
      <w:r w:rsidRPr="00AB6F27">
        <w:rPr>
          <w:rFonts w:eastAsia="Calibri"/>
        </w:rPr>
        <w:t xml:space="preserve">approximately 15% higher in patients who received at least one dose of study intervention in the </w:t>
      </w:r>
      <w:r w:rsidR="00BF1B0D">
        <w:rPr>
          <w:rFonts w:eastAsia="Calibri"/>
        </w:rPr>
        <w:t>pembrolizumab</w:t>
      </w:r>
      <w:r w:rsidRPr="00AB6F27">
        <w:rPr>
          <w:rFonts w:eastAsia="Calibri"/>
        </w:rPr>
        <w:t xml:space="preserve"> arm compared to </w:t>
      </w:r>
      <w:r w:rsidR="00CF643A">
        <w:rPr>
          <w:rFonts w:eastAsia="Calibri"/>
        </w:rPr>
        <w:t>placebo</w:t>
      </w:r>
      <w:r w:rsidRPr="00AB6F27">
        <w:rPr>
          <w:rFonts w:eastAsia="Calibri"/>
        </w:rPr>
        <w:t>.</w:t>
      </w:r>
    </w:p>
    <w:p w14:paraId="1C41BB9A" w14:textId="18D030D3" w:rsidR="00A3213F" w:rsidRPr="00AB6F27" w:rsidRDefault="00A3213F" w:rsidP="00A3213F">
      <w:pPr>
        <w:pStyle w:val="3-BodyText"/>
        <w:rPr>
          <w:rFonts w:eastAsia="Calibri"/>
        </w:rPr>
      </w:pPr>
      <w:r w:rsidRPr="00AB6F27">
        <w:rPr>
          <w:rFonts w:eastAsia="Calibri"/>
        </w:rPr>
        <w:t xml:space="preserve">No new indication-specific, immune-mediated AEs causally associated with </w:t>
      </w:r>
      <w:r w:rsidR="00BF1B0D">
        <w:rPr>
          <w:rFonts w:eastAsia="Calibri"/>
        </w:rPr>
        <w:t>pembrolizumab</w:t>
      </w:r>
      <w:r w:rsidRPr="00AB6F27">
        <w:rPr>
          <w:rFonts w:eastAsia="Calibri"/>
        </w:rPr>
        <w:t xml:space="preserve"> were identified in NRG-GY018. Most indication-specific, immune-mediated AEs remained nonserious, Grade 1 or 2 in severity, and manageable with standard clinical practice, such as administration of systemic corticosteroids and/or treatment interruption/discontinuation. </w:t>
      </w:r>
    </w:p>
    <w:p w14:paraId="20C6B706" w14:textId="3C63301F" w:rsidR="00A3213F" w:rsidRPr="00AB6F27" w:rsidRDefault="00A3213F" w:rsidP="00A3213F">
      <w:pPr>
        <w:pStyle w:val="3-BodyText"/>
        <w:rPr>
          <w:rFonts w:eastAsia="Calibri"/>
        </w:rPr>
      </w:pPr>
      <w:r w:rsidRPr="00AB6F27">
        <w:rPr>
          <w:rFonts w:eastAsia="Calibri"/>
        </w:rPr>
        <w:t xml:space="preserve">The TGA </w:t>
      </w:r>
      <w:r w:rsidR="00CF643A">
        <w:rPr>
          <w:rFonts w:eastAsia="Calibri"/>
        </w:rPr>
        <w:t>D</w:t>
      </w:r>
      <w:r w:rsidR="00CF643A" w:rsidRPr="00AB6F27">
        <w:rPr>
          <w:rFonts w:eastAsia="Calibri"/>
        </w:rPr>
        <w:t xml:space="preserve">elegates </w:t>
      </w:r>
      <w:r w:rsidR="00CF643A">
        <w:rPr>
          <w:rFonts w:eastAsia="Calibri"/>
        </w:rPr>
        <w:t>O</w:t>
      </w:r>
      <w:r w:rsidR="00CF643A" w:rsidRPr="00AB6F27">
        <w:rPr>
          <w:rFonts w:eastAsia="Calibri"/>
        </w:rPr>
        <w:t>verview</w:t>
      </w:r>
      <w:r w:rsidRPr="00AB6F27">
        <w:rPr>
          <w:rFonts w:eastAsia="Calibri"/>
        </w:rPr>
        <w:t xml:space="preserve">, which reviewed the NRG-GY018 IA1 </w:t>
      </w:r>
      <w:r w:rsidR="00437BAB" w:rsidRPr="00437BAB">
        <w:rPr>
          <w:rFonts w:eastAsia="Calibri"/>
        </w:rPr>
        <w:t>data cutoff</w:t>
      </w:r>
      <w:r w:rsidRPr="00AB6F27">
        <w:rPr>
          <w:rFonts w:eastAsia="Calibri"/>
        </w:rPr>
        <w:t xml:space="preserve">, stated that while the incidence of the most common drug-related AEs was generally higher in the </w:t>
      </w:r>
      <w:r w:rsidR="00BF1B0D">
        <w:rPr>
          <w:rFonts w:eastAsia="Calibri"/>
        </w:rPr>
        <w:t>pembrolizumab</w:t>
      </w:r>
      <w:r w:rsidRPr="00AB6F27">
        <w:rPr>
          <w:rFonts w:eastAsia="Calibri"/>
        </w:rPr>
        <w:t xml:space="preserve"> group, the AEs that occurred were consistent with the known safety profile of pembrolizumab monotherapy and chemotherapy regimens individually. No new toxicity was identified in the </w:t>
      </w:r>
      <w:r w:rsidR="00BF1B0D">
        <w:rPr>
          <w:rFonts w:eastAsia="Calibri"/>
        </w:rPr>
        <w:t>pembrolizumab</w:t>
      </w:r>
      <w:r w:rsidR="00CF643A">
        <w:rPr>
          <w:rFonts w:eastAsia="Calibri"/>
        </w:rPr>
        <w:t xml:space="preserve"> plus chemotherapy</w:t>
      </w:r>
      <w:r w:rsidRPr="00AB6F27">
        <w:rPr>
          <w:rFonts w:eastAsia="Calibri"/>
        </w:rPr>
        <w:t xml:space="preserve"> combination group.</w:t>
      </w:r>
    </w:p>
    <w:p w14:paraId="6F4ED2CB" w14:textId="77777777" w:rsidR="00A3213F" w:rsidRPr="00AB6F27" w:rsidRDefault="6F709AB6" w:rsidP="7A59D51F">
      <w:pPr>
        <w:pStyle w:val="5-SubsectionSubheading"/>
        <w:rPr>
          <w:i/>
          <w:iCs/>
          <w:snapToGrid w:val="0"/>
          <w:color w:val="auto"/>
        </w:rPr>
      </w:pPr>
      <w:bookmarkStart w:id="49" w:name="_Toc198643456"/>
      <w:r w:rsidRPr="7A59D51F">
        <w:rPr>
          <w:i/>
          <w:iCs/>
        </w:rPr>
        <w:t>Indirect Comparisons of Safety</w:t>
      </w:r>
      <w:bookmarkEnd w:id="49"/>
      <w:r w:rsidRPr="7A59D51F">
        <w:rPr>
          <w:i/>
          <w:iCs/>
        </w:rPr>
        <w:t xml:space="preserve"> </w:t>
      </w:r>
    </w:p>
    <w:p w14:paraId="3DF9AD56" w14:textId="084EF340" w:rsidR="00A3213F" w:rsidRPr="00AB6F27" w:rsidRDefault="6F709AB6" w:rsidP="00A3213F">
      <w:pPr>
        <w:pStyle w:val="3-BodyText"/>
      </w:pPr>
      <w:r>
        <w:t xml:space="preserve">The submission presented unanchored indirect comparisons of AEs between NRG-GY018, RUBY-1 and DUO-E. As such, </w:t>
      </w:r>
      <w:r w:rsidR="62D9A934">
        <w:t xml:space="preserve">the evaluation considered that </w:t>
      </w:r>
      <w:r>
        <w:t xml:space="preserve">any potential inferences regarding the comparative safety of </w:t>
      </w:r>
      <w:r w:rsidR="10F7BEDC">
        <w:t>pembrolizumab</w:t>
      </w:r>
      <w:r>
        <w:t xml:space="preserve">, </w:t>
      </w:r>
      <w:r w:rsidR="1C6D1F11">
        <w:t>dostarlimab</w:t>
      </w:r>
      <w:r>
        <w:t xml:space="preserve"> and </w:t>
      </w:r>
      <w:r w:rsidR="67793A96">
        <w:t>durvalumab</w:t>
      </w:r>
      <w:r w:rsidR="62D9A934">
        <w:t xml:space="preserve"> </w:t>
      </w:r>
      <w:r w:rsidR="114E3869" w:rsidRPr="7A59D51F">
        <w:rPr>
          <w:rFonts w:cstheme="minorBidi"/>
        </w:rPr>
        <w:t>±</w:t>
      </w:r>
      <w:r w:rsidR="62D9A934" w:rsidRPr="7A59D51F">
        <w:rPr>
          <w:rFonts w:cstheme="minorBidi"/>
        </w:rPr>
        <w:t xml:space="preserve"> </w:t>
      </w:r>
      <w:r w:rsidR="67793A96">
        <w:t>olaparib</w:t>
      </w:r>
      <w:r>
        <w:t xml:space="preserve"> are highly uncertain</w:t>
      </w:r>
      <w:r w:rsidR="009A8699">
        <w:t xml:space="preserve">, </w:t>
      </w:r>
      <w:r w:rsidR="114E3869">
        <w:t>as</w:t>
      </w:r>
      <w:r w:rsidR="009A8699">
        <w:t xml:space="preserve"> differences between the rates AEs in the </w:t>
      </w:r>
      <w:r w:rsidR="62D9A934">
        <w:t>placebo</w:t>
      </w:r>
      <w:r w:rsidR="009A8699">
        <w:t xml:space="preserve"> arm in each of the trials </w:t>
      </w:r>
      <w:r w:rsidR="7449384B">
        <w:t xml:space="preserve">were </w:t>
      </w:r>
      <w:r w:rsidR="009A8699">
        <w:t>unaccounted for</w:t>
      </w:r>
      <w:r>
        <w:t xml:space="preserve">. As AEs were consistently reported for the combined dMMR and pMMR population (all-comers populations) across all three studies, only the safety outcomes for the combined dMMR </w:t>
      </w:r>
      <w:r w:rsidR="62D9A934">
        <w:t xml:space="preserve">and </w:t>
      </w:r>
      <w:r>
        <w:t xml:space="preserve">pMMR </w:t>
      </w:r>
      <w:r w:rsidR="62D9A934">
        <w:lastRenderedPageBreak/>
        <w:t xml:space="preserve">populations </w:t>
      </w:r>
      <w:r>
        <w:t>were presented. The unanchored indirect comparisons used AE data from the NRG-GY018 EUR.</w:t>
      </w:r>
    </w:p>
    <w:p w14:paraId="2E7B82E7" w14:textId="10CC178B" w:rsidR="00A3213F" w:rsidRPr="00AB6F27" w:rsidRDefault="00A3213F" w:rsidP="00A3213F">
      <w:pPr>
        <w:pStyle w:val="3-BodyText"/>
      </w:pPr>
      <w:r w:rsidRPr="00AB6F27">
        <w:t xml:space="preserve">A summary of treatment-emergent AEs (TEAEs) and related AEs across the NRG-GY018, RUBY-1 and DUO-E safety analysis sets is shown in </w:t>
      </w:r>
      <w:r w:rsidRPr="00AB6F27">
        <w:fldChar w:fldCharType="begin"/>
      </w:r>
      <w:r w:rsidRPr="00AB6F27">
        <w:instrText xml:space="preserve"> REF _Ref196308958 \h </w:instrText>
      </w:r>
      <w:r w:rsidR="00AB6F27" w:rsidRPr="00AB6F27">
        <w:instrText xml:space="preserve"> \* MERGEFORMAT </w:instrText>
      </w:r>
      <w:r w:rsidRPr="00AB6F27">
        <w:fldChar w:fldCharType="separate"/>
      </w:r>
      <w:r w:rsidR="003359D3">
        <w:t xml:space="preserve">Table </w:t>
      </w:r>
      <w:r w:rsidR="003359D3">
        <w:rPr>
          <w:noProof/>
        </w:rPr>
        <w:t>12</w:t>
      </w:r>
      <w:r w:rsidRPr="00AB6F27">
        <w:fldChar w:fldCharType="end"/>
      </w:r>
      <w:r w:rsidRPr="00AB6F27">
        <w:t xml:space="preserve">. A summary of key Grade 3 or higher TEAEs and immune-related TEAEs is shown in </w:t>
      </w:r>
      <w:r w:rsidRPr="00AB6F27">
        <w:fldChar w:fldCharType="begin"/>
      </w:r>
      <w:r w:rsidRPr="00AB6F27">
        <w:instrText xml:space="preserve"> REF _Ref196309042 \h </w:instrText>
      </w:r>
      <w:r w:rsidR="00AB6F27" w:rsidRPr="00AB6F27">
        <w:instrText xml:space="preserve"> \* MERGEFORMAT </w:instrText>
      </w:r>
      <w:r w:rsidRPr="00AB6F27">
        <w:fldChar w:fldCharType="separate"/>
      </w:r>
      <w:r w:rsidR="003359D3" w:rsidRPr="00AB6F27">
        <w:t xml:space="preserve">Table </w:t>
      </w:r>
      <w:r w:rsidR="003359D3">
        <w:rPr>
          <w:noProof/>
        </w:rPr>
        <w:t>13</w:t>
      </w:r>
      <w:r w:rsidRPr="00AB6F27">
        <w:fldChar w:fldCharType="end"/>
      </w:r>
      <w:r w:rsidRPr="00AB6F27">
        <w:t>.</w:t>
      </w:r>
    </w:p>
    <w:p w14:paraId="53599668" w14:textId="156FF76E" w:rsidR="00A3213F" w:rsidRPr="00AB6F27" w:rsidRDefault="6F709AB6" w:rsidP="00A3213F">
      <w:pPr>
        <w:pStyle w:val="Caption"/>
      </w:pPr>
      <w:bookmarkStart w:id="50" w:name="_Ref196308958"/>
      <w:r>
        <w:t xml:space="preserve">Table </w:t>
      </w:r>
      <w:r w:rsidR="00A3213F" w:rsidRPr="7A59D51F">
        <w:fldChar w:fldCharType="begin"/>
      </w:r>
      <w:r w:rsidR="00A3213F">
        <w:instrText xml:space="preserve"> SEQ Table \* ARABIC </w:instrText>
      </w:r>
      <w:r w:rsidR="00A3213F" w:rsidRPr="7A59D51F">
        <w:fldChar w:fldCharType="separate"/>
      </w:r>
      <w:r w:rsidR="003359D3">
        <w:rPr>
          <w:noProof/>
        </w:rPr>
        <w:t>12</w:t>
      </w:r>
      <w:r w:rsidR="00A3213F" w:rsidRPr="7A59D51F">
        <w:rPr>
          <w:noProof/>
        </w:rPr>
        <w:fldChar w:fldCharType="end"/>
      </w:r>
      <w:bookmarkEnd w:id="50"/>
      <w:r>
        <w:t xml:space="preserve">: Summary of Treatment-emergent and related AEs across NRG-GY018, RUBY-1 and DUO-E </w:t>
      </w:r>
    </w:p>
    <w:tbl>
      <w:tblPr>
        <w:tblStyle w:val="TableGrid"/>
        <w:tblW w:w="5000" w:type="pct"/>
        <w:tblLook w:val="04A0" w:firstRow="1" w:lastRow="0" w:firstColumn="1" w:lastColumn="0" w:noHBand="0" w:noVBand="1"/>
        <w:tblCaption w:val="Table 12: Summary of Treatment-emergent and related AEs across NRG-GY018, RUBY-1 and DUO-E "/>
      </w:tblPr>
      <w:tblGrid>
        <w:gridCol w:w="1757"/>
        <w:gridCol w:w="1014"/>
        <w:gridCol w:w="1014"/>
        <w:gridCol w:w="1014"/>
        <w:gridCol w:w="1061"/>
        <w:gridCol w:w="1051"/>
        <w:gridCol w:w="1013"/>
        <w:gridCol w:w="1093"/>
      </w:tblGrid>
      <w:tr w:rsidR="00A3213F" w:rsidRPr="00E75953" w14:paraId="3FFE98E8" w14:textId="77777777" w:rsidTr="007B5E49">
        <w:tc>
          <w:tcPr>
            <w:tcW w:w="2153" w:type="dxa"/>
          </w:tcPr>
          <w:p w14:paraId="2EEC005B" w14:textId="77777777" w:rsidR="00A3213F" w:rsidRPr="00AB6F27" w:rsidRDefault="00A3213F" w:rsidP="007B5E49">
            <w:pPr>
              <w:keepNext/>
              <w:rPr>
                <w:rFonts w:ascii="Arial Narrow" w:hAnsi="Arial Narrow"/>
                <w:b/>
                <w:sz w:val="20"/>
                <w:szCs w:val="20"/>
              </w:rPr>
            </w:pPr>
          </w:p>
        </w:tc>
        <w:tc>
          <w:tcPr>
            <w:tcW w:w="2028" w:type="dxa"/>
            <w:gridSpan w:val="2"/>
            <w:vAlign w:val="center"/>
          </w:tcPr>
          <w:p w14:paraId="2ED65E1A"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NRG-GY018 EUR</w:t>
            </w:r>
          </w:p>
        </w:tc>
        <w:tc>
          <w:tcPr>
            <w:tcW w:w="2132" w:type="dxa"/>
            <w:gridSpan w:val="2"/>
            <w:vAlign w:val="center"/>
          </w:tcPr>
          <w:p w14:paraId="70E4EA60"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RUBY-1 IA1</w:t>
            </w:r>
          </w:p>
        </w:tc>
        <w:tc>
          <w:tcPr>
            <w:tcW w:w="3301" w:type="dxa"/>
            <w:gridSpan w:val="3"/>
            <w:vAlign w:val="center"/>
          </w:tcPr>
          <w:p w14:paraId="19006A66" w14:textId="77777777" w:rsidR="00A3213F" w:rsidRPr="00B510A0" w:rsidRDefault="00A3213F" w:rsidP="007B5E49">
            <w:pPr>
              <w:keepNext/>
              <w:jc w:val="center"/>
              <w:rPr>
                <w:rFonts w:ascii="Arial Narrow" w:hAnsi="Arial Narrow"/>
                <w:b/>
                <w:sz w:val="20"/>
                <w:szCs w:val="20"/>
                <w:lang w:val="pt-BR"/>
              </w:rPr>
            </w:pPr>
            <w:r w:rsidRPr="00B510A0">
              <w:rPr>
                <w:rFonts w:ascii="Arial Narrow" w:hAnsi="Arial Narrow"/>
                <w:b/>
                <w:sz w:val="20"/>
                <w:szCs w:val="20"/>
                <w:lang w:val="pt-BR"/>
              </w:rPr>
              <w:t>DUO-E (chemo+maintenance) IA1</w:t>
            </w:r>
          </w:p>
        </w:tc>
      </w:tr>
      <w:tr w:rsidR="00A3213F" w:rsidRPr="00AB6F27" w14:paraId="6D7AAAC7" w14:textId="77777777" w:rsidTr="007B5E49">
        <w:tc>
          <w:tcPr>
            <w:tcW w:w="2153" w:type="dxa"/>
          </w:tcPr>
          <w:p w14:paraId="253CCB8F" w14:textId="77777777" w:rsidR="00A3213F" w:rsidRPr="00B510A0" w:rsidRDefault="00A3213F" w:rsidP="007B5E49">
            <w:pPr>
              <w:keepNext/>
              <w:rPr>
                <w:rFonts w:ascii="Arial Narrow" w:hAnsi="Arial Narrow"/>
                <w:b/>
                <w:sz w:val="20"/>
                <w:szCs w:val="20"/>
                <w:lang w:val="pt-BR"/>
              </w:rPr>
            </w:pPr>
          </w:p>
        </w:tc>
        <w:tc>
          <w:tcPr>
            <w:tcW w:w="1014" w:type="dxa"/>
            <w:vAlign w:val="center"/>
          </w:tcPr>
          <w:p w14:paraId="2859E72C"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 xml:space="preserve">PEM+PBC </w:t>
            </w:r>
            <w:r w:rsidRPr="00AB6F27">
              <w:rPr>
                <w:rFonts w:ascii="Arial Narrow" w:hAnsi="Arial Narrow"/>
                <w:b/>
                <w:sz w:val="20"/>
                <w:szCs w:val="20"/>
              </w:rPr>
              <w:br/>
              <w:t>N=391</w:t>
            </w:r>
          </w:p>
        </w:tc>
        <w:tc>
          <w:tcPr>
            <w:tcW w:w="1014" w:type="dxa"/>
            <w:vAlign w:val="center"/>
          </w:tcPr>
          <w:p w14:paraId="1C063BA2"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PBO+PBC</w:t>
            </w:r>
            <w:r w:rsidRPr="00AB6F27">
              <w:rPr>
                <w:rFonts w:ascii="Arial Narrow" w:hAnsi="Arial Narrow"/>
                <w:b/>
                <w:sz w:val="20"/>
                <w:szCs w:val="20"/>
              </w:rPr>
              <w:br/>
              <w:t>N=388</w:t>
            </w:r>
          </w:p>
        </w:tc>
        <w:tc>
          <w:tcPr>
            <w:tcW w:w="1014" w:type="dxa"/>
            <w:vAlign w:val="center"/>
          </w:tcPr>
          <w:p w14:paraId="362A759E"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DOS+PBC</w:t>
            </w:r>
            <w:r w:rsidRPr="00AB6F27">
              <w:rPr>
                <w:rFonts w:ascii="Arial Narrow" w:hAnsi="Arial Narrow"/>
                <w:b/>
                <w:sz w:val="20"/>
                <w:szCs w:val="20"/>
              </w:rPr>
              <w:br/>
              <w:t>N=241</w:t>
            </w:r>
          </w:p>
        </w:tc>
        <w:tc>
          <w:tcPr>
            <w:tcW w:w="1118" w:type="dxa"/>
            <w:vAlign w:val="center"/>
          </w:tcPr>
          <w:p w14:paraId="15EEF7FB"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PBO+PBC</w:t>
            </w:r>
            <w:r w:rsidRPr="00AB6F27">
              <w:rPr>
                <w:rFonts w:ascii="Arial Narrow" w:hAnsi="Arial Narrow"/>
                <w:b/>
                <w:sz w:val="20"/>
                <w:szCs w:val="20"/>
              </w:rPr>
              <w:br/>
              <w:t>N=246</w:t>
            </w:r>
          </w:p>
        </w:tc>
        <w:tc>
          <w:tcPr>
            <w:tcW w:w="1096" w:type="dxa"/>
            <w:vAlign w:val="center"/>
          </w:tcPr>
          <w:p w14:paraId="0BAC19E6"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PBO+PBC</w:t>
            </w:r>
            <w:r w:rsidRPr="00AB6F27">
              <w:rPr>
                <w:rFonts w:ascii="Arial Narrow" w:hAnsi="Arial Narrow"/>
                <w:b/>
                <w:sz w:val="20"/>
                <w:szCs w:val="20"/>
              </w:rPr>
              <w:br/>
              <w:t>N=236</w:t>
            </w:r>
          </w:p>
        </w:tc>
        <w:tc>
          <w:tcPr>
            <w:tcW w:w="1013" w:type="dxa"/>
            <w:vAlign w:val="center"/>
          </w:tcPr>
          <w:p w14:paraId="646A4B7E"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DUR+PBC</w:t>
            </w:r>
            <w:r w:rsidRPr="00AB6F27">
              <w:rPr>
                <w:rFonts w:ascii="Arial Narrow" w:hAnsi="Arial Narrow"/>
                <w:b/>
                <w:sz w:val="20"/>
                <w:szCs w:val="20"/>
              </w:rPr>
              <w:br/>
              <w:t>N=235</w:t>
            </w:r>
          </w:p>
        </w:tc>
        <w:tc>
          <w:tcPr>
            <w:tcW w:w="1192" w:type="dxa"/>
            <w:vAlign w:val="center"/>
          </w:tcPr>
          <w:p w14:paraId="5CDF10CA"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DUR+PBC</w:t>
            </w:r>
          </w:p>
          <w:p w14:paraId="7494046C"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+OLA</w:t>
            </w:r>
            <w:r w:rsidRPr="00AB6F27">
              <w:rPr>
                <w:rFonts w:ascii="Arial Narrow" w:hAnsi="Arial Narrow"/>
                <w:b/>
                <w:sz w:val="20"/>
                <w:szCs w:val="20"/>
              </w:rPr>
              <w:br/>
              <w:t>N= 238</w:t>
            </w:r>
          </w:p>
        </w:tc>
      </w:tr>
      <w:tr w:rsidR="00A3213F" w:rsidRPr="00AB6F27" w14:paraId="2558A340" w14:textId="77777777" w:rsidTr="007B5E49">
        <w:tc>
          <w:tcPr>
            <w:tcW w:w="2153" w:type="dxa"/>
          </w:tcPr>
          <w:p w14:paraId="15F684C3"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Any AE</w:t>
            </w:r>
          </w:p>
        </w:tc>
        <w:tc>
          <w:tcPr>
            <w:tcW w:w="1014" w:type="dxa"/>
            <w:vAlign w:val="center"/>
          </w:tcPr>
          <w:p w14:paraId="2D4FF90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388 (99.2)</w:t>
            </w:r>
          </w:p>
        </w:tc>
        <w:tc>
          <w:tcPr>
            <w:tcW w:w="1014" w:type="dxa"/>
            <w:vAlign w:val="center"/>
          </w:tcPr>
          <w:p w14:paraId="7011EA6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387 (99.7)</w:t>
            </w:r>
          </w:p>
        </w:tc>
        <w:tc>
          <w:tcPr>
            <w:tcW w:w="1014" w:type="dxa"/>
            <w:vAlign w:val="center"/>
          </w:tcPr>
          <w:p w14:paraId="7A5AF96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241 (100)</w:t>
            </w:r>
          </w:p>
        </w:tc>
        <w:tc>
          <w:tcPr>
            <w:tcW w:w="1118" w:type="dxa"/>
            <w:vAlign w:val="center"/>
          </w:tcPr>
          <w:p w14:paraId="0F1E482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246 (100)</w:t>
            </w:r>
          </w:p>
        </w:tc>
        <w:tc>
          <w:tcPr>
            <w:tcW w:w="1096" w:type="dxa"/>
            <w:vAlign w:val="center"/>
          </w:tcPr>
          <w:p w14:paraId="17C3878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236 (100)</w:t>
            </w:r>
          </w:p>
        </w:tc>
        <w:tc>
          <w:tcPr>
            <w:tcW w:w="1013" w:type="dxa"/>
            <w:vAlign w:val="center"/>
          </w:tcPr>
          <w:p w14:paraId="4333A4E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232 (98.7)</w:t>
            </w:r>
          </w:p>
        </w:tc>
        <w:tc>
          <w:tcPr>
            <w:tcW w:w="1192" w:type="dxa"/>
            <w:vAlign w:val="center"/>
          </w:tcPr>
          <w:p w14:paraId="2F492D3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237 (99.6)</w:t>
            </w:r>
          </w:p>
        </w:tc>
      </w:tr>
      <w:tr w:rsidR="00A3213F" w:rsidRPr="00AB6F27" w14:paraId="6AA4A72A" w14:textId="77777777" w:rsidTr="007B5E49">
        <w:tc>
          <w:tcPr>
            <w:tcW w:w="2153" w:type="dxa"/>
          </w:tcPr>
          <w:p w14:paraId="547B82EC" w14:textId="77777777" w:rsidR="00A3213F" w:rsidRPr="00AB6F27" w:rsidRDefault="00A3213F" w:rsidP="007B5E49">
            <w:pPr>
              <w:keepNext/>
              <w:ind w:left="174"/>
              <w:jc w:val="left"/>
              <w:rPr>
                <w:rFonts w:ascii="Arial Narrow" w:hAnsi="Arial Narrow"/>
                <w:sz w:val="20"/>
                <w:szCs w:val="20"/>
              </w:rPr>
            </w:pPr>
            <w:r w:rsidRPr="00AB6F27">
              <w:rPr>
                <w:rFonts w:ascii="Arial Narrow" w:hAnsi="Arial Narrow"/>
                <w:sz w:val="20"/>
                <w:szCs w:val="20"/>
              </w:rPr>
              <w:t>Any Drug-related AE</w:t>
            </w:r>
          </w:p>
        </w:tc>
        <w:tc>
          <w:tcPr>
            <w:tcW w:w="1014" w:type="dxa"/>
            <w:vAlign w:val="center"/>
          </w:tcPr>
          <w:p w14:paraId="215A8C2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379 (96.9)</w:t>
            </w:r>
          </w:p>
        </w:tc>
        <w:tc>
          <w:tcPr>
            <w:tcW w:w="1014" w:type="dxa"/>
            <w:vAlign w:val="center"/>
          </w:tcPr>
          <w:p w14:paraId="29C0582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373 (96.1)</w:t>
            </w:r>
          </w:p>
        </w:tc>
        <w:tc>
          <w:tcPr>
            <w:tcW w:w="1014" w:type="dxa"/>
            <w:vAlign w:val="center"/>
          </w:tcPr>
          <w:p w14:paraId="5303177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236 (97.9)</w:t>
            </w:r>
          </w:p>
        </w:tc>
        <w:tc>
          <w:tcPr>
            <w:tcW w:w="1118" w:type="dxa"/>
            <w:vAlign w:val="center"/>
          </w:tcPr>
          <w:p w14:paraId="38A8837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243 (98.8)</w:t>
            </w:r>
          </w:p>
        </w:tc>
        <w:tc>
          <w:tcPr>
            <w:tcW w:w="1096" w:type="dxa"/>
            <w:vAlign w:val="center"/>
          </w:tcPr>
          <w:p w14:paraId="33C7D4B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3" w:type="dxa"/>
            <w:vAlign w:val="center"/>
          </w:tcPr>
          <w:p w14:paraId="1437D5E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92" w:type="dxa"/>
            <w:vAlign w:val="center"/>
          </w:tcPr>
          <w:p w14:paraId="3D15066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r>
      <w:tr w:rsidR="00A3213F" w:rsidRPr="00AB6F27" w14:paraId="3484683E" w14:textId="77777777" w:rsidTr="007B5E49">
        <w:tc>
          <w:tcPr>
            <w:tcW w:w="2153" w:type="dxa"/>
          </w:tcPr>
          <w:p w14:paraId="49ADE41A"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Grade ≥3</w:t>
            </w:r>
          </w:p>
        </w:tc>
        <w:tc>
          <w:tcPr>
            <w:tcW w:w="1014" w:type="dxa"/>
            <w:vAlign w:val="center"/>
          </w:tcPr>
          <w:p w14:paraId="2F149E3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257 (65.7)</w:t>
            </w:r>
          </w:p>
        </w:tc>
        <w:tc>
          <w:tcPr>
            <w:tcW w:w="1014" w:type="dxa"/>
            <w:vAlign w:val="center"/>
          </w:tcPr>
          <w:p w14:paraId="4506D64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191 (49.2)</w:t>
            </w:r>
          </w:p>
        </w:tc>
        <w:tc>
          <w:tcPr>
            <w:tcW w:w="1014" w:type="dxa"/>
            <w:vAlign w:val="center"/>
          </w:tcPr>
          <w:p w14:paraId="32587A3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170 (70.5)</w:t>
            </w:r>
          </w:p>
        </w:tc>
        <w:tc>
          <w:tcPr>
            <w:tcW w:w="1118" w:type="dxa"/>
            <w:vAlign w:val="center"/>
          </w:tcPr>
          <w:p w14:paraId="0755E1A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147 (59.8)</w:t>
            </w:r>
          </w:p>
        </w:tc>
        <w:tc>
          <w:tcPr>
            <w:tcW w:w="1096" w:type="dxa"/>
            <w:vAlign w:val="center"/>
          </w:tcPr>
          <w:p w14:paraId="04BDC02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133 (56.4)</w:t>
            </w:r>
          </w:p>
        </w:tc>
        <w:tc>
          <w:tcPr>
            <w:tcW w:w="1013" w:type="dxa"/>
            <w:vAlign w:val="center"/>
          </w:tcPr>
          <w:p w14:paraId="7E8213E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129 (54.9)</w:t>
            </w:r>
          </w:p>
        </w:tc>
        <w:tc>
          <w:tcPr>
            <w:tcW w:w="1192" w:type="dxa"/>
            <w:vAlign w:val="center"/>
          </w:tcPr>
          <w:p w14:paraId="5F4350E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160 (67.2)</w:t>
            </w:r>
          </w:p>
        </w:tc>
      </w:tr>
      <w:tr w:rsidR="00A3213F" w:rsidRPr="00AB6F27" w14:paraId="6C1DCEBB" w14:textId="77777777" w:rsidTr="007B5E49">
        <w:tc>
          <w:tcPr>
            <w:tcW w:w="2153" w:type="dxa"/>
          </w:tcPr>
          <w:p w14:paraId="569FEBB0" w14:textId="77777777" w:rsidR="00A3213F" w:rsidRPr="00AB6F27" w:rsidRDefault="00A3213F" w:rsidP="007B5E49">
            <w:pPr>
              <w:keepNext/>
              <w:ind w:left="174"/>
              <w:jc w:val="left"/>
              <w:rPr>
                <w:rFonts w:ascii="Arial Narrow" w:hAnsi="Arial Narrow"/>
                <w:sz w:val="20"/>
                <w:szCs w:val="20"/>
              </w:rPr>
            </w:pPr>
            <w:r w:rsidRPr="00AB6F27">
              <w:rPr>
                <w:rFonts w:ascii="Arial Narrow" w:hAnsi="Arial Narrow"/>
                <w:sz w:val="20"/>
                <w:szCs w:val="20"/>
              </w:rPr>
              <w:t>Drug-related Grade≥3</w:t>
            </w:r>
          </w:p>
        </w:tc>
        <w:tc>
          <w:tcPr>
            <w:tcW w:w="1014" w:type="dxa"/>
            <w:vAlign w:val="center"/>
          </w:tcPr>
          <w:p w14:paraId="50219E9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195 (49.9)</w:t>
            </w:r>
          </w:p>
        </w:tc>
        <w:tc>
          <w:tcPr>
            <w:tcW w:w="1014" w:type="dxa"/>
            <w:vAlign w:val="center"/>
          </w:tcPr>
          <w:p w14:paraId="34CF11E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132 (34.0)</w:t>
            </w:r>
          </w:p>
        </w:tc>
        <w:tc>
          <w:tcPr>
            <w:tcW w:w="1014" w:type="dxa"/>
            <w:vAlign w:val="center"/>
          </w:tcPr>
          <w:p w14:paraId="06EDAF9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122 (50.6)</w:t>
            </w:r>
          </w:p>
        </w:tc>
        <w:tc>
          <w:tcPr>
            <w:tcW w:w="1118" w:type="dxa"/>
            <w:vAlign w:val="center"/>
          </w:tcPr>
          <w:p w14:paraId="67761F4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114 (46.3)</w:t>
            </w:r>
          </w:p>
        </w:tc>
        <w:tc>
          <w:tcPr>
            <w:tcW w:w="1096" w:type="dxa"/>
            <w:vAlign w:val="center"/>
          </w:tcPr>
          <w:p w14:paraId="399BB8F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3" w:type="dxa"/>
            <w:vAlign w:val="center"/>
          </w:tcPr>
          <w:p w14:paraId="2612EBF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92" w:type="dxa"/>
            <w:vAlign w:val="center"/>
          </w:tcPr>
          <w:p w14:paraId="3EF22FB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r>
      <w:tr w:rsidR="00A3213F" w:rsidRPr="00AB6F27" w14:paraId="44F9EB9B" w14:textId="77777777" w:rsidTr="007B5E49">
        <w:tc>
          <w:tcPr>
            <w:tcW w:w="2153" w:type="dxa"/>
          </w:tcPr>
          <w:p w14:paraId="4E90C5CF"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Serious AEs</w:t>
            </w:r>
          </w:p>
        </w:tc>
        <w:tc>
          <w:tcPr>
            <w:tcW w:w="1014" w:type="dxa"/>
            <w:vAlign w:val="center"/>
          </w:tcPr>
          <w:p w14:paraId="2301630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155 (39.6)</w:t>
            </w:r>
          </w:p>
        </w:tc>
        <w:tc>
          <w:tcPr>
            <w:tcW w:w="1014" w:type="dxa"/>
            <w:vAlign w:val="center"/>
          </w:tcPr>
          <w:p w14:paraId="073FD7D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82 (21.1)</w:t>
            </w:r>
          </w:p>
        </w:tc>
        <w:tc>
          <w:tcPr>
            <w:tcW w:w="1014" w:type="dxa"/>
            <w:vAlign w:val="center"/>
          </w:tcPr>
          <w:p w14:paraId="3746EDC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91 (37.8)</w:t>
            </w:r>
          </w:p>
        </w:tc>
        <w:tc>
          <w:tcPr>
            <w:tcW w:w="1118" w:type="dxa"/>
            <w:vAlign w:val="center"/>
          </w:tcPr>
          <w:p w14:paraId="371BB88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68 (27.8)</w:t>
            </w:r>
          </w:p>
        </w:tc>
        <w:tc>
          <w:tcPr>
            <w:tcW w:w="1096" w:type="dxa"/>
            <w:vAlign w:val="center"/>
          </w:tcPr>
          <w:p w14:paraId="3D826AA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73 (30.9)</w:t>
            </w:r>
          </w:p>
        </w:tc>
        <w:tc>
          <w:tcPr>
            <w:tcW w:w="1013" w:type="dxa"/>
            <w:vAlign w:val="center"/>
          </w:tcPr>
          <w:p w14:paraId="4F428C8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73 (31.1)</w:t>
            </w:r>
          </w:p>
        </w:tc>
        <w:tc>
          <w:tcPr>
            <w:tcW w:w="1192" w:type="dxa"/>
            <w:vAlign w:val="center"/>
          </w:tcPr>
          <w:p w14:paraId="47167E5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85 (35.7)</w:t>
            </w:r>
          </w:p>
        </w:tc>
      </w:tr>
      <w:tr w:rsidR="00A3213F" w:rsidRPr="00AB6F27" w14:paraId="072A0948" w14:textId="77777777" w:rsidTr="007B5E49">
        <w:tc>
          <w:tcPr>
            <w:tcW w:w="2153" w:type="dxa"/>
          </w:tcPr>
          <w:p w14:paraId="42D079E4" w14:textId="77777777" w:rsidR="00A3213F" w:rsidRPr="00AB6F27" w:rsidRDefault="00A3213F" w:rsidP="007B5E49">
            <w:pPr>
              <w:keepNext/>
              <w:ind w:left="174"/>
              <w:jc w:val="left"/>
              <w:rPr>
                <w:rFonts w:ascii="Arial Narrow" w:hAnsi="Arial Narrow"/>
                <w:sz w:val="20"/>
                <w:szCs w:val="20"/>
              </w:rPr>
            </w:pPr>
            <w:r w:rsidRPr="00AB6F27">
              <w:rPr>
                <w:rFonts w:ascii="Arial Narrow" w:hAnsi="Arial Narrow"/>
                <w:sz w:val="20"/>
                <w:szCs w:val="20"/>
              </w:rPr>
              <w:t>Drug-related Serious AEs</w:t>
            </w:r>
          </w:p>
        </w:tc>
        <w:tc>
          <w:tcPr>
            <w:tcW w:w="1014" w:type="dxa"/>
            <w:vAlign w:val="center"/>
          </w:tcPr>
          <w:p w14:paraId="52E0FED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98 (25.1)</w:t>
            </w:r>
          </w:p>
        </w:tc>
        <w:tc>
          <w:tcPr>
            <w:tcW w:w="1014" w:type="dxa"/>
            <w:vAlign w:val="center"/>
          </w:tcPr>
          <w:p w14:paraId="1C9D3DD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49 (12.6)</w:t>
            </w:r>
          </w:p>
        </w:tc>
        <w:tc>
          <w:tcPr>
            <w:tcW w:w="1014" w:type="dxa"/>
            <w:vAlign w:val="center"/>
          </w:tcPr>
          <w:p w14:paraId="575B5D9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44 (18.3)</w:t>
            </w:r>
          </w:p>
        </w:tc>
        <w:tc>
          <w:tcPr>
            <w:tcW w:w="1118" w:type="dxa"/>
            <w:vAlign w:val="center"/>
          </w:tcPr>
          <w:p w14:paraId="672251E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30 (12.2)</w:t>
            </w:r>
          </w:p>
        </w:tc>
        <w:tc>
          <w:tcPr>
            <w:tcW w:w="1096" w:type="dxa"/>
            <w:vAlign w:val="center"/>
          </w:tcPr>
          <w:p w14:paraId="2AADFCC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3" w:type="dxa"/>
            <w:vAlign w:val="center"/>
          </w:tcPr>
          <w:p w14:paraId="6FC6B4D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92" w:type="dxa"/>
            <w:vAlign w:val="center"/>
          </w:tcPr>
          <w:p w14:paraId="3515249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r>
      <w:tr w:rsidR="00A3213F" w:rsidRPr="00AB6F27" w14:paraId="4A507BB8" w14:textId="77777777" w:rsidTr="007B5E49">
        <w:tc>
          <w:tcPr>
            <w:tcW w:w="2153" w:type="dxa"/>
          </w:tcPr>
          <w:p w14:paraId="72B2C0C2"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Any TEAE Leading to treatment discontinuation</w:t>
            </w:r>
          </w:p>
        </w:tc>
        <w:tc>
          <w:tcPr>
            <w:tcW w:w="1014" w:type="dxa"/>
            <w:vAlign w:val="center"/>
          </w:tcPr>
          <w:p w14:paraId="4E99B5C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71 (18.2)</w:t>
            </w:r>
          </w:p>
        </w:tc>
        <w:tc>
          <w:tcPr>
            <w:tcW w:w="1014" w:type="dxa"/>
            <w:vAlign w:val="center"/>
          </w:tcPr>
          <w:p w14:paraId="79DEA0E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28 (7.2)</w:t>
            </w:r>
          </w:p>
        </w:tc>
        <w:tc>
          <w:tcPr>
            <w:tcW w:w="1014" w:type="dxa"/>
            <w:vAlign w:val="center"/>
          </w:tcPr>
          <w:p w14:paraId="6CCEA39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57 (23.7)</w:t>
            </w:r>
          </w:p>
        </w:tc>
        <w:tc>
          <w:tcPr>
            <w:tcW w:w="1118" w:type="dxa"/>
            <w:vAlign w:val="center"/>
          </w:tcPr>
          <w:p w14:paraId="4E65C49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41 (16.7)</w:t>
            </w:r>
          </w:p>
        </w:tc>
        <w:tc>
          <w:tcPr>
            <w:tcW w:w="1096" w:type="dxa"/>
            <w:vAlign w:val="center"/>
          </w:tcPr>
          <w:p w14:paraId="3134E49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44 (18.6)</w:t>
            </w:r>
          </w:p>
        </w:tc>
        <w:tc>
          <w:tcPr>
            <w:tcW w:w="1013" w:type="dxa"/>
            <w:vAlign w:val="center"/>
          </w:tcPr>
          <w:p w14:paraId="55329D7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49 (20.9)</w:t>
            </w:r>
          </w:p>
        </w:tc>
        <w:tc>
          <w:tcPr>
            <w:tcW w:w="1192" w:type="dxa"/>
            <w:vAlign w:val="center"/>
          </w:tcPr>
          <w:p w14:paraId="11CEEC6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58 (24.4)</w:t>
            </w:r>
          </w:p>
        </w:tc>
      </w:tr>
      <w:tr w:rsidR="00A3213F" w:rsidRPr="00AB6F27" w14:paraId="072B2CC6" w14:textId="77777777" w:rsidTr="007B5E49">
        <w:tc>
          <w:tcPr>
            <w:tcW w:w="2153" w:type="dxa"/>
          </w:tcPr>
          <w:p w14:paraId="0CA71A30"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Any immune related TEAE</w:t>
            </w:r>
          </w:p>
        </w:tc>
        <w:tc>
          <w:tcPr>
            <w:tcW w:w="1014" w:type="dxa"/>
            <w:vAlign w:val="center"/>
          </w:tcPr>
          <w:p w14:paraId="01A45CD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155 (39.4)</w:t>
            </w:r>
          </w:p>
        </w:tc>
        <w:tc>
          <w:tcPr>
            <w:tcW w:w="1014" w:type="dxa"/>
            <w:vAlign w:val="center"/>
          </w:tcPr>
          <w:p w14:paraId="198A367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102 (26.3)</w:t>
            </w:r>
          </w:p>
        </w:tc>
        <w:tc>
          <w:tcPr>
            <w:tcW w:w="1014" w:type="dxa"/>
            <w:vAlign w:val="center"/>
          </w:tcPr>
          <w:p w14:paraId="665839F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137 (56.8)</w:t>
            </w:r>
          </w:p>
        </w:tc>
        <w:tc>
          <w:tcPr>
            <w:tcW w:w="1118" w:type="dxa"/>
            <w:vAlign w:val="center"/>
          </w:tcPr>
          <w:p w14:paraId="61B489B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88 (35.8)</w:t>
            </w:r>
          </w:p>
        </w:tc>
        <w:tc>
          <w:tcPr>
            <w:tcW w:w="1096" w:type="dxa"/>
            <w:vAlign w:val="center"/>
          </w:tcPr>
          <w:p w14:paraId="66131C1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16 (6.8)</w:t>
            </w:r>
          </w:p>
        </w:tc>
        <w:tc>
          <w:tcPr>
            <w:tcW w:w="1013" w:type="dxa"/>
            <w:vAlign w:val="center"/>
          </w:tcPr>
          <w:p w14:paraId="0628D76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66 (28.1)</w:t>
            </w:r>
          </w:p>
        </w:tc>
        <w:tc>
          <w:tcPr>
            <w:tcW w:w="1192" w:type="dxa"/>
            <w:vAlign w:val="center"/>
          </w:tcPr>
          <w:p w14:paraId="67DC3D5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56 (23.5)</w:t>
            </w:r>
          </w:p>
        </w:tc>
      </w:tr>
      <w:tr w:rsidR="00A3213F" w:rsidRPr="00AB6F27" w14:paraId="6131DCF2" w14:textId="77777777" w:rsidTr="007B5E49">
        <w:tc>
          <w:tcPr>
            <w:tcW w:w="2153" w:type="dxa"/>
          </w:tcPr>
          <w:p w14:paraId="1E615171" w14:textId="77777777" w:rsidR="00A3213F" w:rsidRPr="00AB6F27" w:rsidRDefault="00A3213F" w:rsidP="007B5E49">
            <w:pPr>
              <w:keepNext/>
              <w:ind w:left="174"/>
              <w:jc w:val="left"/>
              <w:rPr>
                <w:rFonts w:ascii="Arial Narrow" w:hAnsi="Arial Narrow"/>
                <w:sz w:val="20"/>
                <w:szCs w:val="20"/>
              </w:rPr>
            </w:pPr>
            <w:r w:rsidRPr="00AB6F27">
              <w:rPr>
                <w:rFonts w:ascii="Arial Narrow" w:hAnsi="Arial Narrow"/>
                <w:sz w:val="20"/>
                <w:szCs w:val="20"/>
              </w:rPr>
              <w:t xml:space="preserve">Any TEAE Intervention or PBO related </w:t>
            </w:r>
            <w:proofErr w:type="spellStart"/>
            <w:r w:rsidRPr="00AB6F27">
              <w:rPr>
                <w:rFonts w:ascii="Arial Narrow" w:hAnsi="Arial Narrow"/>
                <w:sz w:val="20"/>
                <w:szCs w:val="20"/>
              </w:rPr>
              <w:t>irAEs</w:t>
            </w:r>
            <w:proofErr w:type="spellEnd"/>
          </w:p>
        </w:tc>
        <w:tc>
          <w:tcPr>
            <w:tcW w:w="1014" w:type="dxa"/>
            <w:vAlign w:val="center"/>
          </w:tcPr>
          <w:p w14:paraId="167E27A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4" w:type="dxa"/>
            <w:vAlign w:val="center"/>
          </w:tcPr>
          <w:p w14:paraId="00C4161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4" w:type="dxa"/>
            <w:vAlign w:val="center"/>
          </w:tcPr>
          <w:p w14:paraId="7D8F99A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92 (38.2)</w:t>
            </w:r>
          </w:p>
        </w:tc>
        <w:tc>
          <w:tcPr>
            <w:tcW w:w="1118" w:type="dxa"/>
            <w:vAlign w:val="center"/>
          </w:tcPr>
          <w:p w14:paraId="0906E28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38 (15.4)</w:t>
            </w:r>
          </w:p>
        </w:tc>
        <w:tc>
          <w:tcPr>
            <w:tcW w:w="1096" w:type="dxa"/>
            <w:vAlign w:val="center"/>
          </w:tcPr>
          <w:p w14:paraId="682D3D4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3" w:type="dxa"/>
            <w:vAlign w:val="center"/>
          </w:tcPr>
          <w:p w14:paraId="2A944CF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92" w:type="dxa"/>
            <w:vAlign w:val="center"/>
          </w:tcPr>
          <w:p w14:paraId="1658A15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r>
      <w:tr w:rsidR="00A3213F" w:rsidRPr="00AB6F27" w14:paraId="1900CE4B" w14:textId="77777777" w:rsidTr="007B5E49">
        <w:tc>
          <w:tcPr>
            <w:tcW w:w="2153" w:type="dxa"/>
          </w:tcPr>
          <w:p w14:paraId="50F60A0D"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Any infusion-related outcomes</w:t>
            </w:r>
          </w:p>
        </w:tc>
        <w:tc>
          <w:tcPr>
            <w:tcW w:w="1014" w:type="dxa"/>
            <w:vAlign w:val="center"/>
          </w:tcPr>
          <w:p w14:paraId="09EC824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74 (18.9)</w:t>
            </w:r>
          </w:p>
        </w:tc>
        <w:tc>
          <w:tcPr>
            <w:tcW w:w="1014" w:type="dxa"/>
            <w:vAlign w:val="center"/>
          </w:tcPr>
          <w:p w14:paraId="514E59F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72 (18.6)</w:t>
            </w:r>
          </w:p>
        </w:tc>
        <w:tc>
          <w:tcPr>
            <w:tcW w:w="1014" w:type="dxa"/>
            <w:vAlign w:val="center"/>
          </w:tcPr>
          <w:p w14:paraId="45DE752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44 (18.3)</w:t>
            </w:r>
          </w:p>
        </w:tc>
        <w:tc>
          <w:tcPr>
            <w:tcW w:w="1118" w:type="dxa"/>
            <w:vAlign w:val="center"/>
          </w:tcPr>
          <w:p w14:paraId="024249B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49 (19.9)</w:t>
            </w:r>
          </w:p>
        </w:tc>
        <w:tc>
          <w:tcPr>
            <w:tcW w:w="1096" w:type="dxa"/>
            <w:vAlign w:val="center"/>
          </w:tcPr>
          <w:p w14:paraId="4413C44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24 (10.2)</w:t>
            </w:r>
          </w:p>
        </w:tc>
        <w:tc>
          <w:tcPr>
            <w:tcW w:w="1013" w:type="dxa"/>
            <w:vAlign w:val="center"/>
          </w:tcPr>
          <w:p w14:paraId="455ECCB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 (6.4)</w:t>
            </w:r>
          </w:p>
        </w:tc>
        <w:tc>
          <w:tcPr>
            <w:tcW w:w="1192" w:type="dxa"/>
            <w:vAlign w:val="center"/>
          </w:tcPr>
          <w:p w14:paraId="60E053E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14 (5.9)</w:t>
            </w:r>
          </w:p>
        </w:tc>
      </w:tr>
      <w:tr w:rsidR="00A3213F" w:rsidRPr="00AB6F27" w14:paraId="7692F632" w14:textId="77777777" w:rsidTr="007B5E49">
        <w:tc>
          <w:tcPr>
            <w:tcW w:w="2153" w:type="dxa"/>
          </w:tcPr>
          <w:p w14:paraId="4EF6DE40" w14:textId="77777777" w:rsidR="00A3213F" w:rsidRPr="00AB6F27" w:rsidRDefault="00A3213F" w:rsidP="007B5E49">
            <w:pPr>
              <w:keepNext/>
              <w:jc w:val="left"/>
              <w:rPr>
                <w:rFonts w:ascii="Arial Narrow" w:hAnsi="Arial Narrow"/>
                <w:b/>
                <w:sz w:val="20"/>
                <w:szCs w:val="20"/>
              </w:rPr>
            </w:pPr>
            <w:r w:rsidRPr="00AB6F27">
              <w:rPr>
                <w:rFonts w:ascii="Arial Narrow" w:hAnsi="Arial Narrow"/>
                <w:b/>
                <w:sz w:val="20"/>
                <w:szCs w:val="20"/>
              </w:rPr>
              <w:t>Led to death</w:t>
            </w:r>
          </w:p>
        </w:tc>
        <w:tc>
          <w:tcPr>
            <w:tcW w:w="1014" w:type="dxa"/>
            <w:vAlign w:val="center"/>
          </w:tcPr>
          <w:p w14:paraId="6FB9104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10 (2.6)</w:t>
            </w:r>
          </w:p>
        </w:tc>
        <w:tc>
          <w:tcPr>
            <w:tcW w:w="1014" w:type="dxa"/>
            <w:vAlign w:val="center"/>
          </w:tcPr>
          <w:p w14:paraId="29B20AC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 (1.0)</w:t>
            </w:r>
          </w:p>
        </w:tc>
        <w:tc>
          <w:tcPr>
            <w:tcW w:w="1014" w:type="dxa"/>
            <w:vAlign w:val="center"/>
          </w:tcPr>
          <w:p w14:paraId="2E5504F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c>
          <w:tcPr>
            <w:tcW w:w="1118" w:type="dxa"/>
            <w:vAlign w:val="center"/>
          </w:tcPr>
          <w:p w14:paraId="0EAC047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0</w:t>
            </w:r>
          </w:p>
        </w:tc>
        <w:tc>
          <w:tcPr>
            <w:tcW w:w="1096" w:type="dxa"/>
            <w:vAlign w:val="center"/>
          </w:tcPr>
          <w:p w14:paraId="783444C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 (3.4)</w:t>
            </w:r>
          </w:p>
        </w:tc>
        <w:tc>
          <w:tcPr>
            <w:tcW w:w="1013" w:type="dxa"/>
            <w:vAlign w:val="center"/>
          </w:tcPr>
          <w:p w14:paraId="083FC10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 (1.7)</w:t>
            </w:r>
          </w:p>
        </w:tc>
        <w:tc>
          <w:tcPr>
            <w:tcW w:w="1192" w:type="dxa"/>
            <w:vAlign w:val="center"/>
          </w:tcPr>
          <w:p w14:paraId="10DC82C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r>
      <w:tr w:rsidR="00A3213F" w:rsidRPr="00AB6F27" w14:paraId="23A38293" w14:textId="77777777" w:rsidTr="007B5E49">
        <w:tc>
          <w:tcPr>
            <w:tcW w:w="2153" w:type="dxa"/>
          </w:tcPr>
          <w:p w14:paraId="7EFBC270" w14:textId="77777777" w:rsidR="00A3213F" w:rsidRPr="00AB6F27" w:rsidRDefault="00A3213F" w:rsidP="007B5E49">
            <w:pPr>
              <w:keepNext/>
              <w:ind w:left="174"/>
              <w:jc w:val="left"/>
              <w:rPr>
                <w:rFonts w:ascii="Arial Narrow" w:hAnsi="Arial Narrow"/>
                <w:sz w:val="20"/>
                <w:szCs w:val="20"/>
              </w:rPr>
            </w:pPr>
            <w:r w:rsidRPr="00AB6F27">
              <w:rPr>
                <w:rFonts w:ascii="Arial Narrow" w:hAnsi="Arial Narrow"/>
                <w:sz w:val="20"/>
                <w:szCs w:val="20"/>
              </w:rPr>
              <w:t>Drug-related AEs leading to death</w:t>
            </w:r>
          </w:p>
        </w:tc>
        <w:tc>
          <w:tcPr>
            <w:tcW w:w="1014" w:type="dxa"/>
            <w:vAlign w:val="center"/>
          </w:tcPr>
          <w:p w14:paraId="1B5F40A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 (0.8)</w:t>
            </w:r>
          </w:p>
        </w:tc>
        <w:tc>
          <w:tcPr>
            <w:tcW w:w="1014" w:type="dxa"/>
            <w:vAlign w:val="center"/>
          </w:tcPr>
          <w:p w14:paraId="303FBA7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 (0.5)</w:t>
            </w:r>
          </w:p>
        </w:tc>
        <w:tc>
          <w:tcPr>
            <w:tcW w:w="1014" w:type="dxa"/>
            <w:vAlign w:val="center"/>
          </w:tcPr>
          <w:p w14:paraId="17E0DD0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 (0.8)</w:t>
            </w:r>
          </w:p>
        </w:tc>
        <w:tc>
          <w:tcPr>
            <w:tcW w:w="1118" w:type="dxa"/>
            <w:vAlign w:val="center"/>
          </w:tcPr>
          <w:p w14:paraId="288CADD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0</w:t>
            </w:r>
          </w:p>
        </w:tc>
        <w:tc>
          <w:tcPr>
            <w:tcW w:w="1096" w:type="dxa"/>
            <w:vAlign w:val="center"/>
          </w:tcPr>
          <w:p w14:paraId="37F6B9F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013" w:type="dxa"/>
            <w:vAlign w:val="center"/>
          </w:tcPr>
          <w:p w14:paraId="0F49524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92" w:type="dxa"/>
            <w:vAlign w:val="center"/>
          </w:tcPr>
          <w:p w14:paraId="0AE58EC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r>
    </w:tbl>
    <w:p w14:paraId="52D4F4CD" w14:textId="77777777" w:rsidR="00A3213F" w:rsidRPr="00AB6F27" w:rsidRDefault="00A3213F" w:rsidP="00A3213F">
      <w:pPr>
        <w:keepNext/>
        <w:jc w:val="left"/>
        <w:rPr>
          <w:rFonts w:ascii="Arial Narrow" w:hAnsi="Arial Narrow"/>
          <w:sz w:val="18"/>
          <w:szCs w:val="18"/>
        </w:rPr>
      </w:pPr>
      <w:r w:rsidRPr="00AB6F27">
        <w:rPr>
          <w:rFonts w:ascii="Arial Narrow" w:hAnsi="Arial Narrow"/>
          <w:sz w:val="18"/>
          <w:szCs w:val="18"/>
        </w:rPr>
        <w:t>Source: Table 2.5-11, p151 of the submission</w:t>
      </w:r>
    </w:p>
    <w:p w14:paraId="4EC04D8A" w14:textId="77777777" w:rsidR="00A3213F" w:rsidRPr="00AB6F27" w:rsidRDefault="00A3213F" w:rsidP="00A3213F">
      <w:pPr>
        <w:keepNext/>
        <w:jc w:val="left"/>
        <w:rPr>
          <w:rFonts w:ascii="Arial Narrow" w:hAnsi="Arial Narrow"/>
          <w:sz w:val="18"/>
          <w:szCs w:val="18"/>
        </w:rPr>
      </w:pPr>
      <w:r w:rsidRPr="00AB6F27">
        <w:rPr>
          <w:rFonts w:ascii="Arial Narrow" w:hAnsi="Arial Narrow"/>
          <w:sz w:val="18"/>
          <w:szCs w:val="18"/>
        </w:rPr>
        <w:t>Abbreviations: AE = Adverse event; DCO = data cut-off; TEAE = treatment emergent adverse event; DUR = durvalumab; DOS = dostarlimab; OLA = Olaparib; PBC = platinum based chemotherapy; PEM = pembrolizumab</w:t>
      </w:r>
    </w:p>
    <w:p w14:paraId="426B84A5" w14:textId="77777777" w:rsidR="00A3213F" w:rsidRPr="00AB6F27" w:rsidRDefault="00A3213F" w:rsidP="00A3213F">
      <w:pPr>
        <w:rPr>
          <w:rFonts w:ascii="Arial Narrow" w:hAnsi="Arial Narrow"/>
          <w:sz w:val="18"/>
          <w:szCs w:val="18"/>
        </w:rPr>
      </w:pPr>
      <w:r w:rsidRPr="00AB6F27">
        <w:rPr>
          <w:rFonts w:ascii="Arial Narrow" w:hAnsi="Arial Narrow"/>
          <w:sz w:val="18"/>
          <w:szCs w:val="18"/>
        </w:rPr>
        <w:t xml:space="preserve">Note: Following IA1 in NRG-GY018 the majority &gt;99% of PBO+PBC patients discontinued study treatment </w:t>
      </w:r>
      <w:proofErr w:type="gramStart"/>
      <w:r w:rsidRPr="00AB6F27">
        <w:rPr>
          <w:rFonts w:ascii="Arial Narrow" w:hAnsi="Arial Narrow"/>
          <w:sz w:val="18"/>
          <w:szCs w:val="18"/>
        </w:rPr>
        <w:t>as a result of</w:t>
      </w:r>
      <w:proofErr w:type="gramEnd"/>
      <w:r w:rsidRPr="00AB6F27">
        <w:rPr>
          <w:rFonts w:ascii="Arial Narrow" w:hAnsi="Arial Narrow"/>
          <w:sz w:val="18"/>
          <w:szCs w:val="18"/>
        </w:rPr>
        <w:t xml:space="preserve"> unblinding.</w:t>
      </w:r>
    </w:p>
    <w:p w14:paraId="31CC7BCB" w14:textId="77777777" w:rsidR="00A3213F" w:rsidRPr="00AB6F27" w:rsidRDefault="00A3213F" w:rsidP="00A3213F">
      <w:pPr>
        <w:keepNext/>
        <w:rPr>
          <w:rFonts w:ascii="Arial Narrow" w:hAnsi="Arial Narrow"/>
          <w:sz w:val="18"/>
          <w:szCs w:val="18"/>
        </w:rPr>
      </w:pPr>
    </w:p>
    <w:p w14:paraId="0CB5EA06" w14:textId="37F50B5B" w:rsidR="00A3213F" w:rsidRPr="00AB6F27" w:rsidRDefault="00A3213F" w:rsidP="00A3213F">
      <w:pPr>
        <w:pStyle w:val="Caption"/>
      </w:pPr>
      <w:bookmarkStart w:id="51" w:name="_Ref196309042"/>
      <w:r w:rsidRPr="00AB6F27">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13</w:t>
      </w:r>
      <w:r w:rsidR="00976099" w:rsidRPr="00AB6F27">
        <w:rPr>
          <w:noProof/>
        </w:rPr>
        <w:fldChar w:fldCharType="end"/>
      </w:r>
      <w:bookmarkEnd w:id="51"/>
      <w:r w:rsidRPr="00AB6F27">
        <w:t xml:space="preserve">: Summary of TEAEs ≥ Grade 3 in ≥5% patients and most frequently occurring immune-related TEAEs </w:t>
      </w:r>
    </w:p>
    <w:tbl>
      <w:tblPr>
        <w:tblStyle w:val="TableGrid"/>
        <w:tblW w:w="5000" w:type="pct"/>
        <w:tblLayout w:type="fixed"/>
        <w:tblLook w:val="04A0" w:firstRow="1" w:lastRow="0" w:firstColumn="1" w:lastColumn="0" w:noHBand="0" w:noVBand="1"/>
        <w:tblCaption w:val="Table 13: Summary of TEAEs ≥ Grade 3 in ≥5% patients and most frequently occurring immune-related TEAEs "/>
      </w:tblPr>
      <w:tblGrid>
        <w:gridCol w:w="1713"/>
        <w:gridCol w:w="1064"/>
        <w:gridCol w:w="1065"/>
        <w:gridCol w:w="1065"/>
        <w:gridCol w:w="1065"/>
        <w:gridCol w:w="1065"/>
        <w:gridCol w:w="1026"/>
        <w:gridCol w:w="946"/>
        <w:gridCol w:w="8"/>
      </w:tblGrid>
      <w:tr w:rsidR="00A3213F" w:rsidRPr="00E75953" w14:paraId="350EB211" w14:textId="77777777" w:rsidTr="007B5E49">
        <w:tc>
          <w:tcPr>
            <w:tcW w:w="1838" w:type="dxa"/>
            <w:noWrap/>
          </w:tcPr>
          <w:p w14:paraId="39DFA266" w14:textId="77777777" w:rsidR="00A3213F" w:rsidRPr="00AB6F27" w:rsidRDefault="00A3213F" w:rsidP="007B5E49">
            <w:pPr>
              <w:keepNext/>
              <w:rPr>
                <w:rFonts w:ascii="Arial Narrow" w:hAnsi="Arial Narrow"/>
                <w:b/>
                <w:sz w:val="20"/>
                <w:szCs w:val="20"/>
              </w:rPr>
            </w:pPr>
          </w:p>
        </w:tc>
        <w:tc>
          <w:tcPr>
            <w:tcW w:w="2268" w:type="dxa"/>
            <w:gridSpan w:val="2"/>
            <w:noWrap/>
          </w:tcPr>
          <w:p w14:paraId="53660210" w14:textId="77777777" w:rsidR="00A3213F" w:rsidRPr="00AB6F27" w:rsidRDefault="00A3213F" w:rsidP="007B5E49">
            <w:pPr>
              <w:keepNext/>
              <w:jc w:val="center"/>
              <w:rPr>
                <w:rFonts w:ascii="Arial Narrow" w:hAnsi="Arial Narrow"/>
                <w:sz w:val="20"/>
                <w:szCs w:val="20"/>
              </w:rPr>
            </w:pPr>
            <w:r w:rsidRPr="00AB6F27">
              <w:rPr>
                <w:rFonts w:ascii="Arial Narrow" w:hAnsi="Arial Narrow"/>
                <w:b/>
                <w:sz w:val="20"/>
                <w:szCs w:val="20"/>
              </w:rPr>
              <w:t>NRG-GY018 EUR</w:t>
            </w:r>
          </w:p>
        </w:tc>
        <w:tc>
          <w:tcPr>
            <w:tcW w:w="2268" w:type="dxa"/>
            <w:gridSpan w:val="2"/>
          </w:tcPr>
          <w:p w14:paraId="0B6A05F1" w14:textId="77777777" w:rsidR="00A3213F" w:rsidRPr="00AB6F27" w:rsidRDefault="00A3213F" w:rsidP="007B5E49">
            <w:pPr>
              <w:keepNext/>
              <w:jc w:val="center"/>
              <w:rPr>
                <w:rFonts w:ascii="Arial Narrow" w:hAnsi="Arial Narrow"/>
                <w:sz w:val="20"/>
                <w:szCs w:val="20"/>
              </w:rPr>
            </w:pPr>
            <w:r w:rsidRPr="00AB6F27">
              <w:rPr>
                <w:rFonts w:ascii="Arial Narrow" w:hAnsi="Arial Narrow"/>
                <w:b/>
                <w:sz w:val="20"/>
                <w:szCs w:val="20"/>
              </w:rPr>
              <w:t>RUBY-1 IA1</w:t>
            </w:r>
          </w:p>
        </w:tc>
        <w:tc>
          <w:tcPr>
            <w:tcW w:w="3240" w:type="dxa"/>
            <w:gridSpan w:val="4"/>
          </w:tcPr>
          <w:p w14:paraId="7D72B820" w14:textId="77777777" w:rsidR="00A3213F" w:rsidRPr="00B510A0" w:rsidRDefault="00A3213F" w:rsidP="007B5E49">
            <w:pPr>
              <w:keepNext/>
              <w:jc w:val="center"/>
              <w:rPr>
                <w:rFonts w:ascii="Arial Narrow" w:hAnsi="Arial Narrow"/>
                <w:b/>
                <w:sz w:val="20"/>
                <w:szCs w:val="20"/>
                <w:lang w:val="pt-BR"/>
              </w:rPr>
            </w:pPr>
            <w:r w:rsidRPr="00B510A0">
              <w:rPr>
                <w:rFonts w:ascii="Arial Narrow" w:hAnsi="Arial Narrow"/>
                <w:b/>
                <w:sz w:val="20"/>
                <w:szCs w:val="20"/>
                <w:lang w:val="pt-BR"/>
              </w:rPr>
              <w:t>DUO-E (chemo+maintenance) IA1</w:t>
            </w:r>
          </w:p>
        </w:tc>
      </w:tr>
      <w:tr w:rsidR="00A3213F" w:rsidRPr="00AB6F27" w14:paraId="2CD7CFDD" w14:textId="77777777" w:rsidTr="007B5E49">
        <w:trPr>
          <w:gridAfter w:val="1"/>
          <w:wAfter w:w="8" w:type="dxa"/>
        </w:trPr>
        <w:tc>
          <w:tcPr>
            <w:tcW w:w="6374" w:type="dxa"/>
            <w:gridSpan w:val="5"/>
            <w:noWrap/>
          </w:tcPr>
          <w:p w14:paraId="0FD1F532" w14:textId="7F38F1FF" w:rsidR="00A3213F" w:rsidRPr="00AB6F27" w:rsidRDefault="00A3213F" w:rsidP="007B5E49">
            <w:pPr>
              <w:keepNext/>
              <w:rPr>
                <w:rFonts w:ascii="Arial Narrow" w:hAnsi="Arial Narrow"/>
                <w:sz w:val="20"/>
                <w:szCs w:val="20"/>
              </w:rPr>
            </w:pPr>
            <w:r w:rsidRPr="00AB6F27">
              <w:rPr>
                <w:rFonts w:ascii="Arial Narrow" w:hAnsi="Arial Narrow"/>
                <w:b/>
                <w:sz w:val="20"/>
                <w:szCs w:val="20"/>
              </w:rPr>
              <w:t xml:space="preserve">Grade ≥3 TRAE n (%) occurring in ≥5% of </w:t>
            </w:r>
            <w:r w:rsidR="00816B84" w:rsidRPr="00AB6F27">
              <w:rPr>
                <w:rFonts w:ascii="Arial Narrow" w:hAnsi="Arial Narrow"/>
                <w:b/>
                <w:sz w:val="20"/>
                <w:szCs w:val="20"/>
              </w:rPr>
              <w:t>patient</w:t>
            </w:r>
            <w:r w:rsidRPr="00AB6F27">
              <w:rPr>
                <w:rFonts w:ascii="Arial Narrow" w:hAnsi="Arial Narrow"/>
                <w:b/>
                <w:sz w:val="20"/>
                <w:szCs w:val="20"/>
              </w:rPr>
              <w:t>s</w:t>
            </w:r>
          </w:p>
        </w:tc>
        <w:tc>
          <w:tcPr>
            <w:tcW w:w="1134" w:type="dxa"/>
          </w:tcPr>
          <w:p w14:paraId="04B8296D" w14:textId="77777777" w:rsidR="00A3213F" w:rsidRPr="00AB6F27" w:rsidRDefault="00A3213F" w:rsidP="007B5E49">
            <w:pPr>
              <w:keepNext/>
              <w:rPr>
                <w:rFonts w:ascii="Arial Narrow" w:hAnsi="Arial Narrow"/>
                <w:sz w:val="20"/>
                <w:szCs w:val="20"/>
              </w:rPr>
            </w:pPr>
          </w:p>
        </w:tc>
        <w:tc>
          <w:tcPr>
            <w:tcW w:w="1092" w:type="dxa"/>
          </w:tcPr>
          <w:p w14:paraId="2819FF29" w14:textId="77777777" w:rsidR="00A3213F" w:rsidRPr="00AB6F27" w:rsidRDefault="00A3213F" w:rsidP="007B5E49">
            <w:pPr>
              <w:keepNext/>
              <w:rPr>
                <w:rFonts w:ascii="Arial Narrow" w:hAnsi="Arial Narrow"/>
                <w:sz w:val="20"/>
                <w:szCs w:val="20"/>
              </w:rPr>
            </w:pPr>
          </w:p>
        </w:tc>
        <w:tc>
          <w:tcPr>
            <w:tcW w:w="1006" w:type="dxa"/>
          </w:tcPr>
          <w:p w14:paraId="085E8317" w14:textId="77777777" w:rsidR="00A3213F" w:rsidRPr="00AB6F27" w:rsidRDefault="00A3213F" w:rsidP="007B5E49">
            <w:pPr>
              <w:keepNext/>
              <w:rPr>
                <w:rFonts w:ascii="Arial Narrow" w:hAnsi="Arial Narrow"/>
                <w:sz w:val="20"/>
                <w:szCs w:val="20"/>
              </w:rPr>
            </w:pPr>
          </w:p>
        </w:tc>
      </w:tr>
      <w:tr w:rsidR="00A3213F" w:rsidRPr="00AB6F27" w14:paraId="665C6DCD" w14:textId="77777777" w:rsidTr="007B5E49">
        <w:trPr>
          <w:gridAfter w:val="1"/>
          <w:wAfter w:w="8" w:type="dxa"/>
        </w:trPr>
        <w:tc>
          <w:tcPr>
            <w:tcW w:w="1838" w:type="dxa"/>
            <w:noWrap/>
          </w:tcPr>
          <w:p w14:paraId="6E4E2833" w14:textId="77777777" w:rsidR="00A3213F" w:rsidRPr="00AB6F27" w:rsidRDefault="00A3213F" w:rsidP="007B5E49">
            <w:pPr>
              <w:keepNext/>
              <w:rPr>
                <w:rFonts w:ascii="Arial Narrow" w:hAnsi="Arial Narrow"/>
                <w:b/>
                <w:sz w:val="20"/>
                <w:szCs w:val="20"/>
              </w:rPr>
            </w:pPr>
          </w:p>
        </w:tc>
        <w:tc>
          <w:tcPr>
            <w:tcW w:w="1134" w:type="dxa"/>
            <w:noWrap/>
            <w:vAlign w:val="center"/>
          </w:tcPr>
          <w:p w14:paraId="47692157" w14:textId="77777777" w:rsidR="00A3213F" w:rsidRPr="00AB6F27" w:rsidRDefault="00A3213F" w:rsidP="007B5E49">
            <w:pPr>
              <w:keepNext/>
              <w:jc w:val="center"/>
              <w:rPr>
                <w:rFonts w:ascii="Arial Narrow" w:hAnsi="Arial Narrow"/>
                <w:sz w:val="20"/>
                <w:szCs w:val="20"/>
              </w:rPr>
            </w:pPr>
            <w:r w:rsidRPr="00AB6F27">
              <w:rPr>
                <w:rFonts w:ascii="Arial Narrow" w:hAnsi="Arial Narrow"/>
                <w:b/>
                <w:sz w:val="20"/>
                <w:szCs w:val="20"/>
              </w:rPr>
              <w:t>PEM+PBC</w:t>
            </w:r>
            <w:r w:rsidRPr="00AB6F27">
              <w:rPr>
                <w:rFonts w:ascii="Arial Narrow" w:hAnsi="Arial Narrow"/>
                <w:b/>
                <w:sz w:val="20"/>
                <w:szCs w:val="20"/>
              </w:rPr>
              <w:br/>
            </w:r>
            <w:r w:rsidRPr="00AB6F27">
              <w:rPr>
                <w:rFonts w:ascii="Arial Narrow" w:hAnsi="Arial Narrow"/>
                <w:b/>
                <w:sz w:val="20"/>
                <w:szCs w:val="20"/>
              </w:rPr>
              <w:br/>
              <w:t>N=391</w:t>
            </w:r>
          </w:p>
        </w:tc>
        <w:tc>
          <w:tcPr>
            <w:tcW w:w="1134" w:type="dxa"/>
            <w:vAlign w:val="center"/>
          </w:tcPr>
          <w:p w14:paraId="2730E757" w14:textId="77777777" w:rsidR="00A3213F" w:rsidRPr="00AB6F27" w:rsidRDefault="00A3213F" w:rsidP="007B5E49">
            <w:pPr>
              <w:keepNext/>
              <w:jc w:val="center"/>
              <w:rPr>
                <w:rFonts w:ascii="Arial Narrow" w:hAnsi="Arial Narrow"/>
                <w:sz w:val="20"/>
                <w:szCs w:val="20"/>
              </w:rPr>
            </w:pPr>
            <w:r w:rsidRPr="00AB6F27">
              <w:rPr>
                <w:rFonts w:ascii="Arial Narrow" w:hAnsi="Arial Narrow"/>
                <w:b/>
                <w:sz w:val="20"/>
                <w:szCs w:val="20"/>
              </w:rPr>
              <w:t>PBO+PBC</w:t>
            </w:r>
            <w:r w:rsidRPr="00AB6F27">
              <w:rPr>
                <w:rFonts w:ascii="Arial Narrow" w:hAnsi="Arial Narrow"/>
                <w:b/>
                <w:sz w:val="20"/>
                <w:szCs w:val="20"/>
              </w:rPr>
              <w:br/>
            </w:r>
            <w:r w:rsidRPr="00AB6F27">
              <w:rPr>
                <w:rFonts w:ascii="Arial Narrow" w:hAnsi="Arial Narrow"/>
                <w:b/>
                <w:sz w:val="20"/>
                <w:szCs w:val="20"/>
              </w:rPr>
              <w:br/>
              <w:t>N=388</w:t>
            </w:r>
          </w:p>
        </w:tc>
        <w:tc>
          <w:tcPr>
            <w:tcW w:w="1134" w:type="dxa"/>
            <w:vAlign w:val="center"/>
          </w:tcPr>
          <w:p w14:paraId="1A27BB31"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DOS+PBC</w:t>
            </w:r>
            <w:r w:rsidRPr="00AB6F27">
              <w:rPr>
                <w:rFonts w:ascii="Arial Narrow" w:hAnsi="Arial Narrow"/>
                <w:b/>
                <w:sz w:val="20"/>
                <w:szCs w:val="20"/>
              </w:rPr>
              <w:br/>
            </w:r>
            <w:r w:rsidRPr="00AB6F27">
              <w:rPr>
                <w:rFonts w:ascii="Arial Narrow" w:hAnsi="Arial Narrow"/>
                <w:b/>
                <w:sz w:val="20"/>
                <w:szCs w:val="20"/>
              </w:rPr>
              <w:br/>
              <w:t>N=241</w:t>
            </w:r>
          </w:p>
        </w:tc>
        <w:tc>
          <w:tcPr>
            <w:tcW w:w="1134" w:type="dxa"/>
            <w:vAlign w:val="center"/>
          </w:tcPr>
          <w:p w14:paraId="0144FE54"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PBO+PBC</w:t>
            </w:r>
            <w:r w:rsidRPr="00AB6F27">
              <w:rPr>
                <w:rFonts w:ascii="Arial Narrow" w:hAnsi="Arial Narrow"/>
                <w:b/>
                <w:sz w:val="20"/>
                <w:szCs w:val="20"/>
              </w:rPr>
              <w:br/>
            </w:r>
            <w:r w:rsidRPr="00AB6F27">
              <w:rPr>
                <w:rFonts w:ascii="Arial Narrow" w:hAnsi="Arial Narrow"/>
                <w:b/>
                <w:sz w:val="20"/>
                <w:szCs w:val="20"/>
              </w:rPr>
              <w:br/>
              <w:t>N=246</w:t>
            </w:r>
          </w:p>
        </w:tc>
        <w:tc>
          <w:tcPr>
            <w:tcW w:w="1134" w:type="dxa"/>
            <w:vAlign w:val="center"/>
          </w:tcPr>
          <w:p w14:paraId="4EDD807B"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PBO+PBC</w:t>
            </w:r>
            <w:r w:rsidRPr="00AB6F27">
              <w:rPr>
                <w:rFonts w:ascii="Arial Narrow" w:hAnsi="Arial Narrow"/>
                <w:b/>
                <w:sz w:val="20"/>
                <w:szCs w:val="20"/>
              </w:rPr>
              <w:br/>
            </w:r>
            <w:r w:rsidRPr="00AB6F27">
              <w:rPr>
                <w:rFonts w:ascii="Arial Narrow" w:hAnsi="Arial Narrow"/>
                <w:b/>
                <w:sz w:val="20"/>
                <w:szCs w:val="20"/>
              </w:rPr>
              <w:br/>
              <w:t>N=236</w:t>
            </w:r>
          </w:p>
        </w:tc>
        <w:tc>
          <w:tcPr>
            <w:tcW w:w="1092" w:type="dxa"/>
            <w:vAlign w:val="center"/>
          </w:tcPr>
          <w:p w14:paraId="2296CFB8"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DUR+PBC</w:t>
            </w:r>
            <w:r w:rsidRPr="00AB6F27">
              <w:rPr>
                <w:rFonts w:ascii="Arial Narrow" w:hAnsi="Arial Narrow"/>
                <w:b/>
                <w:sz w:val="20"/>
                <w:szCs w:val="20"/>
              </w:rPr>
              <w:br/>
            </w:r>
            <w:r w:rsidRPr="00AB6F27">
              <w:rPr>
                <w:rFonts w:ascii="Arial Narrow" w:hAnsi="Arial Narrow"/>
                <w:b/>
                <w:sz w:val="20"/>
                <w:szCs w:val="20"/>
              </w:rPr>
              <w:br/>
              <w:t>N=235</w:t>
            </w:r>
          </w:p>
        </w:tc>
        <w:tc>
          <w:tcPr>
            <w:tcW w:w="1006" w:type="dxa"/>
            <w:vAlign w:val="center"/>
          </w:tcPr>
          <w:p w14:paraId="0EAB8D67"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DUR+PBC+OLA</w:t>
            </w:r>
            <w:r w:rsidRPr="00AB6F27">
              <w:rPr>
                <w:rFonts w:ascii="Arial Narrow" w:hAnsi="Arial Narrow"/>
                <w:b/>
                <w:sz w:val="20"/>
                <w:szCs w:val="20"/>
              </w:rPr>
              <w:br/>
              <w:t>N=238</w:t>
            </w:r>
          </w:p>
        </w:tc>
      </w:tr>
      <w:tr w:rsidR="00A3213F" w:rsidRPr="00AB6F27" w14:paraId="28344D65" w14:textId="77777777" w:rsidTr="007B5E49">
        <w:trPr>
          <w:gridAfter w:val="1"/>
          <w:wAfter w:w="8" w:type="dxa"/>
        </w:trPr>
        <w:tc>
          <w:tcPr>
            <w:tcW w:w="1838" w:type="dxa"/>
            <w:noWrap/>
          </w:tcPr>
          <w:p w14:paraId="02ED32F5"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Any</w:t>
            </w:r>
          </w:p>
        </w:tc>
        <w:tc>
          <w:tcPr>
            <w:tcW w:w="1134" w:type="dxa"/>
            <w:noWrap/>
            <w:vAlign w:val="center"/>
          </w:tcPr>
          <w:p w14:paraId="60C8A08B"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257 (65.7)</w:t>
            </w:r>
          </w:p>
        </w:tc>
        <w:tc>
          <w:tcPr>
            <w:tcW w:w="1134" w:type="dxa"/>
            <w:vAlign w:val="center"/>
          </w:tcPr>
          <w:p w14:paraId="0BC3CF8A"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191 (49.2)</w:t>
            </w:r>
          </w:p>
        </w:tc>
        <w:tc>
          <w:tcPr>
            <w:tcW w:w="1134" w:type="dxa"/>
            <w:vAlign w:val="center"/>
          </w:tcPr>
          <w:p w14:paraId="71FD9FD8"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170 (70.5)</w:t>
            </w:r>
          </w:p>
        </w:tc>
        <w:tc>
          <w:tcPr>
            <w:tcW w:w="1134" w:type="dxa"/>
            <w:vAlign w:val="center"/>
          </w:tcPr>
          <w:p w14:paraId="29EA22F2"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147 (59.8)</w:t>
            </w:r>
          </w:p>
        </w:tc>
        <w:tc>
          <w:tcPr>
            <w:tcW w:w="1134" w:type="dxa"/>
            <w:vAlign w:val="center"/>
          </w:tcPr>
          <w:p w14:paraId="164B72F6"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133 (56.4)</w:t>
            </w:r>
          </w:p>
        </w:tc>
        <w:tc>
          <w:tcPr>
            <w:tcW w:w="1092" w:type="dxa"/>
            <w:vAlign w:val="center"/>
          </w:tcPr>
          <w:p w14:paraId="6786010F"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129 (54.9)</w:t>
            </w:r>
          </w:p>
        </w:tc>
        <w:tc>
          <w:tcPr>
            <w:tcW w:w="1006" w:type="dxa"/>
            <w:vAlign w:val="center"/>
          </w:tcPr>
          <w:p w14:paraId="1AE39769" w14:textId="77777777" w:rsidR="00A3213F" w:rsidRPr="00AB6F27" w:rsidRDefault="00A3213F" w:rsidP="007B5E49">
            <w:pPr>
              <w:keepNext/>
              <w:jc w:val="center"/>
              <w:rPr>
                <w:rFonts w:ascii="Arial Narrow" w:hAnsi="Arial Narrow"/>
                <w:bCs/>
                <w:sz w:val="20"/>
                <w:szCs w:val="20"/>
              </w:rPr>
            </w:pPr>
            <w:r w:rsidRPr="00AB6F27">
              <w:rPr>
                <w:rFonts w:ascii="Arial Narrow" w:hAnsi="Arial Narrow"/>
                <w:bCs/>
                <w:sz w:val="20"/>
                <w:szCs w:val="20"/>
              </w:rPr>
              <w:t>160 (67.2)</w:t>
            </w:r>
          </w:p>
        </w:tc>
      </w:tr>
      <w:tr w:rsidR="00A3213F" w:rsidRPr="00AB6F27" w14:paraId="17448A7E" w14:textId="77777777" w:rsidTr="007B5E49">
        <w:trPr>
          <w:gridAfter w:val="1"/>
          <w:wAfter w:w="8" w:type="dxa"/>
        </w:trPr>
        <w:tc>
          <w:tcPr>
            <w:tcW w:w="1838" w:type="dxa"/>
            <w:noWrap/>
          </w:tcPr>
          <w:p w14:paraId="7989E2A5" w14:textId="77777777" w:rsidR="00A3213F" w:rsidRPr="00AB6F27" w:rsidRDefault="00A3213F" w:rsidP="007B5E49">
            <w:pPr>
              <w:keepNext/>
              <w:jc w:val="left"/>
              <w:rPr>
                <w:rFonts w:ascii="Arial Narrow" w:hAnsi="Arial Narrow"/>
                <w:b/>
                <w:sz w:val="20"/>
                <w:szCs w:val="20"/>
              </w:rPr>
            </w:pPr>
            <w:r w:rsidRPr="00AB6F27">
              <w:rPr>
                <w:rFonts w:ascii="Arial Narrow" w:hAnsi="Arial Narrow"/>
                <w:sz w:val="20"/>
                <w:szCs w:val="20"/>
              </w:rPr>
              <w:t>Anaemia</w:t>
            </w:r>
          </w:p>
        </w:tc>
        <w:tc>
          <w:tcPr>
            <w:tcW w:w="1134" w:type="dxa"/>
            <w:noWrap/>
            <w:vAlign w:val="center"/>
          </w:tcPr>
          <w:p w14:paraId="39C8D4AB" w14:textId="77777777" w:rsidR="00A3213F" w:rsidRPr="00AB6F27" w:rsidRDefault="00A3213F" w:rsidP="007B5E49">
            <w:pPr>
              <w:keepNext/>
              <w:jc w:val="center"/>
              <w:rPr>
                <w:rFonts w:ascii="Arial Narrow" w:hAnsi="Arial Narrow"/>
                <w:b/>
                <w:sz w:val="20"/>
                <w:szCs w:val="20"/>
              </w:rPr>
            </w:pPr>
            <w:r w:rsidRPr="00AB6F27">
              <w:rPr>
                <w:rFonts w:ascii="Arial Narrow" w:hAnsi="Arial Narrow"/>
                <w:sz w:val="20"/>
                <w:szCs w:val="20"/>
              </w:rPr>
              <w:t>66 (16.9)</w:t>
            </w:r>
          </w:p>
        </w:tc>
        <w:tc>
          <w:tcPr>
            <w:tcW w:w="1134" w:type="dxa"/>
            <w:vAlign w:val="center"/>
          </w:tcPr>
          <w:p w14:paraId="6893805B" w14:textId="77777777" w:rsidR="00A3213F" w:rsidRPr="00AB6F27" w:rsidRDefault="00A3213F" w:rsidP="007B5E49">
            <w:pPr>
              <w:keepNext/>
              <w:jc w:val="center"/>
              <w:rPr>
                <w:rFonts w:ascii="Arial Narrow" w:hAnsi="Arial Narrow"/>
                <w:b/>
                <w:sz w:val="20"/>
                <w:szCs w:val="20"/>
              </w:rPr>
            </w:pPr>
            <w:r w:rsidRPr="00AB6F27">
              <w:rPr>
                <w:rFonts w:ascii="Arial Narrow" w:hAnsi="Arial Narrow"/>
                <w:sz w:val="20"/>
                <w:szCs w:val="20"/>
              </w:rPr>
              <w:t>45 (11.6)</w:t>
            </w:r>
          </w:p>
        </w:tc>
        <w:tc>
          <w:tcPr>
            <w:tcW w:w="1134" w:type="dxa"/>
            <w:vAlign w:val="center"/>
          </w:tcPr>
          <w:p w14:paraId="7DB013E6" w14:textId="77777777" w:rsidR="00A3213F" w:rsidRPr="00AB6F27" w:rsidRDefault="00A3213F" w:rsidP="007B5E49">
            <w:pPr>
              <w:keepNext/>
              <w:jc w:val="center"/>
              <w:rPr>
                <w:rFonts w:ascii="Arial Narrow" w:hAnsi="Arial Narrow"/>
                <w:b/>
                <w:sz w:val="20"/>
                <w:szCs w:val="20"/>
              </w:rPr>
            </w:pPr>
            <w:r w:rsidRPr="00AB6F27">
              <w:rPr>
                <w:rFonts w:ascii="Arial Narrow" w:hAnsi="Arial Narrow"/>
                <w:sz w:val="20"/>
                <w:szCs w:val="20"/>
              </w:rPr>
              <w:t>36 (14.9)</w:t>
            </w:r>
          </w:p>
        </w:tc>
        <w:tc>
          <w:tcPr>
            <w:tcW w:w="1134" w:type="dxa"/>
            <w:vAlign w:val="center"/>
          </w:tcPr>
          <w:p w14:paraId="66F84D85" w14:textId="77777777" w:rsidR="00A3213F" w:rsidRPr="00AB6F27" w:rsidRDefault="00A3213F" w:rsidP="007B5E49">
            <w:pPr>
              <w:keepNext/>
              <w:jc w:val="center"/>
              <w:rPr>
                <w:rFonts w:ascii="Arial Narrow" w:hAnsi="Arial Narrow"/>
                <w:b/>
                <w:sz w:val="20"/>
                <w:szCs w:val="20"/>
              </w:rPr>
            </w:pPr>
            <w:r w:rsidRPr="00AB6F27">
              <w:rPr>
                <w:rFonts w:ascii="Arial Narrow" w:hAnsi="Arial Narrow"/>
                <w:sz w:val="20"/>
                <w:szCs w:val="20"/>
              </w:rPr>
              <w:t>40 (16.3)</w:t>
            </w:r>
          </w:p>
        </w:tc>
        <w:tc>
          <w:tcPr>
            <w:tcW w:w="1134" w:type="dxa"/>
            <w:vAlign w:val="center"/>
          </w:tcPr>
          <w:p w14:paraId="5EC2E7F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34 (14.4)</w:t>
            </w:r>
          </w:p>
        </w:tc>
        <w:tc>
          <w:tcPr>
            <w:tcW w:w="1092" w:type="dxa"/>
            <w:vAlign w:val="center"/>
          </w:tcPr>
          <w:p w14:paraId="7649EA3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37 (15.7)</w:t>
            </w:r>
          </w:p>
        </w:tc>
        <w:tc>
          <w:tcPr>
            <w:tcW w:w="1006" w:type="dxa"/>
            <w:vAlign w:val="center"/>
          </w:tcPr>
          <w:p w14:paraId="0CAB00A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56 (23.5)</w:t>
            </w:r>
          </w:p>
        </w:tc>
      </w:tr>
      <w:tr w:rsidR="00A3213F" w:rsidRPr="00AB6F27" w14:paraId="7EA7DDAE" w14:textId="77777777" w:rsidTr="007B5E49">
        <w:trPr>
          <w:gridAfter w:val="1"/>
          <w:wAfter w:w="8" w:type="dxa"/>
        </w:trPr>
        <w:tc>
          <w:tcPr>
            <w:tcW w:w="1838" w:type="dxa"/>
            <w:noWrap/>
          </w:tcPr>
          <w:p w14:paraId="3B81C15D"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Neutrophil count decreased</w:t>
            </w:r>
          </w:p>
        </w:tc>
        <w:tc>
          <w:tcPr>
            <w:tcW w:w="1134" w:type="dxa"/>
            <w:noWrap/>
            <w:vAlign w:val="center"/>
          </w:tcPr>
          <w:p w14:paraId="7BE3F27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55 (14.1)</w:t>
            </w:r>
          </w:p>
        </w:tc>
        <w:tc>
          <w:tcPr>
            <w:tcW w:w="1134" w:type="dxa"/>
            <w:vAlign w:val="center"/>
          </w:tcPr>
          <w:p w14:paraId="72D9855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56 (14.4)</w:t>
            </w:r>
          </w:p>
        </w:tc>
        <w:tc>
          <w:tcPr>
            <w:tcW w:w="1134" w:type="dxa"/>
            <w:vAlign w:val="center"/>
          </w:tcPr>
          <w:p w14:paraId="1DDE1B3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20 (8.3)</w:t>
            </w:r>
          </w:p>
        </w:tc>
        <w:tc>
          <w:tcPr>
            <w:tcW w:w="1134" w:type="dxa"/>
            <w:vAlign w:val="center"/>
          </w:tcPr>
          <w:p w14:paraId="6CC73CD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34 (13.8)</w:t>
            </w:r>
          </w:p>
        </w:tc>
        <w:tc>
          <w:tcPr>
            <w:tcW w:w="1134" w:type="dxa"/>
            <w:vAlign w:val="center"/>
          </w:tcPr>
          <w:p w14:paraId="3275C37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55 (23.3)</w:t>
            </w:r>
          </w:p>
        </w:tc>
        <w:tc>
          <w:tcPr>
            <w:tcW w:w="1092" w:type="dxa"/>
            <w:vAlign w:val="center"/>
          </w:tcPr>
          <w:p w14:paraId="6AD9AC6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51 (21.7)</w:t>
            </w:r>
          </w:p>
        </w:tc>
        <w:tc>
          <w:tcPr>
            <w:tcW w:w="1006" w:type="dxa"/>
            <w:vAlign w:val="center"/>
          </w:tcPr>
          <w:p w14:paraId="3BB7363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64 (26.9)</w:t>
            </w:r>
          </w:p>
        </w:tc>
      </w:tr>
      <w:tr w:rsidR="00A3213F" w:rsidRPr="00AB6F27" w14:paraId="2466D2B9" w14:textId="77777777" w:rsidTr="007B5E49">
        <w:trPr>
          <w:gridAfter w:val="1"/>
          <w:wAfter w:w="8" w:type="dxa"/>
        </w:trPr>
        <w:tc>
          <w:tcPr>
            <w:tcW w:w="1838" w:type="dxa"/>
            <w:noWrap/>
          </w:tcPr>
          <w:p w14:paraId="08F0462A" w14:textId="77777777" w:rsidR="00A3213F" w:rsidRPr="00AB6F27" w:rsidRDefault="00A3213F" w:rsidP="007B5E49">
            <w:pPr>
              <w:keepNext/>
              <w:jc w:val="left"/>
              <w:rPr>
                <w:rFonts w:ascii="Arial Narrow" w:hAnsi="Arial Narrow"/>
                <w:b/>
                <w:sz w:val="20"/>
                <w:szCs w:val="20"/>
              </w:rPr>
            </w:pPr>
            <w:r w:rsidRPr="00AB6F27">
              <w:rPr>
                <w:rFonts w:ascii="Arial Narrow" w:hAnsi="Arial Narrow"/>
                <w:sz w:val="20"/>
                <w:szCs w:val="20"/>
              </w:rPr>
              <w:t>Neutropenia</w:t>
            </w:r>
          </w:p>
        </w:tc>
        <w:tc>
          <w:tcPr>
            <w:tcW w:w="1134" w:type="dxa"/>
            <w:noWrap/>
            <w:vAlign w:val="center"/>
          </w:tcPr>
          <w:p w14:paraId="04C066B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34" w:type="dxa"/>
            <w:vAlign w:val="center"/>
          </w:tcPr>
          <w:p w14:paraId="6432445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34" w:type="dxa"/>
            <w:vAlign w:val="center"/>
          </w:tcPr>
          <w:p w14:paraId="7773A13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23 (9.5)</w:t>
            </w:r>
          </w:p>
        </w:tc>
        <w:tc>
          <w:tcPr>
            <w:tcW w:w="1134" w:type="dxa"/>
            <w:vAlign w:val="center"/>
          </w:tcPr>
          <w:p w14:paraId="29FD2B0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23 (9.3)</w:t>
            </w:r>
          </w:p>
        </w:tc>
        <w:tc>
          <w:tcPr>
            <w:tcW w:w="1134" w:type="dxa"/>
            <w:vAlign w:val="center"/>
          </w:tcPr>
          <w:p w14:paraId="70696AA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w:t>
            </w:r>
          </w:p>
        </w:tc>
        <w:tc>
          <w:tcPr>
            <w:tcW w:w="1092" w:type="dxa"/>
            <w:vAlign w:val="center"/>
          </w:tcPr>
          <w:p w14:paraId="172DC68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w:t>
            </w:r>
          </w:p>
        </w:tc>
        <w:tc>
          <w:tcPr>
            <w:tcW w:w="1006" w:type="dxa"/>
            <w:vAlign w:val="center"/>
          </w:tcPr>
          <w:p w14:paraId="52265A6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w:t>
            </w:r>
          </w:p>
        </w:tc>
      </w:tr>
      <w:tr w:rsidR="00A3213F" w:rsidRPr="00AB6F27" w14:paraId="44B966E8" w14:textId="77777777" w:rsidTr="007B5E49">
        <w:trPr>
          <w:gridAfter w:val="1"/>
          <w:wAfter w:w="8" w:type="dxa"/>
        </w:trPr>
        <w:tc>
          <w:tcPr>
            <w:tcW w:w="1838" w:type="dxa"/>
            <w:noWrap/>
          </w:tcPr>
          <w:p w14:paraId="17AECA9E"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White blood cell decreased</w:t>
            </w:r>
          </w:p>
        </w:tc>
        <w:tc>
          <w:tcPr>
            <w:tcW w:w="1134" w:type="dxa"/>
            <w:noWrap/>
            <w:vAlign w:val="center"/>
          </w:tcPr>
          <w:p w14:paraId="279FC6D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36 (9.2)</w:t>
            </w:r>
          </w:p>
        </w:tc>
        <w:tc>
          <w:tcPr>
            <w:tcW w:w="1134" w:type="dxa"/>
            <w:vAlign w:val="center"/>
          </w:tcPr>
          <w:p w14:paraId="379C363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30 (7.7)</w:t>
            </w:r>
          </w:p>
        </w:tc>
        <w:tc>
          <w:tcPr>
            <w:tcW w:w="1134" w:type="dxa"/>
            <w:vAlign w:val="center"/>
          </w:tcPr>
          <w:p w14:paraId="7ED7DAF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16 (6.6)</w:t>
            </w:r>
          </w:p>
        </w:tc>
        <w:tc>
          <w:tcPr>
            <w:tcW w:w="1134" w:type="dxa"/>
            <w:vAlign w:val="center"/>
          </w:tcPr>
          <w:p w14:paraId="39F7A4B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 (5.3)</w:t>
            </w:r>
          </w:p>
        </w:tc>
        <w:tc>
          <w:tcPr>
            <w:tcW w:w="1134" w:type="dxa"/>
            <w:vAlign w:val="center"/>
          </w:tcPr>
          <w:p w14:paraId="6C771E3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 (5.5)</w:t>
            </w:r>
          </w:p>
        </w:tc>
        <w:tc>
          <w:tcPr>
            <w:tcW w:w="1092" w:type="dxa"/>
            <w:vAlign w:val="center"/>
          </w:tcPr>
          <w:p w14:paraId="30CE984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11 (4.7)</w:t>
            </w:r>
          </w:p>
        </w:tc>
        <w:tc>
          <w:tcPr>
            <w:tcW w:w="1006" w:type="dxa"/>
            <w:vAlign w:val="center"/>
          </w:tcPr>
          <w:p w14:paraId="00B5423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 (6.3)</w:t>
            </w:r>
          </w:p>
        </w:tc>
      </w:tr>
      <w:tr w:rsidR="00A3213F" w:rsidRPr="00AB6F27" w14:paraId="644A72CC" w14:textId="77777777" w:rsidTr="007B5E49">
        <w:trPr>
          <w:gridAfter w:val="1"/>
          <w:wAfter w:w="8" w:type="dxa"/>
        </w:trPr>
        <w:tc>
          <w:tcPr>
            <w:tcW w:w="1838" w:type="dxa"/>
            <w:noWrap/>
          </w:tcPr>
          <w:p w14:paraId="17ADBDF5"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Lymphocyte count decreased</w:t>
            </w:r>
          </w:p>
        </w:tc>
        <w:tc>
          <w:tcPr>
            <w:tcW w:w="1134" w:type="dxa"/>
            <w:noWrap/>
            <w:vAlign w:val="center"/>
          </w:tcPr>
          <w:p w14:paraId="7F5D1F9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27 (6.9)</w:t>
            </w:r>
          </w:p>
        </w:tc>
        <w:tc>
          <w:tcPr>
            <w:tcW w:w="1134" w:type="dxa"/>
            <w:vAlign w:val="center"/>
          </w:tcPr>
          <w:p w14:paraId="3292D26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19 (4.9)</w:t>
            </w:r>
          </w:p>
        </w:tc>
        <w:tc>
          <w:tcPr>
            <w:tcW w:w="1134" w:type="dxa"/>
            <w:vAlign w:val="center"/>
          </w:tcPr>
          <w:p w14:paraId="459EA9B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 (5.4)</w:t>
            </w:r>
          </w:p>
        </w:tc>
        <w:tc>
          <w:tcPr>
            <w:tcW w:w="1134" w:type="dxa"/>
            <w:vAlign w:val="center"/>
          </w:tcPr>
          <w:p w14:paraId="72E275D9"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18 (7.3)</w:t>
            </w:r>
          </w:p>
        </w:tc>
        <w:tc>
          <w:tcPr>
            <w:tcW w:w="1134" w:type="dxa"/>
            <w:vAlign w:val="center"/>
          </w:tcPr>
          <w:p w14:paraId="74CFFCE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c>
          <w:tcPr>
            <w:tcW w:w="1092" w:type="dxa"/>
            <w:vAlign w:val="center"/>
          </w:tcPr>
          <w:p w14:paraId="6A25A8C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c>
          <w:tcPr>
            <w:tcW w:w="1006" w:type="dxa"/>
            <w:vAlign w:val="center"/>
          </w:tcPr>
          <w:p w14:paraId="41C9583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 (1.3)</w:t>
            </w:r>
          </w:p>
        </w:tc>
      </w:tr>
      <w:tr w:rsidR="00A3213F" w:rsidRPr="00AB6F27" w14:paraId="7664DE3B" w14:textId="77777777" w:rsidTr="007B5E49">
        <w:trPr>
          <w:gridAfter w:val="1"/>
          <w:wAfter w:w="8" w:type="dxa"/>
        </w:trPr>
        <w:tc>
          <w:tcPr>
            <w:tcW w:w="1838" w:type="dxa"/>
            <w:noWrap/>
          </w:tcPr>
          <w:p w14:paraId="1722F220"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Hypertension</w:t>
            </w:r>
          </w:p>
        </w:tc>
        <w:tc>
          <w:tcPr>
            <w:tcW w:w="1134" w:type="dxa"/>
            <w:noWrap/>
            <w:vAlign w:val="center"/>
          </w:tcPr>
          <w:p w14:paraId="32AF6C5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22 (5.6)</w:t>
            </w:r>
          </w:p>
        </w:tc>
        <w:tc>
          <w:tcPr>
            <w:tcW w:w="1134" w:type="dxa"/>
            <w:vAlign w:val="center"/>
          </w:tcPr>
          <w:p w14:paraId="0EDB768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20 (5.2)</w:t>
            </w:r>
          </w:p>
        </w:tc>
        <w:tc>
          <w:tcPr>
            <w:tcW w:w="1134" w:type="dxa"/>
            <w:vAlign w:val="center"/>
          </w:tcPr>
          <w:p w14:paraId="14600D9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17 (7.1)</w:t>
            </w:r>
          </w:p>
        </w:tc>
        <w:tc>
          <w:tcPr>
            <w:tcW w:w="1134" w:type="dxa"/>
            <w:vAlign w:val="center"/>
          </w:tcPr>
          <w:p w14:paraId="43F611D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 (3.3)</w:t>
            </w:r>
          </w:p>
        </w:tc>
        <w:tc>
          <w:tcPr>
            <w:tcW w:w="1134" w:type="dxa"/>
            <w:vAlign w:val="center"/>
          </w:tcPr>
          <w:p w14:paraId="5216BFC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 (3.0)</w:t>
            </w:r>
          </w:p>
        </w:tc>
        <w:tc>
          <w:tcPr>
            <w:tcW w:w="1092" w:type="dxa"/>
            <w:vAlign w:val="center"/>
          </w:tcPr>
          <w:p w14:paraId="4DC8970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c>
          <w:tcPr>
            <w:tcW w:w="1006" w:type="dxa"/>
            <w:vAlign w:val="center"/>
          </w:tcPr>
          <w:p w14:paraId="2357B26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 (2.5)</w:t>
            </w:r>
          </w:p>
        </w:tc>
      </w:tr>
      <w:tr w:rsidR="00A3213F" w:rsidRPr="00AB6F27" w14:paraId="3BB56EF7" w14:textId="77777777" w:rsidTr="007B5E49">
        <w:trPr>
          <w:gridAfter w:val="1"/>
          <w:wAfter w:w="8" w:type="dxa"/>
        </w:trPr>
        <w:tc>
          <w:tcPr>
            <w:tcW w:w="9606" w:type="dxa"/>
            <w:gridSpan w:val="8"/>
            <w:noWrap/>
          </w:tcPr>
          <w:p w14:paraId="16AE6716" w14:textId="5D587A41" w:rsidR="00A3213F" w:rsidRPr="00AB6F27" w:rsidRDefault="00A3213F" w:rsidP="007B5E49">
            <w:pPr>
              <w:keepNext/>
              <w:rPr>
                <w:rFonts w:ascii="Arial Narrow" w:hAnsi="Arial Narrow"/>
                <w:b/>
                <w:bCs/>
                <w:sz w:val="20"/>
                <w:szCs w:val="20"/>
              </w:rPr>
            </w:pPr>
            <w:r w:rsidRPr="00AB6F27">
              <w:rPr>
                <w:rFonts w:ascii="Arial Narrow" w:hAnsi="Arial Narrow"/>
                <w:b/>
                <w:bCs/>
                <w:sz w:val="20"/>
                <w:szCs w:val="20"/>
              </w:rPr>
              <w:t xml:space="preserve">Any grade occurring in ≥1% of </w:t>
            </w:r>
            <w:r w:rsidR="00816B84" w:rsidRPr="00AB6F27">
              <w:rPr>
                <w:rFonts w:ascii="Arial Narrow" w:hAnsi="Arial Narrow"/>
                <w:b/>
                <w:bCs/>
                <w:sz w:val="20"/>
                <w:szCs w:val="20"/>
              </w:rPr>
              <w:t>patient</w:t>
            </w:r>
            <w:r w:rsidRPr="00AB6F27">
              <w:rPr>
                <w:rFonts w:ascii="Arial Narrow" w:hAnsi="Arial Narrow"/>
                <w:b/>
                <w:bCs/>
                <w:sz w:val="20"/>
                <w:szCs w:val="20"/>
              </w:rPr>
              <w:t>s</w:t>
            </w:r>
          </w:p>
        </w:tc>
      </w:tr>
      <w:tr w:rsidR="00A3213F" w:rsidRPr="00AB6F27" w14:paraId="19967DCC" w14:textId="77777777" w:rsidTr="007B5E49">
        <w:trPr>
          <w:gridAfter w:val="1"/>
          <w:wAfter w:w="8" w:type="dxa"/>
        </w:trPr>
        <w:tc>
          <w:tcPr>
            <w:tcW w:w="1838" w:type="dxa"/>
            <w:noWrap/>
            <w:vAlign w:val="center"/>
          </w:tcPr>
          <w:p w14:paraId="3A6EC782"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Any</w:t>
            </w:r>
          </w:p>
        </w:tc>
        <w:tc>
          <w:tcPr>
            <w:tcW w:w="1134" w:type="dxa"/>
            <w:noWrap/>
            <w:vAlign w:val="center"/>
          </w:tcPr>
          <w:p w14:paraId="46E88E8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155 (39.6)</w:t>
            </w:r>
          </w:p>
        </w:tc>
        <w:tc>
          <w:tcPr>
            <w:tcW w:w="1134" w:type="dxa"/>
            <w:vAlign w:val="center"/>
          </w:tcPr>
          <w:p w14:paraId="62B0DC1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102 (26.3)</w:t>
            </w:r>
          </w:p>
        </w:tc>
        <w:tc>
          <w:tcPr>
            <w:tcW w:w="1134" w:type="dxa"/>
            <w:vAlign w:val="center"/>
          </w:tcPr>
          <w:p w14:paraId="35F8FCC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137 (56.8)</w:t>
            </w:r>
          </w:p>
        </w:tc>
        <w:tc>
          <w:tcPr>
            <w:tcW w:w="1134" w:type="dxa"/>
            <w:vAlign w:val="center"/>
          </w:tcPr>
          <w:p w14:paraId="2C07547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88 (35.8)</w:t>
            </w:r>
          </w:p>
        </w:tc>
        <w:tc>
          <w:tcPr>
            <w:tcW w:w="1134" w:type="dxa"/>
            <w:vAlign w:val="center"/>
          </w:tcPr>
          <w:p w14:paraId="3040F73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16 (6.8)</w:t>
            </w:r>
          </w:p>
        </w:tc>
        <w:tc>
          <w:tcPr>
            <w:tcW w:w="1092" w:type="dxa"/>
            <w:vAlign w:val="center"/>
          </w:tcPr>
          <w:p w14:paraId="475978A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66 (28.1)</w:t>
            </w:r>
          </w:p>
        </w:tc>
        <w:tc>
          <w:tcPr>
            <w:tcW w:w="1006" w:type="dxa"/>
            <w:vAlign w:val="center"/>
          </w:tcPr>
          <w:p w14:paraId="4E75D5C3"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56 (23.5)</w:t>
            </w:r>
          </w:p>
        </w:tc>
      </w:tr>
      <w:tr w:rsidR="00A3213F" w:rsidRPr="00AB6F27" w14:paraId="6326F4D1" w14:textId="77777777" w:rsidTr="007B5E49">
        <w:trPr>
          <w:gridAfter w:val="1"/>
          <w:wAfter w:w="8" w:type="dxa"/>
        </w:trPr>
        <w:tc>
          <w:tcPr>
            <w:tcW w:w="1838" w:type="dxa"/>
            <w:noWrap/>
            <w:vAlign w:val="center"/>
          </w:tcPr>
          <w:p w14:paraId="3D64BA6D"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Hypothyroidism</w:t>
            </w:r>
          </w:p>
        </w:tc>
        <w:tc>
          <w:tcPr>
            <w:tcW w:w="1134" w:type="dxa"/>
            <w:noWrap/>
            <w:vAlign w:val="center"/>
          </w:tcPr>
          <w:p w14:paraId="5C50ADB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54 (13.8)</w:t>
            </w:r>
          </w:p>
        </w:tc>
        <w:tc>
          <w:tcPr>
            <w:tcW w:w="1134" w:type="dxa"/>
            <w:vAlign w:val="center"/>
          </w:tcPr>
          <w:p w14:paraId="1E25B96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 (3.9)</w:t>
            </w:r>
          </w:p>
        </w:tc>
        <w:tc>
          <w:tcPr>
            <w:tcW w:w="1134" w:type="dxa"/>
            <w:vAlign w:val="center"/>
          </w:tcPr>
          <w:p w14:paraId="2845549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27 (11.2)</w:t>
            </w:r>
          </w:p>
        </w:tc>
        <w:tc>
          <w:tcPr>
            <w:tcW w:w="1134" w:type="dxa"/>
            <w:vAlign w:val="center"/>
          </w:tcPr>
          <w:p w14:paraId="06CA1D7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 (3.3)</w:t>
            </w:r>
          </w:p>
        </w:tc>
        <w:tc>
          <w:tcPr>
            <w:tcW w:w="1134" w:type="dxa"/>
            <w:vAlign w:val="center"/>
          </w:tcPr>
          <w:p w14:paraId="12D9091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 (2.5)</w:t>
            </w:r>
          </w:p>
        </w:tc>
        <w:tc>
          <w:tcPr>
            <w:tcW w:w="1092" w:type="dxa"/>
            <w:vAlign w:val="center"/>
          </w:tcPr>
          <w:p w14:paraId="2B3E8D4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34 (14.5)</w:t>
            </w:r>
          </w:p>
        </w:tc>
        <w:tc>
          <w:tcPr>
            <w:tcW w:w="1006" w:type="dxa"/>
            <w:vAlign w:val="center"/>
          </w:tcPr>
          <w:p w14:paraId="19BF839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28 (11.8)</w:t>
            </w:r>
          </w:p>
        </w:tc>
      </w:tr>
      <w:tr w:rsidR="00A3213F" w:rsidRPr="00AB6F27" w14:paraId="3D6CEBE6" w14:textId="77777777" w:rsidTr="007B5E49">
        <w:trPr>
          <w:gridAfter w:val="1"/>
          <w:wAfter w:w="8" w:type="dxa"/>
        </w:trPr>
        <w:tc>
          <w:tcPr>
            <w:tcW w:w="1838" w:type="dxa"/>
            <w:noWrap/>
            <w:vAlign w:val="center"/>
          </w:tcPr>
          <w:p w14:paraId="688AD708"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Hyperthyroidism</w:t>
            </w:r>
          </w:p>
        </w:tc>
        <w:tc>
          <w:tcPr>
            <w:tcW w:w="1134" w:type="dxa"/>
            <w:noWrap/>
            <w:vAlign w:val="center"/>
          </w:tcPr>
          <w:p w14:paraId="3168375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32 (8.2)</w:t>
            </w:r>
          </w:p>
        </w:tc>
        <w:tc>
          <w:tcPr>
            <w:tcW w:w="1134" w:type="dxa"/>
            <w:vAlign w:val="center"/>
          </w:tcPr>
          <w:p w14:paraId="061F812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10 (2.6)</w:t>
            </w:r>
          </w:p>
        </w:tc>
        <w:tc>
          <w:tcPr>
            <w:tcW w:w="1134" w:type="dxa"/>
            <w:vAlign w:val="center"/>
          </w:tcPr>
          <w:p w14:paraId="01AACE1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 (3.3)</w:t>
            </w:r>
          </w:p>
        </w:tc>
        <w:tc>
          <w:tcPr>
            <w:tcW w:w="1134" w:type="dxa"/>
            <w:vAlign w:val="center"/>
          </w:tcPr>
          <w:p w14:paraId="10B1648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 (0.4)</w:t>
            </w:r>
          </w:p>
        </w:tc>
        <w:tc>
          <w:tcPr>
            <w:tcW w:w="1134" w:type="dxa"/>
            <w:vAlign w:val="center"/>
          </w:tcPr>
          <w:p w14:paraId="0069976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 (0.8)</w:t>
            </w:r>
          </w:p>
        </w:tc>
        <w:tc>
          <w:tcPr>
            <w:tcW w:w="1092" w:type="dxa"/>
            <w:vAlign w:val="center"/>
          </w:tcPr>
          <w:p w14:paraId="6DE1785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c>
          <w:tcPr>
            <w:tcW w:w="1006" w:type="dxa"/>
            <w:vAlign w:val="center"/>
          </w:tcPr>
          <w:p w14:paraId="7DD3B25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 (1.7)</w:t>
            </w:r>
          </w:p>
        </w:tc>
      </w:tr>
      <w:tr w:rsidR="00A3213F" w:rsidRPr="00AB6F27" w14:paraId="25A32D10" w14:textId="77777777" w:rsidTr="007B5E49">
        <w:trPr>
          <w:gridAfter w:val="1"/>
          <w:wAfter w:w="8" w:type="dxa"/>
        </w:trPr>
        <w:tc>
          <w:tcPr>
            <w:tcW w:w="1838" w:type="dxa"/>
            <w:noWrap/>
            <w:vAlign w:val="center"/>
          </w:tcPr>
          <w:p w14:paraId="16A2B6FE"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Infusion related rection</w:t>
            </w:r>
          </w:p>
        </w:tc>
        <w:tc>
          <w:tcPr>
            <w:tcW w:w="1134" w:type="dxa"/>
            <w:noWrap/>
            <w:vAlign w:val="center"/>
          </w:tcPr>
          <w:p w14:paraId="7B52D8F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60 (15.3)</w:t>
            </w:r>
          </w:p>
        </w:tc>
        <w:tc>
          <w:tcPr>
            <w:tcW w:w="1134" w:type="dxa"/>
            <w:vAlign w:val="center"/>
          </w:tcPr>
          <w:p w14:paraId="345B038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56 (14.4)</w:t>
            </w:r>
          </w:p>
        </w:tc>
        <w:tc>
          <w:tcPr>
            <w:tcW w:w="1134" w:type="dxa"/>
            <w:vAlign w:val="center"/>
          </w:tcPr>
          <w:p w14:paraId="22A4277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31 (12.9)</w:t>
            </w:r>
          </w:p>
        </w:tc>
        <w:tc>
          <w:tcPr>
            <w:tcW w:w="1134" w:type="dxa"/>
            <w:vAlign w:val="center"/>
          </w:tcPr>
          <w:p w14:paraId="0E8BDC8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30 (12.2)</w:t>
            </w:r>
          </w:p>
        </w:tc>
        <w:tc>
          <w:tcPr>
            <w:tcW w:w="1134" w:type="dxa"/>
            <w:vAlign w:val="center"/>
          </w:tcPr>
          <w:p w14:paraId="2696D82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24 (10.2)</w:t>
            </w:r>
          </w:p>
        </w:tc>
        <w:tc>
          <w:tcPr>
            <w:tcW w:w="1092" w:type="dxa"/>
            <w:vAlign w:val="center"/>
          </w:tcPr>
          <w:p w14:paraId="03EFAFE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 (6.4)</w:t>
            </w:r>
          </w:p>
        </w:tc>
        <w:tc>
          <w:tcPr>
            <w:tcW w:w="1006" w:type="dxa"/>
            <w:vAlign w:val="center"/>
          </w:tcPr>
          <w:p w14:paraId="1D3C194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14 (5.9)</w:t>
            </w:r>
          </w:p>
        </w:tc>
      </w:tr>
      <w:tr w:rsidR="00A3213F" w:rsidRPr="00AB6F27" w14:paraId="7079A74A" w14:textId="77777777" w:rsidTr="007B5E49">
        <w:trPr>
          <w:gridAfter w:val="1"/>
          <w:wAfter w:w="8" w:type="dxa"/>
        </w:trPr>
        <w:tc>
          <w:tcPr>
            <w:tcW w:w="1838" w:type="dxa"/>
            <w:noWrap/>
            <w:vAlign w:val="center"/>
          </w:tcPr>
          <w:p w14:paraId="000477FD"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Pneumonitis</w:t>
            </w:r>
          </w:p>
        </w:tc>
        <w:tc>
          <w:tcPr>
            <w:tcW w:w="1134" w:type="dxa"/>
            <w:noWrap/>
            <w:vAlign w:val="center"/>
          </w:tcPr>
          <w:p w14:paraId="467BC8B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(1.3)</w:t>
            </w:r>
          </w:p>
        </w:tc>
        <w:tc>
          <w:tcPr>
            <w:tcW w:w="1134" w:type="dxa"/>
            <w:vAlign w:val="center"/>
          </w:tcPr>
          <w:p w14:paraId="15D05AAC"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 (0.5)</w:t>
            </w:r>
          </w:p>
        </w:tc>
        <w:tc>
          <w:tcPr>
            <w:tcW w:w="1134" w:type="dxa"/>
            <w:vAlign w:val="center"/>
          </w:tcPr>
          <w:p w14:paraId="7533245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34" w:type="dxa"/>
            <w:vAlign w:val="center"/>
          </w:tcPr>
          <w:p w14:paraId="46051B3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34" w:type="dxa"/>
            <w:vAlign w:val="center"/>
          </w:tcPr>
          <w:p w14:paraId="4CF27E2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0</w:t>
            </w:r>
          </w:p>
        </w:tc>
        <w:tc>
          <w:tcPr>
            <w:tcW w:w="1092" w:type="dxa"/>
            <w:vAlign w:val="center"/>
          </w:tcPr>
          <w:p w14:paraId="0DDF52B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 (0.9)</w:t>
            </w:r>
          </w:p>
        </w:tc>
        <w:tc>
          <w:tcPr>
            <w:tcW w:w="1006" w:type="dxa"/>
            <w:vAlign w:val="center"/>
          </w:tcPr>
          <w:p w14:paraId="4B755CE5"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5 (2.1)</w:t>
            </w:r>
          </w:p>
        </w:tc>
      </w:tr>
      <w:tr w:rsidR="00A3213F" w:rsidRPr="00AB6F27" w14:paraId="06E1D3AC" w14:textId="77777777" w:rsidTr="007B5E49">
        <w:trPr>
          <w:gridAfter w:val="1"/>
          <w:wAfter w:w="8" w:type="dxa"/>
        </w:trPr>
        <w:tc>
          <w:tcPr>
            <w:tcW w:w="1838" w:type="dxa"/>
            <w:noWrap/>
            <w:vAlign w:val="center"/>
          </w:tcPr>
          <w:p w14:paraId="0613A385" w14:textId="77777777" w:rsidR="00A3213F" w:rsidRPr="00AB6F27" w:rsidRDefault="00A3213F" w:rsidP="007B5E49">
            <w:pPr>
              <w:keepNext/>
              <w:jc w:val="left"/>
              <w:rPr>
                <w:rFonts w:ascii="Arial Narrow" w:hAnsi="Arial Narrow"/>
                <w:sz w:val="20"/>
                <w:szCs w:val="20"/>
              </w:rPr>
            </w:pPr>
            <w:r w:rsidRPr="00AB6F27">
              <w:rPr>
                <w:rFonts w:ascii="Arial Narrow" w:hAnsi="Arial Narrow"/>
                <w:sz w:val="20"/>
                <w:szCs w:val="20"/>
              </w:rPr>
              <w:t>Anaphylactic reaction</w:t>
            </w:r>
          </w:p>
        </w:tc>
        <w:tc>
          <w:tcPr>
            <w:tcW w:w="1134" w:type="dxa"/>
            <w:noWrap/>
            <w:vAlign w:val="center"/>
          </w:tcPr>
          <w:p w14:paraId="3A74CC8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 (1.0)</w:t>
            </w:r>
          </w:p>
        </w:tc>
        <w:tc>
          <w:tcPr>
            <w:tcW w:w="1134" w:type="dxa"/>
            <w:vAlign w:val="center"/>
          </w:tcPr>
          <w:p w14:paraId="2DD64AA1"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0</w:t>
            </w:r>
          </w:p>
        </w:tc>
        <w:tc>
          <w:tcPr>
            <w:tcW w:w="1134" w:type="dxa"/>
            <w:vAlign w:val="center"/>
          </w:tcPr>
          <w:p w14:paraId="10F9CD3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34" w:type="dxa"/>
            <w:vAlign w:val="center"/>
          </w:tcPr>
          <w:p w14:paraId="5A41AE4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NA</w:t>
            </w:r>
          </w:p>
        </w:tc>
        <w:tc>
          <w:tcPr>
            <w:tcW w:w="1134" w:type="dxa"/>
            <w:vAlign w:val="center"/>
          </w:tcPr>
          <w:p w14:paraId="24C900E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3 (1.3)</w:t>
            </w:r>
          </w:p>
        </w:tc>
        <w:tc>
          <w:tcPr>
            <w:tcW w:w="1092" w:type="dxa"/>
            <w:vAlign w:val="center"/>
          </w:tcPr>
          <w:p w14:paraId="4E34E04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 (0.4)</w:t>
            </w:r>
          </w:p>
        </w:tc>
        <w:tc>
          <w:tcPr>
            <w:tcW w:w="1006" w:type="dxa"/>
            <w:vAlign w:val="center"/>
          </w:tcPr>
          <w:p w14:paraId="5D8D0AB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2 (0.8)</w:t>
            </w:r>
          </w:p>
        </w:tc>
      </w:tr>
    </w:tbl>
    <w:p w14:paraId="20822D40" w14:textId="77777777" w:rsidR="00A3213F" w:rsidRPr="00AB6F27" w:rsidRDefault="00A3213F" w:rsidP="00A3213F">
      <w:pPr>
        <w:rPr>
          <w:rFonts w:ascii="Arial Narrow" w:hAnsi="Arial Narrow"/>
          <w:sz w:val="18"/>
          <w:szCs w:val="18"/>
        </w:rPr>
      </w:pPr>
      <w:r w:rsidRPr="00AB6F27">
        <w:rPr>
          <w:rFonts w:ascii="Arial Narrow" w:hAnsi="Arial Narrow"/>
          <w:sz w:val="18"/>
          <w:szCs w:val="18"/>
        </w:rPr>
        <w:t xml:space="preserve">Source: Table 2.5-13, p155, Table 2.5-15, p161 of the submission; Table 2.7.4 p37 NRG-GY018 Safety Update </w:t>
      </w:r>
    </w:p>
    <w:p w14:paraId="3D0EB9D5" w14:textId="77777777" w:rsidR="00A3213F" w:rsidRPr="00AB6F27" w:rsidRDefault="00A3213F" w:rsidP="00A3213F">
      <w:pPr>
        <w:keepNext/>
        <w:jc w:val="left"/>
        <w:rPr>
          <w:rFonts w:ascii="Arial Narrow" w:hAnsi="Arial Narrow"/>
          <w:sz w:val="18"/>
          <w:szCs w:val="18"/>
        </w:rPr>
      </w:pPr>
      <w:r w:rsidRPr="00AB6F27">
        <w:rPr>
          <w:rFonts w:ascii="Arial Narrow" w:hAnsi="Arial Narrow"/>
          <w:sz w:val="18"/>
          <w:szCs w:val="18"/>
        </w:rPr>
        <w:t>Abbreviations: AE = Adverse event; DCO = data cut-off; TEAE = treatment emergent adverse event; DUR = durvalumab; DOS = dostarlimab; OLA = Olaparib; PBC = platinum based chemotherapy; PEM = pembrolizumab</w:t>
      </w:r>
    </w:p>
    <w:p w14:paraId="78FBE216" w14:textId="77777777" w:rsidR="00A3213F" w:rsidRPr="00AB6F27" w:rsidRDefault="00A3213F" w:rsidP="00A3213F">
      <w:pPr>
        <w:rPr>
          <w:rFonts w:ascii="Arial Narrow" w:hAnsi="Arial Narrow"/>
          <w:sz w:val="18"/>
          <w:szCs w:val="18"/>
        </w:rPr>
      </w:pPr>
      <w:r w:rsidRPr="00AB6F27">
        <w:rPr>
          <w:rFonts w:ascii="Arial Narrow" w:hAnsi="Arial Narrow"/>
          <w:sz w:val="18"/>
          <w:szCs w:val="18"/>
        </w:rPr>
        <w:t xml:space="preserve">Note: Following IA1 in NRG-GY018 the majority &gt;99% of PBO+PBC patients discontinued study treatment </w:t>
      </w:r>
      <w:proofErr w:type="gramStart"/>
      <w:r w:rsidRPr="00AB6F27">
        <w:rPr>
          <w:rFonts w:ascii="Arial Narrow" w:hAnsi="Arial Narrow"/>
          <w:sz w:val="18"/>
          <w:szCs w:val="18"/>
        </w:rPr>
        <w:t>as a result of</w:t>
      </w:r>
      <w:proofErr w:type="gramEnd"/>
      <w:r w:rsidRPr="00AB6F27">
        <w:rPr>
          <w:rFonts w:ascii="Arial Narrow" w:hAnsi="Arial Narrow"/>
          <w:sz w:val="18"/>
          <w:szCs w:val="18"/>
        </w:rPr>
        <w:t xml:space="preserve"> unblinding.</w:t>
      </w:r>
    </w:p>
    <w:p w14:paraId="721D71A8" w14:textId="77777777" w:rsidR="00A3213F" w:rsidRPr="00AB6F27" w:rsidRDefault="00A3213F" w:rsidP="00A3213F">
      <w:pPr>
        <w:rPr>
          <w:rFonts w:ascii="Arial Narrow" w:hAnsi="Arial Narrow"/>
          <w:sz w:val="18"/>
          <w:szCs w:val="18"/>
        </w:rPr>
      </w:pPr>
    </w:p>
    <w:p w14:paraId="44BFFD7A" w14:textId="726D4FA3" w:rsidR="00A3213F" w:rsidRPr="00AB6F27" w:rsidRDefault="00CF643A" w:rsidP="00A3213F">
      <w:pPr>
        <w:pStyle w:val="3-BodyText"/>
      </w:pPr>
      <w:r>
        <w:t xml:space="preserve">dMMR: </w:t>
      </w:r>
      <w:r w:rsidR="00A3213F" w:rsidRPr="00AB6F27">
        <w:t xml:space="preserve">The submission claimed that in the dMMR population the unanchored </w:t>
      </w:r>
      <w:r w:rsidR="007565E8" w:rsidRPr="00AB6F27">
        <w:t>ITC</w:t>
      </w:r>
      <w:r w:rsidR="00A3213F" w:rsidRPr="00AB6F27">
        <w:t xml:space="preserve"> of AEs between NRG-GY018 and RUBY-1 </w:t>
      </w:r>
      <w:r w:rsidR="0046651C" w:rsidRPr="00AB6F27">
        <w:t>support</w:t>
      </w:r>
      <w:r w:rsidR="0046651C">
        <w:t>ed</w:t>
      </w:r>
      <w:r w:rsidR="0046651C" w:rsidRPr="00AB6F27">
        <w:t xml:space="preserve"> </w:t>
      </w:r>
      <w:r w:rsidR="00A3213F" w:rsidRPr="00AB6F27">
        <w:t xml:space="preserve">the claim of noninferior safety between </w:t>
      </w:r>
      <w:r w:rsidR="00BF1B0D">
        <w:t>pembrolizumab</w:t>
      </w:r>
      <w:r w:rsidR="00A3213F" w:rsidRPr="00AB6F27">
        <w:t xml:space="preserve"> versus </w:t>
      </w:r>
      <w:r w:rsidR="00437BAB">
        <w:t>dostarlimab</w:t>
      </w:r>
      <w:r w:rsidR="00A3213F" w:rsidRPr="00AB6F27">
        <w:t xml:space="preserve"> </w:t>
      </w:r>
      <w:r>
        <w:t>and</w:t>
      </w:r>
      <w:r w:rsidR="00A3213F" w:rsidRPr="00AB6F27">
        <w:t xml:space="preserve"> </w:t>
      </w:r>
      <w:r w:rsidR="008F1D87">
        <w:t>durvalumab</w:t>
      </w:r>
      <w:r w:rsidR="00A3213F" w:rsidRPr="00AB6F27">
        <w:t xml:space="preserve">. </w:t>
      </w:r>
      <w:r>
        <w:t>The evaluation considered the c</w:t>
      </w:r>
      <w:r w:rsidR="00A3213F" w:rsidRPr="00AB6F27">
        <w:t>onclusions of non-inferior</w:t>
      </w:r>
      <w:r w:rsidR="0046651C">
        <w:t xml:space="preserve"> </w:t>
      </w:r>
      <w:r w:rsidR="00A3213F" w:rsidRPr="00AB6F27">
        <w:t xml:space="preserve">comparative safety </w:t>
      </w:r>
      <w:r w:rsidR="006C2DE5" w:rsidRPr="00AB6F27">
        <w:t xml:space="preserve">were </w:t>
      </w:r>
      <w:r w:rsidR="00A3213F" w:rsidRPr="00AB6F27">
        <w:t xml:space="preserve">not </w:t>
      </w:r>
      <w:r w:rsidR="0007469B" w:rsidRPr="00AB6F27">
        <w:t xml:space="preserve">adequately supported </w:t>
      </w:r>
      <w:r w:rsidR="00A3213F" w:rsidRPr="00AB6F27">
        <w:t>as the AE data w</w:t>
      </w:r>
      <w:r w:rsidR="00EB6E3D" w:rsidRPr="00AB6F27">
        <w:t>ere</w:t>
      </w:r>
      <w:r w:rsidR="00A3213F" w:rsidRPr="00AB6F27">
        <w:t xml:space="preserve"> difficult to interpret </w:t>
      </w:r>
      <w:r w:rsidR="00470221">
        <w:t>given it was based on</w:t>
      </w:r>
      <w:r w:rsidR="00A3213F" w:rsidRPr="00AB6F27">
        <w:t xml:space="preserve"> an unanchored indirect comparison. </w:t>
      </w:r>
      <w:r>
        <w:t>However</w:t>
      </w:r>
      <w:r w:rsidR="0046651C">
        <w:t>,</w:t>
      </w:r>
      <w:r>
        <w:t xml:space="preserve"> the evaluation considered that, g</w:t>
      </w:r>
      <w:r w:rsidR="00A3213F" w:rsidRPr="00AB6F27">
        <w:t xml:space="preserve">iven that </w:t>
      </w:r>
      <w:r w:rsidR="00BF1B0D">
        <w:t>pembrolizumab</w:t>
      </w:r>
      <w:r w:rsidR="00A3213F" w:rsidRPr="00AB6F27">
        <w:t xml:space="preserve"> and </w:t>
      </w:r>
      <w:r w:rsidR="00437BAB">
        <w:t>dostarlimab</w:t>
      </w:r>
      <w:r w:rsidR="00A3213F" w:rsidRPr="00AB6F27">
        <w:t xml:space="preserve"> are both PD-1 inhibitors with known and manageable safety profiles, a non-inferiority safety claim was biologically plausible. </w:t>
      </w:r>
    </w:p>
    <w:p w14:paraId="474ACBB6" w14:textId="377E9B5B" w:rsidR="0046651C" w:rsidRPr="0046651C" w:rsidRDefault="0046651C" w:rsidP="0046651C">
      <w:pPr>
        <w:pStyle w:val="3-BodyText"/>
        <w:numPr>
          <w:ilvl w:val="0"/>
          <w:numId w:val="0"/>
        </w:numPr>
        <w:outlineLvl w:val="3"/>
        <w:rPr>
          <w:i/>
          <w:iCs/>
          <w:u w:val="single"/>
        </w:rPr>
      </w:pPr>
      <w:r w:rsidRPr="0046651C">
        <w:rPr>
          <w:i/>
          <w:iCs/>
          <w:u w:val="single"/>
        </w:rPr>
        <w:t>pMMR</w:t>
      </w:r>
    </w:p>
    <w:p w14:paraId="146C198C" w14:textId="2E96E678" w:rsidR="00A3213F" w:rsidRPr="00AB6F27" w:rsidRDefault="00A3213F" w:rsidP="00A3213F">
      <w:pPr>
        <w:pStyle w:val="3-BodyText"/>
      </w:pPr>
      <w:r w:rsidRPr="00AB6F27">
        <w:t xml:space="preserve">The submission claimed that in the pMMR population </w:t>
      </w:r>
      <w:r w:rsidR="007565E8" w:rsidRPr="00AB6F27">
        <w:t>the unanchored ITC</w:t>
      </w:r>
      <w:r w:rsidRPr="00AB6F27">
        <w:t xml:space="preserve"> of </w:t>
      </w:r>
      <w:r w:rsidR="007565E8" w:rsidRPr="00AB6F27">
        <w:t>AEs</w:t>
      </w:r>
      <w:r w:rsidRPr="00AB6F27">
        <w:t xml:space="preserve"> between NRG-GY018 and the </w:t>
      </w:r>
      <w:r w:rsidR="00A64787" w:rsidRPr="00AB6F27">
        <w:t xml:space="preserve">DUO-E </w:t>
      </w:r>
      <w:r w:rsidRPr="00AB6F27">
        <w:t>support</w:t>
      </w:r>
      <w:r w:rsidR="00A64787" w:rsidRPr="00AB6F27">
        <w:t>ed</w:t>
      </w:r>
      <w:r w:rsidRPr="00AB6F27">
        <w:t xml:space="preserve"> the claim of superior safety between </w:t>
      </w:r>
      <w:r w:rsidR="00BF1B0D">
        <w:t>pembrolizumab</w:t>
      </w:r>
      <w:r w:rsidRPr="00AB6F27">
        <w:t xml:space="preserve"> vs </w:t>
      </w:r>
      <w:r w:rsidR="008F1D87">
        <w:t>durvalumab</w:t>
      </w:r>
      <w:r w:rsidR="00CF643A">
        <w:t xml:space="preserve"> </w:t>
      </w:r>
      <w:r w:rsidRPr="00AB6F27">
        <w:t>+</w:t>
      </w:r>
      <w:r w:rsidR="00CF643A" w:rsidRPr="00AB6F27" w:rsidDel="00CF643A">
        <w:t xml:space="preserve"> </w:t>
      </w:r>
      <w:r w:rsidR="008F1D87">
        <w:t>olaparib</w:t>
      </w:r>
      <w:r w:rsidRPr="00AB6F27">
        <w:t>. The submission claimed:</w:t>
      </w:r>
    </w:p>
    <w:p w14:paraId="121CDCBD" w14:textId="3589946D" w:rsidR="00A3213F" w:rsidRPr="00AB6F27" w:rsidRDefault="00A3213F" w:rsidP="0037102E">
      <w:pPr>
        <w:pStyle w:val="3-BodyText"/>
        <w:numPr>
          <w:ilvl w:val="0"/>
          <w:numId w:val="17"/>
        </w:numPr>
      </w:pPr>
      <w:r w:rsidRPr="00AB6F27">
        <w:t xml:space="preserve">While the overall incidence of any grade AEs and Grade 3 adverse events were similar between </w:t>
      </w:r>
      <w:r w:rsidR="008F1D87">
        <w:t>durvalumab</w:t>
      </w:r>
      <w:r w:rsidR="00CF643A">
        <w:t xml:space="preserve"> </w:t>
      </w:r>
      <w:r w:rsidRPr="00AB6F27">
        <w:t>+</w:t>
      </w:r>
      <w:r w:rsidR="00CF643A">
        <w:t xml:space="preserve"> </w:t>
      </w:r>
      <w:r w:rsidR="008F1D87">
        <w:t>olaparib</w:t>
      </w:r>
      <w:r w:rsidRPr="00AB6F27">
        <w:t xml:space="preserve"> </w:t>
      </w:r>
      <w:r w:rsidR="0046651C">
        <w:t>(</w:t>
      </w:r>
      <w:r w:rsidRPr="00AB6F27">
        <w:t>DUO-E</w:t>
      </w:r>
      <w:r w:rsidR="0046651C">
        <w:t>)</w:t>
      </w:r>
      <w:r w:rsidRPr="00AB6F27">
        <w:t xml:space="preserve"> and </w:t>
      </w:r>
      <w:r w:rsidR="00BF1B0D">
        <w:t>pembrolizumab</w:t>
      </w:r>
      <w:r w:rsidRPr="00AB6F27">
        <w:t xml:space="preserve"> </w:t>
      </w:r>
      <w:r w:rsidR="0046651C">
        <w:t>(</w:t>
      </w:r>
      <w:r w:rsidRPr="00AB6F27">
        <w:t>NRG-GY018</w:t>
      </w:r>
      <w:r w:rsidR="0046651C">
        <w:t>)</w:t>
      </w:r>
      <w:r w:rsidRPr="00AB6F27">
        <w:t xml:space="preserve">, the addition of </w:t>
      </w:r>
      <w:r w:rsidR="008F1D87">
        <w:t>olaparib</w:t>
      </w:r>
      <w:r w:rsidRPr="00AB6F27">
        <w:t xml:space="preserve"> led to numerically higher incidence of Grade 3, serious anaemia, neutropenia as well as higher rate of any grade pneumonitis compared to </w:t>
      </w:r>
      <w:r w:rsidR="008F1D87">
        <w:t>durvalumab</w:t>
      </w:r>
      <w:r w:rsidRPr="00AB6F27">
        <w:t>; and</w:t>
      </w:r>
    </w:p>
    <w:p w14:paraId="784D0012" w14:textId="6B65F872" w:rsidR="00A3213F" w:rsidRPr="00AB6F27" w:rsidRDefault="00A3213F" w:rsidP="0037102E">
      <w:pPr>
        <w:pStyle w:val="3-BodyText"/>
        <w:numPr>
          <w:ilvl w:val="0"/>
          <w:numId w:val="17"/>
        </w:numPr>
      </w:pPr>
      <w:r w:rsidRPr="00AB6F27">
        <w:lastRenderedPageBreak/>
        <w:t xml:space="preserve">Given the higher rate of hospital related costs associated with managing </w:t>
      </w:r>
      <w:r w:rsidR="008F1D87">
        <w:t>durvalumab</w:t>
      </w:r>
      <w:r w:rsidR="0046651C">
        <w:t xml:space="preserve"> </w:t>
      </w:r>
      <w:r w:rsidRPr="00AB6F27">
        <w:t>+</w:t>
      </w:r>
      <w:r w:rsidR="0046651C" w:rsidRPr="00AB6F27" w:rsidDel="0046651C">
        <w:t xml:space="preserve"> </w:t>
      </w:r>
      <w:r w:rsidR="008F1D87">
        <w:t>olaparib</w:t>
      </w:r>
      <w:r w:rsidRPr="00AB6F27">
        <w:t xml:space="preserve"> in clinical practice, the cost associated with managing haematological adverse events and pneumonitis should be factored into the derivation of the cost-minimised price of </w:t>
      </w:r>
      <w:r w:rsidR="00BF1B0D">
        <w:t>pembrolizumab</w:t>
      </w:r>
      <w:r w:rsidRPr="00AB6F27">
        <w:t>.</w:t>
      </w:r>
    </w:p>
    <w:p w14:paraId="76496B84" w14:textId="2632AD3C" w:rsidR="00A64787" w:rsidRPr="00AB6F27" w:rsidRDefault="0046651C" w:rsidP="00A64787">
      <w:pPr>
        <w:pStyle w:val="3-BodyText"/>
      </w:pPr>
      <w:bookmarkStart w:id="52" w:name="_Ref196678069"/>
      <w:bookmarkStart w:id="53" w:name="_Ref196479671"/>
      <w:r>
        <w:t>The evaluation considered that t</w:t>
      </w:r>
      <w:r w:rsidR="00A64787" w:rsidRPr="00AB6F27">
        <w:t xml:space="preserve">he unanchored ITC was likely insufficient to determine superior safety of </w:t>
      </w:r>
      <w:r w:rsidR="00BF1B0D">
        <w:t>pembrolizumab</w:t>
      </w:r>
      <w:r w:rsidR="00A64787" w:rsidRPr="00AB6F27">
        <w:t xml:space="preserve"> compared </w:t>
      </w:r>
      <w:r w:rsidR="005F53DC">
        <w:t>with</w:t>
      </w:r>
      <w:r w:rsidR="00A64787" w:rsidRPr="00AB6F27">
        <w:t xml:space="preserve"> </w:t>
      </w:r>
      <w:r w:rsidR="008F1D87">
        <w:t>durvalumab</w:t>
      </w:r>
      <w:r>
        <w:t xml:space="preserve"> </w:t>
      </w:r>
      <w:r w:rsidR="00A64787" w:rsidRPr="00AB6F27">
        <w:t>+</w:t>
      </w:r>
      <w:r w:rsidRPr="00AB6F27" w:rsidDel="0046651C">
        <w:t xml:space="preserve"> </w:t>
      </w:r>
      <w:r w:rsidR="008F1D87">
        <w:t>olaparib</w:t>
      </w:r>
      <w:r w:rsidR="00A64787" w:rsidRPr="00AB6F27">
        <w:t xml:space="preserve">. </w:t>
      </w:r>
      <w:r w:rsidR="00EC4F46" w:rsidRPr="00AB6F27">
        <w:t>Nonetheless</w:t>
      </w:r>
      <w:r w:rsidR="00A64787" w:rsidRPr="00AB6F27">
        <w:t xml:space="preserve">, </w:t>
      </w:r>
      <w:r>
        <w:t xml:space="preserve">the evaluation considered </w:t>
      </w:r>
      <w:r w:rsidR="00A64787" w:rsidRPr="00AB6F27">
        <w:t xml:space="preserve">it may be biologically plausible that the addition of </w:t>
      </w:r>
      <w:r w:rsidR="008F1D87">
        <w:t>olaparib</w:t>
      </w:r>
      <w:r w:rsidR="00A64787" w:rsidRPr="00AB6F27">
        <w:t xml:space="preserve"> would lead to an inferior safety profile for the </w:t>
      </w:r>
      <w:r w:rsidR="008F1D87">
        <w:t>durvalumab</w:t>
      </w:r>
      <w:r>
        <w:t xml:space="preserve"> </w:t>
      </w:r>
      <w:r w:rsidR="00A64787" w:rsidRPr="00AB6F27">
        <w:t>+</w:t>
      </w:r>
      <w:r w:rsidRPr="00AB6F27" w:rsidDel="0046651C">
        <w:t xml:space="preserve"> </w:t>
      </w:r>
      <w:r w:rsidR="008F1D87">
        <w:t>olaparib</w:t>
      </w:r>
      <w:r w:rsidR="00A64787" w:rsidRPr="00AB6F27">
        <w:t xml:space="preserve"> regimen. However, the magnitude of the difference (if any) in safety could not be accurately informed by </w:t>
      </w:r>
      <w:r>
        <w:t xml:space="preserve">the </w:t>
      </w:r>
      <w:r w:rsidR="00A64787" w:rsidRPr="00AB6F27">
        <w:t>unanchored ITC, as there were differences in duration of treatment and follow-up between the studies, and the unanchored nature of the comparison increased the uncertainty of any findings.</w:t>
      </w:r>
      <w:bookmarkEnd w:id="52"/>
    </w:p>
    <w:p w14:paraId="6330E240" w14:textId="6FABEC3F" w:rsidR="004021E3" w:rsidRPr="00AB6F27" w:rsidRDefault="00D35DCC" w:rsidP="00D35DCC">
      <w:pPr>
        <w:pStyle w:val="3-BodyText"/>
      </w:pPr>
      <w:bookmarkStart w:id="54" w:name="_Ref196678073"/>
      <w:r w:rsidRPr="00AB6F27">
        <w:t xml:space="preserve">The submission included the crude difference in the rate of ≥ grade 3 anaemia and neutropenia/decreased white cell count in the CMA of </w:t>
      </w:r>
      <w:r w:rsidR="00BF1B0D">
        <w:t>pembrolizumab</w:t>
      </w:r>
      <w:r w:rsidRPr="00AB6F27">
        <w:t xml:space="preserve"> to </w:t>
      </w:r>
      <w:r w:rsidR="008F1D87">
        <w:t>durvalumab</w:t>
      </w:r>
      <w:r w:rsidR="0046651C">
        <w:t xml:space="preserve"> </w:t>
      </w:r>
      <w:r w:rsidRPr="00AB6F27">
        <w:t>+</w:t>
      </w:r>
      <w:r w:rsidR="0046651C" w:rsidRPr="00AB6F27" w:rsidDel="0046651C">
        <w:t xml:space="preserve"> </w:t>
      </w:r>
      <w:r w:rsidR="008F1D87">
        <w:t>olaparib</w:t>
      </w:r>
      <w:r w:rsidR="00370AC9" w:rsidRPr="00AB6F27">
        <w:t>. The submission claimed that</w:t>
      </w:r>
      <w:r w:rsidR="004021E3" w:rsidRPr="00AB6F27">
        <w:t>:</w:t>
      </w:r>
      <w:bookmarkEnd w:id="54"/>
    </w:p>
    <w:p w14:paraId="7354ADFC" w14:textId="6708E916" w:rsidR="004021E3" w:rsidRPr="00AB6F27" w:rsidRDefault="00370AC9" w:rsidP="0037102E">
      <w:pPr>
        <w:pStyle w:val="3-BodyText"/>
        <w:numPr>
          <w:ilvl w:val="0"/>
          <w:numId w:val="20"/>
        </w:numPr>
      </w:pPr>
      <w:r w:rsidRPr="00AB6F27">
        <w:t>I</w:t>
      </w:r>
      <w:r w:rsidR="00D35DCC" w:rsidRPr="00AB6F27">
        <w:t xml:space="preserve">n DUO-E, there was an 6.6% higher rate of anaemia for </w:t>
      </w:r>
      <w:r w:rsidR="00816B84" w:rsidRPr="00AB6F27">
        <w:t>patient</w:t>
      </w:r>
      <w:r w:rsidR="00D35DCC" w:rsidRPr="00AB6F27">
        <w:t xml:space="preserve">s receiving </w:t>
      </w:r>
      <w:r w:rsidR="008F1D87">
        <w:t>durvalumab</w:t>
      </w:r>
      <w:r w:rsidR="0046651C">
        <w:t xml:space="preserve"> </w:t>
      </w:r>
      <w:r w:rsidR="00D35DCC" w:rsidRPr="00AB6F27">
        <w:t>+</w:t>
      </w:r>
      <w:r w:rsidR="0046651C" w:rsidRPr="00AB6F27" w:rsidDel="0046651C">
        <w:t xml:space="preserve"> </w:t>
      </w:r>
      <w:r w:rsidR="008F1D87">
        <w:t>olaparib</w:t>
      </w:r>
      <w:r w:rsidR="00D35DCC" w:rsidRPr="00AB6F27">
        <w:t xml:space="preserve"> compared to </w:t>
      </w:r>
      <w:r w:rsidR="00816B84" w:rsidRPr="00AB6F27">
        <w:t>patient</w:t>
      </w:r>
      <w:r w:rsidR="00D35DCC" w:rsidRPr="00AB6F27">
        <w:t xml:space="preserve">s in NRG-GY018 receiving </w:t>
      </w:r>
      <w:r w:rsidR="00BF1B0D">
        <w:t>pembrolizumab</w:t>
      </w:r>
      <w:r w:rsidR="00D35DCC" w:rsidRPr="00AB6F27">
        <w:t xml:space="preserve">. However, the rate of anaemia </w:t>
      </w:r>
      <w:r w:rsidR="004021E3" w:rsidRPr="00AB6F27">
        <w:t xml:space="preserve">reported in </w:t>
      </w:r>
      <w:r w:rsidR="0046651C">
        <w:t>placebo</w:t>
      </w:r>
      <w:r w:rsidR="004021E3" w:rsidRPr="00AB6F27">
        <w:t xml:space="preserve"> </w:t>
      </w:r>
      <w:r w:rsidR="00816B84" w:rsidRPr="00AB6F27">
        <w:t>patient</w:t>
      </w:r>
      <w:r w:rsidR="00D35DCC" w:rsidRPr="00AB6F27">
        <w:t xml:space="preserve">s </w:t>
      </w:r>
      <w:r w:rsidR="004021E3" w:rsidRPr="00AB6F27">
        <w:t xml:space="preserve">in DUO-E was also higher (+2.8%) </w:t>
      </w:r>
      <w:r w:rsidR="00D35DCC" w:rsidRPr="00AB6F27">
        <w:t xml:space="preserve">compared to placebo </w:t>
      </w:r>
      <w:r w:rsidR="00816B84" w:rsidRPr="00AB6F27">
        <w:t>patient</w:t>
      </w:r>
      <w:r w:rsidR="00D35DCC" w:rsidRPr="00AB6F27">
        <w:t>s in NRG-GY018</w:t>
      </w:r>
      <w:r w:rsidR="004021E3" w:rsidRPr="00AB6F27">
        <w:t>; and</w:t>
      </w:r>
    </w:p>
    <w:p w14:paraId="69C3406F" w14:textId="7A2A24DC" w:rsidR="00370AC9" w:rsidRPr="00AB6F27" w:rsidRDefault="00370AC9" w:rsidP="0037102E">
      <w:pPr>
        <w:pStyle w:val="3-BodyText"/>
        <w:numPr>
          <w:ilvl w:val="0"/>
          <w:numId w:val="20"/>
        </w:numPr>
      </w:pPr>
      <w:r w:rsidRPr="00AB6F27">
        <w:t xml:space="preserve">In DUO-E, </w:t>
      </w:r>
      <w:r w:rsidR="00277B7C" w:rsidRPr="00AB6F27">
        <w:t xml:space="preserve">a </w:t>
      </w:r>
      <w:r w:rsidR="00D35DCC" w:rsidRPr="00AB6F27">
        <w:t xml:space="preserve">12.8% higher rate of neutropenia/decreased white cell count was observed in </w:t>
      </w:r>
      <w:r w:rsidR="00816B84" w:rsidRPr="00AB6F27">
        <w:t>patient</w:t>
      </w:r>
      <w:r w:rsidR="00D35DCC" w:rsidRPr="00AB6F27">
        <w:t xml:space="preserve">s receiving </w:t>
      </w:r>
      <w:r w:rsidR="008F1D87">
        <w:t>durvalumab</w:t>
      </w:r>
      <w:r w:rsidR="0046651C">
        <w:t xml:space="preserve"> </w:t>
      </w:r>
      <w:r w:rsidR="00D35DCC" w:rsidRPr="00AB6F27">
        <w:t>+</w:t>
      </w:r>
      <w:r w:rsidR="0046651C" w:rsidRPr="00AB6F27" w:rsidDel="0046651C">
        <w:t xml:space="preserve"> </w:t>
      </w:r>
      <w:r w:rsidR="008F1D87">
        <w:t>olaparib</w:t>
      </w:r>
      <w:r w:rsidR="00D35DCC" w:rsidRPr="00AB6F27">
        <w:t xml:space="preserve"> compared to </w:t>
      </w:r>
      <w:r w:rsidR="00816B84" w:rsidRPr="00AB6F27">
        <w:t>patient</w:t>
      </w:r>
      <w:r w:rsidR="00D35DCC" w:rsidRPr="00AB6F27">
        <w:t xml:space="preserve">s in NRG-GY018 receiving </w:t>
      </w:r>
      <w:r w:rsidR="00BF1B0D">
        <w:t>pembrolizumab</w:t>
      </w:r>
      <w:r w:rsidR="00D35DCC" w:rsidRPr="00AB6F27">
        <w:t>. However, the</w:t>
      </w:r>
      <w:r w:rsidR="004021E3" w:rsidRPr="00AB6F27">
        <w:t xml:space="preserve"> </w:t>
      </w:r>
      <w:r w:rsidR="00D35DCC" w:rsidRPr="00AB6F27">
        <w:t xml:space="preserve">rate of neutropenia for </w:t>
      </w:r>
      <w:r w:rsidR="0046651C">
        <w:t>placebo</w:t>
      </w:r>
      <w:r w:rsidR="004021E3" w:rsidRPr="00AB6F27">
        <w:t xml:space="preserve"> </w:t>
      </w:r>
      <w:r w:rsidR="00816B84" w:rsidRPr="00AB6F27">
        <w:t>patient</w:t>
      </w:r>
      <w:r w:rsidR="00D35DCC" w:rsidRPr="00AB6F27">
        <w:t xml:space="preserve">s </w:t>
      </w:r>
      <w:r w:rsidR="004021E3" w:rsidRPr="00AB6F27">
        <w:t xml:space="preserve">in DUO-E was also 8.9% higher than </w:t>
      </w:r>
      <w:r w:rsidR="0046651C">
        <w:t>placebo</w:t>
      </w:r>
      <w:r w:rsidR="00D35DCC" w:rsidRPr="00AB6F27">
        <w:t xml:space="preserve"> </w:t>
      </w:r>
      <w:r w:rsidR="00816B84" w:rsidRPr="00AB6F27">
        <w:t>patient</w:t>
      </w:r>
      <w:r w:rsidR="00D35DCC" w:rsidRPr="00AB6F27">
        <w:t>s in NRG-GY018.</w:t>
      </w:r>
      <w:r w:rsidR="00725F86" w:rsidRPr="00AB6F27">
        <w:t xml:space="preserve"> </w:t>
      </w:r>
    </w:p>
    <w:p w14:paraId="6EA50929" w14:textId="525EE2A8" w:rsidR="00370AC9" w:rsidRPr="00AB6F27" w:rsidRDefault="00370AC9" w:rsidP="008620D2">
      <w:pPr>
        <w:pStyle w:val="3-BodyText"/>
        <w:numPr>
          <w:ilvl w:val="0"/>
          <w:numId w:val="0"/>
        </w:numPr>
        <w:ind w:left="720"/>
      </w:pPr>
      <w:r w:rsidRPr="00AB6F27">
        <w:t xml:space="preserve">These differences in </w:t>
      </w:r>
      <w:r w:rsidR="0046651C">
        <w:t>the placebo arm</w:t>
      </w:r>
      <w:r w:rsidRPr="00AB6F27">
        <w:t xml:space="preserve"> </w:t>
      </w:r>
      <w:r w:rsidR="000F4E51" w:rsidRPr="00AB6F27">
        <w:t xml:space="preserve">AEs were not accounted for in the unanchored ITC of AEs and likely favoured </w:t>
      </w:r>
      <w:r w:rsidR="00BF1B0D">
        <w:t>pembrolizumab</w:t>
      </w:r>
      <w:r w:rsidR="000F4E51" w:rsidRPr="00AB6F27">
        <w:t xml:space="preserve">. </w:t>
      </w:r>
    </w:p>
    <w:p w14:paraId="60BD7713" w14:textId="52C056DD" w:rsidR="00D35DCC" w:rsidRPr="00AB6F27" w:rsidRDefault="00725F86" w:rsidP="00633279">
      <w:pPr>
        <w:pStyle w:val="3-BodyText"/>
      </w:pPr>
      <w:bookmarkStart w:id="55" w:name="_Ref196678075"/>
      <w:r w:rsidRPr="00AB6F27">
        <w:t xml:space="preserve">In addition, the drug exposure for the </w:t>
      </w:r>
      <w:r w:rsidR="008F1D87">
        <w:t>durvalumab</w:t>
      </w:r>
      <w:r w:rsidR="0046651C">
        <w:t xml:space="preserve"> </w:t>
      </w:r>
      <w:r w:rsidRPr="00AB6F27">
        <w:t>+</w:t>
      </w:r>
      <w:r w:rsidR="0046651C" w:rsidRPr="00AB6F27" w:rsidDel="0046651C">
        <w:t xml:space="preserve"> </w:t>
      </w:r>
      <w:r w:rsidR="008F1D87">
        <w:t>olaparib</w:t>
      </w:r>
      <w:r w:rsidRPr="00AB6F27">
        <w:t xml:space="preserve"> in DUO-E at IA1 (mean 13.4 months for </w:t>
      </w:r>
      <w:r w:rsidR="008F1D87">
        <w:t>durvalumab</w:t>
      </w:r>
      <w:r w:rsidRPr="00AB6F27">
        <w:t xml:space="preserve"> and 10.5 months for </w:t>
      </w:r>
      <w:r w:rsidR="008F1D87">
        <w:t>olaparib</w:t>
      </w:r>
      <w:r w:rsidRPr="00AB6F27">
        <w:t xml:space="preserve">) was longer than </w:t>
      </w:r>
      <w:r w:rsidR="00BF1B0D">
        <w:t>pembrolizumab</w:t>
      </w:r>
      <w:r w:rsidRPr="00AB6F27">
        <w:t xml:space="preserve"> in NRG-GY081 (mean 9.57 months)</w:t>
      </w:r>
      <w:r w:rsidR="00F824BF" w:rsidRPr="00AB6F27">
        <w:t xml:space="preserve">, and the pMMR </w:t>
      </w:r>
      <w:r w:rsidR="008F1D87">
        <w:t>durvalumab</w:t>
      </w:r>
      <w:r w:rsidR="0046651C">
        <w:t xml:space="preserve"> </w:t>
      </w:r>
      <w:r w:rsidR="00F824BF" w:rsidRPr="00AB6F27">
        <w:t>+</w:t>
      </w:r>
      <w:r w:rsidR="0046651C" w:rsidRPr="00AB6F27" w:rsidDel="0046651C">
        <w:t xml:space="preserve"> </w:t>
      </w:r>
      <w:r w:rsidR="008F1D87">
        <w:t>olaparib</w:t>
      </w:r>
      <w:r w:rsidR="00F824BF" w:rsidRPr="00AB6F27">
        <w:t xml:space="preserve"> arm had a longer median follow-up of 18.4 months, approximate three months longer than pMMR </w:t>
      </w:r>
      <w:r w:rsidR="00BF1B0D">
        <w:t>pembrolizumab</w:t>
      </w:r>
      <w:r w:rsidR="0046651C">
        <w:t xml:space="preserve"> </w:t>
      </w:r>
      <w:r w:rsidR="00F824BF" w:rsidRPr="00AB6F27">
        <w:t xml:space="preserve">(median follow-up 15.3 months). </w:t>
      </w:r>
      <w:r w:rsidR="00383474" w:rsidRPr="00AB6F27">
        <w:t xml:space="preserve">This difference </w:t>
      </w:r>
      <w:r w:rsidR="001826DB" w:rsidRPr="00AB6F27">
        <w:t xml:space="preserve">would </w:t>
      </w:r>
      <w:r w:rsidR="00383474" w:rsidRPr="00AB6F27">
        <w:t xml:space="preserve">further </w:t>
      </w:r>
      <w:r w:rsidRPr="00AB6F27">
        <w:t xml:space="preserve">bias any safety signals in favour of </w:t>
      </w:r>
      <w:r w:rsidR="00BF1B0D">
        <w:t>pembrolizumab</w:t>
      </w:r>
      <w:r w:rsidRPr="00AB6F27">
        <w:t xml:space="preserve"> </w:t>
      </w:r>
      <w:r w:rsidR="001826DB" w:rsidRPr="00AB6F27">
        <w:t xml:space="preserve">as </w:t>
      </w:r>
      <w:r w:rsidRPr="00AB6F27">
        <w:t xml:space="preserve">shorter </w:t>
      </w:r>
      <w:r w:rsidR="00F824BF" w:rsidRPr="00AB6F27">
        <w:t xml:space="preserve">follow-up and </w:t>
      </w:r>
      <w:r w:rsidRPr="00AB6F27">
        <w:t xml:space="preserve">exposure likely correlated to fewer reported AEs. </w:t>
      </w:r>
      <w:bookmarkEnd w:id="53"/>
      <w:bookmarkEnd w:id="55"/>
    </w:p>
    <w:p w14:paraId="04908C7F" w14:textId="415B9B7D" w:rsidR="007F1017" w:rsidRPr="00AB6F27" w:rsidRDefault="007F1017" w:rsidP="00D86231">
      <w:pPr>
        <w:pStyle w:val="4-SubsectionHeading"/>
        <w:rPr>
          <w:iCs/>
        </w:rPr>
      </w:pPr>
      <w:bookmarkStart w:id="56" w:name="_Toc198643457"/>
      <w:r w:rsidRPr="00AB6F27">
        <w:rPr>
          <w:iCs/>
        </w:rPr>
        <w:t>Benefits/harms</w:t>
      </w:r>
      <w:bookmarkEnd w:id="46"/>
      <w:bookmarkEnd w:id="56"/>
    </w:p>
    <w:p w14:paraId="69D300C4" w14:textId="2F79E734" w:rsidR="00A3213F" w:rsidRPr="00AB6F27" w:rsidRDefault="00A3213F" w:rsidP="00A3213F">
      <w:pPr>
        <w:pStyle w:val="3-BodyText"/>
      </w:pPr>
      <w:bookmarkStart w:id="57" w:name="_Toc22897644"/>
      <w:r w:rsidRPr="00AB6F27">
        <w:rPr>
          <w:snapToGrid/>
          <w:lang w:val="en-US"/>
        </w:rPr>
        <w:t xml:space="preserve">A benefits and harms table </w:t>
      </w:r>
      <w:proofErr w:type="gramStart"/>
      <w:r w:rsidR="00633279" w:rsidRPr="00AB6F27">
        <w:rPr>
          <w:snapToGrid/>
          <w:lang w:val="en-US"/>
        </w:rPr>
        <w:t>wa</w:t>
      </w:r>
      <w:r w:rsidRPr="00AB6F27">
        <w:rPr>
          <w:snapToGrid/>
          <w:lang w:val="en-US"/>
        </w:rPr>
        <w:t>s</w:t>
      </w:r>
      <w:proofErr w:type="gramEnd"/>
      <w:r w:rsidRPr="00AB6F27">
        <w:rPr>
          <w:snapToGrid/>
          <w:lang w:val="en-US"/>
        </w:rPr>
        <w:t xml:space="preserve"> not presented as the submission made a claim of non-inferiority. </w:t>
      </w:r>
    </w:p>
    <w:p w14:paraId="6C3451D2" w14:textId="77777777" w:rsidR="00B60B87" w:rsidRDefault="00B60B87">
      <w:pPr>
        <w:jc w:val="left"/>
        <w:rPr>
          <w:rFonts w:asciiTheme="minorHAnsi" w:eastAsiaTheme="majorEastAsia" w:hAnsiTheme="minorHAnsi" w:cstheme="majorBidi"/>
          <w:b/>
          <w:i/>
          <w:iCs/>
          <w:spacing w:val="5"/>
          <w:kern w:val="28"/>
          <w:sz w:val="28"/>
          <w:szCs w:val="36"/>
        </w:rPr>
      </w:pPr>
      <w:bookmarkStart w:id="58" w:name="_Toc198643458"/>
      <w:bookmarkStart w:id="59" w:name="_Hlk200623444"/>
      <w:r>
        <w:rPr>
          <w:iCs/>
        </w:rPr>
        <w:br w:type="page"/>
      </w:r>
    </w:p>
    <w:p w14:paraId="7A1772B6" w14:textId="557B09D0" w:rsidR="00B60939" w:rsidRPr="00AB6F27" w:rsidRDefault="00B60939" w:rsidP="00E9094A">
      <w:pPr>
        <w:pStyle w:val="4-SubsectionHeading"/>
        <w:rPr>
          <w:iCs/>
        </w:rPr>
      </w:pPr>
      <w:r w:rsidRPr="00AB6F27">
        <w:rPr>
          <w:iCs/>
        </w:rPr>
        <w:lastRenderedPageBreak/>
        <w:t>Clinical claim</w:t>
      </w:r>
      <w:bookmarkEnd w:id="57"/>
      <w:bookmarkEnd w:id="58"/>
    </w:p>
    <w:p w14:paraId="1D6002C2" w14:textId="4B086C5F" w:rsidR="00AE1228" w:rsidRPr="00AB6F27" w:rsidRDefault="00AE1228" w:rsidP="00277B7C">
      <w:pPr>
        <w:pStyle w:val="3-BodyText"/>
        <w:numPr>
          <w:ilvl w:val="0"/>
          <w:numId w:val="0"/>
        </w:numPr>
        <w:ind w:left="720" w:hanging="720"/>
        <w:outlineLvl w:val="2"/>
        <w:rPr>
          <w:rFonts w:eastAsia="Calibri"/>
          <w:i/>
          <w:iCs/>
          <w:u w:val="single"/>
        </w:rPr>
      </w:pPr>
      <w:bookmarkStart w:id="60" w:name="_Ref196676989"/>
      <w:bookmarkStart w:id="61" w:name="_Toc22897645"/>
      <w:r w:rsidRPr="00AB6F27">
        <w:rPr>
          <w:rFonts w:eastAsia="Calibri"/>
          <w:i/>
          <w:iCs/>
          <w:u w:val="single"/>
        </w:rPr>
        <w:t>dMMR population</w:t>
      </w:r>
    </w:p>
    <w:bookmarkEnd w:id="59"/>
    <w:p w14:paraId="34CD0E37" w14:textId="3AC0B10C" w:rsidR="00A3213F" w:rsidRPr="00AB6F27" w:rsidRDefault="00FC69A4" w:rsidP="00A3213F">
      <w:pPr>
        <w:pStyle w:val="3-BodyText"/>
        <w:rPr>
          <w:rFonts w:eastAsia="Calibri"/>
        </w:rPr>
      </w:pPr>
      <w:r w:rsidRPr="00AB6F27">
        <w:rPr>
          <w:rFonts w:eastAsia="Calibri"/>
        </w:rPr>
        <w:t>For dMMR A/R EC, t</w:t>
      </w:r>
      <w:r w:rsidR="00A3213F" w:rsidRPr="00AB6F27">
        <w:rPr>
          <w:rFonts w:eastAsia="Calibri"/>
        </w:rPr>
        <w:t xml:space="preserve">he submission described </w:t>
      </w:r>
      <w:r w:rsidR="00BF1B0D">
        <w:rPr>
          <w:rFonts w:eastAsia="Calibri"/>
        </w:rPr>
        <w:t>pembrolizumab</w:t>
      </w:r>
      <w:r w:rsidR="00A3213F" w:rsidRPr="00AB6F27">
        <w:rPr>
          <w:rFonts w:eastAsia="Calibri"/>
        </w:rPr>
        <w:t xml:space="preserve"> as non-inferior in terms of effectiveness</w:t>
      </w:r>
      <w:r w:rsidR="002A6B33" w:rsidRPr="00AB6F27">
        <w:rPr>
          <w:rFonts w:eastAsia="Calibri"/>
        </w:rPr>
        <w:t xml:space="preserve"> and</w:t>
      </w:r>
      <w:r w:rsidR="00A3213F" w:rsidRPr="00AB6F27">
        <w:rPr>
          <w:rFonts w:eastAsia="Calibri"/>
        </w:rPr>
        <w:t xml:space="preserve"> </w:t>
      </w:r>
      <w:r w:rsidR="002A6B33" w:rsidRPr="00AB6F27">
        <w:rPr>
          <w:rFonts w:eastAsia="Calibri"/>
        </w:rPr>
        <w:t xml:space="preserve">safety </w:t>
      </w:r>
      <w:r w:rsidR="00A3213F" w:rsidRPr="00AB6F27">
        <w:rPr>
          <w:rFonts w:eastAsia="Calibri"/>
        </w:rPr>
        <w:t xml:space="preserve">compared with </w:t>
      </w:r>
      <w:r w:rsidR="00437BAB">
        <w:rPr>
          <w:rFonts w:eastAsia="Calibri"/>
        </w:rPr>
        <w:t>dostarlimab</w:t>
      </w:r>
      <w:r w:rsidR="00C316A0" w:rsidRPr="00AB6F27">
        <w:rPr>
          <w:rFonts w:eastAsia="Calibri"/>
        </w:rPr>
        <w:t xml:space="preserve"> and </w:t>
      </w:r>
      <w:r w:rsidR="008F1D87">
        <w:rPr>
          <w:rFonts w:eastAsia="Calibri"/>
        </w:rPr>
        <w:t>durvalumab</w:t>
      </w:r>
      <w:r w:rsidR="00A3213F" w:rsidRPr="00AB6F27">
        <w:rPr>
          <w:rFonts w:eastAsia="Calibri"/>
        </w:rPr>
        <w:t>.</w:t>
      </w:r>
      <w:bookmarkEnd w:id="60"/>
      <w:r w:rsidR="00A3213F" w:rsidRPr="00AB6F27">
        <w:rPr>
          <w:rFonts w:eastAsia="Calibri"/>
        </w:rPr>
        <w:t xml:space="preserve"> </w:t>
      </w:r>
    </w:p>
    <w:p w14:paraId="0C0639C9" w14:textId="3AC1D2CE" w:rsidR="0046651C" w:rsidRPr="0046651C" w:rsidRDefault="00A3213F" w:rsidP="0046651C">
      <w:pPr>
        <w:pStyle w:val="3-BodyText"/>
      </w:pPr>
      <w:r w:rsidRPr="00AB6F27">
        <w:rPr>
          <w:rFonts w:eastAsia="Calibri"/>
        </w:rPr>
        <w:t>The</w:t>
      </w:r>
      <w:r w:rsidR="0046651C">
        <w:rPr>
          <w:rFonts w:eastAsia="Calibri"/>
        </w:rPr>
        <w:t xml:space="preserve"> evaluation considered that the</w:t>
      </w:r>
      <w:r w:rsidRPr="00AB6F27">
        <w:rPr>
          <w:rFonts w:eastAsia="Calibri"/>
        </w:rPr>
        <w:t xml:space="preserve"> </w:t>
      </w:r>
      <w:r w:rsidR="002A6B33" w:rsidRPr="00AB6F27">
        <w:rPr>
          <w:rFonts w:eastAsia="Calibri"/>
        </w:rPr>
        <w:t>claim</w:t>
      </w:r>
      <w:r w:rsidR="0046651C">
        <w:rPr>
          <w:rFonts w:eastAsia="Calibri"/>
        </w:rPr>
        <w:t>s</w:t>
      </w:r>
      <w:r w:rsidR="002A6B33" w:rsidRPr="00AB6F27">
        <w:rPr>
          <w:rFonts w:eastAsia="Calibri"/>
        </w:rPr>
        <w:t xml:space="preserve"> of non-inferior effectiveness versus </w:t>
      </w:r>
      <w:r w:rsidR="00437BAB">
        <w:rPr>
          <w:rFonts w:eastAsia="Calibri"/>
        </w:rPr>
        <w:t>dostarlimab</w:t>
      </w:r>
      <w:r w:rsidRPr="00AB6F27">
        <w:rPr>
          <w:rFonts w:eastAsia="Calibri"/>
        </w:rPr>
        <w:t xml:space="preserve"> </w:t>
      </w:r>
      <w:r w:rsidR="00C316A0" w:rsidRPr="00AB6F27">
        <w:rPr>
          <w:rFonts w:eastAsia="Calibri"/>
        </w:rPr>
        <w:t xml:space="preserve">and </w:t>
      </w:r>
      <w:r w:rsidR="008F1D87">
        <w:rPr>
          <w:rFonts w:eastAsia="Calibri"/>
        </w:rPr>
        <w:t>durvalumab</w:t>
      </w:r>
      <w:r w:rsidR="00C316A0" w:rsidRPr="00AB6F27">
        <w:rPr>
          <w:rFonts w:eastAsia="Calibri"/>
        </w:rPr>
        <w:t xml:space="preserve"> </w:t>
      </w:r>
      <w:r w:rsidRPr="00AB6F27">
        <w:rPr>
          <w:rFonts w:eastAsia="Calibri"/>
        </w:rPr>
        <w:t xml:space="preserve">in dMMR EC </w:t>
      </w:r>
      <w:r w:rsidR="0046651C" w:rsidRPr="00AB6F27">
        <w:rPr>
          <w:rFonts w:eastAsia="Calibri"/>
        </w:rPr>
        <w:t>w</w:t>
      </w:r>
      <w:r w:rsidR="0046651C">
        <w:rPr>
          <w:rFonts w:eastAsia="Calibri"/>
        </w:rPr>
        <w:t>ere</w:t>
      </w:r>
      <w:r w:rsidR="0046651C" w:rsidRPr="00AB6F27">
        <w:rPr>
          <w:rFonts w:eastAsia="Calibri"/>
        </w:rPr>
        <w:t xml:space="preserve"> </w:t>
      </w:r>
      <w:r w:rsidRPr="00AB6F27">
        <w:rPr>
          <w:rFonts w:eastAsia="Calibri"/>
        </w:rPr>
        <w:t xml:space="preserve">not </w:t>
      </w:r>
      <w:r w:rsidR="00C316A0" w:rsidRPr="00AB6F27">
        <w:rPr>
          <w:rFonts w:eastAsia="Calibri"/>
        </w:rPr>
        <w:t xml:space="preserve">adequately </w:t>
      </w:r>
      <w:r w:rsidRPr="00AB6F27">
        <w:rPr>
          <w:rFonts w:eastAsia="Calibri"/>
        </w:rPr>
        <w:t>supported by the evidence presented</w:t>
      </w:r>
      <w:r w:rsidR="0046651C">
        <w:rPr>
          <w:rFonts w:eastAsia="Calibri"/>
        </w:rPr>
        <w:t xml:space="preserve"> due to:</w:t>
      </w:r>
    </w:p>
    <w:p w14:paraId="71C427A2" w14:textId="5CD5F7F2" w:rsidR="0046651C" w:rsidRDefault="0046651C" w:rsidP="0037102E">
      <w:pPr>
        <w:pStyle w:val="3-BodyText"/>
        <w:numPr>
          <w:ilvl w:val="0"/>
          <w:numId w:val="26"/>
        </w:numPr>
        <w:ind w:left="1276" w:hanging="425"/>
      </w:pPr>
      <w:r w:rsidRPr="0046651C">
        <w:t xml:space="preserve">the multiple sources of heterogeneity in the trial and patient characteristics, </w:t>
      </w:r>
      <w:r>
        <w:t xml:space="preserve">and the </w:t>
      </w:r>
      <w:r w:rsidRPr="0046651C">
        <w:t>differences in event rates between the common comparator arms</w:t>
      </w:r>
      <w:r w:rsidR="00637F34">
        <w:t>;</w:t>
      </w:r>
      <w:r w:rsidRPr="0046651C">
        <w:t xml:space="preserve"> </w:t>
      </w:r>
    </w:p>
    <w:p w14:paraId="39726C67" w14:textId="5A3008DB" w:rsidR="0046651C" w:rsidRDefault="0046651C" w:rsidP="0037102E">
      <w:pPr>
        <w:pStyle w:val="3-BodyText"/>
        <w:numPr>
          <w:ilvl w:val="0"/>
          <w:numId w:val="26"/>
        </w:numPr>
        <w:ind w:left="1276" w:hanging="425"/>
      </w:pPr>
      <w:r w:rsidRPr="0046651C">
        <w:t>the immature data at the NRG-GY018 EUR cut-off (OS information fraction 29.3% [dMMR], 46.3% [pMMR])</w:t>
      </w:r>
      <w:r w:rsidR="00637F34">
        <w:t>;</w:t>
      </w:r>
    </w:p>
    <w:p w14:paraId="0F63B32C" w14:textId="376EAA45" w:rsidR="00637F34" w:rsidRDefault="00637F34" w:rsidP="0037102E">
      <w:pPr>
        <w:pStyle w:val="3-BodyText"/>
        <w:numPr>
          <w:ilvl w:val="0"/>
          <w:numId w:val="26"/>
        </w:numPr>
        <w:ind w:left="1276" w:hanging="425"/>
        <w:rPr>
          <w:rFonts w:eastAsia="Calibri"/>
        </w:rPr>
      </w:pPr>
      <w:r>
        <w:rPr>
          <w:rFonts w:eastAsia="Calibri"/>
        </w:rPr>
        <w:t>t</w:t>
      </w:r>
      <w:r w:rsidR="00C316A0" w:rsidRPr="00AB6F27">
        <w:rPr>
          <w:rFonts w:eastAsia="Calibri"/>
        </w:rPr>
        <w:t xml:space="preserve">he </w:t>
      </w:r>
      <w:r>
        <w:rPr>
          <w:rFonts w:eastAsia="Calibri"/>
        </w:rPr>
        <w:t xml:space="preserve">wide </w:t>
      </w:r>
      <w:r w:rsidR="00C316A0" w:rsidRPr="00AB6F27">
        <w:rPr>
          <w:rFonts w:eastAsia="Calibri"/>
        </w:rPr>
        <w:t xml:space="preserve">confidence intervals associated with the Bucher ITC </w:t>
      </w:r>
      <w:r>
        <w:rPr>
          <w:rFonts w:eastAsia="Calibri"/>
        </w:rPr>
        <w:t>; and</w:t>
      </w:r>
      <w:r w:rsidR="00C316A0" w:rsidRPr="00AB6F27">
        <w:rPr>
          <w:rFonts w:eastAsia="Calibri"/>
        </w:rPr>
        <w:t xml:space="preserve"> </w:t>
      </w:r>
    </w:p>
    <w:p w14:paraId="39A72F78" w14:textId="39E84A9C" w:rsidR="00A3213F" w:rsidRPr="00AB6F27" w:rsidRDefault="43C077B5" w:rsidP="7A59D51F">
      <w:pPr>
        <w:pStyle w:val="3-BodyText"/>
        <w:ind w:left="1276" w:hanging="425"/>
        <w:rPr>
          <w:rFonts w:eastAsia="Calibri"/>
        </w:rPr>
      </w:pPr>
      <w:r>
        <w:t>the lack of</w:t>
      </w:r>
      <w:r w:rsidR="6F709AB6" w:rsidRPr="7A59D51F">
        <w:rPr>
          <w:rFonts w:eastAsia="Calibri"/>
        </w:rPr>
        <w:t xml:space="preserve"> non-inferiority margin</w:t>
      </w:r>
      <w:r w:rsidRPr="7A59D51F">
        <w:rPr>
          <w:rFonts w:eastAsia="Calibri"/>
        </w:rPr>
        <w:t>s</w:t>
      </w:r>
      <w:r w:rsidR="292C49E2" w:rsidRPr="7A59D51F">
        <w:rPr>
          <w:rFonts w:eastAsia="Calibri"/>
        </w:rPr>
        <w:t xml:space="preserve"> provided.</w:t>
      </w:r>
      <w:r w:rsidR="6F709AB6" w:rsidRPr="7A59D51F">
        <w:rPr>
          <w:rFonts w:eastAsia="Calibri"/>
        </w:rPr>
        <w:t xml:space="preserve"> </w:t>
      </w:r>
    </w:p>
    <w:p w14:paraId="3991339D" w14:textId="06A2A284" w:rsidR="00237A69" w:rsidRPr="00497260" w:rsidRDefault="00237A69" w:rsidP="00237A69">
      <w:pPr>
        <w:pStyle w:val="3-BodyText"/>
        <w:rPr>
          <w:rFonts w:eastAsia="Calibri"/>
        </w:rPr>
      </w:pPr>
      <w:r w:rsidRPr="00497260">
        <w:rPr>
          <w:rFonts w:eastAsia="Calibri"/>
        </w:rPr>
        <w:t>The PSCR stated ‘the wide confidence intervals may reflect the small, pooled sample size and exchangeability/transitivity issues between studies and are likely driven by NRG-GY018 being subsequently unblinded to allow pembrolizumab access in the standard of care</w:t>
      </w:r>
      <w:r w:rsidR="006E163F" w:rsidRPr="00497260">
        <w:rPr>
          <w:rFonts w:eastAsia="Calibri"/>
        </w:rPr>
        <w:t xml:space="preserve"> arm</w:t>
      </w:r>
      <w:r w:rsidRPr="00497260">
        <w:rPr>
          <w:rFonts w:eastAsia="Calibri"/>
        </w:rPr>
        <w:t>.’</w:t>
      </w:r>
    </w:p>
    <w:p w14:paraId="5DD4E01D" w14:textId="0C8C75FA" w:rsidR="00A3213F" w:rsidRPr="00497260" w:rsidRDefault="00237A69" w:rsidP="00A3213F">
      <w:pPr>
        <w:pStyle w:val="3-BodyText"/>
        <w:rPr>
          <w:rFonts w:eastAsia="Calibri"/>
        </w:rPr>
      </w:pPr>
      <w:r w:rsidRPr="00497260">
        <w:rPr>
          <w:rFonts w:eastAsia="Calibri"/>
        </w:rPr>
        <w:t>Overall</w:t>
      </w:r>
      <w:r w:rsidR="00A3213F" w:rsidRPr="00497260">
        <w:rPr>
          <w:rFonts w:eastAsia="Calibri"/>
        </w:rPr>
        <w:t xml:space="preserve">, </w:t>
      </w:r>
      <w:r w:rsidR="00637F34" w:rsidRPr="00497260">
        <w:rPr>
          <w:rFonts w:eastAsia="Calibri"/>
        </w:rPr>
        <w:t xml:space="preserve">the evaluation considered that, </w:t>
      </w:r>
      <w:r w:rsidR="00A3213F" w:rsidRPr="00497260">
        <w:rPr>
          <w:rFonts w:eastAsia="Calibri"/>
        </w:rPr>
        <w:t xml:space="preserve">given that </w:t>
      </w:r>
      <w:r w:rsidR="00BF1B0D" w:rsidRPr="00497260">
        <w:rPr>
          <w:rFonts w:eastAsia="Calibri"/>
        </w:rPr>
        <w:t>pembrolizumab</w:t>
      </w:r>
      <w:r w:rsidR="00B84097" w:rsidRPr="00497260">
        <w:rPr>
          <w:rFonts w:eastAsia="Calibri"/>
        </w:rPr>
        <w:t xml:space="preserve">, </w:t>
      </w:r>
      <w:r w:rsidR="00437BAB" w:rsidRPr="00497260">
        <w:rPr>
          <w:rFonts w:eastAsia="Calibri"/>
        </w:rPr>
        <w:t>dostarlimab</w:t>
      </w:r>
      <w:r w:rsidR="00A3213F" w:rsidRPr="00497260">
        <w:rPr>
          <w:rFonts w:eastAsia="Calibri"/>
        </w:rPr>
        <w:t xml:space="preserve"> </w:t>
      </w:r>
      <w:r w:rsidR="00B84097" w:rsidRPr="00497260">
        <w:rPr>
          <w:rFonts w:eastAsia="Calibri"/>
        </w:rPr>
        <w:t xml:space="preserve">and </w:t>
      </w:r>
      <w:r w:rsidR="008F1D87" w:rsidRPr="00497260">
        <w:rPr>
          <w:rFonts w:eastAsia="Calibri"/>
        </w:rPr>
        <w:t>durvalumab</w:t>
      </w:r>
      <w:r w:rsidR="00B84097" w:rsidRPr="00497260">
        <w:rPr>
          <w:rFonts w:eastAsia="Calibri"/>
        </w:rPr>
        <w:t xml:space="preserve"> </w:t>
      </w:r>
      <w:r w:rsidR="00A3213F" w:rsidRPr="00497260">
        <w:rPr>
          <w:rFonts w:eastAsia="Calibri"/>
        </w:rPr>
        <w:t>are PD-</w:t>
      </w:r>
      <w:r w:rsidR="00B84097" w:rsidRPr="00497260">
        <w:rPr>
          <w:rFonts w:eastAsia="Calibri"/>
        </w:rPr>
        <w:t>(</w:t>
      </w:r>
      <w:r w:rsidR="00A3213F" w:rsidRPr="00497260">
        <w:rPr>
          <w:rFonts w:eastAsia="Calibri"/>
        </w:rPr>
        <w:t>L</w:t>
      </w:r>
      <w:r w:rsidR="00B84097" w:rsidRPr="00497260">
        <w:rPr>
          <w:rFonts w:eastAsia="Calibri"/>
        </w:rPr>
        <w:t>)</w:t>
      </w:r>
      <w:r w:rsidR="00A3213F" w:rsidRPr="00497260">
        <w:rPr>
          <w:rFonts w:eastAsia="Calibri"/>
        </w:rPr>
        <w:t xml:space="preserve">1 inhibitors that have demonstrated PFS benefit versus </w:t>
      </w:r>
      <w:r w:rsidR="00637F34" w:rsidRPr="00497260">
        <w:rPr>
          <w:rFonts w:eastAsia="Calibri"/>
        </w:rPr>
        <w:t xml:space="preserve">platinum-based chemotherapy </w:t>
      </w:r>
      <w:r w:rsidR="00A3213F" w:rsidRPr="00497260">
        <w:rPr>
          <w:rFonts w:eastAsia="Calibri"/>
        </w:rPr>
        <w:t xml:space="preserve">alone, it </w:t>
      </w:r>
      <w:r w:rsidR="00BC589B">
        <w:rPr>
          <w:rFonts w:eastAsia="Calibri"/>
        </w:rPr>
        <w:t>wa</w:t>
      </w:r>
      <w:r w:rsidR="00A3213F" w:rsidRPr="00497260">
        <w:rPr>
          <w:rFonts w:eastAsia="Calibri"/>
        </w:rPr>
        <w:t xml:space="preserve">s biologically plausible that </w:t>
      </w:r>
      <w:r w:rsidR="00BF1B0D" w:rsidRPr="00497260">
        <w:rPr>
          <w:rFonts w:eastAsia="Calibri"/>
        </w:rPr>
        <w:t>pembrolizumab</w:t>
      </w:r>
      <w:r w:rsidR="00A3213F" w:rsidRPr="00497260">
        <w:rPr>
          <w:rFonts w:eastAsia="Calibri"/>
        </w:rPr>
        <w:t xml:space="preserve"> may be non-inferior to </w:t>
      </w:r>
      <w:r w:rsidR="00437BAB" w:rsidRPr="00497260">
        <w:rPr>
          <w:rFonts w:eastAsia="Calibri"/>
        </w:rPr>
        <w:t>dostarlimab</w:t>
      </w:r>
      <w:r w:rsidR="00A3213F" w:rsidRPr="00497260">
        <w:rPr>
          <w:rFonts w:eastAsia="Calibri"/>
        </w:rPr>
        <w:t xml:space="preserve"> </w:t>
      </w:r>
      <w:r w:rsidR="00B84097" w:rsidRPr="00497260">
        <w:rPr>
          <w:rFonts w:eastAsia="Calibri"/>
        </w:rPr>
        <w:t xml:space="preserve">and </w:t>
      </w:r>
      <w:r w:rsidR="008F1D87" w:rsidRPr="00497260">
        <w:rPr>
          <w:rFonts w:eastAsia="Calibri"/>
        </w:rPr>
        <w:t>durvalumab</w:t>
      </w:r>
      <w:r w:rsidR="00B84097" w:rsidRPr="00497260">
        <w:rPr>
          <w:rFonts w:eastAsia="Calibri"/>
        </w:rPr>
        <w:t xml:space="preserve"> </w:t>
      </w:r>
      <w:r w:rsidR="00A3213F" w:rsidRPr="00497260">
        <w:rPr>
          <w:rFonts w:eastAsia="Calibri"/>
        </w:rPr>
        <w:t>in terms of effectiveness.</w:t>
      </w:r>
    </w:p>
    <w:p w14:paraId="4AA6AA5A" w14:textId="56DB794D" w:rsidR="00A3213F" w:rsidRPr="00497260" w:rsidRDefault="4880D7FF" w:rsidP="00A3213F">
      <w:pPr>
        <w:pStyle w:val="3-BodyText"/>
        <w:rPr>
          <w:rFonts w:eastAsia="Calibri"/>
        </w:rPr>
      </w:pPr>
      <w:r w:rsidRPr="7A59D51F">
        <w:rPr>
          <w:rFonts w:eastAsia="Calibri"/>
        </w:rPr>
        <w:t>The claim of non-inferior safety w</w:t>
      </w:r>
      <w:r w:rsidR="209AD425" w:rsidRPr="7A59D51F">
        <w:rPr>
          <w:rFonts w:eastAsia="Calibri"/>
        </w:rPr>
        <w:t>as</w:t>
      </w:r>
      <w:r w:rsidRPr="7A59D51F">
        <w:rPr>
          <w:rFonts w:eastAsia="Calibri"/>
        </w:rPr>
        <w:t xml:space="preserve"> based on unanchored indirect comparison</w:t>
      </w:r>
      <w:r w:rsidR="209AD425" w:rsidRPr="7A59D51F">
        <w:rPr>
          <w:rFonts w:eastAsia="Calibri"/>
        </w:rPr>
        <w:t>s</w:t>
      </w:r>
      <w:r w:rsidRPr="7A59D51F">
        <w:rPr>
          <w:rFonts w:eastAsia="Calibri"/>
        </w:rPr>
        <w:t xml:space="preserve"> that w</w:t>
      </w:r>
      <w:r w:rsidR="209AD425" w:rsidRPr="7A59D51F">
        <w:rPr>
          <w:rFonts w:eastAsia="Calibri"/>
        </w:rPr>
        <w:t>ere</w:t>
      </w:r>
      <w:r w:rsidRPr="7A59D51F">
        <w:rPr>
          <w:rFonts w:eastAsia="Calibri"/>
        </w:rPr>
        <w:t xml:space="preserve"> difficult to interpret. </w:t>
      </w:r>
      <w:r w:rsidR="6F709AB6" w:rsidRPr="7A59D51F">
        <w:rPr>
          <w:rFonts w:eastAsia="Calibri"/>
        </w:rPr>
        <w:t xml:space="preserve">Nonetheless, </w:t>
      </w:r>
      <w:r w:rsidR="43C077B5" w:rsidRPr="7A59D51F">
        <w:rPr>
          <w:rFonts w:eastAsia="Calibri"/>
        </w:rPr>
        <w:t xml:space="preserve">the evaluation and the ESC considered that, </w:t>
      </w:r>
      <w:r w:rsidR="6F709AB6" w:rsidRPr="7A59D51F">
        <w:rPr>
          <w:rFonts w:eastAsia="Calibri"/>
        </w:rPr>
        <w:t xml:space="preserve">given </w:t>
      </w:r>
      <w:r w:rsidR="10F7BEDC" w:rsidRPr="7A59D51F">
        <w:rPr>
          <w:rFonts w:eastAsia="Calibri"/>
        </w:rPr>
        <w:t>pembrolizumab</w:t>
      </w:r>
      <w:r w:rsidR="209AD425" w:rsidRPr="7A59D51F">
        <w:rPr>
          <w:rFonts w:eastAsia="Calibri"/>
        </w:rPr>
        <w:t xml:space="preserve">, </w:t>
      </w:r>
      <w:r w:rsidR="1C6D1F11" w:rsidRPr="7A59D51F">
        <w:rPr>
          <w:rFonts w:eastAsia="Calibri"/>
        </w:rPr>
        <w:t>dostarlimab</w:t>
      </w:r>
      <w:r w:rsidR="209AD425" w:rsidRPr="7A59D51F">
        <w:rPr>
          <w:rFonts w:eastAsia="Calibri"/>
        </w:rPr>
        <w:t xml:space="preserve"> and </w:t>
      </w:r>
      <w:r w:rsidR="67793A96" w:rsidRPr="7A59D51F">
        <w:rPr>
          <w:rFonts w:eastAsia="Calibri"/>
        </w:rPr>
        <w:t>durvalumab</w:t>
      </w:r>
      <w:r w:rsidR="6F709AB6" w:rsidRPr="7A59D51F">
        <w:rPr>
          <w:rFonts w:eastAsia="Calibri"/>
        </w:rPr>
        <w:t xml:space="preserve"> are PD-</w:t>
      </w:r>
      <w:r w:rsidR="209AD425" w:rsidRPr="7A59D51F">
        <w:rPr>
          <w:rFonts w:eastAsia="Calibri"/>
        </w:rPr>
        <w:t>(L)</w:t>
      </w:r>
      <w:r w:rsidR="6F709AB6" w:rsidRPr="7A59D51F">
        <w:rPr>
          <w:rFonts w:eastAsia="Calibri"/>
        </w:rPr>
        <w:t>1 inhibitors with known and manageable safety profiles, a non-inferiority safety claim was biologically plausible.</w:t>
      </w:r>
    </w:p>
    <w:p w14:paraId="4CAA6466" w14:textId="77C6DDE8" w:rsidR="00637F34" w:rsidRDefault="00637F34" w:rsidP="00637F34">
      <w:pPr>
        <w:pStyle w:val="3-BodyText"/>
        <w:rPr>
          <w:rFonts w:eastAsia="Calibri"/>
        </w:rPr>
      </w:pPr>
      <w:r w:rsidRPr="00497260">
        <w:rPr>
          <w:rFonts w:eastAsia="Calibri"/>
        </w:rPr>
        <w:t>Overall, the ESC acknowledged the issues with the indirect comparisons (</w:t>
      </w:r>
      <w:r w:rsidR="00F41F45" w:rsidRPr="00497260">
        <w:rPr>
          <w:rFonts w:eastAsia="Calibri"/>
        </w:rPr>
        <w:t xml:space="preserve">e.g. </w:t>
      </w:r>
      <w:r w:rsidRPr="00497260">
        <w:rPr>
          <w:rFonts w:eastAsia="Calibri"/>
        </w:rPr>
        <w:t>transitivity issues</w:t>
      </w:r>
      <w:r w:rsidR="00A41CB0" w:rsidRPr="00497260">
        <w:rPr>
          <w:rFonts w:eastAsia="Calibri"/>
        </w:rPr>
        <w:t>,</w:t>
      </w:r>
      <w:r w:rsidRPr="00497260">
        <w:rPr>
          <w:rFonts w:eastAsia="Calibri"/>
        </w:rPr>
        <w:t xml:space="preserve"> </w:t>
      </w:r>
      <w:r w:rsidR="00A41CB0" w:rsidRPr="00497260">
        <w:t xml:space="preserve">differences in event rates between the common comparator arms </w:t>
      </w:r>
      <w:r w:rsidRPr="00497260">
        <w:rPr>
          <w:rFonts w:eastAsia="Calibri"/>
        </w:rPr>
        <w:t>and wide confidence intervals), but considered that the claim of non-inferior efficacy versus dostarlimab and durvalumab was biologically plausible and likely reasonable</w:t>
      </w:r>
      <w:r w:rsidR="00F41F45" w:rsidRPr="00497260">
        <w:rPr>
          <w:rFonts w:eastAsia="Calibri"/>
        </w:rPr>
        <w:t xml:space="preserve"> in the dMMR population</w:t>
      </w:r>
      <w:r w:rsidRPr="00497260">
        <w:rPr>
          <w:rFonts w:eastAsia="Calibri"/>
        </w:rPr>
        <w:t>. Further, the ESC considered that the claim of non-inferior safety was likely reasonable</w:t>
      </w:r>
      <w:r w:rsidR="00F41F45" w:rsidRPr="00497260">
        <w:rPr>
          <w:rFonts w:eastAsia="Calibri"/>
        </w:rPr>
        <w:t xml:space="preserve"> in the dMMR population</w:t>
      </w:r>
      <w:r w:rsidRPr="00497260">
        <w:rPr>
          <w:rFonts w:eastAsia="Calibri"/>
        </w:rPr>
        <w:t xml:space="preserve"> given: the rates of adverse events in the unanchored indirect comparison were similar; there were no new safety signals; and non-inferior safety was biologically plausibility.</w:t>
      </w:r>
    </w:p>
    <w:p w14:paraId="7E5BDE4F" w14:textId="417B351F" w:rsidR="005A7716" w:rsidRPr="005A7716" w:rsidRDefault="30B452C7" w:rsidP="005A7716">
      <w:pPr>
        <w:pStyle w:val="3-BodyText"/>
        <w:rPr>
          <w:rFonts w:eastAsia="Calibri"/>
        </w:rPr>
      </w:pPr>
      <w:r w:rsidRPr="7A59D51F">
        <w:rPr>
          <w:rFonts w:eastAsia="Calibri"/>
        </w:rPr>
        <w:t xml:space="preserve">The PBAC considered that the claim of </w:t>
      </w:r>
      <w:r w:rsidR="51C9308C" w:rsidRPr="7A59D51F">
        <w:rPr>
          <w:rFonts w:eastAsia="Calibri"/>
        </w:rPr>
        <w:t>non-inferior efficacy versus dostarlimab and durvalumab was not adequately supported by the information provided in the submission.</w:t>
      </w:r>
    </w:p>
    <w:p w14:paraId="4B32EF02" w14:textId="7494F916" w:rsidR="00100CB3" w:rsidRPr="00533911" w:rsidRDefault="00100CB3" w:rsidP="00100CB3">
      <w:pPr>
        <w:pStyle w:val="3-BodyText"/>
        <w:rPr>
          <w:lang w:val="en-GB"/>
        </w:rPr>
      </w:pPr>
      <w:r>
        <w:rPr>
          <w:lang w:val="en-GB"/>
        </w:rPr>
        <w:lastRenderedPageBreak/>
        <w:t>T</w:t>
      </w:r>
      <w:r w:rsidRPr="0059770E">
        <w:rPr>
          <w:lang w:val="en-GB"/>
        </w:rPr>
        <w:t xml:space="preserve">he </w:t>
      </w:r>
      <w:r>
        <w:rPr>
          <w:lang w:val="en-GB"/>
        </w:rPr>
        <w:t>PBAC</w:t>
      </w:r>
      <w:r w:rsidRPr="0059770E">
        <w:rPr>
          <w:lang w:val="en-GB"/>
        </w:rPr>
        <w:t xml:space="preserve"> considered that the claim of non-inferior safety </w:t>
      </w:r>
      <w:r>
        <w:rPr>
          <w:lang w:val="en-GB"/>
        </w:rPr>
        <w:t xml:space="preserve">versus dostarlimab and durvalumab </w:t>
      </w:r>
      <w:r w:rsidRPr="0059770E">
        <w:rPr>
          <w:lang w:val="en-GB"/>
        </w:rPr>
        <w:t>was likely reasonable in the dMMR population</w:t>
      </w:r>
      <w:r>
        <w:rPr>
          <w:lang w:val="en-GB"/>
        </w:rPr>
        <w:t xml:space="preserve">. </w:t>
      </w:r>
    </w:p>
    <w:p w14:paraId="297B496C" w14:textId="5EEE8CBE" w:rsidR="00AE1228" w:rsidRPr="00497260" w:rsidRDefault="00AE1228" w:rsidP="00277B7C">
      <w:pPr>
        <w:pStyle w:val="3-BodyText"/>
        <w:numPr>
          <w:ilvl w:val="0"/>
          <w:numId w:val="0"/>
        </w:numPr>
        <w:ind w:left="720" w:hanging="720"/>
        <w:outlineLvl w:val="2"/>
        <w:rPr>
          <w:rFonts w:eastAsia="Calibri"/>
          <w:u w:val="single"/>
        </w:rPr>
      </w:pPr>
      <w:r w:rsidRPr="00497260">
        <w:rPr>
          <w:rFonts w:eastAsia="Calibri"/>
          <w:u w:val="single"/>
        </w:rPr>
        <w:t>pMMR population</w:t>
      </w:r>
    </w:p>
    <w:p w14:paraId="186A03D6" w14:textId="4EF0D71B" w:rsidR="00A3213F" w:rsidRPr="00497260" w:rsidRDefault="00A3213F" w:rsidP="00A3213F">
      <w:pPr>
        <w:pStyle w:val="3-BodyText"/>
        <w:rPr>
          <w:rFonts w:eastAsia="Calibri"/>
        </w:rPr>
      </w:pPr>
      <w:r w:rsidRPr="00497260">
        <w:rPr>
          <w:rFonts w:eastAsia="Calibri"/>
        </w:rPr>
        <w:t xml:space="preserve">For </w:t>
      </w:r>
      <w:r w:rsidR="00637F34" w:rsidRPr="00497260">
        <w:rPr>
          <w:rFonts w:eastAsia="Calibri"/>
        </w:rPr>
        <w:t xml:space="preserve">the </w:t>
      </w:r>
      <w:r w:rsidRPr="00497260">
        <w:rPr>
          <w:rFonts w:eastAsia="Calibri"/>
        </w:rPr>
        <w:t xml:space="preserve">pMMR </w:t>
      </w:r>
      <w:r w:rsidR="00637F34" w:rsidRPr="00497260">
        <w:rPr>
          <w:rFonts w:eastAsia="Calibri"/>
        </w:rPr>
        <w:t>population</w:t>
      </w:r>
      <w:r w:rsidRPr="00497260">
        <w:rPr>
          <w:rFonts w:eastAsia="Calibri"/>
        </w:rPr>
        <w:t xml:space="preserve">, the submission described </w:t>
      </w:r>
      <w:r w:rsidR="00BF1B0D" w:rsidRPr="00497260">
        <w:rPr>
          <w:rFonts w:eastAsia="Calibri"/>
        </w:rPr>
        <w:t>pembrolizumab</w:t>
      </w:r>
      <w:r w:rsidRPr="00497260">
        <w:rPr>
          <w:rFonts w:eastAsia="Calibri"/>
        </w:rPr>
        <w:t xml:space="preserve"> as non-inferior in terms of effectiveness</w:t>
      </w:r>
      <w:r w:rsidR="00B84097" w:rsidRPr="00497260">
        <w:rPr>
          <w:rFonts w:eastAsia="Calibri"/>
        </w:rPr>
        <w:t xml:space="preserve"> </w:t>
      </w:r>
      <w:r w:rsidRPr="00497260">
        <w:rPr>
          <w:rFonts w:eastAsia="Calibri"/>
        </w:rPr>
        <w:t xml:space="preserve">compared with </w:t>
      </w:r>
      <w:r w:rsidR="00437BAB" w:rsidRPr="00497260">
        <w:rPr>
          <w:rFonts w:eastAsia="Calibri"/>
        </w:rPr>
        <w:t>dostarlimab</w:t>
      </w:r>
      <w:r w:rsidR="00B84097" w:rsidRPr="00497260">
        <w:rPr>
          <w:rFonts w:eastAsia="Calibri"/>
        </w:rPr>
        <w:t xml:space="preserve"> and </w:t>
      </w:r>
      <w:r w:rsidR="008F1D87" w:rsidRPr="00497260">
        <w:rPr>
          <w:rFonts w:eastAsia="Calibri"/>
        </w:rPr>
        <w:t>durvalumab</w:t>
      </w:r>
      <w:r w:rsidR="00637F34" w:rsidRPr="00497260">
        <w:rPr>
          <w:rFonts w:eastAsia="Calibri"/>
        </w:rPr>
        <w:t xml:space="preserve"> </w:t>
      </w:r>
      <w:r w:rsidR="00B84097" w:rsidRPr="00497260">
        <w:rPr>
          <w:rFonts w:eastAsia="Calibri"/>
        </w:rPr>
        <w:t>+</w:t>
      </w:r>
      <w:r w:rsidR="00637F34" w:rsidRPr="00497260" w:rsidDel="00637F34">
        <w:rPr>
          <w:rFonts w:eastAsia="Calibri"/>
        </w:rPr>
        <w:t xml:space="preserve"> </w:t>
      </w:r>
      <w:r w:rsidR="008F1D87" w:rsidRPr="00497260">
        <w:rPr>
          <w:rFonts w:eastAsia="Calibri"/>
        </w:rPr>
        <w:t>olaparib</w:t>
      </w:r>
      <w:r w:rsidRPr="00497260">
        <w:rPr>
          <w:rFonts w:eastAsia="Calibri"/>
        </w:rPr>
        <w:t>.</w:t>
      </w:r>
      <w:r w:rsidR="00B84097" w:rsidRPr="00497260">
        <w:rPr>
          <w:rFonts w:eastAsia="Calibri"/>
        </w:rPr>
        <w:t xml:space="preserve"> The submission claimed non-inferior safety versus </w:t>
      </w:r>
      <w:r w:rsidR="00437BAB" w:rsidRPr="00497260">
        <w:rPr>
          <w:rFonts w:eastAsia="Calibri"/>
        </w:rPr>
        <w:t>dostarlimab</w:t>
      </w:r>
      <w:r w:rsidR="00B84097" w:rsidRPr="00497260">
        <w:rPr>
          <w:rFonts w:eastAsia="Calibri"/>
        </w:rPr>
        <w:t xml:space="preserve"> and superior safety versus </w:t>
      </w:r>
      <w:r w:rsidR="008F1D87" w:rsidRPr="00497260">
        <w:rPr>
          <w:rFonts w:eastAsia="Calibri"/>
        </w:rPr>
        <w:t>durvalumab</w:t>
      </w:r>
      <w:r w:rsidR="00637F34" w:rsidRPr="00497260">
        <w:rPr>
          <w:rFonts w:eastAsia="Calibri"/>
        </w:rPr>
        <w:t xml:space="preserve"> </w:t>
      </w:r>
      <w:r w:rsidR="00B84097" w:rsidRPr="00497260">
        <w:rPr>
          <w:rFonts w:eastAsia="Calibri"/>
        </w:rPr>
        <w:t>+</w:t>
      </w:r>
      <w:r w:rsidR="00637F34" w:rsidRPr="00497260" w:rsidDel="00637F34">
        <w:rPr>
          <w:rFonts w:eastAsia="Calibri"/>
        </w:rPr>
        <w:t xml:space="preserve"> </w:t>
      </w:r>
      <w:r w:rsidR="008F1D87" w:rsidRPr="00497260">
        <w:rPr>
          <w:rFonts w:eastAsia="Calibri"/>
        </w:rPr>
        <w:t>olaparib</w:t>
      </w:r>
      <w:r w:rsidR="00B84097" w:rsidRPr="00497260">
        <w:rPr>
          <w:rFonts w:eastAsia="Calibri"/>
        </w:rPr>
        <w:t>.</w:t>
      </w:r>
    </w:p>
    <w:p w14:paraId="3621D540" w14:textId="6509A549" w:rsidR="00A3213F" w:rsidRPr="00497260" w:rsidRDefault="209AD425" w:rsidP="00C74104">
      <w:pPr>
        <w:pStyle w:val="3-BodyText"/>
        <w:rPr>
          <w:rFonts w:eastAsia="Calibri"/>
        </w:rPr>
      </w:pPr>
      <w:r w:rsidRPr="7A59D51F">
        <w:rPr>
          <w:rFonts w:eastAsia="Calibri"/>
        </w:rPr>
        <w:t xml:space="preserve">The </w:t>
      </w:r>
      <w:r w:rsidR="43C077B5" w:rsidRPr="7A59D51F">
        <w:rPr>
          <w:rFonts w:eastAsia="Calibri"/>
        </w:rPr>
        <w:t xml:space="preserve">evaluation considered that the </w:t>
      </w:r>
      <w:r w:rsidRPr="7A59D51F">
        <w:rPr>
          <w:rFonts w:eastAsia="Calibri"/>
        </w:rPr>
        <w:t xml:space="preserve">claim of non-inferior effectiveness versus </w:t>
      </w:r>
      <w:r w:rsidR="1C6D1F11" w:rsidRPr="7A59D51F">
        <w:rPr>
          <w:rFonts w:eastAsia="Calibri"/>
        </w:rPr>
        <w:t>dostarlimab</w:t>
      </w:r>
      <w:r w:rsidRPr="7A59D51F">
        <w:rPr>
          <w:rFonts w:eastAsia="Calibri"/>
        </w:rPr>
        <w:t xml:space="preserve"> and </w:t>
      </w:r>
      <w:r w:rsidR="67793A96" w:rsidRPr="7A59D51F">
        <w:rPr>
          <w:rFonts w:eastAsia="Calibri"/>
        </w:rPr>
        <w:t>durvalumab</w:t>
      </w:r>
      <w:r w:rsidR="43C077B5" w:rsidRPr="7A59D51F">
        <w:rPr>
          <w:rFonts w:eastAsia="Calibri"/>
        </w:rPr>
        <w:t xml:space="preserve"> </w:t>
      </w:r>
      <w:r w:rsidRPr="7A59D51F">
        <w:rPr>
          <w:rFonts w:eastAsia="Calibri"/>
        </w:rPr>
        <w:t>+</w:t>
      </w:r>
      <w:r w:rsidR="43C077B5" w:rsidRPr="7A59D51F">
        <w:rPr>
          <w:rFonts w:eastAsia="Calibri"/>
        </w:rPr>
        <w:t xml:space="preserve"> </w:t>
      </w:r>
      <w:r w:rsidR="67793A96" w:rsidRPr="7A59D51F">
        <w:rPr>
          <w:rFonts w:eastAsia="Calibri"/>
        </w:rPr>
        <w:t>olaparib</w:t>
      </w:r>
      <w:r w:rsidRPr="7A59D51F">
        <w:rPr>
          <w:rFonts w:eastAsia="Calibri"/>
        </w:rPr>
        <w:t xml:space="preserve"> in pMMR EC was not adequately supported by the evidence presented. The confidence intervals associated with the Bucher ITC were wide. </w:t>
      </w:r>
      <w:r w:rsidR="6F709AB6" w:rsidRPr="7A59D51F">
        <w:rPr>
          <w:rFonts w:eastAsia="Calibri"/>
        </w:rPr>
        <w:t xml:space="preserve">Results from the NMA were also broadly </w:t>
      </w:r>
      <w:proofErr w:type="gramStart"/>
      <w:r w:rsidR="6F709AB6" w:rsidRPr="7A59D51F">
        <w:rPr>
          <w:rFonts w:eastAsia="Calibri"/>
        </w:rPr>
        <w:t>similar to</w:t>
      </w:r>
      <w:proofErr w:type="gramEnd"/>
      <w:r w:rsidR="6F709AB6" w:rsidRPr="7A59D51F">
        <w:rPr>
          <w:rFonts w:eastAsia="Calibri"/>
        </w:rPr>
        <w:t xml:space="preserve"> the Bucher ITC. As with other comparisons, the </w:t>
      </w:r>
      <w:r w:rsidR="4B06B967" w:rsidRPr="7A59D51F">
        <w:rPr>
          <w:rFonts w:eastAsia="Calibri"/>
        </w:rPr>
        <w:t xml:space="preserve">evaluation considered the </w:t>
      </w:r>
      <w:r w:rsidR="6F709AB6" w:rsidRPr="7A59D51F">
        <w:rPr>
          <w:rFonts w:eastAsia="Calibri"/>
        </w:rPr>
        <w:t xml:space="preserve">results of the ITC and the NMA were uncertain due to transitivity issues. </w:t>
      </w:r>
      <w:r w:rsidRPr="7A59D51F">
        <w:rPr>
          <w:rFonts w:eastAsia="Calibri"/>
        </w:rPr>
        <w:t>Additionally, n</w:t>
      </w:r>
      <w:r w:rsidR="00D20FA9" w:rsidRPr="7A59D51F">
        <w:rPr>
          <w:rFonts w:eastAsia="Calibri"/>
        </w:rPr>
        <w:t xml:space="preserve">o </w:t>
      </w:r>
      <w:r w:rsidR="6F709AB6" w:rsidRPr="7A59D51F">
        <w:rPr>
          <w:rFonts w:eastAsia="Calibri"/>
        </w:rPr>
        <w:t>non-inferiority margin</w:t>
      </w:r>
      <w:r w:rsidRPr="7A59D51F">
        <w:rPr>
          <w:rFonts w:eastAsia="Calibri"/>
        </w:rPr>
        <w:t>s were provided</w:t>
      </w:r>
      <w:r w:rsidR="6F709AB6" w:rsidRPr="7A59D51F">
        <w:rPr>
          <w:rFonts w:eastAsia="Calibri"/>
        </w:rPr>
        <w:t>.</w:t>
      </w:r>
      <w:r w:rsidR="3E3C67E2" w:rsidRPr="7A59D51F">
        <w:rPr>
          <w:rFonts w:eastAsia="Calibri"/>
        </w:rPr>
        <w:t xml:space="preserve"> </w:t>
      </w:r>
      <w:r w:rsidR="6F709AB6" w:rsidRPr="7A59D51F">
        <w:rPr>
          <w:rFonts w:eastAsia="Calibri"/>
        </w:rPr>
        <w:t>Importantly, th</w:t>
      </w:r>
      <w:r w:rsidR="4B06B967" w:rsidRPr="7A59D51F">
        <w:rPr>
          <w:rFonts w:eastAsia="Calibri"/>
        </w:rPr>
        <w:t>e evaluation noted that the</w:t>
      </w:r>
      <w:r w:rsidR="6F709AB6" w:rsidRPr="7A59D51F">
        <w:rPr>
          <w:rFonts w:eastAsia="Calibri"/>
        </w:rPr>
        <w:t xml:space="preserve"> PBAC has previously considered that the benefit of </w:t>
      </w:r>
      <w:r w:rsidR="1C6D1F11" w:rsidRPr="7A59D51F">
        <w:rPr>
          <w:rFonts w:eastAsia="Calibri"/>
        </w:rPr>
        <w:t>dostarlimab</w:t>
      </w:r>
      <w:r w:rsidR="6F709AB6" w:rsidRPr="7A59D51F">
        <w:rPr>
          <w:rFonts w:eastAsia="Calibri"/>
        </w:rPr>
        <w:t xml:space="preserve"> in pMMR EC was unclear (paragraph 7.17, dostarlimab PSD, November 2023)</w:t>
      </w:r>
      <w:r w:rsidR="24A54643" w:rsidRPr="7A59D51F">
        <w:rPr>
          <w:rFonts w:eastAsia="Calibri"/>
        </w:rPr>
        <w:t>. The ESC considered there may be efficacy in a small subset of the pMMR population, however it was unclear which patients this may be</w:t>
      </w:r>
      <w:r w:rsidR="02D4B9DE" w:rsidRPr="7A59D51F">
        <w:rPr>
          <w:rFonts w:eastAsia="Calibri"/>
        </w:rPr>
        <w:t>. T</w:t>
      </w:r>
      <w:r w:rsidR="4B06B967" w:rsidRPr="7A59D51F">
        <w:rPr>
          <w:rFonts w:eastAsia="Calibri"/>
        </w:rPr>
        <w:t xml:space="preserve">he ESC further noted that the PBAC did not recommend dostarlimab in A/R pMMR EC due to an unclear clinical benefit with the PBAC considering “it was possible that these patients may benefit more from second-line treatment with pembrolizumab in combination with lenvatinib” (dostarlimab web outcomes, May 2025 PBAC meeting). Overall, the evaluation and the ESC considered that, </w:t>
      </w:r>
      <w:r w:rsidR="6F709AB6" w:rsidRPr="7A59D51F">
        <w:rPr>
          <w:rFonts w:eastAsia="Calibri"/>
        </w:rPr>
        <w:t xml:space="preserve">even if non-inferiority </w:t>
      </w:r>
      <w:r w:rsidR="4B06B967" w:rsidRPr="7A59D51F">
        <w:rPr>
          <w:rFonts w:eastAsia="Calibri"/>
        </w:rPr>
        <w:t>versus</w:t>
      </w:r>
      <w:r w:rsidR="6F709AB6" w:rsidRPr="7A59D51F">
        <w:rPr>
          <w:rFonts w:eastAsia="Calibri"/>
        </w:rPr>
        <w:t xml:space="preserve"> </w:t>
      </w:r>
      <w:r w:rsidR="1C6D1F11" w:rsidRPr="7A59D51F">
        <w:rPr>
          <w:rFonts w:eastAsia="Calibri"/>
        </w:rPr>
        <w:t>dostarlimab</w:t>
      </w:r>
      <w:r w:rsidR="6F709AB6" w:rsidRPr="7A59D51F">
        <w:rPr>
          <w:rFonts w:eastAsia="Calibri"/>
        </w:rPr>
        <w:t xml:space="preserve"> could be established</w:t>
      </w:r>
      <w:r w:rsidR="4B06B967" w:rsidRPr="7A59D51F">
        <w:rPr>
          <w:rFonts w:eastAsia="Calibri"/>
        </w:rPr>
        <w:t xml:space="preserve"> in pMMR</w:t>
      </w:r>
      <w:r w:rsidR="6F709AB6" w:rsidRPr="7A59D51F">
        <w:rPr>
          <w:rFonts w:eastAsia="Calibri"/>
        </w:rPr>
        <w:t xml:space="preserve">, it </w:t>
      </w:r>
      <w:r w:rsidR="4B06B967" w:rsidRPr="7A59D51F">
        <w:rPr>
          <w:rFonts w:eastAsia="Calibri"/>
        </w:rPr>
        <w:t>was unlikely to</w:t>
      </w:r>
      <w:r w:rsidR="6F709AB6" w:rsidRPr="7A59D51F">
        <w:rPr>
          <w:rFonts w:eastAsia="Calibri"/>
        </w:rPr>
        <w:t xml:space="preserve"> be sufficient to establish the benefit of </w:t>
      </w:r>
      <w:r w:rsidR="10F7BEDC" w:rsidRPr="7A59D51F">
        <w:rPr>
          <w:rFonts w:eastAsia="Calibri"/>
        </w:rPr>
        <w:t>pembrolizumab</w:t>
      </w:r>
      <w:r w:rsidR="6F709AB6" w:rsidRPr="7A59D51F">
        <w:rPr>
          <w:rFonts w:eastAsia="Calibri"/>
        </w:rPr>
        <w:t xml:space="preserve"> in the Australian clinical setting. </w:t>
      </w:r>
    </w:p>
    <w:p w14:paraId="70AC2F48" w14:textId="56644B5E" w:rsidR="005B5D2F" w:rsidRPr="00497260" w:rsidRDefault="005B5D2F" w:rsidP="00C74104">
      <w:pPr>
        <w:pStyle w:val="3-BodyText"/>
        <w:rPr>
          <w:rFonts w:eastAsia="Calibri"/>
        </w:rPr>
      </w:pPr>
      <w:r w:rsidRPr="00497260">
        <w:rPr>
          <w:rFonts w:eastAsia="Calibri"/>
        </w:rPr>
        <w:t xml:space="preserve">In its the November 2023 consideration of dostarlimab in the pMMR population, the PBAC considered </w:t>
      </w:r>
      <w:r w:rsidR="00051C70" w:rsidRPr="00497260">
        <w:rPr>
          <w:rFonts w:eastAsia="Calibri"/>
        </w:rPr>
        <w:t xml:space="preserve">‘that in the context of the much smaller demonstrated PFS benefit in the pMMR population compared with the dMMR population, and the uncertain OS benefit, the clinical place for dostarlimab as 1L treatment for pMMR EC was unclear </w:t>
      </w:r>
      <w:r w:rsidRPr="00497260">
        <w:rPr>
          <w:rFonts w:eastAsia="Calibri"/>
        </w:rPr>
        <w:t>(paragraph 7.20, dostarlimab PSD, November 2023).</w:t>
      </w:r>
      <w:r w:rsidR="00051C70" w:rsidRPr="00497260">
        <w:rPr>
          <w:rFonts w:eastAsia="Calibri"/>
        </w:rPr>
        <w:t xml:space="preserve"> The ESC considered that these issues also apply to pembrolizumab in the pMMR population. </w:t>
      </w:r>
    </w:p>
    <w:p w14:paraId="73B3B4F7" w14:textId="5556FC72" w:rsidR="00051C70" w:rsidRPr="00497260" w:rsidRDefault="3E3C67E2" w:rsidP="00C74104">
      <w:pPr>
        <w:pStyle w:val="3-BodyText"/>
        <w:rPr>
          <w:rFonts w:eastAsia="Calibri"/>
        </w:rPr>
      </w:pPr>
      <w:r w:rsidRPr="7A59D51F">
        <w:rPr>
          <w:rFonts w:eastAsia="Calibri"/>
        </w:rPr>
        <w:t>The evaluation noted that, in the head-to-head trial versus placebo (NRG-GY018), pembrolizumab was not associated with a statistically significant difference in OS in either the dMMR or pMMR populations, even with adjustments for treatment switching.</w:t>
      </w:r>
    </w:p>
    <w:p w14:paraId="72AA2E5F" w14:textId="2A29BF88" w:rsidR="00B84097" w:rsidRPr="00497260" w:rsidRDefault="00B84097" w:rsidP="00B84097">
      <w:pPr>
        <w:pStyle w:val="3-BodyText"/>
        <w:rPr>
          <w:rFonts w:eastAsia="Calibri"/>
        </w:rPr>
      </w:pPr>
      <w:r w:rsidRPr="00497260">
        <w:rPr>
          <w:rFonts w:eastAsia="Calibri"/>
        </w:rPr>
        <w:t xml:space="preserve">The claim of non-inferior safety versus </w:t>
      </w:r>
      <w:r w:rsidR="00437BAB" w:rsidRPr="00497260">
        <w:rPr>
          <w:rFonts w:eastAsia="Calibri"/>
        </w:rPr>
        <w:t>dostarlimab</w:t>
      </w:r>
      <w:r w:rsidRPr="00497260">
        <w:rPr>
          <w:rFonts w:eastAsia="Calibri"/>
        </w:rPr>
        <w:t xml:space="preserve"> was based on unanchored indirect comparison that was difficult to interpret. Nonetheless, </w:t>
      </w:r>
      <w:r w:rsidR="00637F34" w:rsidRPr="00497260">
        <w:rPr>
          <w:rFonts w:eastAsia="Calibri"/>
        </w:rPr>
        <w:t xml:space="preserve">the evaluation considered that, </w:t>
      </w:r>
      <w:r w:rsidRPr="00497260">
        <w:rPr>
          <w:rFonts w:eastAsia="Calibri"/>
        </w:rPr>
        <w:t xml:space="preserve">given that </w:t>
      </w:r>
      <w:r w:rsidR="00BF1B0D" w:rsidRPr="00497260">
        <w:rPr>
          <w:rFonts w:eastAsia="Calibri"/>
        </w:rPr>
        <w:t>pembrolizumab</w:t>
      </w:r>
      <w:r w:rsidRPr="00497260">
        <w:rPr>
          <w:rFonts w:eastAsia="Calibri"/>
        </w:rPr>
        <w:t xml:space="preserve"> and </w:t>
      </w:r>
      <w:r w:rsidR="00437BAB" w:rsidRPr="00497260">
        <w:rPr>
          <w:rFonts w:eastAsia="Calibri"/>
        </w:rPr>
        <w:t>dostarlimab</w:t>
      </w:r>
      <w:r w:rsidRPr="00497260">
        <w:rPr>
          <w:rFonts w:eastAsia="Calibri"/>
        </w:rPr>
        <w:t xml:space="preserve"> are PD-(L)1 inhibitors with known and manageable safety profiles, a non-inferiority safety claim was biologically plausible.</w:t>
      </w:r>
    </w:p>
    <w:p w14:paraId="6C256319" w14:textId="19CFAA04" w:rsidR="00A3213F" w:rsidRDefault="00B84097" w:rsidP="00A3213F">
      <w:pPr>
        <w:pStyle w:val="3-BodyText"/>
        <w:rPr>
          <w:rFonts w:eastAsia="Calibri"/>
        </w:rPr>
      </w:pPr>
      <w:bookmarkStart w:id="62" w:name="_Ref196676992"/>
      <w:r w:rsidRPr="00497260">
        <w:rPr>
          <w:rFonts w:eastAsia="Calibri"/>
        </w:rPr>
        <w:lastRenderedPageBreak/>
        <w:t xml:space="preserve">The claim of </w:t>
      </w:r>
      <w:r w:rsidR="00584230">
        <w:rPr>
          <w:rFonts w:eastAsia="Calibri"/>
        </w:rPr>
        <w:t>superior</w:t>
      </w:r>
      <w:r w:rsidRPr="00497260">
        <w:rPr>
          <w:rFonts w:eastAsia="Calibri"/>
        </w:rPr>
        <w:t xml:space="preserve"> safety versus </w:t>
      </w:r>
      <w:r w:rsidR="008F1D87" w:rsidRPr="00497260">
        <w:rPr>
          <w:rFonts w:eastAsia="Calibri"/>
        </w:rPr>
        <w:t>durvalumab</w:t>
      </w:r>
      <w:r w:rsidR="00637F34" w:rsidRPr="00497260">
        <w:rPr>
          <w:rFonts w:eastAsia="Calibri"/>
        </w:rPr>
        <w:t xml:space="preserve"> </w:t>
      </w:r>
      <w:r w:rsidRPr="00497260">
        <w:rPr>
          <w:rFonts w:eastAsia="Calibri"/>
        </w:rPr>
        <w:t>+</w:t>
      </w:r>
      <w:r w:rsidR="00637F34" w:rsidRPr="00497260" w:rsidDel="00637F34">
        <w:rPr>
          <w:rFonts w:eastAsia="Calibri"/>
        </w:rPr>
        <w:t xml:space="preserve"> </w:t>
      </w:r>
      <w:r w:rsidR="008F1D87" w:rsidRPr="00497260">
        <w:rPr>
          <w:rFonts w:eastAsia="Calibri"/>
        </w:rPr>
        <w:t>olaparib</w:t>
      </w:r>
      <w:r w:rsidRPr="00497260">
        <w:rPr>
          <w:rFonts w:eastAsia="Calibri"/>
        </w:rPr>
        <w:t xml:space="preserve"> was also </w:t>
      </w:r>
      <w:r w:rsidR="00734BC8" w:rsidRPr="00497260">
        <w:rPr>
          <w:rFonts w:eastAsia="Calibri"/>
        </w:rPr>
        <w:t>based on an</w:t>
      </w:r>
      <w:r w:rsidRPr="00497260">
        <w:rPr>
          <w:rFonts w:eastAsia="Calibri"/>
        </w:rPr>
        <w:t xml:space="preserve"> </w:t>
      </w:r>
      <w:r w:rsidR="00734BC8" w:rsidRPr="00497260">
        <w:rPr>
          <w:rFonts w:eastAsia="Calibri"/>
        </w:rPr>
        <w:t>u</w:t>
      </w:r>
      <w:r w:rsidR="00A3213F" w:rsidRPr="00497260">
        <w:rPr>
          <w:rFonts w:eastAsia="Calibri"/>
        </w:rPr>
        <w:t xml:space="preserve">nanchored indirect comparison </w:t>
      </w:r>
      <w:r w:rsidR="00734BC8" w:rsidRPr="00497260">
        <w:rPr>
          <w:rFonts w:eastAsia="Calibri"/>
        </w:rPr>
        <w:t>that</w:t>
      </w:r>
      <w:r w:rsidR="00637F34" w:rsidRPr="00497260">
        <w:rPr>
          <w:rFonts w:eastAsia="Calibri"/>
        </w:rPr>
        <w:t xml:space="preserve"> the evaluation considered</w:t>
      </w:r>
      <w:r w:rsidR="00A3213F" w:rsidRPr="00497260">
        <w:rPr>
          <w:rFonts w:eastAsia="Calibri"/>
        </w:rPr>
        <w:t xml:space="preserve"> was likely insufficient to determine superior safety. However, </w:t>
      </w:r>
      <w:r w:rsidR="00637F34" w:rsidRPr="00497260">
        <w:rPr>
          <w:rFonts w:eastAsia="Calibri"/>
        </w:rPr>
        <w:t xml:space="preserve">the evaluation considered </w:t>
      </w:r>
      <w:r w:rsidR="00A3213F" w:rsidRPr="00497260">
        <w:rPr>
          <w:rFonts w:eastAsia="Calibri"/>
        </w:rPr>
        <w:t xml:space="preserve">it may be biologically plausible that the addition of </w:t>
      </w:r>
      <w:r w:rsidR="008F1D87" w:rsidRPr="00497260">
        <w:rPr>
          <w:rFonts w:eastAsia="Calibri"/>
        </w:rPr>
        <w:t>olaparib</w:t>
      </w:r>
      <w:r w:rsidR="00A3213F" w:rsidRPr="00497260">
        <w:rPr>
          <w:rFonts w:eastAsia="Calibri"/>
        </w:rPr>
        <w:t xml:space="preserve"> would lead to an inferior safety profile for the </w:t>
      </w:r>
      <w:r w:rsidR="008F1D87" w:rsidRPr="00497260">
        <w:rPr>
          <w:rFonts w:eastAsia="Calibri"/>
        </w:rPr>
        <w:t>durvalumab</w:t>
      </w:r>
      <w:r w:rsidR="00637F34" w:rsidRPr="00497260">
        <w:rPr>
          <w:rFonts w:eastAsia="Calibri"/>
        </w:rPr>
        <w:t xml:space="preserve"> </w:t>
      </w:r>
      <w:r w:rsidR="00A3213F" w:rsidRPr="00497260">
        <w:rPr>
          <w:rFonts w:eastAsia="Calibri"/>
        </w:rPr>
        <w:t>+</w:t>
      </w:r>
      <w:r w:rsidR="00637F34" w:rsidRPr="00497260" w:rsidDel="00637F34">
        <w:rPr>
          <w:rFonts w:eastAsia="Calibri"/>
        </w:rPr>
        <w:t xml:space="preserve"> </w:t>
      </w:r>
      <w:r w:rsidR="008F1D87" w:rsidRPr="00497260">
        <w:rPr>
          <w:rFonts w:eastAsia="Calibri"/>
        </w:rPr>
        <w:t>o</w:t>
      </w:r>
      <w:r w:rsidR="008F1D87">
        <w:rPr>
          <w:rFonts w:eastAsia="Calibri"/>
        </w:rPr>
        <w:t>laparib</w:t>
      </w:r>
      <w:r w:rsidR="00A3213F" w:rsidRPr="00AB6F27">
        <w:rPr>
          <w:rFonts w:eastAsia="Calibri"/>
        </w:rPr>
        <w:t xml:space="preserve"> regimen</w:t>
      </w:r>
      <w:r w:rsidR="00146678" w:rsidRPr="00AB6F27">
        <w:rPr>
          <w:rFonts w:eastAsia="Calibri"/>
        </w:rPr>
        <w:t>.</w:t>
      </w:r>
      <w:r w:rsidR="00146678" w:rsidRPr="00AB6F27">
        <w:t xml:space="preserve"> </w:t>
      </w:r>
      <w:r w:rsidR="00146678" w:rsidRPr="00AB6F27">
        <w:rPr>
          <w:rFonts w:eastAsia="Calibri"/>
        </w:rPr>
        <w:t>However, the magnitude of the difference (if any) in safety could not be accurately informed by the information presented in the submission.</w:t>
      </w:r>
      <w:bookmarkEnd w:id="62"/>
    </w:p>
    <w:p w14:paraId="74A1172E" w14:textId="128C170E" w:rsidR="00B60939" w:rsidRPr="00AB6F27" w:rsidRDefault="37295055" w:rsidP="00E9094A">
      <w:pPr>
        <w:pStyle w:val="4-SubsectionHeading"/>
      </w:pPr>
      <w:bookmarkStart w:id="63" w:name="_Toc198643459"/>
      <w:r>
        <w:t>Economic analysis</w:t>
      </w:r>
      <w:bookmarkEnd w:id="61"/>
      <w:bookmarkEnd w:id="63"/>
      <w:r w:rsidR="0AA1DCE7">
        <w:t xml:space="preserve"> </w:t>
      </w:r>
    </w:p>
    <w:p w14:paraId="5443AB3E" w14:textId="13E9CAF6" w:rsidR="00A3213F" w:rsidRPr="00AB6F27" w:rsidRDefault="00A3213F" w:rsidP="00A3213F">
      <w:pPr>
        <w:pStyle w:val="3-BodyText"/>
      </w:pPr>
      <w:bookmarkStart w:id="64" w:name="_Toc22897646"/>
      <w:r w:rsidRPr="00AB6F27">
        <w:t xml:space="preserve">Based on the non-inferiority efficacy claims for </w:t>
      </w:r>
      <w:r w:rsidR="00BF1B0D">
        <w:t>pembrolizumab</w:t>
      </w:r>
      <w:r w:rsidRPr="00AB6F27">
        <w:t xml:space="preserve"> versus </w:t>
      </w:r>
      <w:r w:rsidR="00437BAB">
        <w:t>dostarlimab</w:t>
      </w:r>
      <w:r w:rsidRPr="00AB6F27">
        <w:t xml:space="preserve"> </w:t>
      </w:r>
      <w:r w:rsidR="00146678" w:rsidRPr="00AB6F27">
        <w:t xml:space="preserve">in dMMR A/R EC </w:t>
      </w:r>
      <w:r w:rsidRPr="00AB6F27">
        <w:t xml:space="preserve">and versus </w:t>
      </w:r>
      <w:r w:rsidR="008F1D87">
        <w:t>durvalumab</w:t>
      </w:r>
      <w:r w:rsidR="00637F34">
        <w:t xml:space="preserve"> </w:t>
      </w:r>
      <w:r w:rsidRPr="00AB6F27">
        <w:t>+</w:t>
      </w:r>
      <w:r w:rsidR="00637F34" w:rsidRPr="00AB6F27" w:rsidDel="00637F34">
        <w:t xml:space="preserve"> </w:t>
      </w:r>
      <w:r w:rsidR="008F1D87">
        <w:t>olaparib</w:t>
      </w:r>
      <w:r w:rsidRPr="00AB6F27">
        <w:t xml:space="preserve"> in pMMR </w:t>
      </w:r>
      <w:r w:rsidR="00146678" w:rsidRPr="00AB6F27">
        <w:t xml:space="preserve">A/R </w:t>
      </w:r>
      <w:r w:rsidRPr="00AB6F27">
        <w:t xml:space="preserve">EC, a CMA was </w:t>
      </w:r>
      <w:r w:rsidR="000925C5" w:rsidRPr="00AB6F27">
        <w:t>used</w:t>
      </w:r>
      <w:r w:rsidRPr="00AB6F27">
        <w:t xml:space="preserve">. The key assumptions for the cost minimisation of </w:t>
      </w:r>
      <w:r w:rsidR="00BF1B0D">
        <w:t>pembrolizumab</w:t>
      </w:r>
      <w:r w:rsidRPr="00AB6F27">
        <w:t xml:space="preserve"> to </w:t>
      </w:r>
      <w:r w:rsidR="00437BAB">
        <w:t>dostarlimab</w:t>
      </w:r>
      <w:r w:rsidRPr="00AB6F27">
        <w:t xml:space="preserve"> </w:t>
      </w:r>
      <w:r w:rsidR="008E7EFF" w:rsidRPr="00AB6F27">
        <w:t xml:space="preserve">and </w:t>
      </w:r>
      <w:r w:rsidR="008F1D87">
        <w:t>durvalumab</w:t>
      </w:r>
      <w:r w:rsidR="00637F34">
        <w:t xml:space="preserve"> </w:t>
      </w:r>
      <w:r w:rsidRPr="00AB6F27">
        <w:t>+</w:t>
      </w:r>
      <w:r w:rsidR="00637F34" w:rsidRPr="00AB6F27" w:rsidDel="00637F34">
        <w:t xml:space="preserve"> </w:t>
      </w:r>
      <w:r w:rsidR="008F1D87">
        <w:t>olaparib</w:t>
      </w:r>
      <w:r w:rsidRPr="00AB6F27">
        <w:t xml:space="preserve"> </w:t>
      </w:r>
      <w:r w:rsidR="008E7EFF" w:rsidRPr="00AB6F27">
        <w:t>in</w:t>
      </w:r>
      <w:r w:rsidRPr="00AB6F27">
        <w:t xml:space="preserve"> the dMMR and pMMR populations</w:t>
      </w:r>
      <w:r w:rsidR="008E7EFF" w:rsidRPr="00AB6F27">
        <w:t>, respectively,</w:t>
      </w:r>
      <w:r w:rsidRPr="00AB6F27">
        <w:t xml:space="preserve"> are summarised in </w:t>
      </w:r>
      <w:r w:rsidRPr="00AB6F27">
        <w:fldChar w:fldCharType="begin"/>
      </w:r>
      <w:r w:rsidRPr="00AB6F27">
        <w:instrText xml:space="preserve"> REF _Ref196312760 \h </w:instrText>
      </w:r>
      <w:r w:rsidR="00AB6F27" w:rsidRPr="00AB6F27">
        <w:instrText xml:space="preserve"> \* MERGEFORMAT </w:instrText>
      </w:r>
      <w:r w:rsidRPr="00AB6F27">
        <w:fldChar w:fldCharType="separate"/>
      </w:r>
      <w:r w:rsidR="003359D3" w:rsidRPr="00AB6F27">
        <w:t xml:space="preserve">Table </w:t>
      </w:r>
      <w:r w:rsidR="003359D3">
        <w:rPr>
          <w:noProof/>
        </w:rPr>
        <w:t>14</w:t>
      </w:r>
      <w:r w:rsidRPr="00AB6F27">
        <w:fldChar w:fldCharType="end"/>
      </w:r>
      <w:r w:rsidRPr="00AB6F27">
        <w:t>.</w:t>
      </w:r>
    </w:p>
    <w:p w14:paraId="430D3F04" w14:textId="638EE6BA" w:rsidR="00A3213F" w:rsidRPr="00AB6F27" w:rsidRDefault="00A3213F" w:rsidP="00A3213F">
      <w:pPr>
        <w:pStyle w:val="Caption"/>
      </w:pPr>
      <w:bookmarkStart w:id="65" w:name="_Ref196312760"/>
      <w:r w:rsidRPr="00AB6F27">
        <w:lastRenderedPageBreak/>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14</w:t>
      </w:r>
      <w:r w:rsidR="00976099" w:rsidRPr="00AB6F27">
        <w:rPr>
          <w:noProof/>
        </w:rPr>
        <w:fldChar w:fldCharType="end"/>
      </w:r>
      <w:bookmarkEnd w:id="65"/>
      <w:r w:rsidRPr="00AB6F27">
        <w:t>: Key components and assumptions of the cost-minimisation approach</w:t>
      </w:r>
      <w:r w:rsidR="00293A52">
        <w:t xml:space="preserve"> proposed in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Key components and assumptions of the cost-minimisation approach proposed in the submission"/>
      </w:tblPr>
      <w:tblGrid>
        <w:gridCol w:w="1838"/>
        <w:gridCol w:w="7342"/>
      </w:tblGrid>
      <w:tr w:rsidR="00D21AA6" w:rsidRPr="00AB6F27" w14:paraId="7164E206" w14:textId="77777777" w:rsidTr="007B5E49">
        <w:tc>
          <w:tcPr>
            <w:tcW w:w="1838" w:type="dxa"/>
            <w:vAlign w:val="center"/>
          </w:tcPr>
          <w:p w14:paraId="6B2E4D7D" w14:textId="77777777" w:rsidR="00D21AA6" w:rsidRPr="00AB6F27" w:rsidRDefault="00D21AA6" w:rsidP="00D21AA6">
            <w:pPr>
              <w:pStyle w:val="TableText0"/>
              <w:rPr>
                <w:b/>
                <w:bCs w:val="0"/>
              </w:rPr>
            </w:pPr>
            <w:r w:rsidRPr="00AB6F27">
              <w:rPr>
                <w:b/>
                <w:bCs w:val="0"/>
              </w:rPr>
              <w:t>Component</w:t>
            </w:r>
          </w:p>
        </w:tc>
        <w:tc>
          <w:tcPr>
            <w:tcW w:w="7342" w:type="dxa"/>
            <w:vAlign w:val="center"/>
          </w:tcPr>
          <w:p w14:paraId="6A5F9F08" w14:textId="77777777" w:rsidR="00D21AA6" w:rsidRPr="00AB6F27" w:rsidRDefault="00D21AA6" w:rsidP="007B5E49">
            <w:pPr>
              <w:pStyle w:val="In-tableHeading"/>
              <w:rPr>
                <w:lang w:val="en-AU"/>
              </w:rPr>
            </w:pPr>
            <w:r w:rsidRPr="00AB6F27">
              <w:rPr>
                <w:lang w:val="en-AU"/>
              </w:rPr>
              <w:t>Claim or assumption</w:t>
            </w:r>
          </w:p>
        </w:tc>
      </w:tr>
      <w:tr w:rsidR="00D21AA6" w:rsidRPr="00AB6F27" w14:paraId="26BA5653" w14:textId="77777777" w:rsidTr="007B5E49">
        <w:tc>
          <w:tcPr>
            <w:tcW w:w="1838" w:type="dxa"/>
            <w:vAlign w:val="center"/>
          </w:tcPr>
          <w:p w14:paraId="46400481" w14:textId="77777777" w:rsidR="00D21AA6" w:rsidRPr="00AB6F27" w:rsidRDefault="00D21AA6" w:rsidP="007B5E49">
            <w:pPr>
              <w:pStyle w:val="TableText0"/>
            </w:pPr>
            <w:r w:rsidRPr="00AB6F27">
              <w:t>Therapeutic claim: effectiveness</w:t>
            </w:r>
          </w:p>
        </w:tc>
        <w:tc>
          <w:tcPr>
            <w:tcW w:w="7342" w:type="dxa"/>
            <w:vAlign w:val="center"/>
          </w:tcPr>
          <w:p w14:paraId="20F99A50" w14:textId="2F2C2D0E" w:rsidR="00D21AA6" w:rsidRPr="00AB6F27" w:rsidRDefault="00D21AA6" w:rsidP="007B5E49">
            <w:pPr>
              <w:pStyle w:val="TableText0"/>
            </w:pPr>
            <w:r w:rsidRPr="00AB6F27">
              <w:t>In patients with primary advanced or first recurrent dMMR endometrial cancer</w:t>
            </w:r>
            <w:r w:rsidR="002F7E65">
              <w:t>:</w:t>
            </w:r>
            <w:r w:rsidRPr="00AB6F27">
              <w:t xml:space="preserve"> </w:t>
            </w:r>
            <w:r w:rsidR="00BF1B0D">
              <w:t>pembrolizumab</w:t>
            </w:r>
            <w:r w:rsidR="002F7E65">
              <w:t xml:space="preserve"> </w:t>
            </w:r>
            <w:r w:rsidRPr="00AB6F27">
              <w:t>+</w:t>
            </w:r>
            <w:r w:rsidR="002F7E65">
              <w:t xml:space="preserve"> platinum-based chemotherapy (</w:t>
            </w:r>
            <w:r w:rsidRPr="00AB6F27">
              <w:t>PBC</w:t>
            </w:r>
            <w:r w:rsidR="002F7E65">
              <w:t>)</w:t>
            </w:r>
            <w:r w:rsidRPr="00AB6F27">
              <w:t xml:space="preserve"> followed by </w:t>
            </w:r>
            <w:r w:rsidR="00BF1B0D">
              <w:t>pembrolizumab</w:t>
            </w:r>
            <w:r w:rsidRPr="00AB6F27">
              <w:t xml:space="preserve"> monotherapy maintenance is non-inferior to </w:t>
            </w:r>
            <w:r w:rsidR="00437BAB">
              <w:t>dostarlimab</w:t>
            </w:r>
            <w:r w:rsidRPr="00AB6F27">
              <w:t xml:space="preserve"> or </w:t>
            </w:r>
            <w:r w:rsidR="002F7E65">
              <w:t>durvalumab</w:t>
            </w:r>
            <w:r w:rsidR="002F7E65" w:rsidRPr="00AB6F27">
              <w:t xml:space="preserve"> </w:t>
            </w:r>
            <w:r w:rsidRPr="00AB6F27">
              <w:t xml:space="preserve">plus PBC followed by </w:t>
            </w:r>
            <w:r w:rsidR="00437BAB">
              <w:t>dostarlimab</w:t>
            </w:r>
            <w:r w:rsidRPr="00AB6F27">
              <w:t xml:space="preserve"> or </w:t>
            </w:r>
            <w:r w:rsidR="002F7E65">
              <w:t xml:space="preserve">durvalumab </w:t>
            </w:r>
            <w:r w:rsidRPr="00AB6F27">
              <w:t>monotherapy maintenance based on indirect comparisons.</w:t>
            </w:r>
          </w:p>
          <w:p w14:paraId="22A1B38D" w14:textId="77777777" w:rsidR="00D21AA6" w:rsidRPr="00AB6F27" w:rsidRDefault="00D21AA6" w:rsidP="007B5E49">
            <w:pPr>
              <w:pStyle w:val="TableText0"/>
            </w:pPr>
          </w:p>
          <w:p w14:paraId="1B22F269" w14:textId="2D8A0947" w:rsidR="00D21AA6" w:rsidRPr="00AB6F27" w:rsidRDefault="00D21AA6" w:rsidP="007B5E49">
            <w:pPr>
              <w:pStyle w:val="TableText0"/>
            </w:pPr>
            <w:r w:rsidRPr="00AB6F27">
              <w:t>In patients with primary advanced or first recurrent pMMR endometrial cancer</w:t>
            </w:r>
            <w:r w:rsidR="002F7E65">
              <w:t>:</w:t>
            </w:r>
            <w:r w:rsidRPr="00AB6F27">
              <w:t xml:space="preserve"> </w:t>
            </w:r>
            <w:r w:rsidR="00DA02A6">
              <w:t xml:space="preserve"> </w:t>
            </w:r>
            <w:r w:rsidR="00BF1B0D">
              <w:t>pembrolizumab</w:t>
            </w:r>
            <w:r w:rsidR="00DA02A6">
              <w:t xml:space="preserve"> </w:t>
            </w:r>
            <w:r w:rsidRPr="00AB6F27">
              <w:t>+</w:t>
            </w:r>
            <w:r w:rsidR="00DA02A6">
              <w:t xml:space="preserve"> </w:t>
            </w:r>
            <w:r w:rsidRPr="00AB6F27">
              <w:t xml:space="preserve">PBC followed by </w:t>
            </w:r>
            <w:r w:rsidR="00BF1B0D">
              <w:t>pembrolizumab</w:t>
            </w:r>
            <w:r w:rsidRPr="00AB6F27">
              <w:t xml:space="preserve"> monotherapy maintenance is non-inferior to </w:t>
            </w:r>
            <w:r w:rsidR="00437BAB">
              <w:t>dostarlimab</w:t>
            </w:r>
            <w:r w:rsidRPr="00AB6F27">
              <w:t xml:space="preserve"> or </w:t>
            </w:r>
            <w:r w:rsidR="00DA02A6">
              <w:t>durvalumab +</w:t>
            </w:r>
            <w:r w:rsidRPr="00AB6F27">
              <w:t xml:space="preserve"> PBC followed by </w:t>
            </w:r>
            <w:r w:rsidR="00437BAB">
              <w:t>dostarlimab</w:t>
            </w:r>
            <w:r w:rsidRPr="00AB6F27">
              <w:t xml:space="preserve"> monotherapy or </w:t>
            </w:r>
            <w:r w:rsidR="00DA02A6">
              <w:t xml:space="preserve">durvalumab </w:t>
            </w:r>
            <w:r w:rsidRPr="00AB6F27">
              <w:t>+</w:t>
            </w:r>
            <w:r w:rsidR="00DA02A6">
              <w:t xml:space="preserve"> </w:t>
            </w:r>
            <w:r w:rsidR="001F3073">
              <w:t>olaparib</w:t>
            </w:r>
            <w:r w:rsidRPr="00AB6F27">
              <w:t xml:space="preserve"> maintenance based on indirect comparisons.</w:t>
            </w:r>
          </w:p>
        </w:tc>
      </w:tr>
      <w:tr w:rsidR="00D21AA6" w:rsidRPr="00AB6F27" w14:paraId="69303165" w14:textId="77777777" w:rsidTr="007B5E49">
        <w:tc>
          <w:tcPr>
            <w:tcW w:w="1838" w:type="dxa"/>
            <w:vAlign w:val="center"/>
          </w:tcPr>
          <w:p w14:paraId="558E801F" w14:textId="77777777" w:rsidR="00D21AA6" w:rsidRPr="00AB6F27" w:rsidRDefault="00D21AA6" w:rsidP="007B5E49">
            <w:pPr>
              <w:pStyle w:val="TableText0"/>
            </w:pPr>
            <w:r w:rsidRPr="00AB6F27">
              <w:t>Therapeutic claim: safety</w:t>
            </w:r>
          </w:p>
        </w:tc>
        <w:tc>
          <w:tcPr>
            <w:tcW w:w="7342" w:type="dxa"/>
            <w:vAlign w:val="center"/>
          </w:tcPr>
          <w:p w14:paraId="56D61A86" w14:textId="4B560217" w:rsidR="00D21AA6" w:rsidRPr="00AB6F27" w:rsidRDefault="00DA02A6" w:rsidP="007B5E49">
            <w:pPr>
              <w:pStyle w:val="TableText0"/>
            </w:pPr>
            <w:r>
              <w:t xml:space="preserve">dMMR: </w:t>
            </w:r>
            <w:r w:rsidR="00BF1B0D">
              <w:t>Pembrolizumab</w:t>
            </w:r>
            <w:r w:rsidR="00D21AA6" w:rsidRPr="00AB6F27">
              <w:t xml:space="preserve"> is non-inferior in safety to </w:t>
            </w:r>
            <w:r w:rsidR="00437BAB">
              <w:t>dostarlimab</w:t>
            </w:r>
            <w:r>
              <w:t xml:space="preserve"> </w:t>
            </w:r>
          </w:p>
          <w:p w14:paraId="00416E46" w14:textId="4A933279" w:rsidR="00D21AA6" w:rsidRPr="00AB6F27" w:rsidRDefault="00DA02A6" w:rsidP="007B5E49">
            <w:pPr>
              <w:pStyle w:val="TableText0"/>
            </w:pPr>
            <w:r>
              <w:t xml:space="preserve">pMMR: </w:t>
            </w:r>
            <w:r w:rsidR="00BF1B0D">
              <w:t>Pembrolizumab</w:t>
            </w:r>
            <w:r w:rsidR="00D21AA6" w:rsidRPr="00AB6F27">
              <w:t xml:space="preserve"> is superior in safety to </w:t>
            </w:r>
            <w:r>
              <w:t xml:space="preserve">durvalumab </w:t>
            </w:r>
            <w:r w:rsidR="00D21AA6" w:rsidRPr="00AB6F27">
              <w:t>+</w:t>
            </w:r>
            <w:r>
              <w:t xml:space="preserve"> </w:t>
            </w:r>
            <w:r w:rsidR="001F3073">
              <w:t>olaparib</w:t>
            </w:r>
          </w:p>
        </w:tc>
      </w:tr>
      <w:tr w:rsidR="00D21AA6" w:rsidRPr="00AB6F27" w14:paraId="74A18182" w14:textId="77777777" w:rsidTr="007B5E49">
        <w:tc>
          <w:tcPr>
            <w:tcW w:w="1838" w:type="dxa"/>
            <w:vAlign w:val="center"/>
          </w:tcPr>
          <w:p w14:paraId="78E3D1D9" w14:textId="77777777" w:rsidR="00D21AA6" w:rsidRPr="00AB6F27" w:rsidRDefault="00D21AA6" w:rsidP="007B5E49">
            <w:pPr>
              <w:pStyle w:val="TableText0"/>
            </w:pPr>
            <w:r w:rsidRPr="00AB6F27">
              <w:t>Evidence base</w:t>
            </w:r>
          </w:p>
        </w:tc>
        <w:tc>
          <w:tcPr>
            <w:tcW w:w="7342" w:type="dxa"/>
            <w:vAlign w:val="center"/>
          </w:tcPr>
          <w:p w14:paraId="56F6581C" w14:textId="77777777" w:rsidR="00D21AA6" w:rsidRPr="00AB6F27" w:rsidRDefault="00D21AA6" w:rsidP="007B5E49">
            <w:pPr>
              <w:pStyle w:val="TableText0"/>
            </w:pPr>
            <w:r w:rsidRPr="00AB6F27">
              <w:t>An indirect treatment comparison of Phase III trials with chemotherapy as the common comparator:</w:t>
            </w:r>
          </w:p>
          <w:p w14:paraId="439F01C3" w14:textId="14142CD7" w:rsidR="00D21AA6" w:rsidRPr="00AB6F27" w:rsidRDefault="00D21AA6" w:rsidP="007B5E49">
            <w:pPr>
              <w:pStyle w:val="TableText0"/>
            </w:pPr>
            <w:r w:rsidRPr="00AB6F27">
              <w:t>•</w:t>
            </w:r>
            <w:r w:rsidRPr="00AB6F27">
              <w:tab/>
            </w:r>
            <w:proofErr w:type="spellStart"/>
            <w:r w:rsidR="00BF1B0D">
              <w:t>pembrolizumab</w:t>
            </w:r>
            <w:r w:rsidRPr="00AB6F27">
              <w:t>+PBC</w:t>
            </w:r>
            <w:proofErr w:type="spellEnd"/>
            <w:r w:rsidRPr="00AB6F27">
              <w:t xml:space="preserve"> (NRG-GY018) versus </w:t>
            </w:r>
            <w:proofErr w:type="spellStart"/>
            <w:r w:rsidR="00437BAB">
              <w:t>dostarlimab</w:t>
            </w:r>
            <w:r w:rsidRPr="00AB6F27">
              <w:t>+PBC</w:t>
            </w:r>
            <w:proofErr w:type="spellEnd"/>
            <w:r w:rsidRPr="00AB6F27">
              <w:t xml:space="preserve"> (RUBY-1)  </w:t>
            </w:r>
          </w:p>
          <w:p w14:paraId="46137CA4" w14:textId="217B12DF" w:rsidR="00D21AA6" w:rsidRPr="00AB6F27" w:rsidRDefault="00D21AA6" w:rsidP="007B5E49">
            <w:pPr>
              <w:pStyle w:val="TableText0"/>
            </w:pPr>
            <w:r w:rsidRPr="00AB6F27">
              <w:t>•</w:t>
            </w:r>
            <w:r w:rsidRPr="00AB6F27">
              <w:tab/>
            </w:r>
            <w:proofErr w:type="spellStart"/>
            <w:r w:rsidR="00BF1B0D">
              <w:t>pembrolizumab</w:t>
            </w:r>
            <w:r w:rsidRPr="00AB6F27">
              <w:t>+PBC</w:t>
            </w:r>
            <w:proofErr w:type="spellEnd"/>
            <w:r w:rsidRPr="00AB6F27">
              <w:t xml:space="preserve"> (NRG-GY018) versus </w:t>
            </w:r>
            <w:proofErr w:type="spellStart"/>
            <w:r w:rsidRPr="00AB6F27">
              <w:t>DUR+PBC+</w:t>
            </w:r>
            <w:r w:rsidR="001F3073">
              <w:t>olaparib</w:t>
            </w:r>
            <w:proofErr w:type="spellEnd"/>
            <w:r w:rsidRPr="00AB6F27">
              <w:t xml:space="preserve"> (DUO-E)</w:t>
            </w:r>
          </w:p>
        </w:tc>
      </w:tr>
      <w:tr w:rsidR="00D21AA6" w:rsidRPr="00AB6F27" w14:paraId="1824E352" w14:textId="77777777" w:rsidTr="007B5E49">
        <w:tc>
          <w:tcPr>
            <w:tcW w:w="1838" w:type="dxa"/>
            <w:vAlign w:val="center"/>
          </w:tcPr>
          <w:p w14:paraId="72F24193" w14:textId="77777777" w:rsidR="00D21AA6" w:rsidRPr="00AB6F27" w:rsidRDefault="00D21AA6" w:rsidP="007B5E49">
            <w:pPr>
              <w:pStyle w:val="TableText0"/>
            </w:pPr>
            <w:r w:rsidRPr="00AB6F27">
              <w:t>Equi-effective doses</w:t>
            </w:r>
          </w:p>
        </w:tc>
        <w:tc>
          <w:tcPr>
            <w:tcW w:w="7342" w:type="dxa"/>
            <w:vAlign w:val="center"/>
          </w:tcPr>
          <w:p w14:paraId="52CA8D3A" w14:textId="5996192B" w:rsidR="00D21AA6" w:rsidRPr="00AB6F27" w:rsidRDefault="00D21AA6" w:rsidP="007B5E49">
            <w:pPr>
              <w:pStyle w:val="TableText0"/>
            </w:pPr>
            <w:r w:rsidRPr="00AB6F27">
              <w:t xml:space="preserve">Initiation (6 cycles): </w:t>
            </w:r>
          </w:p>
          <w:p w14:paraId="3F98C868" w14:textId="6B502644" w:rsidR="00D21AA6" w:rsidRPr="00AB6F27" w:rsidRDefault="00BF1B0D" w:rsidP="007B5E49">
            <w:pPr>
              <w:pStyle w:val="TableText0"/>
            </w:pPr>
            <w:r>
              <w:t>pembrolizumab</w:t>
            </w:r>
            <w:r w:rsidR="00D21AA6" w:rsidRPr="00AB6F27">
              <w:t xml:space="preserve"> 200mg Q3W = </w:t>
            </w:r>
            <w:r w:rsidR="00437BAB">
              <w:t>dostarlimab</w:t>
            </w:r>
            <w:r w:rsidR="00D21AA6" w:rsidRPr="00AB6F27">
              <w:t xml:space="preserve"> 500mg Q3W = DUR 1</w:t>
            </w:r>
            <w:r w:rsidR="00962F77" w:rsidRPr="00AB6F27">
              <w:t>,</w:t>
            </w:r>
            <w:r w:rsidR="00D21AA6" w:rsidRPr="00AB6F27">
              <w:t>120mg Q3W</w:t>
            </w:r>
          </w:p>
          <w:p w14:paraId="634D0B8E" w14:textId="77777777" w:rsidR="00D21AA6" w:rsidRPr="00AB6F27" w:rsidRDefault="00D21AA6" w:rsidP="007B5E49">
            <w:pPr>
              <w:pStyle w:val="TableText0"/>
            </w:pPr>
            <w:r w:rsidRPr="00AB6F27">
              <w:t xml:space="preserve">Maintenance: </w:t>
            </w:r>
          </w:p>
          <w:p w14:paraId="5CBF33DB" w14:textId="20FA9346" w:rsidR="00D21AA6" w:rsidRPr="00AB6F27" w:rsidRDefault="00BF1B0D" w:rsidP="007B5E49">
            <w:pPr>
              <w:pStyle w:val="TableText0"/>
            </w:pPr>
            <w:r>
              <w:t>pembrolizumab</w:t>
            </w:r>
            <w:r w:rsidR="00D21AA6" w:rsidRPr="00AB6F27">
              <w:t xml:space="preserve"> 400mg Q6W = </w:t>
            </w:r>
            <w:r w:rsidR="00437BAB">
              <w:t>dostarlimab</w:t>
            </w:r>
            <w:r w:rsidR="00D21AA6" w:rsidRPr="00AB6F27">
              <w:t xml:space="preserve"> 1</w:t>
            </w:r>
            <w:r w:rsidR="00962F77" w:rsidRPr="00AB6F27">
              <w:t>,</w:t>
            </w:r>
            <w:r w:rsidR="00D21AA6" w:rsidRPr="00AB6F27">
              <w:t>000mg Q6W = DUR 1</w:t>
            </w:r>
            <w:r w:rsidR="00962F77" w:rsidRPr="00AB6F27">
              <w:t>,</w:t>
            </w:r>
            <w:r w:rsidR="00D21AA6" w:rsidRPr="00AB6F27">
              <w:t xml:space="preserve">500mg Q4W + </w:t>
            </w:r>
            <w:r w:rsidR="001F3073">
              <w:t>olaparib</w:t>
            </w:r>
            <w:r w:rsidR="00D21AA6" w:rsidRPr="00AB6F27">
              <w:t xml:space="preserve"> 300mg bd</w:t>
            </w:r>
          </w:p>
          <w:p w14:paraId="79F7C67E" w14:textId="7563378F" w:rsidR="00CC6A9B" w:rsidRPr="00AB6F27" w:rsidRDefault="000D39E5" w:rsidP="007B5E49">
            <w:pPr>
              <w:pStyle w:val="TableText0"/>
            </w:pPr>
            <w:r w:rsidRPr="00AB6F27">
              <w:t>Overall</w:t>
            </w:r>
            <w:r w:rsidR="00DA02A6">
              <w:t>,</w:t>
            </w:r>
            <w:r w:rsidR="00730BBE" w:rsidRPr="00AB6F27">
              <w:t xml:space="preserve"> the submission claimed the equi-effective doses, o</w:t>
            </w:r>
            <w:r w:rsidR="00CC6A9B" w:rsidRPr="00AB6F27">
              <w:t xml:space="preserve">ver a 12 month period </w:t>
            </w:r>
            <w:r w:rsidR="00730BBE" w:rsidRPr="00AB6F27">
              <w:t>would b</w:t>
            </w:r>
            <w:r w:rsidR="00D26EEF" w:rsidRPr="00AB6F27">
              <w:t>e:</w:t>
            </w:r>
            <w:r w:rsidR="00CC6A9B" w:rsidRPr="00AB6F27">
              <w:t xml:space="preserve"> </w:t>
            </w:r>
          </w:p>
          <w:p w14:paraId="4AF38B00" w14:textId="759B7E75" w:rsidR="00C25500" w:rsidRPr="00AB6F27" w:rsidRDefault="00C25500" w:rsidP="00715A52">
            <w:pPr>
              <w:pStyle w:val="TableText0"/>
            </w:pPr>
            <w:r w:rsidRPr="00AB6F27">
              <w:t xml:space="preserve">dMMR: </w:t>
            </w:r>
            <w:r w:rsidR="00BF1B0D">
              <w:t>pembrolizumab</w:t>
            </w:r>
            <w:r w:rsidR="000D39E5" w:rsidRPr="00AB6F27">
              <w:t xml:space="preserve"> </w:t>
            </w:r>
            <w:r w:rsidR="00CC6A9B" w:rsidRPr="00AB6F27">
              <w:t>3,479</w:t>
            </w:r>
            <w:r w:rsidR="00D26EEF" w:rsidRPr="00AB6F27">
              <w:t xml:space="preserve"> </w:t>
            </w:r>
            <w:r w:rsidR="00CC6A9B" w:rsidRPr="00AB6F27">
              <w:t xml:space="preserve">mg = </w:t>
            </w:r>
            <w:r w:rsidR="00437BAB">
              <w:t>dostarlimab</w:t>
            </w:r>
            <w:r w:rsidR="00CC6A9B" w:rsidRPr="00AB6F27">
              <w:t xml:space="preserve"> 8,</w:t>
            </w:r>
            <w:r w:rsidR="00016763" w:rsidRPr="00AB6F27">
              <w:t>696</w:t>
            </w:r>
            <w:r w:rsidR="00D26EEF" w:rsidRPr="00AB6F27">
              <w:t xml:space="preserve"> </w:t>
            </w:r>
            <w:r w:rsidR="00CC6A9B" w:rsidRPr="00AB6F27">
              <w:t xml:space="preserve">mg </w:t>
            </w:r>
          </w:p>
          <w:p w14:paraId="1DC13542" w14:textId="20664021" w:rsidR="00715A52" w:rsidRPr="00AB6F27" w:rsidRDefault="00C25500" w:rsidP="00715A52">
            <w:pPr>
              <w:pStyle w:val="TableText0"/>
            </w:pPr>
            <w:r w:rsidRPr="00AB6F27">
              <w:t xml:space="preserve">pMMR: </w:t>
            </w:r>
            <w:r w:rsidR="00BF1B0D">
              <w:t>pembrolizumab</w:t>
            </w:r>
            <w:r w:rsidRPr="00AB6F27">
              <w:t xml:space="preserve"> 3,479</w:t>
            </w:r>
            <w:r w:rsidR="00D26EEF" w:rsidRPr="00AB6F27">
              <w:t xml:space="preserve"> </w:t>
            </w:r>
            <w:r w:rsidRPr="00AB6F27">
              <w:t xml:space="preserve">mg </w:t>
            </w:r>
            <w:r w:rsidR="00715A52" w:rsidRPr="00AB6F27">
              <w:t>= DUR 19,537</w:t>
            </w:r>
            <w:r w:rsidR="00D26EEF" w:rsidRPr="00AB6F27">
              <w:t xml:space="preserve"> </w:t>
            </w:r>
            <w:r w:rsidR="00715A52" w:rsidRPr="00AB6F27">
              <w:t xml:space="preserve">mg + </w:t>
            </w:r>
            <w:r w:rsidR="001F3073">
              <w:t>olaparib</w:t>
            </w:r>
            <w:r w:rsidR="00715A52" w:rsidRPr="00AB6F27">
              <w:t xml:space="preserve"> 143,550</w:t>
            </w:r>
            <w:r w:rsidR="00D26EEF" w:rsidRPr="00AB6F27">
              <w:t xml:space="preserve"> </w:t>
            </w:r>
            <w:r w:rsidR="00715A52" w:rsidRPr="00AB6F27">
              <w:t xml:space="preserve">mg </w:t>
            </w:r>
          </w:p>
        </w:tc>
      </w:tr>
      <w:tr w:rsidR="00D21AA6" w:rsidRPr="00AB6F27" w14:paraId="4DD58344" w14:textId="77777777" w:rsidTr="007B5E49">
        <w:tc>
          <w:tcPr>
            <w:tcW w:w="1838" w:type="dxa"/>
            <w:vAlign w:val="center"/>
          </w:tcPr>
          <w:p w14:paraId="5A31790F" w14:textId="77777777" w:rsidR="00D21AA6" w:rsidRPr="00AB6F27" w:rsidRDefault="00D21AA6" w:rsidP="007B5E49">
            <w:pPr>
              <w:pStyle w:val="TableText0"/>
            </w:pPr>
            <w:r w:rsidRPr="00AB6F27">
              <w:t>Direct medicine costs</w:t>
            </w:r>
          </w:p>
        </w:tc>
        <w:tc>
          <w:tcPr>
            <w:tcW w:w="7342" w:type="dxa"/>
            <w:vAlign w:val="center"/>
          </w:tcPr>
          <w:p w14:paraId="36FE1E19" w14:textId="1FDC21B7" w:rsidR="00D21AA6" w:rsidRPr="00AB6F27" w:rsidRDefault="00D21AA6" w:rsidP="007B5E49">
            <w:pPr>
              <w:pStyle w:val="TableText0"/>
            </w:pPr>
            <w:r w:rsidRPr="00AB6F27">
              <w:t>Calculation of the equi-effective doses was based on the first full year of treatment, using the recommended treatment regimens for each respective therapy. Dose intensity and treatment duration</w:t>
            </w:r>
            <w:r w:rsidR="00585675" w:rsidRPr="00AB6F27">
              <w:t>s</w:t>
            </w:r>
            <w:r w:rsidRPr="00AB6F27">
              <w:t xml:space="preserve"> from clinical trials were not considered. The cost of PBC was excluded in the CMA.</w:t>
            </w:r>
          </w:p>
        </w:tc>
      </w:tr>
      <w:tr w:rsidR="00D21AA6" w:rsidRPr="00AB6F27" w14:paraId="4CCAEE10" w14:textId="77777777" w:rsidTr="007B5E49">
        <w:tc>
          <w:tcPr>
            <w:tcW w:w="1838" w:type="dxa"/>
            <w:vAlign w:val="center"/>
          </w:tcPr>
          <w:p w14:paraId="1319ADE9" w14:textId="77777777" w:rsidR="00D21AA6" w:rsidRPr="00AB6F27" w:rsidRDefault="00D21AA6" w:rsidP="007B5E49">
            <w:pPr>
              <w:pStyle w:val="TableText0"/>
            </w:pPr>
            <w:r w:rsidRPr="00AB6F27">
              <w:t>Other costs or cost offsets</w:t>
            </w:r>
          </w:p>
        </w:tc>
        <w:tc>
          <w:tcPr>
            <w:tcW w:w="7342" w:type="dxa"/>
            <w:vAlign w:val="center"/>
          </w:tcPr>
          <w:p w14:paraId="5B316DD4" w14:textId="637B0E71" w:rsidR="00D21AA6" w:rsidRPr="00AB6F27" w:rsidRDefault="00D21AA6" w:rsidP="007B5E49">
            <w:pPr>
              <w:pStyle w:val="TableText0"/>
            </w:pPr>
            <w:r w:rsidRPr="00AB6F27">
              <w:t xml:space="preserve">dMMR population equivalent: In the event of a positive PBAC recommendation the cost minimised price per vial </w:t>
            </w:r>
            <w:r w:rsidR="00585675" w:rsidRPr="00AB6F27">
              <w:t xml:space="preserve">of </w:t>
            </w:r>
            <w:r w:rsidRPr="00AB6F27">
              <w:t xml:space="preserve">pembrolizumab will be adjusted to reflect the difference in the duration of treatment (pembrolizumab 2 years vs dostarlimab 3 years) to deliver the same total cost to government (MBS+PBS), when the cost minimisation is </w:t>
            </w:r>
            <w:r w:rsidR="00DA02A6">
              <w:t>performed</w:t>
            </w:r>
            <w:r w:rsidR="00DA02A6" w:rsidRPr="00AB6F27">
              <w:t xml:space="preserve"> </w:t>
            </w:r>
            <w:r w:rsidRPr="00AB6F27">
              <w:t>on the basis on the effective dostarlimab PBS price.</w:t>
            </w:r>
            <w:r w:rsidR="008160DE">
              <w:t xml:space="preserve"> However, the evaluation considered it was unclear what this referred to and noted the </w:t>
            </w:r>
            <w:r w:rsidR="00D30623">
              <w:t xml:space="preserve">submission had conducted the CMA </w:t>
            </w:r>
            <w:r w:rsidR="00831028">
              <w:t xml:space="preserve">based </w:t>
            </w:r>
            <w:r w:rsidR="00D30623">
              <w:t xml:space="preserve">on </w:t>
            </w:r>
            <w:r w:rsidR="00831028">
              <w:t>e</w:t>
            </w:r>
            <w:r w:rsidR="00831028" w:rsidRPr="00831028">
              <w:t xml:space="preserve">qui-effective doses over </w:t>
            </w:r>
            <w:r w:rsidR="00831028">
              <w:t xml:space="preserve">a </w:t>
            </w:r>
            <w:r w:rsidR="00831028" w:rsidRPr="00831028">
              <w:t>12-month treatment duration</w:t>
            </w:r>
            <w:r w:rsidR="00831028">
              <w:t xml:space="preserve"> for </w:t>
            </w:r>
            <w:r w:rsidR="004777F6">
              <w:t xml:space="preserve">both </w:t>
            </w:r>
            <w:r w:rsidR="00831028">
              <w:t xml:space="preserve">pembrolizumab </w:t>
            </w:r>
            <w:r w:rsidR="004777F6">
              <w:t>and dostarlimab</w:t>
            </w:r>
            <w:r w:rsidR="00831028">
              <w:t>.</w:t>
            </w:r>
          </w:p>
          <w:p w14:paraId="124F41F9" w14:textId="77777777" w:rsidR="00D21AA6" w:rsidRPr="00AB6F27" w:rsidRDefault="00D21AA6" w:rsidP="007B5E49">
            <w:pPr>
              <w:pStyle w:val="TableText0"/>
            </w:pPr>
          </w:p>
          <w:p w14:paraId="05A2ACC6" w14:textId="6024A409" w:rsidR="00D21AA6" w:rsidRPr="00AB6F27" w:rsidRDefault="00D21AA6" w:rsidP="007B5E49">
            <w:pPr>
              <w:pStyle w:val="TableText0"/>
            </w:pPr>
            <w:r w:rsidRPr="00AB6F27">
              <w:t xml:space="preserve">pMMR population equivalent: In the event of a positive PBAC recommendation the cost minimised price per vial </w:t>
            </w:r>
            <w:r w:rsidR="00585675" w:rsidRPr="00AB6F27">
              <w:t xml:space="preserve">of </w:t>
            </w:r>
            <w:r w:rsidRPr="00AB6F27">
              <w:t xml:space="preserve">pembrolizumab will be adjusted to reflect the incremental costs associated with the management of Grade 3-4 adverse events (i.e. higher with durvalumab + olaparib maintenance) to deliver the same total cost to government (MBS+PBS), when the cost minimisation is done </w:t>
            </w:r>
            <w:proofErr w:type="gramStart"/>
            <w:r w:rsidRPr="00AB6F27">
              <w:t>on the basis o</w:t>
            </w:r>
            <w:r w:rsidR="00585675" w:rsidRPr="00AB6F27">
              <w:t>f</w:t>
            </w:r>
            <w:proofErr w:type="gramEnd"/>
            <w:r w:rsidR="00585675" w:rsidRPr="00AB6F27">
              <w:t xml:space="preserve"> </w:t>
            </w:r>
            <w:r w:rsidRPr="00AB6F27">
              <w:t xml:space="preserve">the effective durvalumab and olaparib PBS price. </w:t>
            </w:r>
          </w:p>
        </w:tc>
      </w:tr>
    </w:tbl>
    <w:p w14:paraId="201BB641" w14:textId="77777777" w:rsidR="00D21AA6" w:rsidRPr="00AB6F27" w:rsidRDefault="00D21AA6" w:rsidP="00D21AA6">
      <w:pPr>
        <w:pStyle w:val="FooterTableFigure"/>
      </w:pPr>
      <w:r w:rsidRPr="00AB6F27">
        <w:t>Source: Table 3.1-1, p193 of the submission</w:t>
      </w:r>
    </w:p>
    <w:p w14:paraId="622B984E" w14:textId="39DDB3FD" w:rsidR="00D21AA6" w:rsidRPr="00AB6F27" w:rsidRDefault="00D21AA6" w:rsidP="00D21AA6">
      <w:pPr>
        <w:pStyle w:val="FooterTableFigure"/>
      </w:pPr>
      <w:r w:rsidRPr="00AB6F27">
        <w:t>Abbreviations: CMA = cost minimisation analysis; dMMR = mismatch repair deficient; pMMR = mismatch repair proficient; DOS = dostarlimab; DUR = durvalumab; MBS = Medicare Benefits Schedule; PBAC = Pharmaceutical Benefits Advisory Committee; Q3W = three weekly; Q4W = four weekly; Q6W = six weekly.</w:t>
      </w:r>
    </w:p>
    <w:p w14:paraId="3D7EC71F" w14:textId="50DFC9FE" w:rsidR="00D21AA6" w:rsidRPr="00AB6F27" w:rsidRDefault="00D21AA6" w:rsidP="00D21AA6">
      <w:pPr>
        <w:pStyle w:val="FooterTableFigure"/>
        <w:rPr>
          <w:sz w:val="20"/>
        </w:rPr>
      </w:pPr>
      <w:r w:rsidRPr="00AB6F27">
        <w:rPr>
          <w:sz w:val="20"/>
        </w:rPr>
        <w:t xml:space="preserve">Note: </w:t>
      </w:r>
      <w:r w:rsidR="00585675" w:rsidRPr="00AB6F27">
        <w:rPr>
          <w:sz w:val="20"/>
        </w:rPr>
        <w:t>The submission stated that i</w:t>
      </w:r>
      <w:r w:rsidRPr="00AB6F27">
        <w:rPr>
          <w:sz w:val="20"/>
        </w:rPr>
        <w:t>n the absence of the PBAC accepted mean time on treatment and effective prices for dostarlimab/durvalumab + olaparib the cost per patient per year was calculated using list prices for illustrative purposes. Once the mean time on treatment and effective prices are shared by the Department, MSD will work to update the cost-minimisation analysis.</w:t>
      </w:r>
    </w:p>
    <w:p w14:paraId="0B780252" w14:textId="77777777" w:rsidR="007B5E49" w:rsidRPr="00AB6F27" w:rsidRDefault="007B5E49" w:rsidP="007B5E49">
      <w:pPr>
        <w:pStyle w:val="3-BodyText"/>
        <w:numPr>
          <w:ilvl w:val="0"/>
          <w:numId w:val="0"/>
        </w:numPr>
        <w:ind w:left="720" w:hanging="720"/>
        <w:outlineLvl w:val="2"/>
        <w:rPr>
          <w:rFonts w:eastAsia="Calibri"/>
          <w:i/>
          <w:iCs/>
          <w:u w:val="single"/>
        </w:rPr>
      </w:pPr>
      <w:bookmarkStart w:id="66" w:name="_Hlk200623473"/>
      <w:r w:rsidRPr="00AB6F27">
        <w:rPr>
          <w:rFonts w:eastAsia="Calibri"/>
          <w:i/>
          <w:iCs/>
          <w:u w:val="single"/>
        </w:rPr>
        <w:t>dMMR population</w:t>
      </w:r>
    </w:p>
    <w:bookmarkEnd w:id="66"/>
    <w:p w14:paraId="6DBDE861" w14:textId="5F650264" w:rsidR="00072412" w:rsidRPr="00AB6F27" w:rsidRDefault="007E44E9" w:rsidP="007B5E49">
      <w:pPr>
        <w:pStyle w:val="3-BodyText"/>
      </w:pPr>
      <w:r w:rsidRPr="00AB6F27">
        <w:t xml:space="preserve">The equi-effective doses </w:t>
      </w:r>
      <w:r w:rsidR="00307D0C" w:rsidRPr="00AB6F27">
        <w:t xml:space="preserve">proposed in the submission </w:t>
      </w:r>
      <w:r w:rsidRPr="00AB6F27">
        <w:t>were based on the recommended treatment regimen</w:t>
      </w:r>
      <w:r w:rsidR="00307D0C" w:rsidRPr="00AB6F27">
        <w:t>s</w:t>
      </w:r>
      <w:r w:rsidR="00AF7704" w:rsidRPr="00AB6F27">
        <w:t>, with a 100% dose intensity assumed</w:t>
      </w:r>
      <w:r w:rsidR="00072412" w:rsidRPr="00AB6F27">
        <w:t>. Therefore, the equi-effective doses for the dMMR population were:</w:t>
      </w:r>
    </w:p>
    <w:p w14:paraId="736106FB" w14:textId="1EF43DA0" w:rsidR="00072412" w:rsidRPr="00AB6F27" w:rsidRDefault="00585675" w:rsidP="0037102E">
      <w:pPr>
        <w:pStyle w:val="ListParagraph"/>
        <w:numPr>
          <w:ilvl w:val="0"/>
          <w:numId w:val="9"/>
        </w:numPr>
        <w:ind w:left="1276" w:hanging="567"/>
      </w:pPr>
      <w:r w:rsidRPr="00AB6F27">
        <w:lastRenderedPageBreak/>
        <w:t xml:space="preserve">Initiation: </w:t>
      </w:r>
      <w:r w:rsidR="00BF1B0D">
        <w:t>pembrolizumab</w:t>
      </w:r>
      <w:r w:rsidR="00072412" w:rsidRPr="00AB6F27">
        <w:t xml:space="preserve"> 200mg Q3W is equivalent to </w:t>
      </w:r>
      <w:r w:rsidR="00437BAB">
        <w:t>dostarlimab</w:t>
      </w:r>
      <w:r w:rsidR="00072412" w:rsidRPr="00AB6F27">
        <w:t xml:space="preserve"> 500mg every three weeks (Q3W)</w:t>
      </w:r>
      <w:r w:rsidR="00C83B06" w:rsidRPr="00AB6F27">
        <w:t xml:space="preserve"> for six cycles</w:t>
      </w:r>
      <w:r w:rsidR="00072412" w:rsidRPr="00AB6F27">
        <w:t xml:space="preserve">; and  </w:t>
      </w:r>
    </w:p>
    <w:p w14:paraId="6C55C9E3" w14:textId="0E80DAA0" w:rsidR="00072412" w:rsidRPr="00AB6F27" w:rsidRDefault="00BF1B0D" w:rsidP="0037102E">
      <w:pPr>
        <w:pStyle w:val="ListParagraph"/>
        <w:numPr>
          <w:ilvl w:val="0"/>
          <w:numId w:val="9"/>
        </w:numPr>
        <w:ind w:left="1276" w:hanging="567"/>
      </w:pPr>
      <w:r>
        <w:t>pembrolizumab</w:t>
      </w:r>
      <w:r w:rsidR="00072412" w:rsidRPr="00AB6F27">
        <w:t xml:space="preserve"> 400mg Q6W is equivalent to </w:t>
      </w:r>
      <w:r w:rsidR="00437BAB">
        <w:t>dostarlimab</w:t>
      </w:r>
      <w:r w:rsidR="00072412" w:rsidRPr="00AB6F27">
        <w:t xml:space="preserve"> 1</w:t>
      </w:r>
      <w:r w:rsidR="00C83B06" w:rsidRPr="00AB6F27">
        <w:t>,</w:t>
      </w:r>
      <w:r w:rsidR="00072412" w:rsidRPr="00AB6F27">
        <w:t>000mg every six weeks (Q6W).</w:t>
      </w:r>
    </w:p>
    <w:p w14:paraId="03347968" w14:textId="77490EB5" w:rsidR="00063595" w:rsidRPr="00AB6F27" w:rsidRDefault="00063595" w:rsidP="00A3213F">
      <w:pPr>
        <w:pStyle w:val="3-BodyText"/>
      </w:pPr>
      <w:r w:rsidRPr="00AB6F27">
        <w:t xml:space="preserve">The submission stated that since </w:t>
      </w:r>
      <w:r w:rsidR="00C83B06" w:rsidRPr="00AB6F27">
        <w:t xml:space="preserve">the treatment durations for </w:t>
      </w:r>
      <w:r w:rsidR="00BF1B0D">
        <w:t>pembrolizumab</w:t>
      </w:r>
      <w:r w:rsidRPr="00AB6F27">
        <w:t xml:space="preserve">, </w:t>
      </w:r>
      <w:r w:rsidR="00437BAB">
        <w:t>dostarlimab</w:t>
      </w:r>
      <w:r w:rsidRPr="00AB6F27">
        <w:t xml:space="preserve"> and </w:t>
      </w:r>
      <w:r w:rsidR="008F1D87">
        <w:t>durvalumab</w:t>
      </w:r>
      <w:r w:rsidR="002E11C4">
        <w:t xml:space="preserve"> </w:t>
      </w:r>
      <w:r w:rsidRPr="00AB6F27">
        <w:t>+</w:t>
      </w:r>
      <w:r w:rsidR="002E11C4" w:rsidRPr="00AB6F27" w:rsidDel="002E11C4">
        <w:t xml:space="preserve"> </w:t>
      </w:r>
      <w:r w:rsidR="001F3073">
        <w:t>olaparib</w:t>
      </w:r>
      <w:r w:rsidRPr="00AB6F27">
        <w:t xml:space="preserve"> differed between trials and cohorts (dMMR vs pMMR), the CMA </w:t>
      </w:r>
      <w:r w:rsidR="00C83B06" w:rsidRPr="00AB6F27">
        <w:t xml:space="preserve">was </w:t>
      </w:r>
      <w:r w:rsidRPr="00AB6F27">
        <w:t>based</w:t>
      </w:r>
      <w:r w:rsidR="00C83B06" w:rsidRPr="00AB6F27">
        <w:t xml:space="preserve"> on</w:t>
      </w:r>
      <w:r w:rsidRPr="00AB6F27">
        <w:t xml:space="preserve"> the costs of the first full year of treatment only (i.e. complete initiation phase, then use maintenance until </w:t>
      </w:r>
      <w:r w:rsidR="00C83B06" w:rsidRPr="00AB6F27">
        <w:t xml:space="preserve">a </w:t>
      </w:r>
      <w:r w:rsidRPr="00AB6F27">
        <w:t xml:space="preserve">full year of treatment </w:t>
      </w:r>
      <w:r w:rsidR="00C83B06" w:rsidRPr="00AB6F27">
        <w:t xml:space="preserve">was </w:t>
      </w:r>
      <w:r w:rsidRPr="00AB6F27">
        <w:t xml:space="preserve">reached). </w:t>
      </w:r>
    </w:p>
    <w:p w14:paraId="4216FC1B" w14:textId="53BBE4BB" w:rsidR="00A3213F" w:rsidRPr="00AB6F27" w:rsidRDefault="007B5E49" w:rsidP="00A3213F">
      <w:pPr>
        <w:pStyle w:val="3-BodyText"/>
      </w:pPr>
      <w:r>
        <w:t>The evaluation considered that i</w:t>
      </w:r>
      <w:r w:rsidR="00A3213F" w:rsidRPr="00AB6F27">
        <w:t xml:space="preserve">t was unclear whether </w:t>
      </w:r>
      <w:r w:rsidR="00AF7704" w:rsidRPr="00AB6F27">
        <w:t xml:space="preserve">the </w:t>
      </w:r>
      <w:r w:rsidR="006A1E84" w:rsidRPr="00AB6F27">
        <w:t>use of</w:t>
      </w:r>
      <w:r w:rsidR="00AF7704" w:rsidRPr="00AB6F27">
        <w:t xml:space="preserve"> the first full year of treatment only </w:t>
      </w:r>
      <w:r w:rsidR="00A3213F" w:rsidRPr="00AB6F27">
        <w:t xml:space="preserve">for the estimation of equi-effective doses was appropriate </w:t>
      </w:r>
      <w:r w:rsidR="0018155C" w:rsidRPr="00AB6F27">
        <w:t xml:space="preserve">as the clinical claim was based on results from </w:t>
      </w:r>
      <w:r w:rsidR="00C83B06" w:rsidRPr="00AB6F27">
        <w:t xml:space="preserve">the </w:t>
      </w:r>
      <w:r w:rsidR="0018155C" w:rsidRPr="00AB6F27">
        <w:t xml:space="preserve">NRG-GY018, DUO-E and RUBY </w:t>
      </w:r>
      <w:r w:rsidR="00C83B06" w:rsidRPr="00AB6F27">
        <w:t xml:space="preserve">trials, </w:t>
      </w:r>
      <w:r w:rsidR="0018155C" w:rsidRPr="00AB6F27">
        <w:t xml:space="preserve">therefore </w:t>
      </w:r>
      <w:r w:rsidR="009D2F7B" w:rsidRPr="00AB6F27">
        <w:t xml:space="preserve">using </w:t>
      </w:r>
      <w:r w:rsidR="0018155C" w:rsidRPr="00AB6F27">
        <w:t>the mean number of doses</w:t>
      </w:r>
      <w:r w:rsidR="006A1E84" w:rsidRPr="00AB6F27">
        <w:t>, extrapolated from</w:t>
      </w:r>
      <w:r w:rsidR="0018155C" w:rsidRPr="00AB6F27">
        <w:t xml:space="preserve"> each trial may have been more appropriate</w:t>
      </w:r>
      <w:r w:rsidR="00A71476" w:rsidRPr="00AB6F27">
        <w:t>. E</w:t>
      </w:r>
      <w:r w:rsidR="006A1E84" w:rsidRPr="00AB6F27">
        <w:t xml:space="preserve">xtrapolation </w:t>
      </w:r>
      <w:r w:rsidR="00A71476" w:rsidRPr="00AB6F27">
        <w:t xml:space="preserve">of mean doses </w:t>
      </w:r>
      <w:r w:rsidR="006A1E84" w:rsidRPr="00AB6F27">
        <w:t xml:space="preserve">would be required as the </w:t>
      </w:r>
      <w:r w:rsidR="00307D0C" w:rsidRPr="00AB6F27">
        <w:t>(</w:t>
      </w:r>
      <w:r w:rsidR="006A1E84" w:rsidRPr="00AB6F27">
        <w:t>truncated</w:t>
      </w:r>
      <w:r w:rsidR="00307D0C" w:rsidRPr="00AB6F27">
        <w:t>)</w:t>
      </w:r>
      <w:r w:rsidR="006A1E84" w:rsidRPr="00AB6F27">
        <w:t xml:space="preserve"> means </w:t>
      </w:r>
      <w:r w:rsidR="00307D0C" w:rsidRPr="00AB6F27">
        <w:t>report</w:t>
      </w:r>
      <w:r w:rsidR="006A1E84" w:rsidRPr="00AB6F27">
        <w:t xml:space="preserve">ed in the trials </w:t>
      </w:r>
      <w:r w:rsidR="00A71476" w:rsidRPr="00AB6F27">
        <w:t>would likely</w:t>
      </w:r>
      <w:r w:rsidR="00D12151" w:rsidRPr="00AB6F27">
        <w:t xml:space="preserve"> </w:t>
      </w:r>
      <w:r w:rsidR="0018155C" w:rsidRPr="00AB6F27">
        <w:t xml:space="preserve">favour </w:t>
      </w:r>
      <w:r w:rsidR="00BF1B0D">
        <w:t>pembrolizumab</w:t>
      </w:r>
      <w:r w:rsidR="0018155C" w:rsidRPr="00AB6F27">
        <w:t xml:space="preserve"> as the duration of follow-up and </w:t>
      </w:r>
      <w:r w:rsidR="00C83B06" w:rsidRPr="00AB6F27">
        <w:t xml:space="preserve">the time on </w:t>
      </w:r>
      <w:r w:rsidR="0018155C" w:rsidRPr="00AB6F27">
        <w:t xml:space="preserve">treatment was longer for </w:t>
      </w:r>
      <w:r w:rsidR="00437BAB">
        <w:t>dostarlimab</w:t>
      </w:r>
      <w:r w:rsidR="0018155C" w:rsidRPr="00AB6F27">
        <w:t xml:space="preserve"> in RUBY than for </w:t>
      </w:r>
      <w:r w:rsidR="00BF1B0D">
        <w:t>pembrolizumab</w:t>
      </w:r>
      <w:r w:rsidR="0018155C" w:rsidRPr="00AB6F27">
        <w:t xml:space="preserve"> in NRG-GY018 (</w:t>
      </w:r>
      <w:r w:rsidR="00C83B06" w:rsidRPr="00AB6F27">
        <w:t xml:space="preserve">refer to </w:t>
      </w:r>
      <w:r w:rsidR="00C83B06" w:rsidRPr="00AB6F27">
        <w:fldChar w:fldCharType="begin"/>
      </w:r>
      <w:r w:rsidR="00C83B06" w:rsidRPr="00AB6F27">
        <w:instrText xml:space="preserve"> REF _Ref196734500 \h  \* MERGEFORMAT </w:instrText>
      </w:r>
      <w:r w:rsidR="00C83B06" w:rsidRPr="00AB6F27">
        <w:fldChar w:fldCharType="separate"/>
      </w:r>
      <w:r w:rsidR="003359D3" w:rsidRPr="00AB6F27">
        <w:t xml:space="preserve">Table </w:t>
      </w:r>
      <w:r w:rsidR="003359D3">
        <w:rPr>
          <w:noProof/>
        </w:rPr>
        <w:t>4</w:t>
      </w:r>
      <w:r w:rsidR="00C83B06" w:rsidRPr="00AB6F27">
        <w:fldChar w:fldCharType="end"/>
      </w:r>
      <w:r w:rsidR="00C83B06" w:rsidRPr="00AB6F27">
        <w:t xml:space="preserve"> and </w:t>
      </w:r>
      <w:r w:rsidR="00C83B06" w:rsidRPr="00AB6F27">
        <w:fldChar w:fldCharType="begin"/>
      </w:r>
      <w:r w:rsidR="00C83B06" w:rsidRPr="00AB6F27">
        <w:instrText xml:space="preserve"> REF _Ref196305562 \h  \* MERGEFORMAT </w:instrText>
      </w:r>
      <w:r w:rsidR="00C83B06" w:rsidRPr="00AB6F27">
        <w:fldChar w:fldCharType="separate"/>
      </w:r>
      <w:r w:rsidR="003359D3" w:rsidRPr="00AB6F27">
        <w:t xml:space="preserve">Table </w:t>
      </w:r>
      <w:r w:rsidR="003359D3">
        <w:rPr>
          <w:noProof/>
        </w:rPr>
        <w:t>7</w:t>
      </w:r>
      <w:r w:rsidR="00C83B06" w:rsidRPr="00AB6F27">
        <w:fldChar w:fldCharType="end"/>
      </w:r>
      <w:r w:rsidR="00C83B06" w:rsidRPr="00AB6F27">
        <w:t xml:space="preserve">). </w:t>
      </w:r>
    </w:p>
    <w:p w14:paraId="4F370351" w14:textId="0DEEBB9B" w:rsidR="00A3213F" w:rsidRPr="00AB6F27" w:rsidRDefault="00A3213F" w:rsidP="00A3213F">
      <w:pPr>
        <w:pStyle w:val="3-BodyText"/>
      </w:pPr>
      <w:bookmarkStart w:id="67" w:name="_Hlk200623691"/>
      <w:r w:rsidRPr="00AB6F27">
        <w:t xml:space="preserve">The </w:t>
      </w:r>
      <w:r w:rsidR="007B5E49">
        <w:t xml:space="preserve">submission’s proposed </w:t>
      </w:r>
      <w:r w:rsidR="00786EB7" w:rsidRPr="00AB6F27">
        <w:t>equi-effective dose</w:t>
      </w:r>
      <w:r w:rsidR="007B5E49">
        <w:t>s</w:t>
      </w:r>
      <w:r w:rsidR="00786EB7" w:rsidRPr="00AB6F27">
        <w:t xml:space="preserve"> </w:t>
      </w:r>
      <w:r w:rsidRPr="00AB6F27">
        <w:t xml:space="preserve">for the dMMR population </w:t>
      </w:r>
      <w:r w:rsidR="007B5E49" w:rsidRPr="00AB6F27">
        <w:t xml:space="preserve">are summarised in </w:t>
      </w:r>
      <w:r w:rsidR="007B5E49" w:rsidRPr="00AB6F27">
        <w:fldChar w:fldCharType="begin"/>
      </w:r>
      <w:r w:rsidR="007B5E49" w:rsidRPr="00AB6F27">
        <w:instrText xml:space="preserve"> REF _Ref196314105 \h  \* MERGEFORMAT </w:instrText>
      </w:r>
      <w:r w:rsidR="007B5E49" w:rsidRPr="00AB6F27">
        <w:fldChar w:fldCharType="separate"/>
      </w:r>
      <w:r w:rsidR="003359D3" w:rsidRPr="00AB6F27">
        <w:t xml:space="preserve">Table </w:t>
      </w:r>
      <w:r w:rsidR="003359D3">
        <w:rPr>
          <w:noProof/>
        </w:rPr>
        <w:t>15</w:t>
      </w:r>
      <w:r w:rsidR="007B5E49" w:rsidRPr="00AB6F27">
        <w:fldChar w:fldCharType="end"/>
      </w:r>
      <w:r w:rsidR="007B5E49">
        <w:t>.</w:t>
      </w:r>
    </w:p>
    <w:p w14:paraId="0C871AF0" w14:textId="3788F281" w:rsidR="00A3213F" w:rsidRPr="00AB6F27" w:rsidRDefault="00A3213F" w:rsidP="00331041">
      <w:pPr>
        <w:pStyle w:val="Caption"/>
      </w:pPr>
      <w:bookmarkStart w:id="68" w:name="_Ref196314105"/>
      <w:bookmarkEnd w:id="67"/>
      <w:r w:rsidRPr="00AB6F27">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15</w:t>
      </w:r>
      <w:r w:rsidR="00976099" w:rsidRPr="00AB6F27">
        <w:rPr>
          <w:noProof/>
        </w:rPr>
        <w:fldChar w:fldCharType="end"/>
      </w:r>
      <w:bookmarkEnd w:id="68"/>
      <w:r w:rsidRPr="00AB6F27">
        <w:t>: Equi-effective doses over 12-month treatment duration (dMMR)</w:t>
      </w:r>
    </w:p>
    <w:tbl>
      <w:tblPr>
        <w:tblW w:w="5000" w:type="pct"/>
        <w:tblLayout w:type="fixed"/>
        <w:tblLook w:val="04A0" w:firstRow="1" w:lastRow="0" w:firstColumn="1" w:lastColumn="0" w:noHBand="0" w:noVBand="1"/>
        <w:tblCaption w:val="Table 15: Equi-effective doses over 12-month treatment duration (dMMR)"/>
      </w:tblPr>
      <w:tblGrid>
        <w:gridCol w:w="1313"/>
        <w:gridCol w:w="1282"/>
        <w:gridCol w:w="1286"/>
        <w:gridCol w:w="1284"/>
        <w:gridCol w:w="1284"/>
        <w:gridCol w:w="1286"/>
        <w:gridCol w:w="1282"/>
      </w:tblGrid>
      <w:tr w:rsidR="00514745" w:rsidRPr="00AB6F27" w14:paraId="0C2E160F" w14:textId="7026FEB7" w:rsidTr="00514745">
        <w:trPr>
          <w:trHeight w:val="20"/>
        </w:trPr>
        <w:tc>
          <w:tcPr>
            <w:tcW w:w="728" w:type="pct"/>
            <w:tcBorders>
              <w:top w:val="single" w:sz="4" w:space="0" w:color="auto"/>
              <w:left w:val="single" w:sz="4" w:space="0" w:color="auto"/>
              <w:bottom w:val="single" w:sz="4" w:space="0" w:color="auto"/>
              <w:right w:val="single" w:sz="4" w:space="0" w:color="auto"/>
            </w:tcBorders>
            <w:vAlign w:val="center"/>
          </w:tcPr>
          <w:p w14:paraId="36211ADE" w14:textId="77777777" w:rsidR="00514745" w:rsidRPr="00AB6F27" w:rsidRDefault="00514745" w:rsidP="00331041">
            <w:pPr>
              <w:keepNext/>
              <w:keepLines/>
              <w:rPr>
                <w:rFonts w:ascii="Arial Narrow" w:hAnsi="Arial Narrow"/>
                <w:sz w:val="20"/>
                <w:szCs w:val="20"/>
              </w:rPr>
            </w:pPr>
          </w:p>
        </w:tc>
        <w:tc>
          <w:tcPr>
            <w:tcW w:w="2136" w:type="pct"/>
            <w:gridSpan w:val="3"/>
            <w:tcBorders>
              <w:top w:val="single" w:sz="4" w:space="0" w:color="auto"/>
              <w:left w:val="nil"/>
              <w:bottom w:val="single" w:sz="4" w:space="0" w:color="auto"/>
              <w:right w:val="single" w:sz="4" w:space="0" w:color="auto"/>
            </w:tcBorders>
            <w:vAlign w:val="center"/>
          </w:tcPr>
          <w:p w14:paraId="1753AE1A" w14:textId="72FA6D96" w:rsidR="00514745" w:rsidRPr="00AB6F27" w:rsidRDefault="00514745" w:rsidP="00331041">
            <w:pPr>
              <w:keepNext/>
              <w:keepLines/>
              <w:jc w:val="center"/>
              <w:rPr>
                <w:rFonts w:ascii="Arial Narrow" w:hAnsi="Arial Narrow"/>
                <w:b/>
                <w:sz w:val="20"/>
                <w:szCs w:val="20"/>
              </w:rPr>
            </w:pPr>
            <w:r w:rsidRPr="00AB6F27">
              <w:rPr>
                <w:rFonts w:ascii="Arial Narrow" w:hAnsi="Arial Narrow"/>
                <w:b/>
                <w:sz w:val="20"/>
                <w:szCs w:val="20"/>
              </w:rPr>
              <w:t>Pembrolizumab</w:t>
            </w:r>
          </w:p>
        </w:tc>
        <w:tc>
          <w:tcPr>
            <w:tcW w:w="2136" w:type="pct"/>
            <w:gridSpan w:val="3"/>
            <w:tcBorders>
              <w:top w:val="single" w:sz="4" w:space="0" w:color="auto"/>
              <w:left w:val="single" w:sz="4" w:space="0" w:color="auto"/>
              <w:bottom w:val="single" w:sz="4" w:space="0" w:color="auto"/>
              <w:right w:val="single" w:sz="4" w:space="0" w:color="auto"/>
            </w:tcBorders>
            <w:vAlign w:val="center"/>
          </w:tcPr>
          <w:p w14:paraId="2306A054" w14:textId="5486D8A3" w:rsidR="00514745" w:rsidRPr="00AB6F27" w:rsidRDefault="00514745" w:rsidP="00331041">
            <w:pPr>
              <w:keepNext/>
              <w:keepLines/>
              <w:jc w:val="center"/>
              <w:rPr>
                <w:rFonts w:ascii="Arial Narrow" w:hAnsi="Arial Narrow"/>
                <w:b/>
                <w:sz w:val="20"/>
                <w:szCs w:val="20"/>
              </w:rPr>
            </w:pPr>
            <w:r w:rsidRPr="00AB6F27">
              <w:rPr>
                <w:rFonts w:ascii="Arial Narrow" w:hAnsi="Arial Narrow"/>
                <w:b/>
                <w:sz w:val="20"/>
                <w:szCs w:val="20"/>
              </w:rPr>
              <w:t>Dostarlimab</w:t>
            </w:r>
          </w:p>
        </w:tc>
      </w:tr>
      <w:tr w:rsidR="00514745" w:rsidRPr="00AB6F27" w14:paraId="7D811845" w14:textId="50417515" w:rsidTr="00514745">
        <w:trPr>
          <w:trHeight w:val="20"/>
        </w:trPr>
        <w:tc>
          <w:tcPr>
            <w:tcW w:w="728" w:type="pct"/>
            <w:tcBorders>
              <w:top w:val="single" w:sz="4" w:space="0" w:color="auto"/>
              <w:left w:val="single" w:sz="4" w:space="0" w:color="auto"/>
              <w:bottom w:val="single" w:sz="4" w:space="0" w:color="000000"/>
              <w:right w:val="single" w:sz="4" w:space="0" w:color="auto"/>
            </w:tcBorders>
            <w:vAlign w:val="center"/>
            <w:hideMark/>
          </w:tcPr>
          <w:p w14:paraId="5F10EAA1" w14:textId="77777777" w:rsidR="00514745" w:rsidRPr="00AB6F27" w:rsidRDefault="00514745" w:rsidP="00331041">
            <w:pPr>
              <w:keepNext/>
              <w:keepLines/>
              <w:rPr>
                <w:rFonts w:ascii="Arial Narrow" w:hAnsi="Arial Narrow"/>
                <w:sz w:val="20"/>
                <w:szCs w:val="20"/>
              </w:rPr>
            </w:pPr>
          </w:p>
        </w:tc>
        <w:tc>
          <w:tcPr>
            <w:tcW w:w="711" w:type="pct"/>
            <w:tcBorders>
              <w:top w:val="single" w:sz="4" w:space="0" w:color="auto"/>
              <w:left w:val="nil"/>
              <w:bottom w:val="single" w:sz="4" w:space="0" w:color="auto"/>
              <w:right w:val="single" w:sz="4" w:space="0" w:color="auto"/>
            </w:tcBorders>
            <w:vAlign w:val="center"/>
            <w:hideMark/>
          </w:tcPr>
          <w:p w14:paraId="270610A2" w14:textId="0630C261" w:rsidR="00514745" w:rsidRPr="00AB6F27" w:rsidRDefault="003D1374" w:rsidP="00331041">
            <w:pPr>
              <w:keepNext/>
              <w:keepLines/>
              <w:jc w:val="center"/>
              <w:rPr>
                <w:rFonts w:ascii="Arial Narrow" w:hAnsi="Arial Narrow"/>
                <w:b/>
                <w:sz w:val="20"/>
                <w:szCs w:val="20"/>
              </w:rPr>
            </w:pPr>
            <w:r w:rsidRPr="00AB6F27">
              <w:rPr>
                <w:rFonts w:ascii="Arial Narrow" w:hAnsi="Arial Narrow"/>
                <w:b/>
                <w:sz w:val="20"/>
                <w:szCs w:val="20"/>
              </w:rPr>
              <w:t>mg</w:t>
            </w:r>
            <w:r w:rsidR="00514745" w:rsidRPr="00AB6F27">
              <w:rPr>
                <w:rFonts w:ascii="Arial Narrow" w:hAnsi="Arial Narrow"/>
                <w:b/>
                <w:sz w:val="20"/>
                <w:szCs w:val="20"/>
              </w:rPr>
              <w:t xml:space="preserve"> per infusion</w:t>
            </w:r>
          </w:p>
        </w:tc>
        <w:tc>
          <w:tcPr>
            <w:tcW w:w="713" w:type="pct"/>
            <w:tcBorders>
              <w:top w:val="single" w:sz="4" w:space="0" w:color="auto"/>
              <w:left w:val="nil"/>
              <w:bottom w:val="single" w:sz="4" w:space="0" w:color="auto"/>
              <w:right w:val="single" w:sz="4" w:space="0" w:color="auto"/>
            </w:tcBorders>
            <w:vAlign w:val="center"/>
            <w:hideMark/>
          </w:tcPr>
          <w:p w14:paraId="2EB8F124" w14:textId="77777777" w:rsidR="00514745" w:rsidRPr="00AB6F27" w:rsidRDefault="00514745" w:rsidP="00331041">
            <w:pPr>
              <w:keepNext/>
              <w:keepLines/>
              <w:jc w:val="center"/>
              <w:rPr>
                <w:rFonts w:ascii="Arial Narrow" w:hAnsi="Arial Narrow"/>
                <w:b/>
                <w:sz w:val="20"/>
                <w:szCs w:val="20"/>
              </w:rPr>
            </w:pPr>
            <w:r w:rsidRPr="00AB6F27">
              <w:rPr>
                <w:rFonts w:ascii="Arial Narrow" w:hAnsi="Arial Narrow"/>
                <w:b/>
                <w:sz w:val="20"/>
                <w:szCs w:val="20"/>
              </w:rPr>
              <w:t>Number of infusions</w:t>
            </w:r>
          </w:p>
        </w:tc>
        <w:tc>
          <w:tcPr>
            <w:tcW w:w="712" w:type="pct"/>
            <w:tcBorders>
              <w:top w:val="single" w:sz="4" w:space="0" w:color="auto"/>
              <w:left w:val="nil"/>
              <w:bottom w:val="single" w:sz="4" w:space="0" w:color="auto"/>
              <w:right w:val="single" w:sz="4" w:space="0" w:color="auto"/>
            </w:tcBorders>
          </w:tcPr>
          <w:p w14:paraId="51D13B51" w14:textId="0DC0F7ED" w:rsidR="00514745" w:rsidRPr="00AB6F27" w:rsidRDefault="00514745" w:rsidP="00331041">
            <w:pPr>
              <w:keepNext/>
              <w:keepLines/>
              <w:jc w:val="center"/>
              <w:rPr>
                <w:rFonts w:ascii="Arial Narrow" w:hAnsi="Arial Narrow"/>
                <w:b/>
                <w:sz w:val="20"/>
                <w:szCs w:val="20"/>
              </w:rPr>
            </w:pPr>
            <w:r w:rsidRPr="00AB6F27">
              <w:rPr>
                <w:rFonts w:ascii="Arial Narrow" w:hAnsi="Arial Narrow"/>
                <w:b/>
                <w:sz w:val="20"/>
                <w:szCs w:val="20"/>
              </w:rPr>
              <w:t xml:space="preserve">Total </w:t>
            </w:r>
            <w:r w:rsidR="003D1374" w:rsidRPr="00AB6F27">
              <w:rPr>
                <w:rFonts w:ascii="Arial Narrow" w:hAnsi="Arial Narrow"/>
                <w:b/>
                <w:sz w:val="20"/>
                <w:szCs w:val="20"/>
              </w:rPr>
              <w:t>mg</w:t>
            </w:r>
            <w:r w:rsidRPr="00AB6F27">
              <w:rPr>
                <w:rFonts w:ascii="Arial Narrow" w:hAnsi="Arial Narrow"/>
                <w:b/>
                <w:sz w:val="20"/>
                <w:szCs w:val="20"/>
              </w:rPr>
              <w:t xml:space="preserve"> </w:t>
            </w:r>
          </w:p>
        </w:tc>
        <w:tc>
          <w:tcPr>
            <w:tcW w:w="712" w:type="pct"/>
            <w:tcBorders>
              <w:top w:val="single" w:sz="4" w:space="0" w:color="auto"/>
              <w:left w:val="single" w:sz="4" w:space="0" w:color="auto"/>
              <w:bottom w:val="single" w:sz="4" w:space="0" w:color="auto"/>
              <w:right w:val="single" w:sz="4" w:space="0" w:color="auto"/>
            </w:tcBorders>
            <w:vAlign w:val="center"/>
            <w:hideMark/>
          </w:tcPr>
          <w:p w14:paraId="0807C733" w14:textId="500BE026" w:rsidR="00514745" w:rsidRPr="00AB6F27" w:rsidRDefault="003D1374" w:rsidP="00331041">
            <w:pPr>
              <w:keepNext/>
              <w:keepLines/>
              <w:jc w:val="center"/>
              <w:rPr>
                <w:rFonts w:ascii="Arial Narrow" w:hAnsi="Arial Narrow"/>
                <w:b/>
                <w:sz w:val="20"/>
                <w:szCs w:val="20"/>
              </w:rPr>
            </w:pPr>
            <w:r w:rsidRPr="00AB6F27">
              <w:rPr>
                <w:rFonts w:ascii="Arial Narrow" w:hAnsi="Arial Narrow"/>
                <w:b/>
                <w:sz w:val="20"/>
                <w:szCs w:val="20"/>
              </w:rPr>
              <w:t>mg</w:t>
            </w:r>
            <w:r w:rsidR="00514745" w:rsidRPr="00AB6F27">
              <w:rPr>
                <w:rFonts w:ascii="Arial Narrow" w:hAnsi="Arial Narrow"/>
                <w:b/>
                <w:sz w:val="20"/>
                <w:szCs w:val="20"/>
              </w:rPr>
              <w:t xml:space="preserve"> per infusion</w:t>
            </w:r>
          </w:p>
        </w:tc>
        <w:tc>
          <w:tcPr>
            <w:tcW w:w="713" w:type="pct"/>
            <w:tcBorders>
              <w:top w:val="single" w:sz="4" w:space="0" w:color="auto"/>
              <w:left w:val="nil"/>
              <w:bottom w:val="single" w:sz="4" w:space="0" w:color="auto"/>
              <w:right w:val="single" w:sz="4" w:space="0" w:color="auto"/>
            </w:tcBorders>
            <w:vAlign w:val="center"/>
            <w:hideMark/>
          </w:tcPr>
          <w:p w14:paraId="2D71B031" w14:textId="77777777" w:rsidR="00514745" w:rsidRPr="00AB6F27" w:rsidRDefault="00514745" w:rsidP="00331041">
            <w:pPr>
              <w:keepNext/>
              <w:keepLines/>
              <w:jc w:val="center"/>
              <w:rPr>
                <w:rFonts w:ascii="Arial Narrow" w:hAnsi="Arial Narrow"/>
                <w:b/>
                <w:sz w:val="20"/>
                <w:szCs w:val="20"/>
              </w:rPr>
            </w:pPr>
            <w:r w:rsidRPr="00AB6F27">
              <w:rPr>
                <w:rFonts w:ascii="Arial Narrow" w:hAnsi="Arial Narrow"/>
                <w:b/>
                <w:sz w:val="20"/>
                <w:szCs w:val="20"/>
              </w:rPr>
              <w:t>Number of infusions</w:t>
            </w:r>
          </w:p>
        </w:tc>
        <w:tc>
          <w:tcPr>
            <w:tcW w:w="711" w:type="pct"/>
            <w:tcBorders>
              <w:top w:val="single" w:sz="4" w:space="0" w:color="auto"/>
              <w:left w:val="nil"/>
              <w:bottom w:val="single" w:sz="4" w:space="0" w:color="auto"/>
              <w:right w:val="single" w:sz="4" w:space="0" w:color="auto"/>
            </w:tcBorders>
          </w:tcPr>
          <w:p w14:paraId="7A3573CD" w14:textId="2A6EE16D" w:rsidR="00514745" w:rsidRPr="00AB6F27" w:rsidRDefault="00514745" w:rsidP="00331041">
            <w:pPr>
              <w:keepNext/>
              <w:keepLines/>
              <w:jc w:val="center"/>
              <w:rPr>
                <w:rFonts w:ascii="Arial Narrow" w:hAnsi="Arial Narrow"/>
                <w:b/>
                <w:sz w:val="20"/>
                <w:szCs w:val="20"/>
              </w:rPr>
            </w:pPr>
            <w:r w:rsidRPr="00AB6F27">
              <w:rPr>
                <w:rFonts w:ascii="Arial Narrow" w:hAnsi="Arial Narrow"/>
                <w:b/>
                <w:sz w:val="20"/>
                <w:szCs w:val="20"/>
              </w:rPr>
              <w:t xml:space="preserve">Total </w:t>
            </w:r>
            <w:r w:rsidR="003D1374" w:rsidRPr="00AB6F27">
              <w:rPr>
                <w:rFonts w:ascii="Arial Narrow" w:hAnsi="Arial Narrow"/>
                <w:b/>
                <w:sz w:val="20"/>
                <w:szCs w:val="20"/>
              </w:rPr>
              <w:t>mg</w:t>
            </w:r>
          </w:p>
        </w:tc>
      </w:tr>
      <w:tr w:rsidR="00514745" w:rsidRPr="00AB6F27" w14:paraId="707A7531" w14:textId="6FA8831E" w:rsidTr="00514745">
        <w:trPr>
          <w:trHeight w:val="20"/>
        </w:trPr>
        <w:tc>
          <w:tcPr>
            <w:tcW w:w="728" w:type="pct"/>
            <w:tcBorders>
              <w:top w:val="nil"/>
              <w:left w:val="single" w:sz="4" w:space="0" w:color="auto"/>
              <w:bottom w:val="single" w:sz="4" w:space="0" w:color="auto"/>
              <w:right w:val="single" w:sz="4" w:space="0" w:color="auto"/>
            </w:tcBorders>
            <w:noWrap/>
            <w:vAlign w:val="center"/>
            <w:hideMark/>
          </w:tcPr>
          <w:p w14:paraId="5C8D126A" w14:textId="77777777" w:rsidR="00514745" w:rsidRPr="00AB6F27" w:rsidRDefault="00514745" w:rsidP="00331041">
            <w:pPr>
              <w:keepNext/>
              <w:keepLines/>
              <w:rPr>
                <w:rFonts w:ascii="Arial Narrow" w:hAnsi="Arial Narrow"/>
                <w:sz w:val="20"/>
                <w:szCs w:val="20"/>
              </w:rPr>
            </w:pPr>
            <w:r w:rsidRPr="00AB6F27">
              <w:rPr>
                <w:rFonts w:ascii="Arial Narrow" w:hAnsi="Arial Narrow"/>
                <w:sz w:val="20"/>
                <w:szCs w:val="20"/>
              </w:rPr>
              <w:t>Induction</w:t>
            </w:r>
          </w:p>
        </w:tc>
        <w:tc>
          <w:tcPr>
            <w:tcW w:w="711" w:type="pct"/>
            <w:tcBorders>
              <w:top w:val="nil"/>
              <w:left w:val="nil"/>
              <w:bottom w:val="single" w:sz="4" w:space="0" w:color="auto"/>
              <w:right w:val="single" w:sz="4" w:space="0" w:color="auto"/>
            </w:tcBorders>
            <w:noWrap/>
            <w:vAlign w:val="center"/>
            <w:hideMark/>
          </w:tcPr>
          <w:p w14:paraId="2B085662" w14:textId="77777777"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200</w:t>
            </w:r>
          </w:p>
        </w:tc>
        <w:tc>
          <w:tcPr>
            <w:tcW w:w="713" w:type="pct"/>
            <w:tcBorders>
              <w:top w:val="nil"/>
              <w:left w:val="nil"/>
              <w:bottom w:val="single" w:sz="4" w:space="0" w:color="auto"/>
              <w:right w:val="single" w:sz="4" w:space="0" w:color="auto"/>
            </w:tcBorders>
            <w:noWrap/>
            <w:vAlign w:val="center"/>
          </w:tcPr>
          <w:p w14:paraId="79E6BA53" w14:textId="77777777"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6.0</w:t>
            </w:r>
          </w:p>
        </w:tc>
        <w:tc>
          <w:tcPr>
            <w:tcW w:w="712" w:type="pct"/>
            <w:tcBorders>
              <w:top w:val="single" w:sz="4" w:space="0" w:color="auto"/>
              <w:left w:val="nil"/>
              <w:bottom w:val="single" w:sz="4" w:space="0" w:color="auto"/>
              <w:right w:val="single" w:sz="4" w:space="0" w:color="auto"/>
            </w:tcBorders>
          </w:tcPr>
          <w:p w14:paraId="67102469" w14:textId="013B3E97" w:rsidR="00514745" w:rsidRPr="00AB6F27" w:rsidRDefault="003D1374" w:rsidP="00331041">
            <w:pPr>
              <w:keepNext/>
              <w:keepLines/>
              <w:jc w:val="center"/>
              <w:rPr>
                <w:rFonts w:ascii="Arial Narrow" w:hAnsi="Arial Narrow"/>
                <w:sz w:val="20"/>
                <w:szCs w:val="20"/>
              </w:rPr>
            </w:pPr>
            <w:r w:rsidRPr="00AB6F27">
              <w:rPr>
                <w:rFonts w:ascii="Arial Narrow" w:hAnsi="Arial Narrow"/>
                <w:sz w:val="20"/>
                <w:szCs w:val="20"/>
              </w:rPr>
              <w:t>1,200</w:t>
            </w:r>
          </w:p>
        </w:tc>
        <w:tc>
          <w:tcPr>
            <w:tcW w:w="712" w:type="pct"/>
            <w:tcBorders>
              <w:top w:val="nil"/>
              <w:left w:val="single" w:sz="4" w:space="0" w:color="auto"/>
              <w:bottom w:val="single" w:sz="4" w:space="0" w:color="auto"/>
              <w:right w:val="single" w:sz="4" w:space="0" w:color="auto"/>
            </w:tcBorders>
            <w:noWrap/>
            <w:vAlign w:val="center"/>
            <w:hideMark/>
          </w:tcPr>
          <w:p w14:paraId="2387025B" w14:textId="62DD83A4"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500</w:t>
            </w:r>
          </w:p>
        </w:tc>
        <w:tc>
          <w:tcPr>
            <w:tcW w:w="713" w:type="pct"/>
            <w:tcBorders>
              <w:top w:val="nil"/>
              <w:left w:val="nil"/>
              <w:bottom w:val="single" w:sz="4" w:space="0" w:color="auto"/>
              <w:right w:val="single" w:sz="4" w:space="0" w:color="auto"/>
            </w:tcBorders>
            <w:noWrap/>
            <w:vAlign w:val="center"/>
            <w:hideMark/>
          </w:tcPr>
          <w:p w14:paraId="0D722ECF" w14:textId="77777777"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6.0</w:t>
            </w:r>
          </w:p>
        </w:tc>
        <w:tc>
          <w:tcPr>
            <w:tcW w:w="711" w:type="pct"/>
            <w:tcBorders>
              <w:top w:val="nil"/>
              <w:left w:val="nil"/>
              <w:bottom w:val="single" w:sz="4" w:space="0" w:color="auto"/>
              <w:right w:val="single" w:sz="4" w:space="0" w:color="auto"/>
            </w:tcBorders>
          </w:tcPr>
          <w:p w14:paraId="2EBB1BA6" w14:textId="077E1C45" w:rsidR="00514745" w:rsidRPr="00AB6F27" w:rsidRDefault="003D1374" w:rsidP="00331041">
            <w:pPr>
              <w:keepNext/>
              <w:keepLines/>
              <w:jc w:val="center"/>
              <w:rPr>
                <w:rFonts w:ascii="Arial Narrow" w:hAnsi="Arial Narrow"/>
                <w:sz w:val="20"/>
                <w:szCs w:val="20"/>
              </w:rPr>
            </w:pPr>
            <w:r w:rsidRPr="00AB6F27">
              <w:rPr>
                <w:rFonts w:ascii="Arial Narrow" w:hAnsi="Arial Narrow"/>
                <w:sz w:val="20"/>
                <w:szCs w:val="20"/>
              </w:rPr>
              <w:t>3,000</w:t>
            </w:r>
          </w:p>
        </w:tc>
      </w:tr>
      <w:tr w:rsidR="00514745" w:rsidRPr="00AB6F27" w14:paraId="58438BF2" w14:textId="5B206B9F" w:rsidTr="00514745">
        <w:trPr>
          <w:trHeight w:val="20"/>
        </w:trPr>
        <w:tc>
          <w:tcPr>
            <w:tcW w:w="728" w:type="pct"/>
            <w:tcBorders>
              <w:top w:val="nil"/>
              <w:left w:val="single" w:sz="4" w:space="0" w:color="auto"/>
              <w:bottom w:val="single" w:sz="4" w:space="0" w:color="auto"/>
              <w:right w:val="single" w:sz="4" w:space="0" w:color="auto"/>
            </w:tcBorders>
            <w:noWrap/>
            <w:vAlign w:val="center"/>
            <w:hideMark/>
          </w:tcPr>
          <w:p w14:paraId="24EEC945" w14:textId="77777777" w:rsidR="00514745" w:rsidRPr="00AB6F27" w:rsidRDefault="00514745" w:rsidP="00331041">
            <w:pPr>
              <w:keepNext/>
              <w:keepLines/>
              <w:rPr>
                <w:rFonts w:ascii="Arial Narrow" w:hAnsi="Arial Narrow"/>
                <w:sz w:val="20"/>
                <w:szCs w:val="20"/>
              </w:rPr>
            </w:pPr>
            <w:r w:rsidRPr="00AB6F27">
              <w:rPr>
                <w:rFonts w:ascii="Arial Narrow" w:hAnsi="Arial Narrow"/>
                <w:sz w:val="20"/>
                <w:szCs w:val="20"/>
              </w:rPr>
              <w:t>Maintenance</w:t>
            </w:r>
          </w:p>
        </w:tc>
        <w:tc>
          <w:tcPr>
            <w:tcW w:w="711" w:type="pct"/>
            <w:tcBorders>
              <w:top w:val="nil"/>
              <w:left w:val="nil"/>
              <w:bottom w:val="single" w:sz="4" w:space="0" w:color="auto"/>
              <w:right w:val="single" w:sz="4" w:space="0" w:color="auto"/>
            </w:tcBorders>
            <w:noWrap/>
            <w:vAlign w:val="center"/>
            <w:hideMark/>
          </w:tcPr>
          <w:p w14:paraId="77AC2844" w14:textId="77777777"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400</w:t>
            </w:r>
          </w:p>
        </w:tc>
        <w:tc>
          <w:tcPr>
            <w:tcW w:w="713" w:type="pct"/>
            <w:tcBorders>
              <w:top w:val="nil"/>
              <w:left w:val="nil"/>
              <w:bottom w:val="single" w:sz="4" w:space="0" w:color="auto"/>
              <w:right w:val="single" w:sz="4" w:space="0" w:color="auto"/>
            </w:tcBorders>
            <w:noWrap/>
            <w:vAlign w:val="center"/>
          </w:tcPr>
          <w:p w14:paraId="2291AE7E" w14:textId="77777777" w:rsidR="00514745" w:rsidRPr="00AB6F27" w:rsidRDefault="00514745" w:rsidP="00331041">
            <w:pPr>
              <w:keepNext/>
              <w:keepLines/>
              <w:jc w:val="center"/>
              <w:rPr>
                <w:rFonts w:ascii="Arial Narrow" w:hAnsi="Arial Narrow"/>
                <w:sz w:val="20"/>
                <w:szCs w:val="20"/>
                <w:vertAlign w:val="superscript"/>
              </w:rPr>
            </w:pPr>
            <w:r w:rsidRPr="00AB6F27">
              <w:rPr>
                <w:rFonts w:ascii="Arial Narrow" w:hAnsi="Arial Narrow"/>
                <w:sz w:val="20"/>
                <w:szCs w:val="20"/>
              </w:rPr>
              <w:t xml:space="preserve">5.70 </w:t>
            </w:r>
            <w:r w:rsidRPr="00AB6F27">
              <w:rPr>
                <w:rFonts w:ascii="Arial Narrow" w:hAnsi="Arial Narrow"/>
                <w:sz w:val="20"/>
                <w:szCs w:val="20"/>
                <w:vertAlign w:val="superscript"/>
              </w:rPr>
              <w:t>a</w:t>
            </w:r>
          </w:p>
        </w:tc>
        <w:tc>
          <w:tcPr>
            <w:tcW w:w="712" w:type="pct"/>
            <w:tcBorders>
              <w:top w:val="single" w:sz="4" w:space="0" w:color="auto"/>
              <w:left w:val="nil"/>
              <w:bottom w:val="single" w:sz="4" w:space="0" w:color="auto"/>
              <w:right w:val="single" w:sz="4" w:space="0" w:color="auto"/>
            </w:tcBorders>
          </w:tcPr>
          <w:p w14:paraId="66F2A332" w14:textId="2B46C6F8" w:rsidR="00514745" w:rsidRPr="00AB6F27" w:rsidRDefault="003D1374" w:rsidP="00331041">
            <w:pPr>
              <w:keepNext/>
              <w:keepLines/>
              <w:jc w:val="center"/>
              <w:rPr>
                <w:rFonts w:ascii="Arial Narrow" w:hAnsi="Arial Narrow"/>
                <w:sz w:val="20"/>
                <w:szCs w:val="20"/>
              </w:rPr>
            </w:pPr>
            <w:r w:rsidRPr="00AB6F27">
              <w:rPr>
                <w:rFonts w:ascii="Arial Narrow" w:hAnsi="Arial Narrow"/>
                <w:sz w:val="20"/>
                <w:szCs w:val="20"/>
              </w:rPr>
              <w:t>2,279</w:t>
            </w:r>
          </w:p>
        </w:tc>
        <w:tc>
          <w:tcPr>
            <w:tcW w:w="712" w:type="pct"/>
            <w:tcBorders>
              <w:top w:val="nil"/>
              <w:left w:val="single" w:sz="4" w:space="0" w:color="auto"/>
              <w:bottom w:val="single" w:sz="4" w:space="0" w:color="auto"/>
              <w:right w:val="single" w:sz="4" w:space="0" w:color="auto"/>
            </w:tcBorders>
            <w:noWrap/>
            <w:vAlign w:val="center"/>
            <w:hideMark/>
          </w:tcPr>
          <w:p w14:paraId="49DFDFEE" w14:textId="7151B751"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1000</w:t>
            </w:r>
          </w:p>
        </w:tc>
        <w:tc>
          <w:tcPr>
            <w:tcW w:w="713" w:type="pct"/>
            <w:tcBorders>
              <w:top w:val="nil"/>
              <w:left w:val="nil"/>
              <w:bottom w:val="single" w:sz="4" w:space="0" w:color="auto"/>
              <w:right w:val="single" w:sz="4" w:space="0" w:color="auto"/>
            </w:tcBorders>
            <w:noWrap/>
            <w:vAlign w:val="center"/>
            <w:hideMark/>
          </w:tcPr>
          <w:p w14:paraId="2C9E843B" w14:textId="77777777" w:rsidR="00514745" w:rsidRPr="00AB6F27" w:rsidRDefault="00514745" w:rsidP="00331041">
            <w:pPr>
              <w:keepNext/>
              <w:keepLines/>
              <w:jc w:val="center"/>
              <w:rPr>
                <w:rFonts w:ascii="Arial Narrow" w:hAnsi="Arial Narrow"/>
                <w:sz w:val="20"/>
                <w:szCs w:val="20"/>
                <w:vertAlign w:val="superscript"/>
              </w:rPr>
            </w:pPr>
            <w:r w:rsidRPr="00AB6F27">
              <w:rPr>
                <w:rFonts w:ascii="Arial Narrow" w:hAnsi="Arial Narrow"/>
                <w:sz w:val="20"/>
                <w:szCs w:val="20"/>
              </w:rPr>
              <w:t xml:space="preserve">5.70 </w:t>
            </w:r>
            <w:r w:rsidRPr="00AB6F27">
              <w:rPr>
                <w:rFonts w:ascii="Arial Narrow" w:hAnsi="Arial Narrow"/>
                <w:sz w:val="20"/>
                <w:szCs w:val="20"/>
                <w:vertAlign w:val="superscript"/>
              </w:rPr>
              <w:t>a</w:t>
            </w:r>
          </w:p>
        </w:tc>
        <w:tc>
          <w:tcPr>
            <w:tcW w:w="711" w:type="pct"/>
            <w:tcBorders>
              <w:top w:val="nil"/>
              <w:left w:val="nil"/>
              <w:bottom w:val="single" w:sz="4" w:space="0" w:color="auto"/>
              <w:right w:val="single" w:sz="4" w:space="0" w:color="auto"/>
            </w:tcBorders>
          </w:tcPr>
          <w:p w14:paraId="05CD9512" w14:textId="1FA67FEA" w:rsidR="00514745" w:rsidRPr="00AB6F27" w:rsidRDefault="003D1374" w:rsidP="00331041">
            <w:pPr>
              <w:keepNext/>
              <w:keepLines/>
              <w:jc w:val="center"/>
              <w:rPr>
                <w:rFonts w:ascii="Arial Narrow" w:hAnsi="Arial Narrow"/>
                <w:sz w:val="20"/>
                <w:szCs w:val="20"/>
              </w:rPr>
            </w:pPr>
            <w:r w:rsidRPr="00AB6F27">
              <w:rPr>
                <w:rFonts w:ascii="Arial Narrow" w:hAnsi="Arial Narrow"/>
                <w:sz w:val="20"/>
                <w:szCs w:val="20"/>
              </w:rPr>
              <w:t>5,696</w:t>
            </w:r>
          </w:p>
        </w:tc>
      </w:tr>
      <w:tr w:rsidR="00514745" w:rsidRPr="00AB6F27" w14:paraId="64AF57E0" w14:textId="3ADC9301" w:rsidTr="00514745">
        <w:trPr>
          <w:trHeight w:val="20"/>
        </w:trPr>
        <w:tc>
          <w:tcPr>
            <w:tcW w:w="728" w:type="pct"/>
            <w:tcBorders>
              <w:top w:val="nil"/>
              <w:left w:val="single" w:sz="4" w:space="0" w:color="auto"/>
              <w:bottom w:val="single" w:sz="4" w:space="0" w:color="auto"/>
              <w:right w:val="single" w:sz="4" w:space="0" w:color="auto"/>
            </w:tcBorders>
            <w:noWrap/>
            <w:vAlign w:val="center"/>
            <w:hideMark/>
          </w:tcPr>
          <w:p w14:paraId="325CABD1" w14:textId="77777777" w:rsidR="00514745" w:rsidRPr="00AB6F27" w:rsidRDefault="00514745" w:rsidP="00331041">
            <w:pPr>
              <w:keepNext/>
              <w:keepLines/>
              <w:rPr>
                <w:rFonts w:ascii="Arial Narrow" w:hAnsi="Arial Narrow"/>
                <w:sz w:val="20"/>
                <w:szCs w:val="20"/>
              </w:rPr>
            </w:pPr>
            <w:r w:rsidRPr="00AB6F27">
              <w:rPr>
                <w:rFonts w:ascii="Arial Narrow" w:hAnsi="Arial Narrow"/>
                <w:sz w:val="20"/>
                <w:szCs w:val="20"/>
              </w:rPr>
              <w:t>Total</w:t>
            </w:r>
          </w:p>
        </w:tc>
        <w:tc>
          <w:tcPr>
            <w:tcW w:w="711" w:type="pct"/>
            <w:tcBorders>
              <w:top w:val="nil"/>
              <w:left w:val="nil"/>
              <w:bottom w:val="single" w:sz="4" w:space="0" w:color="auto"/>
              <w:right w:val="single" w:sz="4" w:space="0" w:color="auto"/>
            </w:tcBorders>
            <w:noWrap/>
            <w:vAlign w:val="center"/>
            <w:hideMark/>
          </w:tcPr>
          <w:p w14:paraId="28382FCB" w14:textId="406039D2"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w:t>
            </w:r>
          </w:p>
        </w:tc>
        <w:tc>
          <w:tcPr>
            <w:tcW w:w="713" w:type="pct"/>
            <w:tcBorders>
              <w:top w:val="nil"/>
              <w:left w:val="nil"/>
              <w:bottom w:val="single" w:sz="4" w:space="0" w:color="auto"/>
              <w:right w:val="single" w:sz="4" w:space="0" w:color="auto"/>
            </w:tcBorders>
            <w:noWrap/>
            <w:vAlign w:val="center"/>
          </w:tcPr>
          <w:p w14:paraId="0E8E4170" w14:textId="77777777"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11.70</w:t>
            </w:r>
          </w:p>
        </w:tc>
        <w:tc>
          <w:tcPr>
            <w:tcW w:w="712" w:type="pct"/>
            <w:tcBorders>
              <w:top w:val="single" w:sz="4" w:space="0" w:color="auto"/>
              <w:left w:val="nil"/>
              <w:bottom w:val="single" w:sz="4" w:space="0" w:color="auto"/>
              <w:right w:val="single" w:sz="4" w:space="0" w:color="auto"/>
            </w:tcBorders>
          </w:tcPr>
          <w:p w14:paraId="0F56319E" w14:textId="15F88B46" w:rsidR="00514745" w:rsidRPr="00AB6F27" w:rsidDel="00780B1D" w:rsidRDefault="003D1374" w:rsidP="00331041">
            <w:pPr>
              <w:keepNext/>
              <w:keepLines/>
              <w:jc w:val="center"/>
              <w:rPr>
                <w:rFonts w:ascii="Arial Narrow" w:hAnsi="Arial Narrow"/>
                <w:sz w:val="20"/>
                <w:szCs w:val="20"/>
              </w:rPr>
            </w:pPr>
            <w:r w:rsidRPr="00AB6F27">
              <w:rPr>
                <w:rFonts w:ascii="Arial Narrow" w:hAnsi="Arial Narrow"/>
                <w:sz w:val="20"/>
                <w:szCs w:val="20"/>
              </w:rPr>
              <w:t>3,479</w:t>
            </w:r>
          </w:p>
        </w:tc>
        <w:tc>
          <w:tcPr>
            <w:tcW w:w="712" w:type="pct"/>
            <w:tcBorders>
              <w:top w:val="nil"/>
              <w:left w:val="single" w:sz="4" w:space="0" w:color="auto"/>
              <w:bottom w:val="single" w:sz="4" w:space="0" w:color="auto"/>
              <w:right w:val="single" w:sz="4" w:space="0" w:color="auto"/>
            </w:tcBorders>
            <w:noWrap/>
            <w:vAlign w:val="center"/>
            <w:hideMark/>
          </w:tcPr>
          <w:p w14:paraId="02710C21" w14:textId="62E71A8E"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w:t>
            </w:r>
          </w:p>
        </w:tc>
        <w:tc>
          <w:tcPr>
            <w:tcW w:w="713" w:type="pct"/>
            <w:tcBorders>
              <w:top w:val="nil"/>
              <w:left w:val="nil"/>
              <w:bottom w:val="single" w:sz="4" w:space="0" w:color="auto"/>
              <w:right w:val="single" w:sz="4" w:space="0" w:color="auto"/>
            </w:tcBorders>
            <w:noWrap/>
            <w:vAlign w:val="center"/>
            <w:hideMark/>
          </w:tcPr>
          <w:p w14:paraId="45EB086F" w14:textId="77777777" w:rsidR="00514745" w:rsidRPr="00AB6F27" w:rsidRDefault="00514745" w:rsidP="00331041">
            <w:pPr>
              <w:keepNext/>
              <w:keepLines/>
              <w:jc w:val="center"/>
              <w:rPr>
                <w:rFonts w:ascii="Arial Narrow" w:hAnsi="Arial Narrow"/>
                <w:sz w:val="20"/>
                <w:szCs w:val="20"/>
              </w:rPr>
            </w:pPr>
            <w:r w:rsidRPr="00AB6F27">
              <w:rPr>
                <w:rFonts w:ascii="Arial Narrow" w:hAnsi="Arial Narrow"/>
                <w:sz w:val="20"/>
                <w:szCs w:val="20"/>
              </w:rPr>
              <w:t>11.70</w:t>
            </w:r>
          </w:p>
        </w:tc>
        <w:tc>
          <w:tcPr>
            <w:tcW w:w="711" w:type="pct"/>
            <w:tcBorders>
              <w:top w:val="nil"/>
              <w:left w:val="nil"/>
              <w:bottom w:val="single" w:sz="4" w:space="0" w:color="auto"/>
              <w:right w:val="single" w:sz="4" w:space="0" w:color="auto"/>
            </w:tcBorders>
          </w:tcPr>
          <w:p w14:paraId="3B00616F" w14:textId="7035D2A1" w:rsidR="00514745" w:rsidRPr="00AB6F27" w:rsidRDefault="003D1374" w:rsidP="00331041">
            <w:pPr>
              <w:keepNext/>
              <w:keepLines/>
              <w:jc w:val="center"/>
              <w:rPr>
                <w:rFonts w:ascii="Arial Narrow" w:hAnsi="Arial Narrow"/>
                <w:sz w:val="20"/>
                <w:szCs w:val="20"/>
              </w:rPr>
            </w:pPr>
            <w:r w:rsidRPr="00AB6F27">
              <w:rPr>
                <w:rFonts w:ascii="Arial Narrow" w:hAnsi="Arial Narrow"/>
                <w:sz w:val="20"/>
                <w:szCs w:val="20"/>
              </w:rPr>
              <w:t>8,</w:t>
            </w:r>
            <w:r w:rsidR="00730BBE" w:rsidRPr="00AB6F27">
              <w:rPr>
                <w:rFonts w:ascii="Arial Narrow" w:hAnsi="Arial Narrow"/>
                <w:sz w:val="20"/>
                <w:szCs w:val="20"/>
              </w:rPr>
              <w:t>6</w:t>
            </w:r>
            <w:r w:rsidRPr="00AB6F27">
              <w:rPr>
                <w:rFonts w:ascii="Arial Narrow" w:hAnsi="Arial Narrow"/>
                <w:sz w:val="20"/>
                <w:szCs w:val="20"/>
              </w:rPr>
              <w:t>96</w:t>
            </w:r>
          </w:p>
        </w:tc>
      </w:tr>
    </w:tbl>
    <w:p w14:paraId="11565D19" w14:textId="009E9B74" w:rsidR="003D1374" w:rsidRPr="00AB6F27" w:rsidRDefault="00A3213F" w:rsidP="00331041">
      <w:pPr>
        <w:keepNext/>
        <w:keepLines/>
        <w:rPr>
          <w:rFonts w:ascii="Arial Narrow" w:hAnsi="Arial Narrow"/>
          <w:sz w:val="18"/>
          <w:szCs w:val="18"/>
        </w:rPr>
      </w:pPr>
      <w:r w:rsidRPr="00AB6F27">
        <w:rPr>
          <w:rFonts w:ascii="Arial Narrow" w:hAnsi="Arial Narrow"/>
          <w:sz w:val="18"/>
          <w:szCs w:val="18"/>
        </w:rPr>
        <w:t>Source: CMA excel workbook, Attachment 11 to the submission</w:t>
      </w:r>
    </w:p>
    <w:p w14:paraId="4C29D614" w14:textId="6360201F" w:rsidR="00A3213F" w:rsidRPr="00AB6F27" w:rsidRDefault="00A3213F" w:rsidP="00331041">
      <w:pPr>
        <w:keepNext/>
        <w:keepLines/>
        <w:rPr>
          <w:rFonts w:ascii="Arial Narrow" w:hAnsi="Arial Narrow"/>
          <w:sz w:val="18"/>
          <w:szCs w:val="18"/>
        </w:rPr>
      </w:pPr>
      <w:r w:rsidRPr="00AB6F27">
        <w:rPr>
          <w:rFonts w:ascii="Arial Narrow" w:hAnsi="Arial Narrow"/>
          <w:sz w:val="18"/>
          <w:szCs w:val="18"/>
          <w:vertAlign w:val="superscript"/>
        </w:rPr>
        <w:t xml:space="preserve">a </w:t>
      </w:r>
      <w:r w:rsidRPr="00AB6F27">
        <w:rPr>
          <w:rFonts w:ascii="Arial Narrow" w:hAnsi="Arial Narrow"/>
          <w:sz w:val="18"/>
          <w:szCs w:val="18"/>
        </w:rPr>
        <w:t xml:space="preserve">Calculated </w:t>
      </w:r>
      <w:r w:rsidR="003A7405" w:rsidRPr="00AB6F27">
        <w:rPr>
          <w:rFonts w:ascii="Arial Narrow" w:hAnsi="Arial Narrow"/>
          <w:sz w:val="18"/>
          <w:szCs w:val="18"/>
        </w:rPr>
        <w:t xml:space="preserve">by the submission </w:t>
      </w:r>
      <w:r w:rsidRPr="00AB6F27">
        <w:rPr>
          <w:rFonts w:ascii="Arial Narrow" w:hAnsi="Arial Narrow"/>
          <w:sz w:val="18"/>
          <w:szCs w:val="18"/>
        </w:rPr>
        <w:t xml:space="preserve">as 1 year minus 18 weeks (6.0 Q3W cycles), divided by the 42 day (Q6W) dosing frequency for maintenance. </w:t>
      </w:r>
      <w:r w:rsidR="003A7405" w:rsidRPr="00AB6F27">
        <w:rPr>
          <w:rFonts w:ascii="Arial Narrow" w:hAnsi="Arial Narrow"/>
          <w:sz w:val="18"/>
          <w:szCs w:val="18"/>
        </w:rPr>
        <w:t>Equi-effective doses would usually be calculated based on the actual number of doses received i.e. a dose at Week 18, 24, 30, 36, 42 and 48 for a total of six doses.</w:t>
      </w:r>
    </w:p>
    <w:p w14:paraId="248C30B9" w14:textId="77777777" w:rsidR="00A3213F" w:rsidRPr="00AB6F27" w:rsidRDefault="00A3213F" w:rsidP="00A3213F"/>
    <w:p w14:paraId="27880259" w14:textId="4FF8E80A" w:rsidR="00A3213F" w:rsidRPr="00AB6F27" w:rsidRDefault="00A3213F" w:rsidP="00A3213F">
      <w:pPr>
        <w:pStyle w:val="3-BodyText"/>
      </w:pPr>
      <w:r w:rsidRPr="00AB6F27">
        <w:t xml:space="preserve">The CMA incorporated </w:t>
      </w:r>
      <w:r w:rsidR="00B44BB4" w:rsidRPr="00AB6F27">
        <w:t>intravenous (</w:t>
      </w:r>
      <w:r w:rsidRPr="00AB6F27">
        <w:t>IV</w:t>
      </w:r>
      <w:r w:rsidR="00B44BB4" w:rsidRPr="00AB6F27">
        <w:t>)</w:t>
      </w:r>
      <w:r w:rsidRPr="00AB6F27">
        <w:t xml:space="preserve"> administration costs. The MBS fee for the administration of IV chemotherapy (MBS item code 13950, $123.05) was used. </w:t>
      </w:r>
    </w:p>
    <w:p w14:paraId="7DF3505F" w14:textId="4FAAD2CF" w:rsidR="00A3213F" w:rsidRPr="00AB6F27" w:rsidRDefault="00A3213F" w:rsidP="00A3213F">
      <w:pPr>
        <w:pStyle w:val="3-BodyText"/>
      </w:pPr>
      <w:r w:rsidRPr="00AB6F27">
        <w:t xml:space="preserve">The </w:t>
      </w:r>
      <w:r w:rsidR="00437BAB">
        <w:t>dostarlimab</w:t>
      </w:r>
      <w:r w:rsidRPr="00AB6F27">
        <w:t xml:space="preserve"> costs were</w:t>
      </w:r>
      <w:r w:rsidR="007B5E49">
        <w:t xml:space="preserve"> b</w:t>
      </w:r>
      <w:r w:rsidRPr="00AB6F27">
        <w:t>ased on the published ex</w:t>
      </w:r>
      <w:r w:rsidR="00CA0EA1">
        <w:t>-</w:t>
      </w:r>
      <w:r w:rsidRPr="00AB6F27">
        <w:t xml:space="preserve">manufacturer prices </w:t>
      </w:r>
    </w:p>
    <w:p w14:paraId="7A5F35DC" w14:textId="2880AB54" w:rsidR="00A3213F" w:rsidRPr="00AB6F27" w:rsidRDefault="00A3213F" w:rsidP="00A3213F">
      <w:pPr>
        <w:pStyle w:val="3-BodyText"/>
      </w:pPr>
      <w:r w:rsidRPr="00AB6F27">
        <w:t xml:space="preserve">The submission calculated the total </w:t>
      </w:r>
      <w:r w:rsidR="007B5E49">
        <w:t>annual</w:t>
      </w:r>
      <w:r w:rsidR="007B5E49" w:rsidRPr="00AB6F27">
        <w:t xml:space="preserve"> </w:t>
      </w:r>
      <w:r w:rsidRPr="00AB6F27">
        <w:t xml:space="preserve">cost of </w:t>
      </w:r>
      <w:r w:rsidR="00437BAB">
        <w:t>dostarlimab</w:t>
      </w:r>
      <w:r w:rsidRPr="00AB6F27">
        <w:t xml:space="preserve"> by summing the initiation phase and maintenance phase of treatment, then the annual cost was used to calculate the cost-minimised price of </w:t>
      </w:r>
      <w:r w:rsidR="00BF1B0D">
        <w:t>pembrolizumab</w:t>
      </w:r>
      <w:r w:rsidRPr="00AB6F27">
        <w:t xml:space="preserve">, as shown in </w:t>
      </w:r>
      <w:r w:rsidRPr="00AB6F27">
        <w:fldChar w:fldCharType="begin"/>
      </w:r>
      <w:r w:rsidRPr="00AB6F27">
        <w:instrText xml:space="preserve"> REF _Ref196317767 \h </w:instrText>
      </w:r>
      <w:r w:rsidR="00E92060" w:rsidRPr="00AB6F27">
        <w:instrText xml:space="preserve"> \* MERGEFORMAT </w:instrText>
      </w:r>
      <w:r w:rsidRPr="00AB6F27">
        <w:fldChar w:fldCharType="separate"/>
      </w:r>
      <w:r w:rsidR="003359D3" w:rsidRPr="003359D3">
        <w:t>Table 16</w:t>
      </w:r>
      <w:r w:rsidRPr="00AB6F27">
        <w:fldChar w:fldCharType="end"/>
      </w:r>
      <w:r w:rsidRPr="00AB6F27">
        <w:t xml:space="preserve">. </w:t>
      </w:r>
    </w:p>
    <w:p w14:paraId="31A221BF" w14:textId="5D85E6F9" w:rsidR="00A3213F" w:rsidRPr="00AB6F27" w:rsidRDefault="00A3213F" w:rsidP="00A3213F">
      <w:pPr>
        <w:keepNext/>
        <w:rPr>
          <w:rFonts w:ascii="Arial Narrow" w:hAnsi="Arial Narrow"/>
          <w:b/>
          <w:bCs/>
          <w:sz w:val="20"/>
          <w:szCs w:val="20"/>
        </w:rPr>
      </w:pPr>
      <w:bookmarkStart w:id="69" w:name="_Ref196317767"/>
      <w:r w:rsidRPr="00AB6F27">
        <w:rPr>
          <w:rFonts w:ascii="Arial Narrow" w:hAnsi="Arial Narrow"/>
          <w:b/>
          <w:bCs/>
          <w:sz w:val="20"/>
          <w:szCs w:val="20"/>
        </w:rPr>
        <w:lastRenderedPageBreak/>
        <w:t xml:space="preserve">Table </w:t>
      </w:r>
      <w:r w:rsidRPr="00AB6F27">
        <w:rPr>
          <w:rFonts w:ascii="Arial Narrow" w:hAnsi="Arial Narrow"/>
          <w:b/>
          <w:bCs/>
          <w:sz w:val="20"/>
          <w:szCs w:val="20"/>
        </w:rPr>
        <w:fldChar w:fldCharType="begin"/>
      </w:r>
      <w:r w:rsidRPr="00AB6F27">
        <w:rPr>
          <w:rFonts w:ascii="Arial Narrow" w:hAnsi="Arial Narrow"/>
          <w:b/>
          <w:bCs/>
          <w:sz w:val="20"/>
          <w:szCs w:val="20"/>
        </w:rPr>
        <w:instrText xml:space="preserve"> SEQ Table \* ARABIC </w:instrText>
      </w:r>
      <w:r w:rsidRPr="00AB6F27">
        <w:rPr>
          <w:rFonts w:ascii="Arial Narrow" w:hAnsi="Arial Narrow"/>
          <w:b/>
          <w:bCs/>
          <w:sz w:val="20"/>
          <w:szCs w:val="20"/>
        </w:rPr>
        <w:fldChar w:fldCharType="separate"/>
      </w:r>
      <w:r w:rsidR="003359D3">
        <w:rPr>
          <w:rFonts w:ascii="Arial Narrow" w:hAnsi="Arial Narrow"/>
          <w:b/>
          <w:bCs/>
          <w:noProof/>
          <w:sz w:val="20"/>
          <w:szCs w:val="20"/>
        </w:rPr>
        <w:t>16</w:t>
      </w:r>
      <w:r w:rsidRPr="00AB6F27">
        <w:rPr>
          <w:rFonts w:ascii="Arial Narrow" w:hAnsi="Arial Narrow"/>
          <w:b/>
          <w:bCs/>
          <w:sz w:val="20"/>
          <w:szCs w:val="20"/>
        </w:rPr>
        <w:fldChar w:fldCharType="end"/>
      </w:r>
      <w:bookmarkEnd w:id="69"/>
      <w:r w:rsidRPr="00AB6F27">
        <w:rPr>
          <w:rFonts w:ascii="Arial Narrow" w:hAnsi="Arial Narrow"/>
          <w:b/>
          <w:bCs/>
          <w:sz w:val="20"/>
          <w:szCs w:val="20"/>
        </w:rPr>
        <w:t xml:space="preserve">: </w:t>
      </w:r>
      <w:bookmarkStart w:id="70" w:name="_Hlk196317703"/>
      <w:r w:rsidRPr="00AB6F27">
        <w:rPr>
          <w:rFonts w:ascii="Arial Narrow" w:hAnsi="Arial Narrow"/>
          <w:b/>
          <w:bCs/>
          <w:sz w:val="20"/>
          <w:szCs w:val="20"/>
        </w:rPr>
        <w:t xml:space="preserve">Cost-minimisation approach for </w:t>
      </w:r>
      <w:r w:rsidR="00BF1B0D">
        <w:rPr>
          <w:rFonts w:ascii="Arial Narrow" w:hAnsi="Arial Narrow"/>
          <w:b/>
          <w:bCs/>
          <w:sz w:val="20"/>
          <w:szCs w:val="20"/>
        </w:rPr>
        <w:t>pembrolizumab</w:t>
      </w:r>
      <w:r w:rsidRPr="00AB6F27">
        <w:rPr>
          <w:rFonts w:ascii="Arial Narrow" w:hAnsi="Arial Narrow"/>
          <w:b/>
          <w:bCs/>
          <w:sz w:val="20"/>
          <w:szCs w:val="20"/>
        </w:rPr>
        <w:t xml:space="preserve"> to </w:t>
      </w:r>
      <w:r w:rsidR="00437BAB">
        <w:rPr>
          <w:rFonts w:ascii="Arial Narrow" w:hAnsi="Arial Narrow"/>
          <w:b/>
          <w:bCs/>
          <w:sz w:val="20"/>
          <w:szCs w:val="20"/>
        </w:rPr>
        <w:t>dostarlimab</w:t>
      </w:r>
      <w:r w:rsidRPr="00AB6F27">
        <w:rPr>
          <w:rFonts w:ascii="Arial Narrow" w:hAnsi="Arial Narrow"/>
          <w:b/>
          <w:bCs/>
          <w:sz w:val="20"/>
          <w:szCs w:val="20"/>
        </w:rPr>
        <w:t xml:space="preserve"> (Total 52 week of treatment)</w:t>
      </w:r>
      <w:bookmarkEnd w:id="70"/>
      <w:r w:rsidR="00AE1228" w:rsidRPr="00AB6F27">
        <w:rPr>
          <w:rFonts w:ascii="Arial Narrow" w:hAnsi="Arial Narrow"/>
          <w:b/>
          <w:bCs/>
          <w:sz w:val="20"/>
          <w:szCs w:val="20"/>
        </w:rPr>
        <w:t xml:space="preserve"> </w:t>
      </w:r>
      <w:r w:rsidR="001E606B" w:rsidRPr="00AB6F27">
        <w:rPr>
          <w:rFonts w:ascii="Arial Narrow" w:hAnsi="Arial Narrow"/>
          <w:b/>
          <w:bCs/>
          <w:sz w:val="20"/>
          <w:szCs w:val="20"/>
        </w:rPr>
        <w:t xml:space="preserve">- </w:t>
      </w:r>
      <w:r w:rsidR="00AE1228" w:rsidRPr="00AB6F27">
        <w:rPr>
          <w:rFonts w:ascii="Arial Narrow" w:hAnsi="Arial Narrow"/>
          <w:b/>
          <w:bCs/>
          <w:sz w:val="20"/>
          <w:szCs w:val="20"/>
        </w:rPr>
        <w:t>dMMR</w:t>
      </w:r>
    </w:p>
    <w:tbl>
      <w:tblPr>
        <w:tblStyle w:val="TableGrid"/>
        <w:tblW w:w="0" w:type="auto"/>
        <w:tblLook w:val="04A0" w:firstRow="1" w:lastRow="0" w:firstColumn="1" w:lastColumn="0" w:noHBand="0" w:noVBand="1"/>
        <w:tblCaption w:val="Table 16: Cost-minimisation approach for pembrolizumab to dostarlimab (Total 52 week of treatment) - dMMR"/>
      </w:tblPr>
      <w:tblGrid>
        <w:gridCol w:w="572"/>
        <w:gridCol w:w="4038"/>
        <w:gridCol w:w="1339"/>
        <w:gridCol w:w="1939"/>
        <w:gridCol w:w="1129"/>
      </w:tblGrid>
      <w:tr w:rsidR="00A3213F" w:rsidRPr="00AB6F27" w14:paraId="30408410" w14:textId="77777777" w:rsidTr="000010B3">
        <w:tc>
          <w:tcPr>
            <w:tcW w:w="0" w:type="auto"/>
          </w:tcPr>
          <w:p w14:paraId="33F57AB9" w14:textId="77777777" w:rsidR="00A3213F" w:rsidRPr="00AB6F27" w:rsidRDefault="00A3213F" w:rsidP="007B5E49">
            <w:pPr>
              <w:keepNext/>
              <w:rPr>
                <w:rFonts w:ascii="Arial Narrow" w:hAnsi="Arial Narrow"/>
                <w:b/>
                <w:sz w:val="20"/>
                <w:szCs w:val="20"/>
              </w:rPr>
            </w:pPr>
            <w:r w:rsidRPr="00AB6F27">
              <w:rPr>
                <w:rFonts w:ascii="Arial Narrow" w:hAnsi="Arial Narrow"/>
                <w:b/>
                <w:sz w:val="20"/>
                <w:szCs w:val="20"/>
              </w:rPr>
              <w:t>Step</w:t>
            </w:r>
          </w:p>
        </w:tc>
        <w:tc>
          <w:tcPr>
            <w:tcW w:w="0" w:type="auto"/>
          </w:tcPr>
          <w:p w14:paraId="6B71D8FB" w14:textId="77777777" w:rsidR="00A3213F" w:rsidRPr="00AB6F27" w:rsidRDefault="00A3213F" w:rsidP="007B5E49">
            <w:pPr>
              <w:keepNext/>
              <w:rPr>
                <w:rFonts w:ascii="Arial Narrow" w:hAnsi="Arial Narrow"/>
                <w:b/>
                <w:sz w:val="20"/>
                <w:szCs w:val="20"/>
              </w:rPr>
            </w:pPr>
            <w:r w:rsidRPr="00AB6F27">
              <w:rPr>
                <w:rFonts w:ascii="Arial Narrow" w:hAnsi="Arial Narrow"/>
                <w:b/>
                <w:sz w:val="20"/>
                <w:szCs w:val="20"/>
              </w:rPr>
              <w:t>Description</w:t>
            </w:r>
          </w:p>
        </w:tc>
        <w:tc>
          <w:tcPr>
            <w:tcW w:w="1339" w:type="dxa"/>
            <w:vAlign w:val="center"/>
          </w:tcPr>
          <w:p w14:paraId="099E03DB"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Calculation</w:t>
            </w:r>
          </w:p>
        </w:tc>
        <w:tc>
          <w:tcPr>
            <w:tcW w:w="3068" w:type="dxa"/>
            <w:gridSpan w:val="2"/>
            <w:vAlign w:val="center"/>
          </w:tcPr>
          <w:p w14:paraId="0E06A6FA" w14:textId="77777777" w:rsidR="00A3213F" w:rsidRPr="00AB6F27" w:rsidRDefault="00A3213F" w:rsidP="007B5E49">
            <w:pPr>
              <w:keepNext/>
              <w:jc w:val="center"/>
              <w:rPr>
                <w:rFonts w:ascii="Arial Narrow" w:hAnsi="Arial Narrow"/>
                <w:b/>
                <w:sz w:val="20"/>
                <w:szCs w:val="20"/>
              </w:rPr>
            </w:pPr>
            <w:r w:rsidRPr="00AB6F27">
              <w:rPr>
                <w:rFonts w:ascii="Arial Narrow" w:hAnsi="Arial Narrow"/>
                <w:b/>
                <w:sz w:val="20"/>
                <w:szCs w:val="20"/>
              </w:rPr>
              <w:t>Result</w:t>
            </w:r>
          </w:p>
        </w:tc>
      </w:tr>
      <w:tr w:rsidR="00A3213F" w:rsidRPr="00AB6F27" w14:paraId="2F260D62" w14:textId="77777777" w:rsidTr="000010B3">
        <w:tc>
          <w:tcPr>
            <w:tcW w:w="0" w:type="auto"/>
            <w:gridSpan w:val="5"/>
          </w:tcPr>
          <w:p w14:paraId="361718FA"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Initiation Phase</w:t>
            </w:r>
          </w:p>
        </w:tc>
      </w:tr>
      <w:tr w:rsidR="00A3213F" w:rsidRPr="00AB6F27" w14:paraId="0EF68C92" w14:textId="77777777" w:rsidTr="000010B3">
        <w:tc>
          <w:tcPr>
            <w:tcW w:w="0" w:type="auto"/>
          </w:tcPr>
          <w:p w14:paraId="61DC24EB"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A</w:t>
            </w:r>
          </w:p>
        </w:tc>
        <w:tc>
          <w:tcPr>
            <w:tcW w:w="0" w:type="auto"/>
          </w:tcPr>
          <w:p w14:paraId="55812DAD"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Published AEMP 500 mg Q3W</w:t>
            </w:r>
          </w:p>
        </w:tc>
        <w:tc>
          <w:tcPr>
            <w:tcW w:w="1339" w:type="dxa"/>
          </w:tcPr>
          <w:p w14:paraId="57C22BA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w:t>
            </w:r>
          </w:p>
        </w:tc>
        <w:tc>
          <w:tcPr>
            <w:tcW w:w="3068" w:type="dxa"/>
            <w:gridSpan w:val="2"/>
          </w:tcPr>
          <w:p w14:paraId="4F125FE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$7,647.50</w:t>
            </w:r>
          </w:p>
        </w:tc>
      </w:tr>
      <w:tr w:rsidR="00A3213F" w:rsidRPr="00AB6F27" w14:paraId="66702A8A" w14:textId="77777777" w:rsidTr="000010B3">
        <w:tc>
          <w:tcPr>
            <w:tcW w:w="0" w:type="auto"/>
          </w:tcPr>
          <w:p w14:paraId="237B7A7B"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B</w:t>
            </w:r>
          </w:p>
        </w:tc>
        <w:tc>
          <w:tcPr>
            <w:tcW w:w="0" w:type="auto"/>
          </w:tcPr>
          <w:p w14:paraId="5316986C"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 xml:space="preserve">Cost of dostarlimab for 6 cycles </w:t>
            </w:r>
          </w:p>
        </w:tc>
        <w:tc>
          <w:tcPr>
            <w:tcW w:w="1339" w:type="dxa"/>
          </w:tcPr>
          <w:p w14:paraId="24E25BFA"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A*6 (Q3W)</w:t>
            </w:r>
          </w:p>
        </w:tc>
        <w:tc>
          <w:tcPr>
            <w:tcW w:w="3068" w:type="dxa"/>
            <w:gridSpan w:val="2"/>
          </w:tcPr>
          <w:p w14:paraId="1AEF3926"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$45,885.00</w:t>
            </w:r>
          </w:p>
        </w:tc>
      </w:tr>
      <w:tr w:rsidR="00A3213F" w:rsidRPr="00AB6F27" w14:paraId="669CB423" w14:textId="77777777" w:rsidTr="000010B3">
        <w:tc>
          <w:tcPr>
            <w:tcW w:w="0" w:type="auto"/>
          </w:tcPr>
          <w:p w14:paraId="781CD1C3"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C</w:t>
            </w:r>
          </w:p>
        </w:tc>
        <w:tc>
          <w:tcPr>
            <w:tcW w:w="0" w:type="auto"/>
          </w:tcPr>
          <w:p w14:paraId="04A819AF"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dostarlimab administration for 6 cycles</w:t>
            </w:r>
          </w:p>
        </w:tc>
        <w:tc>
          <w:tcPr>
            <w:tcW w:w="1339" w:type="dxa"/>
          </w:tcPr>
          <w:p w14:paraId="3FEDFB2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$123.05 </w:t>
            </w:r>
            <w:r w:rsidRPr="00AB6F27">
              <w:rPr>
                <w:rFonts w:ascii="Arial Narrow" w:hAnsi="Arial Narrow"/>
                <w:sz w:val="20"/>
                <w:szCs w:val="20"/>
                <w:vertAlign w:val="superscript"/>
              </w:rPr>
              <w:t>a</w:t>
            </w:r>
            <w:r w:rsidRPr="00AB6F27">
              <w:rPr>
                <w:rFonts w:ascii="Arial Narrow" w:hAnsi="Arial Narrow"/>
                <w:sz w:val="20"/>
                <w:szCs w:val="20"/>
              </w:rPr>
              <w:t xml:space="preserve"> * 6</w:t>
            </w:r>
          </w:p>
        </w:tc>
        <w:tc>
          <w:tcPr>
            <w:tcW w:w="3068" w:type="dxa"/>
            <w:gridSpan w:val="2"/>
          </w:tcPr>
          <w:p w14:paraId="27C90A4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$738.30</w:t>
            </w:r>
          </w:p>
        </w:tc>
      </w:tr>
      <w:tr w:rsidR="00A3213F" w:rsidRPr="00AB6F27" w14:paraId="2CF6368D" w14:textId="77777777" w:rsidTr="000010B3">
        <w:tc>
          <w:tcPr>
            <w:tcW w:w="0" w:type="auto"/>
          </w:tcPr>
          <w:p w14:paraId="24B79B34"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D</w:t>
            </w:r>
          </w:p>
        </w:tc>
        <w:tc>
          <w:tcPr>
            <w:tcW w:w="0" w:type="auto"/>
          </w:tcPr>
          <w:p w14:paraId="32C9D05D" w14:textId="13A2EC4F" w:rsidR="00A3213F" w:rsidRPr="00AB6F27" w:rsidRDefault="00A3213F" w:rsidP="007B5E49">
            <w:pPr>
              <w:keepNext/>
              <w:rPr>
                <w:rFonts w:ascii="Arial Narrow" w:hAnsi="Arial Narrow"/>
                <w:sz w:val="20"/>
                <w:szCs w:val="20"/>
              </w:rPr>
            </w:pPr>
            <w:r w:rsidRPr="00AB6F27">
              <w:rPr>
                <w:rFonts w:ascii="Arial Narrow" w:hAnsi="Arial Narrow"/>
                <w:sz w:val="20"/>
                <w:szCs w:val="20"/>
              </w:rPr>
              <w:t xml:space="preserve">Total cost of </w:t>
            </w:r>
            <w:r w:rsidR="00437BAB">
              <w:rPr>
                <w:rFonts w:ascii="Arial Narrow" w:hAnsi="Arial Narrow"/>
                <w:sz w:val="20"/>
                <w:szCs w:val="20"/>
              </w:rPr>
              <w:t>dostarlimab</w:t>
            </w:r>
            <w:r w:rsidRPr="00AB6F27">
              <w:rPr>
                <w:rFonts w:ascii="Arial Narrow" w:hAnsi="Arial Narrow"/>
                <w:sz w:val="20"/>
                <w:szCs w:val="20"/>
              </w:rPr>
              <w:t xml:space="preserve"> for initiation phase (18 weeks)</w:t>
            </w:r>
          </w:p>
        </w:tc>
        <w:tc>
          <w:tcPr>
            <w:tcW w:w="1339" w:type="dxa"/>
          </w:tcPr>
          <w:p w14:paraId="034B5BA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B + C</w:t>
            </w:r>
          </w:p>
        </w:tc>
        <w:tc>
          <w:tcPr>
            <w:tcW w:w="3068" w:type="dxa"/>
            <w:gridSpan w:val="2"/>
          </w:tcPr>
          <w:p w14:paraId="7D07BD4D"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$46,623.30</w:t>
            </w:r>
          </w:p>
        </w:tc>
      </w:tr>
      <w:tr w:rsidR="00A3213F" w:rsidRPr="00AB6F27" w14:paraId="5C53E974" w14:textId="77777777" w:rsidTr="000010B3">
        <w:tc>
          <w:tcPr>
            <w:tcW w:w="0" w:type="auto"/>
            <w:gridSpan w:val="5"/>
          </w:tcPr>
          <w:p w14:paraId="7C978846"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Maintenance Phase</w:t>
            </w:r>
          </w:p>
        </w:tc>
      </w:tr>
      <w:tr w:rsidR="00A3213F" w:rsidRPr="00AB6F27" w14:paraId="236786F3" w14:textId="77777777" w:rsidTr="000010B3">
        <w:tc>
          <w:tcPr>
            <w:tcW w:w="0" w:type="auto"/>
          </w:tcPr>
          <w:p w14:paraId="1A2FE315"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E</w:t>
            </w:r>
          </w:p>
        </w:tc>
        <w:tc>
          <w:tcPr>
            <w:tcW w:w="0" w:type="auto"/>
            <w:tcBorders>
              <w:top w:val="single" w:sz="4" w:space="0" w:color="auto"/>
            </w:tcBorders>
          </w:tcPr>
          <w:p w14:paraId="3A274B3C"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Published AEMP 1000 mg Q6W</w:t>
            </w:r>
          </w:p>
        </w:tc>
        <w:tc>
          <w:tcPr>
            <w:tcW w:w="1339" w:type="dxa"/>
            <w:tcBorders>
              <w:top w:val="single" w:sz="4" w:space="0" w:color="auto"/>
            </w:tcBorders>
          </w:tcPr>
          <w:p w14:paraId="107E15E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$7647.50 * 2</w:t>
            </w:r>
          </w:p>
        </w:tc>
        <w:tc>
          <w:tcPr>
            <w:tcW w:w="3068" w:type="dxa"/>
            <w:gridSpan w:val="2"/>
            <w:tcBorders>
              <w:top w:val="single" w:sz="4" w:space="0" w:color="auto"/>
              <w:bottom w:val="single" w:sz="4" w:space="0" w:color="auto"/>
            </w:tcBorders>
          </w:tcPr>
          <w:p w14:paraId="501A7E2E"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$15,295</w:t>
            </w:r>
          </w:p>
        </w:tc>
      </w:tr>
      <w:tr w:rsidR="00A3213F" w:rsidRPr="00AB6F27" w14:paraId="1B27948C" w14:textId="77777777" w:rsidTr="000010B3">
        <w:tc>
          <w:tcPr>
            <w:tcW w:w="0" w:type="auto"/>
          </w:tcPr>
          <w:p w14:paraId="55B0E2C1"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F</w:t>
            </w:r>
          </w:p>
        </w:tc>
        <w:tc>
          <w:tcPr>
            <w:tcW w:w="0" w:type="auto"/>
          </w:tcPr>
          <w:p w14:paraId="7DF7F514"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 xml:space="preserve">Cost of dostarlimab supply for 5.7 </w:t>
            </w:r>
            <w:r w:rsidRPr="00AB6F27">
              <w:rPr>
                <w:rFonts w:ascii="Arial Narrow" w:hAnsi="Arial Narrow"/>
                <w:sz w:val="20"/>
                <w:szCs w:val="20"/>
                <w:vertAlign w:val="superscript"/>
              </w:rPr>
              <w:t>b</w:t>
            </w:r>
            <w:r w:rsidRPr="00AB6F27">
              <w:rPr>
                <w:rFonts w:ascii="Arial Narrow" w:hAnsi="Arial Narrow"/>
                <w:sz w:val="20"/>
                <w:szCs w:val="20"/>
              </w:rPr>
              <w:t xml:space="preserve"> cycles </w:t>
            </w:r>
          </w:p>
        </w:tc>
        <w:tc>
          <w:tcPr>
            <w:tcW w:w="1339" w:type="dxa"/>
          </w:tcPr>
          <w:p w14:paraId="2C8200D8"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E * 5.7 (Q6W)</w:t>
            </w:r>
          </w:p>
        </w:tc>
        <w:tc>
          <w:tcPr>
            <w:tcW w:w="3068" w:type="dxa"/>
            <w:gridSpan w:val="2"/>
            <w:tcBorders>
              <w:top w:val="single" w:sz="4" w:space="0" w:color="auto"/>
              <w:bottom w:val="single" w:sz="4" w:space="0" w:color="auto"/>
            </w:tcBorders>
          </w:tcPr>
          <w:p w14:paraId="12672C9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$87,126.88</w:t>
            </w:r>
          </w:p>
        </w:tc>
      </w:tr>
      <w:tr w:rsidR="00A3213F" w:rsidRPr="00AB6F27" w14:paraId="0A107FBD" w14:textId="77777777" w:rsidTr="000010B3">
        <w:tc>
          <w:tcPr>
            <w:tcW w:w="0" w:type="auto"/>
          </w:tcPr>
          <w:p w14:paraId="587A8EF5"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G</w:t>
            </w:r>
          </w:p>
        </w:tc>
        <w:tc>
          <w:tcPr>
            <w:tcW w:w="0" w:type="auto"/>
          </w:tcPr>
          <w:p w14:paraId="70CB2D82"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 xml:space="preserve">Cost of dostarlimab administration for 5.7 </w:t>
            </w:r>
            <w:r w:rsidRPr="00AB6F27">
              <w:rPr>
                <w:rFonts w:ascii="Arial Narrow" w:hAnsi="Arial Narrow"/>
                <w:sz w:val="20"/>
                <w:szCs w:val="20"/>
                <w:vertAlign w:val="superscript"/>
              </w:rPr>
              <w:t>b</w:t>
            </w:r>
            <w:r w:rsidRPr="00AB6F27">
              <w:rPr>
                <w:rFonts w:ascii="Arial Narrow" w:hAnsi="Arial Narrow"/>
                <w:sz w:val="20"/>
                <w:szCs w:val="20"/>
              </w:rPr>
              <w:t xml:space="preserve"> cycles</w:t>
            </w:r>
          </w:p>
        </w:tc>
        <w:tc>
          <w:tcPr>
            <w:tcW w:w="1339" w:type="dxa"/>
          </w:tcPr>
          <w:p w14:paraId="3D9DD2A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 xml:space="preserve">$123.05 </w:t>
            </w:r>
            <w:r w:rsidRPr="00AB6F27">
              <w:rPr>
                <w:rFonts w:ascii="Arial Narrow" w:hAnsi="Arial Narrow"/>
                <w:sz w:val="20"/>
                <w:szCs w:val="20"/>
                <w:vertAlign w:val="superscript"/>
              </w:rPr>
              <w:t>a</w:t>
            </w:r>
            <w:r w:rsidRPr="00AB6F27">
              <w:rPr>
                <w:rFonts w:ascii="Arial Narrow" w:hAnsi="Arial Narrow"/>
                <w:sz w:val="20"/>
                <w:szCs w:val="20"/>
              </w:rPr>
              <w:t xml:space="preserve"> * 5.7</w:t>
            </w:r>
          </w:p>
        </w:tc>
        <w:tc>
          <w:tcPr>
            <w:tcW w:w="3068" w:type="dxa"/>
            <w:gridSpan w:val="2"/>
            <w:tcBorders>
              <w:top w:val="single" w:sz="4" w:space="0" w:color="auto"/>
              <w:bottom w:val="single" w:sz="4" w:space="0" w:color="auto"/>
            </w:tcBorders>
          </w:tcPr>
          <w:p w14:paraId="6AA654C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$700.95</w:t>
            </w:r>
          </w:p>
        </w:tc>
      </w:tr>
      <w:tr w:rsidR="00A3213F" w:rsidRPr="00AB6F27" w14:paraId="630D166D" w14:textId="77777777" w:rsidTr="000010B3">
        <w:tc>
          <w:tcPr>
            <w:tcW w:w="0" w:type="auto"/>
          </w:tcPr>
          <w:p w14:paraId="360136C6"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H</w:t>
            </w:r>
          </w:p>
        </w:tc>
        <w:tc>
          <w:tcPr>
            <w:tcW w:w="0" w:type="auto"/>
            <w:tcBorders>
              <w:bottom w:val="single" w:sz="4" w:space="0" w:color="auto"/>
            </w:tcBorders>
          </w:tcPr>
          <w:p w14:paraId="679F1DD9"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Total cost of dostarlimab for maintenance phase (34 weeks)</w:t>
            </w:r>
          </w:p>
        </w:tc>
        <w:tc>
          <w:tcPr>
            <w:tcW w:w="1339" w:type="dxa"/>
            <w:tcBorders>
              <w:bottom w:val="single" w:sz="4" w:space="0" w:color="auto"/>
            </w:tcBorders>
          </w:tcPr>
          <w:p w14:paraId="5E48F874"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F + G</w:t>
            </w:r>
          </w:p>
        </w:tc>
        <w:tc>
          <w:tcPr>
            <w:tcW w:w="3068" w:type="dxa"/>
            <w:gridSpan w:val="2"/>
            <w:tcBorders>
              <w:top w:val="single" w:sz="4" w:space="0" w:color="auto"/>
              <w:bottom w:val="single" w:sz="4" w:space="0" w:color="auto"/>
            </w:tcBorders>
          </w:tcPr>
          <w:p w14:paraId="30706630"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$87,827.82</w:t>
            </w:r>
          </w:p>
        </w:tc>
      </w:tr>
      <w:tr w:rsidR="00A3213F" w:rsidRPr="00AB6F27" w14:paraId="274C18C7" w14:textId="77777777" w:rsidTr="000010B3">
        <w:tc>
          <w:tcPr>
            <w:tcW w:w="0" w:type="auto"/>
            <w:gridSpan w:val="5"/>
          </w:tcPr>
          <w:p w14:paraId="08224F62" w14:textId="77777777" w:rsidR="00A3213F" w:rsidRPr="00AB6F27" w:rsidRDefault="00A3213F" w:rsidP="007B5E49">
            <w:pPr>
              <w:keepNext/>
              <w:jc w:val="left"/>
              <w:rPr>
                <w:rFonts w:ascii="Arial Narrow" w:hAnsi="Arial Narrow"/>
                <w:b/>
                <w:bCs/>
                <w:sz w:val="20"/>
                <w:szCs w:val="20"/>
              </w:rPr>
            </w:pPr>
            <w:r w:rsidRPr="00AB6F27">
              <w:rPr>
                <w:rFonts w:ascii="Arial Narrow" w:hAnsi="Arial Narrow"/>
                <w:b/>
                <w:bCs/>
                <w:sz w:val="20"/>
                <w:szCs w:val="20"/>
              </w:rPr>
              <w:t xml:space="preserve">Total </w:t>
            </w:r>
          </w:p>
        </w:tc>
      </w:tr>
      <w:tr w:rsidR="00A3213F" w:rsidRPr="00AB6F27" w14:paraId="62FC7E26" w14:textId="77777777" w:rsidTr="000010B3">
        <w:tc>
          <w:tcPr>
            <w:tcW w:w="0" w:type="auto"/>
          </w:tcPr>
          <w:p w14:paraId="2D5F4A48"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I</w:t>
            </w:r>
          </w:p>
        </w:tc>
        <w:tc>
          <w:tcPr>
            <w:tcW w:w="0" w:type="auto"/>
            <w:tcBorders>
              <w:top w:val="single" w:sz="4" w:space="0" w:color="auto"/>
            </w:tcBorders>
          </w:tcPr>
          <w:p w14:paraId="3BB18AA4"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dostarlimab per year</w:t>
            </w:r>
          </w:p>
        </w:tc>
        <w:tc>
          <w:tcPr>
            <w:tcW w:w="1339" w:type="dxa"/>
            <w:tcBorders>
              <w:top w:val="single" w:sz="4" w:space="0" w:color="auto"/>
            </w:tcBorders>
          </w:tcPr>
          <w:p w14:paraId="2520914B"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B + F</w:t>
            </w:r>
          </w:p>
        </w:tc>
        <w:tc>
          <w:tcPr>
            <w:tcW w:w="3068" w:type="dxa"/>
            <w:gridSpan w:val="2"/>
            <w:tcBorders>
              <w:top w:val="single" w:sz="4" w:space="0" w:color="auto"/>
            </w:tcBorders>
          </w:tcPr>
          <w:p w14:paraId="6D72AA4F"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$133,011.88</w:t>
            </w:r>
          </w:p>
        </w:tc>
      </w:tr>
      <w:tr w:rsidR="00A3213F" w:rsidRPr="00AB6F27" w14:paraId="2C278800" w14:textId="77777777" w:rsidTr="000010B3">
        <w:tc>
          <w:tcPr>
            <w:tcW w:w="0" w:type="auto"/>
          </w:tcPr>
          <w:p w14:paraId="0B8075EA"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J</w:t>
            </w:r>
          </w:p>
        </w:tc>
        <w:tc>
          <w:tcPr>
            <w:tcW w:w="0" w:type="auto"/>
            <w:tcBorders>
              <w:top w:val="single" w:sz="4" w:space="0" w:color="auto"/>
              <w:bottom w:val="single" w:sz="4" w:space="0" w:color="auto"/>
            </w:tcBorders>
          </w:tcPr>
          <w:p w14:paraId="5A383A05"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dostarlimab administration per year</w:t>
            </w:r>
          </w:p>
        </w:tc>
        <w:tc>
          <w:tcPr>
            <w:tcW w:w="1339" w:type="dxa"/>
            <w:tcBorders>
              <w:top w:val="single" w:sz="4" w:space="0" w:color="auto"/>
              <w:bottom w:val="single" w:sz="4" w:space="0" w:color="auto"/>
            </w:tcBorders>
          </w:tcPr>
          <w:p w14:paraId="3A16AB82"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C + G</w:t>
            </w:r>
          </w:p>
        </w:tc>
        <w:tc>
          <w:tcPr>
            <w:tcW w:w="3068" w:type="dxa"/>
            <w:gridSpan w:val="2"/>
            <w:tcBorders>
              <w:top w:val="single" w:sz="4" w:space="0" w:color="auto"/>
              <w:bottom w:val="single" w:sz="4" w:space="0" w:color="auto"/>
            </w:tcBorders>
          </w:tcPr>
          <w:p w14:paraId="12BE5DF7" w14:textId="77777777" w:rsidR="00A3213F" w:rsidRPr="00AB6F27" w:rsidRDefault="00A3213F" w:rsidP="007B5E49">
            <w:pPr>
              <w:keepNext/>
              <w:jc w:val="center"/>
              <w:rPr>
                <w:rFonts w:ascii="Arial Narrow" w:hAnsi="Arial Narrow"/>
                <w:sz w:val="20"/>
                <w:szCs w:val="20"/>
              </w:rPr>
            </w:pPr>
            <w:r w:rsidRPr="00AB6F27">
              <w:rPr>
                <w:rFonts w:ascii="Arial Narrow" w:hAnsi="Arial Narrow"/>
                <w:sz w:val="20"/>
                <w:szCs w:val="20"/>
              </w:rPr>
              <w:t>$1,439.25</w:t>
            </w:r>
          </w:p>
        </w:tc>
      </w:tr>
      <w:tr w:rsidR="00A3213F" w:rsidRPr="00AB6F27" w14:paraId="27A55C1E" w14:textId="77777777" w:rsidTr="000010B3">
        <w:tc>
          <w:tcPr>
            <w:tcW w:w="0" w:type="auto"/>
            <w:gridSpan w:val="5"/>
          </w:tcPr>
          <w:p w14:paraId="0399357B" w14:textId="1EEDE3D4" w:rsidR="00A3213F" w:rsidRPr="00AB6F27" w:rsidRDefault="00A3213F" w:rsidP="007B5E49">
            <w:pPr>
              <w:keepNext/>
              <w:rPr>
                <w:rFonts w:ascii="Arial Narrow" w:hAnsi="Arial Narrow"/>
                <w:b/>
                <w:bCs/>
                <w:sz w:val="20"/>
                <w:szCs w:val="20"/>
              </w:rPr>
            </w:pPr>
            <w:r w:rsidRPr="00AB6F27">
              <w:rPr>
                <w:rFonts w:ascii="Arial Narrow" w:hAnsi="Arial Narrow"/>
                <w:b/>
                <w:bCs/>
                <w:sz w:val="20"/>
                <w:szCs w:val="20"/>
              </w:rPr>
              <w:t xml:space="preserve">Cost-minimisation of </w:t>
            </w:r>
            <w:r w:rsidR="00BF1B0D">
              <w:rPr>
                <w:rFonts w:ascii="Arial Narrow" w:hAnsi="Arial Narrow"/>
                <w:b/>
                <w:bCs/>
                <w:sz w:val="20"/>
                <w:szCs w:val="20"/>
              </w:rPr>
              <w:t>pembrolizumab</w:t>
            </w:r>
            <w:r w:rsidRPr="00AB6F27">
              <w:rPr>
                <w:rFonts w:ascii="Arial Narrow" w:hAnsi="Arial Narrow"/>
                <w:b/>
                <w:bCs/>
                <w:sz w:val="20"/>
                <w:szCs w:val="20"/>
              </w:rPr>
              <w:t xml:space="preserve"> to </w:t>
            </w:r>
            <w:r w:rsidR="00437BAB">
              <w:rPr>
                <w:rFonts w:ascii="Arial Narrow" w:hAnsi="Arial Narrow"/>
                <w:b/>
                <w:bCs/>
                <w:sz w:val="20"/>
                <w:szCs w:val="20"/>
              </w:rPr>
              <w:t>dostarlimab</w:t>
            </w:r>
          </w:p>
        </w:tc>
      </w:tr>
      <w:tr w:rsidR="00A3213F" w:rsidRPr="00AB6F27" w14:paraId="3F9C4CC2" w14:textId="77777777" w:rsidTr="000010B3">
        <w:tc>
          <w:tcPr>
            <w:tcW w:w="572" w:type="dxa"/>
          </w:tcPr>
          <w:p w14:paraId="0DCBB9BA"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K</w:t>
            </w:r>
          </w:p>
        </w:tc>
        <w:tc>
          <w:tcPr>
            <w:tcW w:w="5377" w:type="dxa"/>
            <w:gridSpan w:val="2"/>
          </w:tcPr>
          <w:p w14:paraId="5BA0CB57"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dostarlimab per year</w:t>
            </w:r>
          </w:p>
        </w:tc>
        <w:tc>
          <w:tcPr>
            <w:tcW w:w="1939" w:type="dxa"/>
            <w:tcBorders>
              <w:top w:val="single" w:sz="4" w:space="0" w:color="auto"/>
              <w:left w:val="nil"/>
              <w:bottom w:val="single" w:sz="4" w:space="0" w:color="auto"/>
              <w:right w:val="single" w:sz="4" w:space="0" w:color="auto"/>
            </w:tcBorders>
            <w:vAlign w:val="bottom"/>
          </w:tcPr>
          <w:p w14:paraId="42A5C057"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 xml:space="preserve">I + J </w:t>
            </w:r>
          </w:p>
        </w:tc>
        <w:tc>
          <w:tcPr>
            <w:tcW w:w="0" w:type="auto"/>
            <w:tcBorders>
              <w:top w:val="single" w:sz="4" w:space="0" w:color="auto"/>
              <w:left w:val="single" w:sz="4" w:space="0" w:color="auto"/>
              <w:bottom w:val="single" w:sz="4" w:space="0" w:color="auto"/>
              <w:right w:val="single" w:sz="4" w:space="0" w:color="auto"/>
            </w:tcBorders>
            <w:vAlign w:val="bottom"/>
          </w:tcPr>
          <w:p w14:paraId="6BD0AD7C"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$134,451.12</w:t>
            </w:r>
          </w:p>
        </w:tc>
      </w:tr>
      <w:tr w:rsidR="00A3213F" w:rsidRPr="00AB6F27" w14:paraId="67163313" w14:textId="77777777" w:rsidTr="000010B3">
        <w:tc>
          <w:tcPr>
            <w:tcW w:w="572" w:type="dxa"/>
          </w:tcPr>
          <w:p w14:paraId="6A3978BA"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L</w:t>
            </w:r>
          </w:p>
        </w:tc>
        <w:tc>
          <w:tcPr>
            <w:tcW w:w="5377" w:type="dxa"/>
            <w:gridSpan w:val="2"/>
          </w:tcPr>
          <w:p w14:paraId="39D97800"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pembrolizumab administration per year</w:t>
            </w:r>
          </w:p>
        </w:tc>
        <w:tc>
          <w:tcPr>
            <w:tcW w:w="1939" w:type="dxa"/>
            <w:tcBorders>
              <w:top w:val="single" w:sz="4" w:space="0" w:color="auto"/>
              <w:left w:val="nil"/>
              <w:bottom w:val="single" w:sz="4" w:space="0" w:color="auto"/>
              <w:right w:val="single" w:sz="4" w:space="0" w:color="auto"/>
            </w:tcBorders>
            <w:vAlign w:val="bottom"/>
          </w:tcPr>
          <w:p w14:paraId="66DD5836"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J</w:t>
            </w:r>
          </w:p>
        </w:tc>
        <w:tc>
          <w:tcPr>
            <w:tcW w:w="0" w:type="auto"/>
            <w:tcBorders>
              <w:top w:val="single" w:sz="4" w:space="0" w:color="auto"/>
              <w:left w:val="single" w:sz="4" w:space="0" w:color="auto"/>
              <w:bottom w:val="single" w:sz="4" w:space="0" w:color="auto"/>
              <w:right w:val="single" w:sz="4" w:space="0" w:color="auto"/>
            </w:tcBorders>
            <w:vAlign w:val="bottom"/>
          </w:tcPr>
          <w:p w14:paraId="548E0301"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$1,439.25</w:t>
            </w:r>
          </w:p>
        </w:tc>
      </w:tr>
      <w:tr w:rsidR="00A3213F" w:rsidRPr="00AB6F27" w14:paraId="33CAD96B" w14:textId="77777777" w:rsidTr="000010B3">
        <w:tc>
          <w:tcPr>
            <w:tcW w:w="572" w:type="dxa"/>
          </w:tcPr>
          <w:p w14:paraId="59B24774"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M</w:t>
            </w:r>
          </w:p>
        </w:tc>
        <w:tc>
          <w:tcPr>
            <w:tcW w:w="5377" w:type="dxa"/>
            <w:gridSpan w:val="2"/>
          </w:tcPr>
          <w:p w14:paraId="276C0808"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pembrolizumab per year</w:t>
            </w:r>
          </w:p>
        </w:tc>
        <w:tc>
          <w:tcPr>
            <w:tcW w:w="1939" w:type="dxa"/>
            <w:tcBorders>
              <w:top w:val="single" w:sz="4" w:space="0" w:color="auto"/>
              <w:left w:val="nil"/>
              <w:bottom w:val="single" w:sz="4" w:space="0" w:color="auto"/>
              <w:right w:val="single" w:sz="4" w:space="0" w:color="auto"/>
            </w:tcBorders>
            <w:vAlign w:val="bottom"/>
          </w:tcPr>
          <w:p w14:paraId="767CDB0B"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K - L</w:t>
            </w:r>
          </w:p>
        </w:tc>
        <w:tc>
          <w:tcPr>
            <w:tcW w:w="0" w:type="auto"/>
            <w:tcBorders>
              <w:top w:val="single" w:sz="4" w:space="0" w:color="auto"/>
              <w:left w:val="single" w:sz="4" w:space="0" w:color="auto"/>
              <w:bottom w:val="single" w:sz="4" w:space="0" w:color="auto"/>
              <w:right w:val="single" w:sz="4" w:space="0" w:color="auto"/>
            </w:tcBorders>
            <w:vAlign w:val="bottom"/>
          </w:tcPr>
          <w:p w14:paraId="2EEC216B"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$133,011.88</w:t>
            </w:r>
          </w:p>
        </w:tc>
      </w:tr>
      <w:tr w:rsidR="00A3213F" w:rsidRPr="00AB6F27" w14:paraId="4E9CC45B" w14:textId="77777777" w:rsidTr="000010B3">
        <w:tc>
          <w:tcPr>
            <w:tcW w:w="572" w:type="dxa"/>
          </w:tcPr>
          <w:p w14:paraId="0803A5A8"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N</w:t>
            </w:r>
          </w:p>
        </w:tc>
        <w:tc>
          <w:tcPr>
            <w:tcW w:w="5377" w:type="dxa"/>
            <w:gridSpan w:val="2"/>
          </w:tcPr>
          <w:p w14:paraId="0EF6D1F6"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Yearly dose of pembrolizumab (mg)</w:t>
            </w:r>
          </w:p>
        </w:tc>
        <w:tc>
          <w:tcPr>
            <w:tcW w:w="1939" w:type="dxa"/>
            <w:tcBorders>
              <w:top w:val="single" w:sz="4" w:space="0" w:color="auto"/>
              <w:left w:val="nil"/>
              <w:bottom w:val="single" w:sz="4" w:space="0" w:color="auto"/>
              <w:right w:val="single" w:sz="4" w:space="0" w:color="auto"/>
            </w:tcBorders>
            <w:vAlign w:val="bottom"/>
          </w:tcPr>
          <w:p w14:paraId="2DE17920" w14:textId="2ECFB3F9"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(200mg*6)</w:t>
            </w:r>
            <w:r w:rsidR="007D6796" w:rsidRPr="00AB6F27">
              <w:rPr>
                <w:rFonts w:ascii="Arial Narrow" w:hAnsi="Arial Narrow" w:cs="Calibri"/>
                <w:color w:val="000000"/>
                <w:sz w:val="20"/>
                <w:szCs w:val="20"/>
              </w:rPr>
              <w:t xml:space="preserve"> </w:t>
            </w:r>
            <w:r w:rsidRPr="00AB6F27">
              <w:rPr>
                <w:rFonts w:ascii="Arial Narrow" w:hAnsi="Arial Narrow" w:cs="Calibri"/>
                <w:color w:val="000000"/>
                <w:sz w:val="20"/>
                <w:szCs w:val="20"/>
              </w:rPr>
              <w:t>+</w:t>
            </w:r>
            <w:r w:rsidR="007D6796" w:rsidRPr="00AB6F27">
              <w:rPr>
                <w:rFonts w:ascii="Arial Narrow" w:hAnsi="Arial Narrow" w:cs="Calibri"/>
                <w:color w:val="000000"/>
                <w:sz w:val="20"/>
                <w:szCs w:val="20"/>
              </w:rPr>
              <w:t xml:space="preserve"> </w:t>
            </w:r>
            <w:r w:rsidRPr="00AB6F27">
              <w:rPr>
                <w:rFonts w:ascii="Arial Narrow" w:hAnsi="Arial Narrow" w:cs="Calibri"/>
                <w:color w:val="000000"/>
                <w:sz w:val="20"/>
                <w:szCs w:val="20"/>
              </w:rPr>
              <w:t>(400mg*5.70)</w:t>
            </w:r>
          </w:p>
        </w:tc>
        <w:tc>
          <w:tcPr>
            <w:tcW w:w="0" w:type="auto"/>
            <w:tcBorders>
              <w:top w:val="single" w:sz="4" w:space="0" w:color="auto"/>
              <w:left w:val="single" w:sz="4" w:space="0" w:color="auto"/>
              <w:bottom w:val="single" w:sz="4" w:space="0" w:color="auto"/>
              <w:right w:val="single" w:sz="4" w:space="0" w:color="auto"/>
            </w:tcBorders>
            <w:vAlign w:val="bottom"/>
          </w:tcPr>
          <w:p w14:paraId="3DF0814A"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3479 mg</w:t>
            </w:r>
          </w:p>
        </w:tc>
      </w:tr>
      <w:tr w:rsidR="00A3213F" w:rsidRPr="00AB6F27" w14:paraId="3E699A1F" w14:textId="77777777" w:rsidTr="000010B3">
        <w:tc>
          <w:tcPr>
            <w:tcW w:w="572" w:type="dxa"/>
          </w:tcPr>
          <w:p w14:paraId="6F25B40B"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O</w:t>
            </w:r>
          </w:p>
        </w:tc>
        <w:tc>
          <w:tcPr>
            <w:tcW w:w="5377" w:type="dxa"/>
            <w:gridSpan w:val="2"/>
          </w:tcPr>
          <w:p w14:paraId="1478F3CC"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Cost of pembrolizumab per mg</w:t>
            </w:r>
          </w:p>
        </w:tc>
        <w:tc>
          <w:tcPr>
            <w:tcW w:w="1939" w:type="dxa"/>
            <w:tcBorders>
              <w:top w:val="single" w:sz="4" w:space="0" w:color="auto"/>
              <w:left w:val="nil"/>
              <w:bottom w:val="single" w:sz="4" w:space="0" w:color="auto"/>
              <w:right w:val="single" w:sz="4" w:space="0" w:color="auto"/>
            </w:tcBorders>
            <w:vAlign w:val="bottom"/>
          </w:tcPr>
          <w:p w14:paraId="7F2D9EDD"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M/ N</w:t>
            </w:r>
          </w:p>
        </w:tc>
        <w:tc>
          <w:tcPr>
            <w:tcW w:w="0" w:type="auto"/>
            <w:tcBorders>
              <w:top w:val="single" w:sz="4" w:space="0" w:color="auto"/>
              <w:left w:val="single" w:sz="4" w:space="0" w:color="auto"/>
              <w:bottom w:val="single" w:sz="4" w:space="0" w:color="auto"/>
              <w:right w:val="single" w:sz="4" w:space="0" w:color="auto"/>
            </w:tcBorders>
            <w:vAlign w:val="bottom"/>
          </w:tcPr>
          <w:p w14:paraId="1434889D"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$38.24</w:t>
            </w:r>
          </w:p>
        </w:tc>
      </w:tr>
      <w:tr w:rsidR="00A3213F" w:rsidRPr="00AB6F27" w14:paraId="3212C0A7" w14:textId="77777777" w:rsidTr="000010B3">
        <w:tc>
          <w:tcPr>
            <w:tcW w:w="572" w:type="dxa"/>
          </w:tcPr>
          <w:p w14:paraId="744A5BBE"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P</w:t>
            </w:r>
          </w:p>
        </w:tc>
        <w:tc>
          <w:tcPr>
            <w:tcW w:w="5377" w:type="dxa"/>
            <w:gridSpan w:val="2"/>
          </w:tcPr>
          <w:p w14:paraId="63AE88F9" w14:textId="77777777" w:rsidR="00A3213F" w:rsidRPr="00AB6F27" w:rsidRDefault="00A3213F" w:rsidP="007B5E49">
            <w:pPr>
              <w:keepNext/>
              <w:rPr>
                <w:rFonts w:ascii="Arial Narrow" w:hAnsi="Arial Narrow"/>
                <w:b/>
                <w:bCs/>
                <w:sz w:val="20"/>
                <w:szCs w:val="20"/>
              </w:rPr>
            </w:pPr>
            <w:r w:rsidRPr="00AB6F27">
              <w:rPr>
                <w:rFonts w:ascii="Arial Narrow" w:hAnsi="Arial Narrow"/>
                <w:b/>
                <w:bCs/>
                <w:sz w:val="20"/>
                <w:szCs w:val="20"/>
              </w:rPr>
              <w:t>Cost minimised AEMP per 100mg vial pembrolizumab</w:t>
            </w:r>
          </w:p>
        </w:tc>
        <w:tc>
          <w:tcPr>
            <w:tcW w:w="1939" w:type="dxa"/>
            <w:tcBorders>
              <w:top w:val="single" w:sz="4" w:space="0" w:color="auto"/>
              <w:left w:val="nil"/>
              <w:bottom w:val="single" w:sz="4" w:space="0" w:color="auto"/>
              <w:right w:val="single" w:sz="4" w:space="0" w:color="auto"/>
            </w:tcBorders>
            <w:vAlign w:val="bottom"/>
          </w:tcPr>
          <w:p w14:paraId="39C9A986"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cs="Calibri"/>
                <w:b/>
                <w:bCs/>
                <w:color w:val="000000"/>
                <w:sz w:val="20"/>
                <w:szCs w:val="20"/>
              </w:rPr>
              <w:t>O * 100</w:t>
            </w:r>
          </w:p>
        </w:tc>
        <w:tc>
          <w:tcPr>
            <w:tcW w:w="0" w:type="auto"/>
            <w:tcBorders>
              <w:top w:val="single" w:sz="4" w:space="0" w:color="auto"/>
              <w:left w:val="single" w:sz="4" w:space="0" w:color="auto"/>
              <w:bottom w:val="single" w:sz="4" w:space="0" w:color="auto"/>
              <w:right w:val="single" w:sz="4" w:space="0" w:color="auto"/>
            </w:tcBorders>
            <w:vAlign w:val="bottom"/>
          </w:tcPr>
          <w:p w14:paraId="08795732" w14:textId="77777777" w:rsidR="00A3213F" w:rsidRPr="00AB6F27" w:rsidRDefault="00A3213F" w:rsidP="007B5E49">
            <w:pPr>
              <w:keepNext/>
              <w:jc w:val="center"/>
              <w:rPr>
                <w:rFonts w:ascii="Arial Narrow" w:hAnsi="Arial Narrow"/>
                <w:b/>
                <w:bCs/>
                <w:sz w:val="20"/>
                <w:szCs w:val="20"/>
              </w:rPr>
            </w:pPr>
            <w:r w:rsidRPr="00AB6F27">
              <w:rPr>
                <w:rFonts w:ascii="Arial Narrow" w:hAnsi="Arial Narrow" w:cs="Calibri"/>
                <w:b/>
                <w:bCs/>
                <w:color w:val="000000"/>
                <w:sz w:val="20"/>
                <w:szCs w:val="20"/>
              </w:rPr>
              <w:t>$3,823.75</w:t>
            </w:r>
          </w:p>
        </w:tc>
      </w:tr>
      <w:tr w:rsidR="00A3213F" w:rsidRPr="00AB6F27" w14:paraId="029A07CE" w14:textId="77777777" w:rsidTr="000010B3">
        <w:tc>
          <w:tcPr>
            <w:tcW w:w="572" w:type="dxa"/>
          </w:tcPr>
          <w:p w14:paraId="147595F2" w14:textId="77777777" w:rsidR="00A3213F" w:rsidRPr="00AB6F27" w:rsidRDefault="00A3213F" w:rsidP="007B5E49">
            <w:pPr>
              <w:keepNext/>
              <w:rPr>
                <w:rFonts w:ascii="Arial Narrow" w:hAnsi="Arial Narrow"/>
                <w:bCs/>
                <w:sz w:val="20"/>
                <w:szCs w:val="20"/>
              </w:rPr>
            </w:pPr>
            <w:r w:rsidRPr="00AB6F27">
              <w:rPr>
                <w:rFonts w:ascii="Arial Narrow" w:hAnsi="Arial Narrow"/>
                <w:bCs/>
                <w:sz w:val="20"/>
                <w:szCs w:val="20"/>
              </w:rPr>
              <w:t>Q</w:t>
            </w:r>
          </w:p>
        </w:tc>
        <w:tc>
          <w:tcPr>
            <w:tcW w:w="5377" w:type="dxa"/>
            <w:gridSpan w:val="2"/>
          </w:tcPr>
          <w:p w14:paraId="7E061F21" w14:textId="77777777" w:rsidR="00A3213F" w:rsidRPr="00AB6F27" w:rsidRDefault="00A3213F" w:rsidP="007B5E49">
            <w:pPr>
              <w:keepNext/>
              <w:rPr>
                <w:rFonts w:ascii="Arial Narrow" w:hAnsi="Arial Narrow"/>
                <w:sz w:val="20"/>
                <w:szCs w:val="20"/>
              </w:rPr>
            </w:pPr>
            <w:r w:rsidRPr="00AB6F27">
              <w:rPr>
                <w:rFonts w:ascii="Arial Narrow" w:hAnsi="Arial Narrow"/>
                <w:sz w:val="20"/>
                <w:szCs w:val="20"/>
              </w:rPr>
              <w:t>Pembrolizumab cost per patient (per year)</w:t>
            </w:r>
          </w:p>
        </w:tc>
        <w:tc>
          <w:tcPr>
            <w:tcW w:w="1939" w:type="dxa"/>
            <w:tcBorders>
              <w:top w:val="single" w:sz="4" w:space="0" w:color="auto"/>
              <w:left w:val="nil"/>
              <w:bottom w:val="single" w:sz="4" w:space="0" w:color="auto"/>
              <w:right w:val="single" w:sz="4" w:space="0" w:color="auto"/>
            </w:tcBorders>
            <w:vAlign w:val="bottom"/>
          </w:tcPr>
          <w:p w14:paraId="4BE53A5C"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L + (P*2*6) + (P*4*5.7)</w:t>
            </w:r>
          </w:p>
        </w:tc>
        <w:tc>
          <w:tcPr>
            <w:tcW w:w="0" w:type="auto"/>
            <w:tcBorders>
              <w:top w:val="single" w:sz="4" w:space="0" w:color="auto"/>
              <w:left w:val="single" w:sz="4" w:space="0" w:color="auto"/>
              <w:bottom w:val="single" w:sz="4" w:space="0" w:color="auto"/>
              <w:right w:val="single" w:sz="4" w:space="0" w:color="auto"/>
            </w:tcBorders>
            <w:vAlign w:val="bottom"/>
          </w:tcPr>
          <w:p w14:paraId="33FCC18D" w14:textId="77777777" w:rsidR="00A3213F" w:rsidRPr="00AB6F27" w:rsidRDefault="00A3213F" w:rsidP="007B5E49">
            <w:pPr>
              <w:keepNext/>
              <w:jc w:val="center"/>
              <w:rPr>
                <w:rFonts w:ascii="Arial Narrow" w:hAnsi="Arial Narrow"/>
                <w:sz w:val="20"/>
                <w:szCs w:val="20"/>
              </w:rPr>
            </w:pPr>
            <w:r w:rsidRPr="00AB6F27">
              <w:rPr>
                <w:rFonts w:ascii="Arial Narrow" w:hAnsi="Arial Narrow" w:cs="Calibri"/>
                <w:color w:val="000000"/>
                <w:sz w:val="20"/>
                <w:szCs w:val="20"/>
              </w:rPr>
              <w:t>$134,451.12</w:t>
            </w:r>
          </w:p>
        </w:tc>
      </w:tr>
    </w:tbl>
    <w:p w14:paraId="6A2A2B8C" w14:textId="77777777" w:rsidR="00A3213F" w:rsidRPr="00AB6F27" w:rsidRDefault="00A3213F" w:rsidP="00A3213F">
      <w:pPr>
        <w:keepNext/>
        <w:rPr>
          <w:rFonts w:ascii="Arial Narrow" w:hAnsi="Arial Narrow"/>
          <w:sz w:val="18"/>
          <w:szCs w:val="18"/>
        </w:rPr>
      </w:pPr>
      <w:r w:rsidRPr="00AB6F27">
        <w:rPr>
          <w:rFonts w:ascii="Arial Narrow" w:hAnsi="Arial Narrow"/>
          <w:sz w:val="18"/>
          <w:szCs w:val="18"/>
        </w:rPr>
        <w:t>Source: Table 3.4-1, 3.4-2 and 3.4-4, pp197-199 of the submission; Attachment 11 to the submission ‘vs dostarlimab’.</w:t>
      </w:r>
    </w:p>
    <w:p w14:paraId="6ED57F2A" w14:textId="274A0BF7" w:rsidR="00A3213F" w:rsidRPr="00AB6F27" w:rsidRDefault="00A3213F" w:rsidP="00A3213F">
      <w:pPr>
        <w:keepNext/>
        <w:rPr>
          <w:rFonts w:ascii="Arial Narrow" w:hAnsi="Arial Narrow"/>
          <w:sz w:val="18"/>
          <w:szCs w:val="18"/>
        </w:rPr>
      </w:pPr>
      <w:r w:rsidRPr="00AB6F27">
        <w:rPr>
          <w:rFonts w:ascii="Arial Narrow" w:hAnsi="Arial Narrow"/>
          <w:sz w:val="18"/>
          <w:szCs w:val="18"/>
        </w:rPr>
        <w:t>Abbreviations: AEMP = approved ex-manufacturer price; Q3W = three weekly; Q6W = six weekly</w:t>
      </w:r>
    </w:p>
    <w:p w14:paraId="0F7C4EEB" w14:textId="77777777" w:rsidR="00A3213F" w:rsidRPr="00AB6F27" w:rsidRDefault="00A3213F" w:rsidP="00A3213F">
      <w:pPr>
        <w:keepNext/>
        <w:rPr>
          <w:rFonts w:ascii="Arial Narrow" w:hAnsi="Arial Narrow"/>
          <w:sz w:val="18"/>
          <w:szCs w:val="18"/>
        </w:rPr>
      </w:pPr>
      <w:r w:rsidRPr="00AB6F27">
        <w:rPr>
          <w:rFonts w:ascii="Arial Narrow" w:hAnsi="Arial Narrow"/>
          <w:sz w:val="18"/>
          <w:szCs w:val="18"/>
          <w:vertAlign w:val="superscript"/>
        </w:rPr>
        <w:t xml:space="preserve">a </w:t>
      </w:r>
      <w:r w:rsidRPr="00AB6F27">
        <w:rPr>
          <w:rFonts w:ascii="Arial Narrow" w:hAnsi="Arial Narrow"/>
          <w:sz w:val="18"/>
          <w:szCs w:val="18"/>
        </w:rPr>
        <w:t>MBS item 13950 $123.05</w:t>
      </w:r>
    </w:p>
    <w:p w14:paraId="2EEC4D23" w14:textId="77777777" w:rsidR="00A3213F" w:rsidRPr="00AB6F27" w:rsidRDefault="00A3213F" w:rsidP="00A3213F">
      <w:pPr>
        <w:rPr>
          <w:rFonts w:ascii="Arial Narrow" w:hAnsi="Arial Narrow"/>
          <w:sz w:val="18"/>
          <w:szCs w:val="18"/>
        </w:rPr>
      </w:pPr>
      <w:r w:rsidRPr="00AB6F27">
        <w:rPr>
          <w:rFonts w:ascii="Arial Narrow" w:hAnsi="Arial Narrow"/>
          <w:sz w:val="18"/>
          <w:szCs w:val="18"/>
          <w:vertAlign w:val="superscript"/>
        </w:rPr>
        <w:t xml:space="preserve">b </w:t>
      </w:r>
      <w:r w:rsidRPr="00AB6F27">
        <w:rPr>
          <w:rFonts w:ascii="Arial Narrow" w:hAnsi="Arial Narrow"/>
          <w:sz w:val="18"/>
          <w:szCs w:val="18"/>
        </w:rPr>
        <w:t xml:space="preserve">Assuming 6.0 Q3W initiation doses (18 weeks), then 1 year minus 18 weeks = 34 weeks, divided by Q6W dosing = 5.7 maintenance doses. </w:t>
      </w:r>
    </w:p>
    <w:p w14:paraId="3A58014C" w14:textId="23098BDE" w:rsidR="00A3213F" w:rsidRPr="00AB6F27" w:rsidRDefault="00A3213F" w:rsidP="004537A3">
      <w:pPr>
        <w:spacing w:after="240"/>
        <w:rPr>
          <w:rFonts w:ascii="Arial Narrow" w:hAnsi="Arial Narrow"/>
          <w:sz w:val="18"/>
          <w:szCs w:val="18"/>
        </w:rPr>
      </w:pPr>
      <w:r w:rsidRPr="00AB6F27">
        <w:rPr>
          <w:rFonts w:ascii="Arial Narrow" w:hAnsi="Arial Narrow"/>
          <w:sz w:val="18"/>
          <w:szCs w:val="18"/>
        </w:rPr>
        <w:t>Note: One year supply of pembrolizumab is equivalent to 6.0</w:t>
      </w:r>
      <w:r w:rsidR="001E606B" w:rsidRPr="00AB6F27">
        <w:rPr>
          <w:rFonts w:ascii="Arial Narrow" w:hAnsi="Arial Narrow"/>
          <w:sz w:val="18"/>
          <w:szCs w:val="18"/>
        </w:rPr>
        <w:t xml:space="preserve"> x</w:t>
      </w:r>
      <w:r w:rsidRPr="00AB6F27">
        <w:rPr>
          <w:rFonts w:ascii="Arial Narrow" w:hAnsi="Arial Narrow"/>
          <w:sz w:val="18"/>
          <w:szCs w:val="18"/>
        </w:rPr>
        <w:t xml:space="preserve"> 200mg initiation doses and approximately 5.7 </w:t>
      </w:r>
      <w:r w:rsidR="001E606B" w:rsidRPr="00AB6F27">
        <w:rPr>
          <w:rFonts w:ascii="Arial Narrow" w:hAnsi="Arial Narrow"/>
          <w:sz w:val="18"/>
          <w:szCs w:val="18"/>
        </w:rPr>
        <w:t xml:space="preserve">x </w:t>
      </w:r>
      <w:r w:rsidRPr="00AB6F27">
        <w:rPr>
          <w:rFonts w:ascii="Arial Narrow" w:hAnsi="Arial Narrow"/>
          <w:sz w:val="18"/>
          <w:szCs w:val="18"/>
        </w:rPr>
        <w:t xml:space="preserve">400mg maintenance doses. </w:t>
      </w:r>
    </w:p>
    <w:p w14:paraId="61BF0F7F" w14:textId="1B09D844" w:rsidR="004537A3" w:rsidRPr="00AB6F27" w:rsidRDefault="004537A3" w:rsidP="004537A3">
      <w:pPr>
        <w:pStyle w:val="3-BodyText"/>
      </w:pPr>
      <w:r w:rsidRPr="00AB6F27">
        <w:t xml:space="preserve">The submission did not present any sensitivity analyses. As shown in </w:t>
      </w:r>
      <w:r w:rsidRPr="00AB6F27">
        <w:fldChar w:fldCharType="begin"/>
      </w:r>
      <w:r w:rsidRPr="00AB6F27">
        <w:instrText xml:space="preserve"> REF _Ref198548960 \h  \* MERGEFORMAT </w:instrText>
      </w:r>
      <w:r w:rsidRPr="00AB6F27">
        <w:fldChar w:fldCharType="separate"/>
      </w:r>
      <w:r w:rsidR="003359D3">
        <w:t xml:space="preserve">Table </w:t>
      </w:r>
      <w:r w:rsidR="003359D3">
        <w:rPr>
          <w:noProof/>
        </w:rPr>
        <w:t>17</w:t>
      </w:r>
      <w:r w:rsidRPr="00AB6F27">
        <w:fldChar w:fldCharType="end"/>
      </w:r>
      <w:r w:rsidRPr="00AB6F27">
        <w:t xml:space="preserve">, a sensitivity analysis was conducted during evaluation, using the same assumptions as were accepted for the CMA of </w:t>
      </w:r>
      <w:r>
        <w:t>dostarlimab</w:t>
      </w:r>
      <w:r w:rsidRPr="00AB6F27">
        <w:t xml:space="preserve"> to </w:t>
      </w:r>
      <w:r>
        <w:t>durvalumab</w:t>
      </w:r>
      <w:r w:rsidRPr="00AB6F27">
        <w:t xml:space="preserve"> in dMMR: i.e. a treatment duration of 20.5 months (based on the </w:t>
      </w:r>
      <w:r>
        <w:t>dostarlimab</w:t>
      </w:r>
      <w:r w:rsidRPr="00AB6F27">
        <w:t xml:space="preserve"> dMMR modelled treatment duration) and a relative dose intensity of 5.1 initiation doses and 12.0 maintenance doses (Table 18, dostarlimab PSD, November 2023 PBAC Meeting; Table 17, durvalumab PSD, November 2024 PBAC Meeting). </w:t>
      </w:r>
    </w:p>
    <w:p w14:paraId="79C2624F" w14:textId="108214FD" w:rsidR="004537A3" w:rsidRPr="00AB6F27" w:rsidRDefault="0E52FD6A" w:rsidP="004537A3">
      <w:pPr>
        <w:pStyle w:val="Caption"/>
      </w:pPr>
      <w:bookmarkStart w:id="71" w:name="_Ref198548960"/>
      <w:r>
        <w:lastRenderedPageBreak/>
        <w:t xml:space="preserve">Table </w:t>
      </w:r>
      <w:r w:rsidR="004537A3">
        <w:fldChar w:fldCharType="begin"/>
      </w:r>
      <w:r w:rsidR="004537A3">
        <w:instrText xml:space="preserve"> SEQ Table \* ARABIC </w:instrText>
      </w:r>
      <w:r w:rsidR="004537A3">
        <w:fldChar w:fldCharType="separate"/>
      </w:r>
      <w:r w:rsidR="003359D3">
        <w:rPr>
          <w:noProof/>
        </w:rPr>
        <w:t>17</w:t>
      </w:r>
      <w:r w:rsidR="004537A3">
        <w:fldChar w:fldCharType="end"/>
      </w:r>
      <w:bookmarkEnd w:id="71"/>
      <w:r>
        <w:t>: Estimated equi-effective dose based on accepted dosage in durvalumab Nov 2024 submission</w:t>
      </w:r>
    </w:p>
    <w:tbl>
      <w:tblPr>
        <w:tblW w:w="5000" w:type="pct"/>
        <w:tblLook w:val="04A0" w:firstRow="1" w:lastRow="0" w:firstColumn="1" w:lastColumn="0" w:noHBand="0" w:noVBand="1"/>
        <w:tblCaption w:val="Table 17: Estimated equi-effective dose based on accepted dosage in durvalumab Nov 2024 submission"/>
      </w:tblPr>
      <w:tblGrid>
        <w:gridCol w:w="1113"/>
        <w:gridCol w:w="1320"/>
        <w:gridCol w:w="1255"/>
        <w:gridCol w:w="1405"/>
        <w:gridCol w:w="1308"/>
        <w:gridCol w:w="1224"/>
        <w:gridCol w:w="1392"/>
      </w:tblGrid>
      <w:tr w:rsidR="004537A3" w:rsidRPr="00AB6F27" w14:paraId="6042047B" w14:textId="77777777" w:rsidTr="001E26DD">
        <w:trPr>
          <w:trHeight w:val="20"/>
        </w:trPr>
        <w:tc>
          <w:tcPr>
            <w:tcW w:w="705" w:type="pct"/>
            <w:tcBorders>
              <w:top w:val="single" w:sz="4" w:space="0" w:color="auto"/>
              <w:left w:val="single" w:sz="4" w:space="0" w:color="auto"/>
              <w:bottom w:val="single" w:sz="4" w:space="0" w:color="000000"/>
              <w:right w:val="single" w:sz="4" w:space="0" w:color="auto"/>
            </w:tcBorders>
            <w:noWrap/>
            <w:vAlign w:val="center"/>
            <w:hideMark/>
          </w:tcPr>
          <w:p w14:paraId="31427579" w14:textId="77777777" w:rsidR="004537A3" w:rsidRPr="00AB6F27" w:rsidRDefault="004537A3" w:rsidP="00C74104">
            <w:pPr>
              <w:keepNext/>
              <w:keepLines/>
              <w:rPr>
                <w:rFonts w:ascii="Arial Narrow" w:hAnsi="Arial Narrow" w:cstheme="minorHAnsi"/>
                <w:sz w:val="20"/>
                <w:szCs w:val="20"/>
              </w:rPr>
            </w:pPr>
            <w:r w:rsidRPr="00AB6F27">
              <w:rPr>
                <w:rFonts w:ascii="Arial Narrow" w:hAnsi="Arial Narrow" w:cstheme="minorHAnsi"/>
                <w:sz w:val="20"/>
                <w:szCs w:val="20"/>
              </w:rPr>
              <w:t> </w:t>
            </w:r>
          </w:p>
        </w:tc>
        <w:tc>
          <w:tcPr>
            <w:tcW w:w="2119" w:type="pct"/>
            <w:gridSpan w:val="3"/>
            <w:tcBorders>
              <w:top w:val="single" w:sz="4" w:space="0" w:color="auto"/>
              <w:left w:val="nil"/>
              <w:bottom w:val="single" w:sz="4" w:space="0" w:color="auto"/>
              <w:right w:val="single" w:sz="4" w:space="0" w:color="auto"/>
            </w:tcBorders>
            <w:noWrap/>
            <w:vAlign w:val="center"/>
            <w:hideMark/>
          </w:tcPr>
          <w:p w14:paraId="5DA177B3"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Pembrolizumab</w:t>
            </w:r>
          </w:p>
        </w:tc>
        <w:tc>
          <w:tcPr>
            <w:tcW w:w="2175" w:type="pct"/>
            <w:gridSpan w:val="3"/>
            <w:tcBorders>
              <w:top w:val="single" w:sz="4" w:space="0" w:color="auto"/>
              <w:left w:val="nil"/>
              <w:bottom w:val="single" w:sz="4" w:space="0" w:color="auto"/>
              <w:right w:val="single" w:sz="4" w:space="0" w:color="auto"/>
            </w:tcBorders>
            <w:noWrap/>
            <w:vAlign w:val="center"/>
            <w:hideMark/>
          </w:tcPr>
          <w:p w14:paraId="1679F894"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 xml:space="preserve">Dostarlimab </w:t>
            </w:r>
          </w:p>
        </w:tc>
      </w:tr>
      <w:tr w:rsidR="004537A3" w:rsidRPr="00AB6F27" w14:paraId="3A76EDAA" w14:textId="77777777" w:rsidTr="001E26DD">
        <w:trPr>
          <w:trHeight w:val="20"/>
        </w:trPr>
        <w:tc>
          <w:tcPr>
            <w:tcW w:w="705" w:type="pct"/>
            <w:tcBorders>
              <w:top w:val="single" w:sz="4" w:space="0" w:color="auto"/>
              <w:left w:val="single" w:sz="4" w:space="0" w:color="auto"/>
              <w:bottom w:val="single" w:sz="4" w:space="0" w:color="000000"/>
              <w:right w:val="single" w:sz="4" w:space="0" w:color="auto"/>
            </w:tcBorders>
            <w:noWrap/>
            <w:vAlign w:val="center"/>
          </w:tcPr>
          <w:p w14:paraId="5FB2BDCB" w14:textId="77777777" w:rsidR="004537A3" w:rsidRPr="00AB6F27" w:rsidRDefault="004537A3" w:rsidP="00C74104">
            <w:pPr>
              <w:keepNext/>
              <w:keepLines/>
              <w:rPr>
                <w:rFonts w:ascii="Arial Narrow" w:hAnsi="Arial Narrow" w:cstheme="minorHAnsi"/>
                <w:sz w:val="20"/>
                <w:szCs w:val="20"/>
              </w:rPr>
            </w:pPr>
          </w:p>
        </w:tc>
        <w:tc>
          <w:tcPr>
            <w:tcW w:w="2119" w:type="pct"/>
            <w:gridSpan w:val="3"/>
            <w:tcBorders>
              <w:top w:val="single" w:sz="4" w:space="0" w:color="auto"/>
              <w:left w:val="nil"/>
              <w:bottom w:val="single" w:sz="4" w:space="0" w:color="auto"/>
              <w:right w:val="single" w:sz="4" w:space="0" w:color="auto"/>
            </w:tcBorders>
            <w:noWrap/>
            <w:vAlign w:val="center"/>
          </w:tcPr>
          <w:p w14:paraId="67281027" w14:textId="77777777" w:rsidR="004537A3" w:rsidRPr="00AB6F27" w:rsidRDefault="004537A3" w:rsidP="00C74104">
            <w:pPr>
              <w:keepNext/>
              <w:keepLines/>
              <w:rPr>
                <w:rFonts w:ascii="Arial Narrow" w:hAnsi="Arial Narrow" w:cstheme="minorHAnsi"/>
                <w:bCs/>
                <w:sz w:val="20"/>
                <w:szCs w:val="20"/>
              </w:rPr>
            </w:pPr>
            <w:r w:rsidRPr="00AB6F27">
              <w:rPr>
                <w:rFonts w:ascii="Arial Narrow" w:hAnsi="Arial Narrow" w:cstheme="minorHAnsi"/>
                <w:bCs/>
                <w:sz w:val="20"/>
                <w:szCs w:val="20"/>
              </w:rPr>
              <w:t xml:space="preserve">Mean treatment duration = </w:t>
            </w:r>
            <w:r w:rsidRPr="00AB6F27">
              <w:rPr>
                <w:rFonts w:ascii="Arial Narrow" w:hAnsi="Arial Narrow"/>
                <w:sz w:val="20"/>
                <w:szCs w:val="20"/>
              </w:rPr>
              <w:t>20.5 months (88.9 weeks)</w:t>
            </w:r>
          </w:p>
        </w:tc>
        <w:tc>
          <w:tcPr>
            <w:tcW w:w="2175" w:type="pct"/>
            <w:gridSpan w:val="3"/>
            <w:tcBorders>
              <w:top w:val="single" w:sz="4" w:space="0" w:color="auto"/>
              <w:left w:val="nil"/>
              <w:bottom w:val="single" w:sz="4" w:space="0" w:color="auto"/>
              <w:right w:val="single" w:sz="4" w:space="0" w:color="auto"/>
            </w:tcBorders>
            <w:noWrap/>
            <w:vAlign w:val="center"/>
          </w:tcPr>
          <w:p w14:paraId="0700883B" w14:textId="77777777" w:rsidR="004537A3" w:rsidRPr="00AB6F27" w:rsidRDefault="004537A3" w:rsidP="00C74104">
            <w:pPr>
              <w:keepNext/>
              <w:keepLines/>
              <w:jc w:val="center"/>
              <w:rPr>
                <w:rFonts w:ascii="Arial Narrow" w:hAnsi="Arial Narrow" w:cstheme="minorHAnsi"/>
                <w:bCs/>
                <w:sz w:val="20"/>
                <w:szCs w:val="20"/>
                <w:vertAlign w:val="superscript"/>
              </w:rPr>
            </w:pPr>
            <w:r w:rsidRPr="00AB6F27">
              <w:rPr>
                <w:rFonts w:ascii="Arial Narrow" w:hAnsi="Arial Narrow" w:cstheme="minorHAnsi"/>
                <w:bCs/>
                <w:sz w:val="20"/>
                <w:szCs w:val="20"/>
              </w:rPr>
              <w:t xml:space="preserve">Mean treatment duration = </w:t>
            </w:r>
            <w:r w:rsidRPr="00AB6F27">
              <w:rPr>
                <w:rFonts w:ascii="Arial Narrow" w:hAnsi="Arial Narrow"/>
                <w:sz w:val="20"/>
                <w:szCs w:val="20"/>
              </w:rPr>
              <w:t>20.5 months (88.9 weeks)</w:t>
            </w:r>
          </w:p>
        </w:tc>
      </w:tr>
      <w:tr w:rsidR="004537A3" w:rsidRPr="00AB6F27" w14:paraId="58CE8E04" w14:textId="77777777" w:rsidTr="001E26DD">
        <w:trPr>
          <w:trHeight w:val="20"/>
        </w:trPr>
        <w:tc>
          <w:tcPr>
            <w:tcW w:w="705" w:type="pct"/>
            <w:tcBorders>
              <w:top w:val="single" w:sz="4" w:space="0" w:color="auto"/>
              <w:left w:val="single" w:sz="4" w:space="0" w:color="auto"/>
              <w:bottom w:val="single" w:sz="4" w:space="0" w:color="000000"/>
              <w:right w:val="single" w:sz="4" w:space="0" w:color="auto"/>
            </w:tcBorders>
            <w:vAlign w:val="center"/>
            <w:hideMark/>
          </w:tcPr>
          <w:p w14:paraId="7F886F5E" w14:textId="77777777" w:rsidR="004537A3" w:rsidRPr="00AB6F27" w:rsidRDefault="004537A3" w:rsidP="00C74104">
            <w:pPr>
              <w:keepNext/>
              <w:keepLines/>
              <w:rPr>
                <w:rFonts w:ascii="Arial Narrow" w:hAnsi="Arial Narrow" w:cstheme="minorHAnsi"/>
                <w:sz w:val="20"/>
                <w:szCs w:val="20"/>
              </w:rPr>
            </w:pPr>
          </w:p>
        </w:tc>
        <w:tc>
          <w:tcPr>
            <w:tcW w:w="703" w:type="pct"/>
            <w:tcBorders>
              <w:top w:val="nil"/>
              <w:left w:val="nil"/>
              <w:bottom w:val="single" w:sz="4" w:space="0" w:color="auto"/>
              <w:right w:val="single" w:sz="4" w:space="0" w:color="auto"/>
            </w:tcBorders>
            <w:vAlign w:val="center"/>
            <w:hideMark/>
          </w:tcPr>
          <w:p w14:paraId="30255678" w14:textId="77777777" w:rsidR="004537A3" w:rsidRPr="00AB6F27" w:rsidRDefault="004537A3" w:rsidP="00C74104">
            <w:pPr>
              <w:keepNext/>
              <w:keepLines/>
              <w:jc w:val="left"/>
              <w:rPr>
                <w:rFonts w:ascii="Arial Narrow" w:hAnsi="Arial Narrow" w:cstheme="minorHAnsi"/>
                <w:b/>
                <w:sz w:val="20"/>
                <w:szCs w:val="20"/>
              </w:rPr>
            </w:pPr>
            <w:r w:rsidRPr="00AB6F27">
              <w:rPr>
                <w:rFonts w:ascii="Arial Narrow" w:hAnsi="Arial Narrow" w:cstheme="minorHAnsi"/>
                <w:b/>
                <w:sz w:val="20"/>
                <w:szCs w:val="20"/>
              </w:rPr>
              <w:t>Milligrams per infusion</w:t>
            </w:r>
          </w:p>
        </w:tc>
        <w:tc>
          <w:tcPr>
            <w:tcW w:w="668" w:type="pct"/>
            <w:tcBorders>
              <w:top w:val="nil"/>
              <w:left w:val="nil"/>
              <w:bottom w:val="single" w:sz="4" w:space="0" w:color="auto"/>
              <w:right w:val="single" w:sz="4" w:space="0" w:color="auto"/>
            </w:tcBorders>
            <w:vAlign w:val="center"/>
            <w:hideMark/>
          </w:tcPr>
          <w:p w14:paraId="23731409"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Number of infusions</w:t>
            </w:r>
          </w:p>
        </w:tc>
        <w:tc>
          <w:tcPr>
            <w:tcW w:w="749" w:type="pct"/>
            <w:tcBorders>
              <w:top w:val="nil"/>
              <w:left w:val="nil"/>
              <w:bottom w:val="single" w:sz="4" w:space="0" w:color="auto"/>
              <w:right w:val="single" w:sz="4" w:space="0" w:color="auto"/>
            </w:tcBorders>
            <w:vAlign w:val="center"/>
            <w:hideMark/>
          </w:tcPr>
          <w:p w14:paraId="10D459F7"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Total milligrams per course</w:t>
            </w:r>
          </w:p>
        </w:tc>
        <w:tc>
          <w:tcPr>
            <w:tcW w:w="725" w:type="pct"/>
            <w:tcBorders>
              <w:top w:val="nil"/>
              <w:left w:val="nil"/>
              <w:bottom w:val="single" w:sz="4" w:space="0" w:color="auto"/>
              <w:right w:val="single" w:sz="4" w:space="0" w:color="auto"/>
            </w:tcBorders>
            <w:vAlign w:val="center"/>
            <w:hideMark/>
          </w:tcPr>
          <w:p w14:paraId="3D8C1127"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Milligrams per infusion</w:t>
            </w:r>
          </w:p>
        </w:tc>
        <w:tc>
          <w:tcPr>
            <w:tcW w:w="678" w:type="pct"/>
            <w:tcBorders>
              <w:top w:val="nil"/>
              <w:left w:val="nil"/>
              <w:bottom w:val="single" w:sz="4" w:space="0" w:color="auto"/>
              <w:right w:val="single" w:sz="4" w:space="0" w:color="auto"/>
            </w:tcBorders>
            <w:vAlign w:val="center"/>
            <w:hideMark/>
          </w:tcPr>
          <w:p w14:paraId="417AD664"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Number of infusions</w:t>
            </w:r>
          </w:p>
        </w:tc>
        <w:tc>
          <w:tcPr>
            <w:tcW w:w="772" w:type="pct"/>
            <w:tcBorders>
              <w:top w:val="nil"/>
              <w:left w:val="nil"/>
              <w:bottom w:val="single" w:sz="4" w:space="0" w:color="auto"/>
              <w:right w:val="single" w:sz="4" w:space="0" w:color="auto"/>
            </w:tcBorders>
            <w:vAlign w:val="center"/>
            <w:hideMark/>
          </w:tcPr>
          <w:p w14:paraId="207F9046" w14:textId="77777777" w:rsidR="004537A3" w:rsidRPr="00AB6F27" w:rsidRDefault="004537A3" w:rsidP="00C74104">
            <w:pPr>
              <w:keepNext/>
              <w:keepLines/>
              <w:jc w:val="center"/>
              <w:rPr>
                <w:rFonts w:ascii="Arial Narrow" w:hAnsi="Arial Narrow" w:cstheme="minorHAnsi"/>
                <w:b/>
                <w:sz w:val="20"/>
                <w:szCs w:val="20"/>
              </w:rPr>
            </w:pPr>
            <w:r w:rsidRPr="00AB6F27">
              <w:rPr>
                <w:rFonts w:ascii="Arial Narrow" w:hAnsi="Arial Narrow" w:cstheme="minorHAnsi"/>
                <w:b/>
                <w:sz w:val="20"/>
                <w:szCs w:val="20"/>
              </w:rPr>
              <w:t>Total milligrams per course</w:t>
            </w:r>
          </w:p>
        </w:tc>
      </w:tr>
      <w:tr w:rsidR="004537A3" w:rsidRPr="00AB6F27" w14:paraId="14D6ACF4" w14:textId="77777777" w:rsidTr="001E26DD">
        <w:trPr>
          <w:trHeight w:val="20"/>
        </w:trPr>
        <w:tc>
          <w:tcPr>
            <w:tcW w:w="705" w:type="pct"/>
            <w:tcBorders>
              <w:top w:val="nil"/>
              <w:left w:val="single" w:sz="4" w:space="0" w:color="auto"/>
              <w:bottom w:val="single" w:sz="4" w:space="0" w:color="auto"/>
              <w:right w:val="single" w:sz="4" w:space="0" w:color="auto"/>
            </w:tcBorders>
            <w:noWrap/>
            <w:vAlign w:val="center"/>
            <w:hideMark/>
          </w:tcPr>
          <w:p w14:paraId="072B1F53" w14:textId="77777777" w:rsidR="004537A3" w:rsidRPr="00AB6F27" w:rsidRDefault="004537A3" w:rsidP="00C74104">
            <w:pPr>
              <w:keepNext/>
              <w:keepLines/>
              <w:rPr>
                <w:rFonts w:ascii="Arial Narrow" w:hAnsi="Arial Narrow" w:cstheme="minorHAnsi"/>
                <w:sz w:val="20"/>
                <w:szCs w:val="20"/>
              </w:rPr>
            </w:pPr>
            <w:r w:rsidRPr="00AB6F27">
              <w:rPr>
                <w:rFonts w:ascii="Arial Narrow" w:hAnsi="Arial Narrow" w:cstheme="minorHAnsi"/>
                <w:sz w:val="20"/>
                <w:szCs w:val="20"/>
              </w:rPr>
              <w:t>Induction</w:t>
            </w:r>
          </w:p>
        </w:tc>
        <w:tc>
          <w:tcPr>
            <w:tcW w:w="703" w:type="pct"/>
            <w:tcBorders>
              <w:top w:val="nil"/>
              <w:left w:val="nil"/>
              <w:bottom w:val="single" w:sz="4" w:space="0" w:color="auto"/>
              <w:right w:val="single" w:sz="4" w:space="0" w:color="auto"/>
            </w:tcBorders>
            <w:noWrap/>
            <w:vAlign w:val="center"/>
          </w:tcPr>
          <w:p w14:paraId="1C5D6DE6"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200</w:t>
            </w:r>
          </w:p>
        </w:tc>
        <w:tc>
          <w:tcPr>
            <w:tcW w:w="668" w:type="pct"/>
            <w:tcBorders>
              <w:top w:val="nil"/>
              <w:left w:val="nil"/>
              <w:bottom w:val="single" w:sz="4" w:space="0" w:color="auto"/>
              <w:right w:val="single" w:sz="4" w:space="0" w:color="auto"/>
            </w:tcBorders>
            <w:noWrap/>
            <w:vAlign w:val="center"/>
          </w:tcPr>
          <w:p w14:paraId="474DD39E" w14:textId="77777777" w:rsidR="004537A3" w:rsidRPr="00AB6F27" w:rsidRDefault="004537A3" w:rsidP="00C74104">
            <w:pPr>
              <w:keepNext/>
              <w:keepLines/>
              <w:jc w:val="center"/>
              <w:rPr>
                <w:rFonts w:ascii="Arial Narrow" w:hAnsi="Arial Narrow" w:cstheme="minorHAnsi"/>
                <w:sz w:val="20"/>
                <w:szCs w:val="20"/>
                <w:vertAlign w:val="superscript"/>
              </w:rPr>
            </w:pPr>
            <w:r w:rsidRPr="00AB6F27">
              <w:rPr>
                <w:rFonts w:ascii="Arial Narrow" w:hAnsi="Arial Narrow"/>
                <w:sz w:val="20"/>
                <w:szCs w:val="20"/>
              </w:rPr>
              <w:t>5.1</w:t>
            </w:r>
          </w:p>
        </w:tc>
        <w:tc>
          <w:tcPr>
            <w:tcW w:w="749" w:type="pct"/>
            <w:tcBorders>
              <w:top w:val="nil"/>
              <w:left w:val="nil"/>
              <w:bottom w:val="single" w:sz="4" w:space="0" w:color="auto"/>
              <w:right w:val="single" w:sz="4" w:space="0" w:color="auto"/>
            </w:tcBorders>
            <w:noWrap/>
            <w:vAlign w:val="center"/>
          </w:tcPr>
          <w:p w14:paraId="0FBC1DAE"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1,200</w:t>
            </w:r>
          </w:p>
        </w:tc>
        <w:tc>
          <w:tcPr>
            <w:tcW w:w="725" w:type="pct"/>
            <w:tcBorders>
              <w:top w:val="nil"/>
              <w:left w:val="nil"/>
              <w:bottom w:val="single" w:sz="4" w:space="0" w:color="auto"/>
              <w:right w:val="single" w:sz="4" w:space="0" w:color="auto"/>
            </w:tcBorders>
            <w:noWrap/>
            <w:vAlign w:val="center"/>
            <w:hideMark/>
          </w:tcPr>
          <w:p w14:paraId="3ECB686A"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500</w:t>
            </w:r>
          </w:p>
        </w:tc>
        <w:tc>
          <w:tcPr>
            <w:tcW w:w="678" w:type="pct"/>
            <w:tcBorders>
              <w:top w:val="nil"/>
              <w:left w:val="nil"/>
              <w:bottom w:val="single" w:sz="4" w:space="0" w:color="auto"/>
              <w:right w:val="single" w:sz="4" w:space="0" w:color="auto"/>
            </w:tcBorders>
            <w:noWrap/>
            <w:vAlign w:val="center"/>
          </w:tcPr>
          <w:p w14:paraId="1C7179EF" w14:textId="77777777" w:rsidR="004537A3" w:rsidRPr="00AB6F27" w:rsidRDefault="004537A3" w:rsidP="00C74104">
            <w:pPr>
              <w:keepNext/>
              <w:keepLines/>
              <w:jc w:val="center"/>
              <w:rPr>
                <w:rFonts w:ascii="Arial Narrow" w:hAnsi="Arial Narrow" w:cstheme="minorHAnsi"/>
                <w:sz w:val="20"/>
                <w:szCs w:val="20"/>
                <w:vertAlign w:val="superscript"/>
              </w:rPr>
            </w:pPr>
            <w:r w:rsidRPr="00AB6F27">
              <w:rPr>
                <w:rFonts w:ascii="Arial Narrow" w:hAnsi="Arial Narrow"/>
                <w:sz w:val="20"/>
                <w:szCs w:val="20"/>
              </w:rPr>
              <w:t>5.1</w:t>
            </w:r>
          </w:p>
        </w:tc>
        <w:tc>
          <w:tcPr>
            <w:tcW w:w="772" w:type="pct"/>
            <w:tcBorders>
              <w:top w:val="nil"/>
              <w:left w:val="nil"/>
              <w:bottom w:val="single" w:sz="4" w:space="0" w:color="auto"/>
              <w:right w:val="single" w:sz="4" w:space="0" w:color="auto"/>
            </w:tcBorders>
            <w:noWrap/>
            <w:vAlign w:val="center"/>
          </w:tcPr>
          <w:p w14:paraId="485F8DFB"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2,550</w:t>
            </w:r>
          </w:p>
        </w:tc>
      </w:tr>
      <w:tr w:rsidR="004537A3" w:rsidRPr="00AB6F27" w14:paraId="396A91DB" w14:textId="77777777" w:rsidTr="001E26DD">
        <w:trPr>
          <w:trHeight w:val="20"/>
        </w:trPr>
        <w:tc>
          <w:tcPr>
            <w:tcW w:w="705" w:type="pct"/>
            <w:tcBorders>
              <w:top w:val="nil"/>
              <w:left w:val="single" w:sz="4" w:space="0" w:color="auto"/>
              <w:bottom w:val="single" w:sz="4" w:space="0" w:color="auto"/>
              <w:right w:val="single" w:sz="4" w:space="0" w:color="auto"/>
            </w:tcBorders>
            <w:noWrap/>
            <w:vAlign w:val="center"/>
            <w:hideMark/>
          </w:tcPr>
          <w:p w14:paraId="0AB5CD28" w14:textId="77777777" w:rsidR="004537A3" w:rsidRPr="00AB6F27" w:rsidRDefault="004537A3" w:rsidP="00C74104">
            <w:pPr>
              <w:keepNext/>
              <w:keepLines/>
              <w:rPr>
                <w:rFonts w:ascii="Arial Narrow" w:hAnsi="Arial Narrow" w:cstheme="minorHAnsi"/>
                <w:sz w:val="20"/>
                <w:szCs w:val="20"/>
              </w:rPr>
            </w:pPr>
            <w:r w:rsidRPr="00AB6F27">
              <w:rPr>
                <w:rFonts w:ascii="Arial Narrow" w:hAnsi="Arial Narrow" w:cstheme="minorHAnsi"/>
                <w:sz w:val="20"/>
                <w:szCs w:val="20"/>
              </w:rPr>
              <w:t>Maintenance</w:t>
            </w:r>
          </w:p>
        </w:tc>
        <w:tc>
          <w:tcPr>
            <w:tcW w:w="703" w:type="pct"/>
            <w:tcBorders>
              <w:top w:val="nil"/>
              <w:left w:val="nil"/>
              <w:bottom w:val="single" w:sz="4" w:space="0" w:color="auto"/>
              <w:right w:val="single" w:sz="4" w:space="0" w:color="auto"/>
            </w:tcBorders>
            <w:noWrap/>
            <w:vAlign w:val="center"/>
          </w:tcPr>
          <w:p w14:paraId="7B8C3A10"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400</w:t>
            </w:r>
          </w:p>
        </w:tc>
        <w:tc>
          <w:tcPr>
            <w:tcW w:w="668" w:type="pct"/>
            <w:tcBorders>
              <w:top w:val="nil"/>
              <w:left w:val="nil"/>
              <w:bottom w:val="single" w:sz="4" w:space="0" w:color="auto"/>
              <w:right w:val="single" w:sz="4" w:space="0" w:color="auto"/>
            </w:tcBorders>
            <w:noWrap/>
            <w:vAlign w:val="center"/>
          </w:tcPr>
          <w:p w14:paraId="4D9C8367" w14:textId="77777777" w:rsidR="004537A3" w:rsidRPr="00AB6F27" w:rsidRDefault="004537A3" w:rsidP="00C74104">
            <w:pPr>
              <w:keepNext/>
              <w:keepLines/>
              <w:jc w:val="center"/>
              <w:rPr>
                <w:rFonts w:ascii="Arial Narrow" w:hAnsi="Arial Narrow" w:cstheme="minorHAnsi"/>
                <w:sz w:val="20"/>
                <w:szCs w:val="20"/>
                <w:vertAlign w:val="superscript"/>
              </w:rPr>
            </w:pPr>
            <w:r w:rsidRPr="00AB6F27">
              <w:rPr>
                <w:rFonts w:ascii="Arial Narrow" w:hAnsi="Arial Narrow"/>
                <w:sz w:val="20"/>
                <w:szCs w:val="20"/>
              </w:rPr>
              <w:t>12</w:t>
            </w:r>
          </w:p>
        </w:tc>
        <w:tc>
          <w:tcPr>
            <w:tcW w:w="749" w:type="pct"/>
            <w:tcBorders>
              <w:top w:val="nil"/>
              <w:left w:val="nil"/>
              <w:bottom w:val="single" w:sz="4" w:space="0" w:color="auto"/>
              <w:right w:val="single" w:sz="4" w:space="0" w:color="auto"/>
            </w:tcBorders>
            <w:noWrap/>
            <w:vAlign w:val="center"/>
          </w:tcPr>
          <w:p w14:paraId="0869EF8C"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4,800</w:t>
            </w:r>
          </w:p>
        </w:tc>
        <w:tc>
          <w:tcPr>
            <w:tcW w:w="725" w:type="pct"/>
            <w:tcBorders>
              <w:top w:val="nil"/>
              <w:left w:val="nil"/>
              <w:bottom w:val="single" w:sz="4" w:space="0" w:color="auto"/>
              <w:right w:val="single" w:sz="4" w:space="0" w:color="auto"/>
            </w:tcBorders>
            <w:noWrap/>
            <w:vAlign w:val="center"/>
            <w:hideMark/>
          </w:tcPr>
          <w:p w14:paraId="63177B44"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1,000</w:t>
            </w:r>
          </w:p>
        </w:tc>
        <w:tc>
          <w:tcPr>
            <w:tcW w:w="678" w:type="pct"/>
            <w:tcBorders>
              <w:top w:val="nil"/>
              <w:left w:val="nil"/>
              <w:bottom w:val="single" w:sz="4" w:space="0" w:color="auto"/>
              <w:right w:val="single" w:sz="4" w:space="0" w:color="auto"/>
            </w:tcBorders>
            <w:noWrap/>
            <w:vAlign w:val="center"/>
          </w:tcPr>
          <w:p w14:paraId="16E0BC64" w14:textId="77777777" w:rsidR="004537A3" w:rsidRPr="00AB6F27" w:rsidRDefault="004537A3" w:rsidP="00C74104">
            <w:pPr>
              <w:keepNext/>
              <w:keepLines/>
              <w:jc w:val="center"/>
              <w:rPr>
                <w:rFonts w:ascii="Arial Narrow" w:hAnsi="Arial Narrow" w:cstheme="minorHAnsi"/>
                <w:sz w:val="20"/>
                <w:szCs w:val="20"/>
                <w:vertAlign w:val="superscript"/>
              </w:rPr>
            </w:pPr>
            <w:r w:rsidRPr="00AB6F27">
              <w:rPr>
                <w:rFonts w:ascii="Arial Narrow" w:hAnsi="Arial Narrow"/>
                <w:sz w:val="20"/>
                <w:szCs w:val="20"/>
              </w:rPr>
              <w:t>12</w:t>
            </w:r>
          </w:p>
        </w:tc>
        <w:tc>
          <w:tcPr>
            <w:tcW w:w="772" w:type="pct"/>
            <w:tcBorders>
              <w:top w:val="nil"/>
              <w:left w:val="nil"/>
              <w:bottom w:val="single" w:sz="4" w:space="0" w:color="auto"/>
              <w:right w:val="single" w:sz="4" w:space="0" w:color="auto"/>
            </w:tcBorders>
            <w:noWrap/>
            <w:vAlign w:val="center"/>
          </w:tcPr>
          <w:p w14:paraId="46A81641"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12,000</w:t>
            </w:r>
          </w:p>
        </w:tc>
      </w:tr>
      <w:tr w:rsidR="004537A3" w:rsidRPr="00AB6F27" w14:paraId="44A25FDD" w14:textId="77777777" w:rsidTr="001E26DD">
        <w:trPr>
          <w:trHeight w:val="20"/>
        </w:trPr>
        <w:tc>
          <w:tcPr>
            <w:tcW w:w="705" w:type="pct"/>
            <w:tcBorders>
              <w:top w:val="single" w:sz="4" w:space="0" w:color="auto"/>
              <w:left w:val="single" w:sz="4" w:space="0" w:color="auto"/>
              <w:bottom w:val="single" w:sz="4" w:space="0" w:color="auto"/>
              <w:right w:val="single" w:sz="4" w:space="0" w:color="auto"/>
            </w:tcBorders>
            <w:noWrap/>
            <w:vAlign w:val="center"/>
            <w:hideMark/>
          </w:tcPr>
          <w:p w14:paraId="486A5B05" w14:textId="77777777" w:rsidR="004537A3" w:rsidRPr="00AB6F27" w:rsidRDefault="004537A3" w:rsidP="00C74104">
            <w:pPr>
              <w:keepNext/>
              <w:keepLines/>
              <w:rPr>
                <w:rFonts w:ascii="Arial Narrow" w:hAnsi="Arial Narrow" w:cstheme="minorHAnsi"/>
                <w:sz w:val="20"/>
                <w:szCs w:val="20"/>
              </w:rPr>
            </w:pPr>
            <w:r w:rsidRPr="00AB6F27">
              <w:rPr>
                <w:rFonts w:ascii="Arial Narrow" w:hAnsi="Arial Narrow" w:cstheme="minorHAnsi"/>
                <w:sz w:val="20"/>
                <w:szCs w:val="20"/>
              </w:rPr>
              <w:t>Total</w:t>
            </w:r>
          </w:p>
        </w:tc>
        <w:tc>
          <w:tcPr>
            <w:tcW w:w="703" w:type="pct"/>
            <w:tcBorders>
              <w:top w:val="single" w:sz="4" w:space="0" w:color="auto"/>
              <w:left w:val="nil"/>
              <w:bottom w:val="single" w:sz="4" w:space="0" w:color="auto"/>
              <w:right w:val="single" w:sz="4" w:space="0" w:color="auto"/>
            </w:tcBorders>
            <w:noWrap/>
            <w:vAlign w:val="center"/>
          </w:tcPr>
          <w:p w14:paraId="3332AE34"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w:t>
            </w:r>
          </w:p>
        </w:tc>
        <w:tc>
          <w:tcPr>
            <w:tcW w:w="668" w:type="pct"/>
            <w:tcBorders>
              <w:top w:val="single" w:sz="4" w:space="0" w:color="auto"/>
              <w:left w:val="nil"/>
              <w:bottom w:val="single" w:sz="4" w:space="0" w:color="auto"/>
              <w:right w:val="single" w:sz="4" w:space="0" w:color="auto"/>
            </w:tcBorders>
            <w:noWrap/>
            <w:vAlign w:val="center"/>
          </w:tcPr>
          <w:p w14:paraId="3A51BD22" w14:textId="77777777" w:rsidR="004537A3" w:rsidRPr="00AB6F27" w:rsidRDefault="004537A3" w:rsidP="00C74104">
            <w:pPr>
              <w:keepNext/>
              <w:keepLines/>
              <w:jc w:val="center"/>
              <w:rPr>
                <w:rFonts w:ascii="Arial Narrow" w:hAnsi="Arial Narrow" w:cstheme="minorHAnsi"/>
                <w:sz w:val="20"/>
                <w:szCs w:val="20"/>
                <w:vertAlign w:val="superscript"/>
              </w:rPr>
            </w:pPr>
            <w:r w:rsidRPr="00AB6F27">
              <w:rPr>
                <w:rFonts w:ascii="Arial Narrow" w:hAnsi="Arial Narrow"/>
                <w:sz w:val="20"/>
                <w:szCs w:val="20"/>
              </w:rPr>
              <w:t>17.1</w:t>
            </w:r>
          </w:p>
        </w:tc>
        <w:tc>
          <w:tcPr>
            <w:tcW w:w="749" w:type="pct"/>
            <w:tcBorders>
              <w:top w:val="single" w:sz="4" w:space="0" w:color="auto"/>
              <w:left w:val="nil"/>
              <w:bottom w:val="single" w:sz="4" w:space="0" w:color="auto"/>
              <w:right w:val="single" w:sz="4" w:space="0" w:color="auto"/>
            </w:tcBorders>
            <w:noWrap/>
            <w:vAlign w:val="center"/>
          </w:tcPr>
          <w:p w14:paraId="6CD19CB0"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5,820</w:t>
            </w:r>
          </w:p>
        </w:tc>
        <w:tc>
          <w:tcPr>
            <w:tcW w:w="725" w:type="pct"/>
            <w:tcBorders>
              <w:top w:val="single" w:sz="4" w:space="0" w:color="auto"/>
              <w:left w:val="nil"/>
              <w:bottom w:val="single" w:sz="4" w:space="0" w:color="auto"/>
              <w:right w:val="single" w:sz="4" w:space="0" w:color="auto"/>
            </w:tcBorders>
            <w:noWrap/>
            <w:vAlign w:val="center"/>
            <w:hideMark/>
          </w:tcPr>
          <w:p w14:paraId="4074F5E3"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w:t>
            </w:r>
          </w:p>
        </w:tc>
        <w:tc>
          <w:tcPr>
            <w:tcW w:w="678" w:type="pct"/>
            <w:tcBorders>
              <w:top w:val="single" w:sz="4" w:space="0" w:color="auto"/>
              <w:left w:val="nil"/>
              <w:bottom w:val="single" w:sz="4" w:space="0" w:color="auto"/>
              <w:right w:val="single" w:sz="4" w:space="0" w:color="auto"/>
            </w:tcBorders>
            <w:noWrap/>
            <w:vAlign w:val="center"/>
          </w:tcPr>
          <w:p w14:paraId="6209D94F" w14:textId="77777777" w:rsidR="004537A3" w:rsidRPr="00AB6F27" w:rsidRDefault="004537A3" w:rsidP="00C74104">
            <w:pPr>
              <w:keepNext/>
              <w:keepLines/>
              <w:jc w:val="center"/>
              <w:rPr>
                <w:rFonts w:ascii="Arial Narrow" w:hAnsi="Arial Narrow" w:cstheme="minorHAnsi"/>
                <w:sz w:val="20"/>
                <w:szCs w:val="20"/>
                <w:vertAlign w:val="superscript"/>
              </w:rPr>
            </w:pPr>
            <w:r w:rsidRPr="00AB6F27">
              <w:rPr>
                <w:rFonts w:ascii="Arial Narrow" w:hAnsi="Arial Narrow"/>
                <w:sz w:val="20"/>
                <w:szCs w:val="20"/>
              </w:rPr>
              <w:t>17.1</w:t>
            </w:r>
          </w:p>
        </w:tc>
        <w:tc>
          <w:tcPr>
            <w:tcW w:w="772" w:type="pct"/>
            <w:tcBorders>
              <w:top w:val="single" w:sz="4" w:space="0" w:color="auto"/>
              <w:left w:val="nil"/>
              <w:bottom w:val="single" w:sz="4" w:space="0" w:color="auto"/>
              <w:right w:val="single" w:sz="4" w:space="0" w:color="auto"/>
            </w:tcBorders>
            <w:noWrap/>
            <w:vAlign w:val="bottom"/>
          </w:tcPr>
          <w:p w14:paraId="2EE28F5B"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14,550</w:t>
            </w:r>
          </w:p>
        </w:tc>
      </w:tr>
      <w:tr w:rsidR="004537A3" w:rsidRPr="00AB6F27" w14:paraId="71B8B1DB" w14:textId="77777777" w:rsidTr="001E26DD">
        <w:trPr>
          <w:trHeight w:val="20"/>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244477E7" w14:textId="77777777" w:rsidR="004537A3" w:rsidRPr="00AB6F27" w:rsidRDefault="004537A3" w:rsidP="00C74104">
            <w:pPr>
              <w:keepNext/>
              <w:keepLines/>
              <w:rPr>
                <w:rFonts w:ascii="Arial Narrow" w:hAnsi="Arial Narrow" w:cstheme="minorHAnsi"/>
                <w:b/>
                <w:bCs/>
                <w:sz w:val="20"/>
                <w:szCs w:val="20"/>
              </w:rPr>
            </w:pPr>
            <w:r w:rsidRPr="00AB6F27">
              <w:rPr>
                <w:rFonts w:ascii="Arial Narrow" w:hAnsi="Arial Narrow" w:cstheme="minorHAnsi"/>
                <w:b/>
                <w:bCs/>
                <w:sz w:val="20"/>
                <w:szCs w:val="20"/>
              </w:rPr>
              <w:t>Cost minimisation (sensitivity analysis)</w:t>
            </w:r>
          </w:p>
        </w:tc>
      </w:tr>
      <w:tr w:rsidR="004537A3" w:rsidRPr="00AB6F27" w14:paraId="2C4F27E1" w14:textId="77777777" w:rsidTr="001E26DD">
        <w:trPr>
          <w:trHeight w:val="20"/>
        </w:trPr>
        <w:tc>
          <w:tcPr>
            <w:tcW w:w="705" w:type="pct"/>
            <w:tcBorders>
              <w:top w:val="single" w:sz="4" w:space="0" w:color="auto"/>
              <w:left w:val="single" w:sz="4" w:space="0" w:color="auto"/>
              <w:bottom w:val="single" w:sz="4" w:space="0" w:color="auto"/>
              <w:right w:val="single" w:sz="4" w:space="0" w:color="auto"/>
            </w:tcBorders>
            <w:noWrap/>
            <w:vAlign w:val="center"/>
          </w:tcPr>
          <w:p w14:paraId="558C0FB3" w14:textId="77777777" w:rsidR="004537A3" w:rsidRPr="00AB6F27" w:rsidRDefault="004537A3" w:rsidP="00C74104">
            <w:pPr>
              <w:keepNext/>
              <w:keepLines/>
              <w:rPr>
                <w:rFonts w:ascii="Arial Narrow" w:hAnsi="Arial Narrow" w:cstheme="minorHAnsi"/>
                <w:sz w:val="20"/>
                <w:szCs w:val="20"/>
              </w:rPr>
            </w:pPr>
          </w:p>
        </w:tc>
        <w:tc>
          <w:tcPr>
            <w:tcW w:w="2119" w:type="pct"/>
            <w:gridSpan w:val="3"/>
            <w:tcBorders>
              <w:top w:val="single" w:sz="4" w:space="0" w:color="auto"/>
              <w:left w:val="nil"/>
              <w:bottom w:val="single" w:sz="4" w:space="0" w:color="auto"/>
              <w:right w:val="single" w:sz="4" w:space="0" w:color="auto"/>
            </w:tcBorders>
            <w:noWrap/>
            <w:vAlign w:val="center"/>
          </w:tcPr>
          <w:p w14:paraId="79432AA7"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Output</w:t>
            </w:r>
          </w:p>
        </w:tc>
        <w:tc>
          <w:tcPr>
            <w:tcW w:w="1403" w:type="pct"/>
            <w:gridSpan w:val="2"/>
            <w:tcBorders>
              <w:top w:val="single" w:sz="4" w:space="0" w:color="auto"/>
              <w:left w:val="nil"/>
              <w:bottom w:val="single" w:sz="4" w:space="0" w:color="auto"/>
              <w:right w:val="single" w:sz="4" w:space="0" w:color="auto"/>
            </w:tcBorders>
            <w:noWrap/>
            <w:vAlign w:val="center"/>
          </w:tcPr>
          <w:p w14:paraId="20C846B3"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Calculation/Method</w:t>
            </w:r>
          </w:p>
        </w:tc>
        <w:tc>
          <w:tcPr>
            <w:tcW w:w="772" w:type="pct"/>
            <w:tcBorders>
              <w:top w:val="single" w:sz="4" w:space="0" w:color="auto"/>
              <w:left w:val="nil"/>
              <w:bottom w:val="single" w:sz="4" w:space="0" w:color="auto"/>
              <w:right w:val="single" w:sz="4" w:space="0" w:color="auto"/>
            </w:tcBorders>
            <w:noWrap/>
            <w:vAlign w:val="center"/>
          </w:tcPr>
          <w:p w14:paraId="3E4D0896"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Result</w:t>
            </w:r>
          </w:p>
        </w:tc>
      </w:tr>
      <w:tr w:rsidR="004537A3" w:rsidRPr="00AB6F27" w14:paraId="74BDE23C" w14:textId="77777777" w:rsidTr="001E26DD">
        <w:trPr>
          <w:trHeight w:val="20"/>
        </w:trPr>
        <w:tc>
          <w:tcPr>
            <w:tcW w:w="705" w:type="pct"/>
            <w:tcBorders>
              <w:top w:val="single" w:sz="4" w:space="0" w:color="auto"/>
              <w:left w:val="single" w:sz="4" w:space="0" w:color="auto"/>
              <w:bottom w:val="single" w:sz="4" w:space="0" w:color="auto"/>
              <w:right w:val="single" w:sz="4" w:space="0" w:color="auto"/>
            </w:tcBorders>
            <w:noWrap/>
            <w:vAlign w:val="center"/>
          </w:tcPr>
          <w:p w14:paraId="73B99DDB"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theme="minorHAnsi"/>
                <w:sz w:val="20"/>
                <w:szCs w:val="20"/>
              </w:rPr>
              <w:t>A</w:t>
            </w:r>
          </w:p>
        </w:tc>
        <w:tc>
          <w:tcPr>
            <w:tcW w:w="2119" w:type="pct"/>
            <w:gridSpan w:val="3"/>
            <w:tcBorders>
              <w:top w:val="single" w:sz="4" w:space="0" w:color="auto"/>
              <w:left w:val="nil"/>
              <w:bottom w:val="single" w:sz="4" w:space="0" w:color="auto"/>
              <w:right w:val="single" w:sz="4" w:space="0" w:color="auto"/>
            </w:tcBorders>
            <w:noWrap/>
            <w:vAlign w:val="center"/>
          </w:tcPr>
          <w:p w14:paraId="32E9C076" w14:textId="77777777" w:rsidR="004537A3" w:rsidRPr="00AB6F27" w:rsidRDefault="004537A3" w:rsidP="00C74104">
            <w:pPr>
              <w:keepNext/>
              <w:keepLines/>
              <w:jc w:val="left"/>
              <w:rPr>
                <w:rFonts w:ascii="Arial Narrow" w:hAnsi="Arial Narrow" w:cstheme="minorHAnsi"/>
                <w:sz w:val="20"/>
                <w:szCs w:val="20"/>
              </w:rPr>
            </w:pPr>
            <w:r w:rsidRPr="00AB6F27">
              <w:rPr>
                <w:rFonts w:ascii="Arial Narrow" w:hAnsi="Arial Narrow"/>
                <w:sz w:val="20"/>
                <w:szCs w:val="20"/>
              </w:rPr>
              <w:t>Cost of dostarlimab per mg</w:t>
            </w:r>
          </w:p>
        </w:tc>
        <w:tc>
          <w:tcPr>
            <w:tcW w:w="1403" w:type="pct"/>
            <w:gridSpan w:val="2"/>
            <w:tcBorders>
              <w:top w:val="single" w:sz="4" w:space="0" w:color="auto"/>
              <w:left w:val="nil"/>
              <w:bottom w:val="single" w:sz="4" w:space="0" w:color="auto"/>
              <w:right w:val="single" w:sz="4" w:space="0" w:color="auto"/>
            </w:tcBorders>
            <w:noWrap/>
            <w:vAlign w:val="center"/>
          </w:tcPr>
          <w:p w14:paraId="4C8949E8"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$7,647.50/ 500 mg</w:t>
            </w:r>
          </w:p>
        </w:tc>
        <w:tc>
          <w:tcPr>
            <w:tcW w:w="772" w:type="pct"/>
            <w:tcBorders>
              <w:top w:val="single" w:sz="4" w:space="0" w:color="auto"/>
              <w:left w:val="nil"/>
              <w:bottom w:val="single" w:sz="4" w:space="0" w:color="auto"/>
              <w:right w:val="single" w:sz="4" w:space="0" w:color="auto"/>
            </w:tcBorders>
            <w:noWrap/>
            <w:vAlign w:val="center"/>
          </w:tcPr>
          <w:p w14:paraId="49E5175B"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Calibri"/>
                <w:color w:val="000000"/>
                <w:sz w:val="20"/>
                <w:szCs w:val="20"/>
              </w:rPr>
              <w:t>$15.30</w:t>
            </w:r>
          </w:p>
        </w:tc>
      </w:tr>
      <w:tr w:rsidR="004537A3" w:rsidRPr="00AB6F27" w14:paraId="071DCE1A" w14:textId="77777777" w:rsidTr="001E26DD">
        <w:trPr>
          <w:trHeight w:val="20"/>
        </w:trPr>
        <w:tc>
          <w:tcPr>
            <w:tcW w:w="705" w:type="pct"/>
            <w:tcBorders>
              <w:top w:val="single" w:sz="4" w:space="0" w:color="auto"/>
              <w:left w:val="single" w:sz="4" w:space="0" w:color="auto"/>
              <w:bottom w:val="single" w:sz="4" w:space="0" w:color="auto"/>
              <w:right w:val="single" w:sz="4" w:space="0" w:color="auto"/>
            </w:tcBorders>
            <w:noWrap/>
            <w:vAlign w:val="center"/>
          </w:tcPr>
          <w:p w14:paraId="339D1261"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theme="minorHAnsi"/>
                <w:sz w:val="20"/>
                <w:szCs w:val="20"/>
              </w:rPr>
              <w:t>B</w:t>
            </w:r>
          </w:p>
        </w:tc>
        <w:tc>
          <w:tcPr>
            <w:tcW w:w="2119" w:type="pct"/>
            <w:gridSpan w:val="3"/>
            <w:tcBorders>
              <w:top w:val="single" w:sz="4" w:space="0" w:color="auto"/>
              <w:left w:val="nil"/>
              <w:bottom w:val="single" w:sz="4" w:space="0" w:color="auto"/>
              <w:right w:val="single" w:sz="4" w:space="0" w:color="auto"/>
            </w:tcBorders>
            <w:noWrap/>
            <w:vAlign w:val="center"/>
          </w:tcPr>
          <w:p w14:paraId="2BD6F35F" w14:textId="77777777" w:rsidR="004537A3" w:rsidRPr="00AB6F27" w:rsidRDefault="004537A3" w:rsidP="00C74104">
            <w:pPr>
              <w:keepNext/>
              <w:keepLines/>
              <w:jc w:val="left"/>
              <w:rPr>
                <w:rFonts w:ascii="Arial Narrow" w:hAnsi="Arial Narrow" w:cstheme="minorHAnsi"/>
                <w:sz w:val="20"/>
                <w:szCs w:val="20"/>
              </w:rPr>
            </w:pPr>
            <w:r w:rsidRPr="00AB6F27">
              <w:rPr>
                <w:rFonts w:ascii="Arial Narrow" w:hAnsi="Arial Narrow"/>
                <w:sz w:val="20"/>
                <w:szCs w:val="20"/>
              </w:rPr>
              <w:t xml:space="preserve">Cost of dostarlimab per course </w:t>
            </w:r>
          </w:p>
        </w:tc>
        <w:tc>
          <w:tcPr>
            <w:tcW w:w="1403" w:type="pct"/>
            <w:gridSpan w:val="2"/>
            <w:tcBorders>
              <w:top w:val="single" w:sz="4" w:space="0" w:color="auto"/>
              <w:left w:val="nil"/>
              <w:bottom w:val="single" w:sz="4" w:space="0" w:color="auto"/>
              <w:right w:val="single" w:sz="4" w:space="0" w:color="auto"/>
            </w:tcBorders>
            <w:noWrap/>
            <w:vAlign w:val="center"/>
          </w:tcPr>
          <w:p w14:paraId="70435F12" w14:textId="77777777" w:rsidR="004537A3" w:rsidRPr="00AB6F27" w:rsidRDefault="004537A3" w:rsidP="00C74104">
            <w:pPr>
              <w:jc w:val="center"/>
              <w:rPr>
                <w:rFonts w:ascii="Arial Narrow" w:hAnsi="Arial Narrow" w:cstheme="minorHAnsi"/>
                <w:sz w:val="20"/>
                <w:szCs w:val="20"/>
              </w:rPr>
            </w:pPr>
            <w:r w:rsidRPr="00AB6F27">
              <w:rPr>
                <w:rFonts w:ascii="Arial Narrow" w:hAnsi="Arial Narrow" w:cs="Calibri"/>
                <w:color w:val="000000"/>
                <w:sz w:val="20"/>
                <w:szCs w:val="20"/>
              </w:rPr>
              <w:t>14,550 x A</w:t>
            </w:r>
          </w:p>
        </w:tc>
        <w:tc>
          <w:tcPr>
            <w:tcW w:w="772" w:type="pct"/>
            <w:tcBorders>
              <w:top w:val="single" w:sz="4" w:space="0" w:color="auto"/>
              <w:left w:val="nil"/>
              <w:bottom w:val="single" w:sz="4" w:space="0" w:color="auto"/>
              <w:right w:val="single" w:sz="4" w:space="0" w:color="auto"/>
            </w:tcBorders>
            <w:noWrap/>
            <w:vAlign w:val="center"/>
          </w:tcPr>
          <w:p w14:paraId="63A33464"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Calibri"/>
                <w:color w:val="000000"/>
                <w:sz w:val="20"/>
                <w:szCs w:val="20"/>
              </w:rPr>
              <w:t>$222,542.25</w:t>
            </w:r>
          </w:p>
        </w:tc>
      </w:tr>
      <w:tr w:rsidR="004537A3" w:rsidRPr="00AB6F27" w14:paraId="771467EC" w14:textId="77777777" w:rsidTr="001E26DD">
        <w:trPr>
          <w:trHeight w:val="20"/>
        </w:trPr>
        <w:tc>
          <w:tcPr>
            <w:tcW w:w="705" w:type="pct"/>
            <w:tcBorders>
              <w:top w:val="single" w:sz="4" w:space="0" w:color="auto"/>
              <w:left w:val="single" w:sz="4" w:space="0" w:color="auto"/>
              <w:bottom w:val="single" w:sz="4" w:space="0" w:color="auto"/>
              <w:right w:val="single" w:sz="4" w:space="0" w:color="auto"/>
            </w:tcBorders>
            <w:noWrap/>
            <w:vAlign w:val="center"/>
          </w:tcPr>
          <w:p w14:paraId="1D7872E5"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theme="minorHAnsi"/>
                <w:sz w:val="20"/>
                <w:szCs w:val="20"/>
              </w:rPr>
              <w:t>G</w:t>
            </w:r>
          </w:p>
        </w:tc>
        <w:tc>
          <w:tcPr>
            <w:tcW w:w="2119" w:type="pct"/>
            <w:gridSpan w:val="3"/>
            <w:tcBorders>
              <w:top w:val="single" w:sz="4" w:space="0" w:color="auto"/>
              <w:left w:val="nil"/>
              <w:bottom w:val="single" w:sz="4" w:space="0" w:color="auto"/>
              <w:right w:val="single" w:sz="4" w:space="0" w:color="auto"/>
            </w:tcBorders>
            <w:noWrap/>
            <w:vAlign w:val="center"/>
          </w:tcPr>
          <w:p w14:paraId="30DC7E8E" w14:textId="77777777" w:rsidR="004537A3" w:rsidRPr="00AB6F27" w:rsidRDefault="004537A3" w:rsidP="00C74104">
            <w:pPr>
              <w:keepNext/>
              <w:keepLines/>
              <w:rPr>
                <w:rFonts w:ascii="Arial Narrow" w:hAnsi="Arial Narrow" w:cstheme="minorHAnsi"/>
                <w:sz w:val="20"/>
                <w:szCs w:val="20"/>
              </w:rPr>
            </w:pPr>
            <w:r w:rsidRPr="00AB6F27">
              <w:rPr>
                <w:rFonts w:ascii="Arial Narrow" w:hAnsi="Arial Narrow"/>
                <w:sz w:val="20"/>
                <w:szCs w:val="20"/>
              </w:rPr>
              <w:t>Cost of pembrolizumab per mg</w:t>
            </w:r>
          </w:p>
        </w:tc>
        <w:tc>
          <w:tcPr>
            <w:tcW w:w="1403" w:type="pct"/>
            <w:gridSpan w:val="2"/>
            <w:tcBorders>
              <w:top w:val="single" w:sz="4" w:space="0" w:color="auto"/>
              <w:left w:val="nil"/>
              <w:bottom w:val="single" w:sz="4" w:space="0" w:color="auto"/>
              <w:right w:val="single" w:sz="4" w:space="0" w:color="auto"/>
            </w:tcBorders>
            <w:noWrap/>
            <w:vAlign w:val="center"/>
          </w:tcPr>
          <w:p w14:paraId="15EFCC61"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F / 5,820 mg</w:t>
            </w:r>
          </w:p>
        </w:tc>
        <w:tc>
          <w:tcPr>
            <w:tcW w:w="772" w:type="pct"/>
            <w:tcBorders>
              <w:top w:val="single" w:sz="4" w:space="0" w:color="auto"/>
              <w:left w:val="nil"/>
              <w:bottom w:val="single" w:sz="4" w:space="0" w:color="auto"/>
              <w:right w:val="single" w:sz="4" w:space="0" w:color="auto"/>
            </w:tcBorders>
            <w:noWrap/>
            <w:vAlign w:val="center"/>
          </w:tcPr>
          <w:p w14:paraId="2B8060F5"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Calibri"/>
                <w:color w:val="000000"/>
                <w:sz w:val="20"/>
                <w:szCs w:val="20"/>
              </w:rPr>
              <w:t>$38.24</w:t>
            </w:r>
          </w:p>
        </w:tc>
      </w:tr>
      <w:tr w:rsidR="004537A3" w:rsidRPr="00AB6F27" w14:paraId="04BA4350" w14:textId="77777777" w:rsidTr="001E26DD">
        <w:trPr>
          <w:trHeight w:val="20"/>
        </w:trPr>
        <w:tc>
          <w:tcPr>
            <w:tcW w:w="705" w:type="pct"/>
            <w:tcBorders>
              <w:top w:val="single" w:sz="4" w:space="0" w:color="auto"/>
              <w:left w:val="single" w:sz="4" w:space="0" w:color="auto"/>
              <w:bottom w:val="single" w:sz="4" w:space="0" w:color="auto"/>
              <w:right w:val="single" w:sz="4" w:space="0" w:color="auto"/>
            </w:tcBorders>
            <w:noWrap/>
            <w:vAlign w:val="center"/>
          </w:tcPr>
          <w:p w14:paraId="64E3CF87"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cstheme="minorHAnsi"/>
                <w:sz w:val="20"/>
                <w:szCs w:val="20"/>
              </w:rPr>
              <w:t>H</w:t>
            </w:r>
          </w:p>
        </w:tc>
        <w:tc>
          <w:tcPr>
            <w:tcW w:w="2119" w:type="pct"/>
            <w:gridSpan w:val="3"/>
            <w:tcBorders>
              <w:top w:val="single" w:sz="4" w:space="0" w:color="auto"/>
              <w:left w:val="nil"/>
              <w:bottom w:val="single" w:sz="4" w:space="0" w:color="auto"/>
              <w:right w:val="single" w:sz="4" w:space="0" w:color="auto"/>
            </w:tcBorders>
            <w:noWrap/>
            <w:vAlign w:val="center"/>
          </w:tcPr>
          <w:p w14:paraId="129D658F" w14:textId="77777777" w:rsidR="004537A3" w:rsidRPr="00AB6F27" w:rsidRDefault="004537A3" w:rsidP="00C74104">
            <w:pPr>
              <w:keepNext/>
              <w:keepLines/>
              <w:jc w:val="left"/>
              <w:rPr>
                <w:rFonts w:ascii="Arial Narrow" w:hAnsi="Arial Narrow" w:cstheme="minorHAnsi"/>
                <w:b/>
                <w:bCs/>
                <w:sz w:val="20"/>
                <w:szCs w:val="20"/>
              </w:rPr>
            </w:pPr>
            <w:r w:rsidRPr="00AB6F27">
              <w:rPr>
                <w:rFonts w:ascii="Arial Narrow" w:hAnsi="Arial Narrow"/>
                <w:sz w:val="20"/>
                <w:szCs w:val="20"/>
              </w:rPr>
              <w:t>Cost minimised AEMP per 100mg vial pembrolizumab</w:t>
            </w:r>
          </w:p>
        </w:tc>
        <w:tc>
          <w:tcPr>
            <w:tcW w:w="1403" w:type="pct"/>
            <w:gridSpan w:val="2"/>
            <w:tcBorders>
              <w:top w:val="single" w:sz="4" w:space="0" w:color="auto"/>
              <w:left w:val="nil"/>
              <w:bottom w:val="single" w:sz="4" w:space="0" w:color="auto"/>
              <w:right w:val="single" w:sz="4" w:space="0" w:color="auto"/>
            </w:tcBorders>
            <w:noWrap/>
            <w:vAlign w:val="center"/>
          </w:tcPr>
          <w:p w14:paraId="3B4DC790" w14:textId="77777777" w:rsidR="004537A3" w:rsidRPr="00AB6F27" w:rsidRDefault="004537A3" w:rsidP="00C74104">
            <w:pPr>
              <w:keepNext/>
              <w:keepLines/>
              <w:jc w:val="center"/>
              <w:rPr>
                <w:rFonts w:ascii="Arial Narrow" w:hAnsi="Arial Narrow" w:cstheme="minorHAnsi"/>
                <w:sz w:val="20"/>
                <w:szCs w:val="20"/>
              </w:rPr>
            </w:pPr>
            <w:r w:rsidRPr="00AB6F27">
              <w:rPr>
                <w:rFonts w:ascii="Arial Narrow" w:hAnsi="Arial Narrow"/>
                <w:sz w:val="20"/>
                <w:szCs w:val="20"/>
              </w:rPr>
              <w:t>G * 100</w:t>
            </w:r>
          </w:p>
        </w:tc>
        <w:tc>
          <w:tcPr>
            <w:tcW w:w="772" w:type="pct"/>
            <w:tcBorders>
              <w:top w:val="single" w:sz="4" w:space="0" w:color="auto"/>
              <w:left w:val="nil"/>
              <w:bottom w:val="single" w:sz="4" w:space="0" w:color="auto"/>
              <w:right w:val="single" w:sz="4" w:space="0" w:color="auto"/>
            </w:tcBorders>
            <w:noWrap/>
            <w:vAlign w:val="center"/>
          </w:tcPr>
          <w:p w14:paraId="31EDA406" w14:textId="77777777" w:rsidR="004537A3" w:rsidRPr="00AB6F27" w:rsidRDefault="004537A3" w:rsidP="00C74104">
            <w:pPr>
              <w:keepNext/>
              <w:keepLines/>
              <w:jc w:val="center"/>
              <w:rPr>
                <w:rFonts w:ascii="Arial Narrow" w:hAnsi="Arial Narrow" w:cstheme="minorHAnsi"/>
                <w:b/>
                <w:bCs/>
                <w:sz w:val="20"/>
                <w:szCs w:val="20"/>
                <w:vertAlign w:val="superscript"/>
              </w:rPr>
            </w:pPr>
            <w:r w:rsidRPr="00AB6F27">
              <w:rPr>
                <w:rFonts w:ascii="Arial Narrow" w:hAnsi="Arial Narrow" w:cs="Calibri"/>
                <w:b/>
                <w:bCs/>
                <w:color w:val="000000"/>
                <w:sz w:val="20"/>
                <w:szCs w:val="20"/>
              </w:rPr>
              <w:t>$3,823.75</w:t>
            </w:r>
          </w:p>
        </w:tc>
      </w:tr>
    </w:tbl>
    <w:p w14:paraId="78B51253" w14:textId="3A444E57" w:rsidR="004537A3" w:rsidRPr="00AB6F27" w:rsidRDefault="004537A3" w:rsidP="004537A3">
      <w:pPr>
        <w:pStyle w:val="3-BodyText"/>
        <w:numPr>
          <w:ilvl w:val="0"/>
          <w:numId w:val="0"/>
        </w:numPr>
        <w:spacing w:after="0"/>
        <w:rPr>
          <w:rFonts w:ascii="Arial Narrow" w:hAnsi="Arial Narrow"/>
          <w:sz w:val="20"/>
          <w:szCs w:val="20"/>
        </w:rPr>
      </w:pPr>
      <w:r w:rsidRPr="00AB6F27">
        <w:rPr>
          <w:rFonts w:ascii="Arial Narrow" w:hAnsi="Arial Narrow"/>
          <w:sz w:val="20"/>
          <w:szCs w:val="20"/>
        </w:rPr>
        <w:t xml:space="preserve">Source: Calculated during evaluation for sensitivity analysis. The dose equivalence for DUR was sourced from the PBAC outcomes for November 2024.  The PBAC </w:t>
      </w:r>
      <w:r w:rsidR="008E2BF1">
        <w:rPr>
          <w:rFonts w:ascii="Arial Narrow" w:hAnsi="Arial Narrow"/>
          <w:sz w:val="20"/>
          <w:szCs w:val="20"/>
        </w:rPr>
        <w:t xml:space="preserve">previously </w:t>
      </w:r>
      <w:r w:rsidRPr="00AB6F27">
        <w:rPr>
          <w:rFonts w:ascii="Arial Narrow" w:hAnsi="Arial Narrow"/>
          <w:sz w:val="20"/>
          <w:szCs w:val="20"/>
        </w:rPr>
        <w:t>considered that over a mean duration of therapy of 20.5 months, durvalumab 32,712 mg was equivalent to dostarlimab 14,550 mg.</w:t>
      </w:r>
    </w:p>
    <w:p w14:paraId="558CF82E" w14:textId="77777777" w:rsidR="004537A3" w:rsidRPr="00AB6F27" w:rsidRDefault="004537A3" w:rsidP="004537A3">
      <w:pPr>
        <w:pStyle w:val="3-BodyText"/>
        <w:numPr>
          <w:ilvl w:val="0"/>
          <w:numId w:val="0"/>
        </w:numPr>
        <w:spacing w:after="0"/>
        <w:rPr>
          <w:rFonts w:ascii="Arial Narrow" w:hAnsi="Arial Narrow"/>
          <w:sz w:val="20"/>
          <w:szCs w:val="20"/>
        </w:rPr>
      </w:pPr>
      <w:r w:rsidRPr="00AB6F27">
        <w:rPr>
          <w:rFonts w:ascii="Arial Narrow" w:hAnsi="Arial Narrow"/>
          <w:sz w:val="20"/>
          <w:szCs w:val="20"/>
        </w:rPr>
        <w:t>Abbreviations: AEMP = approved ex-manufacturer price</w:t>
      </w:r>
    </w:p>
    <w:p w14:paraId="1C19EAA2" w14:textId="77777777" w:rsidR="004537A3" w:rsidRPr="00AB6F27" w:rsidRDefault="004537A3" w:rsidP="004537A3">
      <w:pPr>
        <w:pStyle w:val="3-BodyText"/>
        <w:numPr>
          <w:ilvl w:val="0"/>
          <w:numId w:val="0"/>
        </w:numPr>
        <w:ind w:left="720" w:hanging="720"/>
        <w:rPr>
          <w:rFonts w:ascii="Arial Narrow" w:hAnsi="Arial Narrow"/>
          <w:sz w:val="20"/>
          <w:szCs w:val="20"/>
        </w:rPr>
      </w:pPr>
      <w:proofErr w:type="spellStart"/>
      <w:r w:rsidRPr="00AB6F27">
        <w:rPr>
          <w:rFonts w:ascii="Arial Narrow" w:hAnsi="Arial Narrow"/>
          <w:sz w:val="20"/>
          <w:szCs w:val="20"/>
          <w:vertAlign w:val="superscript"/>
        </w:rPr>
        <w:t>a</w:t>
      </w:r>
      <w:proofErr w:type="spellEnd"/>
      <w:r w:rsidRPr="00AB6F27">
        <w:rPr>
          <w:rFonts w:ascii="Arial Narrow" w:hAnsi="Arial Narrow"/>
          <w:sz w:val="20"/>
          <w:szCs w:val="20"/>
        </w:rPr>
        <w:t xml:space="preserve"> Administration costs were not included in the table above as they do not impact the overall result. </w:t>
      </w:r>
    </w:p>
    <w:p w14:paraId="3F6DF547" w14:textId="1BE5063F" w:rsidR="004537A3" w:rsidRPr="00AB6F27" w:rsidRDefault="004537A3" w:rsidP="004537A3">
      <w:pPr>
        <w:pStyle w:val="3-BodyText"/>
      </w:pPr>
      <w:r w:rsidRPr="00AB6F27">
        <w:t xml:space="preserve">For the CMA of </w:t>
      </w:r>
      <w:r>
        <w:t>pembrolizumab</w:t>
      </w:r>
      <w:r w:rsidRPr="00AB6F27">
        <w:t xml:space="preserve"> </w:t>
      </w:r>
      <w:r w:rsidR="00E704B9">
        <w:t>versus</w:t>
      </w:r>
      <w:r w:rsidRPr="00AB6F27">
        <w:t xml:space="preserve"> </w:t>
      </w:r>
      <w:r>
        <w:t>dostarlimab</w:t>
      </w:r>
      <w:r w:rsidRPr="00AB6F27">
        <w:t xml:space="preserve">, the duration and dose intensity do not impact the CMA </w:t>
      </w:r>
      <w:proofErr w:type="gramStart"/>
      <w:r w:rsidRPr="00AB6F27">
        <w:t>as long as</w:t>
      </w:r>
      <w:proofErr w:type="gramEnd"/>
      <w:r w:rsidRPr="00AB6F27">
        <w:t xml:space="preserve"> they are assumed to be equal between arms (due to identical dosing frequency between arms). </w:t>
      </w:r>
    </w:p>
    <w:p w14:paraId="69FF9403" w14:textId="1394D68E" w:rsidR="007B5E49" w:rsidRDefault="007B5E49" w:rsidP="007B5E49">
      <w:pPr>
        <w:pStyle w:val="3-BodyText"/>
        <w:numPr>
          <w:ilvl w:val="0"/>
          <w:numId w:val="0"/>
        </w:numPr>
        <w:ind w:left="720" w:hanging="720"/>
        <w:outlineLvl w:val="2"/>
        <w:rPr>
          <w:rFonts w:eastAsia="Calibri"/>
          <w:i/>
          <w:iCs/>
          <w:u w:val="single"/>
        </w:rPr>
      </w:pPr>
      <w:bookmarkStart w:id="72" w:name="_Ref196332497"/>
      <w:r>
        <w:rPr>
          <w:rFonts w:eastAsia="Calibri"/>
          <w:i/>
          <w:iCs/>
          <w:u w:val="single"/>
        </w:rPr>
        <w:t>p</w:t>
      </w:r>
      <w:r w:rsidRPr="00AB6F27">
        <w:rPr>
          <w:rFonts w:eastAsia="Calibri"/>
          <w:i/>
          <w:iCs/>
          <w:u w:val="single"/>
        </w:rPr>
        <w:t>MMR population</w:t>
      </w:r>
    </w:p>
    <w:p w14:paraId="108A2DE5" w14:textId="0D06E972" w:rsidR="007B5E49" w:rsidRPr="00497260" w:rsidRDefault="007B5E49" w:rsidP="007B5E49">
      <w:pPr>
        <w:pStyle w:val="3-BodyText"/>
      </w:pPr>
      <w:r w:rsidRPr="00497260">
        <w:t>The ESC noted that the submission did not present an economic analysis versus the appropriate comparator of platinum-based chemotherapy alone followed, in a proportion of patients, by second line (2L) pembrolizumab + lenvatinib</w:t>
      </w:r>
      <w:r w:rsidR="00E704B9" w:rsidRPr="00497260">
        <w:t>, with the PSCR requesting consideration of the dMMR population only</w:t>
      </w:r>
      <w:r w:rsidRPr="00497260">
        <w:t>.</w:t>
      </w:r>
    </w:p>
    <w:p w14:paraId="5DB39D03" w14:textId="0E5E3A97" w:rsidR="007B5E49" w:rsidRPr="00E704B9" w:rsidRDefault="007B5E49" w:rsidP="007B5E49">
      <w:pPr>
        <w:pStyle w:val="3-BodyText"/>
      </w:pPr>
      <w:r w:rsidRPr="00E704B9">
        <w:t>The submission assumed that either dostarlimab or durvalumab +</w:t>
      </w:r>
      <w:r w:rsidRPr="00E704B9" w:rsidDel="00DA02A6">
        <w:t xml:space="preserve"> </w:t>
      </w:r>
      <w:r w:rsidRPr="00E704B9">
        <w:t xml:space="preserve">olaparib would receive a positive PBAC recommendation for pMMR A/R EC prior to PBAC consideration of pembrolizumab. The submission stated that if dostarlimab were recommended before durvalumab + olaparib, then the submission will instead cost minimise to dostarlimab in the pMMR population, and that the equi-effective doses would remain consistent with those outlined for the dMMR population. The evaluation considered it may not be reasonable for the equi-effective doses in the pMMR population to be the same as in dMMR as differences in time on treatment were observed in NRG-GY018 for the dMMR and pMMR populations (see </w:t>
      </w:r>
      <w:r w:rsidRPr="00E704B9">
        <w:fldChar w:fldCharType="begin"/>
      </w:r>
      <w:r w:rsidRPr="00E704B9">
        <w:instrText xml:space="preserve"> REF _Ref196734500 \h  \* MERGEFORMAT </w:instrText>
      </w:r>
      <w:r w:rsidRPr="00E704B9">
        <w:fldChar w:fldCharType="separate"/>
      </w:r>
      <w:r w:rsidR="003359D3" w:rsidRPr="00AB6F27">
        <w:t xml:space="preserve">Table </w:t>
      </w:r>
      <w:r w:rsidR="003359D3">
        <w:rPr>
          <w:noProof/>
        </w:rPr>
        <w:t>4</w:t>
      </w:r>
      <w:r w:rsidRPr="00E704B9">
        <w:fldChar w:fldCharType="end"/>
      </w:r>
      <w:r w:rsidRPr="00E704B9">
        <w:t>), and different durations of treatment depending on MMR status were also applied in submission’s financial estimates.</w:t>
      </w:r>
    </w:p>
    <w:p w14:paraId="4F759883" w14:textId="425B870C" w:rsidR="007B5E49" w:rsidRPr="00E704B9" w:rsidRDefault="007B5E49" w:rsidP="007B5E49">
      <w:pPr>
        <w:pStyle w:val="3-BodyText"/>
      </w:pPr>
      <w:r w:rsidRPr="00E704B9">
        <w:t>The equi-effective doses for the pMMR population, as proposed by the submission, were:</w:t>
      </w:r>
    </w:p>
    <w:p w14:paraId="6D68A677" w14:textId="77777777" w:rsidR="007B5E49" w:rsidRPr="00E704B9" w:rsidRDefault="007B5E49" w:rsidP="0037102E">
      <w:pPr>
        <w:pStyle w:val="ListParagraph"/>
        <w:numPr>
          <w:ilvl w:val="0"/>
          <w:numId w:val="10"/>
        </w:numPr>
        <w:ind w:left="1276" w:hanging="567"/>
      </w:pPr>
      <w:r w:rsidRPr="00E704B9">
        <w:lastRenderedPageBreak/>
        <w:t xml:space="preserve">Initiation: pembrolizumab 200mg Q3W is equivalent to durvalumab 1,120mg every three weeks (Q3W); and  </w:t>
      </w:r>
    </w:p>
    <w:p w14:paraId="62C70B01" w14:textId="77777777" w:rsidR="007B5E49" w:rsidRPr="00E704B9" w:rsidRDefault="007B5E49" w:rsidP="0037102E">
      <w:pPr>
        <w:pStyle w:val="ListParagraph"/>
        <w:numPr>
          <w:ilvl w:val="0"/>
          <w:numId w:val="10"/>
        </w:numPr>
        <w:ind w:left="1276" w:hanging="567"/>
      </w:pPr>
      <w:r w:rsidRPr="00E704B9">
        <w:t>Maintenance: pembrolizumab 400mg Q6W is equivalent to durvalumab 1,500mg every four weeks (Q4W) plus olaparib 300mg twice daily (bd).</w:t>
      </w:r>
    </w:p>
    <w:p w14:paraId="6913F293" w14:textId="4A624EEF" w:rsidR="007B5E49" w:rsidRPr="007B5E49" w:rsidRDefault="007B5E49" w:rsidP="007B5E49">
      <w:pPr>
        <w:pStyle w:val="3-BodyText"/>
      </w:pPr>
      <w:r w:rsidRPr="00E704B9">
        <w:t>The submission’s</w:t>
      </w:r>
      <w:r w:rsidRPr="007B5E49">
        <w:t xml:space="preserve"> proposed equi-effective doses are summarised in </w:t>
      </w:r>
      <w:r w:rsidR="00FC64AF">
        <w:fldChar w:fldCharType="begin"/>
      </w:r>
      <w:r w:rsidR="00FC64AF">
        <w:instrText xml:space="preserve"> REF _Ref200697618 \h </w:instrText>
      </w:r>
      <w:r w:rsidR="00FC64AF">
        <w:fldChar w:fldCharType="separate"/>
      </w:r>
      <w:r w:rsidR="003359D3" w:rsidRPr="00AB6F27">
        <w:t xml:space="preserve">Table </w:t>
      </w:r>
      <w:r w:rsidR="003359D3">
        <w:rPr>
          <w:noProof/>
        </w:rPr>
        <w:t>18</w:t>
      </w:r>
      <w:r w:rsidR="00FC64AF">
        <w:fldChar w:fldCharType="end"/>
      </w:r>
      <w:r w:rsidRPr="007B5E49">
        <w:t xml:space="preserve"> for the </w:t>
      </w:r>
      <w:r>
        <w:t>p</w:t>
      </w:r>
      <w:r w:rsidRPr="007B5E49">
        <w:t xml:space="preserve">MMR population. </w:t>
      </w:r>
    </w:p>
    <w:p w14:paraId="0FF8BA6C" w14:textId="68AF8C8C" w:rsidR="007B5E49" w:rsidRPr="00AB6F27" w:rsidRDefault="007B5E49" w:rsidP="007B5E49">
      <w:pPr>
        <w:pStyle w:val="Caption"/>
      </w:pPr>
      <w:bookmarkStart w:id="73" w:name="_Ref200697618"/>
      <w:r w:rsidRPr="00AB6F27">
        <w:t xml:space="preserve">Table </w:t>
      </w:r>
      <w:r w:rsidRPr="00AB6F27">
        <w:fldChar w:fldCharType="begin"/>
      </w:r>
      <w:r w:rsidRPr="00AB6F27">
        <w:instrText xml:space="preserve"> SEQ Table \* ARABIC </w:instrText>
      </w:r>
      <w:r w:rsidRPr="00AB6F27">
        <w:fldChar w:fldCharType="separate"/>
      </w:r>
      <w:r w:rsidR="003359D3">
        <w:rPr>
          <w:noProof/>
        </w:rPr>
        <w:t>18</w:t>
      </w:r>
      <w:r w:rsidRPr="00AB6F27">
        <w:rPr>
          <w:noProof/>
        </w:rPr>
        <w:fldChar w:fldCharType="end"/>
      </w:r>
      <w:bookmarkEnd w:id="73"/>
      <w:r w:rsidRPr="00AB6F27">
        <w:t>: Equi-effective doses over 12-month treatment duration (pMMR)</w:t>
      </w:r>
    </w:p>
    <w:tbl>
      <w:tblPr>
        <w:tblW w:w="5000" w:type="pct"/>
        <w:tblLayout w:type="fixed"/>
        <w:tblLook w:val="04A0" w:firstRow="1" w:lastRow="0" w:firstColumn="1" w:lastColumn="0" w:noHBand="0" w:noVBand="1"/>
        <w:tblCaption w:val="Table 18: Equi-effective doses over 12-month treatment duration (pMMR)"/>
      </w:tblPr>
      <w:tblGrid>
        <w:gridCol w:w="1272"/>
        <w:gridCol w:w="993"/>
        <w:gridCol w:w="994"/>
        <w:gridCol w:w="709"/>
        <w:gridCol w:w="853"/>
        <w:gridCol w:w="992"/>
        <w:gridCol w:w="851"/>
        <w:gridCol w:w="577"/>
        <w:gridCol w:w="840"/>
        <w:gridCol w:w="936"/>
      </w:tblGrid>
      <w:tr w:rsidR="007B5E49" w:rsidRPr="00AB6F27" w14:paraId="0600CE49" w14:textId="77777777" w:rsidTr="007B5E49">
        <w:trPr>
          <w:trHeight w:val="20"/>
        </w:trPr>
        <w:tc>
          <w:tcPr>
            <w:tcW w:w="705" w:type="pct"/>
            <w:tcBorders>
              <w:top w:val="single" w:sz="4" w:space="0" w:color="auto"/>
              <w:left w:val="single" w:sz="4" w:space="0" w:color="auto"/>
              <w:bottom w:val="single" w:sz="4" w:space="0" w:color="auto"/>
              <w:right w:val="single" w:sz="4" w:space="0" w:color="auto"/>
            </w:tcBorders>
            <w:vAlign w:val="center"/>
          </w:tcPr>
          <w:p w14:paraId="54148904" w14:textId="77777777" w:rsidR="007B5E49" w:rsidRPr="00AB6F27" w:rsidRDefault="007B5E49" w:rsidP="007B5E49">
            <w:pPr>
              <w:keepNext/>
              <w:rPr>
                <w:rFonts w:ascii="Arial Narrow" w:hAnsi="Arial Narrow"/>
                <w:sz w:val="20"/>
                <w:szCs w:val="20"/>
              </w:rPr>
            </w:pPr>
          </w:p>
        </w:tc>
        <w:tc>
          <w:tcPr>
            <w:tcW w:w="1494" w:type="pct"/>
            <w:gridSpan w:val="3"/>
            <w:tcBorders>
              <w:top w:val="single" w:sz="4" w:space="0" w:color="auto"/>
              <w:left w:val="nil"/>
              <w:bottom w:val="single" w:sz="4" w:space="0" w:color="auto"/>
              <w:right w:val="single" w:sz="4" w:space="0" w:color="auto"/>
            </w:tcBorders>
            <w:vAlign w:val="center"/>
          </w:tcPr>
          <w:p w14:paraId="32D938BE" w14:textId="77777777" w:rsidR="007B5E49" w:rsidRPr="00AB6F27" w:rsidRDefault="007B5E49" w:rsidP="007B5E49">
            <w:pPr>
              <w:keepNext/>
              <w:jc w:val="center"/>
              <w:rPr>
                <w:rFonts w:ascii="Arial Narrow" w:hAnsi="Arial Narrow"/>
                <w:b/>
                <w:sz w:val="20"/>
                <w:szCs w:val="20"/>
              </w:rPr>
            </w:pPr>
            <w:r w:rsidRPr="00AB6F27">
              <w:rPr>
                <w:rFonts w:ascii="Arial Narrow" w:hAnsi="Arial Narrow"/>
                <w:b/>
                <w:sz w:val="20"/>
                <w:szCs w:val="20"/>
              </w:rPr>
              <w:t>Pembrolizumab</w:t>
            </w:r>
          </w:p>
        </w:tc>
        <w:tc>
          <w:tcPr>
            <w:tcW w:w="1495" w:type="pct"/>
            <w:gridSpan w:val="3"/>
            <w:tcBorders>
              <w:top w:val="single" w:sz="4" w:space="0" w:color="auto"/>
              <w:left w:val="single" w:sz="4" w:space="0" w:color="auto"/>
              <w:bottom w:val="single" w:sz="4" w:space="0" w:color="auto"/>
              <w:right w:val="single" w:sz="4" w:space="0" w:color="auto"/>
            </w:tcBorders>
            <w:vAlign w:val="center"/>
          </w:tcPr>
          <w:p w14:paraId="5262A624" w14:textId="77777777" w:rsidR="007B5E49" w:rsidRPr="00AB6F27" w:rsidRDefault="007B5E49" w:rsidP="007B5E49">
            <w:pPr>
              <w:keepNext/>
              <w:jc w:val="center"/>
              <w:rPr>
                <w:rFonts w:ascii="Arial Narrow" w:hAnsi="Arial Narrow"/>
                <w:b/>
                <w:sz w:val="20"/>
                <w:szCs w:val="20"/>
              </w:rPr>
            </w:pPr>
            <w:r w:rsidRPr="00AB6F27">
              <w:rPr>
                <w:rFonts w:ascii="Arial Narrow" w:hAnsi="Arial Narrow"/>
                <w:b/>
                <w:sz w:val="20"/>
                <w:szCs w:val="20"/>
              </w:rPr>
              <w:t>Durvalumab</w:t>
            </w:r>
          </w:p>
        </w:tc>
        <w:tc>
          <w:tcPr>
            <w:tcW w:w="1305" w:type="pct"/>
            <w:gridSpan w:val="3"/>
            <w:tcBorders>
              <w:top w:val="single" w:sz="4" w:space="0" w:color="auto"/>
              <w:left w:val="single" w:sz="4" w:space="0" w:color="auto"/>
              <w:bottom w:val="single" w:sz="4" w:space="0" w:color="auto"/>
              <w:right w:val="single" w:sz="4" w:space="0" w:color="auto"/>
            </w:tcBorders>
          </w:tcPr>
          <w:p w14:paraId="2D8C9A1B" w14:textId="77777777" w:rsidR="007B5E49" w:rsidRPr="00AB6F27" w:rsidRDefault="007B5E49" w:rsidP="007B5E49">
            <w:pPr>
              <w:keepNext/>
              <w:jc w:val="center"/>
              <w:rPr>
                <w:rFonts w:ascii="Arial Narrow" w:hAnsi="Arial Narrow"/>
                <w:b/>
                <w:sz w:val="20"/>
                <w:szCs w:val="20"/>
              </w:rPr>
            </w:pPr>
            <w:r w:rsidRPr="00AB6F27">
              <w:rPr>
                <w:rFonts w:ascii="Arial Narrow" w:hAnsi="Arial Narrow"/>
                <w:b/>
                <w:sz w:val="20"/>
                <w:szCs w:val="20"/>
              </w:rPr>
              <w:t>Olaparib</w:t>
            </w:r>
          </w:p>
        </w:tc>
      </w:tr>
      <w:tr w:rsidR="007B5E49" w:rsidRPr="00AB6F27" w14:paraId="79392E6B" w14:textId="77777777" w:rsidTr="007B5E49">
        <w:trPr>
          <w:trHeight w:val="20"/>
        </w:trPr>
        <w:tc>
          <w:tcPr>
            <w:tcW w:w="705" w:type="pct"/>
            <w:tcBorders>
              <w:top w:val="single" w:sz="4" w:space="0" w:color="auto"/>
              <w:left w:val="single" w:sz="4" w:space="0" w:color="auto"/>
              <w:bottom w:val="single" w:sz="4" w:space="0" w:color="000000"/>
              <w:right w:val="single" w:sz="4" w:space="0" w:color="auto"/>
            </w:tcBorders>
            <w:vAlign w:val="center"/>
            <w:hideMark/>
          </w:tcPr>
          <w:p w14:paraId="67F67D24" w14:textId="77777777" w:rsidR="007B5E49" w:rsidRPr="00AB6F27" w:rsidRDefault="007B5E49" w:rsidP="007B5E49">
            <w:pPr>
              <w:keepNext/>
              <w:rPr>
                <w:rFonts w:ascii="Arial Narrow" w:hAnsi="Arial Narrow"/>
                <w:sz w:val="20"/>
                <w:szCs w:val="20"/>
              </w:rPr>
            </w:pPr>
          </w:p>
        </w:tc>
        <w:tc>
          <w:tcPr>
            <w:tcW w:w="550" w:type="pct"/>
            <w:tcBorders>
              <w:top w:val="single" w:sz="4" w:space="0" w:color="auto"/>
              <w:left w:val="nil"/>
              <w:bottom w:val="single" w:sz="4" w:space="0" w:color="auto"/>
              <w:right w:val="single" w:sz="4" w:space="0" w:color="auto"/>
            </w:tcBorders>
            <w:vAlign w:val="center"/>
            <w:hideMark/>
          </w:tcPr>
          <w:p w14:paraId="762BB7E0"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Mg per infusion</w:t>
            </w:r>
          </w:p>
        </w:tc>
        <w:tc>
          <w:tcPr>
            <w:tcW w:w="551" w:type="pct"/>
            <w:tcBorders>
              <w:top w:val="single" w:sz="4" w:space="0" w:color="auto"/>
              <w:left w:val="nil"/>
              <w:bottom w:val="single" w:sz="4" w:space="0" w:color="auto"/>
              <w:right w:val="single" w:sz="4" w:space="0" w:color="auto"/>
            </w:tcBorders>
            <w:vAlign w:val="center"/>
            <w:hideMark/>
          </w:tcPr>
          <w:p w14:paraId="0639F880"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Number of infusions</w:t>
            </w:r>
          </w:p>
        </w:tc>
        <w:tc>
          <w:tcPr>
            <w:tcW w:w="393" w:type="pct"/>
            <w:tcBorders>
              <w:top w:val="single" w:sz="4" w:space="0" w:color="auto"/>
              <w:left w:val="nil"/>
              <w:bottom w:val="single" w:sz="4" w:space="0" w:color="auto"/>
              <w:right w:val="single" w:sz="4" w:space="0" w:color="auto"/>
            </w:tcBorders>
            <w:vAlign w:val="center"/>
          </w:tcPr>
          <w:p w14:paraId="78FEFE2B" w14:textId="77777777" w:rsidR="007B5E49" w:rsidRPr="00AB6F27" w:rsidDel="003D1374" w:rsidRDefault="007B5E49" w:rsidP="007B5E49">
            <w:pPr>
              <w:keepNext/>
              <w:jc w:val="center"/>
              <w:rPr>
                <w:rFonts w:ascii="Arial Narrow" w:hAnsi="Arial Narrow"/>
                <w:bCs/>
                <w:sz w:val="20"/>
                <w:szCs w:val="20"/>
              </w:rPr>
            </w:pPr>
            <w:r w:rsidRPr="00AB6F27">
              <w:rPr>
                <w:rFonts w:ascii="Arial Narrow" w:hAnsi="Arial Narrow"/>
                <w:bCs/>
                <w:sz w:val="20"/>
                <w:szCs w:val="20"/>
              </w:rPr>
              <w:t>Total mg</w:t>
            </w:r>
          </w:p>
        </w:tc>
        <w:tc>
          <w:tcPr>
            <w:tcW w:w="473" w:type="pct"/>
            <w:tcBorders>
              <w:top w:val="single" w:sz="4" w:space="0" w:color="auto"/>
              <w:left w:val="single" w:sz="4" w:space="0" w:color="auto"/>
              <w:bottom w:val="single" w:sz="4" w:space="0" w:color="auto"/>
              <w:right w:val="single" w:sz="4" w:space="0" w:color="auto"/>
            </w:tcBorders>
            <w:vAlign w:val="center"/>
            <w:hideMark/>
          </w:tcPr>
          <w:p w14:paraId="6969B63F"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Mg per infusion</w:t>
            </w:r>
          </w:p>
        </w:tc>
        <w:tc>
          <w:tcPr>
            <w:tcW w:w="550" w:type="pct"/>
            <w:tcBorders>
              <w:top w:val="single" w:sz="4" w:space="0" w:color="auto"/>
              <w:left w:val="nil"/>
              <w:bottom w:val="single" w:sz="4" w:space="0" w:color="auto"/>
              <w:right w:val="single" w:sz="4" w:space="0" w:color="auto"/>
            </w:tcBorders>
            <w:vAlign w:val="center"/>
            <w:hideMark/>
          </w:tcPr>
          <w:p w14:paraId="17818E31"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Number of infusions</w:t>
            </w:r>
          </w:p>
        </w:tc>
        <w:tc>
          <w:tcPr>
            <w:tcW w:w="472" w:type="pct"/>
            <w:tcBorders>
              <w:top w:val="single" w:sz="4" w:space="0" w:color="auto"/>
              <w:left w:val="nil"/>
              <w:bottom w:val="single" w:sz="4" w:space="0" w:color="auto"/>
              <w:right w:val="single" w:sz="4" w:space="0" w:color="auto"/>
            </w:tcBorders>
            <w:vAlign w:val="center"/>
          </w:tcPr>
          <w:p w14:paraId="6038B894" w14:textId="77777777" w:rsidR="007B5E49" w:rsidRPr="00AB6F27" w:rsidDel="003D1374" w:rsidRDefault="007B5E49" w:rsidP="007B5E49">
            <w:pPr>
              <w:keepNext/>
              <w:jc w:val="center"/>
              <w:rPr>
                <w:rFonts w:ascii="Arial Narrow" w:hAnsi="Arial Narrow"/>
                <w:bCs/>
                <w:sz w:val="20"/>
                <w:szCs w:val="20"/>
              </w:rPr>
            </w:pPr>
            <w:r w:rsidRPr="00AB6F27">
              <w:rPr>
                <w:rFonts w:ascii="Arial Narrow" w:hAnsi="Arial Narrow"/>
                <w:bCs/>
                <w:sz w:val="20"/>
                <w:szCs w:val="20"/>
              </w:rPr>
              <w:t>Total mg</w:t>
            </w:r>
          </w:p>
        </w:tc>
        <w:tc>
          <w:tcPr>
            <w:tcW w:w="320" w:type="pct"/>
            <w:tcBorders>
              <w:top w:val="single" w:sz="4" w:space="0" w:color="auto"/>
              <w:left w:val="single" w:sz="4" w:space="0" w:color="auto"/>
              <w:bottom w:val="single" w:sz="4" w:space="0" w:color="auto"/>
              <w:right w:val="single" w:sz="4" w:space="0" w:color="auto"/>
            </w:tcBorders>
            <w:vAlign w:val="center"/>
          </w:tcPr>
          <w:p w14:paraId="7B0DEA3E"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Mg per day</w:t>
            </w:r>
          </w:p>
        </w:tc>
        <w:tc>
          <w:tcPr>
            <w:tcW w:w="466" w:type="pct"/>
            <w:tcBorders>
              <w:top w:val="single" w:sz="4" w:space="0" w:color="auto"/>
              <w:left w:val="nil"/>
              <w:bottom w:val="single" w:sz="4" w:space="0" w:color="auto"/>
              <w:right w:val="single" w:sz="4" w:space="0" w:color="auto"/>
            </w:tcBorders>
            <w:vAlign w:val="center"/>
          </w:tcPr>
          <w:p w14:paraId="5FE03C9D"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 xml:space="preserve">Days on </w:t>
            </w:r>
            <w:proofErr w:type="spellStart"/>
            <w:r w:rsidRPr="00AB6F27">
              <w:rPr>
                <w:rFonts w:ascii="Arial Narrow" w:hAnsi="Arial Narrow"/>
                <w:bCs/>
                <w:sz w:val="20"/>
                <w:szCs w:val="20"/>
              </w:rPr>
              <w:t>tx</w:t>
            </w:r>
            <w:proofErr w:type="spellEnd"/>
          </w:p>
        </w:tc>
        <w:tc>
          <w:tcPr>
            <w:tcW w:w="519" w:type="pct"/>
            <w:tcBorders>
              <w:top w:val="single" w:sz="4" w:space="0" w:color="auto"/>
              <w:left w:val="nil"/>
              <w:bottom w:val="single" w:sz="4" w:space="0" w:color="auto"/>
              <w:right w:val="single" w:sz="4" w:space="0" w:color="auto"/>
            </w:tcBorders>
            <w:vAlign w:val="center"/>
          </w:tcPr>
          <w:p w14:paraId="3882490C" w14:textId="77777777" w:rsidR="007B5E49" w:rsidRPr="00AB6F27" w:rsidRDefault="007B5E49" w:rsidP="007B5E49">
            <w:pPr>
              <w:keepNext/>
              <w:jc w:val="center"/>
              <w:rPr>
                <w:rFonts w:ascii="Arial Narrow" w:hAnsi="Arial Narrow"/>
                <w:bCs/>
                <w:sz w:val="20"/>
                <w:szCs w:val="20"/>
              </w:rPr>
            </w:pPr>
            <w:r w:rsidRPr="00AB6F27">
              <w:rPr>
                <w:rFonts w:ascii="Arial Narrow" w:hAnsi="Arial Narrow"/>
                <w:bCs/>
                <w:sz w:val="20"/>
                <w:szCs w:val="20"/>
              </w:rPr>
              <w:t>Total mg</w:t>
            </w:r>
          </w:p>
        </w:tc>
      </w:tr>
      <w:tr w:rsidR="007B5E49" w:rsidRPr="00AB6F27" w14:paraId="0C43E2E7" w14:textId="77777777" w:rsidTr="007B5E49">
        <w:trPr>
          <w:trHeight w:val="20"/>
        </w:trPr>
        <w:tc>
          <w:tcPr>
            <w:tcW w:w="705" w:type="pct"/>
            <w:tcBorders>
              <w:top w:val="nil"/>
              <w:left w:val="single" w:sz="4" w:space="0" w:color="auto"/>
              <w:bottom w:val="single" w:sz="4" w:space="0" w:color="auto"/>
              <w:right w:val="single" w:sz="4" w:space="0" w:color="auto"/>
            </w:tcBorders>
            <w:noWrap/>
            <w:vAlign w:val="center"/>
            <w:hideMark/>
          </w:tcPr>
          <w:p w14:paraId="21B6AFA4" w14:textId="77777777" w:rsidR="007B5E49" w:rsidRPr="00AB6F27" w:rsidRDefault="007B5E49" w:rsidP="007B5E49">
            <w:pPr>
              <w:keepNext/>
              <w:rPr>
                <w:rFonts w:ascii="Arial Narrow" w:hAnsi="Arial Narrow"/>
                <w:sz w:val="20"/>
                <w:szCs w:val="20"/>
              </w:rPr>
            </w:pPr>
            <w:r w:rsidRPr="00AB6F27">
              <w:rPr>
                <w:rFonts w:ascii="Arial Narrow" w:hAnsi="Arial Narrow"/>
                <w:sz w:val="20"/>
                <w:szCs w:val="20"/>
              </w:rPr>
              <w:t>Induction</w:t>
            </w:r>
          </w:p>
        </w:tc>
        <w:tc>
          <w:tcPr>
            <w:tcW w:w="550" w:type="pct"/>
            <w:tcBorders>
              <w:top w:val="nil"/>
              <w:left w:val="nil"/>
              <w:bottom w:val="single" w:sz="4" w:space="0" w:color="auto"/>
              <w:right w:val="single" w:sz="4" w:space="0" w:color="auto"/>
            </w:tcBorders>
            <w:noWrap/>
            <w:vAlign w:val="center"/>
            <w:hideMark/>
          </w:tcPr>
          <w:p w14:paraId="787CE84A"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200</w:t>
            </w:r>
          </w:p>
        </w:tc>
        <w:tc>
          <w:tcPr>
            <w:tcW w:w="551" w:type="pct"/>
            <w:tcBorders>
              <w:top w:val="nil"/>
              <w:left w:val="nil"/>
              <w:bottom w:val="single" w:sz="4" w:space="0" w:color="auto"/>
              <w:right w:val="single" w:sz="4" w:space="0" w:color="auto"/>
            </w:tcBorders>
            <w:noWrap/>
            <w:vAlign w:val="center"/>
          </w:tcPr>
          <w:p w14:paraId="6AE8442F"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6.0</w:t>
            </w:r>
          </w:p>
        </w:tc>
        <w:tc>
          <w:tcPr>
            <w:tcW w:w="393" w:type="pct"/>
            <w:tcBorders>
              <w:top w:val="single" w:sz="4" w:space="0" w:color="auto"/>
              <w:left w:val="nil"/>
              <w:bottom w:val="single" w:sz="4" w:space="0" w:color="auto"/>
              <w:right w:val="single" w:sz="4" w:space="0" w:color="auto"/>
            </w:tcBorders>
            <w:vAlign w:val="center"/>
          </w:tcPr>
          <w:p w14:paraId="6B8CAF17"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1,200</w:t>
            </w:r>
          </w:p>
        </w:tc>
        <w:tc>
          <w:tcPr>
            <w:tcW w:w="473" w:type="pct"/>
            <w:tcBorders>
              <w:top w:val="nil"/>
              <w:left w:val="single" w:sz="4" w:space="0" w:color="auto"/>
              <w:bottom w:val="single" w:sz="4" w:space="0" w:color="auto"/>
              <w:right w:val="single" w:sz="4" w:space="0" w:color="auto"/>
            </w:tcBorders>
            <w:noWrap/>
            <w:vAlign w:val="center"/>
            <w:hideMark/>
          </w:tcPr>
          <w:p w14:paraId="0F25F47A"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1120</w:t>
            </w:r>
          </w:p>
        </w:tc>
        <w:tc>
          <w:tcPr>
            <w:tcW w:w="550" w:type="pct"/>
            <w:tcBorders>
              <w:top w:val="nil"/>
              <w:left w:val="nil"/>
              <w:bottom w:val="single" w:sz="4" w:space="0" w:color="auto"/>
              <w:right w:val="single" w:sz="4" w:space="0" w:color="auto"/>
            </w:tcBorders>
            <w:noWrap/>
            <w:vAlign w:val="center"/>
            <w:hideMark/>
          </w:tcPr>
          <w:p w14:paraId="3E20AE2F"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6.0</w:t>
            </w:r>
          </w:p>
        </w:tc>
        <w:tc>
          <w:tcPr>
            <w:tcW w:w="472" w:type="pct"/>
            <w:tcBorders>
              <w:top w:val="single" w:sz="4" w:space="0" w:color="auto"/>
              <w:left w:val="nil"/>
              <w:bottom w:val="single" w:sz="4" w:space="0" w:color="auto"/>
              <w:right w:val="single" w:sz="4" w:space="0" w:color="auto"/>
            </w:tcBorders>
            <w:vAlign w:val="center"/>
          </w:tcPr>
          <w:p w14:paraId="06C70DF4"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6,720</w:t>
            </w:r>
          </w:p>
        </w:tc>
        <w:tc>
          <w:tcPr>
            <w:tcW w:w="320" w:type="pct"/>
            <w:tcBorders>
              <w:top w:val="nil"/>
              <w:left w:val="single" w:sz="4" w:space="0" w:color="auto"/>
              <w:bottom w:val="single" w:sz="4" w:space="0" w:color="auto"/>
              <w:right w:val="single" w:sz="4" w:space="0" w:color="auto"/>
            </w:tcBorders>
            <w:vAlign w:val="center"/>
          </w:tcPr>
          <w:p w14:paraId="1D6F0B0E"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w:t>
            </w:r>
          </w:p>
        </w:tc>
        <w:tc>
          <w:tcPr>
            <w:tcW w:w="466" w:type="pct"/>
            <w:tcBorders>
              <w:top w:val="nil"/>
              <w:left w:val="nil"/>
              <w:bottom w:val="single" w:sz="4" w:space="0" w:color="auto"/>
              <w:right w:val="single" w:sz="4" w:space="0" w:color="auto"/>
            </w:tcBorders>
            <w:vAlign w:val="center"/>
          </w:tcPr>
          <w:p w14:paraId="4807E184"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w:t>
            </w:r>
          </w:p>
        </w:tc>
        <w:tc>
          <w:tcPr>
            <w:tcW w:w="519" w:type="pct"/>
            <w:tcBorders>
              <w:top w:val="nil"/>
              <w:left w:val="nil"/>
              <w:bottom w:val="single" w:sz="4" w:space="0" w:color="auto"/>
              <w:right w:val="single" w:sz="4" w:space="0" w:color="auto"/>
            </w:tcBorders>
            <w:vAlign w:val="center"/>
          </w:tcPr>
          <w:p w14:paraId="71635F17"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w:t>
            </w:r>
          </w:p>
        </w:tc>
      </w:tr>
      <w:tr w:rsidR="007B5E49" w:rsidRPr="00AB6F27" w14:paraId="041D0C46" w14:textId="77777777" w:rsidTr="007B5E49">
        <w:trPr>
          <w:trHeight w:val="20"/>
        </w:trPr>
        <w:tc>
          <w:tcPr>
            <w:tcW w:w="705" w:type="pct"/>
            <w:tcBorders>
              <w:top w:val="nil"/>
              <w:left w:val="single" w:sz="4" w:space="0" w:color="auto"/>
              <w:bottom w:val="single" w:sz="4" w:space="0" w:color="auto"/>
              <w:right w:val="single" w:sz="4" w:space="0" w:color="auto"/>
            </w:tcBorders>
            <w:noWrap/>
            <w:vAlign w:val="center"/>
            <w:hideMark/>
          </w:tcPr>
          <w:p w14:paraId="236480FA" w14:textId="77777777" w:rsidR="007B5E49" w:rsidRPr="00AB6F27" w:rsidRDefault="007B5E49" w:rsidP="007B5E49">
            <w:pPr>
              <w:keepNext/>
              <w:rPr>
                <w:rFonts w:ascii="Arial Narrow" w:hAnsi="Arial Narrow"/>
                <w:sz w:val="20"/>
                <w:szCs w:val="20"/>
              </w:rPr>
            </w:pPr>
            <w:r w:rsidRPr="00AB6F27">
              <w:rPr>
                <w:rFonts w:ascii="Arial Narrow" w:hAnsi="Arial Narrow"/>
                <w:sz w:val="20"/>
                <w:szCs w:val="20"/>
              </w:rPr>
              <w:t>Maintenance</w:t>
            </w:r>
          </w:p>
        </w:tc>
        <w:tc>
          <w:tcPr>
            <w:tcW w:w="550" w:type="pct"/>
            <w:tcBorders>
              <w:top w:val="nil"/>
              <w:left w:val="nil"/>
              <w:bottom w:val="single" w:sz="4" w:space="0" w:color="auto"/>
              <w:right w:val="single" w:sz="4" w:space="0" w:color="auto"/>
            </w:tcBorders>
            <w:noWrap/>
            <w:vAlign w:val="center"/>
            <w:hideMark/>
          </w:tcPr>
          <w:p w14:paraId="61B4AE1E"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400</w:t>
            </w:r>
          </w:p>
        </w:tc>
        <w:tc>
          <w:tcPr>
            <w:tcW w:w="551" w:type="pct"/>
            <w:tcBorders>
              <w:top w:val="nil"/>
              <w:left w:val="nil"/>
              <w:bottom w:val="single" w:sz="4" w:space="0" w:color="auto"/>
              <w:right w:val="single" w:sz="4" w:space="0" w:color="auto"/>
            </w:tcBorders>
            <w:noWrap/>
            <w:vAlign w:val="center"/>
          </w:tcPr>
          <w:p w14:paraId="6B8890AF" w14:textId="77777777" w:rsidR="007B5E49" w:rsidRPr="00AB6F27" w:rsidRDefault="007B5E49" w:rsidP="007B5E49">
            <w:pPr>
              <w:keepNext/>
              <w:jc w:val="center"/>
              <w:rPr>
                <w:rFonts w:ascii="Arial Narrow" w:hAnsi="Arial Narrow"/>
                <w:sz w:val="20"/>
                <w:szCs w:val="20"/>
                <w:vertAlign w:val="superscript"/>
              </w:rPr>
            </w:pPr>
            <w:r w:rsidRPr="00AB6F27">
              <w:rPr>
                <w:rFonts w:ascii="Arial Narrow" w:hAnsi="Arial Narrow"/>
                <w:sz w:val="20"/>
                <w:szCs w:val="20"/>
              </w:rPr>
              <w:t xml:space="preserve">5.70 </w:t>
            </w:r>
            <w:r w:rsidRPr="00AB6F27">
              <w:rPr>
                <w:rFonts w:ascii="Arial Narrow" w:hAnsi="Arial Narrow"/>
                <w:sz w:val="20"/>
                <w:szCs w:val="20"/>
                <w:vertAlign w:val="superscript"/>
              </w:rPr>
              <w:t>a</w:t>
            </w:r>
          </w:p>
        </w:tc>
        <w:tc>
          <w:tcPr>
            <w:tcW w:w="393" w:type="pct"/>
            <w:tcBorders>
              <w:top w:val="single" w:sz="4" w:space="0" w:color="auto"/>
              <w:left w:val="nil"/>
              <w:bottom w:val="single" w:sz="4" w:space="0" w:color="auto"/>
              <w:right w:val="single" w:sz="4" w:space="0" w:color="auto"/>
            </w:tcBorders>
            <w:vAlign w:val="center"/>
          </w:tcPr>
          <w:p w14:paraId="712376F8"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2,279</w:t>
            </w:r>
          </w:p>
        </w:tc>
        <w:tc>
          <w:tcPr>
            <w:tcW w:w="473" w:type="pct"/>
            <w:tcBorders>
              <w:top w:val="nil"/>
              <w:left w:val="single" w:sz="4" w:space="0" w:color="auto"/>
              <w:bottom w:val="single" w:sz="4" w:space="0" w:color="auto"/>
              <w:right w:val="single" w:sz="4" w:space="0" w:color="auto"/>
            </w:tcBorders>
            <w:noWrap/>
            <w:vAlign w:val="center"/>
            <w:hideMark/>
          </w:tcPr>
          <w:p w14:paraId="7897E96C"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1500</w:t>
            </w:r>
          </w:p>
        </w:tc>
        <w:tc>
          <w:tcPr>
            <w:tcW w:w="550" w:type="pct"/>
            <w:tcBorders>
              <w:top w:val="nil"/>
              <w:left w:val="nil"/>
              <w:bottom w:val="single" w:sz="4" w:space="0" w:color="auto"/>
              <w:right w:val="single" w:sz="4" w:space="0" w:color="auto"/>
            </w:tcBorders>
            <w:noWrap/>
            <w:vAlign w:val="center"/>
            <w:hideMark/>
          </w:tcPr>
          <w:p w14:paraId="76E2D2A3" w14:textId="77777777" w:rsidR="007B5E49" w:rsidRPr="00AB6F27" w:rsidRDefault="007B5E49" w:rsidP="007B5E49">
            <w:pPr>
              <w:keepNext/>
              <w:jc w:val="center"/>
              <w:rPr>
                <w:rFonts w:ascii="Arial Narrow" w:hAnsi="Arial Narrow"/>
                <w:sz w:val="20"/>
                <w:szCs w:val="20"/>
                <w:vertAlign w:val="superscript"/>
              </w:rPr>
            </w:pPr>
            <w:r w:rsidRPr="00AB6F27">
              <w:rPr>
                <w:rFonts w:ascii="Arial Narrow" w:hAnsi="Arial Narrow"/>
                <w:sz w:val="20"/>
                <w:szCs w:val="20"/>
              </w:rPr>
              <w:t xml:space="preserve">8.54 </w:t>
            </w:r>
            <w:r w:rsidRPr="00AB6F27">
              <w:rPr>
                <w:rFonts w:ascii="Arial Narrow" w:hAnsi="Arial Narrow"/>
                <w:sz w:val="20"/>
                <w:szCs w:val="20"/>
                <w:vertAlign w:val="superscript"/>
              </w:rPr>
              <w:t>b</w:t>
            </w:r>
          </w:p>
        </w:tc>
        <w:tc>
          <w:tcPr>
            <w:tcW w:w="472" w:type="pct"/>
            <w:tcBorders>
              <w:top w:val="single" w:sz="4" w:space="0" w:color="auto"/>
              <w:left w:val="nil"/>
              <w:bottom w:val="single" w:sz="4" w:space="0" w:color="auto"/>
              <w:right w:val="single" w:sz="4" w:space="0" w:color="auto"/>
            </w:tcBorders>
            <w:vAlign w:val="center"/>
          </w:tcPr>
          <w:p w14:paraId="76B7A189"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12,817</w:t>
            </w:r>
          </w:p>
        </w:tc>
        <w:tc>
          <w:tcPr>
            <w:tcW w:w="320" w:type="pct"/>
            <w:tcBorders>
              <w:top w:val="nil"/>
              <w:left w:val="single" w:sz="4" w:space="0" w:color="auto"/>
              <w:bottom w:val="single" w:sz="4" w:space="0" w:color="auto"/>
              <w:right w:val="single" w:sz="4" w:space="0" w:color="auto"/>
            </w:tcBorders>
            <w:vAlign w:val="center"/>
          </w:tcPr>
          <w:p w14:paraId="7DBCFB61"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600</w:t>
            </w:r>
          </w:p>
        </w:tc>
        <w:tc>
          <w:tcPr>
            <w:tcW w:w="466" w:type="pct"/>
            <w:tcBorders>
              <w:top w:val="nil"/>
              <w:left w:val="nil"/>
              <w:bottom w:val="single" w:sz="4" w:space="0" w:color="auto"/>
              <w:right w:val="single" w:sz="4" w:space="0" w:color="auto"/>
            </w:tcBorders>
            <w:vAlign w:val="center"/>
          </w:tcPr>
          <w:p w14:paraId="5604A6C2" w14:textId="77777777" w:rsidR="007B5E49" w:rsidRPr="00AB6F27" w:rsidRDefault="007B5E49" w:rsidP="007B5E49">
            <w:pPr>
              <w:keepNext/>
              <w:jc w:val="center"/>
              <w:rPr>
                <w:rFonts w:ascii="Arial Narrow" w:hAnsi="Arial Narrow"/>
                <w:sz w:val="20"/>
                <w:szCs w:val="20"/>
                <w:vertAlign w:val="superscript"/>
              </w:rPr>
            </w:pPr>
            <w:r w:rsidRPr="00AB6F27">
              <w:rPr>
                <w:rFonts w:ascii="Arial Narrow" w:hAnsi="Arial Narrow"/>
                <w:sz w:val="20"/>
                <w:szCs w:val="20"/>
              </w:rPr>
              <w:t xml:space="preserve">239.25 </w:t>
            </w:r>
            <w:r w:rsidRPr="00AB6F27">
              <w:rPr>
                <w:rFonts w:ascii="Arial Narrow" w:hAnsi="Arial Narrow"/>
                <w:sz w:val="20"/>
                <w:szCs w:val="20"/>
                <w:vertAlign w:val="superscript"/>
              </w:rPr>
              <w:t>c</w:t>
            </w:r>
          </w:p>
        </w:tc>
        <w:tc>
          <w:tcPr>
            <w:tcW w:w="519" w:type="pct"/>
            <w:tcBorders>
              <w:top w:val="nil"/>
              <w:left w:val="nil"/>
              <w:bottom w:val="single" w:sz="4" w:space="0" w:color="auto"/>
              <w:right w:val="single" w:sz="4" w:space="0" w:color="auto"/>
            </w:tcBorders>
            <w:vAlign w:val="center"/>
          </w:tcPr>
          <w:p w14:paraId="0B7E3752"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143,550</w:t>
            </w:r>
          </w:p>
        </w:tc>
      </w:tr>
      <w:tr w:rsidR="007B5E49" w:rsidRPr="00AB6F27" w14:paraId="5D7EE4AB" w14:textId="77777777" w:rsidTr="007B5E49">
        <w:trPr>
          <w:trHeight w:val="20"/>
        </w:trPr>
        <w:tc>
          <w:tcPr>
            <w:tcW w:w="705" w:type="pct"/>
            <w:tcBorders>
              <w:top w:val="nil"/>
              <w:left w:val="single" w:sz="4" w:space="0" w:color="auto"/>
              <w:bottom w:val="single" w:sz="4" w:space="0" w:color="auto"/>
              <w:right w:val="single" w:sz="4" w:space="0" w:color="auto"/>
            </w:tcBorders>
            <w:noWrap/>
            <w:vAlign w:val="center"/>
            <w:hideMark/>
          </w:tcPr>
          <w:p w14:paraId="696C97D8" w14:textId="77777777" w:rsidR="007B5E49" w:rsidRPr="00AB6F27" w:rsidRDefault="007B5E49" w:rsidP="007B5E49">
            <w:pPr>
              <w:keepNext/>
              <w:rPr>
                <w:rFonts w:ascii="Arial Narrow" w:hAnsi="Arial Narrow"/>
                <w:sz w:val="20"/>
                <w:szCs w:val="20"/>
              </w:rPr>
            </w:pPr>
            <w:r w:rsidRPr="00AB6F27">
              <w:rPr>
                <w:rFonts w:ascii="Arial Narrow" w:hAnsi="Arial Narrow"/>
                <w:sz w:val="20"/>
                <w:szCs w:val="20"/>
              </w:rPr>
              <w:t>Total</w:t>
            </w:r>
          </w:p>
        </w:tc>
        <w:tc>
          <w:tcPr>
            <w:tcW w:w="550" w:type="pct"/>
            <w:tcBorders>
              <w:top w:val="nil"/>
              <w:left w:val="nil"/>
              <w:bottom w:val="single" w:sz="4" w:space="0" w:color="auto"/>
              <w:right w:val="single" w:sz="4" w:space="0" w:color="auto"/>
            </w:tcBorders>
            <w:noWrap/>
            <w:vAlign w:val="center"/>
            <w:hideMark/>
          </w:tcPr>
          <w:p w14:paraId="060A1F13"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w:t>
            </w:r>
          </w:p>
        </w:tc>
        <w:tc>
          <w:tcPr>
            <w:tcW w:w="551" w:type="pct"/>
            <w:tcBorders>
              <w:top w:val="nil"/>
              <w:left w:val="nil"/>
              <w:bottom w:val="single" w:sz="4" w:space="0" w:color="auto"/>
              <w:right w:val="single" w:sz="4" w:space="0" w:color="auto"/>
            </w:tcBorders>
            <w:noWrap/>
            <w:vAlign w:val="center"/>
          </w:tcPr>
          <w:p w14:paraId="4D56DB11"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11.70</w:t>
            </w:r>
          </w:p>
        </w:tc>
        <w:tc>
          <w:tcPr>
            <w:tcW w:w="393" w:type="pct"/>
            <w:tcBorders>
              <w:top w:val="single" w:sz="4" w:space="0" w:color="auto"/>
              <w:left w:val="nil"/>
              <w:bottom w:val="single" w:sz="4" w:space="0" w:color="auto"/>
              <w:right w:val="single" w:sz="4" w:space="0" w:color="auto"/>
            </w:tcBorders>
            <w:vAlign w:val="center"/>
          </w:tcPr>
          <w:p w14:paraId="181EF9BD" w14:textId="77777777" w:rsidR="007B5E49" w:rsidRPr="00AB6F27" w:rsidDel="00780B1D" w:rsidRDefault="007B5E49" w:rsidP="007B5E49">
            <w:pPr>
              <w:keepNext/>
              <w:jc w:val="center"/>
              <w:rPr>
                <w:rFonts w:ascii="Arial Narrow" w:hAnsi="Arial Narrow"/>
                <w:sz w:val="20"/>
                <w:szCs w:val="20"/>
              </w:rPr>
            </w:pPr>
            <w:r w:rsidRPr="00AB6F27">
              <w:rPr>
                <w:rFonts w:ascii="Arial Narrow" w:hAnsi="Arial Narrow"/>
                <w:sz w:val="20"/>
                <w:szCs w:val="20"/>
              </w:rPr>
              <w:t>3,479</w:t>
            </w:r>
          </w:p>
        </w:tc>
        <w:tc>
          <w:tcPr>
            <w:tcW w:w="473" w:type="pct"/>
            <w:tcBorders>
              <w:top w:val="nil"/>
              <w:left w:val="single" w:sz="4" w:space="0" w:color="auto"/>
              <w:bottom w:val="single" w:sz="4" w:space="0" w:color="auto"/>
              <w:right w:val="single" w:sz="4" w:space="0" w:color="auto"/>
            </w:tcBorders>
            <w:noWrap/>
            <w:vAlign w:val="center"/>
            <w:hideMark/>
          </w:tcPr>
          <w:p w14:paraId="775F83F9"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w:t>
            </w:r>
          </w:p>
        </w:tc>
        <w:tc>
          <w:tcPr>
            <w:tcW w:w="550" w:type="pct"/>
            <w:tcBorders>
              <w:top w:val="nil"/>
              <w:left w:val="nil"/>
              <w:bottom w:val="single" w:sz="4" w:space="0" w:color="auto"/>
              <w:right w:val="single" w:sz="4" w:space="0" w:color="auto"/>
            </w:tcBorders>
            <w:noWrap/>
            <w:vAlign w:val="center"/>
            <w:hideMark/>
          </w:tcPr>
          <w:p w14:paraId="2656F021"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14.54</w:t>
            </w:r>
          </w:p>
        </w:tc>
        <w:tc>
          <w:tcPr>
            <w:tcW w:w="472" w:type="pct"/>
            <w:tcBorders>
              <w:top w:val="single" w:sz="4" w:space="0" w:color="auto"/>
              <w:left w:val="nil"/>
              <w:bottom w:val="single" w:sz="4" w:space="0" w:color="auto"/>
              <w:right w:val="single" w:sz="4" w:space="0" w:color="auto"/>
            </w:tcBorders>
            <w:vAlign w:val="center"/>
          </w:tcPr>
          <w:p w14:paraId="7046E173" w14:textId="77777777" w:rsidR="007B5E49" w:rsidRPr="00AB6F27" w:rsidDel="00780B1D" w:rsidRDefault="007B5E49" w:rsidP="007B5E49">
            <w:pPr>
              <w:keepNext/>
              <w:jc w:val="center"/>
              <w:rPr>
                <w:rFonts w:ascii="Arial Narrow" w:hAnsi="Arial Narrow"/>
                <w:sz w:val="20"/>
                <w:szCs w:val="20"/>
              </w:rPr>
            </w:pPr>
            <w:r w:rsidRPr="00AB6F27">
              <w:rPr>
                <w:rFonts w:ascii="Arial Narrow" w:hAnsi="Arial Narrow"/>
                <w:sz w:val="20"/>
                <w:szCs w:val="20"/>
              </w:rPr>
              <w:t>19,537</w:t>
            </w:r>
          </w:p>
        </w:tc>
        <w:tc>
          <w:tcPr>
            <w:tcW w:w="320" w:type="pct"/>
            <w:tcBorders>
              <w:top w:val="nil"/>
              <w:left w:val="single" w:sz="4" w:space="0" w:color="auto"/>
              <w:bottom w:val="single" w:sz="4" w:space="0" w:color="auto"/>
              <w:right w:val="single" w:sz="4" w:space="0" w:color="auto"/>
            </w:tcBorders>
            <w:vAlign w:val="center"/>
          </w:tcPr>
          <w:p w14:paraId="6A43F335"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w:t>
            </w:r>
          </w:p>
        </w:tc>
        <w:tc>
          <w:tcPr>
            <w:tcW w:w="466" w:type="pct"/>
            <w:tcBorders>
              <w:top w:val="nil"/>
              <w:left w:val="nil"/>
              <w:bottom w:val="single" w:sz="4" w:space="0" w:color="auto"/>
              <w:right w:val="single" w:sz="4" w:space="0" w:color="auto"/>
            </w:tcBorders>
            <w:vAlign w:val="center"/>
          </w:tcPr>
          <w:p w14:paraId="4BD630F7"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239.25</w:t>
            </w:r>
          </w:p>
        </w:tc>
        <w:tc>
          <w:tcPr>
            <w:tcW w:w="519" w:type="pct"/>
            <w:tcBorders>
              <w:top w:val="nil"/>
              <w:left w:val="nil"/>
              <w:bottom w:val="single" w:sz="4" w:space="0" w:color="auto"/>
              <w:right w:val="single" w:sz="4" w:space="0" w:color="auto"/>
            </w:tcBorders>
            <w:vAlign w:val="center"/>
          </w:tcPr>
          <w:p w14:paraId="73213F1B" w14:textId="77777777" w:rsidR="007B5E49" w:rsidRPr="00AB6F27" w:rsidRDefault="007B5E49" w:rsidP="007B5E49">
            <w:pPr>
              <w:keepNext/>
              <w:jc w:val="center"/>
              <w:rPr>
                <w:rFonts w:ascii="Arial Narrow" w:hAnsi="Arial Narrow"/>
                <w:sz w:val="20"/>
                <w:szCs w:val="20"/>
              </w:rPr>
            </w:pPr>
            <w:r w:rsidRPr="00AB6F27">
              <w:rPr>
                <w:rFonts w:ascii="Arial Narrow" w:hAnsi="Arial Narrow"/>
                <w:sz w:val="20"/>
                <w:szCs w:val="20"/>
              </w:rPr>
              <w:t>143,550</w:t>
            </w:r>
          </w:p>
        </w:tc>
      </w:tr>
    </w:tbl>
    <w:p w14:paraId="681769AE" w14:textId="77777777" w:rsidR="007B5E49" w:rsidRPr="00AB6F27" w:rsidRDefault="007B5E49" w:rsidP="007B5E49">
      <w:pPr>
        <w:rPr>
          <w:rFonts w:ascii="Arial Narrow" w:hAnsi="Arial Narrow"/>
          <w:sz w:val="18"/>
          <w:szCs w:val="18"/>
        </w:rPr>
      </w:pPr>
      <w:r w:rsidRPr="00AB6F27">
        <w:rPr>
          <w:rFonts w:ascii="Arial Narrow" w:hAnsi="Arial Narrow"/>
          <w:sz w:val="18"/>
          <w:szCs w:val="18"/>
        </w:rPr>
        <w:t>Source: CMA excel workbook, Attachment 11 to the submission</w:t>
      </w:r>
    </w:p>
    <w:p w14:paraId="653E3830" w14:textId="77777777" w:rsidR="007B5E49" w:rsidRPr="00AB6F27" w:rsidRDefault="007B5E49" w:rsidP="007B5E49">
      <w:pPr>
        <w:rPr>
          <w:rFonts w:ascii="Arial Narrow" w:hAnsi="Arial Narrow"/>
          <w:sz w:val="18"/>
          <w:szCs w:val="18"/>
        </w:rPr>
      </w:pPr>
      <w:r w:rsidRPr="00AB6F27">
        <w:rPr>
          <w:rFonts w:ascii="Arial Narrow" w:hAnsi="Arial Narrow"/>
          <w:sz w:val="18"/>
          <w:szCs w:val="18"/>
        </w:rPr>
        <w:t>Abbreviations: Tx = treatment</w:t>
      </w:r>
    </w:p>
    <w:p w14:paraId="1EFE6C92" w14:textId="77777777" w:rsidR="007B5E49" w:rsidRPr="00AB6F27" w:rsidRDefault="007B5E49" w:rsidP="007B5E49">
      <w:pPr>
        <w:rPr>
          <w:rFonts w:ascii="Arial Narrow" w:hAnsi="Arial Narrow"/>
          <w:sz w:val="18"/>
          <w:szCs w:val="18"/>
        </w:rPr>
      </w:pPr>
      <w:r w:rsidRPr="00AB6F27">
        <w:rPr>
          <w:rFonts w:ascii="Arial Narrow" w:hAnsi="Arial Narrow"/>
          <w:sz w:val="18"/>
          <w:szCs w:val="18"/>
          <w:vertAlign w:val="superscript"/>
        </w:rPr>
        <w:t xml:space="preserve">a </w:t>
      </w:r>
      <w:r w:rsidRPr="00AB6F27">
        <w:rPr>
          <w:rFonts w:ascii="Arial Narrow" w:hAnsi="Arial Narrow"/>
          <w:sz w:val="18"/>
          <w:szCs w:val="18"/>
        </w:rPr>
        <w:t xml:space="preserve">Calculated by the submission as 1 year minus 18 weeks (6.0 Q3W cycles), divided by the 42 day (Q6W) dosing frequency for maintenance. </w:t>
      </w:r>
    </w:p>
    <w:p w14:paraId="2197DC6E" w14:textId="77777777" w:rsidR="007B5E49" w:rsidRPr="00AB6F27" w:rsidRDefault="007B5E49" w:rsidP="007B5E49">
      <w:pPr>
        <w:rPr>
          <w:rFonts w:ascii="Arial Narrow" w:hAnsi="Arial Narrow"/>
          <w:sz w:val="18"/>
          <w:szCs w:val="18"/>
        </w:rPr>
      </w:pPr>
      <w:r w:rsidRPr="00AB6F27">
        <w:rPr>
          <w:rFonts w:ascii="Arial Narrow" w:hAnsi="Arial Narrow"/>
          <w:sz w:val="18"/>
          <w:szCs w:val="18"/>
          <w:vertAlign w:val="superscript"/>
        </w:rPr>
        <w:t xml:space="preserve">b </w:t>
      </w:r>
      <w:r w:rsidRPr="00AB6F27">
        <w:rPr>
          <w:rFonts w:ascii="Arial Narrow" w:hAnsi="Arial Narrow"/>
          <w:sz w:val="18"/>
          <w:szCs w:val="18"/>
        </w:rPr>
        <w:t>Calculated by the submission as 1 year minus 18 weeks (6.0 Q3W cycles), divided by the 28 day (Q4W) dosing frequency for maintenance.</w:t>
      </w:r>
    </w:p>
    <w:p w14:paraId="59F03510" w14:textId="77777777" w:rsidR="007B5E49" w:rsidRPr="00AB6F27" w:rsidRDefault="007B5E49" w:rsidP="007B5E49">
      <w:pPr>
        <w:rPr>
          <w:rFonts w:ascii="Arial Narrow" w:hAnsi="Arial Narrow"/>
          <w:sz w:val="18"/>
          <w:szCs w:val="18"/>
        </w:rPr>
      </w:pPr>
      <w:r w:rsidRPr="00AB6F27">
        <w:rPr>
          <w:rFonts w:ascii="Arial Narrow" w:hAnsi="Arial Narrow"/>
          <w:sz w:val="18"/>
          <w:szCs w:val="18"/>
          <w:vertAlign w:val="superscript"/>
        </w:rPr>
        <w:t xml:space="preserve">c </w:t>
      </w:r>
      <w:r w:rsidRPr="00AB6F27">
        <w:rPr>
          <w:rFonts w:ascii="Arial Narrow" w:hAnsi="Arial Narrow"/>
          <w:sz w:val="18"/>
          <w:szCs w:val="18"/>
        </w:rPr>
        <w:t>1 year minus 18 weeks of initiation therapy = 34 weeks.</w:t>
      </w:r>
    </w:p>
    <w:p w14:paraId="6F307D21" w14:textId="77777777" w:rsidR="007B5E49" w:rsidRPr="00AB6F27" w:rsidRDefault="007B5E49" w:rsidP="007B5E49">
      <w:pPr>
        <w:keepNext/>
        <w:keepLines/>
        <w:rPr>
          <w:rFonts w:ascii="Arial Narrow" w:hAnsi="Arial Narrow"/>
          <w:sz w:val="18"/>
          <w:szCs w:val="18"/>
        </w:rPr>
      </w:pPr>
      <w:r w:rsidRPr="00AB6F27">
        <w:rPr>
          <w:rFonts w:ascii="Arial Narrow" w:hAnsi="Arial Narrow"/>
          <w:sz w:val="18"/>
          <w:szCs w:val="18"/>
        </w:rPr>
        <w:t>Equi-effective doses would usually be calculated based on the actual number of doses received i.e. a dose at Week 18, 24, 30, 36, 42 and 48 for a total of six doses.</w:t>
      </w:r>
    </w:p>
    <w:p w14:paraId="323D3E6B" w14:textId="77777777" w:rsidR="007B5E49" w:rsidRPr="00AB6F27" w:rsidRDefault="007B5E49" w:rsidP="007B5E49">
      <w:pPr>
        <w:rPr>
          <w:rFonts w:ascii="Arial Narrow" w:hAnsi="Arial Narrow"/>
          <w:sz w:val="18"/>
          <w:szCs w:val="18"/>
        </w:rPr>
      </w:pPr>
    </w:p>
    <w:p w14:paraId="29AE536F" w14:textId="4894B292" w:rsidR="007B5E49" w:rsidRDefault="007B5E49" w:rsidP="007B5E49">
      <w:pPr>
        <w:pStyle w:val="3-BodyText"/>
      </w:pPr>
      <w:bookmarkStart w:id="74" w:name="_Ref201649169"/>
      <w:r w:rsidRPr="00AB6F27">
        <w:t xml:space="preserve">For the CMA of </w:t>
      </w:r>
      <w:r>
        <w:t>pembrolizumab</w:t>
      </w:r>
      <w:r w:rsidRPr="00AB6F27">
        <w:t xml:space="preserve"> to </w:t>
      </w:r>
      <w:r>
        <w:t xml:space="preserve">durvalumab </w:t>
      </w:r>
      <w:r w:rsidRPr="00AB6F27">
        <w:t>+</w:t>
      </w:r>
      <w:r>
        <w:t xml:space="preserve"> olaparib</w:t>
      </w:r>
      <w:r w:rsidRPr="00AB6F27">
        <w:t xml:space="preserve"> in the pMMR population, the submission included the costs associated with managing haematological grade ≥3 adverse events due to the addition of </w:t>
      </w:r>
      <w:r>
        <w:t>olaparib</w:t>
      </w:r>
      <w:r w:rsidRPr="00AB6F27">
        <w:t xml:space="preserve">. However, the </w:t>
      </w:r>
      <w:r>
        <w:t xml:space="preserve">evaluation considered that the </w:t>
      </w:r>
      <w:r w:rsidRPr="00AB6F27">
        <w:t xml:space="preserve">unanchored indirect comparison was unlikely to accurately inform the magnitude of difference (if any) between </w:t>
      </w:r>
      <w:r>
        <w:t>pembrolizumab</w:t>
      </w:r>
      <w:r w:rsidRPr="00AB6F27">
        <w:t xml:space="preserve"> and </w:t>
      </w:r>
      <w:r>
        <w:t xml:space="preserve">durvalumab </w:t>
      </w:r>
      <w:r w:rsidRPr="00AB6F27">
        <w:t>+</w:t>
      </w:r>
      <w:r>
        <w:t xml:space="preserve"> olaparib</w:t>
      </w:r>
      <w:r w:rsidRPr="00AB6F27">
        <w:t xml:space="preserve"> (see paragraphs </w:t>
      </w:r>
      <w:r w:rsidRPr="00AB6F27">
        <w:fldChar w:fldCharType="begin"/>
      </w:r>
      <w:r w:rsidRPr="00AB6F27">
        <w:instrText xml:space="preserve"> REF _Ref196678069 \r \h  \* MERGEFORMAT </w:instrText>
      </w:r>
      <w:r w:rsidRPr="00AB6F27">
        <w:fldChar w:fldCharType="separate"/>
      </w:r>
      <w:r w:rsidR="003359D3">
        <w:t>6.49</w:t>
      </w:r>
      <w:r w:rsidRPr="00AB6F27">
        <w:fldChar w:fldCharType="end"/>
      </w:r>
      <w:r w:rsidRPr="00AB6F27">
        <w:t xml:space="preserve"> to </w:t>
      </w:r>
      <w:r w:rsidRPr="00AB6F27">
        <w:fldChar w:fldCharType="begin"/>
      </w:r>
      <w:r w:rsidRPr="00AB6F27">
        <w:instrText xml:space="preserve"> REF _Ref196678075 \r \h  \* MERGEFORMAT </w:instrText>
      </w:r>
      <w:r w:rsidRPr="00AB6F27">
        <w:fldChar w:fldCharType="separate"/>
      </w:r>
      <w:r w:rsidR="003359D3">
        <w:t>6.51</w:t>
      </w:r>
      <w:r w:rsidRPr="00AB6F27">
        <w:fldChar w:fldCharType="end"/>
      </w:r>
      <w:r w:rsidRPr="00AB6F27">
        <w:t>) and may not be reliable. The difference in incidence of AEs was then multiplied by the cost of episode of care (based on AR-DRG codes and cost from the National Efficient Price for public hospital services 2024-25) to derive a total incremental cost of adverse event management per patient of $717.22.</w:t>
      </w:r>
      <w:bookmarkEnd w:id="74"/>
      <w:r w:rsidRPr="00AB6F27">
        <w:t xml:space="preserve"> </w:t>
      </w:r>
    </w:p>
    <w:p w14:paraId="3DE63C38" w14:textId="09D6F188" w:rsidR="007B5E49" w:rsidRPr="00AB6F27" w:rsidRDefault="007B5E49" w:rsidP="007B5E49">
      <w:pPr>
        <w:pStyle w:val="3-BodyText"/>
      </w:pPr>
      <w:r w:rsidRPr="00AB6F27">
        <w:t xml:space="preserve">The </w:t>
      </w:r>
      <w:r>
        <w:t>durvalumab</w:t>
      </w:r>
      <w:r w:rsidRPr="00AB6F27">
        <w:t xml:space="preserve"> and </w:t>
      </w:r>
      <w:r>
        <w:t>olaparib</w:t>
      </w:r>
      <w:r w:rsidRPr="00AB6F27">
        <w:t xml:space="preserve"> costs were calculated based on the published ex manufacturer prices (in other indications including non-small cell lung cancer and biliary tract cancer), as shown in</w:t>
      </w:r>
      <w:r w:rsidR="00FC64AF">
        <w:t xml:space="preserve"> </w:t>
      </w:r>
      <w:r w:rsidR="00FC64AF">
        <w:fldChar w:fldCharType="begin"/>
      </w:r>
      <w:r w:rsidR="00FC64AF">
        <w:instrText xml:space="preserve"> REF _Ref200697571 \h  \* MERGEFORMAT </w:instrText>
      </w:r>
      <w:r w:rsidR="00FC64AF">
        <w:fldChar w:fldCharType="separate"/>
      </w:r>
      <w:r w:rsidR="003359D3" w:rsidRPr="003359D3">
        <w:t>Table 19</w:t>
      </w:r>
      <w:r w:rsidR="00FC64AF">
        <w:fldChar w:fldCharType="end"/>
      </w:r>
      <w:r w:rsidRPr="00AB6F27">
        <w:t>.</w:t>
      </w:r>
    </w:p>
    <w:p w14:paraId="0F326918" w14:textId="4755D9F8" w:rsidR="00A3213F" w:rsidRPr="00AB6F27" w:rsidRDefault="00A3213F" w:rsidP="00DD3917">
      <w:pPr>
        <w:keepNext/>
        <w:keepLines/>
        <w:rPr>
          <w:rFonts w:ascii="Arial Narrow" w:hAnsi="Arial Narrow"/>
          <w:b/>
          <w:bCs/>
          <w:sz w:val="20"/>
          <w:szCs w:val="20"/>
        </w:rPr>
      </w:pPr>
      <w:bookmarkStart w:id="75" w:name="_Ref200697571"/>
      <w:r w:rsidRPr="00AB6F27">
        <w:rPr>
          <w:rFonts w:ascii="Arial Narrow" w:hAnsi="Arial Narrow"/>
          <w:b/>
          <w:bCs/>
          <w:sz w:val="20"/>
          <w:szCs w:val="20"/>
        </w:rPr>
        <w:lastRenderedPageBreak/>
        <w:t xml:space="preserve">Table </w:t>
      </w:r>
      <w:r w:rsidRPr="00AB6F27">
        <w:rPr>
          <w:rFonts w:ascii="Arial Narrow" w:hAnsi="Arial Narrow"/>
          <w:b/>
          <w:bCs/>
          <w:sz w:val="20"/>
          <w:szCs w:val="20"/>
        </w:rPr>
        <w:fldChar w:fldCharType="begin"/>
      </w:r>
      <w:r w:rsidRPr="00AB6F27">
        <w:rPr>
          <w:rFonts w:ascii="Arial Narrow" w:hAnsi="Arial Narrow"/>
          <w:b/>
          <w:bCs/>
          <w:sz w:val="20"/>
          <w:szCs w:val="20"/>
        </w:rPr>
        <w:instrText xml:space="preserve"> SEQ Table \* ARABIC </w:instrText>
      </w:r>
      <w:r w:rsidRPr="00AB6F27">
        <w:rPr>
          <w:rFonts w:ascii="Arial Narrow" w:hAnsi="Arial Narrow"/>
          <w:b/>
          <w:bCs/>
          <w:sz w:val="20"/>
          <w:szCs w:val="20"/>
        </w:rPr>
        <w:fldChar w:fldCharType="separate"/>
      </w:r>
      <w:r w:rsidR="003359D3">
        <w:rPr>
          <w:rFonts w:ascii="Arial Narrow" w:hAnsi="Arial Narrow"/>
          <w:b/>
          <w:bCs/>
          <w:noProof/>
          <w:sz w:val="20"/>
          <w:szCs w:val="20"/>
        </w:rPr>
        <w:t>19</w:t>
      </w:r>
      <w:r w:rsidRPr="00AB6F27">
        <w:rPr>
          <w:rFonts w:ascii="Arial Narrow" w:hAnsi="Arial Narrow"/>
          <w:b/>
          <w:bCs/>
          <w:sz w:val="20"/>
          <w:szCs w:val="20"/>
        </w:rPr>
        <w:fldChar w:fldCharType="end"/>
      </w:r>
      <w:bookmarkEnd w:id="72"/>
      <w:bookmarkEnd w:id="75"/>
      <w:r w:rsidRPr="00AB6F27">
        <w:rPr>
          <w:rFonts w:ascii="Arial Narrow" w:hAnsi="Arial Narrow"/>
          <w:b/>
          <w:bCs/>
          <w:sz w:val="20"/>
          <w:szCs w:val="20"/>
        </w:rPr>
        <w:t xml:space="preserve">: Cost-minimisation analysis of </w:t>
      </w:r>
      <w:r w:rsidR="00BF1B0D">
        <w:rPr>
          <w:rFonts w:ascii="Arial Narrow" w:hAnsi="Arial Narrow"/>
          <w:b/>
          <w:bCs/>
          <w:sz w:val="20"/>
          <w:szCs w:val="20"/>
        </w:rPr>
        <w:t>pembrolizumab</w:t>
      </w:r>
      <w:r w:rsidRPr="00AB6F27">
        <w:rPr>
          <w:rFonts w:ascii="Arial Narrow" w:hAnsi="Arial Narrow"/>
          <w:b/>
          <w:bCs/>
          <w:sz w:val="20"/>
          <w:szCs w:val="20"/>
        </w:rPr>
        <w:t xml:space="preserve"> to </w:t>
      </w:r>
      <w:r w:rsidR="008F1D87">
        <w:rPr>
          <w:rFonts w:ascii="Arial Narrow" w:hAnsi="Arial Narrow"/>
          <w:b/>
          <w:bCs/>
          <w:sz w:val="20"/>
          <w:szCs w:val="20"/>
        </w:rPr>
        <w:t>durvalumab</w:t>
      </w:r>
      <w:r w:rsidR="00FC64AF">
        <w:rPr>
          <w:rFonts w:ascii="Arial Narrow" w:hAnsi="Arial Narrow"/>
          <w:b/>
          <w:bCs/>
          <w:sz w:val="20"/>
          <w:szCs w:val="20"/>
        </w:rPr>
        <w:t xml:space="preserve"> </w:t>
      </w:r>
      <w:r w:rsidRPr="00AB6F27">
        <w:rPr>
          <w:rFonts w:ascii="Arial Narrow" w:hAnsi="Arial Narrow"/>
          <w:b/>
          <w:bCs/>
          <w:sz w:val="20"/>
          <w:szCs w:val="20"/>
        </w:rPr>
        <w:t>+</w:t>
      </w:r>
      <w:r w:rsidR="00FC64AF" w:rsidRPr="00AB6F27" w:rsidDel="001F3073">
        <w:rPr>
          <w:rFonts w:ascii="Arial Narrow" w:hAnsi="Arial Narrow"/>
          <w:b/>
          <w:bCs/>
          <w:sz w:val="20"/>
          <w:szCs w:val="20"/>
        </w:rPr>
        <w:t xml:space="preserve"> </w:t>
      </w:r>
      <w:r w:rsidR="001F3073">
        <w:rPr>
          <w:rFonts w:ascii="Arial Narrow" w:hAnsi="Arial Narrow"/>
          <w:b/>
          <w:bCs/>
          <w:sz w:val="20"/>
          <w:szCs w:val="20"/>
        </w:rPr>
        <w:t>olaparib</w:t>
      </w:r>
      <w:r w:rsidRPr="00AB6F27">
        <w:rPr>
          <w:rFonts w:ascii="Arial Narrow" w:hAnsi="Arial Narrow"/>
          <w:b/>
          <w:bCs/>
          <w:sz w:val="20"/>
          <w:szCs w:val="20"/>
        </w:rPr>
        <w:t xml:space="preserve"> </w:t>
      </w:r>
      <w:r w:rsidR="000516B4" w:rsidRPr="00AB6F27">
        <w:rPr>
          <w:rFonts w:ascii="Arial Narrow" w:hAnsi="Arial Narrow"/>
          <w:b/>
          <w:bCs/>
          <w:sz w:val="20"/>
          <w:szCs w:val="20"/>
        </w:rPr>
        <w:t>(Total 52 weeks of treatment)</w:t>
      </w:r>
      <w:r w:rsidR="001E606B" w:rsidRPr="00AB6F27">
        <w:rPr>
          <w:rFonts w:ascii="Arial Narrow" w:hAnsi="Arial Narrow"/>
          <w:b/>
          <w:bCs/>
          <w:sz w:val="20"/>
          <w:szCs w:val="20"/>
        </w:rPr>
        <w:t xml:space="preserve">- </w:t>
      </w:r>
      <w:r w:rsidRPr="00AB6F27">
        <w:rPr>
          <w:rFonts w:ascii="Arial Narrow" w:hAnsi="Arial Narrow"/>
          <w:b/>
          <w:bCs/>
          <w:sz w:val="20"/>
          <w:szCs w:val="20"/>
        </w:rPr>
        <w:t>pMMR</w:t>
      </w:r>
    </w:p>
    <w:tbl>
      <w:tblPr>
        <w:tblStyle w:val="TableGrid"/>
        <w:tblW w:w="9630" w:type="dxa"/>
        <w:tblLook w:val="04A0" w:firstRow="1" w:lastRow="0" w:firstColumn="1" w:lastColumn="0" w:noHBand="0" w:noVBand="1"/>
        <w:tblCaption w:val="Table 19: Cost-minimisation analysis of pembrolizumab to durvalumab + olaparib (Total 52 weeks of treatment)- pMMR"/>
      </w:tblPr>
      <w:tblGrid>
        <w:gridCol w:w="572"/>
        <w:gridCol w:w="4755"/>
        <w:gridCol w:w="2039"/>
        <w:gridCol w:w="2264"/>
      </w:tblGrid>
      <w:tr w:rsidR="00A3213F" w:rsidRPr="00AB6F27" w14:paraId="354ADBBE" w14:textId="77777777" w:rsidTr="007B5E49">
        <w:tc>
          <w:tcPr>
            <w:tcW w:w="0" w:type="auto"/>
          </w:tcPr>
          <w:p w14:paraId="1BF68760" w14:textId="77777777" w:rsidR="00A3213F" w:rsidRPr="00AB6F27" w:rsidRDefault="00A3213F" w:rsidP="00DD3917">
            <w:pPr>
              <w:keepNext/>
              <w:keepLines/>
              <w:rPr>
                <w:rFonts w:ascii="Arial Narrow" w:hAnsi="Arial Narrow"/>
                <w:b/>
                <w:sz w:val="20"/>
                <w:szCs w:val="20"/>
              </w:rPr>
            </w:pPr>
            <w:r w:rsidRPr="00AB6F27">
              <w:rPr>
                <w:rFonts w:ascii="Arial Narrow" w:hAnsi="Arial Narrow"/>
                <w:b/>
                <w:sz w:val="20"/>
                <w:szCs w:val="20"/>
              </w:rPr>
              <w:t>Step</w:t>
            </w:r>
          </w:p>
        </w:tc>
        <w:tc>
          <w:tcPr>
            <w:tcW w:w="4755" w:type="dxa"/>
          </w:tcPr>
          <w:p w14:paraId="5BB4368E" w14:textId="77777777" w:rsidR="00A3213F" w:rsidRPr="00AB6F27" w:rsidRDefault="00A3213F" w:rsidP="00DD3917">
            <w:pPr>
              <w:keepNext/>
              <w:keepLines/>
              <w:rPr>
                <w:rFonts w:ascii="Arial Narrow" w:hAnsi="Arial Narrow"/>
                <w:b/>
                <w:sz w:val="20"/>
                <w:szCs w:val="20"/>
              </w:rPr>
            </w:pPr>
            <w:r w:rsidRPr="00AB6F27">
              <w:rPr>
                <w:rFonts w:ascii="Arial Narrow" w:hAnsi="Arial Narrow"/>
                <w:b/>
                <w:sz w:val="20"/>
                <w:szCs w:val="20"/>
              </w:rPr>
              <w:t>Description</w:t>
            </w:r>
          </w:p>
        </w:tc>
        <w:tc>
          <w:tcPr>
            <w:tcW w:w="2039" w:type="dxa"/>
            <w:vAlign w:val="center"/>
          </w:tcPr>
          <w:p w14:paraId="2B9DC6C5" w14:textId="77777777" w:rsidR="00A3213F" w:rsidRPr="00AB6F27" w:rsidRDefault="00A3213F" w:rsidP="00DD3917">
            <w:pPr>
              <w:keepNext/>
              <w:keepLines/>
              <w:jc w:val="center"/>
              <w:rPr>
                <w:rFonts w:ascii="Arial Narrow" w:hAnsi="Arial Narrow"/>
                <w:b/>
                <w:sz w:val="20"/>
                <w:szCs w:val="20"/>
              </w:rPr>
            </w:pPr>
            <w:r w:rsidRPr="00AB6F27">
              <w:rPr>
                <w:rFonts w:ascii="Arial Narrow" w:hAnsi="Arial Narrow"/>
                <w:b/>
                <w:sz w:val="20"/>
                <w:szCs w:val="20"/>
              </w:rPr>
              <w:t>Calculation</w:t>
            </w:r>
          </w:p>
        </w:tc>
        <w:tc>
          <w:tcPr>
            <w:tcW w:w="2264" w:type="dxa"/>
            <w:vAlign w:val="center"/>
          </w:tcPr>
          <w:p w14:paraId="5EDF3D98" w14:textId="77777777" w:rsidR="00A3213F" w:rsidRPr="00AB6F27" w:rsidRDefault="00A3213F" w:rsidP="00DD3917">
            <w:pPr>
              <w:keepNext/>
              <w:keepLines/>
              <w:jc w:val="center"/>
              <w:rPr>
                <w:rFonts w:ascii="Arial Narrow" w:hAnsi="Arial Narrow"/>
                <w:b/>
                <w:sz w:val="20"/>
                <w:szCs w:val="20"/>
              </w:rPr>
            </w:pPr>
            <w:r w:rsidRPr="00AB6F27">
              <w:rPr>
                <w:rFonts w:ascii="Arial Narrow" w:hAnsi="Arial Narrow"/>
                <w:b/>
                <w:sz w:val="20"/>
                <w:szCs w:val="20"/>
              </w:rPr>
              <w:t>Result</w:t>
            </w:r>
          </w:p>
        </w:tc>
      </w:tr>
      <w:tr w:rsidR="00A3213F" w:rsidRPr="00AB6F27" w14:paraId="19D4E3DA" w14:textId="77777777" w:rsidTr="007B5E49">
        <w:tc>
          <w:tcPr>
            <w:tcW w:w="9630" w:type="dxa"/>
            <w:gridSpan w:val="4"/>
          </w:tcPr>
          <w:p w14:paraId="13DCD49A" w14:textId="77777777" w:rsidR="00A3213F" w:rsidRPr="00AB6F27" w:rsidRDefault="00A3213F" w:rsidP="00DD3917">
            <w:pPr>
              <w:keepNext/>
              <w:keepLines/>
              <w:jc w:val="left"/>
              <w:rPr>
                <w:rFonts w:ascii="Arial Narrow" w:hAnsi="Arial Narrow"/>
                <w:b/>
                <w:bCs/>
                <w:sz w:val="20"/>
                <w:szCs w:val="20"/>
              </w:rPr>
            </w:pPr>
            <w:r w:rsidRPr="00AB6F27">
              <w:rPr>
                <w:rFonts w:ascii="Arial Narrow" w:hAnsi="Arial Narrow"/>
                <w:b/>
                <w:bCs/>
                <w:sz w:val="20"/>
                <w:szCs w:val="20"/>
              </w:rPr>
              <w:t>Initiation Phase</w:t>
            </w:r>
          </w:p>
        </w:tc>
      </w:tr>
      <w:tr w:rsidR="00A3213F" w:rsidRPr="00AB6F27" w14:paraId="6E60CB7C" w14:textId="77777777" w:rsidTr="007B5E49">
        <w:tc>
          <w:tcPr>
            <w:tcW w:w="0" w:type="auto"/>
          </w:tcPr>
          <w:p w14:paraId="1735D5C0"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A</w:t>
            </w:r>
          </w:p>
        </w:tc>
        <w:tc>
          <w:tcPr>
            <w:tcW w:w="4755" w:type="dxa"/>
            <w:tcBorders>
              <w:top w:val="single" w:sz="4" w:space="0" w:color="auto"/>
              <w:left w:val="nil"/>
              <w:bottom w:val="single" w:sz="4" w:space="0" w:color="auto"/>
              <w:right w:val="single" w:sz="4" w:space="0" w:color="auto"/>
            </w:tcBorders>
            <w:vAlign w:val="center"/>
          </w:tcPr>
          <w:p w14:paraId="0755D908" w14:textId="77777777" w:rsidR="00A3213F" w:rsidRPr="00AB6F27" w:rsidRDefault="00A3213F" w:rsidP="00DD3917">
            <w:pPr>
              <w:keepNext/>
              <w:keepLines/>
              <w:rPr>
                <w:rFonts w:ascii="Arial Narrow" w:hAnsi="Arial Narrow"/>
                <w:sz w:val="20"/>
                <w:szCs w:val="20"/>
              </w:rPr>
            </w:pPr>
            <w:r w:rsidRPr="00AB6F27">
              <w:rPr>
                <w:rFonts w:ascii="Arial Narrow" w:hAnsi="Arial Narrow" w:cs="Calibri"/>
                <w:color w:val="000000"/>
                <w:sz w:val="20"/>
                <w:szCs w:val="20"/>
              </w:rPr>
              <w:t>Published AEMP durvalumab 500 mg</w:t>
            </w:r>
          </w:p>
        </w:tc>
        <w:tc>
          <w:tcPr>
            <w:tcW w:w="2039" w:type="dxa"/>
            <w:tcBorders>
              <w:top w:val="single" w:sz="4" w:space="0" w:color="auto"/>
              <w:left w:val="single" w:sz="4" w:space="0" w:color="auto"/>
              <w:bottom w:val="single" w:sz="4" w:space="0" w:color="auto"/>
              <w:right w:val="single" w:sz="4" w:space="0" w:color="auto"/>
            </w:tcBorders>
            <w:vAlign w:val="center"/>
          </w:tcPr>
          <w:p w14:paraId="0373B6D1"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w:t>
            </w:r>
          </w:p>
        </w:tc>
        <w:tc>
          <w:tcPr>
            <w:tcW w:w="2264" w:type="dxa"/>
            <w:tcBorders>
              <w:top w:val="single" w:sz="4" w:space="0" w:color="auto"/>
              <w:left w:val="single" w:sz="4" w:space="0" w:color="auto"/>
              <w:bottom w:val="single" w:sz="4" w:space="0" w:color="auto"/>
              <w:right w:val="single" w:sz="4" w:space="0" w:color="auto"/>
            </w:tcBorders>
            <w:vAlign w:val="center"/>
          </w:tcPr>
          <w:p w14:paraId="0939182A"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cs="Calibri"/>
                <w:color w:val="000000"/>
                <w:sz w:val="20"/>
                <w:szCs w:val="20"/>
              </w:rPr>
              <w:t>$3,776.25</w:t>
            </w:r>
          </w:p>
        </w:tc>
      </w:tr>
      <w:tr w:rsidR="00A3213F" w:rsidRPr="00AB6F27" w14:paraId="5CD1E656" w14:textId="77777777" w:rsidTr="007B5E49">
        <w:tc>
          <w:tcPr>
            <w:tcW w:w="0" w:type="auto"/>
          </w:tcPr>
          <w:p w14:paraId="126B5826"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B</w:t>
            </w:r>
          </w:p>
        </w:tc>
        <w:tc>
          <w:tcPr>
            <w:tcW w:w="4755" w:type="dxa"/>
            <w:tcBorders>
              <w:top w:val="single" w:sz="4" w:space="0" w:color="auto"/>
              <w:left w:val="nil"/>
              <w:bottom w:val="single" w:sz="4" w:space="0" w:color="auto"/>
              <w:right w:val="single" w:sz="4" w:space="0" w:color="auto"/>
            </w:tcBorders>
            <w:vAlign w:val="center"/>
          </w:tcPr>
          <w:p w14:paraId="3B216646" w14:textId="77777777" w:rsidR="00A3213F" w:rsidRPr="00AB6F27" w:rsidRDefault="00A3213F" w:rsidP="00DD3917">
            <w:pPr>
              <w:keepNext/>
              <w:keepLines/>
              <w:rPr>
                <w:rFonts w:ascii="Arial Narrow" w:hAnsi="Arial Narrow"/>
                <w:sz w:val="20"/>
                <w:szCs w:val="20"/>
              </w:rPr>
            </w:pPr>
            <w:r w:rsidRPr="00AB6F27">
              <w:rPr>
                <w:rFonts w:ascii="Arial Narrow" w:hAnsi="Arial Narrow" w:cs="Calibri"/>
                <w:color w:val="000000"/>
                <w:sz w:val="20"/>
                <w:szCs w:val="20"/>
              </w:rPr>
              <w:t>Published AEMP durvalumab 120 mg</w:t>
            </w:r>
          </w:p>
        </w:tc>
        <w:tc>
          <w:tcPr>
            <w:tcW w:w="2039" w:type="dxa"/>
            <w:tcBorders>
              <w:top w:val="single" w:sz="4" w:space="0" w:color="auto"/>
              <w:left w:val="single" w:sz="4" w:space="0" w:color="auto"/>
              <w:bottom w:val="single" w:sz="4" w:space="0" w:color="auto"/>
              <w:right w:val="single" w:sz="4" w:space="0" w:color="auto"/>
            </w:tcBorders>
            <w:vAlign w:val="center"/>
          </w:tcPr>
          <w:p w14:paraId="0B5D5550"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w:t>
            </w:r>
          </w:p>
        </w:tc>
        <w:tc>
          <w:tcPr>
            <w:tcW w:w="2264" w:type="dxa"/>
            <w:tcBorders>
              <w:top w:val="single" w:sz="4" w:space="0" w:color="auto"/>
              <w:left w:val="single" w:sz="4" w:space="0" w:color="auto"/>
              <w:bottom w:val="single" w:sz="4" w:space="0" w:color="auto"/>
              <w:right w:val="single" w:sz="4" w:space="0" w:color="auto"/>
            </w:tcBorders>
            <w:vAlign w:val="center"/>
          </w:tcPr>
          <w:p w14:paraId="169E954A"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cs="Calibri"/>
                <w:color w:val="000000"/>
                <w:sz w:val="20"/>
                <w:szCs w:val="20"/>
              </w:rPr>
              <w:t>$906.30</w:t>
            </w:r>
          </w:p>
        </w:tc>
      </w:tr>
      <w:tr w:rsidR="00A3213F" w:rsidRPr="00AB6F27" w14:paraId="32DBBA3A" w14:textId="77777777" w:rsidTr="007B5E49">
        <w:tc>
          <w:tcPr>
            <w:tcW w:w="0" w:type="auto"/>
          </w:tcPr>
          <w:p w14:paraId="7B7E62C1"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C</w:t>
            </w:r>
          </w:p>
        </w:tc>
        <w:tc>
          <w:tcPr>
            <w:tcW w:w="4755" w:type="dxa"/>
            <w:tcBorders>
              <w:top w:val="single" w:sz="4" w:space="0" w:color="auto"/>
              <w:left w:val="nil"/>
              <w:bottom w:val="single" w:sz="4" w:space="0" w:color="auto"/>
              <w:right w:val="single" w:sz="4" w:space="0" w:color="auto"/>
            </w:tcBorders>
            <w:vAlign w:val="center"/>
          </w:tcPr>
          <w:p w14:paraId="3A9F8D6F" w14:textId="77777777" w:rsidR="00A3213F" w:rsidRPr="00AB6F27" w:rsidRDefault="00A3213F" w:rsidP="00DD3917">
            <w:pPr>
              <w:keepNext/>
              <w:keepLines/>
              <w:rPr>
                <w:rFonts w:ascii="Arial Narrow" w:hAnsi="Arial Narrow"/>
                <w:sz w:val="20"/>
                <w:szCs w:val="20"/>
              </w:rPr>
            </w:pPr>
            <w:r w:rsidRPr="00AB6F27">
              <w:rPr>
                <w:rFonts w:ascii="Arial Narrow" w:hAnsi="Arial Narrow" w:cs="Calibri"/>
                <w:color w:val="000000"/>
                <w:sz w:val="20"/>
                <w:szCs w:val="20"/>
              </w:rPr>
              <w:t>Total published AEMP durvalumab 1,120mg</w:t>
            </w:r>
          </w:p>
        </w:tc>
        <w:tc>
          <w:tcPr>
            <w:tcW w:w="2039" w:type="dxa"/>
            <w:tcBorders>
              <w:top w:val="single" w:sz="4" w:space="0" w:color="auto"/>
              <w:left w:val="single" w:sz="4" w:space="0" w:color="auto"/>
              <w:bottom w:val="single" w:sz="4" w:space="0" w:color="auto"/>
              <w:right w:val="single" w:sz="4" w:space="0" w:color="auto"/>
            </w:tcBorders>
            <w:vAlign w:val="center"/>
          </w:tcPr>
          <w:p w14:paraId="1601B6F7"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A*2 + B</w:t>
            </w:r>
          </w:p>
        </w:tc>
        <w:tc>
          <w:tcPr>
            <w:tcW w:w="2264" w:type="dxa"/>
            <w:tcBorders>
              <w:top w:val="single" w:sz="4" w:space="0" w:color="auto"/>
              <w:left w:val="single" w:sz="4" w:space="0" w:color="auto"/>
              <w:bottom w:val="single" w:sz="4" w:space="0" w:color="auto"/>
              <w:right w:val="single" w:sz="4" w:space="0" w:color="auto"/>
            </w:tcBorders>
            <w:vAlign w:val="center"/>
          </w:tcPr>
          <w:p w14:paraId="5AD4DAD3"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cs="Calibri"/>
                <w:color w:val="000000"/>
                <w:sz w:val="20"/>
                <w:szCs w:val="20"/>
              </w:rPr>
              <w:t>$8,458.80</w:t>
            </w:r>
          </w:p>
        </w:tc>
      </w:tr>
      <w:tr w:rsidR="00A3213F" w:rsidRPr="00AB6F27" w14:paraId="07743602" w14:textId="77777777" w:rsidTr="007B5E49">
        <w:tc>
          <w:tcPr>
            <w:tcW w:w="0" w:type="auto"/>
          </w:tcPr>
          <w:p w14:paraId="32841A4A"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D</w:t>
            </w:r>
          </w:p>
        </w:tc>
        <w:tc>
          <w:tcPr>
            <w:tcW w:w="4755" w:type="dxa"/>
            <w:tcBorders>
              <w:top w:val="single" w:sz="4" w:space="0" w:color="auto"/>
            </w:tcBorders>
          </w:tcPr>
          <w:p w14:paraId="10F14CD9"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durvalumab for 6 cycles</w:t>
            </w:r>
          </w:p>
        </w:tc>
        <w:tc>
          <w:tcPr>
            <w:tcW w:w="2039" w:type="dxa"/>
            <w:tcBorders>
              <w:top w:val="single" w:sz="4" w:space="0" w:color="auto"/>
            </w:tcBorders>
          </w:tcPr>
          <w:p w14:paraId="141DCAA5"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C*6</w:t>
            </w:r>
          </w:p>
        </w:tc>
        <w:tc>
          <w:tcPr>
            <w:tcW w:w="2264" w:type="dxa"/>
          </w:tcPr>
          <w:p w14:paraId="55F3DD0E"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$50,752.80</w:t>
            </w:r>
          </w:p>
        </w:tc>
      </w:tr>
      <w:tr w:rsidR="00A3213F" w:rsidRPr="00AB6F27" w14:paraId="3080D5CF" w14:textId="77777777" w:rsidTr="007B5E49">
        <w:tc>
          <w:tcPr>
            <w:tcW w:w="0" w:type="auto"/>
          </w:tcPr>
          <w:p w14:paraId="1048AEFD"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E</w:t>
            </w:r>
          </w:p>
        </w:tc>
        <w:tc>
          <w:tcPr>
            <w:tcW w:w="4755" w:type="dxa"/>
            <w:tcBorders>
              <w:top w:val="single" w:sz="4" w:space="0" w:color="auto"/>
            </w:tcBorders>
          </w:tcPr>
          <w:p w14:paraId="4F6DE598"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administration for 6 cycles</w:t>
            </w:r>
          </w:p>
        </w:tc>
        <w:tc>
          <w:tcPr>
            <w:tcW w:w="2039" w:type="dxa"/>
            <w:tcBorders>
              <w:top w:val="single" w:sz="4" w:space="0" w:color="auto"/>
            </w:tcBorders>
          </w:tcPr>
          <w:p w14:paraId="460DCF36"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 xml:space="preserve">$123.05 </w:t>
            </w:r>
            <w:r w:rsidRPr="00AB6F27">
              <w:rPr>
                <w:rFonts w:ascii="Arial Narrow" w:hAnsi="Arial Narrow"/>
                <w:sz w:val="20"/>
                <w:szCs w:val="20"/>
                <w:vertAlign w:val="superscript"/>
              </w:rPr>
              <w:t>a</w:t>
            </w:r>
            <w:r w:rsidRPr="00AB6F27">
              <w:rPr>
                <w:rFonts w:ascii="Arial Narrow" w:hAnsi="Arial Narrow"/>
                <w:sz w:val="20"/>
                <w:szCs w:val="20"/>
              </w:rPr>
              <w:t xml:space="preserve"> * 6</w:t>
            </w:r>
          </w:p>
        </w:tc>
        <w:tc>
          <w:tcPr>
            <w:tcW w:w="2264" w:type="dxa"/>
          </w:tcPr>
          <w:p w14:paraId="1AD3200A"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$738.30</w:t>
            </w:r>
          </w:p>
        </w:tc>
      </w:tr>
      <w:tr w:rsidR="00A3213F" w:rsidRPr="00AB6F27" w14:paraId="27115E8F" w14:textId="77777777" w:rsidTr="007B5E49">
        <w:tc>
          <w:tcPr>
            <w:tcW w:w="0" w:type="auto"/>
          </w:tcPr>
          <w:p w14:paraId="59972630"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F</w:t>
            </w:r>
          </w:p>
        </w:tc>
        <w:tc>
          <w:tcPr>
            <w:tcW w:w="4755" w:type="dxa"/>
            <w:tcBorders>
              <w:top w:val="single" w:sz="4" w:space="0" w:color="auto"/>
            </w:tcBorders>
          </w:tcPr>
          <w:p w14:paraId="16A0DDED"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Total cost of durvalumab for initiation (18 weeks)</w:t>
            </w:r>
          </w:p>
        </w:tc>
        <w:tc>
          <w:tcPr>
            <w:tcW w:w="2039" w:type="dxa"/>
            <w:tcBorders>
              <w:top w:val="single" w:sz="4" w:space="0" w:color="auto"/>
            </w:tcBorders>
          </w:tcPr>
          <w:p w14:paraId="346E8273"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D + E</w:t>
            </w:r>
          </w:p>
        </w:tc>
        <w:tc>
          <w:tcPr>
            <w:tcW w:w="2264" w:type="dxa"/>
          </w:tcPr>
          <w:p w14:paraId="0E8F35D8"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$51,491.10</w:t>
            </w:r>
          </w:p>
        </w:tc>
      </w:tr>
      <w:tr w:rsidR="00A3213F" w:rsidRPr="00AB6F27" w14:paraId="2DDB73F0" w14:textId="77777777" w:rsidTr="007B5E49">
        <w:tc>
          <w:tcPr>
            <w:tcW w:w="9630" w:type="dxa"/>
            <w:gridSpan w:val="4"/>
          </w:tcPr>
          <w:p w14:paraId="60656B8A" w14:textId="77777777" w:rsidR="00A3213F" w:rsidRPr="00AB6F27" w:rsidRDefault="00A3213F" w:rsidP="00DD3917">
            <w:pPr>
              <w:keepNext/>
              <w:keepLines/>
              <w:jc w:val="left"/>
              <w:rPr>
                <w:rFonts w:ascii="Arial Narrow" w:hAnsi="Arial Narrow"/>
                <w:b/>
                <w:bCs/>
                <w:sz w:val="20"/>
                <w:szCs w:val="20"/>
              </w:rPr>
            </w:pPr>
            <w:r w:rsidRPr="00AB6F27">
              <w:rPr>
                <w:rFonts w:ascii="Arial Narrow" w:hAnsi="Arial Narrow"/>
                <w:b/>
                <w:bCs/>
                <w:sz w:val="20"/>
                <w:szCs w:val="20"/>
              </w:rPr>
              <w:t>Maintenance Phase</w:t>
            </w:r>
          </w:p>
        </w:tc>
      </w:tr>
      <w:tr w:rsidR="00A3213F" w:rsidRPr="00AB6F27" w14:paraId="14725C57" w14:textId="77777777" w:rsidTr="007B5E49">
        <w:tc>
          <w:tcPr>
            <w:tcW w:w="0" w:type="auto"/>
          </w:tcPr>
          <w:p w14:paraId="56FB79C1"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G</w:t>
            </w:r>
          </w:p>
        </w:tc>
        <w:tc>
          <w:tcPr>
            <w:tcW w:w="4755" w:type="dxa"/>
            <w:tcBorders>
              <w:top w:val="single" w:sz="4" w:space="0" w:color="auto"/>
            </w:tcBorders>
          </w:tcPr>
          <w:p w14:paraId="087ACA77"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Total published AEMP durvalumab 1,500mg</w:t>
            </w:r>
          </w:p>
        </w:tc>
        <w:tc>
          <w:tcPr>
            <w:tcW w:w="2039" w:type="dxa"/>
            <w:tcBorders>
              <w:top w:val="single" w:sz="4" w:space="0" w:color="auto"/>
            </w:tcBorders>
          </w:tcPr>
          <w:p w14:paraId="69B5F98A"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A * 3</w:t>
            </w:r>
          </w:p>
        </w:tc>
        <w:tc>
          <w:tcPr>
            <w:tcW w:w="2264" w:type="dxa"/>
            <w:tcBorders>
              <w:top w:val="single" w:sz="4" w:space="0" w:color="auto"/>
              <w:bottom w:val="single" w:sz="4" w:space="0" w:color="auto"/>
            </w:tcBorders>
          </w:tcPr>
          <w:p w14:paraId="053319D3"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$11,328.75</w:t>
            </w:r>
          </w:p>
        </w:tc>
      </w:tr>
      <w:tr w:rsidR="00A3213F" w:rsidRPr="00AB6F27" w14:paraId="125C8054" w14:textId="77777777" w:rsidTr="007B5E49">
        <w:tc>
          <w:tcPr>
            <w:tcW w:w="0" w:type="auto"/>
          </w:tcPr>
          <w:p w14:paraId="024D414A"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H</w:t>
            </w:r>
          </w:p>
        </w:tc>
        <w:tc>
          <w:tcPr>
            <w:tcW w:w="4755" w:type="dxa"/>
          </w:tcPr>
          <w:p w14:paraId="68CE5287"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durvalumab supply for 8.54 cycles</w:t>
            </w:r>
          </w:p>
        </w:tc>
        <w:tc>
          <w:tcPr>
            <w:tcW w:w="2039" w:type="dxa"/>
          </w:tcPr>
          <w:p w14:paraId="4E40EA0C" w14:textId="77777777" w:rsidR="00A3213F" w:rsidRPr="00AB6F27" w:rsidRDefault="00A3213F" w:rsidP="00DD3917">
            <w:pPr>
              <w:keepNext/>
              <w:keepLines/>
              <w:jc w:val="center"/>
              <w:rPr>
                <w:rFonts w:ascii="Arial Narrow" w:hAnsi="Arial Narrow"/>
                <w:sz w:val="20"/>
                <w:szCs w:val="20"/>
                <w:vertAlign w:val="superscript"/>
              </w:rPr>
            </w:pPr>
            <w:r w:rsidRPr="00AB6F27">
              <w:rPr>
                <w:rFonts w:ascii="Arial Narrow" w:hAnsi="Arial Narrow"/>
                <w:sz w:val="20"/>
                <w:szCs w:val="20"/>
              </w:rPr>
              <w:t xml:space="preserve">G * 8.54 </w:t>
            </w:r>
            <w:r w:rsidRPr="00AB6F27">
              <w:rPr>
                <w:rFonts w:ascii="Arial Narrow" w:hAnsi="Arial Narrow"/>
                <w:sz w:val="20"/>
                <w:szCs w:val="20"/>
                <w:vertAlign w:val="superscript"/>
              </w:rPr>
              <w:t>b</w:t>
            </w:r>
          </w:p>
        </w:tc>
        <w:tc>
          <w:tcPr>
            <w:tcW w:w="2264" w:type="dxa"/>
            <w:tcBorders>
              <w:top w:val="single" w:sz="4" w:space="0" w:color="auto"/>
              <w:bottom w:val="single" w:sz="4" w:space="0" w:color="auto"/>
            </w:tcBorders>
          </w:tcPr>
          <w:p w14:paraId="2B5FB982"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$96,800.12</w:t>
            </w:r>
          </w:p>
        </w:tc>
      </w:tr>
      <w:tr w:rsidR="00A3213F" w:rsidRPr="00AB6F27" w14:paraId="3A7EC134" w14:textId="77777777" w:rsidTr="007B5E49">
        <w:tc>
          <w:tcPr>
            <w:tcW w:w="0" w:type="auto"/>
          </w:tcPr>
          <w:p w14:paraId="01B3D0AA"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I</w:t>
            </w:r>
          </w:p>
        </w:tc>
        <w:tc>
          <w:tcPr>
            <w:tcW w:w="4755" w:type="dxa"/>
          </w:tcPr>
          <w:p w14:paraId="6A58BB6F"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durvalumab administration per year for 8.54 cycles</w:t>
            </w:r>
          </w:p>
        </w:tc>
        <w:tc>
          <w:tcPr>
            <w:tcW w:w="2039" w:type="dxa"/>
          </w:tcPr>
          <w:p w14:paraId="691B7B93" w14:textId="77777777" w:rsidR="00A3213F" w:rsidRPr="00AB6F27" w:rsidRDefault="00A3213F" w:rsidP="00DD3917">
            <w:pPr>
              <w:keepNext/>
              <w:keepLines/>
              <w:jc w:val="center"/>
              <w:rPr>
                <w:rFonts w:ascii="Arial Narrow" w:hAnsi="Arial Narrow"/>
                <w:sz w:val="20"/>
                <w:szCs w:val="20"/>
                <w:vertAlign w:val="superscript"/>
              </w:rPr>
            </w:pPr>
            <w:r w:rsidRPr="00AB6F27">
              <w:rPr>
                <w:rFonts w:ascii="Arial Narrow" w:hAnsi="Arial Narrow"/>
                <w:sz w:val="20"/>
                <w:szCs w:val="20"/>
              </w:rPr>
              <w:t xml:space="preserve">$123.05 </w:t>
            </w:r>
            <w:r w:rsidRPr="00AB6F27">
              <w:rPr>
                <w:rFonts w:ascii="Arial Narrow" w:hAnsi="Arial Narrow"/>
                <w:sz w:val="20"/>
                <w:szCs w:val="20"/>
                <w:vertAlign w:val="superscript"/>
              </w:rPr>
              <w:t>a</w:t>
            </w:r>
            <w:r w:rsidRPr="00AB6F27">
              <w:rPr>
                <w:rFonts w:ascii="Arial Narrow" w:hAnsi="Arial Narrow"/>
                <w:sz w:val="20"/>
                <w:szCs w:val="20"/>
              </w:rPr>
              <w:t xml:space="preserve"> * 8.54 </w:t>
            </w:r>
            <w:r w:rsidRPr="00AB6F27">
              <w:rPr>
                <w:rFonts w:ascii="Arial Narrow" w:hAnsi="Arial Narrow"/>
                <w:sz w:val="20"/>
                <w:szCs w:val="20"/>
                <w:vertAlign w:val="superscript"/>
              </w:rPr>
              <w:t>b</w:t>
            </w:r>
          </w:p>
        </w:tc>
        <w:tc>
          <w:tcPr>
            <w:tcW w:w="2264" w:type="dxa"/>
            <w:tcBorders>
              <w:top w:val="single" w:sz="4" w:space="0" w:color="auto"/>
              <w:bottom w:val="single" w:sz="4" w:space="0" w:color="auto"/>
            </w:tcBorders>
          </w:tcPr>
          <w:p w14:paraId="5E60969C"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$1,051.42</w:t>
            </w:r>
          </w:p>
        </w:tc>
      </w:tr>
      <w:tr w:rsidR="00A3213F" w:rsidRPr="00AB6F27" w14:paraId="0E8D626F" w14:textId="77777777" w:rsidTr="007B5E49">
        <w:tc>
          <w:tcPr>
            <w:tcW w:w="0" w:type="auto"/>
          </w:tcPr>
          <w:p w14:paraId="2BC6BC43"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J</w:t>
            </w:r>
          </w:p>
        </w:tc>
        <w:tc>
          <w:tcPr>
            <w:tcW w:w="4755" w:type="dxa"/>
            <w:tcBorders>
              <w:bottom w:val="single" w:sz="4" w:space="0" w:color="auto"/>
            </w:tcBorders>
          </w:tcPr>
          <w:p w14:paraId="02311E0D"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Total cost of durvalumab for maintenance (34 weeks)</w:t>
            </w:r>
          </w:p>
        </w:tc>
        <w:tc>
          <w:tcPr>
            <w:tcW w:w="2039" w:type="dxa"/>
            <w:tcBorders>
              <w:bottom w:val="single" w:sz="4" w:space="0" w:color="auto"/>
            </w:tcBorders>
          </w:tcPr>
          <w:p w14:paraId="315A85AE"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H + I</w:t>
            </w:r>
          </w:p>
        </w:tc>
        <w:tc>
          <w:tcPr>
            <w:tcW w:w="2264" w:type="dxa"/>
            <w:tcBorders>
              <w:top w:val="single" w:sz="4" w:space="0" w:color="auto"/>
              <w:bottom w:val="single" w:sz="4" w:space="0" w:color="auto"/>
            </w:tcBorders>
          </w:tcPr>
          <w:p w14:paraId="78C73D73"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$97,851.54</w:t>
            </w:r>
          </w:p>
        </w:tc>
      </w:tr>
      <w:tr w:rsidR="00A3213F" w:rsidRPr="00AB6F27" w14:paraId="7310B9EC" w14:textId="77777777" w:rsidTr="007B5E49">
        <w:tc>
          <w:tcPr>
            <w:tcW w:w="0" w:type="auto"/>
          </w:tcPr>
          <w:p w14:paraId="61060753"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K</w:t>
            </w:r>
          </w:p>
        </w:tc>
        <w:tc>
          <w:tcPr>
            <w:tcW w:w="4755" w:type="dxa"/>
            <w:tcBorders>
              <w:bottom w:val="single" w:sz="4" w:space="0" w:color="auto"/>
            </w:tcBorders>
          </w:tcPr>
          <w:p w14:paraId="3F53F489"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Published AEMP olaparib 150 mg (56 tablets)</w:t>
            </w:r>
          </w:p>
        </w:tc>
        <w:tc>
          <w:tcPr>
            <w:tcW w:w="2039" w:type="dxa"/>
            <w:tcBorders>
              <w:bottom w:val="single" w:sz="4" w:space="0" w:color="auto"/>
            </w:tcBorders>
          </w:tcPr>
          <w:p w14:paraId="12D90F81"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w:t>
            </w:r>
          </w:p>
        </w:tc>
        <w:tc>
          <w:tcPr>
            <w:tcW w:w="2264" w:type="dxa"/>
            <w:tcBorders>
              <w:top w:val="single" w:sz="4" w:space="0" w:color="auto"/>
              <w:bottom w:val="single" w:sz="4" w:space="0" w:color="auto"/>
            </w:tcBorders>
          </w:tcPr>
          <w:p w14:paraId="2C347246"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$3,234.75</w:t>
            </w:r>
          </w:p>
        </w:tc>
      </w:tr>
      <w:tr w:rsidR="00A3213F" w:rsidRPr="00AB6F27" w14:paraId="5C8DF120" w14:textId="77777777" w:rsidTr="007B5E49">
        <w:tc>
          <w:tcPr>
            <w:tcW w:w="0" w:type="auto"/>
          </w:tcPr>
          <w:p w14:paraId="63B99269"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L</w:t>
            </w:r>
          </w:p>
        </w:tc>
        <w:tc>
          <w:tcPr>
            <w:tcW w:w="4755" w:type="dxa"/>
            <w:tcBorders>
              <w:bottom w:val="single" w:sz="4" w:space="0" w:color="auto"/>
            </w:tcBorders>
          </w:tcPr>
          <w:p w14:paraId="6132B3C3"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600mg daily dose of olaparib</w:t>
            </w:r>
          </w:p>
        </w:tc>
        <w:tc>
          <w:tcPr>
            <w:tcW w:w="2039" w:type="dxa"/>
            <w:tcBorders>
              <w:bottom w:val="single" w:sz="4" w:space="0" w:color="auto"/>
            </w:tcBorders>
          </w:tcPr>
          <w:p w14:paraId="71273613"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(K/56) * 4</w:t>
            </w:r>
          </w:p>
        </w:tc>
        <w:tc>
          <w:tcPr>
            <w:tcW w:w="2264" w:type="dxa"/>
            <w:tcBorders>
              <w:top w:val="single" w:sz="4" w:space="0" w:color="auto"/>
              <w:bottom w:val="single" w:sz="4" w:space="0" w:color="auto"/>
            </w:tcBorders>
          </w:tcPr>
          <w:p w14:paraId="085268DF"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$231.05</w:t>
            </w:r>
          </w:p>
        </w:tc>
      </w:tr>
      <w:tr w:rsidR="00A3213F" w:rsidRPr="00AB6F27" w14:paraId="50AD3F71" w14:textId="77777777" w:rsidTr="007B5E49">
        <w:tc>
          <w:tcPr>
            <w:tcW w:w="0" w:type="auto"/>
          </w:tcPr>
          <w:p w14:paraId="4C6848B8"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M</w:t>
            </w:r>
          </w:p>
        </w:tc>
        <w:tc>
          <w:tcPr>
            <w:tcW w:w="4755" w:type="dxa"/>
            <w:tcBorders>
              <w:bottom w:val="single" w:sz="4" w:space="0" w:color="auto"/>
            </w:tcBorders>
          </w:tcPr>
          <w:p w14:paraId="57BA8A7E"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34 week supply of olaparib</w:t>
            </w:r>
          </w:p>
        </w:tc>
        <w:tc>
          <w:tcPr>
            <w:tcW w:w="2039" w:type="dxa"/>
            <w:tcBorders>
              <w:bottom w:val="single" w:sz="4" w:space="0" w:color="auto"/>
            </w:tcBorders>
          </w:tcPr>
          <w:p w14:paraId="2A5FE0D6"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L * 239.25</w:t>
            </w:r>
          </w:p>
        </w:tc>
        <w:tc>
          <w:tcPr>
            <w:tcW w:w="2264" w:type="dxa"/>
            <w:tcBorders>
              <w:top w:val="single" w:sz="4" w:space="0" w:color="auto"/>
              <w:bottom w:val="single" w:sz="4" w:space="0" w:color="auto"/>
            </w:tcBorders>
          </w:tcPr>
          <w:p w14:paraId="3B413C26"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$55,279.57</w:t>
            </w:r>
          </w:p>
        </w:tc>
      </w:tr>
      <w:tr w:rsidR="00A3213F" w:rsidRPr="00AB6F27" w14:paraId="7852D9FA" w14:textId="77777777" w:rsidTr="007B5E49">
        <w:tc>
          <w:tcPr>
            <w:tcW w:w="0" w:type="auto"/>
          </w:tcPr>
          <w:p w14:paraId="2167B063"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N</w:t>
            </w:r>
          </w:p>
        </w:tc>
        <w:tc>
          <w:tcPr>
            <w:tcW w:w="4755" w:type="dxa"/>
            <w:tcBorders>
              <w:bottom w:val="single" w:sz="4" w:space="0" w:color="auto"/>
            </w:tcBorders>
          </w:tcPr>
          <w:p w14:paraId="21E693BE"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 xml:space="preserve">Total cost of durvalumab and olaparib for maintenance </w:t>
            </w:r>
          </w:p>
        </w:tc>
        <w:tc>
          <w:tcPr>
            <w:tcW w:w="2039" w:type="dxa"/>
            <w:tcBorders>
              <w:bottom w:val="single" w:sz="4" w:space="0" w:color="auto"/>
            </w:tcBorders>
          </w:tcPr>
          <w:p w14:paraId="25BEA855"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J + M</w:t>
            </w:r>
          </w:p>
        </w:tc>
        <w:tc>
          <w:tcPr>
            <w:tcW w:w="2264" w:type="dxa"/>
            <w:tcBorders>
              <w:top w:val="single" w:sz="4" w:space="0" w:color="auto"/>
              <w:bottom w:val="single" w:sz="4" w:space="0" w:color="auto"/>
            </w:tcBorders>
          </w:tcPr>
          <w:p w14:paraId="1E4C8339"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$153,131.11</w:t>
            </w:r>
          </w:p>
        </w:tc>
      </w:tr>
      <w:tr w:rsidR="00A3213F" w:rsidRPr="00AB6F27" w14:paraId="00ED1AEF" w14:textId="77777777" w:rsidTr="007B5E49">
        <w:tc>
          <w:tcPr>
            <w:tcW w:w="9630" w:type="dxa"/>
            <w:gridSpan w:val="4"/>
          </w:tcPr>
          <w:p w14:paraId="1D813579" w14:textId="77777777" w:rsidR="00A3213F" w:rsidRPr="00AB6F27" w:rsidRDefault="00A3213F" w:rsidP="00DD3917">
            <w:pPr>
              <w:keepNext/>
              <w:keepLines/>
              <w:jc w:val="left"/>
              <w:rPr>
                <w:rFonts w:ascii="Arial Narrow" w:hAnsi="Arial Narrow"/>
                <w:b/>
                <w:bCs/>
                <w:sz w:val="20"/>
                <w:szCs w:val="20"/>
              </w:rPr>
            </w:pPr>
            <w:r w:rsidRPr="00AB6F27">
              <w:rPr>
                <w:rFonts w:ascii="Arial Narrow" w:hAnsi="Arial Narrow"/>
                <w:b/>
                <w:bCs/>
                <w:sz w:val="20"/>
                <w:szCs w:val="20"/>
              </w:rPr>
              <w:t xml:space="preserve">Adverse Events </w:t>
            </w:r>
          </w:p>
        </w:tc>
      </w:tr>
      <w:tr w:rsidR="00A3213F" w:rsidRPr="00AB6F27" w14:paraId="5AF3FA6F" w14:textId="77777777" w:rsidTr="007B5E49">
        <w:tc>
          <w:tcPr>
            <w:tcW w:w="0" w:type="auto"/>
          </w:tcPr>
          <w:p w14:paraId="232EEA3D"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O</w:t>
            </w:r>
          </w:p>
        </w:tc>
        <w:tc>
          <w:tcPr>
            <w:tcW w:w="4755" w:type="dxa"/>
            <w:tcBorders>
              <w:top w:val="single" w:sz="4" w:space="0" w:color="auto"/>
            </w:tcBorders>
          </w:tcPr>
          <w:p w14:paraId="59DCEE77" w14:textId="1AD58D33"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 xml:space="preserve">Incremental cost of AE management </w:t>
            </w:r>
            <w:r w:rsidR="009332BD" w:rsidRPr="00AB6F27">
              <w:rPr>
                <w:rFonts w:ascii="Arial Narrow" w:hAnsi="Arial Narrow"/>
                <w:sz w:val="20"/>
                <w:szCs w:val="20"/>
              </w:rPr>
              <w:t xml:space="preserve">per patient per year </w:t>
            </w:r>
          </w:p>
        </w:tc>
        <w:tc>
          <w:tcPr>
            <w:tcW w:w="2039" w:type="dxa"/>
            <w:tcBorders>
              <w:top w:val="single" w:sz="4" w:space="0" w:color="auto"/>
            </w:tcBorders>
          </w:tcPr>
          <w:p w14:paraId="0BB53B70" w14:textId="165FBDD9" w:rsidR="00A3213F" w:rsidRPr="00AB6F27" w:rsidRDefault="00981AC6" w:rsidP="00DD3917">
            <w:pPr>
              <w:keepNext/>
              <w:keepLines/>
              <w:jc w:val="center"/>
              <w:rPr>
                <w:rFonts w:ascii="Arial Narrow" w:hAnsi="Arial Narrow"/>
                <w:sz w:val="20"/>
                <w:szCs w:val="20"/>
              </w:rPr>
            </w:pPr>
            <w:r w:rsidRPr="00AB6F27">
              <w:rPr>
                <w:rFonts w:ascii="Arial Narrow" w:hAnsi="Arial Narrow"/>
                <w:sz w:val="20"/>
                <w:szCs w:val="20"/>
              </w:rPr>
              <w:t>See p</w:t>
            </w:r>
            <w:r w:rsidR="00E82D24" w:rsidRPr="00AB6F27">
              <w:rPr>
                <w:rFonts w:ascii="Arial Narrow" w:hAnsi="Arial Narrow"/>
                <w:sz w:val="20"/>
                <w:szCs w:val="20"/>
              </w:rPr>
              <w:t xml:space="preserve">aragraph </w:t>
            </w:r>
            <w:r w:rsidR="00810424">
              <w:rPr>
                <w:rFonts w:ascii="Arial Narrow" w:hAnsi="Arial Narrow"/>
                <w:sz w:val="20"/>
                <w:szCs w:val="20"/>
              </w:rPr>
              <w:fldChar w:fldCharType="begin"/>
            </w:r>
            <w:r w:rsidR="00810424">
              <w:rPr>
                <w:rFonts w:ascii="Arial Narrow" w:hAnsi="Arial Narrow"/>
                <w:sz w:val="20"/>
                <w:szCs w:val="20"/>
              </w:rPr>
              <w:instrText xml:space="preserve"> REF _Ref201649169 \r \h </w:instrText>
            </w:r>
            <w:r w:rsidR="00810424">
              <w:rPr>
                <w:rFonts w:ascii="Arial Narrow" w:hAnsi="Arial Narrow"/>
                <w:sz w:val="20"/>
                <w:szCs w:val="20"/>
              </w:rPr>
            </w:r>
            <w:r w:rsidR="00810424">
              <w:rPr>
                <w:rFonts w:ascii="Arial Narrow" w:hAnsi="Arial Narrow"/>
                <w:sz w:val="20"/>
                <w:szCs w:val="20"/>
              </w:rPr>
              <w:fldChar w:fldCharType="separate"/>
            </w:r>
            <w:r w:rsidR="003359D3">
              <w:rPr>
                <w:rFonts w:ascii="Arial Narrow" w:hAnsi="Arial Narrow"/>
                <w:sz w:val="20"/>
                <w:szCs w:val="20"/>
              </w:rPr>
              <w:t>6.82</w:t>
            </w:r>
            <w:r w:rsidR="00810424">
              <w:rPr>
                <w:rFonts w:ascii="Arial Narrow" w:hAnsi="Arial Narrow"/>
                <w:sz w:val="20"/>
                <w:szCs w:val="20"/>
              </w:rPr>
              <w:fldChar w:fldCharType="end"/>
            </w:r>
          </w:p>
        </w:tc>
        <w:tc>
          <w:tcPr>
            <w:tcW w:w="2264" w:type="dxa"/>
            <w:tcBorders>
              <w:top w:val="single" w:sz="4" w:space="0" w:color="auto"/>
            </w:tcBorders>
          </w:tcPr>
          <w:p w14:paraId="42B5FE92" w14:textId="6091BAD0" w:rsidR="00A3213F" w:rsidRPr="00AB6F27" w:rsidRDefault="00A3213F" w:rsidP="00DD3917">
            <w:pPr>
              <w:keepNext/>
              <w:keepLines/>
              <w:jc w:val="center"/>
              <w:rPr>
                <w:rFonts w:ascii="Arial Narrow" w:hAnsi="Arial Narrow"/>
                <w:sz w:val="20"/>
                <w:szCs w:val="20"/>
                <w:vertAlign w:val="superscript"/>
              </w:rPr>
            </w:pPr>
            <w:r w:rsidRPr="00AB6F27">
              <w:rPr>
                <w:rFonts w:ascii="Arial Narrow" w:hAnsi="Arial Narrow"/>
                <w:sz w:val="20"/>
                <w:szCs w:val="20"/>
              </w:rPr>
              <w:t>$717.22</w:t>
            </w:r>
            <w:r w:rsidR="000516B4" w:rsidRPr="00AB6F27">
              <w:rPr>
                <w:rFonts w:ascii="Arial Narrow" w:hAnsi="Arial Narrow"/>
                <w:sz w:val="20"/>
                <w:szCs w:val="20"/>
              </w:rPr>
              <w:t xml:space="preserve"> </w:t>
            </w:r>
          </w:p>
        </w:tc>
      </w:tr>
      <w:tr w:rsidR="000516B4" w:rsidRPr="00AB6F27" w14:paraId="26A2B4A3" w14:textId="77777777" w:rsidTr="007B5E49">
        <w:tc>
          <w:tcPr>
            <w:tcW w:w="0" w:type="auto"/>
          </w:tcPr>
          <w:p w14:paraId="6D6469D7" w14:textId="1D2D77B1" w:rsidR="000516B4" w:rsidRPr="00AB6F27" w:rsidRDefault="000516B4" w:rsidP="00DD3917">
            <w:pPr>
              <w:keepNext/>
              <w:keepLines/>
              <w:rPr>
                <w:rFonts w:ascii="Arial Narrow" w:hAnsi="Arial Narrow"/>
                <w:bCs/>
                <w:sz w:val="20"/>
                <w:szCs w:val="20"/>
              </w:rPr>
            </w:pPr>
            <w:r w:rsidRPr="00AB6F27">
              <w:rPr>
                <w:rFonts w:ascii="Arial Narrow" w:hAnsi="Arial Narrow"/>
                <w:bCs/>
                <w:sz w:val="20"/>
                <w:szCs w:val="20"/>
              </w:rPr>
              <w:t>-</w:t>
            </w:r>
          </w:p>
        </w:tc>
        <w:tc>
          <w:tcPr>
            <w:tcW w:w="4755" w:type="dxa"/>
            <w:tcBorders>
              <w:top w:val="single" w:sz="4" w:space="0" w:color="auto"/>
            </w:tcBorders>
          </w:tcPr>
          <w:p w14:paraId="403D5571" w14:textId="4A512B35" w:rsidR="000516B4" w:rsidRPr="00AB6F27" w:rsidRDefault="009332BD" w:rsidP="000516B4">
            <w:pPr>
              <w:keepNext/>
              <w:keepLines/>
              <w:ind w:left="161"/>
              <w:rPr>
                <w:rFonts w:ascii="Arial Narrow" w:hAnsi="Arial Narrow"/>
                <w:sz w:val="20"/>
                <w:szCs w:val="20"/>
              </w:rPr>
            </w:pPr>
            <w:r w:rsidRPr="00AB6F27">
              <w:rPr>
                <w:rFonts w:ascii="Arial Narrow" w:hAnsi="Arial Narrow"/>
                <w:sz w:val="20"/>
                <w:szCs w:val="20"/>
              </w:rPr>
              <w:t>Difference in incidence of a</w:t>
            </w:r>
            <w:r w:rsidR="000516B4" w:rsidRPr="00AB6F27">
              <w:rPr>
                <w:rFonts w:ascii="Arial Narrow" w:hAnsi="Arial Narrow"/>
                <w:sz w:val="20"/>
                <w:szCs w:val="20"/>
              </w:rPr>
              <w:t>naemia</w:t>
            </w:r>
            <w:r w:rsidRPr="00AB6F27">
              <w:rPr>
                <w:rFonts w:ascii="Arial Narrow" w:hAnsi="Arial Narrow"/>
                <w:sz w:val="20"/>
                <w:szCs w:val="20"/>
              </w:rPr>
              <w:t xml:space="preserve"> x Cost per episode</w:t>
            </w:r>
          </w:p>
        </w:tc>
        <w:tc>
          <w:tcPr>
            <w:tcW w:w="2039" w:type="dxa"/>
            <w:tcBorders>
              <w:top w:val="single" w:sz="4" w:space="0" w:color="auto"/>
            </w:tcBorders>
          </w:tcPr>
          <w:p w14:paraId="0C039F1B" w14:textId="33962699" w:rsidR="000516B4" w:rsidRPr="00AB6F27" w:rsidRDefault="000516B4" w:rsidP="00DD3917">
            <w:pPr>
              <w:keepNext/>
              <w:keepLines/>
              <w:jc w:val="center"/>
              <w:rPr>
                <w:rFonts w:ascii="Arial Narrow" w:hAnsi="Arial Narrow"/>
                <w:sz w:val="20"/>
                <w:szCs w:val="20"/>
                <w:vertAlign w:val="superscript"/>
              </w:rPr>
            </w:pPr>
            <w:r w:rsidRPr="00AB6F27">
              <w:rPr>
                <w:rFonts w:ascii="Arial Narrow" w:hAnsi="Arial Narrow"/>
                <w:sz w:val="20"/>
                <w:szCs w:val="20"/>
              </w:rPr>
              <w:t>6.6%</w:t>
            </w:r>
            <w:r w:rsidR="0036686A" w:rsidRPr="00AB6F27">
              <w:rPr>
                <w:rFonts w:ascii="Arial Narrow" w:hAnsi="Arial Narrow"/>
                <w:sz w:val="20"/>
                <w:szCs w:val="20"/>
              </w:rPr>
              <w:t xml:space="preserve"> </w:t>
            </w:r>
            <w:r w:rsidR="0036686A" w:rsidRPr="00AB6F27">
              <w:rPr>
                <w:rFonts w:ascii="Arial Narrow" w:hAnsi="Arial Narrow"/>
                <w:sz w:val="20"/>
                <w:szCs w:val="20"/>
                <w:vertAlign w:val="superscript"/>
              </w:rPr>
              <w:t>c</w:t>
            </w:r>
            <w:r w:rsidRPr="00AB6F27">
              <w:rPr>
                <w:rFonts w:ascii="Arial Narrow" w:hAnsi="Arial Narrow"/>
                <w:sz w:val="20"/>
                <w:szCs w:val="20"/>
              </w:rPr>
              <w:t xml:space="preserve"> * $3,231.17</w:t>
            </w:r>
            <w:r w:rsidR="0028224D" w:rsidRPr="00AB6F27">
              <w:rPr>
                <w:rFonts w:ascii="Arial Narrow" w:hAnsi="Arial Narrow"/>
                <w:sz w:val="20"/>
                <w:szCs w:val="20"/>
              </w:rPr>
              <w:t xml:space="preserve"> </w:t>
            </w:r>
            <w:r w:rsidR="0036686A" w:rsidRPr="00AB6F27">
              <w:rPr>
                <w:rFonts w:ascii="Arial Narrow" w:hAnsi="Arial Narrow"/>
                <w:sz w:val="20"/>
                <w:szCs w:val="20"/>
                <w:vertAlign w:val="superscript"/>
              </w:rPr>
              <w:t>d</w:t>
            </w:r>
          </w:p>
        </w:tc>
        <w:tc>
          <w:tcPr>
            <w:tcW w:w="2264" w:type="dxa"/>
            <w:tcBorders>
              <w:top w:val="single" w:sz="4" w:space="0" w:color="auto"/>
            </w:tcBorders>
          </w:tcPr>
          <w:p w14:paraId="01FB7421" w14:textId="3591A570" w:rsidR="000516B4" w:rsidRPr="00AB6F27" w:rsidRDefault="000516B4" w:rsidP="00DD3917">
            <w:pPr>
              <w:keepNext/>
              <w:keepLines/>
              <w:jc w:val="center"/>
              <w:rPr>
                <w:rFonts w:ascii="Arial Narrow" w:hAnsi="Arial Narrow"/>
                <w:sz w:val="20"/>
                <w:szCs w:val="20"/>
              </w:rPr>
            </w:pPr>
            <w:r w:rsidRPr="00AB6F27">
              <w:rPr>
                <w:rFonts w:ascii="Arial Narrow" w:hAnsi="Arial Narrow"/>
                <w:sz w:val="20"/>
                <w:szCs w:val="20"/>
              </w:rPr>
              <w:t>$213.26</w:t>
            </w:r>
          </w:p>
        </w:tc>
      </w:tr>
      <w:tr w:rsidR="000516B4" w:rsidRPr="00AB6F27" w14:paraId="0BC0E777" w14:textId="77777777" w:rsidTr="007B5E49">
        <w:tc>
          <w:tcPr>
            <w:tcW w:w="0" w:type="auto"/>
          </w:tcPr>
          <w:p w14:paraId="3605F5CD" w14:textId="3E491D7D" w:rsidR="000516B4" w:rsidRPr="00AB6F27" w:rsidRDefault="000516B4" w:rsidP="00DD3917">
            <w:pPr>
              <w:keepNext/>
              <w:keepLines/>
              <w:rPr>
                <w:rFonts w:ascii="Arial Narrow" w:hAnsi="Arial Narrow"/>
                <w:bCs/>
                <w:sz w:val="20"/>
                <w:szCs w:val="20"/>
              </w:rPr>
            </w:pPr>
            <w:r w:rsidRPr="00AB6F27">
              <w:rPr>
                <w:rFonts w:ascii="Arial Narrow" w:hAnsi="Arial Narrow"/>
                <w:bCs/>
                <w:sz w:val="20"/>
                <w:szCs w:val="20"/>
              </w:rPr>
              <w:t>-</w:t>
            </w:r>
          </w:p>
        </w:tc>
        <w:tc>
          <w:tcPr>
            <w:tcW w:w="4755" w:type="dxa"/>
            <w:tcBorders>
              <w:top w:val="single" w:sz="4" w:space="0" w:color="auto"/>
            </w:tcBorders>
          </w:tcPr>
          <w:p w14:paraId="1DB385C1" w14:textId="6E314EE6" w:rsidR="000516B4" w:rsidRPr="00AB6F27" w:rsidRDefault="009332BD" w:rsidP="000516B4">
            <w:pPr>
              <w:keepNext/>
              <w:keepLines/>
              <w:ind w:left="161"/>
              <w:rPr>
                <w:rFonts w:ascii="Arial Narrow" w:hAnsi="Arial Narrow"/>
                <w:sz w:val="20"/>
                <w:szCs w:val="20"/>
              </w:rPr>
            </w:pPr>
            <w:r w:rsidRPr="00AB6F27">
              <w:rPr>
                <w:rFonts w:ascii="Arial Narrow" w:hAnsi="Arial Narrow"/>
                <w:sz w:val="20"/>
                <w:szCs w:val="20"/>
              </w:rPr>
              <w:t>Difference in incidence of n</w:t>
            </w:r>
            <w:r w:rsidR="000516B4" w:rsidRPr="00AB6F27">
              <w:rPr>
                <w:rFonts w:ascii="Arial Narrow" w:hAnsi="Arial Narrow"/>
                <w:sz w:val="20"/>
                <w:szCs w:val="20"/>
              </w:rPr>
              <w:t xml:space="preserve">eutropenia </w:t>
            </w:r>
            <w:r w:rsidRPr="00AB6F27">
              <w:rPr>
                <w:rFonts w:ascii="Arial Narrow" w:hAnsi="Arial Narrow"/>
                <w:sz w:val="20"/>
                <w:szCs w:val="20"/>
              </w:rPr>
              <w:t>x Cost per episode</w:t>
            </w:r>
          </w:p>
        </w:tc>
        <w:tc>
          <w:tcPr>
            <w:tcW w:w="2039" w:type="dxa"/>
            <w:tcBorders>
              <w:top w:val="single" w:sz="4" w:space="0" w:color="auto"/>
            </w:tcBorders>
          </w:tcPr>
          <w:p w14:paraId="0B1EED25" w14:textId="06C6EB48" w:rsidR="000516B4" w:rsidRPr="00AB6F27" w:rsidRDefault="000516B4" w:rsidP="00DD3917">
            <w:pPr>
              <w:keepNext/>
              <w:keepLines/>
              <w:jc w:val="center"/>
              <w:rPr>
                <w:rFonts w:ascii="Arial Narrow" w:hAnsi="Arial Narrow"/>
                <w:sz w:val="20"/>
                <w:szCs w:val="20"/>
                <w:vertAlign w:val="superscript"/>
              </w:rPr>
            </w:pPr>
            <w:r w:rsidRPr="00AB6F27">
              <w:rPr>
                <w:rFonts w:ascii="Arial Narrow" w:hAnsi="Arial Narrow"/>
                <w:sz w:val="20"/>
                <w:szCs w:val="20"/>
              </w:rPr>
              <w:t>12.8%</w:t>
            </w:r>
            <w:r w:rsidR="0036686A" w:rsidRPr="00AB6F27">
              <w:rPr>
                <w:rFonts w:ascii="Arial Narrow" w:hAnsi="Arial Narrow"/>
                <w:sz w:val="20"/>
                <w:szCs w:val="20"/>
              </w:rPr>
              <w:t xml:space="preserve"> </w:t>
            </w:r>
            <w:r w:rsidR="0036686A" w:rsidRPr="00AB6F27">
              <w:rPr>
                <w:rFonts w:ascii="Arial Narrow" w:hAnsi="Arial Narrow"/>
                <w:sz w:val="20"/>
                <w:szCs w:val="20"/>
                <w:vertAlign w:val="superscript"/>
              </w:rPr>
              <w:t>c</w:t>
            </w:r>
            <w:r w:rsidRPr="00AB6F27">
              <w:rPr>
                <w:rFonts w:ascii="Arial Narrow" w:hAnsi="Arial Narrow"/>
                <w:sz w:val="20"/>
                <w:szCs w:val="20"/>
              </w:rPr>
              <w:t xml:space="preserve"> * $3,937,19</w:t>
            </w:r>
            <w:r w:rsidR="0028224D" w:rsidRPr="00AB6F27">
              <w:rPr>
                <w:rFonts w:ascii="Arial Narrow" w:hAnsi="Arial Narrow"/>
                <w:sz w:val="20"/>
                <w:szCs w:val="20"/>
              </w:rPr>
              <w:t xml:space="preserve"> </w:t>
            </w:r>
            <w:r w:rsidR="0036686A" w:rsidRPr="00AB6F27">
              <w:rPr>
                <w:rFonts w:ascii="Arial Narrow" w:hAnsi="Arial Narrow"/>
                <w:sz w:val="20"/>
                <w:szCs w:val="20"/>
                <w:vertAlign w:val="superscript"/>
              </w:rPr>
              <w:t>d</w:t>
            </w:r>
          </w:p>
        </w:tc>
        <w:tc>
          <w:tcPr>
            <w:tcW w:w="2264" w:type="dxa"/>
            <w:tcBorders>
              <w:top w:val="single" w:sz="4" w:space="0" w:color="auto"/>
            </w:tcBorders>
          </w:tcPr>
          <w:p w14:paraId="3C7C687A" w14:textId="08D7EEBC" w:rsidR="000516B4" w:rsidRPr="00AB6F27" w:rsidRDefault="000516B4" w:rsidP="00DD3917">
            <w:pPr>
              <w:keepNext/>
              <w:keepLines/>
              <w:jc w:val="center"/>
              <w:rPr>
                <w:rFonts w:ascii="Arial Narrow" w:hAnsi="Arial Narrow"/>
                <w:sz w:val="20"/>
                <w:szCs w:val="20"/>
              </w:rPr>
            </w:pPr>
            <w:r w:rsidRPr="00AB6F27">
              <w:rPr>
                <w:rFonts w:ascii="Arial Narrow" w:hAnsi="Arial Narrow"/>
                <w:sz w:val="20"/>
                <w:szCs w:val="20"/>
              </w:rPr>
              <w:t>$503.96</w:t>
            </w:r>
          </w:p>
        </w:tc>
      </w:tr>
      <w:tr w:rsidR="00A3213F" w:rsidRPr="00AB6F27" w14:paraId="6546C7EF" w14:textId="77777777" w:rsidTr="007B5E49">
        <w:tc>
          <w:tcPr>
            <w:tcW w:w="9630" w:type="dxa"/>
            <w:gridSpan w:val="4"/>
          </w:tcPr>
          <w:p w14:paraId="5CDB5488" w14:textId="77777777" w:rsidR="00A3213F" w:rsidRPr="00AB6F27" w:rsidRDefault="00A3213F" w:rsidP="00DD3917">
            <w:pPr>
              <w:keepNext/>
              <w:keepLines/>
              <w:rPr>
                <w:rFonts w:ascii="Arial Narrow" w:hAnsi="Arial Narrow"/>
                <w:b/>
                <w:bCs/>
                <w:sz w:val="20"/>
                <w:szCs w:val="20"/>
              </w:rPr>
            </w:pPr>
            <w:r w:rsidRPr="00AB6F27">
              <w:rPr>
                <w:rFonts w:ascii="Arial Narrow" w:hAnsi="Arial Narrow"/>
                <w:b/>
                <w:bCs/>
                <w:sz w:val="20"/>
                <w:szCs w:val="20"/>
              </w:rPr>
              <w:t>Total</w:t>
            </w:r>
          </w:p>
        </w:tc>
      </w:tr>
      <w:tr w:rsidR="00A3213F" w:rsidRPr="00AB6F27" w14:paraId="5E759779" w14:textId="77777777" w:rsidTr="007B5E49">
        <w:tc>
          <w:tcPr>
            <w:tcW w:w="0" w:type="auto"/>
          </w:tcPr>
          <w:p w14:paraId="6771168E"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P</w:t>
            </w:r>
          </w:p>
        </w:tc>
        <w:tc>
          <w:tcPr>
            <w:tcW w:w="4755" w:type="dxa"/>
            <w:tcBorders>
              <w:top w:val="single" w:sz="4" w:space="0" w:color="auto"/>
              <w:bottom w:val="single" w:sz="4" w:space="0" w:color="auto"/>
            </w:tcBorders>
          </w:tcPr>
          <w:p w14:paraId="787B33A7"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 xml:space="preserve">Total yearly cost of durvalumab and olaparib </w:t>
            </w:r>
          </w:p>
        </w:tc>
        <w:tc>
          <w:tcPr>
            <w:tcW w:w="2039" w:type="dxa"/>
            <w:tcBorders>
              <w:top w:val="single" w:sz="4" w:space="0" w:color="auto"/>
              <w:bottom w:val="single" w:sz="4" w:space="0" w:color="auto"/>
            </w:tcBorders>
          </w:tcPr>
          <w:p w14:paraId="2979875A"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F + N + O</w:t>
            </w:r>
          </w:p>
        </w:tc>
        <w:tc>
          <w:tcPr>
            <w:tcW w:w="2264" w:type="dxa"/>
            <w:tcBorders>
              <w:top w:val="single" w:sz="4" w:space="0" w:color="auto"/>
              <w:bottom w:val="single" w:sz="4" w:space="0" w:color="auto"/>
            </w:tcBorders>
          </w:tcPr>
          <w:p w14:paraId="364A60F0"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$205,339.43</w:t>
            </w:r>
          </w:p>
        </w:tc>
      </w:tr>
      <w:tr w:rsidR="00A3213F" w:rsidRPr="00AB6F27" w14:paraId="375CA9A8" w14:textId="77777777" w:rsidTr="007B5E49">
        <w:tc>
          <w:tcPr>
            <w:tcW w:w="9630" w:type="dxa"/>
            <w:gridSpan w:val="4"/>
          </w:tcPr>
          <w:p w14:paraId="6040F750" w14:textId="37803A8C" w:rsidR="00A3213F" w:rsidRPr="00AB6F27" w:rsidRDefault="00A3213F" w:rsidP="00DD3917">
            <w:pPr>
              <w:keepNext/>
              <w:keepLines/>
              <w:rPr>
                <w:rFonts w:ascii="Arial Narrow" w:hAnsi="Arial Narrow"/>
                <w:sz w:val="20"/>
                <w:szCs w:val="20"/>
              </w:rPr>
            </w:pPr>
            <w:r w:rsidRPr="00AB6F27">
              <w:rPr>
                <w:rFonts w:ascii="Arial Narrow" w:hAnsi="Arial Narrow"/>
                <w:b/>
                <w:bCs/>
                <w:sz w:val="20"/>
                <w:szCs w:val="20"/>
              </w:rPr>
              <w:t xml:space="preserve">Cost-minimisation of </w:t>
            </w:r>
            <w:r w:rsidR="00BF1B0D">
              <w:rPr>
                <w:rFonts w:ascii="Arial Narrow" w:hAnsi="Arial Narrow"/>
                <w:b/>
                <w:bCs/>
                <w:sz w:val="20"/>
                <w:szCs w:val="20"/>
              </w:rPr>
              <w:t>pembrolizumab</w:t>
            </w:r>
            <w:r w:rsidRPr="00AB6F27">
              <w:rPr>
                <w:rFonts w:ascii="Arial Narrow" w:hAnsi="Arial Narrow"/>
                <w:b/>
                <w:bCs/>
                <w:sz w:val="20"/>
                <w:szCs w:val="20"/>
              </w:rPr>
              <w:t xml:space="preserve"> to </w:t>
            </w:r>
            <w:proofErr w:type="spellStart"/>
            <w:r w:rsidR="008F1D87">
              <w:rPr>
                <w:rFonts w:ascii="Arial Narrow" w:hAnsi="Arial Narrow"/>
                <w:b/>
                <w:bCs/>
                <w:sz w:val="20"/>
                <w:szCs w:val="20"/>
              </w:rPr>
              <w:t>durvalumab</w:t>
            </w:r>
            <w:r w:rsidRPr="00AB6F27">
              <w:rPr>
                <w:rFonts w:ascii="Arial Narrow" w:hAnsi="Arial Narrow"/>
                <w:b/>
                <w:bCs/>
                <w:sz w:val="20"/>
                <w:szCs w:val="20"/>
              </w:rPr>
              <w:t>+</w:t>
            </w:r>
            <w:r w:rsidR="001F3073">
              <w:rPr>
                <w:rFonts w:ascii="Arial Narrow" w:hAnsi="Arial Narrow"/>
                <w:b/>
                <w:bCs/>
                <w:sz w:val="20"/>
                <w:szCs w:val="20"/>
              </w:rPr>
              <w:t>olaparib</w:t>
            </w:r>
            <w:proofErr w:type="spellEnd"/>
          </w:p>
        </w:tc>
      </w:tr>
      <w:tr w:rsidR="00A3213F" w:rsidRPr="00AB6F27" w14:paraId="6E6458FB" w14:textId="77777777" w:rsidTr="007B5E49">
        <w:tc>
          <w:tcPr>
            <w:tcW w:w="0" w:type="auto"/>
            <w:tcBorders>
              <w:right w:val="single" w:sz="4" w:space="0" w:color="auto"/>
            </w:tcBorders>
          </w:tcPr>
          <w:p w14:paraId="78E55397"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Q</w:t>
            </w:r>
          </w:p>
        </w:tc>
        <w:tc>
          <w:tcPr>
            <w:tcW w:w="4755" w:type="dxa"/>
            <w:tcBorders>
              <w:top w:val="single" w:sz="4" w:space="0" w:color="auto"/>
              <w:left w:val="single" w:sz="4" w:space="0" w:color="auto"/>
              <w:bottom w:val="single" w:sz="4" w:space="0" w:color="auto"/>
              <w:right w:val="single" w:sz="4" w:space="0" w:color="auto"/>
            </w:tcBorders>
            <w:vAlign w:val="bottom"/>
          </w:tcPr>
          <w:p w14:paraId="10C4C597"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pembrolizumab administration per year</w:t>
            </w:r>
          </w:p>
        </w:tc>
        <w:tc>
          <w:tcPr>
            <w:tcW w:w="2039" w:type="dxa"/>
            <w:tcBorders>
              <w:top w:val="single" w:sz="4" w:space="0" w:color="auto"/>
              <w:left w:val="single" w:sz="4" w:space="0" w:color="auto"/>
              <w:bottom w:val="single" w:sz="4" w:space="0" w:color="auto"/>
              <w:right w:val="single" w:sz="4" w:space="0" w:color="auto"/>
            </w:tcBorders>
            <w:vAlign w:val="bottom"/>
          </w:tcPr>
          <w:p w14:paraId="67DCDD89"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 xml:space="preserve">$123.05 </w:t>
            </w:r>
            <w:r w:rsidRPr="00AB6F27">
              <w:rPr>
                <w:rFonts w:ascii="Arial Narrow" w:hAnsi="Arial Narrow"/>
                <w:sz w:val="20"/>
                <w:szCs w:val="20"/>
                <w:vertAlign w:val="superscript"/>
              </w:rPr>
              <w:t>a</w:t>
            </w:r>
            <w:r w:rsidRPr="00AB6F27">
              <w:rPr>
                <w:rFonts w:ascii="Arial Narrow" w:hAnsi="Arial Narrow"/>
                <w:sz w:val="20"/>
                <w:szCs w:val="20"/>
              </w:rPr>
              <w:t xml:space="preserve"> * (6+5.70)</w:t>
            </w:r>
          </w:p>
        </w:tc>
        <w:tc>
          <w:tcPr>
            <w:tcW w:w="2264" w:type="dxa"/>
            <w:tcBorders>
              <w:top w:val="single" w:sz="4" w:space="0" w:color="auto"/>
              <w:left w:val="single" w:sz="4" w:space="0" w:color="auto"/>
              <w:bottom w:val="single" w:sz="4" w:space="0" w:color="auto"/>
              <w:right w:val="single" w:sz="4" w:space="0" w:color="auto"/>
            </w:tcBorders>
            <w:vAlign w:val="bottom"/>
          </w:tcPr>
          <w:p w14:paraId="1F2BCD01"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$1,439.25</w:t>
            </w:r>
          </w:p>
        </w:tc>
      </w:tr>
      <w:tr w:rsidR="00A3213F" w:rsidRPr="00AB6F27" w14:paraId="52F5F860" w14:textId="77777777" w:rsidTr="007B5E49">
        <w:tc>
          <w:tcPr>
            <w:tcW w:w="0" w:type="auto"/>
            <w:tcBorders>
              <w:right w:val="single" w:sz="4" w:space="0" w:color="auto"/>
            </w:tcBorders>
          </w:tcPr>
          <w:p w14:paraId="1AB6892D"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R</w:t>
            </w:r>
          </w:p>
        </w:tc>
        <w:tc>
          <w:tcPr>
            <w:tcW w:w="4755" w:type="dxa"/>
            <w:tcBorders>
              <w:top w:val="single" w:sz="4" w:space="0" w:color="auto"/>
              <w:left w:val="single" w:sz="4" w:space="0" w:color="auto"/>
              <w:bottom w:val="single" w:sz="4" w:space="0" w:color="auto"/>
              <w:right w:val="single" w:sz="4" w:space="0" w:color="auto"/>
            </w:tcBorders>
            <w:vAlign w:val="bottom"/>
          </w:tcPr>
          <w:p w14:paraId="67B93DB7"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Cost of pembrolizumab per year</w:t>
            </w:r>
          </w:p>
        </w:tc>
        <w:tc>
          <w:tcPr>
            <w:tcW w:w="2039" w:type="dxa"/>
            <w:tcBorders>
              <w:top w:val="single" w:sz="4" w:space="0" w:color="auto"/>
              <w:left w:val="single" w:sz="4" w:space="0" w:color="auto"/>
              <w:bottom w:val="single" w:sz="4" w:space="0" w:color="auto"/>
              <w:right w:val="single" w:sz="4" w:space="0" w:color="auto"/>
            </w:tcBorders>
            <w:vAlign w:val="bottom"/>
          </w:tcPr>
          <w:p w14:paraId="4881826D"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P - Q</w:t>
            </w:r>
          </w:p>
        </w:tc>
        <w:tc>
          <w:tcPr>
            <w:tcW w:w="2264" w:type="dxa"/>
            <w:tcBorders>
              <w:top w:val="single" w:sz="4" w:space="0" w:color="auto"/>
              <w:left w:val="single" w:sz="4" w:space="0" w:color="auto"/>
              <w:bottom w:val="single" w:sz="4" w:space="0" w:color="auto"/>
              <w:right w:val="single" w:sz="4" w:space="0" w:color="auto"/>
            </w:tcBorders>
            <w:vAlign w:val="bottom"/>
          </w:tcPr>
          <w:p w14:paraId="2B756D7C"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$203,900.18</w:t>
            </w:r>
          </w:p>
        </w:tc>
      </w:tr>
      <w:tr w:rsidR="00A3213F" w:rsidRPr="00AB6F27" w14:paraId="4D85DC86" w14:textId="77777777" w:rsidTr="007B5E49">
        <w:tc>
          <w:tcPr>
            <w:tcW w:w="0" w:type="auto"/>
            <w:tcBorders>
              <w:right w:val="single" w:sz="4" w:space="0" w:color="auto"/>
            </w:tcBorders>
          </w:tcPr>
          <w:p w14:paraId="41465BE8"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S</w:t>
            </w:r>
          </w:p>
        </w:tc>
        <w:tc>
          <w:tcPr>
            <w:tcW w:w="4755" w:type="dxa"/>
            <w:tcBorders>
              <w:top w:val="single" w:sz="4" w:space="0" w:color="auto"/>
              <w:left w:val="single" w:sz="4" w:space="0" w:color="auto"/>
              <w:bottom w:val="single" w:sz="4" w:space="0" w:color="auto"/>
              <w:right w:val="single" w:sz="4" w:space="0" w:color="auto"/>
            </w:tcBorders>
            <w:vAlign w:val="bottom"/>
          </w:tcPr>
          <w:p w14:paraId="4340B5BD"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Yearly dose of pembrolizumab (mg)</w:t>
            </w:r>
          </w:p>
        </w:tc>
        <w:tc>
          <w:tcPr>
            <w:tcW w:w="2039" w:type="dxa"/>
            <w:tcBorders>
              <w:top w:val="single" w:sz="4" w:space="0" w:color="auto"/>
              <w:left w:val="single" w:sz="4" w:space="0" w:color="auto"/>
              <w:bottom w:val="single" w:sz="4" w:space="0" w:color="auto"/>
              <w:right w:val="single" w:sz="4" w:space="0" w:color="auto"/>
            </w:tcBorders>
            <w:vAlign w:val="bottom"/>
          </w:tcPr>
          <w:p w14:paraId="2488E110"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(200*6)+(400*5.70)</w:t>
            </w:r>
          </w:p>
        </w:tc>
        <w:tc>
          <w:tcPr>
            <w:tcW w:w="2264" w:type="dxa"/>
            <w:tcBorders>
              <w:top w:val="single" w:sz="4" w:space="0" w:color="auto"/>
              <w:left w:val="single" w:sz="4" w:space="0" w:color="auto"/>
              <w:bottom w:val="single" w:sz="4" w:space="0" w:color="auto"/>
              <w:right w:val="single" w:sz="4" w:space="0" w:color="auto"/>
            </w:tcBorders>
            <w:vAlign w:val="bottom"/>
          </w:tcPr>
          <w:p w14:paraId="322EEEA4"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3479 mg</w:t>
            </w:r>
          </w:p>
        </w:tc>
      </w:tr>
      <w:tr w:rsidR="00A3213F" w:rsidRPr="00AB6F27" w14:paraId="2E4C07AC" w14:textId="77777777" w:rsidTr="007B5E49">
        <w:tc>
          <w:tcPr>
            <w:tcW w:w="0" w:type="auto"/>
            <w:tcBorders>
              <w:right w:val="single" w:sz="4" w:space="0" w:color="auto"/>
            </w:tcBorders>
          </w:tcPr>
          <w:p w14:paraId="2369DD71"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T</w:t>
            </w:r>
          </w:p>
        </w:tc>
        <w:tc>
          <w:tcPr>
            <w:tcW w:w="4755" w:type="dxa"/>
            <w:tcBorders>
              <w:top w:val="single" w:sz="4" w:space="0" w:color="auto"/>
              <w:left w:val="single" w:sz="4" w:space="0" w:color="auto"/>
              <w:bottom w:val="single" w:sz="4" w:space="0" w:color="auto"/>
              <w:right w:val="single" w:sz="4" w:space="0" w:color="auto"/>
            </w:tcBorders>
            <w:vAlign w:val="bottom"/>
          </w:tcPr>
          <w:p w14:paraId="2F610CF2"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 xml:space="preserve">Cost of pembrolizumab per mg </w:t>
            </w:r>
          </w:p>
        </w:tc>
        <w:tc>
          <w:tcPr>
            <w:tcW w:w="2039" w:type="dxa"/>
            <w:tcBorders>
              <w:top w:val="single" w:sz="4" w:space="0" w:color="auto"/>
              <w:left w:val="single" w:sz="4" w:space="0" w:color="auto"/>
              <w:bottom w:val="single" w:sz="4" w:space="0" w:color="auto"/>
              <w:right w:val="single" w:sz="4" w:space="0" w:color="auto"/>
            </w:tcBorders>
            <w:vAlign w:val="bottom"/>
          </w:tcPr>
          <w:p w14:paraId="393A7209"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R / S</w:t>
            </w:r>
          </w:p>
        </w:tc>
        <w:tc>
          <w:tcPr>
            <w:tcW w:w="2264" w:type="dxa"/>
            <w:tcBorders>
              <w:top w:val="single" w:sz="4" w:space="0" w:color="auto"/>
              <w:left w:val="single" w:sz="4" w:space="0" w:color="auto"/>
              <w:bottom w:val="single" w:sz="4" w:space="0" w:color="auto"/>
              <w:right w:val="single" w:sz="4" w:space="0" w:color="auto"/>
            </w:tcBorders>
            <w:vAlign w:val="bottom"/>
          </w:tcPr>
          <w:p w14:paraId="1235A01C"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$58.62</w:t>
            </w:r>
          </w:p>
        </w:tc>
      </w:tr>
      <w:tr w:rsidR="00A3213F" w:rsidRPr="00AB6F27" w14:paraId="2D80264F" w14:textId="77777777" w:rsidTr="007B5E49">
        <w:tc>
          <w:tcPr>
            <w:tcW w:w="0" w:type="auto"/>
            <w:tcBorders>
              <w:right w:val="single" w:sz="4" w:space="0" w:color="auto"/>
            </w:tcBorders>
          </w:tcPr>
          <w:p w14:paraId="35CF1F7C"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U</w:t>
            </w:r>
          </w:p>
        </w:tc>
        <w:tc>
          <w:tcPr>
            <w:tcW w:w="4755" w:type="dxa"/>
            <w:tcBorders>
              <w:top w:val="single" w:sz="4" w:space="0" w:color="auto"/>
              <w:left w:val="single" w:sz="4" w:space="0" w:color="auto"/>
              <w:bottom w:val="single" w:sz="4" w:space="0" w:color="auto"/>
              <w:right w:val="single" w:sz="4" w:space="0" w:color="auto"/>
            </w:tcBorders>
            <w:vAlign w:val="bottom"/>
          </w:tcPr>
          <w:p w14:paraId="65F7B541" w14:textId="77777777" w:rsidR="00A3213F" w:rsidRPr="00AB6F27" w:rsidRDefault="00A3213F" w:rsidP="00DD3917">
            <w:pPr>
              <w:keepNext/>
              <w:keepLines/>
              <w:rPr>
                <w:rFonts w:ascii="Arial Narrow" w:hAnsi="Arial Narrow"/>
                <w:b/>
                <w:bCs/>
                <w:sz w:val="20"/>
                <w:szCs w:val="20"/>
              </w:rPr>
            </w:pPr>
            <w:r w:rsidRPr="00AB6F27">
              <w:rPr>
                <w:rFonts w:ascii="Arial Narrow" w:hAnsi="Arial Narrow"/>
                <w:b/>
                <w:bCs/>
                <w:sz w:val="20"/>
                <w:szCs w:val="20"/>
              </w:rPr>
              <w:t>Cost minimised AEMP per 100mg vial pembrolizumab</w:t>
            </w:r>
          </w:p>
        </w:tc>
        <w:tc>
          <w:tcPr>
            <w:tcW w:w="2039" w:type="dxa"/>
            <w:tcBorders>
              <w:top w:val="single" w:sz="4" w:space="0" w:color="auto"/>
              <w:left w:val="single" w:sz="4" w:space="0" w:color="auto"/>
              <w:bottom w:val="single" w:sz="4" w:space="0" w:color="auto"/>
              <w:right w:val="single" w:sz="4" w:space="0" w:color="auto"/>
            </w:tcBorders>
            <w:vAlign w:val="bottom"/>
          </w:tcPr>
          <w:p w14:paraId="6AF17D51" w14:textId="77777777" w:rsidR="00A3213F" w:rsidRPr="00AB6F27" w:rsidRDefault="00A3213F" w:rsidP="00DD3917">
            <w:pPr>
              <w:keepNext/>
              <w:keepLines/>
              <w:jc w:val="center"/>
              <w:rPr>
                <w:rFonts w:ascii="Arial Narrow" w:hAnsi="Arial Narrow"/>
                <w:b/>
                <w:bCs/>
                <w:sz w:val="20"/>
                <w:szCs w:val="20"/>
              </w:rPr>
            </w:pPr>
            <w:r w:rsidRPr="00AB6F27">
              <w:rPr>
                <w:rFonts w:ascii="Arial Narrow" w:hAnsi="Arial Narrow"/>
                <w:b/>
                <w:bCs/>
                <w:sz w:val="20"/>
                <w:szCs w:val="20"/>
              </w:rPr>
              <w:t>T * 100</w:t>
            </w:r>
          </w:p>
        </w:tc>
        <w:tc>
          <w:tcPr>
            <w:tcW w:w="2264" w:type="dxa"/>
            <w:tcBorders>
              <w:top w:val="single" w:sz="4" w:space="0" w:color="auto"/>
              <w:left w:val="single" w:sz="4" w:space="0" w:color="auto"/>
              <w:bottom w:val="single" w:sz="4" w:space="0" w:color="auto"/>
              <w:right w:val="single" w:sz="4" w:space="0" w:color="auto"/>
            </w:tcBorders>
            <w:vAlign w:val="bottom"/>
          </w:tcPr>
          <w:p w14:paraId="4D616C2F" w14:textId="77777777" w:rsidR="00A3213F" w:rsidRPr="00AB6F27" w:rsidRDefault="00A3213F" w:rsidP="00DD3917">
            <w:pPr>
              <w:keepNext/>
              <w:keepLines/>
              <w:jc w:val="center"/>
              <w:rPr>
                <w:rFonts w:ascii="Arial Narrow" w:hAnsi="Arial Narrow"/>
                <w:b/>
                <w:bCs/>
                <w:sz w:val="20"/>
                <w:szCs w:val="20"/>
              </w:rPr>
            </w:pPr>
            <w:r w:rsidRPr="00AB6F27">
              <w:rPr>
                <w:rFonts w:ascii="Arial Narrow" w:hAnsi="Arial Narrow"/>
                <w:b/>
                <w:bCs/>
                <w:sz w:val="20"/>
                <w:szCs w:val="20"/>
              </w:rPr>
              <w:t>$5,861.61</w:t>
            </w:r>
          </w:p>
        </w:tc>
      </w:tr>
      <w:tr w:rsidR="00A3213F" w:rsidRPr="00AB6F27" w14:paraId="3AF516E7" w14:textId="77777777" w:rsidTr="007B5E49">
        <w:tc>
          <w:tcPr>
            <w:tcW w:w="0" w:type="auto"/>
            <w:tcBorders>
              <w:right w:val="single" w:sz="4" w:space="0" w:color="auto"/>
            </w:tcBorders>
          </w:tcPr>
          <w:p w14:paraId="284A795F" w14:textId="77777777" w:rsidR="00A3213F" w:rsidRPr="00AB6F27" w:rsidRDefault="00A3213F" w:rsidP="00DD3917">
            <w:pPr>
              <w:keepNext/>
              <w:keepLines/>
              <w:rPr>
                <w:rFonts w:ascii="Arial Narrow" w:hAnsi="Arial Narrow"/>
                <w:bCs/>
                <w:sz w:val="20"/>
                <w:szCs w:val="20"/>
              </w:rPr>
            </w:pPr>
            <w:r w:rsidRPr="00AB6F27">
              <w:rPr>
                <w:rFonts w:ascii="Arial Narrow" w:hAnsi="Arial Narrow"/>
                <w:bCs/>
                <w:sz w:val="20"/>
                <w:szCs w:val="20"/>
              </w:rPr>
              <w:t>V</w:t>
            </w:r>
          </w:p>
        </w:tc>
        <w:tc>
          <w:tcPr>
            <w:tcW w:w="4755" w:type="dxa"/>
            <w:tcBorders>
              <w:top w:val="single" w:sz="4" w:space="0" w:color="auto"/>
              <w:left w:val="single" w:sz="4" w:space="0" w:color="auto"/>
              <w:bottom w:val="single" w:sz="4" w:space="0" w:color="auto"/>
              <w:right w:val="single" w:sz="4" w:space="0" w:color="auto"/>
            </w:tcBorders>
            <w:vAlign w:val="bottom"/>
          </w:tcPr>
          <w:p w14:paraId="4C1EEEBA" w14:textId="77777777" w:rsidR="00A3213F" w:rsidRPr="00AB6F27" w:rsidRDefault="00A3213F" w:rsidP="00DD3917">
            <w:pPr>
              <w:keepNext/>
              <w:keepLines/>
              <w:rPr>
                <w:rFonts w:ascii="Arial Narrow" w:hAnsi="Arial Narrow"/>
                <w:sz w:val="20"/>
                <w:szCs w:val="20"/>
              </w:rPr>
            </w:pPr>
            <w:r w:rsidRPr="00AB6F27">
              <w:rPr>
                <w:rFonts w:ascii="Arial Narrow" w:hAnsi="Arial Narrow"/>
                <w:sz w:val="20"/>
                <w:szCs w:val="20"/>
              </w:rPr>
              <w:t>Pembrolizumab Cost per patient (per year)</w:t>
            </w:r>
          </w:p>
        </w:tc>
        <w:tc>
          <w:tcPr>
            <w:tcW w:w="2039" w:type="dxa"/>
            <w:tcBorders>
              <w:top w:val="single" w:sz="4" w:space="0" w:color="auto"/>
              <w:left w:val="single" w:sz="4" w:space="0" w:color="auto"/>
              <w:bottom w:val="single" w:sz="4" w:space="0" w:color="auto"/>
              <w:right w:val="single" w:sz="4" w:space="0" w:color="auto"/>
            </w:tcBorders>
            <w:vAlign w:val="bottom"/>
          </w:tcPr>
          <w:p w14:paraId="59B93EC5"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Q + (U*2*6) + (U*4*5.7)</w:t>
            </w:r>
          </w:p>
        </w:tc>
        <w:tc>
          <w:tcPr>
            <w:tcW w:w="2264" w:type="dxa"/>
            <w:tcBorders>
              <w:top w:val="single" w:sz="4" w:space="0" w:color="auto"/>
              <w:left w:val="single" w:sz="4" w:space="0" w:color="auto"/>
              <w:bottom w:val="single" w:sz="4" w:space="0" w:color="auto"/>
              <w:right w:val="single" w:sz="4" w:space="0" w:color="auto"/>
            </w:tcBorders>
            <w:vAlign w:val="bottom"/>
          </w:tcPr>
          <w:p w14:paraId="32A9E64E" w14:textId="77777777" w:rsidR="00A3213F" w:rsidRPr="00AB6F27" w:rsidRDefault="00A3213F" w:rsidP="00DD3917">
            <w:pPr>
              <w:keepNext/>
              <w:keepLines/>
              <w:jc w:val="center"/>
              <w:rPr>
                <w:rFonts w:ascii="Arial Narrow" w:hAnsi="Arial Narrow"/>
                <w:sz w:val="20"/>
                <w:szCs w:val="20"/>
              </w:rPr>
            </w:pPr>
            <w:r w:rsidRPr="00AB6F27">
              <w:rPr>
                <w:rFonts w:ascii="Arial Narrow" w:hAnsi="Arial Narrow"/>
                <w:sz w:val="20"/>
                <w:szCs w:val="20"/>
              </w:rPr>
              <w:t>$205,339.43</w:t>
            </w:r>
          </w:p>
        </w:tc>
      </w:tr>
    </w:tbl>
    <w:p w14:paraId="677C6A37" w14:textId="77777777" w:rsidR="00A3213F" w:rsidRPr="00AB6F27" w:rsidRDefault="00A3213F" w:rsidP="00DD3917">
      <w:pPr>
        <w:keepNext/>
        <w:keepLines/>
        <w:rPr>
          <w:rFonts w:ascii="Arial Narrow" w:hAnsi="Arial Narrow"/>
          <w:sz w:val="18"/>
          <w:szCs w:val="18"/>
        </w:rPr>
      </w:pPr>
      <w:r w:rsidRPr="00AB6F27">
        <w:rPr>
          <w:rFonts w:ascii="Arial Narrow" w:hAnsi="Arial Narrow"/>
          <w:sz w:val="18"/>
          <w:szCs w:val="18"/>
        </w:rPr>
        <w:t>Source: Table 3.4-6, pp197-202 of the submission</w:t>
      </w:r>
    </w:p>
    <w:p w14:paraId="2B03B911" w14:textId="4D52F097" w:rsidR="00A3213F" w:rsidRPr="00AB6F27" w:rsidRDefault="00A3213F" w:rsidP="00DD3917">
      <w:pPr>
        <w:keepNext/>
        <w:keepLines/>
        <w:rPr>
          <w:rFonts w:ascii="Arial Narrow" w:hAnsi="Arial Narrow"/>
          <w:sz w:val="18"/>
          <w:szCs w:val="18"/>
        </w:rPr>
      </w:pPr>
      <w:r w:rsidRPr="00AB6F27">
        <w:rPr>
          <w:rFonts w:ascii="Arial Narrow" w:hAnsi="Arial Narrow"/>
          <w:sz w:val="18"/>
          <w:szCs w:val="18"/>
        </w:rPr>
        <w:t>Abbreviations: AEMP = approved ex-manufacturer price; Q3W = three weekly; Q6W = six weekly</w:t>
      </w:r>
    </w:p>
    <w:p w14:paraId="48DF8908" w14:textId="77777777" w:rsidR="00A3213F" w:rsidRPr="00AB6F27" w:rsidRDefault="00A3213F" w:rsidP="00DD3917">
      <w:pPr>
        <w:keepNext/>
        <w:keepLines/>
        <w:rPr>
          <w:rFonts w:ascii="Arial Narrow" w:hAnsi="Arial Narrow"/>
          <w:sz w:val="18"/>
          <w:szCs w:val="18"/>
        </w:rPr>
      </w:pPr>
      <w:r w:rsidRPr="00AB6F27">
        <w:rPr>
          <w:rFonts w:ascii="Arial Narrow" w:hAnsi="Arial Narrow"/>
          <w:sz w:val="18"/>
          <w:szCs w:val="18"/>
          <w:vertAlign w:val="superscript"/>
        </w:rPr>
        <w:t xml:space="preserve">a </w:t>
      </w:r>
      <w:r w:rsidRPr="00AB6F27">
        <w:rPr>
          <w:rFonts w:ascii="Arial Narrow" w:hAnsi="Arial Narrow"/>
          <w:sz w:val="18"/>
          <w:szCs w:val="18"/>
        </w:rPr>
        <w:t>MBS item 13950 $123.05</w:t>
      </w:r>
    </w:p>
    <w:p w14:paraId="4C4BC45A" w14:textId="557F0D61" w:rsidR="000516B4" w:rsidRPr="00AB6F27" w:rsidRDefault="00A3213F" w:rsidP="00DD3917">
      <w:pPr>
        <w:keepNext/>
        <w:keepLines/>
        <w:rPr>
          <w:rFonts w:ascii="Arial Narrow" w:hAnsi="Arial Narrow"/>
          <w:sz w:val="18"/>
          <w:szCs w:val="18"/>
        </w:rPr>
      </w:pPr>
      <w:r w:rsidRPr="00AB6F27">
        <w:rPr>
          <w:rFonts w:ascii="Arial Narrow" w:hAnsi="Arial Narrow"/>
          <w:sz w:val="18"/>
          <w:szCs w:val="18"/>
          <w:vertAlign w:val="superscript"/>
        </w:rPr>
        <w:t xml:space="preserve">b </w:t>
      </w:r>
      <w:r w:rsidRPr="00AB6F27">
        <w:rPr>
          <w:rFonts w:ascii="Arial Narrow" w:hAnsi="Arial Narrow"/>
          <w:sz w:val="18"/>
          <w:szCs w:val="18"/>
        </w:rPr>
        <w:t xml:space="preserve">Assuming 6.0 Q3W initiation doses (18 weeks), then 1 year minus 18 weeks = 34 weeks, divided by Q4W dosing = 8.54 maintenance doses. </w:t>
      </w:r>
    </w:p>
    <w:p w14:paraId="6CD164D9" w14:textId="7ACF72FC" w:rsidR="0028224D" w:rsidRPr="00AB6F27" w:rsidRDefault="0036686A" w:rsidP="00DD3917">
      <w:pPr>
        <w:keepNext/>
        <w:keepLines/>
        <w:rPr>
          <w:rFonts w:ascii="Arial Narrow" w:hAnsi="Arial Narrow"/>
          <w:sz w:val="18"/>
          <w:szCs w:val="18"/>
        </w:rPr>
      </w:pPr>
      <w:r w:rsidRPr="00AB6F27">
        <w:rPr>
          <w:rFonts w:ascii="Arial Narrow" w:hAnsi="Arial Narrow"/>
          <w:sz w:val="18"/>
          <w:szCs w:val="18"/>
          <w:vertAlign w:val="superscript"/>
        </w:rPr>
        <w:t xml:space="preserve">c </w:t>
      </w:r>
      <w:r w:rsidRPr="00AB6F27">
        <w:rPr>
          <w:rFonts w:ascii="Arial Narrow" w:hAnsi="Arial Narrow"/>
          <w:sz w:val="18"/>
          <w:szCs w:val="18"/>
        </w:rPr>
        <w:t xml:space="preserve">The submission applied the crude difference in the rate of ≥ grade 3 anaemia and neutropenia/decreased white cell count between PEM+PBC and </w:t>
      </w:r>
      <w:proofErr w:type="spellStart"/>
      <w:r w:rsidRPr="00AB6F27">
        <w:rPr>
          <w:rFonts w:ascii="Arial Narrow" w:hAnsi="Arial Narrow"/>
          <w:sz w:val="18"/>
          <w:szCs w:val="18"/>
        </w:rPr>
        <w:t>DUR+PBC+</w:t>
      </w:r>
      <w:r w:rsidR="001F3073">
        <w:rPr>
          <w:rFonts w:ascii="Arial Narrow" w:hAnsi="Arial Narrow"/>
          <w:sz w:val="18"/>
          <w:szCs w:val="18"/>
        </w:rPr>
        <w:t>olaparib</w:t>
      </w:r>
      <w:proofErr w:type="spellEnd"/>
      <w:r w:rsidRPr="00AB6F27">
        <w:rPr>
          <w:rFonts w:ascii="Arial Narrow" w:hAnsi="Arial Narrow"/>
          <w:sz w:val="18"/>
          <w:szCs w:val="18"/>
        </w:rPr>
        <w:t xml:space="preserve"> (Refer to </w:t>
      </w:r>
      <w:r w:rsidRPr="00AB6F27">
        <w:rPr>
          <w:rFonts w:ascii="Arial Narrow" w:hAnsi="Arial Narrow"/>
          <w:sz w:val="18"/>
          <w:szCs w:val="18"/>
        </w:rPr>
        <w:fldChar w:fldCharType="begin"/>
      </w:r>
      <w:r w:rsidRPr="00AB6F27">
        <w:rPr>
          <w:rFonts w:ascii="Arial Narrow" w:hAnsi="Arial Narrow"/>
          <w:sz w:val="18"/>
          <w:szCs w:val="18"/>
        </w:rPr>
        <w:instrText xml:space="preserve"> REF _Ref196309042 \h  \* MERGEFORMAT </w:instrText>
      </w:r>
      <w:r w:rsidRPr="00AB6F27">
        <w:rPr>
          <w:rFonts w:ascii="Arial Narrow" w:hAnsi="Arial Narrow"/>
          <w:sz w:val="18"/>
          <w:szCs w:val="18"/>
        </w:rPr>
      </w:r>
      <w:r w:rsidRPr="00AB6F27">
        <w:rPr>
          <w:rFonts w:ascii="Arial Narrow" w:hAnsi="Arial Narrow"/>
          <w:sz w:val="18"/>
          <w:szCs w:val="18"/>
        </w:rPr>
        <w:fldChar w:fldCharType="separate"/>
      </w:r>
      <w:r w:rsidR="003359D3" w:rsidRPr="003359D3">
        <w:rPr>
          <w:rFonts w:ascii="Arial Narrow" w:hAnsi="Arial Narrow"/>
          <w:sz w:val="18"/>
          <w:szCs w:val="18"/>
        </w:rPr>
        <w:t xml:space="preserve">Table </w:t>
      </w:r>
      <w:r w:rsidR="003359D3" w:rsidRPr="003359D3">
        <w:rPr>
          <w:rFonts w:ascii="Arial Narrow" w:hAnsi="Arial Narrow"/>
          <w:noProof/>
          <w:sz w:val="18"/>
          <w:szCs w:val="18"/>
        </w:rPr>
        <w:t>13</w:t>
      </w:r>
      <w:r w:rsidRPr="00AB6F27">
        <w:rPr>
          <w:rFonts w:ascii="Arial Narrow" w:hAnsi="Arial Narrow"/>
          <w:sz w:val="18"/>
          <w:szCs w:val="18"/>
        </w:rPr>
        <w:fldChar w:fldCharType="end"/>
      </w:r>
      <w:r w:rsidRPr="00AB6F27">
        <w:rPr>
          <w:rFonts w:ascii="Arial Narrow" w:hAnsi="Arial Narrow"/>
          <w:sz w:val="18"/>
          <w:szCs w:val="18"/>
        </w:rPr>
        <w:t>).</w:t>
      </w:r>
    </w:p>
    <w:p w14:paraId="769903D1" w14:textId="549345F4" w:rsidR="0036686A" w:rsidRPr="00AB6F27" w:rsidRDefault="0036686A" w:rsidP="00DD3917">
      <w:pPr>
        <w:keepNext/>
        <w:keepLines/>
        <w:rPr>
          <w:rFonts w:ascii="Arial Narrow" w:hAnsi="Arial Narrow"/>
          <w:sz w:val="18"/>
          <w:szCs w:val="18"/>
        </w:rPr>
      </w:pPr>
      <w:r w:rsidRPr="00AB6F27">
        <w:rPr>
          <w:rFonts w:ascii="Arial Narrow" w:hAnsi="Arial Narrow"/>
          <w:sz w:val="18"/>
          <w:szCs w:val="18"/>
          <w:vertAlign w:val="superscript"/>
        </w:rPr>
        <w:t xml:space="preserve">d </w:t>
      </w:r>
      <w:r w:rsidRPr="00AB6F27">
        <w:rPr>
          <w:rFonts w:ascii="Arial Narrow" w:hAnsi="Arial Narrow"/>
          <w:sz w:val="18"/>
          <w:szCs w:val="18"/>
        </w:rPr>
        <w:t xml:space="preserve">Based the cost per episode of care for DRG codes Q61A, Q61B and Q61C for anaemia and Q60A and Q60B for neutropenia, using published cost weights and the National Efficient Price 2024-25 of $6,465. </w:t>
      </w:r>
    </w:p>
    <w:p w14:paraId="7CCFF140" w14:textId="77777777" w:rsidR="00A3213F" w:rsidRPr="00AB6F27" w:rsidRDefault="00A3213F" w:rsidP="00DD3917">
      <w:pPr>
        <w:keepNext/>
        <w:keepLines/>
        <w:rPr>
          <w:rFonts w:ascii="Arial Narrow" w:hAnsi="Arial Narrow"/>
          <w:sz w:val="18"/>
          <w:szCs w:val="18"/>
        </w:rPr>
      </w:pPr>
      <w:r w:rsidRPr="00AB6F27">
        <w:rPr>
          <w:rFonts w:ascii="Arial Narrow" w:hAnsi="Arial Narrow"/>
          <w:sz w:val="18"/>
          <w:szCs w:val="18"/>
        </w:rPr>
        <w:t xml:space="preserve">Note: One year supply of pembrolizumab is equivalent to 6.0 200mg initiation doses and approximately 5.7 400mg maintenance doses. </w:t>
      </w:r>
    </w:p>
    <w:p w14:paraId="50673203" w14:textId="77777777" w:rsidR="00A3213F" w:rsidRPr="00AB6F27" w:rsidRDefault="00A3213F" w:rsidP="00A3213F">
      <w:pPr>
        <w:rPr>
          <w:rFonts w:ascii="Arial Narrow" w:hAnsi="Arial Narrow"/>
          <w:sz w:val="18"/>
          <w:szCs w:val="18"/>
        </w:rPr>
      </w:pPr>
    </w:p>
    <w:p w14:paraId="21F69068" w14:textId="7EA3CF8B" w:rsidR="00A3213F" w:rsidRDefault="00A3213F" w:rsidP="00A3213F">
      <w:pPr>
        <w:pStyle w:val="3-BodyText"/>
      </w:pPr>
      <w:r w:rsidRPr="00AB6F27">
        <w:t>The submission’s cost minimised price for the pMMR population was higher ($5,861.61) than the dMMR population ($3,823.75)</w:t>
      </w:r>
      <w:r w:rsidR="000C26BB" w:rsidRPr="00AB6F27">
        <w:t xml:space="preserve"> </w:t>
      </w:r>
      <w:r w:rsidR="002E0262" w:rsidRPr="00AB6F27">
        <w:t xml:space="preserve">because in </w:t>
      </w:r>
      <w:r w:rsidR="00DF6237" w:rsidRPr="00AB6F27">
        <w:t>pMMR</w:t>
      </w:r>
      <w:r w:rsidR="002E0262" w:rsidRPr="00AB6F27">
        <w:t xml:space="preserve">, pembrolizumab was </w:t>
      </w:r>
      <w:r w:rsidR="00211107" w:rsidRPr="00AB6F27">
        <w:t xml:space="preserve">compared </w:t>
      </w:r>
      <w:r w:rsidR="002E0262" w:rsidRPr="00AB6F27">
        <w:t xml:space="preserve">with </w:t>
      </w:r>
      <w:r w:rsidR="00211107" w:rsidRPr="00AB6F27">
        <w:t>a</w:t>
      </w:r>
      <w:r w:rsidR="004D6CEA" w:rsidRPr="00AB6F27">
        <w:t xml:space="preserve"> </w:t>
      </w:r>
      <w:r w:rsidR="00DF6237" w:rsidRPr="00AB6F27">
        <w:t>two</w:t>
      </w:r>
      <w:r w:rsidR="00211107" w:rsidRPr="00AB6F27">
        <w:t>-</w:t>
      </w:r>
      <w:r w:rsidR="00DF6237" w:rsidRPr="00AB6F27">
        <w:t>drug regimen</w:t>
      </w:r>
      <w:r w:rsidR="004D6CEA" w:rsidRPr="00AB6F27">
        <w:t xml:space="preserve"> (</w:t>
      </w:r>
      <w:r w:rsidR="008F1D87">
        <w:t>durvalumab</w:t>
      </w:r>
      <w:r w:rsidR="00DD0035">
        <w:t xml:space="preserve"> </w:t>
      </w:r>
      <w:r w:rsidR="004D6CEA" w:rsidRPr="00AB6F27">
        <w:t>+</w:t>
      </w:r>
      <w:r w:rsidR="00DD0035">
        <w:t xml:space="preserve"> </w:t>
      </w:r>
      <w:r w:rsidR="001F3073">
        <w:t>olaparib</w:t>
      </w:r>
      <w:r w:rsidR="004D6CEA" w:rsidRPr="00AB6F27">
        <w:t>)</w:t>
      </w:r>
      <w:r w:rsidR="00211107" w:rsidRPr="00AB6F27">
        <w:t xml:space="preserve"> instead of a single drug </w:t>
      </w:r>
      <w:r w:rsidR="00FF7666" w:rsidRPr="00AB6F27">
        <w:t>(</w:t>
      </w:r>
      <w:r w:rsidR="00437BAB">
        <w:t>dostarlimab</w:t>
      </w:r>
      <w:r w:rsidR="00FF7666" w:rsidRPr="00AB6F27">
        <w:t>)</w:t>
      </w:r>
      <w:r w:rsidR="00F91959" w:rsidRPr="00AB6F27">
        <w:t xml:space="preserve">, </w:t>
      </w:r>
      <w:proofErr w:type="gramStart"/>
      <w:r w:rsidR="00F91959" w:rsidRPr="00AB6F27">
        <w:t>and also</w:t>
      </w:r>
      <w:proofErr w:type="gramEnd"/>
      <w:r w:rsidR="00F91959" w:rsidRPr="00AB6F27">
        <w:t xml:space="preserve"> due to the published prices used</w:t>
      </w:r>
      <w:r w:rsidR="000C26BB" w:rsidRPr="00AB6F27">
        <w:t xml:space="preserve">. Overall, </w:t>
      </w:r>
      <w:r w:rsidR="004537A3">
        <w:t xml:space="preserve">the evaluation considered that </w:t>
      </w:r>
      <w:r w:rsidR="000C26BB" w:rsidRPr="00AB6F27">
        <w:t xml:space="preserve">a higher price in the pMMR population </w:t>
      </w:r>
      <w:r w:rsidRPr="00AB6F27">
        <w:t xml:space="preserve">may not be appropriate given that </w:t>
      </w:r>
      <w:r w:rsidR="00D85B3F" w:rsidRPr="00AB6F27">
        <w:t xml:space="preserve">the incremental </w:t>
      </w:r>
      <w:r w:rsidRPr="00AB6F27">
        <w:t xml:space="preserve">benefit </w:t>
      </w:r>
      <w:r w:rsidR="00D85B3F" w:rsidRPr="00AB6F27">
        <w:t xml:space="preserve">reported in NRG-GY018 </w:t>
      </w:r>
      <w:r w:rsidR="007030D4" w:rsidRPr="00AB6F27">
        <w:t xml:space="preserve">at IA1 </w:t>
      </w:r>
      <w:r w:rsidRPr="00AB6F27">
        <w:t xml:space="preserve">in the pMMR group </w:t>
      </w:r>
      <w:r w:rsidR="00D85B3F" w:rsidRPr="00AB6F27">
        <w:t xml:space="preserve">(PFS HR=0.57, </w:t>
      </w:r>
      <w:r w:rsidR="007030D4" w:rsidRPr="00AB6F27">
        <w:t>95% CI 0.44, 0.74; OS HR = 0.</w:t>
      </w:r>
      <w:r w:rsidR="00233D22" w:rsidRPr="00AB6F27">
        <w:t>79</w:t>
      </w:r>
      <w:r w:rsidR="007030D4" w:rsidRPr="00AB6F27">
        <w:t>, 95% CI 0.</w:t>
      </w:r>
      <w:r w:rsidR="00233D22" w:rsidRPr="00AB6F27">
        <w:t>53</w:t>
      </w:r>
      <w:r w:rsidR="007030D4" w:rsidRPr="00AB6F27">
        <w:t>, 1.1</w:t>
      </w:r>
      <w:r w:rsidR="00233D22" w:rsidRPr="00AB6F27">
        <w:t>7</w:t>
      </w:r>
      <w:r w:rsidR="007030D4" w:rsidRPr="00AB6F27">
        <w:t xml:space="preserve">) </w:t>
      </w:r>
      <w:r w:rsidRPr="00AB6F27">
        <w:t xml:space="preserve">was </w:t>
      </w:r>
      <w:r w:rsidR="007030D4" w:rsidRPr="00AB6F27">
        <w:t xml:space="preserve">lower </w:t>
      </w:r>
      <w:r w:rsidRPr="00AB6F27">
        <w:t xml:space="preserve">than </w:t>
      </w:r>
      <w:r w:rsidR="007030D4" w:rsidRPr="00AB6F27">
        <w:t xml:space="preserve">in </w:t>
      </w:r>
      <w:r w:rsidRPr="00AB6F27">
        <w:t>the dMMR group</w:t>
      </w:r>
      <w:r w:rsidR="007030D4" w:rsidRPr="00AB6F27">
        <w:t xml:space="preserve"> (PFS HR=0.34, 95% CI 0.</w:t>
      </w:r>
      <w:r w:rsidR="00233D22" w:rsidRPr="00AB6F27">
        <w:t>22</w:t>
      </w:r>
      <w:r w:rsidR="007030D4" w:rsidRPr="00AB6F27">
        <w:t>, 0.</w:t>
      </w:r>
      <w:r w:rsidR="00233D22" w:rsidRPr="00AB6F27">
        <w:t>53</w:t>
      </w:r>
      <w:r w:rsidR="007030D4" w:rsidRPr="00AB6F27">
        <w:t>; OS HR = 0.55, 95% CI 0.25, 1.19)</w:t>
      </w:r>
      <w:r w:rsidRPr="00AB6F27">
        <w:t>.</w:t>
      </w:r>
    </w:p>
    <w:p w14:paraId="66EAEBD3" w14:textId="7F963AC5" w:rsidR="00E704B9" w:rsidRPr="00AB6F27" w:rsidRDefault="00E704B9" w:rsidP="00A3213F">
      <w:pPr>
        <w:pStyle w:val="3-BodyText"/>
      </w:pPr>
      <w:r w:rsidRPr="00E704B9">
        <w:lastRenderedPageBreak/>
        <w:t>For the pMMR CMA of pembrolizumab to durvalumab + olaparib, longer treatment durations (i.e. greater than one year) resulted in a higher cost-minimised price for pembrolizumab.</w:t>
      </w:r>
    </w:p>
    <w:p w14:paraId="472842D7" w14:textId="3B053B20" w:rsidR="00C25D9C" w:rsidRPr="00AB6F27" w:rsidRDefault="00C25D9C" w:rsidP="00BB732D">
      <w:pPr>
        <w:pStyle w:val="4-SubsectionHeading"/>
        <w:rPr>
          <w:iCs/>
        </w:rPr>
      </w:pPr>
      <w:bookmarkStart w:id="76" w:name="_Toc198643460"/>
      <w:r w:rsidRPr="00AB6F27">
        <w:rPr>
          <w:iCs/>
        </w:rPr>
        <w:t>Drug cost/patient/course</w:t>
      </w:r>
      <w:bookmarkEnd w:id="64"/>
      <w:bookmarkEnd w:id="76"/>
    </w:p>
    <w:bookmarkStart w:id="77" w:name="_Ref104805102"/>
    <w:bookmarkStart w:id="78" w:name="_Toc22897647"/>
    <w:p w14:paraId="48AE05F3" w14:textId="4A0E4FBC" w:rsidR="00A3213F" w:rsidRPr="00497260" w:rsidRDefault="007C5974" w:rsidP="00A3213F">
      <w:pPr>
        <w:pStyle w:val="3-BodyText"/>
      </w:pPr>
      <w:r w:rsidRPr="00497260">
        <w:fldChar w:fldCharType="begin"/>
      </w:r>
      <w:r w:rsidRPr="00497260">
        <w:instrText xml:space="preserve"> REF _Ref196487740 \h </w:instrText>
      </w:r>
      <w:r w:rsidR="00AB6F27" w:rsidRPr="00497260">
        <w:instrText xml:space="preserve"> \* MERGEFORMAT </w:instrText>
      </w:r>
      <w:r w:rsidRPr="00497260">
        <w:fldChar w:fldCharType="separate"/>
      </w:r>
      <w:r w:rsidR="003359D3" w:rsidRPr="00497260">
        <w:t xml:space="preserve">Table </w:t>
      </w:r>
      <w:r w:rsidR="003359D3">
        <w:rPr>
          <w:noProof/>
        </w:rPr>
        <w:t>20</w:t>
      </w:r>
      <w:r w:rsidRPr="00497260">
        <w:fldChar w:fldCharType="end"/>
      </w:r>
      <w:r w:rsidRPr="00497260">
        <w:t xml:space="preserve"> </w:t>
      </w:r>
      <w:r w:rsidR="00A3213F" w:rsidRPr="00497260">
        <w:t xml:space="preserve">and </w:t>
      </w:r>
      <w:r w:rsidRPr="00497260">
        <w:fldChar w:fldCharType="begin"/>
      </w:r>
      <w:r w:rsidRPr="00497260">
        <w:instrText xml:space="preserve"> REF _Ref196487763 \h </w:instrText>
      </w:r>
      <w:r w:rsidR="00AB6F27" w:rsidRPr="00497260">
        <w:instrText xml:space="preserve"> \* MERGEFORMAT </w:instrText>
      </w:r>
      <w:r w:rsidRPr="00497260">
        <w:fldChar w:fldCharType="separate"/>
      </w:r>
      <w:r w:rsidR="003359D3" w:rsidRPr="00AB6F27">
        <w:t xml:space="preserve">Table </w:t>
      </w:r>
      <w:r w:rsidR="003359D3">
        <w:rPr>
          <w:noProof/>
        </w:rPr>
        <w:t>21</w:t>
      </w:r>
      <w:r w:rsidRPr="00497260">
        <w:fldChar w:fldCharType="end"/>
      </w:r>
      <w:r w:rsidRPr="00497260">
        <w:t xml:space="preserve"> </w:t>
      </w:r>
      <w:r w:rsidR="00A3213F" w:rsidRPr="00497260">
        <w:t>show the doses of pembrolizumab used in the submission and the resulting drug cost per patient course</w:t>
      </w:r>
      <w:r w:rsidR="00B07A9E" w:rsidRPr="00497260">
        <w:t xml:space="preserve"> in the dMMR and pMMR populations, respectively</w:t>
      </w:r>
      <w:r w:rsidR="00E704B9" w:rsidRPr="00497260">
        <w:t xml:space="preserve"> based on published prices</w:t>
      </w:r>
      <w:r w:rsidR="00A3213F" w:rsidRPr="00497260">
        <w:t xml:space="preserve">. </w:t>
      </w:r>
      <w:r w:rsidR="00E704B9" w:rsidRPr="00497260">
        <w:t>The ESC noted the cost per patient will reduce once the effective price of the comparator is applied (in the dMMR population).</w:t>
      </w:r>
    </w:p>
    <w:p w14:paraId="57270CB9" w14:textId="5B1AE5C6" w:rsidR="00A3213F" w:rsidRPr="00497260" w:rsidRDefault="007C5974" w:rsidP="0054353A">
      <w:pPr>
        <w:pStyle w:val="Caption"/>
      </w:pPr>
      <w:bookmarkStart w:id="79" w:name="_Ref196487740"/>
      <w:r w:rsidRPr="00497260">
        <w:t xml:space="preserve">Table </w:t>
      </w:r>
      <w:r w:rsidR="00976099" w:rsidRPr="00497260">
        <w:fldChar w:fldCharType="begin"/>
      </w:r>
      <w:r w:rsidR="00976099" w:rsidRPr="00497260">
        <w:instrText xml:space="preserve"> SEQ Table \* ARABIC </w:instrText>
      </w:r>
      <w:r w:rsidR="00976099" w:rsidRPr="00497260">
        <w:fldChar w:fldCharType="separate"/>
      </w:r>
      <w:r w:rsidR="003359D3">
        <w:rPr>
          <w:noProof/>
        </w:rPr>
        <w:t>20</w:t>
      </w:r>
      <w:r w:rsidR="00976099" w:rsidRPr="00497260">
        <w:rPr>
          <w:noProof/>
        </w:rPr>
        <w:fldChar w:fldCharType="end"/>
      </w:r>
      <w:bookmarkEnd w:id="79"/>
      <w:r w:rsidR="00A3213F" w:rsidRPr="00497260">
        <w:t>: Drug cost per patient for pembrolizumab treatment, dMMR (</w:t>
      </w:r>
      <w:r w:rsidR="000010B3" w:rsidRPr="00497260">
        <w:t>based on published prices</w:t>
      </w:r>
      <w:r w:rsidR="00A3213F" w:rsidRPr="00497260">
        <w:t>)</w:t>
      </w:r>
      <w:bookmarkEnd w:id="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Drug cost per patient for pembrolizumab treatment, dMMR (based on published prices)"/>
      </w:tblPr>
      <w:tblGrid>
        <w:gridCol w:w="3320"/>
        <w:gridCol w:w="2525"/>
        <w:gridCol w:w="1596"/>
        <w:gridCol w:w="1576"/>
      </w:tblGrid>
      <w:tr w:rsidR="00A3213F" w:rsidRPr="00AB6F27" w14:paraId="0BB34456" w14:textId="77777777" w:rsidTr="0054353A">
        <w:trPr>
          <w:cantSplit/>
          <w:tblHeader/>
          <w:jc w:val="center"/>
        </w:trPr>
        <w:tc>
          <w:tcPr>
            <w:tcW w:w="1841" w:type="pct"/>
            <w:vAlign w:val="center"/>
          </w:tcPr>
          <w:p w14:paraId="1020000F" w14:textId="77777777" w:rsidR="00A3213F" w:rsidRPr="00AB6F27" w:rsidRDefault="00A3213F" w:rsidP="0054353A">
            <w:pPr>
              <w:pStyle w:val="FooterTableFigure"/>
              <w:keepNext/>
              <w:keepLines/>
              <w:spacing w:after="0"/>
              <w:contextualSpacing w:val="0"/>
              <w:rPr>
                <w:rFonts w:cstheme="minorHAnsi"/>
                <w:b/>
                <w:sz w:val="20"/>
                <w:szCs w:val="20"/>
              </w:rPr>
            </w:pPr>
          </w:p>
        </w:tc>
        <w:tc>
          <w:tcPr>
            <w:tcW w:w="1400" w:type="pct"/>
            <w:vAlign w:val="center"/>
          </w:tcPr>
          <w:p w14:paraId="36AEF3AD" w14:textId="77777777" w:rsidR="00A3213F" w:rsidRPr="00AB6F27" w:rsidRDefault="00A3213F" w:rsidP="0054353A">
            <w:pPr>
              <w:pStyle w:val="FooterTableFigure"/>
              <w:keepNext/>
              <w:keepLines/>
              <w:spacing w:after="0"/>
              <w:contextualSpacing w:val="0"/>
              <w:jc w:val="center"/>
              <w:rPr>
                <w:rFonts w:cstheme="minorHAnsi"/>
                <w:b/>
                <w:sz w:val="20"/>
                <w:szCs w:val="20"/>
              </w:rPr>
            </w:pPr>
            <w:r w:rsidRPr="00AB6F27">
              <w:rPr>
                <w:rFonts w:cstheme="minorHAnsi"/>
                <w:b/>
                <w:sz w:val="20"/>
                <w:szCs w:val="20"/>
              </w:rPr>
              <w:t>Trial dose and duration</w:t>
            </w:r>
          </w:p>
        </w:tc>
        <w:tc>
          <w:tcPr>
            <w:tcW w:w="885" w:type="pct"/>
            <w:vAlign w:val="center"/>
          </w:tcPr>
          <w:p w14:paraId="70C6FE79" w14:textId="77777777" w:rsidR="00A3213F" w:rsidRPr="00AB6F27" w:rsidRDefault="00A3213F" w:rsidP="0054353A">
            <w:pPr>
              <w:pStyle w:val="FooterTableFigure"/>
              <w:keepNext/>
              <w:keepLines/>
              <w:spacing w:after="0"/>
              <w:contextualSpacing w:val="0"/>
              <w:jc w:val="center"/>
              <w:rPr>
                <w:rFonts w:cstheme="minorHAnsi"/>
                <w:b/>
                <w:sz w:val="20"/>
                <w:szCs w:val="20"/>
              </w:rPr>
            </w:pPr>
            <w:r w:rsidRPr="00AB6F27">
              <w:rPr>
                <w:rFonts w:cstheme="minorHAnsi"/>
                <w:b/>
                <w:sz w:val="20"/>
                <w:szCs w:val="20"/>
              </w:rPr>
              <w:t>CMA</w:t>
            </w:r>
          </w:p>
        </w:tc>
        <w:tc>
          <w:tcPr>
            <w:tcW w:w="874" w:type="pct"/>
            <w:vAlign w:val="center"/>
          </w:tcPr>
          <w:p w14:paraId="1D1D64DD" w14:textId="77777777" w:rsidR="00A3213F" w:rsidRPr="00AB6F27" w:rsidRDefault="00A3213F" w:rsidP="0054353A">
            <w:pPr>
              <w:pStyle w:val="FooterTableFigure"/>
              <w:keepNext/>
              <w:keepLines/>
              <w:spacing w:after="0"/>
              <w:contextualSpacing w:val="0"/>
              <w:jc w:val="center"/>
              <w:rPr>
                <w:rFonts w:cstheme="minorHAnsi"/>
                <w:b/>
                <w:sz w:val="20"/>
                <w:szCs w:val="20"/>
              </w:rPr>
            </w:pPr>
            <w:r w:rsidRPr="00AB6F27">
              <w:rPr>
                <w:rFonts w:cstheme="minorHAnsi"/>
                <w:b/>
                <w:sz w:val="20"/>
                <w:szCs w:val="20"/>
              </w:rPr>
              <w:t>Financial estimates</w:t>
            </w:r>
          </w:p>
        </w:tc>
      </w:tr>
      <w:tr w:rsidR="00A3213F" w:rsidRPr="00AB6F27" w14:paraId="40BC2A40" w14:textId="77777777" w:rsidTr="0054353A">
        <w:trPr>
          <w:cantSplit/>
          <w:trHeight w:val="20"/>
          <w:jc w:val="center"/>
        </w:trPr>
        <w:tc>
          <w:tcPr>
            <w:tcW w:w="1841" w:type="pct"/>
            <w:vAlign w:val="center"/>
          </w:tcPr>
          <w:p w14:paraId="775146BE" w14:textId="2B24DCE6" w:rsidR="00A3213F" w:rsidRPr="00AB6F27" w:rsidRDefault="00A3213F" w:rsidP="0054353A">
            <w:pPr>
              <w:pStyle w:val="FooterTableFigure"/>
              <w:keepNext/>
              <w:keepLines/>
              <w:spacing w:after="0"/>
              <w:contextualSpacing w:val="0"/>
              <w:jc w:val="left"/>
              <w:rPr>
                <w:rFonts w:cstheme="minorHAnsi"/>
                <w:sz w:val="20"/>
                <w:szCs w:val="20"/>
              </w:rPr>
            </w:pPr>
            <w:r w:rsidRPr="00AB6F27">
              <w:rPr>
                <w:rFonts w:cstheme="minorHAnsi"/>
                <w:sz w:val="20"/>
                <w:szCs w:val="20"/>
              </w:rPr>
              <w:t xml:space="preserve">Pembrolizumab, mean total number of doses </w:t>
            </w:r>
          </w:p>
        </w:tc>
        <w:tc>
          <w:tcPr>
            <w:tcW w:w="1400" w:type="pct"/>
            <w:vAlign w:val="center"/>
          </w:tcPr>
          <w:p w14:paraId="0413ED60"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12.9 </w:t>
            </w:r>
            <w:r w:rsidRPr="00AB6F27">
              <w:rPr>
                <w:rFonts w:cstheme="minorHAnsi"/>
                <w:sz w:val="20"/>
                <w:szCs w:val="20"/>
                <w:vertAlign w:val="superscript"/>
              </w:rPr>
              <w:t>a</w:t>
            </w:r>
          </w:p>
        </w:tc>
        <w:tc>
          <w:tcPr>
            <w:tcW w:w="885" w:type="pct"/>
            <w:vAlign w:val="center"/>
          </w:tcPr>
          <w:p w14:paraId="0B862337" w14:textId="77777777" w:rsidR="00A3213F" w:rsidRPr="00AB6F27" w:rsidRDefault="00A3213F" w:rsidP="0054353A">
            <w:pPr>
              <w:pStyle w:val="FooterTableFigure"/>
              <w:keepNext/>
              <w:keepLines/>
              <w:spacing w:after="0"/>
              <w:contextualSpacing w:val="0"/>
              <w:jc w:val="center"/>
              <w:rPr>
                <w:rFonts w:cstheme="minorHAnsi"/>
                <w:sz w:val="20"/>
                <w:szCs w:val="20"/>
              </w:rPr>
            </w:pPr>
            <w:r w:rsidRPr="00AB6F27">
              <w:rPr>
                <w:rFonts w:cstheme="minorHAnsi"/>
                <w:sz w:val="20"/>
                <w:szCs w:val="20"/>
              </w:rPr>
              <w:t>11.7</w:t>
            </w:r>
          </w:p>
        </w:tc>
        <w:tc>
          <w:tcPr>
            <w:tcW w:w="874" w:type="pct"/>
            <w:vAlign w:val="center"/>
          </w:tcPr>
          <w:p w14:paraId="3401B652"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13.4 </w:t>
            </w:r>
            <w:r w:rsidRPr="00AB6F27">
              <w:rPr>
                <w:rFonts w:cstheme="minorHAnsi"/>
                <w:sz w:val="20"/>
                <w:szCs w:val="20"/>
                <w:vertAlign w:val="superscript"/>
              </w:rPr>
              <w:t>d</w:t>
            </w:r>
          </w:p>
        </w:tc>
      </w:tr>
      <w:tr w:rsidR="00A3213F" w:rsidRPr="00AB6F27" w14:paraId="4BA3683F" w14:textId="77777777" w:rsidTr="0054353A">
        <w:trPr>
          <w:cantSplit/>
          <w:trHeight w:val="20"/>
          <w:jc w:val="center"/>
        </w:trPr>
        <w:tc>
          <w:tcPr>
            <w:tcW w:w="1841" w:type="pct"/>
            <w:vAlign w:val="center"/>
          </w:tcPr>
          <w:p w14:paraId="0DADB783" w14:textId="77777777" w:rsidR="00A3213F" w:rsidRPr="00AB6F27" w:rsidRDefault="00A3213F" w:rsidP="0054353A">
            <w:pPr>
              <w:pStyle w:val="FooterTableFigure"/>
              <w:keepNext/>
              <w:keepLines/>
              <w:spacing w:after="0"/>
              <w:ind w:left="396"/>
              <w:contextualSpacing w:val="0"/>
              <w:jc w:val="left"/>
              <w:rPr>
                <w:rFonts w:cstheme="minorHAnsi"/>
                <w:sz w:val="20"/>
                <w:szCs w:val="20"/>
              </w:rPr>
            </w:pPr>
            <w:r w:rsidRPr="00AB6F27">
              <w:rPr>
                <w:rFonts w:cstheme="minorHAnsi"/>
                <w:sz w:val="20"/>
                <w:szCs w:val="20"/>
              </w:rPr>
              <w:t>Initiation (200 mg)</w:t>
            </w:r>
          </w:p>
        </w:tc>
        <w:tc>
          <w:tcPr>
            <w:tcW w:w="1400" w:type="pct"/>
            <w:vAlign w:val="center"/>
          </w:tcPr>
          <w:p w14:paraId="5C65E365" w14:textId="77777777" w:rsidR="00A3213F" w:rsidRPr="00AB6F27" w:rsidRDefault="00A3213F" w:rsidP="0054353A">
            <w:pPr>
              <w:pStyle w:val="FooterTableFigure"/>
              <w:keepNext/>
              <w:keepLines/>
              <w:spacing w:after="0"/>
              <w:contextualSpacing w:val="0"/>
              <w:jc w:val="center"/>
              <w:rPr>
                <w:rFonts w:cstheme="minorHAnsi"/>
                <w:sz w:val="20"/>
                <w:szCs w:val="20"/>
              </w:rPr>
            </w:pPr>
            <w:r w:rsidRPr="00AB6F27">
              <w:rPr>
                <w:rFonts w:cstheme="minorHAnsi"/>
                <w:sz w:val="20"/>
                <w:szCs w:val="20"/>
              </w:rPr>
              <w:t>NR</w:t>
            </w:r>
          </w:p>
        </w:tc>
        <w:tc>
          <w:tcPr>
            <w:tcW w:w="885" w:type="pct"/>
            <w:vAlign w:val="center"/>
          </w:tcPr>
          <w:p w14:paraId="4BD18C7B"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6.0 </w:t>
            </w:r>
          </w:p>
        </w:tc>
        <w:tc>
          <w:tcPr>
            <w:tcW w:w="874" w:type="pct"/>
            <w:vAlign w:val="center"/>
          </w:tcPr>
          <w:p w14:paraId="41072F03"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6.0 </w:t>
            </w:r>
            <w:r w:rsidRPr="00AB6F27">
              <w:rPr>
                <w:rFonts w:cstheme="minorHAnsi"/>
                <w:sz w:val="20"/>
                <w:szCs w:val="20"/>
                <w:vertAlign w:val="superscript"/>
              </w:rPr>
              <w:t>d</w:t>
            </w:r>
          </w:p>
        </w:tc>
      </w:tr>
      <w:tr w:rsidR="00A3213F" w:rsidRPr="00AB6F27" w14:paraId="64298EF4" w14:textId="77777777" w:rsidTr="0054353A">
        <w:trPr>
          <w:cantSplit/>
          <w:trHeight w:val="20"/>
          <w:jc w:val="center"/>
        </w:trPr>
        <w:tc>
          <w:tcPr>
            <w:tcW w:w="1841" w:type="pct"/>
            <w:vAlign w:val="center"/>
          </w:tcPr>
          <w:p w14:paraId="56E310C7" w14:textId="77777777" w:rsidR="00A3213F" w:rsidRPr="00AB6F27" w:rsidRDefault="00A3213F" w:rsidP="0054353A">
            <w:pPr>
              <w:pStyle w:val="FooterTableFigure"/>
              <w:keepNext/>
              <w:keepLines/>
              <w:spacing w:after="0"/>
              <w:ind w:left="396"/>
              <w:contextualSpacing w:val="0"/>
              <w:jc w:val="left"/>
              <w:rPr>
                <w:rFonts w:cstheme="minorHAnsi"/>
                <w:sz w:val="20"/>
                <w:szCs w:val="20"/>
              </w:rPr>
            </w:pPr>
            <w:r w:rsidRPr="00AB6F27">
              <w:rPr>
                <w:rFonts w:cstheme="minorHAnsi"/>
                <w:sz w:val="20"/>
                <w:szCs w:val="20"/>
              </w:rPr>
              <w:t>Maintenance (400 mg)</w:t>
            </w:r>
          </w:p>
        </w:tc>
        <w:tc>
          <w:tcPr>
            <w:tcW w:w="1400" w:type="pct"/>
            <w:vAlign w:val="center"/>
          </w:tcPr>
          <w:p w14:paraId="60077E9A" w14:textId="77777777" w:rsidR="00A3213F" w:rsidRPr="00AB6F27" w:rsidRDefault="00A3213F" w:rsidP="0054353A">
            <w:pPr>
              <w:pStyle w:val="FooterTableFigure"/>
              <w:keepNext/>
              <w:keepLines/>
              <w:spacing w:after="0"/>
              <w:contextualSpacing w:val="0"/>
              <w:jc w:val="center"/>
              <w:rPr>
                <w:rFonts w:cstheme="minorHAnsi"/>
                <w:sz w:val="20"/>
                <w:szCs w:val="20"/>
              </w:rPr>
            </w:pPr>
            <w:r w:rsidRPr="00AB6F27">
              <w:rPr>
                <w:rFonts w:cstheme="minorHAnsi"/>
                <w:sz w:val="20"/>
                <w:szCs w:val="20"/>
              </w:rPr>
              <w:t>NR</w:t>
            </w:r>
          </w:p>
        </w:tc>
        <w:tc>
          <w:tcPr>
            <w:tcW w:w="885" w:type="pct"/>
            <w:vAlign w:val="center"/>
          </w:tcPr>
          <w:p w14:paraId="1A90D1C2" w14:textId="77777777" w:rsidR="00A3213F" w:rsidRPr="00AB6F27" w:rsidRDefault="00A3213F" w:rsidP="0054353A">
            <w:pPr>
              <w:pStyle w:val="FooterTableFigure"/>
              <w:keepNext/>
              <w:keepLines/>
              <w:spacing w:after="0"/>
              <w:contextualSpacing w:val="0"/>
              <w:jc w:val="center"/>
              <w:rPr>
                <w:rFonts w:cstheme="minorHAnsi"/>
                <w:sz w:val="20"/>
                <w:szCs w:val="20"/>
              </w:rPr>
            </w:pPr>
            <w:r w:rsidRPr="00AB6F27">
              <w:rPr>
                <w:rFonts w:cstheme="minorHAnsi"/>
                <w:sz w:val="20"/>
                <w:szCs w:val="20"/>
              </w:rPr>
              <w:t>5.7</w:t>
            </w:r>
          </w:p>
        </w:tc>
        <w:tc>
          <w:tcPr>
            <w:tcW w:w="874" w:type="pct"/>
            <w:vAlign w:val="center"/>
          </w:tcPr>
          <w:p w14:paraId="40CBC3F6"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7.4 </w:t>
            </w:r>
            <w:r w:rsidRPr="00AB6F27">
              <w:rPr>
                <w:rFonts w:cstheme="minorHAnsi"/>
                <w:sz w:val="20"/>
                <w:szCs w:val="20"/>
                <w:vertAlign w:val="superscript"/>
              </w:rPr>
              <w:t>d</w:t>
            </w:r>
          </w:p>
        </w:tc>
      </w:tr>
      <w:tr w:rsidR="00A3213F" w:rsidRPr="00AB6F27" w14:paraId="0D482524" w14:textId="77777777" w:rsidTr="0054353A">
        <w:trPr>
          <w:cantSplit/>
          <w:trHeight w:val="20"/>
          <w:jc w:val="center"/>
        </w:trPr>
        <w:tc>
          <w:tcPr>
            <w:tcW w:w="1841" w:type="pct"/>
            <w:vAlign w:val="center"/>
          </w:tcPr>
          <w:p w14:paraId="295E17A2" w14:textId="77777777" w:rsidR="00A3213F" w:rsidRPr="00AB6F27" w:rsidRDefault="00A3213F" w:rsidP="0054353A">
            <w:pPr>
              <w:pStyle w:val="FooterTableFigure"/>
              <w:keepNext/>
              <w:keepLines/>
              <w:spacing w:after="0"/>
              <w:contextualSpacing w:val="0"/>
              <w:jc w:val="left"/>
              <w:rPr>
                <w:rFonts w:cstheme="minorHAnsi"/>
                <w:sz w:val="20"/>
                <w:szCs w:val="20"/>
              </w:rPr>
            </w:pPr>
            <w:r w:rsidRPr="00AB6F27">
              <w:rPr>
                <w:rFonts w:cstheme="minorHAnsi"/>
                <w:sz w:val="20"/>
                <w:szCs w:val="20"/>
              </w:rPr>
              <w:t>Pembrolizumab, duration of treatment</w:t>
            </w:r>
          </w:p>
        </w:tc>
        <w:tc>
          <w:tcPr>
            <w:tcW w:w="1400" w:type="pct"/>
            <w:tcBorders>
              <w:bottom w:val="single" w:sz="4" w:space="0" w:color="auto"/>
            </w:tcBorders>
            <w:vAlign w:val="center"/>
          </w:tcPr>
          <w:p w14:paraId="19BD7865"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54.19 weeks </w:t>
            </w:r>
            <w:r w:rsidRPr="00AB6F27">
              <w:rPr>
                <w:rFonts w:cstheme="minorHAnsi"/>
                <w:sz w:val="20"/>
                <w:szCs w:val="20"/>
                <w:vertAlign w:val="superscript"/>
              </w:rPr>
              <w:t>b</w:t>
            </w:r>
          </w:p>
        </w:tc>
        <w:tc>
          <w:tcPr>
            <w:tcW w:w="885" w:type="pct"/>
            <w:tcBorders>
              <w:bottom w:val="single" w:sz="4" w:space="0" w:color="auto"/>
            </w:tcBorders>
            <w:vAlign w:val="center"/>
          </w:tcPr>
          <w:p w14:paraId="14C08CAA" w14:textId="77777777" w:rsidR="00A3213F" w:rsidRPr="00AB6F27" w:rsidRDefault="00A3213F" w:rsidP="0054353A">
            <w:pPr>
              <w:pStyle w:val="FooterTableFigure"/>
              <w:keepNext/>
              <w:keepLines/>
              <w:spacing w:after="0"/>
              <w:contextualSpacing w:val="0"/>
              <w:jc w:val="center"/>
              <w:rPr>
                <w:rFonts w:cstheme="minorHAnsi"/>
                <w:sz w:val="20"/>
                <w:szCs w:val="20"/>
              </w:rPr>
            </w:pPr>
            <w:r w:rsidRPr="00AB6F27">
              <w:rPr>
                <w:rFonts w:cstheme="minorHAnsi"/>
                <w:sz w:val="20"/>
                <w:szCs w:val="20"/>
              </w:rPr>
              <w:t>52.14 weeks</w:t>
            </w:r>
          </w:p>
        </w:tc>
        <w:tc>
          <w:tcPr>
            <w:tcW w:w="874" w:type="pct"/>
            <w:tcBorders>
              <w:bottom w:val="single" w:sz="4" w:space="0" w:color="auto"/>
            </w:tcBorders>
            <w:vAlign w:val="center"/>
          </w:tcPr>
          <w:p w14:paraId="39E124A8"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theme="minorHAnsi"/>
                <w:sz w:val="20"/>
                <w:szCs w:val="20"/>
              </w:rPr>
              <w:t xml:space="preserve">62.57 weeks </w:t>
            </w:r>
            <w:r w:rsidRPr="00AB6F27">
              <w:rPr>
                <w:rFonts w:cstheme="minorHAnsi"/>
                <w:sz w:val="20"/>
                <w:szCs w:val="20"/>
                <w:vertAlign w:val="superscript"/>
              </w:rPr>
              <w:t>c</w:t>
            </w:r>
          </w:p>
        </w:tc>
      </w:tr>
      <w:tr w:rsidR="00A3213F" w:rsidRPr="00AB6F27" w14:paraId="3E2467A3" w14:textId="77777777" w:rsidTr="0054353A">
        <w:trPr>
          <w:cantSplit/>
          <w:trHeight w:val="20"/>
          <w:jc w:val="center"/>
        </w:trPr>
        <w:tc>
          <w:tcPr>
            <w:tcW w:w="1841" w:type="pct"/>
            <w:vAlign w:val="center"/>
          </w:tcPr>
          <w:p w14:paraId="23C57CF8" w14:textId="77777777" w:rsidR="00A3213F" w:rsidRPr="00AB6F27" w:rsidRDefault="00A3213F" w:rsidP="0054353A">
            <w:pPr>
              <w:pStyle w:val="FooterTableFigure"/>
              <w:keepNext/>
              <w:keepLines/>
              <w:spacing w:after="0"/>
              <w:contextualSpacing w:val="0"/>
              <w:jc w:val="left"/>
              <w:rPr>
                <w:rFonts w:cstheme="minorHAnsi"/>
                <w:sz w:val="20"/>
                <w:szCs w:val="20"/>
              </w:rPr>
            </w:pPr>
            <w:r w:rsidRPr="00AB6F27">
              <w:rPr>
                <w:rFonts w:cstheme="minorHAnsi"/>
                <w:sz w:val="20"/>
                <w:szCs w:val="20"/>
              </w:rPr>
              <w:t xml:space="preserve">Total cost/patient/course </w:t>
            </w:r>
          </w:p>
        </w:tc>
        <w:tc>
          <w:tcPr>
            <w:tcW w:w="1400" w:type="pct"/>
            <w:tcBorders>
              <w:top w:val="single" w:sz="4" w:space="0" w:color="auto"/>
              <w:left w:val="nil"/>
              <w:bottom w:val="single" w:sz="4" w:space="0" w:color="auto"/>
              <w:right w:val="single" w:sz="4" w:space="0" w:color="auto"/>
            </w:tcBorders>
            <w:vAlign w:val="center"/>
          </w:tcPr>
          <w:p w14:paraId="6A57F3FB" w14:textId="5D936828"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Calibri"/>
                <w:color w:val="000000"/>
                <w:sz w:val="20"/>
                <w:szCs w:val="20"/>
              </w:rPr>
              <w:t xml:space="preserve">$151,420.50 </w:t>
            </w:r>
            <w:r w:rsidRPr="00AB6F27">
              <w:rPr>
                <w:rFonts w:cs="Calibri"/>
                <w:color w:val="000000"/>
                <w:sz w:val="20"/>
                <w:szCs w:val="20"/>
                <w:vertAlign w:val="superscript"/>
              </w:rPr>
              <w:t>e</w:t>
            </w:r>
          </w:p>
        </w:tc>
        <w:tc>
          <w:tcPr>
            <w:tcW w:w="885" w:type="pct"/>
            <w:tcBorders>
              <w:top w:val="single" w:sz="4" w:space="0" w:color="auto"/>
              <w:left w:val="single" w:sz="4" w:space="0" w:color="auto"/>
              <w:bottom w:val="single" w:sz="4" w:space="0" w:color="auto"/>
              <w:right w:val="single" w:sz="4" w:space="0" w:color="auto"/>
            </w:tcBorders>
            <w:vAlign w:val="center"/>
          </w:tcPr>
          <w:p w14:paraId="4B37E5BC" w14:textId="77777777" w:rsidR="00A3213F" w:rsidRPr="00AB6F27" w:rsidRDefault="00A3213F" w:rsidP="0054353A">
            <w:pPr>
              <w:pStyle w:val="FooterTableFigure"/>
              <w:keepNext/>
              <w:keepLines/>
              <w:spacing w:after="0"/>
              <w:contextualSpacing w:val="0"/>
              <w:jc w:val="center"/>
              <w:rPr>
                <w:rFonts w:cstheme="minorHAnsi"/>
                <w:sz w:val="20"/>
                <w:szCs w:val="20"/>
              </w:rPr>
            </w:pPr>
            <w:r w:rsidRPr="00AB6F27">
              <w:rPr>
                <w:rFonts w:cs="Calibri"/>
                <w:color w:val="000000"/>
                <w:sz w:val="20"/>
                <w:szCs w:val="20"/>
              </w:rPr>
              <w:t>$133,011.88</w:t>
            </w:r>
          </w:p>
        </w:tc>
        <w:tc>
          <w:tcPr>
            <w:tcW w:w="874" w:type="pct"/>
            <w:tcBorders>
              <w:top w:val="single" w:sz="4" w:space="0" w:color="auto"/>
              <w:left w:val="single" w:sz="4" w:space="0" w:color="auto"/>
              <w:bottom w:val="single" w:sz="4" w:space="0" w:color="auto"/>
              <w:right w:val="single" w:sz="4" w:space="0" w:color="auto"/>
            </w:tcBorders>
            <w:vAlign w:val="center"/>
          </w:tcPr>
          <w:p w14:paraId="3A75394F" w14:textId="77777777" w:rsidR="00A3213F" w:rsidRPr="00AB6F27" w:rsidRDefault="00A3213F" w:rsidP="0054353A">
            <w:pPr>
              <w:pStyle w:val="FooterTableFigure"/>
              <w:keepNext/>
              <w:keepLines/>
              <w:spacing w:after="0"/>
              <w:contextualSpacing w:val="0"/>
              <w:jc w:val="center"/>
              <w:rPr>
                <w:rFonts w:cstheme="minorHAnsi"/>
                <w:sz w:val="20"/>
                <w:szCs w:val="20"/>
                <w:vertAlign w:val="superscript"/>
              </w:rPr>
            </w:pPr>
            <w:r w:rsidRPr="00AB6F27">
              <w:rPr>
                <w:rFonts w:cs="Calibri"/>
                <w:color w:val="000000"/>
                <w:sz w:val="20"/>
                <w:szCs w:val="20"/>
              </w:rPr>
              <w:t xml:space="preserve">$159,068.00 </w:t>
            </w:r>
            <w:r w:rsidRPr="00AB6F27">
              <w:rPr>
                <w:rFonts w:cs="Calibri"/>
                <w:color w:val="000000"/>
                <w:sz w:val="20"/>
                <w:szCs w:val="20"/>
                <w:vertAlign w:val="superscript"/>
              </w:rPr>
              <w:t>f</w:t>
            </w:r>
          </w:p>
        </w:tc>
      </w:tr>
    </w:tbl>
    <w:p w14:paraId="15A8AD30" w14:textId="77777777" w:rsidR="00A3213F" w:rsidRPr="00AB6F27" w:rsidRDefault="00A3213F" w:rsidP="0054353A">
      <w:pPr>
        <w:pStyle w:val="FooterTableFigure"/>
        <w:keepNext/>
        <w:keepLines/>
        <w:rPr>
          <w:rFonts w:cstheme="minorHAnsi"/>
          <w:szCs w:val="18"/>
        </w:rPr>
      </w:pPr>
      <w:r w:rsidRPr="00AB6F27">
        <w:rPr>
          <w:rFonts w:cstheme="minorHAnsi"/>
          <w:szCs w:val="18"/>
        </w:rPr>
        <w:t>Source: Compiled during evaluation using information from Section 3 &amp; 4; and Table 4.1-1 Attachment 14 and 15 of the submission</w:t>
      </w:r>
    </w:p>
    <w:p w14:paraId="0308BD2B" w14:textId="77777777" w:rsidR="00A3213F" w:rsidRPr="00AB6F27" w:rsidRDefault="00A3213F" w:rsidP="0054353A">
      <w:pPr>
        <w:pStyle w:val="FooterTableFigure"/>
        <w:keepNext/>
        <w:keepLines/>
        <w:rPr>
          <w:rFonts w:cstheme="minorHAnsi"/>
          <w:szCs w:val="18"/>
        </w:rPr>
      </w:pPr>
      <w:r w:rsidRPr="00AB6F27">
        <w:rPr>
          <w:rFonts w:cstheme="minorHAnsi"/>
          <w:szCs w:val="18"/>
          <w:vertAlign w:val="superscript"/>
        </w:rPr>
        <w:t xml:space="preserve">a </w:t>
      </w:r>
      <w:r w:rsidRPr="00AB6F27">
        <w:rPr>
          <w:rFonts w:cstheme="minorHAnsi"/>
          <w:szCs w:val="18"/>
        </w:rPr>
        <w:t>NRG-GY018 time on treatment data from Table 4.1-1 Attachment 14 to the submission</w:t>
      </w:r>
    </w:p>
    <w:p w14:paraId="014DCCFA" w14:textId="77777777" w:rsidR="00A3213F" w:rsidRPr="00AB6F27" w:rsidRDefault="00A3213F" w:rsidP="0054353A">
      <w:pPr>
        <w:pStyle w:val="FooterTableFigure"/>
        <w:keepNext/>
        <w:keepLines/>
        <w:rPr>
          <w:rFonts w:cstheme="minorHAnsi"/>
          <w:szCs w:val="18"/>
        </w:rPr>
      </w:pPr>
      <w:r w:rsidRPr="00AB6F27">
        <w:rPr>
          <w:rFonts w:cstheme="minorHAnsi"/>
          <w:szCs w:val="18"/>
          <w:vertAlign w:val="superscript"/>
        </w:rPr>
        <w:t xml:space="preserve">b </w:t>
      </w:r>
      <w:r w:rsidRPr="00AB6F27">
        <w:rPr>
          <w:rFonts w:cstheme="minorHAnsi"/>
          <w:szCs w:val="18"/>
        </w:rPr>
        <w:t>Duration on pembrolizumab NRG-GY018, 379.3 days; Table 4.1-1 Attachment 14 to the submission</w:t>
      </w:r>
    </w:p>
    <w:p w14:paraId="20BD48B3" w14:textId="77777777" w:rsidR="00A3213F" w:rsidRPr="00AB6F27" w:rsidRDefault="00A3213F" w:rsidP="0054353A">
      <w:pPr>
        <w:pStyle w:val="FooterTableFigure"/>
        <w:keepNext/>
        <w:keepLines/>
        <w:rPr>
          <w:rFonts w:cstheme="minorHAnsi"/>
          <w:szCs w:val="18"/>
        </w:rPr>
      </w:pPr>
      <w:r w:rsidRPr="00AB6F27">
        <w:rPr>
          <w:rFonts w:cstheme="minorHAnsi"/>
          <w:szCs w:val="18"/>
          <w:vertAlign w:val="superscript"/>
        </w:rPr>
        <w:t xml:space="preserve">c </w:t>
      </w:r>
      <w:r w:rsidRPr="00AB6F27">
        <w:rPr>
          <w:rFonts w:cstheme="minorHAnsi"/>
          <w:szCs w:val="18"/>
        </w:rPr>
        <w:t>Time on treatment estimated from NRG-GY018 using the non-parametric Kaplan-Meier (KM) product-limit method</w:t>
      </w:r>
    </w:p>
    <w:p w14:paraId="189AB625" w14:textId="477BE456" w:rsidR="00A3213F" w:rsidRPr="00AB6F27" w:rsidRDefault="00A3213F" w:rsidP="0054353A">
      <w:pPr>
        <w:pStyle w:val="FooterTableFigure"/>
        <w:keepNext/>
        <w:keepLines/>
        <w:rPr>
          <w:rFonts w:cstheme="minorHAnsi"/>
          <w:szCs w:val="18"/>
        </w:rPr>
      </w:pPr>
      <w:r w:rsidRPr="00AB6F27">
        <w:rPr>
          <w:rFonts w:cstheme="minorHAnsi"/>
          <w:szCs w:val="18"/>
          <w:vertAlign w:val="superscript"/>
        </w:rPr>
        <w:t xml:space="preserve">d </w:t>
      </w:r>
      <w:r w:rsidR="002A56D6" w:rsidRPr="00AB6F27">
        <w:rPr>
          <w:rFonts w:cstheme="minorHAnsi"/>
          <w:szCs w:val="18"/>
        </w:rPr>
        <w:t>The submission assumed an average duration of treatment of 62.57 weeks (comprising 18 weeks initiation plus 44.57 weeks maintenance) in the dMMR financial estimates.</w:t>
      </w:r>
    </w:p>
    <w:p w14:paraId="024A55D7" w14:textId="064A8ADA" w:rsidR="00A3213F" w:rsidRPr="00AB6F27" w:rsidRDefault="00A3213F" w:rsidP="0054353A">
      <w:pPr>
        <w:pStyle w:val="FooterTableFigure"/>
        <w:keepNext/>
        <w:keepLines/>
        <w:rPr>
          <w:rFonts w:cstheme="minorHAnsi"/>
          <w:szCs w:val="18"/>
        </w:rPr>
      </w:pPr>
      <w:r w:rsidRPr="00AB6F27">
        <w:rPr>
          <w:rFonts w:cstheme="minorHAnsi"/>
          <w:szCs w:val="18"/>
          <w:vertAlign w:val="superscript"/>
        </w:rPr>
        <w:t xml:space="preserve">e </w:t>
      </w:r>
      <w:r w:rsidRPr="00AB6F27">
        <w:rPr>
          <w:rFonts w:cstheme="minorHAnsi"/>
          <w:szCs w:val="18"/>
        </w:rPr>
        <w:t>Base</w:t>
      </w:r>
      <w:r w:rsidR="0077304F" w:rsidRPr="00AB6F27">
        <w:rPr>
          <w:rFonts w:cstheme="minorHAnsi"/>
          <w:szCs w:val="18"/>
        </w:rPr>
        <w:t>d</w:t>
      </w:r>
      <w:r w:rsidRPr="00AB6F27">
        <w:rPr>
          <w:rFonts w:cstheme="minorHAnsi"/>
          <w:szCs w:val="18"/>
        </w:rPr>
        <w:t xml:space="preserve"> on the cost minimised (to dostarlimab) price for 100mg pembrolizumab = $3,823.75. Therefore, ($3,823.75 * 6.0 * 2) + ($3,823.75 * 6.9 * 4). Assuming 6.0 initiation doses. </w:t>
      </w:r>
    </w:p>
    <w:p w14:paraId="78CBD143" w14:textId="624FFAE3" w:rsidR="00A3213F" w:rsidRPr="00AB6F27" w:rsidRDefault="00A3213F" w:rsidP="0054353A">
      <w:pPr>
        <w:pStyle w:val="FooterTableFigure"/>
        <w:keepNext/>
        <w:keepLines/>
        <w:rPr>
          <w:rFonts w:cstheme="minorHAnsi"/>
          <w:szCs w:val="18"/>
        </w:rPr>
      </w:pPr>
      <w:r w:rsidRPr="00AB6F27">
        <w:rPr>
          <w:rFonts w:cstheme="minorHAnsi"/>
          <w:szCs w:val="18"/>
          <w:vertAlign w:val="superscript"/>
        </w:rPr>
        <w:t xml:space="preserve">f </w:t>
      </w:r>
      <w:r w:rsidRPr="00AB6F27">
        <w:rPr>
          <w:rFonts w:cstheme="minorHAnsi"/>
          <w:szCs w:val="18"/>
        </w:rPr>
        <w:t>Base</w:t>
      </w:r>
      <w:r w:rsidR="00721A62" w:rsidRPr="00AB6F27">
        <w:rPr>
          <w:rFonts w:cstheme="minorHAnsi"/>
          <w:szCs w:val="18"/>
        </w:rPr>
        <w:t>d</w:t>
      </w:r>
      <w:r w:rsidRPr="00AB6F27">
        <w:rPr>
          <w:rFonts w:cstheme="minorHAnsi"/>
          <w:szCs w:val="18"/>
        </w:rPr>
        <w:t xml:space="preserve"> on the cost minimised (to dostarlimab) price for 100mg pembrolizumab = $3,823.75. Therefore, ($3,823.75 * 6.0 * 2) + ($3,823.75 * 7.4 * 4)</w:t>
      </w:r>
    </w:p>
    <w:p w14:paraId="1C3E2012" w14:textId="07D226F5" w:rsidR="00A3213F" w:rsidRPr="00AB6F27" w:rsidRDefault="00A3213F" w:rsidP="00A3213F">
      <w:pPr>
        <w:pStyle w:val="Caption"/>
      </w:pPr>
      <w:bookmarkStart w:id="80" w:name="_Ref196487763"/>
      <w:r w:rsidRPr="00AB6F27">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21</w:t>
      </w:r>
      <w:r w:rsidR="00976099" w:rsidRPr="00AB6F27">
        <w:rPr>
          <w:noProof/>
        </w:rPr>
        <w:fldChar w:fldCharType="end"/>
      </w:r>
      <w:bookmarkEnd w:id="80"/>
      <w:r w:rsidRPr="00AB6F27">
        <w:t>: Drug cost per patient for pembrolizumab treatment, pMMR (</w:t>
      </w:r>
      <w:r w:rsidR="000010B3">
        <w:t>based on published prices</w:t>
      </w:r>
      <w:r w:rsidRPr="00AB6F2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Drug cost per patient for pembrolizumab treatment, pMMR (based on published prices)"/>
      </w:tblPr>
      <w:tblGrid>
        <w:gridCol w:w="3320"/>
        <w:gridCol w:w="2525"/>
        <w:gridCol w:w="1596"/>
        <w:gridCol w:w="1576"/>
      </w:tblGrid>
      <w:tr w:rsidR="00A3213F" w:rsidRPr="00AB6F27" w14:paraId="5873060D" w14:textId="77777777" w:rsidTr="0054353A">
        <w:trPr>
          <w:cantSplit/>
          <w:tblHeader/>
          <w:jc w:val="center"/>
        </w:trPr>
        <w:tc>
          <w:tcPr>
            <w:tcW w:w="1841" w:type="pct"/>
            <w:vAlign w:val="center"/>
          </w:tcPr>
          <w:p w14:paraId="16611F6B" w14:textId="77777777" w:rsidR="00A3213F" w:rsidRPr="00AB6F27" w:rsidRDefault="00A3213F" w:rsidP="007B5E49">
            <w:pPr>
              <w:pStyle w:val="FooterTableFigure"/>
              <w:keepNext/>
              <w:rPr>
                <w:rFonts w:cstheme="minorHAnsi"/>
                <w:b/>
                <w:sz w:val="20"/>
                <w:szCs w:val="20"/>
              </w:rPr>
            </w:pPr>
          </w:p>
        </w:tc>
        <w:tc>
          <w:tcPr>
            <w:tcW w:w="1400" w:type="pct"/>
            <w:vAlign w:val="center"/>
          </w:tcPr>
          <w:p w14:paraId="26FF0D49" w14:textId="77777777" w:rsidR="00A3213F" w:rsidRPr="00AB6F27" w:rsidRDefault="00A3213F" w:rsidP="007B5E49">
            <w:pPr>
              <w:pStyle w:val="FooterTableFigure"/>
              <w:keepNext/>
              <w:jc w:val="center"/>
              <w:rPr>
                <w:rFonts w:cstheme="minorHAnsi"/>
                <w:b/>
                <w:sz w:val="20"/>
                <w:szCs w:val="20"/>
              </w:rPr>
            </w:pPr>
            <w:r w:rsidRPr="00AB6F27">
              <w:rPr>
                <w:rFonts w:cstheme="minorHAnsi"/>
                <w:b/>
                <w:sz w:val="20"/>
                <w:szCs w:val="20"/>
              </w:rPr>
              <w:t>Trial dose and duration</w:t>
            </w:r>
          </w:p>
        </w:tc>
        <w:tc>
          <w:tcPr>
            <w:tcW w:w="885" w:type="pct"/>
            <w:vAlign w:val="center"/>
          </w:tcPr>
          <w:p w14:paraId="21AD72F4" w14:textId="77777777" w:rsidR="00A3213F" w:rsidRPr="00AB6F27" w:rsidRDefault="00A3213F" w:rsidP="007B5E49">
            <w:pPr>
              <w:pStyle w:val="FooterTableFigure"/>
              <w:keepNext/>
              <w:jc w:val="center"/>
              <w:rPr>
                <w:rFonts w:cstheme="minorHAnsi"/>
                <w:b/>
                <w:sz w:val="20"/>
                <w:szCs w:val="20"/>
              </w:rPr>
            </w:pPr>
            <w:r w:rsidRPr="00AB6F27">
              <w:rPr>
                <w:rFonts w:cstheme="minorHAnsi"/>
                <w:b/>
                <w:sz w:val="20"/>
                <w:szCs w:val="20"/>
              </w:rPr>
              <w:t>CMA</w:t>
            </w:r>
          </w:p>
        </w:tc>
        <w:tc>
          <w:tcPr>
            <w:tcW w:w="874" w:type="pct"/>
            <w:vAlign w:val="center"/>
          </w:tcPr>
          <w:p w14:paraId="161FAE6B" w14:textId="77777777" w:rsidR="00A3213F" w:rsidRPr="00AB6F27" w:rsidRDefault="00A3213F" w:rsidP="007B5E49">
            <w:pPr>
              <w:pStyle w:val="FooterTableFigure"/>
              <w:keepNext/>
              <w:jc w:val="center"/>
              <w:rPr>
                <w:rFonts w:cstheme="minorHAnsi"/>
                <w:b/>
                <w:sz w:val="20"/>
                <w:szCs w:val="20"/>
              </w:rPr>
            </w:pPr>
            <w:r w:rsidRPr="00AB6F27">
              <w:rPr>
                <w:rFonts w:cstheme="minorHAnsi"/>
                <w:b/>
                <w:sz w:val="20"/>
                <w:szCs w:val="20"/>
              </w:rPr>
              <w:t>Financial estimates</w:t>
            </w:r>
          </w:p>
        </w:tc>
      </w:tr>
      <w:tr w:rsidR="00A3213F" w:rsidRPr="00AB6F27" w14:paraId="5C4F49AA" w14:textId="77777777" w:rsidTr="0054353A">
        <w:trPr>
          <w:cantSplit/>
          <w:jc w:val="center"/>
        </w:trPr>
        <w:tc>
          <w:tcPr>
            <w:tcW w:w="1841" w:type="pct"/>
            <w:vAlign w:val="center"/>
          </w:tcPr>
          <w:p w14:paraId="4FBC0FFE" w14:textId="340D34FA" w:rsidR="00A3213F" w:rsidRPr="00AB6F27" w:rsidRDefault="00A3213F" w:rsidP="0054353A">
            <w:pPr>
              <w:pStyle w:val="FooterTableFigure"/>
              <w:keepNext/>
              <w:spacing w:after="0"/>
              <w:contextualSpacing w:val="0"/>
              <w:jc w:val="left"/>
              <w:rPr>
                <w:rFonts w:cstheme="minorHAnsi"/>
                <w:sz w:val="20"/>
                <w:szCs w:val="20"/>
              </w:rPr>
            </w:pPr>
            <w:r w:rsidRPr="00AB6F27">
              <w:rPr>
                <w:rFonts w:cstheme="minorHAnsi"/>
                <w:sz w:val="20"/>
                <w:szCs w:val="20"/>
              </w:rPr>
              <w:t xml:space="preserve">Pembrolizumab, mean total number of doses </w:t>
            </w:r>
          </w:p>
        </w:tc>
        <w:tc>
          <w:tcPr>
            <w:tcW w:w="1400" w:type="pct"/>
            <w:vAlign w:val="center"/>
          </w:tcPr>
          <w:p w14:paraId="7CBE52FE"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9.8 </w:t>
            </w:r>
            <w:r w:rsidRPr="00AB6F27">
              <w:rPr>
                <w:rFonts w:cstheme="minorHAnsi"/>
                <w:sz w:val="20"/>
                <w:szCs w:val="20"/>
                <w:vertAlign w:val="superscript"/>
              </w:rPr>
              <w:t>a</w:t>
            </w:r>
          </w:p>
        </w:tc>
        <w:tc>
          <w:tcPr>
            <w:tcW w:w="885" w:type="pct"/>
            <w:vAlign w:val="center"/>
          </w:tcPr>
          <w:p w14:paraId="2C82E4AB"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11.7</w:t>
            </w:r>
          </w:p>
        </w:tc>
        <w:tc>
          <w:tcPr>
            <w:tcW w:w="874" w:type="pct"/>
            <w:vAlign w:val="center"/>
          </w:tcPr>
          <w:p w14:paraId="348B3A7B"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10.17 </w:t>
            </w:r>
            <w:r w:rsidRPr="00AB6F27">
              <w:rPr>
                <w:rFonts w:cstheme="minorHAnsi"/>
                <w:sz w:val="20"/>
                <w:szCs w:val="20"/>
                <w:vertAlign w:val="superscript"/>
              </w:rPr>
              <w:t>c</w:t>
            </w:r>
          </w:p>
        </w:tc>
      </w:tr>
      <w:tr w:rsidR="00A3213F" w:rsidRPr="00AB6F27" w14:paraId="04805D1D" w14:textId="77777777" w:rsidTr="0054353A">
        <w:trPr>
          <w:cantSplit/>
          <w:trHeight w:hRule="exact" w:val="255"/>
          <w:jc w:val="center"/>
        </w:trPr>
        <w:tc>
          <w:tcPr>
            <w:tcW w:w="1841" w:type="pct"/>
            <w:vAlign w:val="center"/>
          </w:tcPr>
          <w:p w14:paraId="68C9D573" w14:textId="77777777" w:rsidR="00A3213F" w:rsidRPr="00AB6F27" w:rsidRDefault="00A3213F" w:rsidP="0054353A">
            <w:pPr>
              <w:pStyle w:val="FooterTableFigure"/>
              <w:keepNext/>
              <w:spacing w:after="0"/>
              <w:ind w:left="396"/>
              <w:contextualSpacing w:val="0"/>
              <w:jc w:val="left"/>
              <w:rPr>
                <w:rFonts w:cstheme="minorHAnsi"/>
                <w:sz w:val="20"/>
                <w:szCs w:val="20"/>
              </w:rPr>
            </w:pPr>
            <w:r w:rsidRPr="00AB6F27">
              <w:rPr>
                <w:rFonts w:cstheme="minorHAnsi"/>
                <w:sz w:val="20"/>
                <w:szCs w:val="20"/>
              </w:rPr>
              <w:t>Initiation (200 mg)</w:t>
            </w:r>
          </w:p>
        </w:tc>
        <w:tc>
          <w:tcPr>
            <w:tcW w:w="1400" w:type="pct"/>
            <w:vAlign w:val="center"/>
          </w:tcPr>
          <w:p w14:paraId="220E7CB0"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NR</w:t>
            </w:r>
          </w:p>
        </w:tc>
        <w:tc>
          <w:tcPr>
            <w:tcW w:w="885" w:type="pct"/>
            <w:vAlign w:val="center"/>
          </w:tcPr>
          <w:p w14:paraId="20D23299"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6.0</w:t>
            </w:r>
          </w:p>
        </w:tc>
        <w:tc>
          <w:tcPr>
            <w:tcW w:w="874" w:type="pct"/>
            <w:vAlign w:val="center"/>
          </w:tcPr>
          <w:p w14:paraId="3AEBD613"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6.0 </w:t>
            </w:r>
          </w:p>
        </w:tc>
      </w:tr>
      <w:tr w:rsidR="00A3213F" w:rsidRPr="00AB6F27" w14:paraId="218B636B" w14:textId="77777777" w:rsidTr="0054353A">
        <w:trPr>
          <w:cantSplit/>
          <w:trHeight w:hRule="exact" w:val="255"/>
          <w:jc w:val="center"/>
        </w:trPr>
        <w:tc>
          <w:tcPr>
            <w:tcW w:w="1841" w:type="pct"/>
            <w:vAlign w:val="center"/>
          </w:tcPr>
          <w:p w14:paraId="4B80DC94" w14:textId="77777777" w:rsidR="00A3213F" w:rsidRPr="00AB6F27" w:rsidRDefault="00A3213F" w:rsidP="0054353A">
            <w:pPr>
              <w:pStyle w:val="FooterTableFigure"/>
              <w:keepNext/>
              <w:spacing w:after="0"/>
              <w:ind w:left="396"/>
              <w:contextualSpacing w:val="0"/>
              <w:jc w:val="left"/>
              <w:rPr>
                <w:rFonts w:cstheme="minorHAnsi"/>
                <w:sz w:val="20"/>
                <w:szCs w:val="20"/>
              </w:rPr>
            </w:pPr>
            <w:r w:rsidRPr="00AB6F27">
              <w:rPr>
                <w:rFonts w:cstheme="minorHAnsi"/>
                <w:sz w:val="20"/>
                <w:szCs w:val="20"/>
              </w:rPr>
              <w:t>Maintenance (400 mg)</w:t>
            </w:r>
          </w:p>
        </w:tc>
        <w:tc>
          <w:tcPr>
            <w:tcW w:w="1400" w:type="pct"/>
            <w:vAlign w:val="center"/>
          </w:tcPr>
          <w:p w14:paraId="299AF8B4"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NR</w:t>
            </w:r>
          </w:p>
        </w:tc>
        <w:tc>
          <w:tcPr>
            <w:tcW w:w="885" w:type="pct"/>
            <w:vAlign w:val="center"/>
          </w:tcPr>
          <w:p w14:paraId="3943CA30"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5.7</w:t>
            </w:r>
          </w:p>
        </w:tc>
        <w:tc>
          <w:tcPr>
            <w:tcW w:w="874" w:type="pct"/>
            <w:vAlign w:val="center"/>
          </w:tcPr>
          <w:p w14:paraId="78B06123"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4.17</w:t>
            </w:r>
          </w:p>
        </w:tc>
      </w:tr>
      <w:tr w:rsidR="00A3213F" w:rsidRPr="00AB6F27" w14:paraId="21259EF1" w14:textId="77777777" w:rsidTr="0054353A">
        <w:trPr>
          <w:cantSplit/>
          <w:trHeight w:hRule="exact" w:val="255"/>
          <w:jc w:val="center"/>
        </w:trPr>
        <w:tc>
          <w:tcPr>
            <w:tcW w:w="1841" w:type="pct"/>
            <w:vAlign w:val="center"/>
          </w:tcPr>
          <w:p w14:paraId="7B71C254" w14:textId="77777777" w:rsidR="00A3213F" w:rsidRPr="00AB6F27" w:rsidRDefault="00A3213F" w:rsidP="0054353A">
            <w:pPr>
              <w:pStyle w:val="FooterTableFigure"/>
              <w:keepNext/>
              <w:spacing w:after="0"/>
              <w:contextualSpacing w:val="0"/>
              <w:jc w:val="left"/>
              <w:rPr>
                <w:rFonts w:cstheme="minorHAnsi"/>
                <w:sz w:val="20"/>
                <w:szCs w:val="20"/>
              </w:rPr>
            </w:pPr>
            <w:r w:rsidRPr="00AB6F27">
              <w:rPr>
                <w:rFonts w:cstheme="minorHAnsi"/>
                <w:sz w:val="20"/>
                <w:szCs w:val="20"/>
              </w:rPr>
              <w:t>Pembrolizumab, duration of treatment</w:t>
            </w:r>
          </w:p>
        </w:tc>
        <w:tc>
          <w:tcPr>
            <w:tcW w:w="1400" w:type="pct"/>
            <w:vAlign w:val="center"/>
          </w:tcPr>
          <w:p w14:paraId="56391523"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36.81 weeks </w:t>
            </w:r>
            <w:r w:rsidRPr="00AB6F27">
              <w:rPr>
                <w:rFonts w:cstheme="minorHAnsi"/>
                <w:sz w:val="20"/>
                <w:szCs w:val="20"/>
                <w:vertAlign w:val="superscript"/>
              </w:rPr>
              <w:t>b</w:t>
            </w:r>
          </w:p>
        </w:tc>
        <w:tc>
          <w:tcPr>
            <w:tcW w:w="885" w:type="pct"/>
            <w:vAlign w:val="center"/>
          </w:tcPr>
          <w:p w14:paraId="66ECCD08"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52.14 weeks</w:t>
            </w:r>
          </w:p>
        </w:tc>
        <w:tc>
          <w:tcPr>
            <w:tcW w:w="874" w:type="pct"/>
            <w:vAlign w:val="center"/>
          </w:tcPr>
          <w:p w14:paraId="2582ACA3"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43.02 weeks </w:t>
            </w:r>
            <w:r w:rsidRPr="00AB6F27">
              <w:rPr>
                <w:rFonts w:cstheme="minorHAnsi"/>
                <w:sz w:val="20"/>
                <w:szCs w:val="20"/>
                <w:vertAlign w:val="superscript"/>
              </w:rPr>
              <w:t>d</w:t>
            </w:r>
          </w:p>
        </w:tc>
      </w:tr>
      <w:tr w:rsidR="00A3213F" w:rsidRPr="00AB6F27" w14:paraId="1989D810" w14:textId="77777777" w:rsidTr="0054353A">
        <w:trPr>
          <w:cantSplit/>
          <w:trHeight w:hRule="exact" w:val="255"/>
          <w:jc w:val="center"/>
        </w:trPr>
        <w:tc>
          <w:tcPr>
            <w:tcW w:w="1841" w:type="pct"/>
            <w:vAlign w:val="center"/>
          </w:tcPr>
          <w:p w14:paraId="3B4F4018" w14:textId="77777777" w:rsidR="00A3213F" w:rsidRPr="00AB6F27" w:rsidRDefault="00A3213F" w:rsidP="0054353A">
            <w:pPr>
              <w:pStyle w:val="FooterTableFigure"/>
              <w:keepNext/>
              <w:spacing w:after="0"/>
              <w:contextualSpacing w:val="0"/>
              <w:jc w:val="left"/>
              <w:rPr>
                <w:rFonts w:cstheme="minorHAnsi"/>
                <w:sz w:val="20"/>
                <w:szCs w:val="20"/>
              </w:rPr>
            </w:pPr>
            <w:r w:rsidRPr="00AB6F27">
              <w:rPr>
                <w:rFonts w:cstheme="minorHAnsi"/>
                <w:sz w:val="20"/>
                <w:szCs w:val="20"/>
              </w:rPr>
              <w:t xml:space="preserve">Total cost/patient/course </w:t>
            </w:r>
          </w:p>
        </w:tc>
        <w:tc>
          <w:tcPr>
            <w:tcW w:w="1400" w:type="pct"/>
            <w:vAlign w:val="center"/>
          </w:tcPr>
          <w:p w14:paraId="6A5AA990"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$159,435.79 </w:t>
            </w:r>
            <w:r w:rsidRPr="00AB6F27">
              <w:rPr>
                <w:rFonts w:cstheme="minorHAnsi"/>
                <w:sz w:val="20"/>
                <w:szCs w:val="20"/>
                <w:vertAlign w:val="superscript"/>
              </w:rPr>
              <w:t>e</w:t>
            </w:r>
          </w:p>
        </w:tc>
        <w:tc>
          <w:tcPr>
            <w:tcW w:w="885" w:type="pct"/>
            <w:vAlign w:val="center"/>
          </w:tcPr>
          <w:p w14:paraId="3327F924" w14:textId="77777777" w:rsidR="00A3213F" w:rsidRPr="00AB6F27" w:rsidRDefault="00A3213F" w:rsidP="0054353A">
            <w:pPr>
              <w:pStyle w:val="FooterTableFigure"/>
              <w:keepNext/>
              <w:spacing w:after="0"/>
              <w:contextualSpacing w:val="0"/>
              <w:jc w:val="center"/>
              <w:rPr>
                <w:rFonts w:cstheme="minorHAnsi"/>
                <w:sz w:val="20"/>
                <w:szCs w:val="20"/>
              </w:rPr>
            </w:pPr>
            <w:r w:rsidRPr="00AB6F27">
              <w:rPr>
                <w:rFonts w:cstheme="minorHAnsi"/>
                <w:sz w:val="20"/>
                <w:szCs w:val="20"/>
              </w:rPr>
              <w:t>$203,900.18</w:t>
            </w:r>
          </w:p>
        </w:tc>
        <w:tc>
          <w:tcPr>
            <w:tcW w:w="874" w:type="pct"/>
            <w:vAlign w:val="center"/>
          </w:tcPr>
          <w:p w14:paraId="1F8DAF46" w14:textId="77777777" w:rsidR="00A3213F" w:rsidRPr="00AB6F27" w:rsidRDefault="00A3213F" w:rsidP="0054353A">
            <w:pPr>
              <w:pStyle w:val="FooterTableFigure"/>
              <w:keepNext/>
              <w:spacing w:after="0"/>
              <w:contextualSpacing w:val="0"/>
              <w:jc w:val="center"/>
              <w:rPr>
                <w:rFonts w:cstheme="minorHAnsi"/>
                <w:sz w:val="20"/>
                <w:szCs w:val="20"/>
                <w:vertAlign w:val="superscript"/>
              </w:rPr>
            </w:pPr>
            <w:r w:rsidRPr="00AB6F27">
              <w:rPr>
                <w:rFonts w:cstheme="minorHAnsi"/>
                <w:sz w:val="20"/>
                <w:szCs w:val="20"/>
              </w:rPr>
              <w:t xml:space="preserve">$168,110.97 </w:t>
            </w:r>
            <w:r w:rsidRPr="00AB6F27">
              <w:rPr>
                <w:rFonts w:cstheme="minorHAnsi"/>
                <w:sz w:val="20"/>
                <w:szCs w:val="20"/>
                <w:vertAlign w:val="superscript"/>
              </w:rPr>
              <w:t>f</w:t>
            </w:r>
          </w:p>
        </w:tc>
      </w:tr>
    </w:tbl>
    <w:p w14:paraId="5832AA2A" w14:textId="77777777" w:rsidR="00A3213F" w:rsidRPr="00AB6F27" w:rsidRDefault="00A3213F" w:rsidP="00A3213F">
      <w:pPr>
        <w:pStyle w:val="FooterTableFigure"/>
        <w:rPr>
          <w:rFonts w:cstheme="minorHAnsi"/>
          <w:szCs w:val="18"/>
        </w:rPr>
      </w:pPr>
      <w:r w:rsidRPr="00AB6F27">
        <w:rPr>
          <w:rFonts w:cstheme="minorHAnsi"/>
          <w:szCs w:val="18"/>
        </w:rPr>
        <w:t>Source: Compiled during evaluation using information from Section 3 &amp; 4; and Table 4.1-1 Attachment 14 and 15 of the submission</w:t>
      </w:r>
    </w:p>
    <w:p w14:paraId="2AB6EA9F" w14:textId="77777777" w:rsidR="00A3213F" w:rsidRPr="00AB6F27" w:rsidRDefault="00A3213F" w:rsidP="00A3213F">
      <w:pPr>
        <w:pStyle w:val="FooterTableFigure"/>
        <w:keepNext/>
        <w:rPr>
          <w:rFonts w:cstheme="minorHAnsi"/>
          <w:szCs w:val="18"/>
        </w:rPr>
      </w:pPr>
      <w:r w:rsidRPr="00AB6F27">
        <w:rPr>
          <w:rFonts w:cstheme="minorHAnsi"/>
          <w:szCs w:val="18"/>
          <w:vertAlign w:val="superscript"/>
        </w:rPr>
        <w:t xml:space="preserve">a </w:t>
      </w:r>
      <w:r w:rsidRPr="00AB6F27">
        <w:rPr>
          <w:rFonts w:cstheme="minorHAnsi"/>
          <w:szCs w:val="18"/>
        </w:rPr>
        <w:t>NRG-GY018 time on treatment data from Table 4.1-1 Attachment 15 to the submission</w:t>
      </w:r>
    </w:p>
    <w:p w14:paraId="465395AD" w14:textId="77777777" w:rsidR="00A3213F" w:rsidRPr="00AB6F27" w:rsidRDefault="00A3213F" w:rsidP="00A3213F">
      <w:pPr>
        <w:pStyle w:val="FooterTableFigure"/>
        <w:rPr>
          <w:rFonts w:cstheme="minorHAnsi"/>
          <w:szCs w:val="18"/>
        </w:rPr>
      </w:pPr>
      <w:r w:rsidRPr="00AB6F27">
        <w:rPr>
          <w:rFonts w:cstheme="minorHAnsi"/>
          <w:szCs w:val="18"/>
          <w:vertAlign w:val="superscript"/>
        </w:rPr>
        <w:t xml:space="preserve">b </w:t>
      </w:r>
      <w:r w:rsidRPr="00AB6F27">
        <w:rPr>
          <w:rFonts w:cstheme="minorHAnsi"/>
          <w:szCs w:val="18"/>
        </w:rPr>
        <w:t>Duration on pembrolizumab NRG-GY018, 257.7 days; Table 4.1-1 Attachment 15 to the submission</w:t>
      </w:r>
    </w:p>
    <w:p w14:paraId="0FA1E55E" w14:textId="77777777" w:rsidR="00A3213F" w:rsidRPr="00AB6F27" w:rsidRDefault="00A3213F" w:rsidP="00A3213F">
      <w:pPr>
        <w:pStyle w:val="FooterTableFigure"/>
        <w:rPr>
          <w:rFonts w:cstheme="minorHAnsi"/>
          <w:szCs w:val="18"/>
        </w:rPr>
      </w:pPr>
      <w:r w:rsidRPr="00AB6F27">
        <w:rPr>
          <w:rFonts w:cstheme="minorHAnsi"/>
          <w:szCs w:val="18"/>
          <w:vertAlign w:val="superscript"/>
        </w:rPr>
        <w:t xml:space="preserve">c </w:t>
      </w:r>
      <w:r w:rsidRPr="00AB6F27">
        <w:rPr>
          <w:rFonts w:cstheme="minorHAnsi"/>
          <w:szCs w:val="18"/>
        </w:rPr>
        <w:t>Calculated based on duration of treatment. Assuming 6.0 initial doses (18 weeks). Then 43.02 – 18 = 25.02 weeks, divided by Q6W dosing (42 days) = 4.17 maintenance doses. 6.0 + 4.17 = 10.17 total doses.</w:t>
      </w:r>
    </w:p>
    <w:p w14:paraId="50E9009E" w14:textId="77777777" w:rsidR="00A3213F" w:rsidRPr="00AB6F27" w:rsidRDefault="00A3213F" w:rsidP="00A3213F">
      <w:pPr>
        <w:pStyle w:val="FooterTableFigure"/>
        <w:rPr>
          <w:rFonts w:cstheme="minorHAnsi"/>
          <w:szCs w:val="18"/>
        </w:rPr>
      </w:pPr>
      <w:r w:rsidRPr="00AB6F27">
        <w:rPr>
          <w:rFonts w:cstheme="minorHAnsi"/>
          <w:szCs w:val="18"/>
          <w:vertAlign w:val="superscript"/>
        </w:rPr>
        <w:t xml:space="preserve">d </w:t>
      </w:r>
      <w:r w:rsidRPr="00AB6F27">
        <w:rPr>
          <w:rFonts w:cstheme="minorHAnsi"/>
          <w:szCs w:val="18"/>
        </w:rPr>
        <w:t>Time on treatment estimated from NRG-GY018 using the non-parametric Kaplan-Meier (KM) product-limit method</w:t>
      </w:r>
    </w:p>
    <w:p w14:paraId="15C99374" w14:textId="77777777" w:rsidR="00A3213F" w:rsidRPr="00AB6F27" w:rsidRDefault="00A3213F" w:rsidP="00E704B9">
      <w:pPr>
        <w:pStyle w:val="FooterTableFigure"/>
        <w:spacing w:after="0"/>
        <w:rPr>
          <w:rFonts w:cstheme="minorHAnsi"/>
          <w:szCs w:val="18"/>
        </w:rPr>
      </w:pPr>
      <w:r w:rsidRPr="00AB6F27">
        <w:rPr>
          <w:rFonts w:cstheme="minorHAnsi"/>
          <w:szCs w:val="18"/>
          <w:vertAlign w:val="superscript"/>
        </w:rPr>
        <w:t xml:space="preserve">e </w:t>
      </w:r>
      <w:r w:rsidRPr="00AB6F27">
        <w:rPr>
          <w:rFonts w:cstheme="minorHAnsi"/>
          <w:szCs w:val="18"/>
        </w:rPr>
        <w:t xml:space="preserve">Base on the cost minimised (to durvalumab/olaparib) price for 100mg pembrolizumab = $5,861.61. Therefore, ($5,861.61* 6.0 * 2) + ($5,861.61* 3.8 * 4). Assuming 6.0 initiation doses. </w:t>
      </w:r>
    </w:p>
    <w:p w14:paraId="712A8BC0" w14:textId="368E1592" w:rsidR="00A3213F" w:rsidRPr="00E704B9" w:rsidRDefault="00A3213F" w:rsidP="00E704B9">
      <w:pPr>
        <w:pStyle w:val="3-BodyText"/>
        <w:numPr>
          <w:ilvl w:val="0"/>
          <w:numId w:val="0"/>
        </w:numPr>
        <w:spacing w:after="240"/>
        <w:rPr>
          <w:rFonts w:ascii="Arial Narrow" w:hAnsi="Arial Narrow" w:cstheme="minorHAnsi"/>
          <w:sz w:val="18"/>
          <w:szCs w:val="18"/>
        </w:rPr>
      </w:pPr>
      <w:r w:rsidRPr="00E704B9">
        <w:rPr>
          <w:rFonts w:ascii="Arial Narrow" w:hAnsi="Arial Narrow" w:cstheme="minorHAnsi"/>
          <w:sz w:val="18"/>
          <w:szCs w:val="18"/>
          <w:vertAlign w:val="superscript"/>
        </w:rPr>
        <w:t>f</w:t>
      </w:r>
      <w:r w:rsidRPr="00AB6F27">
        <w:rPr>
          <w:rFonts w:cstheme="minorHAnsi"/>
          <w:szCs w:val="18"/>
          <w:vertAlign w:val="superscript"/>
        </w:rPr>
        <w:t xml:space="preserve"> </w:t>
      </w:r>
      <w:r w:rsidRPr="00E704B9">
        <w:rPr>
          <w:rFonts w:ascii="Arial Narrow" w:hAnsi="Arial Narrow" w:cstheme="minorHAnsi"/>
          <w:sz w:val="18"/>
          <w:szCs w:val="18"/>
        </w:rPr>
        <w:t>Base</w:t>
      </w:r>
      <w:r w:rsidR="00E704B9">
        <w:rPr>
          <w:rFonts w:ascii="Arial Narrow" w:hAnsi="Arial Narrow" w:cstheme="minorHAnsi"/>
          <w:sz w:val="18"/>
          <w:szCs w:val="18"/>
        </w:rPr>
        <w:t>d</w:t>
      </w:r>
      <w:r w:rsidRPr="00E704B9">
        <w:rPr>
          <w:rFonts w:ascii="Arial Narrow" w:hAnsi="Arial Narrow" w:cstheme="minorHAnsi"/>
          <w:sz w:val="18"/>
          <w:szCs w:val="18"/>
        </w:rPr>
        <w:t xml:space="preserve"> on the cost minimised (to durvalumab/olaparib) price for 100mg pembrolizumab = $5,861.61. Therefore, ($5,861.61* 6.0 * 2) + ($5,861.61* 4.17 * 4)</w:t>
      </w:r>
    </w:p>
    <w:p w14:paraId="21A298D8" w14:textId="44EC1DA8" w:rsidR="00A3213F" w:rsidRPr="00AB6F27" w:rsidRDefault="00A3213F" w:rsidP="00A3213F">
      <w:pPr>
        <w:pStyle w:val="3-BodyText"/>
      </w:pPr>
      <w:r w:rsidRPr="00AB6F27">
        <w:t>The durations of treatment were not consistent between NRG-GY018 (actual time on treatment</w:t>
      </w:r>
      <w:r w:rsidR="00E704B9">
        <w:t xml:space="preserve"> during the trial</w:t>
      </w:r>
      <w:r w:rsidRPr="00AB6F27">
        <w:t xml:space="preserve">), </w:t>
      </w:r>
      <w:r w:rsidR="00B07A9E" w:rsidRPr="00AB6F27">
        <w:t xml:space="preserve">the </w:t>
      </w:r>
      <w:r w:rsidRPr="00AB6F27">
        <w:t>CMA (</w:t>
      </w:r>
      <w:r w:rsidR="00B07A9E" w:rsidRPr="00AB6F27">
        <w:t>assumed to be the first year of treatment</w:t>
      </w:r>
      <w:r w:rsidRPr="00AB6F27">
        <w:t xml:space="preserve">), and the financial estimates (estimated time on treatment using </w:t>
      </w:r>
      <w:r w:rsidR="00E704B9">
        <w:t xml:space="preserve">the </w:t>
      </w:r>
      <w:r w:rsidRPr="00AB6F27">
        <w:t xml:space="preserve">KM product-limit method). In addition, in the CMA and financial estimates, a dose intensity of 100% was assumed. </w:t>
      </w:r>
    </w:p>
    <w:p w14:paraId="268768EF" w14:textId="3626F292" w:rsidR="00B60939" w:rsidRPr="00AB6F27" w:rsidRDefault="00B60939" w:rsidP="002B05A1">
      <w:pPr>
        <w:pStyle w:val="4-SubsectionHeading"/>
        <w:rPr>
          <w:iCs/>
        </w:rPr>
      </w:pPr>
      <w:bookmarkStart w:id="81" w:name="_Toc198643461"/>
      <w:r w:rsidRPr="00AB6F27">
        <w:rPr>
          <w:iCs/>
        </w:rPr>
        <w:lastRenderedPageBreak/>
        <w:t>Estimated PBS usage &amp; financial implications</w:t>
      </w:r>
      <w:bookmarkEnd w:id="78"/>
      <w:bookmarkEnd w:id="81"/>
    </w:p>
    <w:p w14:paraId="3B2EA713" w14:textId="3B1FC443" w:rsidR="00A3213F" w:rsidRPr="00AB6F27" w:rsidRDefault="00A3213F" w:rsidP="00A3213F">
      <w:pPr>
        <w:pStyle w:val="3-BodyText"/>
        <w:rPr>
          <w:color w:val="0066FF"/>
        </w:rPr>
      </w:pPr>
      <w:bookmarkStart w:id="82" w:name="_Toc22897648"/>
      <w:r w:rsidRPr="00AB6F27">
        <w:t xml:space="preserve">This submission </w:t>
      </w:r>
      <w:r w:rsidR="00E704B9">
        <w:t xml:space="preserve">was </w:t>
      </w:r>
      <w:r w:rsidRPr="00AB6F27">
        <w:t xml:space="preserve">not considered by DUSC. </w:t>
      </w:r>
    </w:p>
    <w:p w14:paraId="07CC4698" w14:textId="46EA8F2B" w:rsidR="00A3213F" w:rsidRPr="00AB6F27" w:rsidRDefault="00752F64" w:rsidP="00A3213F">
      <w:pPr>
        <w:pStyle w:val="3-BodyText"/>
      </w:pPr>
      <w:r w:rsidRPr="00AB6F27">
        <w:t>The submission used a</w:t>
      </w:r>
      <w:r w:rsidR="00A3213F" w:rsidRPr="00AB6F27">
        <w:t xml:space="preserve">n epidemiological approach to estimate the financial impact of listing </w:t>
      </w:r>
      <w:r w:rsidR="00BF1B0D">
        <w:t>pembrolizumab</w:t>
      </w:r>
      <w:r w:rsidR="00A3213F" w:rsidRPr="00AB6F27">
        <w:t xml:space="preserve"> for the treatment of 1L A/R EC. Separate financial estimates were provided for the dMMR and pMMR populations. The submission stated that although a </w:t>
      </w:r>
      <w:r w:rsidRPr="00AB6F27">
        <w:t>CMA</w:t>
      </w:r>
      <w:r w:rsidR="00A3213F" w:rsidRPr="00AB6F27">
        <w:t xml:space="preserve"> submission would typically utilise a market-share approach, there was insufficient PBS utilisation </w:t>
      </w:r>
      <w:r w:rsidR="005A40A9">
        <w:t xml:space="preserve">data </w:t>
      </w:r>
      <w:r w:rsidR="00A3213F" w:rsidRPr="00AB6F27">
        <w:t>(&lt;</w:t>
      </w:r>
      <w:r w:rsidR="005A40A9">
        <w:t xml:space="preserve"> </w:t>
      </w:r>
      <w:r w:rsidR="00A3213F" w:rsidRPr="00AB6F27">
        <w:t xml:space="preserve">12months) </w:t>
      </w:r>
      <w:r w:rsidR="005A40A9">
        <w:t>for</w:t>
      </w:r>
      <w:r w:rsidR="00A3213F" w:rsidRPr="00AB6F27">
        <w:t xml:space="preserve"> </w:t>
      </w:r>
      <w:r w:rsidR="00437BAB">
        <w:t>dostarlimab</w:t>
      </w:r>
      <w:r w:rsidR="00A3213F" w:rsidRPr="00AB6F27">
        <w:t xml:space="preserve"> or </w:t>
      </w:r>
      <w:r w:rsidR="008F1D87">
        <w:t>durvalumab</w:t>
      </w:r>
      <w:r w:rsidR="00A3213F" w:rsidRPr="00AB6F27">
        <w:t xml:space="preserve"> to perform a market share approach.</w:t>
      </w:r>
    </w:p>
    <w:p w14:paraId="15440A03" w14:textId="77777777" w:rsidR="005A40A9" w:rsidRPr="00AB6F27" w:rsidRDefault="005A40A9" w:rsidP="005A40A9">
      <w:pPr>
        <w:pStyle w:val="3-BodyText"/>
        <w:numPr>
          <w:ilvl w:val="0"/>
          <w:numId w:val="0"/>
        </w:numPr>
        <w:ind w:left="720" w:hanging="720"/>
        <w:outlineLvl w:val="2"/>
        <w:rPr>
          <w:rFonts w:eastAsia="Calibri"/>
          <w:i/>
          <w:iCs/>
          <w:u w:val="single"/>
        </w:rPr>
      </w:pPr>
      <w:r w:rsidRPr="00AB6F27">
        <w:rPr>
          <w:rFonts w:eastAsia="Calibri"/>
          <w:i/>
          <w:iCs/>
          <w:u w:val="single"/>
        </w:rPr>
        <w:t>dMMR population</w:t>
      </w:r>
    </w:p>
    <w:p w14:paraId="42BCDBA8" w14:textId="6757DBBE" w:rsidR="00A3213F" w:rsidRPr="00AB6F27" w:rsidRDefault="00A3213F" w:rsidP="00A3213F">
      <w:pPr>
        <w:pStyle w:val="3-BodyText"/>
      </w:pPr>
      <w:r w:rsidRPr="00AB6F27">
        <w:t xml:space="preserve">As the financial estimates have already been established for </w:t>
      </w:r>
      <w:r w:rsidR="00437BAB">
        <w:t>dostarlimab</w:t>
      </w:r>
      <w:r w:rsidR="00DE6B1A" w:rsidRPr="00AB6F27">
        <w:t xml:space="preserve"> </w:t>
      </w:r>
      <w:r w:rsidRPr="00AB6F27">
        <w:t xml:space="preserve">in the dMMR population, the submission </w:t>
      </w:r>
      <w:r w:rsidR="0024322C" w:rsidRPr="00AB6F27">
        <w:t xml:space="preserve">reasonably </w:t>
      </w:r>
      <w:r w:rsidRPr="00AB6F27">
        <w:t xml:space="preserve">did not include a prevalent population </w:t>
      </w:r>
      <w:r w:rsidR="002A2EB6" w:rsidRPr="00AB6F27">
        <w:t>but inappropriately excluded</w:t>
      </w:r>
      <w:r w:rsidRPr="00AB6F27">
        <w:t xml:space="preserve"> cost offsets. </w:t>
      </w:r>
    </w:p>
    <w:p w14:paraId="56E4B1A8" w14:textId="4C29DF39" w:rsidR="00A3213F" w:rsidRPr="00AB6F27" w:rsidRDefault="00A3213F" w:rsidP="00A3213F">
      <w:pPr>
        <w:pStyle w:val="3-BodyText"/>
      </w:pPr>
      <w:r w:rsidRPr="00AB6F27">
        <w:t>The</w:t>
      </w:r>
      <w:r w:rsidR="00DE6B1A" w:rsidRPr="00AB6F27">
        <w:t xml:space="preserve"> key</w:t>
      </w:r>
      <w:r w:rsidRPr="00AB6F27">
        <w:t xml:space="preserve"> data sources, parameters and assumptions used to estimate the financial impact of listing pembrolizumab for 1L </w:t>
      </w:r>
      <w:r w:rsidR="005A40A9">
        <w:t xml:space="preserve">dMMR </w:t>
      </w:r>
      <w:r w:rsidRPr="00AB6F27">
        <w:t xml:space="preserve">EC </w:t>
      </w:r>
      <w:r w:rsidR="005A40A9">
        <w:t>are</w:t>
      </w:r>
      <w:r w:rsidRPr="00AB6F27">
        <w:t xml:space="preserve"> summarised in</w:t>
      </w:r>
      <w:r w:rsidR="007C5974" w:rsidRPr="00AB6F27">
        <w:t xml:space="preserve"> </w:t>
      </w:r>
      <w:r w:rsidR="007C5974" w:rsidRPr="00AB6F27">
        <w:fldChar w:fldCharType="begin"/>
      </w:r>
      <w:r w:rsidR="007C5974" w:rsidRPr="00AB6F27">
        <w:instrText xml:space="preserve"> REF _Ref196487816 \h </w:instrText>
      </w:r>
      <w:r w:rsidR="00AB6F27" w:rsidRPr="00AB6F27">
        <w:instrText xml:space="preserve"> \* MERGEFORMAT </w:instrText>
      </w:r>
      <w:r w:rsidR="007C5974" w:rsidRPr="00AB6F27">
        <w:fldChar w:fldCharType="separate"/>
      </w:r>
      <w:r w:rsidR="003359D3" w:rsidRPr="00AB6F27">
        <w:t xml:space="preserve">Table </w:t>
      </w:r>
      <w:r w:rsidR="003359D3">
        <w:rPr>
          <w:noProof/>
        </w:rPr>
        <w:t>22</w:t>
      </w:r>
      <w:r w:rsidR="007C5974" w:rsidRPr="00AB6F27">
        <w:fldChar w:fldCharType="end"/>
      </w:r>
      <w:r w:rsidRPr="00AB6F27">
        <w:t>.</w:t>
      </w:r>
    </w:p>
    <w:p w14:paraId="1E8053CC" w14:textId="7AC6E20C" w:rsidR="00A3213F" w:rsidRPr="00AB6F27" w:rsidRDefault="007C5974" w:rsidP="007C5974">
      <w:pPr>
        <w:pStyle w:val="Caption"/>
        <w:rPr>
          <w:rStyle w:val="CommentReference"/>
          <w:b/>
          <w:szCs w:val="24"/>
        </w:rPr>
      </w:pPr>
      <w:bookmarkStart w:id="83" w:name="_Ref196487816"/>
      <w:r w:rsidRPr="00AB6F27">
        <w:t xml:space="preserve">Table </w:t>
      </w:r>
      <w:r w:rsidR="00976099" w:rsidRPr="00AB6F27">
        <w:fldChar w:fldCharType="begin"/>
      </w:r>
      <w:r w:rsidR="00976099" w:rsidRPr="00AB6F27">
        <w:instrText xml:space="preserve"> SEQ Table \* ARABIC </w:instrText>
      </w:r>
      <w:r w:rsidR="00976099" w:rsidRPr="00AB6F27">
        <w:fldChar w:fldCharType="separate"/>
      </w:r>
      <w:r w:rsidR="003359D3">
        <w:rPr>
          <w:noProof/>
        </w:rPr>
        <w:t>22</w:t>
      </w:r>
      <w:r w:rsidR="00976099" w:rsidRPr="00AB6F27">
        <w:rPr>
          <w:noProof/>
        </w:rPr>
        <w:fldChar w:fldCharType="end"/>
      </w:r>
      <w:bookmarkEnd w:id="83"/>
      <w:r w:rsidR="00A3213F" w:rsidRPr="00AB6F27">
        <w:t>:</w:t>
      </w:r>
      <w:r w:rsidR="00A3213F" w:rsidRPr="00AB6F27">
        <w:rPr>
          <w:rStyle w:val="CommentReference"/>
          <w:b/>
          <w:szCs w:val="24"/>
        </w:rPr>
        <w:t xml:space="preserve"> Key inputs for financial estimates</w:t>
      </w:r>
      <w:r w:rsidR="005A40A9">
        <w:rPr>
          <w:rStyle w:val="CommentReference"/>
          <w:b/>
          <w:szCs w:val="24"/>
        </w:rPr>
        <w:t xml:space="preserve"> (dMMR)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Key inputs for financial estimates (dMMR)"/>
      </w:tblPr>
      <w:tblGrid>
        <w:gridCol w:w="1714"/>
        <w:gridCol w:w="3714"/>
        <w:gridCol w:w="3589"/>
      </w:tblGrid>
      <w:tr w:rsidR="00A3213F" w:rsidRPr="00AB6F27" w14:paraId="7596A962" w14:textId="77777777" w:rsidTr="005A40A9">
        <w:trPr>
          <w:tblHeader/>
        </w:trPr>
        <w:tc>
          <w:tcPr>
            <w:tcW w:w="1714" w:type="dxa"/>
            <w:vAlign w:val="center"/>
          </w:tcPr>
          <w:p w14:paraId="3C1B83D0" w14:textId="77777777" w:rsidR="00A3213F" w:rsidRPr="00AB6F27" w:rsidRDefault="00A3213F" w:rsidP="007B5E49">
            <w:pPr>
              <w:pStyle w:val="In-tableHeading"/>
              <w:keepNext w:val="0"/>
              <w:jc w:val="center"/>
            </w:pPr>
            <w:r w:rsidRPr="00AB6F27">
              <w:t>Data</w:t>
            </w:r>
          </w:p>
        </w:tc>
        <w:tc>
          <w:tcPr>
            <w:tcW w:w="3714" w:type="dxa"/>
            <w:vAlign w:val="center"/>
          </w:tcPr>
          <w:p w14:paraId="069CA014" w14:textId="77777777" w:rsidR="00A3213F" w:rsidRPr="00AB6F27" w:rsidRDefault="00A3213F" w:rsidP="007B5E49">
            <w:pPr>
              <w:pStyle w:val="In-tableHeading"/>
              <w:keepNext w:val="0"/>
              <w:jc w:val="center"/>
            </w:pPr>
            <w:r w:rsidRPr="00AB6F27">
              <w:t>Value and Source</w:t>
            </w:r>
          </w:p>
        </w:tc>
        <w:tc>
          <w:tcPr>
            <w:tcW w:w="3589" w:type="dxa"/>
            <w:vAlign w:val="center"/>
          </w:tcPr>
          <w:p w14:paraId="41B5C6C1" w14:textId="237785D4" w:rsidR="00A3213F" w:rsidRPr="00AB6F27" w:rsidRDefault="00A3213F" w:rsidP="007B5E49">
            <w:pPr>
              <w:pStyle w:val="In-tableHeading"/>
              <w:keepNext w:val="0"/>
              <w:jc w:val="center"/>
            </w:pPr>
            <w:r w:rsidRPr="00AB6F27">
              <w:t>Comment</w:t>
            </w:r>
            <w:r w:rsidR="00DB14FB">
              <w:t xml:space="preserve"> from evaluation </w:t>
            </w:r>
          </w:p>
        </w:tc>
      </w:tr>
      <w:tr w:rsidR="00A3213F" w:rsidRPr="00AB6F27" w14:paraId="3646A8F2" w14:textId="77777777" w:rsidTr="005A40A9">
        <w:tc>
          <w:tcPr>
            <w:tcW w:w="9017" w:type="dxa"/>
            <w:gridSpan w:val="3"/>
            <w:vAlign w:val="center"/>
          </w:tcPr>
          <w:p w14:paraId="2FED1B8C" w14:textId="77777777" w:rsidR="00A3213F" w:rsidRPr="00AB6F27" w:rsidRDefault="00A3213F" w:rsidP="007B5E49">
            <w:pPr>
              <w:pStyle w:val="In-tableHeading"/>
              <w:keepNext w:val="0"/>
            </w:pPr>
            <w:r w:rsidRPr="00AB6F27">
              <w:t>Eligible population</w:t>
            </w:r>
          </w:p>
        </w:tc>
      </w:tr>
      <w:tr w:rsidR="00A3213F" w:rsidRPr="00AB6F27" w14:paraId="0F9DFEE4" w14:textId="77777777" w:rsidTr="005A40A9">
        <w:tc>
          <w:tcPr>
            <w:tcW w:w="1714" w:type="dxa"/>
            <w:vAlign w:val="center"/>
          </w:tcPr>
          <w:p w14:paraId="4FCC12A5" w14:textId="77777777" w:rsidR="00A3213F" w:rsidRPr="00B510A0" w:rsidRDefault="00A3213F" w:rsidP="007B5E49">
            <w:pPr>
              <w:pStyle w:val="TableText0"/>
              <w:keepNext w:val="0"/>
              <w:rPr>
                <w:lang w:val="fr-BE"/>
              </w:rPr>
            </w:pPr>
            <w:r w:rsidRPr="00B510A0">
              <w:rPr>
                <w:lang w:val="fr-BE"/>
              </w:rPr>
              <w:t xml:space="preserve">Incident </w:t>
            </w:r>
            <w:r w:rsidRPr="00B510A0">
              <w:rPr>
                <w:i/>
                <w:iCs/>
                <w:lang w:val="fr-BE"/>
              </w:rPr>
              <w:t>de novo</w:t>
            </w:r>
            <w:r w:rsidRPr="00B510A0">
              <w:rPr>
                <w:lang w:val="fr-BE"/>
              </w:rPr>
              <w:t xml:space="preserve"> EC patient pool</w:t>
            </w:r>
          </w:p>
        </w:tc>
        <w:tc>
          <w:tcPr>
            <w:tcW w:w="3714" w:type="dxa"/>
            <w:vAlign w:val="center"/>
          </w:tcPr>
          <w:p w14:paraId="250920C9" w14:textId="7E00829E" w:rsidR="00A3213F" w:rsidRPr="00AB6F27" w:rsidRDefault="00A3213F" w:rsidP="007B5E49">
            <w:pPr>
              <w:pStyle w:val="TableText0"/>
              <w:keepNext w:val="0"/>
            </w:pPr>
            <w:r w:rsidRPr="00AB6F27">
              <w:t>Yr 1</w:t>
            </w:r>
            <w:r w:rsidR="00D30702" w:rsidRPr="00AB6F27">
              <w:t xml:space="preserve"> (2025)</w:t>
            </w:r>
            <w:r w:rsidRPr="00AB6F27">
              <w:t>: 3,443</w:t>
            </w:r>
            <w:r w:rsidR="0012608A" w:rsidRPr="00AB6F27">
              <w:t xml:space="preserve"> increasing to </w:t>
            </w:r>
            <w:r w:rsidRPr="00AB6F27">
              <w:t>Yr 6</w:t>
            </w:r>
            <w:r w:rsidR="00D30702" w:rsidRPr="00AB6F27">
              <w:t xml:space="preserve"> (2030)</w:t>
            </w:r>
            <w:r w:rsidRPr="00AB6F27">
              <w:t>: 3,921</w:t>
            </w:r>
          </w:p>
          <w:p w14:paraId="6A3B75B7" w14:textId="5683DE52" w:rsidR="00A3213F" w:rsidRPr="00AB6F27" w:rsidRDefault="00A3213F" w:rsidP="007B5E49">
            <w:pPr>
              <w:pStyle w:val="TableText0"/>
              <w:keepNext w:val="0"/>
            </w:pPr>
            <w:r w:rsidRPr="00AB6F27">
              <w:t xml:space="preserve">Source: AIHW patients with Uterine Cancer (Long term Incidence Projections 2025+) Published August 2024. </w:t>
            </w:r>
            <w:r w:rsidR="0005783A" w:rsidRPr="00AB6F27">
              <w:t>Calculated by the application of 95% (proportion of uterine cancer reported as EC) to estimated uterine cancer incident.</w:t>
            </w:r>
          </w:p>
        </w:tc>
        <w:tc>
          <w:tcPr>
            <w:tcW w:w="3589" w:type="dxa"/>
            <w:vAlign w:val="center"/>
          </w:tcPr>
          <w:p w14:paraId="061FDE40" w14:textId="1ED77BED" w:rsidR="00A3213F" w:rsidRPr="00AB6F27" w:rsidRDefault="00723A90" w:rsidP="007B5E49">
            <w:pPr>
              <w:pStyle w:val="TableText0"/>
              <w:keepNext w:val="0"/>
            </w:pPr>
            <w:r>
              <w:t>The evaluation considered this was r</w:t>
            </w:r>
            <w:r w:rsidR="00A3213F" w:rsidRPr="00AB6F27">
              <w:t xml:space="preserve">easonable. The method was different to the dostarlimab submission which applied a 3% growth rate to 2019-2022 AIHW incidence (Table 20, dostarlimab PSD, November 2023 PBAC meeting).  </w:t>
            </w:r>
          </w:p>
        </w:tc>
      </w:tr>
      <w:tr w:rsidR="00A3213F" w:rsidRPr="00AB6F27" w14:paraId="6684E448" w14:textId="77777777" w:rsidTr="005A40A9">
        <w:tc>
          <w:tcPr>
            <w:tcW w:w="1714" w:type="dxa"/>
            <w:vAlign w:val="center"/>
          </w:tcPr>
          <w:p w14:paraId="28091533" w14:textId="77777777" w:rsidR="00A3213F" w:rsidRPr="00AB6F27" w:rsidRDefault="00A3213F" w:rsidP="007B5E49">
            <w:pPr>
              <w:pStyle w:val="TableText0"/>
              <w:keepNext w:val="0"/>
            </w:pPr>
            <w:r w:rsidRPr="00AB6F27">
              <w:t>Stage III not for curative intent &amp;</w:t>
            </w:r>
          </w:p>
          <w:p w14:paraId="7F7F0BA8" w14:textId="77777777" w:rsidR="00A3213F" w:rsidRPr="00B510A0" w:rsidRDefault="00A3213F" w:rsidP="007B5E49">
            <w:pPr>
              <w:pStyle w:val="TableText0"/>
              <w:keepNext w:val="0"/>
              <w:rPr>
                <w:lang w:val="pt-BR"/>
              </w:rPr>
            </w:pPr>
            <w:r w:rsidRPr="00B510A0">
              <w:rPr>
                <w:lang w:val="pt-BR"/>
              </w:rPr>
              <w:t>Stage IV de novo metastatic</w:t>
            </w:r>
          </w:p>
        </w:tc>
        <w:tc>
          <w:tcPr>
            <w:tcW w:w="3714" w:type="dxa"/>
            <w:vAlign w:val="center"/>
          </w:tcPr>
          <w:p w14:paraId="47EF2CD5" w14:textId="77777777" w:rsidR="00A3213F" w:rsidRPr="00AB6F27" w:rsidRDefault="00A3213F" w:rsidP="007B5E49">
            <w:pPr>
              <w:pStyle w:val="TableText0"/>
              <w:keepNext w:val="0"/>
            </w:pPr>
            <w:r w:rsidRPr="00AB6F27">
              <w:t>10%</w:t>
            </w:r>
          </w:p>
          <w:p w14:paraId="3D97CA82" w14:textId="77777777" w:rsidR="00A3213F" w:rsidRPr="00AB6F27" w:rsidRDefault="00A3213F" w:rsidP="007B5E49">
            <w:pPr>
              <w:pStyle w:val="TableText0"/>
              <w:keepNext w:val="0"/>
            </w:pPr>
            <w:r w:rsidRPr="00AB6F27">
              <w:t xml:space="preserve">Source: SEER 2024 database and clinician feedback. </w:t>
            </w:r>
          </w:p>
        </w:tc>
        <w:tc>
          <w:tcPr>
            <w:tcW w:w="3589" w:type="dxa"/>
            <w:vAlign w:val="center"/>
          </w:tcPr>
          <w:p w14:paraId="0340C2FC" w14:textId="66BD3F29" w:rsidR="00A3213F" w:rsidRPr="00AB6F27" w:rsidRDefault="00DD3DD0" w:rsidP="007B5E49">
            <w:pPr>
              <w:pStyle w:val="TableText0"/>
              <w:keepNext w:val="0"/>
            </w:pPr>
            <w:r>
              <w:t>The evaluation considered this was r</w:t>
            </w:r>
            <w:r w:rsidRPr="00AB6F27">
              <w:t xml:space="preserve">easonable. </w:t>
            </w:r>
            <w:r w:rsidR="00A3213F" w:rsidRPr="00AB6F27">
              <w:t xml:space="preserve">Previously used in 2L PEM+LEN (Table 15, pembrolizumab PSD, March 2022 PBAC meeting) and consistent with dostarlimab </w:t>
            </w:r>
            <w:r w:rsidR="008348B4" w:rsidRPr="00AB6F27">
              <w:t xml:space="preserve">dMMR </w:t>
            </w:r>
            <w:r w:rsidR="00A3213F" w:rsidRPr="00AB6F27">
              <w:t xml:space="preserve">estimates (Table 20, dostarlimab PSD, November 2023 PBAC meeting).  </w:t>
            </w:r>
          </w:p>
        </w:tc>
      </w:tr>
      <w:tr w:rsidR="00A3213F" w:rsidRPr="00AB6F27" w14:paraId="3C723440" w14:textId="77777777" w:rsidTr="005A40A9">
        <w:tc>
          <w:tcPr>
            <w:tcW w:w="1714" w:type="dxa"/>
            <w:vAlign w:val="center"/>
          </w:tcPr>
          <w:p w14:paraId="13369AD8" w14:textId="77777777" w:rsidR="00A3213F" w:rsidRPr="00AB6F27" w:rsidRDefault="00A3213F" w:rsidP="007B5E49">
            <w:pPr>
              <w:pStyle w:val="TableText0"/>
              <w:keepNext w:val="0"/>
            </w:pPr>
            <w:r w:rsidRPr="00AB6F27">
              <w:t>Patients eligible to receive 1L platinum-based chemotherapy</w:t>
            </w:r>
          </w:p>
        </w:tc>
        <w:tc>
          <w:tcPr>
            <w:tcW w:w="3714" w:type="dxa"/>
            <w:vAlign w:val="center"/>
          </w:tcPr>
          <w:p w14:paraId="30DEFE2D" w14:textId="77777777" w:rsidR="00A3213F" w:rsidRPr="00AB6F27" w:rsidRDefault="00A3213F" w:rsidP="007B5E49">
            <w:pPr>
              <w:pStyle w:val="TableText0"/>
              <w:keepNext w:val="0"/>
            </w:pPr>
            <w:r w:rsidRPr="00AB6F27">
              <w:t>90%</w:t>
            </w:r>
          </w:p>
          <w:p w14:paraId="75C9D68B" w14:textId="77777777" w:rsidR="00A3213F" w:rsidRPr="00AB6F27" w:rsidRDefault="00A3213F" w:rsidP="007B5E49">
            <w:pPr>
              <w:pStyle w:val="TableText0"/>
              <w:keepNext w:val="0"/>
            </w:pPr>
            <w:r w:rsidRPr="00AB6F27">
              <w:t>Source: Assumption</w:t>
            </w:r>
          </w:p>
        </w:tc>
        <w:tc>
          <w:tcPr>
            <w:tcW w:w="3589" w:type="dxa"/>
            <w:vMerge w:val="restart"/>
            <w:vAlign w:val="center"/>
          </w:tcPr>
          <w:p w14:paraId="69DC1DDA" w14:textId="571D2E69" w:rsidR="00A3213F" w:rsidRPr="00497260" w:rsidRDefault="00F37297" w:rsidP="007B5E49">
            <w:pPr>
              <w:pStyle w:val="TableText0"/>
              <w:keepNext w:val="0"/>
            </w:pPr>
            <w:r w:rsidRPr="00497260">
              <w:t>The evaluation noted that, f</w:t>
            </w:r>
            <w:r w:rsidR="00A3213F" w:rsidRPr="00497260">
              <w:t>or dostarlimab</w:t>
            </w:r>
            <w:r w:rsidR="004964C0" w:rsidRPr="00497260">
              <w:t>,</w:t>
            </w:r>
            <w:r w:rsidR="00A3213F" w:rsidRPr="00497260">
              <w:t xml:space="preserve"> the PBAC </w:t>
            </w:r>
            <w:r w:rsidRPr="00497260">
              <w:t xml:space="preserve">had previously </w:t>
            </w:r>
            <w:r w:rsidR="00A3213F" w:rsidRPr="00497260">
              <w:t>considered that the proportion of patients with ECOG 0-1 and expected to receive 1L PBC of 72% (80% x 90%) was reasonable. (Table 20, dostarlimab PSD, November 2023).</w:t>
            </w:r>
            <w:r w:rsidRPr="00497260">
              <w:t xml:space="preserve"> The PSCR updated this parameter to 80%, consistent with the value previously accepted by the PBAC for dostarlimab.</w:t>
            </w:r>
          </w:p>
        </w:tc>
      </w:tr>
      <w:tr w:rsidR="00A3213F" w:rsidRPr="00AB6F27" w14:paraId="7C28E187" w14:textId="77777777" w:rsidTr="005A40A9">
        <w:tc>
          <w:tcPr>
            <w:tcW w:w="1714" w:type="dxa"/>
            <w:vAlign w:val="center"/>
          </w:tcPr>
          <w:p w14:paraId="044B3EFD" w14:textId="77777777" w:rsidR="00A3213F" w:rsidRPr="00AB6F27" w:rsidRDefault="00A3213F" w:rsidP="007B5E49">
            <w:pPr>
              <w:pStyle w:val="TableText0"/>
              <w:keepNext w:val="0"/>
            </w:pPr>
            <w:r w:rsidRPr="00AB6F27">
              <w:t>ECOG 0-2</w:t>
            </w:r>
          </w:p>
        </w:tc>
        <w:tc>
          <w:tcPr>
            <w:tcW w:w="3714" w:type="dxa"/>
            <w:vAlign w:val="center"/>
          </w:tcPr>
          <w:p w14:paraId="55BC2B2D" w14:textId="77777777" w:rsidR="00A3213F" w:rsidRPr="00AB6F27" w:rsidRDefault="00A3213F" w:rsidP="007B5E49">
            <w:pPr>
              <w:pStyle w:val="TableText0"/>
              <w:keepNext w:val="0"/>
            </w:pPr>
            <w:r w:rsidRPr="00AB6F27">
              <w:t>95%</w:t>
            </w:r>
          </w:p>
          <w:p w14:paraId="2ED15130" w14:textId="77777777" w:rsidR="00A3213F" w:rsidRPr="00497260" w:rsidRDefault="00A3213F" w:rsidP="007B5E49">
            <w:pPr>
              <w:pStyle w:val="TableText0"/>
              <w:keepNext w:val="0"/>
            </w:pPr>
            <w:r w:rsidRPr="00AB6F27">
              <w:t xml:space="preserve">Source: </w:t>
            </w:r>
            <w:r w:rsidRPr="00497260">
              <w:t xml:space="preserve">Huepenbecker 2024 (this value could not be independently verified </w:t>
            </w:r>
            <w:r w:rsidRPr="00497260">
              <w:rPr>
                <w:vertAlign w:val="superscript"/>
              </w:rPr>
              <w:t>a</w:t>
            </w:r>
            <w:r w:rsidRPr="00497260">
              <w:t>)</w:t>
            </w:r>
          </w:p>
          <w:p w14:paraId="005A99EE" w14:textId="6D939BD3" w:rsidR="00A3213F" w:rsidRPr="00AB6F27" w:rsidRDefault="00F37297" w:rsidP="00F37297">
            <w:pPr>
              <w:pStyle w:val="TableText0"/>
              <w:keepNext w:val="0"/>
            </w:pPr>
            <w:r w:rsidRPr="00497260">
              <w:t>Updated to 80% in the PSCR.</w:t>
            </w:r>
            <w:r w:rsidR="00A3213F" w:rsidRPr="00AB6F27">
              <w:t xml:space="preserve"> </w:t>
            </w:r>
          </w:p>
        </w:tc>
        <w:tc>
          <w:tcPr>
            <w:tcW w:w="3589" w:type="dxa"/>
            <w:vMerge/>
            <w:vAlign w:val="center"/>
          </w:tcPr>
          <w:p w14:paraId="2ECFFCFA" w14:textId="77777777" w:rsidR="00A3213F" w:rsidRPr="00AB6F27" w:rsidRDefault="00A3213F" w:rsidP="007B5E49">
            <w:pPr>
              <w:pStyle w:val="TableText0"/>
              <w:keepNext w:val="0"/>
            </w:pPr>
          </w:p>
        </w:tc>
      </w:tr>
      <w:tr w:rsidR="00A3213F" w:rsidRPr="00AB6F27" w14:paraId="1304ED2D" w14:textId="77777777" w:rsidTr="005A40A9">
        <w:tc>
          <w:tcPr>
            <w:tcW w:w="1714" w:type="dxa"/>
            <w:vAlign w:val="center"/>
          </w:tcPr>
          <w:p w14:paraId="4760F70C" w14:textId="6935E3A9" w:rsidR="00A3213F" w:rsidRPr="00AB6F27" w:rsidRDefault="00A3213F" w:rsidP="007B5E49">
            <w:pPr>
              <w:pStyle w:val="TableText0"/>
              <w:keepNext w:val="0"/>
            </w:pPr>
            <w:r w:rsidRPr="00AB6F27">
              <w:t>dMMR</w:t>
            </w:r>
            <w:r w:rsidR="0012608A" w:rsidRPr="00AB6F27">
              <w:t>/pMMR proportion</w:t>
            </w:r>
          </w:p>
        </w:tc>
        <w:tc>
          <w:tcPr>
            <w:tcW w:w="3714" w:type="dxa"/>
            <w:vAlign w:val="center"/>
          </w:tcPr>
          <w:p w14:paraId="699D9742" w14:textId="2AC8C5BD" w:rsidR="00A3213F" w:rsidRPr="00AB6F27" w:rsidRDefault="0012608A" w:rsidP="007B5E49">
            <w:pPr>
              <w:pStyle w:val="TableText0"/>
              <w:keepNext w:val="0"/>
            </w:pPr>
            <w:r w:rsidRPr="00AB6F27">
              <w:t xml:space="preserve">dMMR: </w:t>
            </w:r>
            <w:r w:rsidR="00A3213F" w:rsidRPr="00AB6F27">
              <w:t>27%</w:t>
            </w:r>
            <w:r w:rsidRPr="00AB6F27">
              <w:t xml:space="preserve"> </w:t>
            </w:r>
            <w:r w:rsidR="00A3213F" w:rsidRPr="00AB6F27">
              <w:t>Source: Gupta 2021</w:t>
            </w:r>
          </w:p>
          <w:p w14:paraId="05DB3AF6" w14:textId="0F2C2747" w:rsidR="0012608A" w:rsidRPr="00AB6F27" w:rsidRDefault="0012608A" w:rsidP="007B5E49">
            <w:pPr>
              <w:pStyle w:val="TableText0"/>
              <w:keepNext w:val="0"/>
            </w:pPr>
            <w:r w:rsidRPr="00AB6F27">
              <w:t>pMMR: 73% (complement of dMMR)</w:t>
            </w:r>
          </w:p>
        </w:tc>
        <w:tc>
          <w:tcPr>
            <w:tcW w:w="3589" w:type="dxa"/>
            <w:vAlign w:val="center"/>
          </w:tcPr>
          <w:p w14:paraId="4671B3A0" w14:textId="629F41C8" w:rsidR="00A3213F" w:rsidRPr="00AB6F27" w:rsidRDefault="00A3213F" w:rsidP="007B5E49">
            <w:pPr>
              <w:pStyle w:val="TableText0"/>
              <w:keepNext w:val="0"/>
            </w:pPr>
            <w:r w:rsidRPr="00AB6F27">
              <w:t xml:space="preserve">DUSC </w:t>
            </w:r>
            <w:r w:rsidR="00F5511F">
              <w:t xml:space="preserve">previously </w:t>
            </w:r>
            <w:r w:rsidRPr="00AB6F27">
              <w:t>considered this may be reasonable (Table 14, dostarlimab PSD, March 2022 PBAC meeting).</w:t>
            </w:r>
          </w:p>
        </w:tc>
      </w:tr>
      <w:tr w:rsidR="00A3213F" w:rsidRPr="00AB6F27" w14:paraId="0BEF9566" w14:textId="77777777" w:rsidTr="005A40A9">
        <w:tc>
          <w:tcPr>
            <w:tcW w:w="1714" w:type="dxa"/>
            <w:vAlign w:val="center"/>
          </w:tcPr>
          <w:p w14:paraId="0E98CACB" w14:textId="77777777" w:rsidR="00A3213F" w:rsidRPr="00AB6F27" w:rsidRDefault="00A3213F" w:rsidP="007B5E49">
            <w:pPr>
              <w:pStyle w:val="TableText0"/>
              <w:keepNext w:val="0"/>
            </w:pPr>
            <w:r w:rsidRPr="00AB6F27">
              <w:t>Recurrence within 2 yrs of diagnosis</w:t>
            </w:r>
          </w:p>
        </w:tc>
        <w:tc>
          <w:tcPr>
            <w:tcW w:w="3714" w:type="dxa"/>
            <w:vAlign w:val="center"/>
          </w:tcPr>
          <w:p w14:paraId="16A8900F" w14:textId="77777777" w:rsidR="00A3213F" w:rsidRPr="00AB6F27" w:rsidRDefault="00A3213F" w:rsidP="007B5E49">
            <w:pPr>
              <w:pStyle w:val="TableText0"/>
              <w:keepNext w:val="0"/>
            </w:pPr>
            <w:r w:rsidRPr="00AB6F27">
              <w:t>22% (Combined Stage I/II and resectable Stage III)</w:t>
            </w:r>
          </w:p>
          <w:p w14:paraId="5BAB5FC5" w14:textId="77777777" w:rsidR="00A3213F" w:rsidRPr="00AB6F27" w:rsidRDefault="00A3213F" w:rsidP="007B5E49">
            <w:pPr>
              <w:pStyle w:val="TableText0"/>
              <w:keepNext w:val="0"/>
            </w:pPr>
            <w:r w:rsidRPr="00AB6F27">
              <w:t>Source: Vizza 2020</w:t>
            </w:r>
          </w:p>
          <w:p w14:paraId="5885FDFA" w14:textId="77777777" w:rsidR="00A3213F" w:rsidRPr="00AB6F27" w:rsidRDefault="00A3213F" w:rsidP="007B5E49">
            <w:pPr>
              <w:pStyle w:val="TableText0"/>
              <w:keepNext w:val="0"/>
            </w:pPr>
            <w:r w:rsidRPr="00AB6F27">
              <w:lastRenderedPageBreak/>
              <w:t xml:space="preserve">This value could not be independently verified. Vizza 2020 reported a recurrence rate of 19.5% for Grade IA – IIIB tumours. The </w:t>
            </w:r>
            <w:proofErr w:type="gramStart"/>
            <w:r w:rsidRPr="00AB6F27">
              <w:t>time period</w:t>
            </w:r>
            <w:proofErr w:type="gramEnd"/>
            <w:r w:rsidRPr="00AB6F27">
              <w:t xml:space="preserve"> for this recurrence rate is also not specified (i.e. may include recurrences beyond 2 years). </w:t>
            </w:r>
          </w:p>
        </w:tc>
        <w:tc>
          <w:tcPr>
            <w:tcW w:w="3589" w:type="dxa"/>
            <w:vAlign w:val="center"/>
          </w:tcPr>
          <w:p w14:paraId="276D51DD" w14:textId="77777777" w:rsidR="00A3213F" w:rsidRPr="00AB6F27" w:rsidRDefault="00A3213F" w:rsidP="007B5E49">
            <w:pPr>
              <w:pStyle w:val="TableText0"/>
              <w:keepNext w:val="0"/>
            </w:pPr>
            <w:r w:rsidRPr="00AB6F27">
              <w:lastRenderedPageBreak/>
              <w:t>A recurrent rate of 19.5% (Vizza 2020) was used in 2L PEM+LEN (Table 15, pembrolizumab PSD, March 2022 PBAC Meeting).</w:t>
            </w:r>
          </w:p>
          <w:p w14:paraId="27EA504C" w14:textId="77777777" w:rsidR="00A3213F" w:rsidRPr="00AB6F27" w:rsidRDefault="00A3213F" w:rsidP="007B5E49">
            <w:pPr>
              <w:pStyle w:val="TableText0"/>
              <w:keepNext w:val="0"/>
            </w:pPr>
          </w:p>
          <w:p w14:paraId="6317323F" w14:textId="3C8CA2F9" w:rsidR="00A3213F" w:rsidRPr="00AB6F27" w:rsidRDefault="00A3213F" w:rsidP="007B5E49">
            <w:pPr>
              <w:pStyle w:val="TableText0"/>
            </w:pPr>
            <w:r w:rsidRPr="00AB6F27">
              <w:t xml:space="preserve">The rate of first recurrence in the dostarlimab </w:t>
            </w:r>
            <w:r w:rsidR="008348B4" w:rsidRPr="00AB6F27">
              <w:t xml:space="preserve">dMMR </w:t>
            </w:r>
            <w:r w:rsidRPr="00AB6F27">
              <w:t xml:space="preserve">submission was 13% for Stage I/II and 36% for Stage III curative. The PBAC </w:t>
            </w:r>
            <w:r w:rsidR="005B1C79">
              <w:t xml:space="preserve">previously </w:t>
            </w:r>
            <w:r w:rsidRPr="00AB6F27">
              <w:t xml:space="preserve">considered a 30% recurrence rate for stage III patients would be appropriate (Table 20, dostarlimab PSD, November 2023 PBAC Meeting). </w:t>
            </w:r>
          </w:p>
        </w:tc>
      </w:tr>
      <w:tr w:rsidR="00A3213F" w:rsidRPr="00AB6F27" w14:paraId="003E4FF0" w14:textId="77777777" w:rsidTr="005A40A9">
        <w:tc>
          <w:tcPr>
            <w:tcW w:w="1714" w:type="dxa"/>
            <w:vAlign w:val="center"/>
          </w:tcPr>
          <w:p w14:paraId="01431CDC" w14:textId="77777777" w:rsidR="00A3213F" w:rsidRPr="00AB6F27" w:rsidRDefault="00A3213F" w:rsidP="007B5E49">
            <w:pPr>
              <w:pStyle w:val="TableText0"/>
              <w:keepNext w:val="0"/>
            </w:pPr>
            <w:r w:rsidRPr="00AB6F27">
              <w:lastRenderedPageBreak/>
              <w:t>Proportion with distant recurrence</w:t>
            </w:r>
          </w:p>
        </w:tc>
        <w:tc>
          <w:tcPr>
            <w:tcW w:w="3714" w:type="dxa"/>
            <w:vAlign w:val="center"/>
          </w:tcPr>
          <w:p w14:paraId="06B6DD3F" w14:textId="77777777" w:rsidR="00A3213F" w:rsidRPr="00B510A0" w:rsidRDefault="00A3213F" w:rsidP="007B5E49">
            <w:pPr>
              <w:pStyle w:val="TableText0"/>
              <w:keepNext w:val="0"/>
              <w:rPr>
                <w:lang w:val="fr-BE"/>
              </w:rPr>
            </w:pPr>
            <w:r w:rsidRPr="00B510A0">
              <w:rPr>
                <w:lang w:val="fr-BE"/>
              </w:rPr>
              <w:t>64%</w:t>
            </w:r>
          </w:p>
          <w:p w14:paraId="30526BA4" w14:textId="77777777" w:rsidR="00A3213F" w:rsidRPr="00B510A0" w:rsidRDefault="00A3213F" w:rsidP="007B5E49">
            <w:pPr>
              <w:pStyle w:val="TableText0"/>
              <w:keepNext w:val="0"/>
              <w:rPr>
                <w:lang w:val="fr-BE"/>
              </w:rPr>
            </w:pPr>
            <w:r w:rsidRPr="00B510A0">
              <w:rPr>
                <w:lang w:val="fr-BE"/>
              </w:rPr>
              <w:t xml:space="preserve">Source: </w:t>
            </w:r>
            <w:proofErr w:type="spellStart"/>
            <w:r w:rsidRPr="00B510A0">
              <w:rPr>
                <w:lang w:val="fr-BE"/>
              </w:rPr>
              <w:t>Vizza</w:t>
            </w:r>
            <w:proofErr w:type="spellEnd"/>
            <w:r w:rsidRPr="00B510A0">
              <w:rPr>
                <w:lang w:val="fr-BE"/>
              </w:rPr>
              <w:t xml:space="preserve"> 2020</w:t>
            </w:r>
          </w:p>
          <w:p w14:paraId="64F848EE" w14:textId="77777777" w:rsidR="00A3213F" w:rsidRPr="00B510A0" w:rsidRDefault="00A3213F" w:rsidP="007B5E49">
            <w:pPr>
              <w:pStyle w:val="TableText0"/>
              <w:keepNext w:val="0"/>
              <w:rPr>
                <w:lang w:val="fr-BE"/>
              </w:rPr>
            </w:pPr>
            <w:r w:rsidRPr="00B510A0">
              <w:rPr>
                <w:lang w:val="fr-BE"/>
              </w:rPr>
              <w:t xml:space="preserve">Total </w:t>
            </w:r>
            <w:proofErr w:type="spellStart"/>
            <w:r w:rsidRPr="00B510A0">
              <w:rPr>
                <w:lang w:val="fr-BE"/>
              </w:rPr>
              <w:t>recurrence</w:t>
            </w:r>
            <w:proofErr w:type="spellEnd"/>
            <w:r w:rsidRPr="00B510A0">
              <w:rPr>
                <w:lang w:val="fr-BE"/>
              </w:rPr>
              <w:t xml:space="preserve"> proportion = 14.08% (64%*22%)</w:t>
            </w:r>
          </w:p>
        </w:tc>
        <w:tc>
          <w:tcPr>
            <w:tcW w:w="3589" w:type="dxa"/>
            <w:vAlign w:val="center"/>
          </w:tcPr>
          <w:p w14:paraId="2412CC8F" w14:textId="77777777" w:rsidR="00A3213F" w:rsidRPr="00AB6F27" w:rsidRDefault="00A3213F" w:rsidP="007B5E49">
            <w:pPr>
              <w:pStyle w:val="TableText0"/>
              <w:keepNext w:val="0"/>
            </w:pPr>
            <w:r w:rsidRPr="00AB6F27">
              <w:t xml:space="preserve">DUSC has previously considered for PEM+LEN that this proportion was likely underestimated as patients would be eligible for treatment if they were not suitable for curative treatment, rather than only if they had distant recurrence (Table 15 pembrolizumab PSD, March 2022). </w:t>
            </w:r>
          </w:p>
        </w:tc>
      </w:tr>
      <w:tr w:rsidR="00A3213F" w:rsidRPr="00AB6F27" w14:paraId="554F6B73" w14:textId="77777777" w:rsidTr="005A40A9">
        <w:tc>
          <w:tcPr>
            <w:tcW w:w="9017" w:type="dxa"/>
            <w:gridSpan w:val="3"/>
            <w:vAlign w:val="center"/>
          </w:tcPr>
          <w:p w14:paraId="718D5053" w14:textId="77777777" w:rsidR="00A3213F" w:rsidRPr="00AB6F27" w:rsidRDefault="00A3213F" w:rsidP="007B5E49">
            <w:pPr>
              <w:pStyle w:val="TableText0"/>
              <w:keepNext w:val="0"/>
              <w:rPr>
                <w:b/>
              </w:rPr>
            </w:pPr>
            <w:r w:rsidRPr="00AB6F27">
              <w:rPr>
                <w:b/>
              </w:rPr>
              <w:t>Treatment utilisation</w:t>
            </w:r>
          </w:p>
        </w:tc>
      </w:tr>
      <w:tr w:rsidR="00A3213F" w:rsidRPr="00AB6F27" w14:paraId="7815235D" w14:textId="77777777" w:rsidTr="005A40A9">
        <w:tc>
          <w:tcPr>
            <w:tcW w:w="1714" w:type="dxa"/>
            <w:vAlign w:val="center"/>
          </w:tcPr>
          <w:p w14:paraId="62DA0732" w14:textId="77777777" w:rsidR="00A3213F" w:rsidRPr="006D1081" w:rsidRDefault="00A3213F" w:rsidP="007B5E49">
            <w:pPr>
              <w:pStyle w:val="TableText0"/>
              <w:keepNext w:val="0"/>
            </w:pPr>
            <w:r w:rsidRPr="006D1081">
              <w:t>Uptake rate</w:t>
            </w:r>
          </w:p>
        </w:tc>
        <w:tc>
          <w:tcPr>
            <w:tcW w:w="3714" w:type="dxa"/>
            <w:vAlign w:val="center"/>
          </w:tcPr>
          <w:p w14:paraId="615302FF" w14:textId="77777777" w:rsidR="00A3213F" w:rsidRPr="006D1081" w:rsidRDefault="00A3213F" w:rsidP="007B5E49">
            <w:pPr>
              <w:pStyle w:val="TableText0"/>
              <w:keepNext w:val="0"/>
            </w:pPr>
            <w:r w:rsidRPr="006D1081">
              <w:t>95% for the incident population</w:t>
            </w:r>
          </w:p>
          <w:p w14:paraId="753C4413" w14:textId="66B7D8FE" w:rsidR="00A3213F" w:rsidRPr="006D1081" w:rsidRDefault="00A3213F" w:rsidP="007B5E49">
            <w:pPr>
              <w:pStyle w:val="TableText0"/>
              <w:keepNext w:val="0"/>
            </w:pPr>
            <w:r w:rsidRPr="006D1081">
              <w:t>Source: Assumption</w:t>
            </w:r>
          </w:p>
        </w:tc>
        <w:tc>
          <w:tcPr>
            <w:tcW w:w="3589" w:type="dxa"/>
            <w:vAlign w:val="center"/>
          </w:tcPr>
          <w:p w14:paraId="2E47159E" w14:textId="0674F9F9" w:rsidR="00A3213F" w:rsidRPr="00AB6F27" w:rsidRDefault="00A3213F" w:rsidP="00397DFB">
            <w:pPr>
              <w:pStyle w:val="TableText0"/>
              <w:keepNext w:val="0"/>
            </w:pPr>
            <w:r w:rsidRPr="00AB6F27">
              <w:t>DUSC</w:t>
            </w:r>
            <w:r w:rsidR="00CB5D9C">
              <w:t xml:space="preserve"> previously</w:t>
            </w:r>
            <w:r w:rsidRPr="00AB6F27">
              <w:t xml:space="preserve"> considered 95% was reasonable for 2L PEM + LEN (Table 15, pembrolizumab PSD, March 2022).</w:t>
            </w:r>
            <w:r w:rsidR="00397DFB" w:rsidRPr="00AB6F27">
              <w:t xml:space="preserve"> </w:t>
            </w:r>
          </w:p>
        </w:tc>
      </w:tr>
      <w:tr w:rsidR="00241D37" w:rsidRPr="00AB6F27" w14:paraId="79BFF21D" w14:textId="77777777" w:rsidTr="005A40A9">
        <w:tc>
          <w:tcPr>
            <w:tcW w:w="1714" w:type="dxa"/>
            <w:vAlign w:val="center"/>
          </w:tcPr>
          <w:p w14:paraId="5259B147" w14:textId="4FF08076" w:rsidR="00241D37" w:rsidRPr="00AB6F27" w:rsidRDefault="00241D37" w:rsidP="00241D37">
            <w:pPr>
              <w:pStyle w:val="TableText0"/>
              <w:keepNext w:val="0"/>
            </w:pPr>
            <w:r w:rsidRPr="00AB6F27">
              <w:t>Treatment duration</w:t>
            </w:r>
          </w:p>
        </w:tc>
        <w:tc>
          <w:tcPr>
            <w:tcW w:w="3714" w:type="dxa"/>
            <w:vAlign w:val="center"/>
          </w:tcPr>
          <w:p w14:paraId="587D0D20" w14:textId="77777777" w:rsidR="00241D37" w:rsidRPr="00AB6F27" w:rsidRDefault="00241D37" w:rsidP="00241D37">
            <w:pPr>
              <w:pStyle w:val="TableText0"/>
              <w:keepNext w:val="0"/>
            </w:pPr>
            <w:r w:rsidRPr="00AB6F27">
              <w:t>dMMR: 62.57 weeks (18 weeks initiation; 44.57 weeks continuing)</w:t>
            </w:r>
          </w:p>
          <w:p w14:paraId="55F2C7DC" w14:textId="48720A02" w:rsidR="00241D37" w:rsidRPr="00AB6F27" w:rsidRDefault="00241D37" w:rsidP="00241D37">
            <w:pPr>
              <w:pStyle w:val="TableText0"/>
              <w:keepNext w:val="0"/>
            </w:pPr>
            <w:r w:rsidRPr="00AB6F27">
              <w:t xml:space="preserve">Source: Estimated time on treatment from NRG-GY018 using </w:t>
            </w:r>
            <w:r w:rsidR="00252505" w:rsidRPr="00AB6F27">
              <w:t>product-limit (Kaplan-Meier) method</w:t>
            </w:r>
            <w:r w:rsidRPr="00AB6F27">
              <w:t xml:space="preserve">. </w:t>
            </w:r>
          </w:p>
        </w:tc>
        <w:tc>
          <w:tcPr>
            <w:tcW w:w="3589" w:type="dxa"/>
            <w:vAlign w:val="center"/>
          </w:tcPr>
          <w:p w14:paraId="5DEA1F4F" w14:textId="5AD75C0D" w:rsidR="00241D37" w:rsidRPr="00497260" w:rsidRDefault="00241D37" w:rsidP="004964C0">
            <w:pPr>
              <w:pStyle w:val="TableText0"/>
              <w:keepNext w:val="0"/>
            </w:pPr>
            <w:r w:rsidRPr="00497260">
              <w:t xml:space="preserve">The applied </w:t>
            </w:r>
            <w:r w:rsidR="00252505" w:rsidRPr="00497260">
              <w:t xml:space="preserve">product-limit (Kaplan-Meier) method estimated </w:t>
            </w:r>
            <w:r w:rsidRPr="00497260">
              <w:t xml:space="preserve">mean time on treatment was longer than the reported duration on therapy for the EUR, which appeared to be due to </w:t>
            </w:r>
            <w:r w:rsidR="00834C1F" w:rsidRPr="00497260">
              <w:t xml:space="preserve">differences in approach for handling </w:t>
            </w:r>
            <w:r w:rsidRPr="00497260">
              <w:t>censor</w:t>
            </w:r>
            <w:r w:rsidR="00834C1F" w:rsidRPr="00497260">
              <w:t>ed data.</w:t>
            </w:r>
            <w:r w:rsidR="00D22C29" w:rsidRPr="00497260">
              <w:t xml:space="preserve"> The ESC considered the average treatment duration in the financial estimates should be consistent with that accepted for dostarlimab in dMMR for consistency with the </w:t>
            </w:r>
            <w:r w:rsidR="00E27E74">
              <w:t>CMA</w:t>
            </w:r>
            <w:r w:rsidR="00D22C29" w:rsidRPr="00497260">
              <w:t xml:space="preserve"> methodology</w:t>
            </w:r>
            <w:r w:rsidR="00E27E74">
              <w:t xml:space="preserve"> used in the submission</w:t>
            </w:r>
            <w:r w:rsidR="00D22C29" w:rsidRPr="00497260">
              <w:t>.</w:t>
            </w:r>
          </w:p>
        </w:tc>
      </w:tr>
      <w:tr w:rsidR="00241D37" w:rsidRPr="00AB6F27" w14:paraId="560DFF67" w14:textId="77777777" w:rsidTr="005A40A9">
        <w:tc>
          <w:tcPr>
            <w:tcW w:w="1714" w:type="dxa"/>
            <w:vAlign w:val="center"/>
          </w:tcPr>
          <w:p w14:paraId="60A29388" w14:textId="77777777" w:rsidR="00241D37" w:rsidRPr="00AB6F27" w:rsidRDefault="00241D37" w:rsidP="00241D37">
            <w:pPr>
              <w:pStyle w:val="TableText0"/>
              <w:keepNext w:val="0"/>
            </w:pPr>
            <w:r w:rsidRPr="00AB6F27">
              <w:t>Patients eligible for 2L immunotherapy</w:t>
            </w:r>
          </w:p>
        </w:tc>
        <w:tc>
          <w:tcPr>
            <w:tcW w:w="3714" w:type="dxa"/>
            <w:vAlign w:val="center"/>
          </w:tcPr>
          <w:p w14:paraId="5802A850" w14:textId="77777777" w:rsidR="00241D37" w:rsidRPr="00AB6F27" w:rsidRDefault="00241D37" w:rsidP="00241D37">
            <w:pPr>
              <w:pStyle w:val="TableText0"/>
              <w:keepNext w:val="0"/>
            </w:pPr>
            <w:r w:rsidRPr="00AB6F27">
              <w:t>49%</w:t>
            </w:r>
          </w:p>
          <w:p w14:paraId="78FFF214" w14:textId="77777777" w:rsidR="00241D37" w:rsidRPr="00AB6F27" w:rsidRDefault="00241D37" w:rsidP="00241D37">
            <w:pPr>
              <w:pStyle w:val="TableText0"/>
              <w:keepNext w:val="0"/>
            </w:pPr>
            <w:r w:rsidRPr="00AB6F27">
              <w:t xml:space="preserve">Source: Miller 2012 </w:t>
            </w:r>
          </w:p>
        </w:tc>
        <w:tc>
          <w:tcPr>
            <w:tcW w:w="3589" w:type="dxa"/>
            <w:vAlign w:val="center"/>
          </w:tcPr>
          <w:p w14:paraId="0DF6F47C" w14:textId="703E0EAA" w:rsidR="00241D37" w:rsidRPr="00AB6F27" w:rsidRDefault="00241D37" w:rsidP="00241D37">
            <w:pPr>
              <w:pStyle w:val="TableText0"/>
              <w:keepNext w:val="0"/>
            </w:pPr>
            <w:r w:rsidRPr="00AB6F27">
              <w:t xml:space="preserve">DUSC </w:t>
            </w:r>
            <w:r w:rsidR="00CB5D9C">
              <w:t xml:space="preserve">previously </w:t>
            </w:r>
            <w:r w:rsidRPr="00AB6F27">
              <w:t xml:space="preserve">considered this estimate may be reasonable for 2L PEM+LEN (Table 15, pembrolizumab PSD, March 2022 PBAC Meeting). </w:t>
            </w:r>
          </w:p>
        </w:tc>
      </w:tr>
      <w:tr w:rsidR="00241D37" w:rsidRPr="00AB6F27" w14:paraId="51AC6C88" w14:textId="77777777" w:rsidTr="005A40A9">
        <w:tc>
          <w:tcPr>
            <w:tcW w:w="9017" w:type="dxa"/>
            <w:gridSpan w:val="3"/>
            <w:vAlign w:val="center"/>
          </w:tcPr>
          <w:p w14:paraId="720C01C2" w14:textId="77777777" w:rsidR="00241D37" w:rsidRPr="00AB6F27" w:rsidRDefault="00241D37" w:rsidP="00241D37">
            <w:pPr>
              <w:pStyle w:val="TableText0"/>
              <w:keepNext w:val="0"/>
              <w:rPr>
                <w:b/>
              </w:rPr>
            </w:pPr>
            <w:r w:rsidRPr="00AB6F27">
              <w:rPr>
                <w:b/>
              </w:rPr>
              <w:t>Costs</w:t>
            </w:r>
          </w:p>
        </w:tc>
      </w:tr>
      <w:tr w:rsidR="00241D37" w:rsidRPr="00AB6F27" w14:paraId="4600FDA2" w14:textId="77777777" w:rsidTr="005A40A9">
        <w:tc>
          <w:tcPr>
            <w:tcW w:w="1714" w:type="dxa"/>
            <w:vAlign w:val="center"/>
          </w:tcPr>
          <w:p w14:paraId="5ECC7D63" w14:textId="77777777" w:rsidR="00241D37" w:rsidRPr="00AB6F27" w:rsidRDefault="00241D37" w:rsidP="00241D37">
            <w:pPr>
              <w:pStyle w:val="TableText0"/>
              <w:keepNext w:val="0"/>
            </w:pPr>
            <w:r w:rsidRPr="00AB6F27">
              <w:t>Proposed medicine</w:t>
            </w:r>
          </w:p>
        </w:tc>
        <w:tc>
          <w:tcPr>
            <w:tcW w:w="3714" w:type="dxa"/>
            <w:vAlign w:val="center"/>
          </w:tcPr>
          <w:p w14:paraId="65F332F4" w14:textId="77777777" w:rsidR="00241D37" w:rsidRPr="00AB6F27" w:rsidRDefault="00241D37" w:rsidP="00241D37">
            <w:pPr>
              <w:pStyle w:val="TableText0"/>
              <w:keepNext w:val="0"/>
            </w:pPr>
            <w:r w:rsidRPr="00AB6F27">
              <w:t>Published cost per administration</w:t>
            </w:r>
          </w:p>
          <w:tbl>
            <w:tblPr>
              <w:tblStyle w:val="TableGrid"/>
              <w:tblW w:w="0" w:type="auto"/>
              <w:tblLook w:val="04A0" w:firstRow="1" w:lastRow="0" w:firstColumn="1" w:lastColumn="0" w:noHBand="0" w:noVBand="1"/>
            </w:tblPr>
            <w:tblGrid>
              <w:gridCol w:w="737"/>
              <w:gridCol w:w="1276"/>
              <w:gridCol w:w="1447"/>
            </w:tblGrid>
            <w:tr w:rsidR="00241D37" w:rsidRPr="00AB6F27" w14:paraId="04CC0CA9" w14:textId="77777777" w:rsidTr="007B5E49">
              <w:tc>
                <w:tcPr>
                  <w:tcW w:w="737" w:type="dxa"/>
                </w:tcPr>
                <w:p w14:paraId="3DF69B60" w14:textId="77777777" w:rsidR="00241D37" w:rsidRPr="00AB6F27" w:rsidRDefault="00241D37" w:rsidP="00241D37">
                  <w:pPr>
                    <w:pStyle w:val="TableText0"/>
                    <w:rPr>
                      <w:sz w:val="18"/>
                      <w:szCs w:val="18"/>
                    </w:rPr>
                  </w:pPr>
                </w:p>
              </w:tc>
              <w:tc>
                <w:tcPr>
                  <w:tcW w:w="1276" w:type="dxa"/>
                </w:tcPr>
                <w:p w14:paraId="38B37875" w14:textId="77777777" w:rsidR="00241D37" w:rsidRPr="00AB6F27" w:rsidRDefault="00241D37" w:rsidP="00241D37">
                  <w:pPr>
                    <w:pStyle w:val="TableText0"/>
                    <w:rPr>
                      <w:sz w:val="18"/>
                      <w:szCs w:val="18"/>
                    </w:rPr>
                  </w:pPr>
                  <w:r w:rsidRPr="00AB6F27">
                    <w:rPr>
                      <w:sz w:val="18"/>
                      <w:szCs w:val="18"/>
                    </w:rPr>
                    <w:t>Public (28.10%)</w:t>
                  </w:r>
                </w:p>
              </w:tc>
              <w:tc>
                <w:tcPr>
                  <w:tcW w:w="1447" w:type="dxa"/>
                </w:tcPr>
                <w:p w14:paraId="5820FE63" w14:textId="77777777" w:rsidR="00241D37" w:rsidRPr="00AB6F27" w:rsidRDefault="00241D37" w:rsidP="00241D37">
                  <w:pPr>
                    <w:pStyle w:val="TableText0"/>
                    <w:rPr>
                      <w:sz w:val="18"/>
                      <w:szCs w:val="18"/>
                    </w:rPr>
                  </w:pPr>
                  <w:r w:rsidRPr="00AB6F27">
                    <w:rPr>
                      <w:sz w:val="18"/>
                      <w:szCs w:val="18"/>
                    </w:rPr>
                    <w:t>Private (71.90%)</w:t>
                  </w:r>
                </w:p>
              </w:tc>
            </w:tr>
            <w:tr w:rsidR="00241D37" w:rsidRPr="00AB6F27" w14:paraId="711E757E" w14:textId="77777777" w:rsidTr="007B5E49">
              <w:tc>
                <w:tcPr>
                  <w:tcW w:w="737" w:type="dxa"/>
                </w:tcPr>
                <w:p w14:paraId="230E6A11" w14:textId="77777777" w:rsidR="00241D37" w:rsidRPr="00AB6F27" w:rsidRDefault="00241D37" w:rsidP="00241D37">
                  <w:pPr>
                    <w:pStyle w:val="TableText0"/>
                    <w:rPr>
                      <w:sz w:val="18"/>
                      <w:szCs w:val="18"/>
                    </w:rPr>
                  </w:pPr>
                  <w:r w:rsidRPr="00AB6F27">
                    <w:rPr>
                      <w:sz w:val="18"/>
                      <w:szCs w:val="18"/>
                    </w:rPr>
                    <w:t>200mg</w:t>
                  </w:r>
                </w:p>
              </w:tc>
              <w:tc>
                <w:tcPr>
                  <w:tcW w:w="1276" w:type="dxa"/>
                  <w:vAlign w:val="center"/>
                </w:tcPr>
                <w:p w14:paraId="7B07CA44" w14:textId="77777777" w:rsidR="00241D37" w:rsidRPr="00AB6F27" w:rsidRDefault="00241D37" w:rsidP="00241D37">
                  <w:pPr>
                    <w:pStyle w:val="TableText0"/>
                    <w:jc w:val="center"/>
                    <w:rPr>
                      <w:sz w:val="18"/>
                      <w:szCs w:val="18"/>
                    </w:rPr>
                  </w:pPr>
                  <w:r w:rsidRPr="00AB6F27">
                    <w:rPr>
                      <w:sz w:val="18"/>
                      <w:szCs w:val="18"/>
                    </w:rPr>
                    <w:t>$7,737.63</w:t>
                  </w:r>
                </w:p>
              </w:tc>
              <w:tc>
                <w:tcPr>
                  <w:tcW w:w="1447" w:type="dxa"/>
                  <w:vAlign w:val="center"/>
                </w:tcPr>
                <w:p w14:paraId="74E78677" w14:textId="77777777" w:rsidR="00241D37" w:rsidRPr="00AB6F27" w:rsidRDefault="00241D37" w:rsidP="00241D37">
                  <w:pPr>
                    <w:pStyle w:val="TableText0"/>
                    <w:jc w:val="center"/>
                    <w:rPr>
                      <w:sz w:val="18"/>
                      <w:szCs w:val="18"/>
                    </w:rPr>
                  </w:pPr>
                  <w:r w:rsidRPr="00AB6F27">
                    <w:rPr>
                      <w:sz w:val="18"/>
                      <w:szCs w:val="18"/>
                    </w:rPr>
                    <w:t>$7,889.37</w:t>
                  </w:r>
                </w:p>
              </w:tc>
            </w:tr>
            <w:tr w:rsidR="00241D37" w:rsidRPr="00AB6F27" w14:paraId="6F3584C7" w14:textId="77777777" w:rsidTr="007B5E49">
              <w:tc>
                <w:tcPr>
                  <w:tcW w:w="737" w:type="dxa"/>
                </w:tcPr>
                <w:p w14:paraId="388E6320" w14:textId="77777777" w:rsidR="00241D37" w:rsidRPr="00AB6F27" w:rsidRDefault="00241D37" w:rsidP="00241D37">
                  <w:pPr>
                    <w:pStyle w:val="TableText0"/>
                    <w:rPr>
                      <w:sz w:val="18"/>
                      <w:szCs w:val="18"/>
                    </w:rPr>
                  </w:pPr>
                  <w:r w:rsidRPr="00AB6F27">
                    <w:rPr>
                      <w:sz w:val="18"/>
                      <w:szCs w:val="18"/>
                    </w:rPr>
                    <w:t>400mg</w:t>
                  </w:r>
                </w:p>
              </w:tc>
              <w:tc>
                <w:tcPr>
                  <w:tcW w:w="1276" w:type="dxa"/>
                  <w:vAlign w:val="center"/>
                </w:tcPr>
                <w:p w14:paraId="497DA24F" w14:textId="77777777" w:rsidR="00241D37" w:rsidRPr="00AB6F27" w:rsidRDefault="00241D37" w:rsidP="00241D37">
                  <w:pPr>
                    <w:pStyle w:val="TableText0"/>
                    <w:jc w:val="center"/>
                    <w:rPr>
                      <w:sz w:val="18"/>
                      <w:szCs w:val="18"/>
                    </w:rPr>
                  </w:pPr>
                  <w:r w:rsidRPr="00AB6F27">
                    <w:rPr>
                      <w:sz w:val="18"/>
                      <w:szCs w:val="18"/>
                    </w:rPr>
                    <w:t>$15,385.13</w:t>
                  </w:r>
                </w:p>
              </w:tc>
              <w:tc>
                <w:tcPr>
                  <w:tcW w:w="1447" w:type="dxa"/>
                  <w:vAlign w:val="center"/>
                </w:tcPr>
                <w:p w14:paraId="73C888D0" w14:textId="77777777" w:rsidR="00241D37" w:rsidRPr="00AB6F27" w:rsidRDefault="00241D37" w:rsidP="00241D37">
                  <w:pPr>
                    <w:pStyle w:val="TableText0"/>
                    <w:jc w:val="center"/>
                    <w:rPr>
                      <w:sz w:val="18"/>
                      <w:szCs w:val="18"/>
                    </w:rPr>
                  </w:pPr>
                  <w:r w:rsidRPr="00AB6F27">
                    <w:rPr>
                      <w:sz w:val="18"/>
                      <w:szCs w:val="18"/>
                    </w:rPr>
                    <w:t>$15,643.93</w:t>
                  </w:r>
                </w:p>
              </w:tc>
            </w:tr>
          </w:tbl>
          <w:p w14:paraId="7333B1D0" w14:textId="77777777" w:rsidR="00241D37" w:rsidRPr="00AB6F27" w:rsidRDefault="00241D37" w:rsidP="00241D37">
            <w:pPr>
              <w:pStyle w:val="TableText0"/>
              <w:keepNext w:val="0"/>
            </w:pPr>
          </w:p>
          <w:p w14:paraId="21396B94" w14:textId="77777777" w:rsidR="00241D37" w:rsidRPr="00AB6F27" w:rsidRDefault="00241D37" w:rsidP="00241D37">
            <w:pPr>
              <w:pStyle w:val="TableText0"/>
              <w:keepNext w:val="0"/>
            </w:pPr>
            <w:r w:rsidRPr="00AB6F27">
              <w:t>Source: Requested price, based on the published AEMP of $3,823.75 per 100mg vial</w:t>
            </w:r>
          </w:p>
        </w:tc>
        <w:tc>
          <w:tcPr>
            <w:tcW w:w="3589" w:type="dxa"/>
            <w:vAlign w:val="center"/>
          </w:tcPr>
          <w:p w14:paraId="77F325E0" w14:textId="355246E5" w:rsidR="00241D37" w:rsidRPr="00AB6F27" w:rsidRDefault="00241D37" w:rsidP="004964C0">
            <w:pPr>
              <w:pStyle w:val="TableText0"/>
              <w:keepNext w:val="0"/>
            </w:pPr>
            <w:r w:rsidRPr="00AB6F27">
              <w:t xml:space="preserve">The requested list price was used in the submission’s financial estimates in place of the cost minimised price. </w:t>
            </w:r>
          </w:p>
        </w:tc>
      </w:tr>
      <w:tr w:rsidR="00241D37" w:rsidRPr="00AB6F27" w14:paraId="376D78EE" w14:textId="77777777" w:rsidTr="005A40A9">
        <w:tc>
          <w:tcPr>
            <w:tcW w:w="1714" w:type="dxa"/>
            <w:vAlign w:val="center"/>
          </w:tcPr>
          <w:p w14:paraId="18400670" w14:textId="77777777" w:rsidR="00241D37" w:rsidRPr="00AB6F27" w:rsidRDefault="00241D37" w:rsidP="00241D37">
            <w:pPr>
              <w:pStyle w:val="TableText0"/>
              <w:keepNext w:val="0"/>
            </w:pPr>
            <w:r w:rsidRPr="00AB6F27">
              <w:t>Infusion costs</w:t>
            </w:r>
          </w:p>
        </w:tc>
        <w:tc>
          <w:tcPr>
            <w:tcW w:w="3714" w:type="dxa"/>
            <w:vAlign w:val="center"/>
          </w:tcPr>
          <w:p w14:paraId="6B43B40D" w14:textId="77777777" w:rsidR="00241D37" w:rsidRPr="00AB6F27" w:rsidRDefault="00241D37" w:rsidP="00241D37">
            <w:pPr>
              <w:pStyle w:val="TableText0"/>
            </w:pPr>
            <w:r w:rsidRPr="00AB6F27">
              <w:t xml:space="preserve">$123.05 </w:t>
            </w:r>
          </w:p>
          <w:p w14:paraId="1F5F4DDC" w14:textId="77777777" w:rsidR="00241D37" w:rsidRPr="00AB6F27" w:rsidRDefault="00241D37" w:rsidP="00241D37">
            <w:pPr>
              <w:pStyle w:val="TableText0"/>
              <w:keepNext w:val="0"/>
            </w:pPr>
            <w:r w:rsidRPr="00AB6F27">
              <w:t>Source: MBS 13950</w:t>
            </w:r>
          </w:p>
        </w:tc>
        <w:tc>
          <w:tcPr>
            <w:tcW w:w="3589" w:type="dxa"/>
            <w:vAlign w:val="center"/>
          </w:tcPr>
          <w:p w14:paraId="263AC392" w14:textId="35EE9012" w:rsidR="00241D37" w:rsidRPr="00AB6F27" w:rsidRDefault="00CB5D9C" w:rsidP="00241D37">
            <w:pPr>
              <w:pStyle w:val="TableText0"/>
              <w:keepNext w:val="0"/>
            </w:pPr>
            <w:r>
              <w:t>The evaluation considered this was r</w:t>
            </w:r>
            <w:r w:rsidRPr="00AB6F27">
              <w:t xml:space="preserve">easonable. </w:t>
            </w:r>
          </w:p>
        </w:tc>
      </w:tr>
    </w:tbl>
    <w:p w14:paraId="7DC50179" w14:textId="77777777" w:rsidR="00A3213F" w:rsidRPr="00AB6F27" w:rsidRDefault="00A3213F" w:rsidP="00A3213F">
      <w:pPr>
        <w:pStyle w:val="FooterTableFigure"/>
      </w:pPr>
      <w:r w:rsidRPr="00AB6F27">
        <w:t xml:space="preserve">Source: Compiled during evaluation using information from pp204-211 of the submission; Attachment 14 and 15 of the submission, and the submission’s financial workbooks (dMMR and pMMR). </w:t>
      </w:r>
    </w:p>
    <w:p w14:paraId="09D675F2" w14:textId="77777777" w:rsidR="00A3213F" w:rsidRPr="00AB6F27" w:rsidRDefault="00A3213F" w:rsidP="00A3213F">
      <w:pPr>
        <w:pStyle w:val="FooterTableFigure"/>
      </w:pPr>
      <w:r w:rsidRPr="00AB6F27">
        <w:t>Abbreviations: 1L = first-line; 2L = second-line; AEMP = approved ex-manufacturer price; AIHW = Australian Institute of Health and Welfare; A/R = advanced or recurrent; CMA = cost minimisation analysis; dMMR = mismatch repair deficient; DOS = dostarlimab; DUSC = drug utilisation sub-committee; DUR = durvalumab; EC = endometrial cancer; ECOG = Eastern Cooperative Oncology Group; MBS = Medicare Benefits Schedule; OLA = olaparib; PBC = platinum-based chemotherapy; PBS = Pharmaceutical Benefits Scheme; PEM+LEN = pembrolizumab + lenvatinib; PSD = public summary document; RPBS = Repatriation Pharmaceutical Benefits Scheme; SEER = Surveillance, Epidemiology, and End Results; Yr = year.</w:t>
      </w:r>
    </w:p>
    <w:p w14:paraId="0377897A" w14:textId="77777777" w:rsidR="00A3213F" w:rsidRPr="00AB6F27" w:rsidRDefault="00A3213F" w:rsidP="00A3213F">
      <w:pPr>
        <w:pStyle w:val="FooterTableFigure"/>
      </w:pPr>
      <w:r w:rsidRPr="00AB6F27">
        <w:rPr>
          <w:vertAlign w:val="superscript"/>
        </w:rPr>
        <w:t xml:space="preserve">a </w:t>
      </w:r>
      <w:r w:rsidRPr="00AB6F27">
        <w:t>Huepenbecker 2024 reported 83.5% of patients (272/326) treated with immune checkpoint inhibitors had an ECOG score of 0-2, and 72.9% (1,332/1,826) of patients that never received immune checkpoint inhibitors had an ECOG score of 0-2.</w:t>
      </w:r>
    </w:p>
    <w:bookmarkStart w:id="84" w:name="_Ref205286782"/>
    <w:bookmarkStart w:id="85" w:name="_Ref196679414"/>
    <w:p w14:paraId="1D7AAD75" w14:textId="48FDD2B9" w:rsidR="004964C0" w:rsidRPr="00497260" w:rsidRDefault="003D775B" w:rsidP="00A3213F">
      <w:pPr>
        <w:pStyle w:val="3-BodyText"/>
      </w:pPr>
      <w:r w:rsidRPr="00497260">
        <w:lastRenderedPageBreak/>
        <w:fldChar w:fldCharType="begin"/>
      </w:r>
      <w:r w:rsidRPr="00497260">
        <w:instrText xml:space="preserve"> REF _Ref196761200 \h  \* MERGEFORMAT </w:instrText>
      </w:r>
      <w:r w:rsidRPr="00497260">
        <w:fldChar w:fldCharType="separate"/>
      </w:r>
      <w:r w:rsidR="003359D3" w:rsidRPr="003359D3">
        <w:t>Table 23</w:t>
      </w:r>
      <w:r w:rsidRPr="00497260">
        <w:fldChar w:fldCharType="end"/>
      </w:r>
      <w:r w:rsidRPr="00497260">
        <w:t xml:space="preserve"> </w:t>
      </w:r>
      <w:r w:rsidR="00A3213F" w:rsidRPr="00497260">
        <w:t xml:space="preserve">presents the </w:t>
      </w:r>
      <w:r w:rsidR="00287C5F" w:rsidRPr="00497260">
        <w:t xml:space="preserve">submission’s </w:t>
      </w:r>
      <w:r w:rsidR="00A3213F" w:rsidRPr="00497260">
        <w:t>estimate</w:t>
      </w:r>
      <w:r w:rsidR="00287C5F" w:rsidRPr="00497260">
        <w:t xml:space="preserve"> of the</w:t>
      </w:r>
      <w:r w:rsidR="00A3213F" w:rsidRPr="00497260">
        <w:t xml:space="preserve"> financial implications </w:t>
      </w:r>
      <w:r w:rsidR="00287C5F" w:rsidRPr="00497260">
        <w:t>of</w:t>
      </w:r>
      <w:r w:rsidR="00A3213F" w:rsidRPr="00497260">
        <w:t xml:space="preserve"> listing </w:t>
      </w:r>
      <w:r w:rsidR="00BF1B0D" w:rsidRPr="00497260">
        <w:t>pembrolizumab</w:t>
      </w:r>
      <w:r w:rsidR="00A3213F" w:rsidRPr="00497260">
        <w:t xml:space="preserve"> for the 1L treatment of dMMR EC over the first 6 years. </w:t>
      </w:r>
      <w:r w:rsidR="004964C0" w:rsidRPr="00497260">
        <w:t>However, the ESC considered these estimates were not informative and substantially overestimated as: p</w:t>
      </w:r>
      <w:r w:rsidR="00656BD6" w:rsidRPr="00497260">
        <w:t>ublished</w:t>
      </w:r>
      <w:r w:rsidR="00A3213F" w:rsidRPr="00497260">
        <w:t xml:space="preserve"> prices were used </w:t>
      </w:r>
      <w:r w:rsidR="00287C5F" w:rsidRPr="00497260">
        <w:t>(</w:t>
      </w:r>
      <w:r w:rsidR="00A3213F" w:rsidRPr="00497260">
        <w:t>as the effective price</w:t>
      </w:r>
      <w:r w:rsidR="000E5C8A" w:rsidRPr="00497260">
        <w:t>s</w:t>
      </w:r>
      <w:r w:rsidR="00A3213F" w:rsidRPr="00497260">
        <w:t xml:space="preserve"> of </w:t>
      </w:r>
      <w:r w:rsidR="000E5C8A" w:rsidRPr="00497260">
        <w:t>the comparators were</w:t>
      </w:r>
      <w:r w:rsidR="00A3213F" w:rsidRPr="00497260">
        <w:t xml:space="preserve"> not known to the sponsor</w:t>
      </w:r>
      <w:r w:rsidR="008D377A" w:rsidRPr="00497260">
        <w:t xml:space="preserve"> and no effective price for </w:t>
      </w:r>
      <w:r w:rsidR="00BF1B0D" w:rsidRPr="00497260">
        <w:t>pembrolizumab</w:t>
      </w:r>
      <w:r w:rsidR="008D377A" w:rsidRPr="00497260">
        <w:t xml:space="preserve"> was proposed</w:t>
      </w:r>
      <w:r w:rsidR="00287C5F" w:rsidRPr="00497260">
        <w:t>)</w:t>
      </w:r>
      <w:r w:rsidR="004964C0" w:rsidRPr="00497260">
        <w:t>; and</w:t>
      </w:r>
      <w:r w:rsidR="00A3213F" w:rsidRPr="00497260">
        <w:t xml:space="preserve"> </w:t>
      </w:r>
      <w:r w:rsidR="004964C0" w:rsidRPr="00497260">
        <w:t>o</w:t>
      </w:r>
      <w:r w:rsidR="00287C5F" w:rsidRPr="00497260">
        <w:t xml:space="preserve">ffsets for reduced use of dostarlimab/durvalumab </w:t>
      </w:r>
      <w:r w:rsidR="00A41CB0" w:rsidRPr="00497260">
        <w:t xml:space="preserve">or 2L pembrolizumab + lenvatinib </w:t>
      </w:r>
      <w:r w:rsidR="00287C5F" w:rsidRPr="00497260">
        <w:t>were not included</w:t>
      </w:r>
      <w:r w:rsidR="004964C0" w:rsidRPr="00497260">
        <w:t>.</w:t>
      </w:r>
      <w:r w:rsidR="00287C5F" w:rsidRPr="00497260">
        <w:t xml:space="preserve"> </w:t>
      </w:r>
      <w:r w:rsidR="004964C0" w:rsidRPr="00497260">
        <w:t>The PSCR stated the financial estimates were intended to provide the PBAC with an estimation of the total cost of listing anti-PD-(L)1 for the treatment of 1L A/R EC.</w:t>
      </w:r>
      <w:r w:rsidR="003839FC" w:rsidRPr="00497260">
        <w:t xml:space="preserve"> However, the ESC noted that estimates of offsets are required as part of the PBAC’s consideration of the financial estimates.</w:t>
      </w:r>
      <w:bookmarkEnd w:id="84"/>
    </w:p>
    <w:bookmarkEnd w:id="85"/>
    <w:p w14:paraId="3FD63676" w14:textId="70873F9E" w:rsidR="00A3213F" w:rsidRPr="00497260" w:rsidRDefault="00E3047C" w:rsidP="00A3213F">
      <w:pPr>
        <w:pStyle w:val="3-BodyText"/>
      </w:pPr>
      <w:r w:rsidRPr="00497260">
        <w:t xml:space="preserve">If the cost per patient per course of </w:t>
      </w:r>
      <w:r w:rsidR="00BF1B0D" w:rsidRPr="00497260">
        <w:t>pembrolizumab</w:t>
      </w:r>
      <w:r w:rsidRPr="00497260">
        <w:t xml:space="preserve"> was no more than the cost of the comparators, inclusive of offsets for 2L </w:t>
      </w:r>
      <w:r w:rsidR="00BF1B0D" w:rsidRPr="00497260">
        <w:t>pembrolizumab</w:t>
      </w:r>
      <w:r w:rsidR="00FC64AF" w:rsidRPr="00497260">
        <w:t xml:space="preserve"> </w:t>
      </w:r>
      <w:r w:rsidRPr="00497260">
        <w:t>+</w:t>
      </w:r>
      <w:r w:rsidR="00FC64AF" w:rsidRPr="00497260">
        <w:t xml:space="preserve"> </w:t>
      </w:r>
      <w:r w:rsidR="001F3073" w:rsidRPr="00497260">
        <w:t>lenvatinib</w:t>
      </w:r>
      <w:r w:rsidRPr="00497260">
        <w:t xml:space="preserve">, then the financial estimates would be expected to be </w:t>
      </w:r>
      <w:r w:rsidR="00287C5F" w:rsidRPr="00497260">
        <w:t xml:space="preserve">at least </w:t>
      </w:r>
      <w:r w:rsidRPr="00497260">
        <w:t>cost neutral.</w:t>
      </w:r>
      <w:r w:rsidR="004964C0" w:rsidRPr="00497260">
        <w:t xml:space="preserve"> The PSCR confirmed that the financial estimates are expected to be at least cost neutral compared to the RSA/s in place for dostarlimab and durvalumab</w:t>
      </w:r>
      <w:r w:rsidR="00A41CB0" w:rsidRPr="00497260">
        <w:t xml:space="preserve"> (and 2L pembrolizumab plus lenvatinib)</w:t>
      </w:r>
      <w:r w:rsidR="004964C0" w:rsidRPr="00497260">
        <w:t>.</w:t>
      </w:r>
    </w:p>
    <w:p w14:paraId="10D9EC15" w14:textId="036E3A39" w:rsidR="00A3213F" w:rsidRPr="00497260" w:rsidRDefault="007C5974" w:rsidP="00656BD6">
      <w:pPr>
        <w:pStyle w:val="3-BodyText"/>
        <w:keepNext/>
        <w:keepLines/>
        <w:numPr>
          <w:ilvl w:val="0"/>
          <w:numId w:val="0"/>
        </w:numPr>
        <w:spacing w:after="0"/>
        <w:ind w:left="720" w:hanging="720"/>
        <w:rPr>
          <w:rStyle w:val="CommentReference"/>
          <w:szCs w:val="24"/>
        </w:rPr>
      </w:pPr>
      <w:bookmarkStart w:id="86" w:name="_Ref196487838"/>
      <w:bookmarkStart w:id="87" w:name="_Ref196761200"/>
      <w:r w:rsidRPr="00497260">
        <w:rPr>
          <w:rStyle w:val="CommentReference"/>
          <w:szCs w:val="24"/>
        </w:rPr>
        <w:lastRenderedPageBreak/>
        <w:t xml:space="preserve">Table </w:t>
      </w:r>
      <w:r w:rsidR="000A3E90" w:rsidRPr="00497260">
        <w:rPr>
          <w:rStyle w:val="CommentReference"/>
          <w:szCs w:val="24"/>
        </w:rPr>
        <w:fldChar w:fldCharType="begin"/>
      </w:r>
      <w:r w:rsidR="000A3E90" w:rsidRPr="00497260">
        <w:rPr>
          <w:rStyle w:val="CommentReference"/>
          <w:szCs w:val="24"/>
        </w:rPr>
        <w:instrText xml:space="preserve"> SEQ Table \* ARABIC </w:instrText>
      </w:r>
      <w:r w:rsidR="000A3E90" w:rsidRPr="00497260">
        <w:rPr>
          <w:rStyle w:val="CommentReference"/>
          <w:szCs w:val="24"/>
        </w:rPr>
        <w:fldChar w:fldCharType="separate"/>
      </w:r>
      <w:r w:rsidR="003359D3">
        <w:rPr>
          <w:rStyle w:val="CommentReference"/>
          <w:noProof/>
          <w:szCs w:val="24"/>
        </w:rPr>
        <w:t>23</w:t>
      </w:r>
      <w:r w:rsidR="000A3E90" w:rsidRPr="00497260">
        <w:rPr>
          <w:rStyle w:val="CommentReference"/>
          <w:szCs w:val="24"/>
        </w:rPr>
        <w:fldChar w:fldCharType="end"/>
      </w:r>
      <w:bookmarkEnd w:id="86"/>
      <w:bookmarkEnd w:id="87"/>
      <w:r w:rsidR="00A3213F" w:rsidRPr="00497260">
        <w:rPr>
          <w:rStyle w:val="CommentReference"/>
          <w:szCs w:val="24"/>
        </w:rPr>
        <w:t>: Estimated use and financial implications (published</w:t>
      </w:r>
      <w:r w:rsidR="00BB742C" w:rsidRPr="00497260">
        <w:rPr>
          <w:rStyle w:val="CommentReference"/>
          <w:szCs w:val="24"/>
        </w:rPr>
        <w:t xml:space="preserve"> prices, without offsets for </w:t>
      </w:r>
      <w:r w:rsidR="008E511C" w:rsidRPr="00497260">
        <w:rPr>
          <w:rStyle w:val="CommentReference"/>
          <w:szCs w:val="24"/>
        </w:rPr>
        <w:t xml:space="preserve">other </w:t>
      </w:r>
      <w:r w:rsidR="001404F6">
        <w:rPr>
          <w:rStyle w:val="CommentReference"/>
          <w:szCs w:val="24"/>
        </w:rPr>
        <w:t>anti-</w:t>
      </w:r>
      <w:r w:rsidR="008E511C" w:rsidRPr="00497260">
        <w:rPr>
          <w:rStyle w:val="CommentReference"/>
          <w:szCs w:val="24"/>
        </w:rPr>
        <w:t>PD-(L)1s</w:t>
      </w:r>
      <w:r w:rsidR="00A3213F" w:rsidRPr="00497260">
        <w:rPr>
          <w:rStyle w:val="CommentReference"/>
          <w:szCs w:val="24"/>
        </w:rPr>
        <w:t>)</w:t>
      </w:r>
      <w:r w:rsidR="008E511C" w:rsidRPr="00497260">
        <w:rPr>
          <w:rStyle w:val="CommentReference"/>
          <w:szCs w:val="24"/>
        </w:rPr>
        <w:t>, dMMR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3: Estimated use and financial implications (published prices, without offsets for other anti-PD-(L)1s), dMMR"/>
      </w:tblPr>
      <w:tblGrid>
        <w:gridCol w:w="2651"/>
        <w:gridCol w:w="1064"/>
        <w:gridCol w:w="1064"/>
        <w:gridCol w:w="1064"/>
        <w:gridCol w:w="1064"/>
        <w:gridCol w:w="1064"/>
        <w:gridCol w:w="1046"/>
      </w:tblGrid>
      <w:tr w:rsidR="00A3213F" w:rsidRPr="00497260" w14:paraId="076B6D9D" w14:textId="77777777" w:rsidTr="00BB742C">
        <w:trPr>
          <w:trHeight w:val="135"/>
          <w:tblHeader/>
        </w:trPr>
        <w:tc>
          <w:tcPr>
            <w:tcW w:w="2651" w:type="dxa"/>
            <w:tcMar>
              <w:left w:w="20" w:type="dxa"/>
              <w:right w:w="20" w:type="dxa"/>
            </w:tcMar>
            <w:vAlign w:val="center"/>
            <w:hideMark/>
          </w:tcPr>
          <w:p w14:paraId="13429C4D" w14:textId="77777777" w:rsidR="00A3213F" w:rsidRPr="00497260" w:rsidRDefault="00A3213F" w:rsidP="00107000">
            <w:pPr>
              <w:pStyle w:val="In-tableHeading"/>
              <w:keepLines/>
              <w:contextualSpacing/>
              <w:rPr>
                <w:szCs w:val="20"/>
                <w:lang w:val="en-AU"/>
              </w:rPr>
            </w:pPr>
          </w:p>
        </w:tc>
        <w:tc>
          <w:tcPr>
            <w:tcW w:w="1064" w:type="dxa"/>
            <w:tcMar>
              <w:left w:w="20" w:type="dxa"/>
              <w:right w:w="20" w:type="dxa"/>
            </w:tcMar>
            <w:vAlign w:val="center"/>
            <w:hideMark/>
          </w:tcPr>
          <w:p w14:paraId="7D72F210" w14:textId="77777777" w:rsidR="00A3213F" w:rsidRPr="00497260" w:rsidRDefault="00A3213F" w:rsidP="00107000">
            <w:pPr>
              <w:pStyle w:val="In-tableHeading"/>
              <w:keepLines/>
              <w:contextualSpacing/>
              <w:jc w:val="center"/>
              <w:rPr>
                <w:szCs w:val="20"/>
                <w:lang w:val="en-AU"/>
              </w:rPr>
            </w:pPr>
            <w:r w:rsidRPr="00497260">
              <w:rPr>
                <w:szCs w:val="20"/>
                <w:lang w:val="en-AU"/>
              </w:rPr>
              <w:t>Year 1</w:t>
            </w:r>
          </w:p>
        </w:tc>
        <w:tc>
          <w:tcPr>
            <w:tcW w:w="1064" w:type="dxa"/>
            <w:tcMar>
              <w:left w:w="20" w:type="dxa"/>
              <w:right w:w="20" w:type="dxa"/>
            </w:tcMar>
            <w:vAlign w:val="center"/>
            <w:hideMark/>
          </w:tcPr>
          <w:p w14:paraId="3DBD4394" w14:textId="77777777" w:rsidR="00A3213F" w:rsidRPr="00497260" w:rsidRDefault="00A3213F" w:rsidP="00107000">
            <w:pPr>
              <w:pStyle w:val="In-tableHeading"/>
              <w:keepLines/>
              <w:contextualSpacing/>
              <w:jc w:val="center"/>
              <w:rPr>
                <w:szCs w:val="20"/>
                <w:lang w:val="en-AU"/>
              </w:rPr>
            </w:pPr>
            <w:r w:rsidRPr="00497260">
              <w:rPr>
                <w:szCs w:val="20"/>
                <w:lang w:val="en-AU"/>
              </w:rPr>
              <w:t>Year 2</w:t>
            </w:r>
          </w:p>
        </w:tc>
        <w:tc>
          <w:tcPr>
            <w:tcW w:w="1064" w:type="dxa"/>
            <w:tcMar>
              <w:left w:w="20" w:type="dxa"/>
              <w:right w:w="20" w:type="dxa"/>
            </w:tcMar>
            <w:vAlign w:val="center"/>
            <w:hideMark/>
          </w:tcPr>
          <w:p w14:paraId="20D650AC" w14:textId="77777777" w:rsidR="00A3213F" w:rsidRPr="00497260" w:rsidRDefault="00A3213F" w:rsidP="00107000">
            <w:pPr>
              <w:pStyle w:val="In-tableHeading"/>
              <w:keepLines/>
              <w:contextualSpacing/>
              <w:jc w:val="center"/>
              <w:rPr>
                <w:szCs w:val="20"/>
                <w:lang w:val="en-AU"/>
              </w:rPr>
            </w:pPr>
            <w:r w:rsidRPr="00497260">
              <w:rPr>
                <w:szCs w:val="20"/>
                <w:lang w:val="en-AU"/>
              </w:rPr>
              <w:t>Year 3</w:t>
            </w:r>
          </w:p>
        </w:tc>
        <w:tc>
          <w:tcPr>
            <w:tcW w:w="1064" w:type="dxa"/>
            <w:tcMar>
              <w:left w:w="20" w:type="dxa"/>
              <w:right w:w="20" w:type="dxa"/>
            </w:tcMar>
            <w:vAlign w:val="center"/>
            <w:hideMark/>
          </w:tcPr>
          <w:p w14:paraId="58E18A09" w14:textId="77777777" w:rsidR="00A3213F" w:rsidRPr="00497260" w:rsidRDefault="00A3213F" w:rsidP="00107000">
            <w:pPr>
              <w:pStyle w:val="In-tableHeading"/>
              <w:keepLines/>
              <w:contextualSpacing/>
              <w:jc w:val="center"/>
              <w:rPr>
                <w:szCs w:val="20"/>
                <w:lang w:val="en-AU"/>
              </w:rPr>
            </w:pPr>
            <w:r w:rsidRPr="00497260">
              <w:rPr>
                <w:szCs w:val="20"/>
                <w:lang w:val="en-AU"/>
              </w:rPr>
              <w:t>Year 4</w:t>
            </w:r>
          </w:p>
        </w:tc>
        <w:tc>
          <w:tcPr>
            <w:tcW w:w="1064" w:type="dxa"/>
            <w:tcMar>
              <w:left w:w="20" w:type="dxa"/>
              <w:right w:w="20" w:type="dxa"/>
            </w:tcMar>
            <w:vAlign w:val="center"/>
            <w:hideMark/>
          </w:tcPr>
          <w:p w14:paraId="5F7953E8" w14:textId="77777777" w:rsidR="00A3213F" w:rsidRPr="00497260" w:rsidRDefault="00A3213F" w:rsidP="00107000">
            <w:pPr>
              <w:pStyle w:val="In-tableHeading"/>
              <w:keepLines/>
              <w:contextualSpacing/>
              <w:jc w:val="center"/>
              <w:rPr>
                <w:szCs w:val="20"/>
                <w:lang w:val="en-AU"/>
              </w:rPr>
            </w:pPr>
            <w:r w:rsidRPr="00497260">
              <w:rPr>
                <w:szCs w:val="20"/>
                <w:lang w:val="en-AU"/>
              </w:rPr>
              <w:t>Year 5</w:t>
            </w:r>
          </w:p>
        </w:tc>
        <w:tc>
          <w:tcPr>
            <w:tcW w:w="1046" w:type="dxa"/>
            <w:tcMar>
              <w:left w:w="20" w:type="dxa"/>
              <w:right w:w="20" w:type="dxa"/>
            </w:tcMar>
            <w:vAlign w:val="center"/>
            <w:hideMark/>
          </w:tcPr>
          <w:p w14:paraId="4C94E6EA" w14:textId="77777777" w:rsidR="00A3213F" w:rsidRPr="00497260" w:rsidRDefault="00A3213F" w:rsidP="00107000">
            <w:pPr>
              <w:pStyle w:val="In-tableHeading"/>
              <w:keepLines/>
              <w:contextualSpacing/>
              <w:jc w:val="center"/>
              <w:rPr>
                <w:szCs w:val="20"/>
                <w:lang w:val="en-AU"/>
              </w:rPr>
            </w:pPr>
            <w:r w:rsidRPr="00497260">
              <w:rPr>
                <w:szCs w:val="20"/>
                <w:lang w:val="en-AU"/>
              </w:rPr>
              <w:t>Year 6</w:t>
            </w:r>
          </w:p>
        </w:tc>
      </w:tr>
      <w:tr w:rsidR="00A3213F" w:rsidRPr="00497260" w14:paraId="4B1398A7" w14:textId="77777777" w:rsidTr="00BB742C">
        <w:trPr>
          <w:trHeight w:val="115"/>
        </w:trPr>
        <w:tc>
          <w:tcPr>
            <w:tcW w:w="9017" w:type="dxa"/>
            <w:gridSpan w:val="7"/>
            <w:tcBorders>
              <w:bottom w:val="single" w:sz="4" w:space="0" w:color="auto"/>
            </w:tcBorders>
            <w:tcMar>
              <w:left w:w="20" w:type="dxa"/>
              <w:right w:w="20" w:type="dxa"/>
            </w:tcMar>
            <w:vAlign w:val="center"/>
          </w:tcPr>
          <w:p w14:paraId="3F58C1E7" w14:textId="1C290918" w:rsidR="00A3213F" w:rsidRPr="00497260" w:rsidRDefault="00A3213F" w:rsidP="00107000">
            <w:pPr>
              <w:pStyle w:val="TableText0"/>
              <w:keepLines/>
              <w:contextualSpacing/>
              <w:rPr>
                <w:b/>
                <w:bCs w:val="0"/>
                <w:szCs w:val="20"/>
              </w:rPr>
            </w:pPr>
            <w:r w:rsidRPr="00497260">
              <w:rPr>
                <w:b/>
                <w:szCs w:val="20"/>
              </w:rPr>
              <w:t xml:space="preserve">Estimation of use </w:t>
            </w:r>
          </w:p>
        </w:tc>
      </w:tr>
      <w:tr w:rsidR="00A3213F" w:rsidRPr="00497260" w14:paraId="567C001F" w14:textId="77777777" w:rsidTr="00BB742C">
        <w:tc>
          <w:tcPr>
            <w:tcW w:w="2651" w:type="dxa"/>
            <w:tcBorders>
              <w:right w:val="single" w:sz="4" w:space="0" w:color="auto"/>
            </w:tcBorders>
            <w:tcMar>
              <w:left w:w="20" w:type="dxa"/>
              <w:right w:w="20" w:type="dxa"/>
            </w:tcMar>
            <w:vAlign w:val="center"/>
          </w:tcPr>
          <w:p w14:paraId="49D4216C" w14:textId="77777777" w:rsidR="00A3213F" w:rsidRPr="00497260" w:rsidRDefault="00A3213F" w:rsidP="00107000">
            <w:pPr>
              <w:pStyle w:val="TableText0"/>
              <w:keepLines/>
              <w:contextualSpacing/>
            </w:pPr>
            <w:r w:rsidRPr="00497260">
              <w:t>Total initiating dMMR patients</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A131582" w14:textId="521E3BC8" w:rsidR="00A3213F" w:rsidRPr="000718DC" w:rsidRDefault="00165A53" w:rsidP="00107000">
            <w:pPr>
              <w:pStyle w:val="TableText0"/>
              <w:keepLines/>
              <w:contextualSpacing/>
              <w:jc w:val="center"/>
              <w:rPr>
                <w:highlight w:val="darkGray"/>
                <w:vertAlign w:val="superscript"/>
              </w:rPr>
            </w:pPr>
            <w:r>
              <w:rPr>
                <w:color w:val="000000"/>
                <w:spacing w:val="50"/>
                <w:shd w:val="solid" w:color="000000" w:fill="000000"/>
                <w:fitText w:val="324" w:id="-628426752"/>
                <w14:textFill>
                  <w14:solidFill>
                    <w14:srgbClr w14:val="000000">
                      <w14:alpha w14:val="100000"/>
                    </w14:srgbClr>
                  </w14:solidFill>
                </w14:textFill>
              </w:rPr>
              <w:t>|||</w:t>
            </w:r>
            <w:r>
              <w:rPr>
                <w:color w:val="000000"/>
                <w:spacing w:val="2"/>
                <w:shd w:val="solid" w:color="000000" w:fill="000000"/>
                <w:fitText w:val="324" w:id="-628426752"/>
                <w14:textFill>
                  <w14:solidFill>
                    <w14:srgbClr w14:val="000000">
                      <w14:alpha w14:val="100000"/>
                    </w14:srgbClr>
                  </w14:solidFill>
                </w14:textFill>
              </w:rPr>
              <w:t>|</w:t>
            </w:r>
            <w:r w:rsidR="000718DC" w:rsidRPr="000718DC">
              <w:rPr>
                <w:vertAlign w:val="superscript"/>
              </w:rPr>
              <w:t>1</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92CFDEE" w14:textId="071C35C4" w:rsidR="00A3213F" w:rsidRPr="00FA4290" w:rsidRDefault="00165A53" w:rsidP="00107000">
            <w:pPr>
              <w:pStyle w:val="TableText0"/>
              <w:keepLines/>
              <w:contextualSpacing/>
              <w:jc w:val="center"/>
              <w:rPr>
                <w:highlight w:val="darkGray"/>
              </w:rPr>
            </w:pPr>
            <w:r>
              <w:rPr>
                <w:color w:val="000000"/>
                <w:spacing w:val="50"/>
                <w:shd w:val="solid" w:color="000000" w:fill="000000"/>
                <w:fitText w:val="324" w:id="-628426751"/>
                <w14:textFill>
                  <w14:solidFill>
                    <w14:srgbClr w14:val="000000">
                      <w14:alpha w14:val="100000"/>
                    </w14:srgbClr>
                  </w14:solidFill>
                </w14:textFill>
              </w:rPr>
              <w:t>|||</w:t>
            </w:r>
            <w:r>
              <w:rPr>
                <w:color w:val="000000"/>
                <w:spacing w:val="2"/>
                <w:shd w:val="solid" w:color="000000" w:fill="000000"/>
                <w:fitText w:val="324" w:id="-628426751"/>
                <w14:textFill>
                  <w14:solidFill>
                    <w14:srgbClr w14:val="000000">
                      <w14:alpha w14:val="100000"/>
                    </w14:srgbClr>
                  </w14:solidFill>
                </w14:textFill>
              </w:rPr>
              <w:t>|</w:t>
            </w:r>
            <w:r w:rsidR="000718DC" w:rsidRPr="000718DC">
              <w:rPr>
                <w:vertAlign w:val="superscript"/>
              </w:rPr>
              <w:t>1</w:t>
            </w:r>
            <w:r w:rsidR="00A3213F" w:rsidRPr="000718DC">
              <w:t xml:space="preserve"> </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E168E45" w14:textId="5C248E76" w:rsidR="00A3213F" w:rsidRPr="00FA4290" w:rsidRDefault="00165A53" w:rsidP="00107000">
            <w:pPr>
              <w:pStyle w:val="TableText0"/>
              <w:keepLines/>
              <w:contextualSpacing/>
              <w:jc w:val="center"/>
              <w:rPr>
                <w:highlight w:val="darkGray"/>
              </w:rPr>
            </w:pPr>
            <w:r>
              <w:rPr>
                <w:color w:val="000000"/>
                <w:spacing w:val="50"/>
                <w:shd w:val="solid" w:color="000000" w:fill="000000"/>
                <w:fitText w:val="324" w:id="-628426750"/>
                <w14:textFill>
                  <w14:solidFill>
                    <w14:srgbClr w14:val="000000">
                      <w14:alpha w14:val="100000"/>
                    </w14:srgbClr>
                  </w14:solidFill>
                </w14:textFill>
              </w:rPr>
              <w:t>|||</w:t>
            </w:r>
            <w:r>
              <w:rPr>
                <w:color w:val="000000"/>
                <w:spacing w:val="2"/>
                <w:shd w:val="solid" w:color="000000" w:fill="000000"/>
                <w:fitText w:val="324" w:id="-628426750"/>
                <w14:textFill>
                  <w14:solidFill>
                    <w14:srgbClr w14:val="000000">
                      <w14:alpha w14:val="100000"/>
                    </w14:srgbClr>
                  </w14:solidFill>
                </w14:textFill>
              </w:rPr>
              <w:t>|</w:t>
            </w:r>
            <w:r w:rsidR="000718DC" w:rsidRPr="000718DC">
              <w:rPr>
                <w:vertAlign w:val="superscript"/>
              </w:rPr>
              <w:t>1</w:t>
            </w:r>
            <w:r w:rsidR="000718DC" w:rsidRPr="000718DC">
              <w:t xml:space="preserve"> </w:t>
            </w:r>
            <w:r>
              <w:rPr>
                <w:color w:val="000000"/>
                <w:spacing w:val="54"/>
                <w:shd w:val="solid" w:color="000000" w:fill="000000"/>
                <w:fitText w:val="336" w:id="-628426749"/>
                <w14:textFill>
                  <w14:solidFill>
                    <w14:srgbClr w14:val="000000">
                      <w14:alpha w14:val="100000"/>
                    </w14:srgbClr>
                  </w14:solidFill>
                </w14:textFill>
              </w:rPr>
              <w:t>|||</w:t>
            </w:r>
            <w:r>
              <w:rPr>
                <w:color w:val="000000"/>
                <w:spacing w:val="2"/>
                <w:shd w:val="solid" w:color="000000" w:fill="000000"/>
                <w:fitText w:val="336" w:id="-628426749"/>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25CBBD1" w14:textId="609204EC" w:rsidR="00A3213F" w:rsidRPr="00FA4290" w:rsidRDefault="00165A53" w:rsidP="00107000">
            <w:pPr>
              <w:pStyle w:val="TableText0"/>
              <w:keepLines/>
              <w:contextualSpacing/>
              <w:jc w:val="center"/>
              <w:rPr>
                <w:highlight w:val="darkGray"/>
              </w:rPr>
            </w:pPr>
            <w:r>
              <w:rPr>
                <w:color w:val="000000"/>
                <w:spacing w:val="50"/>
                <w:shd w:val="solid" w:color="000000" w:fill="000000"/>
                <w:fitText w:val="324" w:id="-628426748"/>
                <w14:textFill>
                  <w14:solidFill>
                    <w14:srgbClr w14:val="000000">
                      <w14:alpha w14:val="100000"/>
                    </w14:srgbClr>
                  </w14:solidFill>
                </w14:textFill>
              </w:rPr>
              <w:t>|||</w:t>
            </w:r>
            <w:r>
              <w:rPr>
                <w:color w:val="000000"/>
                <w:spacing w:val="2"/>
                <w:shd w:val="solid" w:color="000000" w:fill="000000"/>
                <w:fitText w:val="324" w:id="-628426748"/>
                <w14:textFill>
                  <w14:solidFill>
                    <w14:srgbClr w14:val="000000">
                      <w14:alpha w14:val="100000"/>
                    </w14:srgbClr>
                  </w14:solidFill>
                </w14:textFill>
              </w:rPr>
              <w:t>|</w:t>
            </w:r>
            <w:r w:rsidR="000718DC" w:rsidRPr="000718DC">
              <w:rPr>
                <w:vertAlign w:val="superscript"/>
              </w:rPr>
              <w:t>1</w:t>
            </w:r>
            <w:r w:rsidR="000718DC" w:rsidRPr="000718DC">
              <w:t xml:space="preserve"> </w:t>
            </w:r>
            <w:r>
              <w:rPr>
                <w:color w:val="000000"/>
                <w:spacing w:val="54"/>
                <w:shd w:val="solid" w:color="000000" w:fill="000000"/>
                <w:fitText w:val="336" w:id="-628426747"/>
                <w14:textFill>
                  <w14:solidFill>
                    <w14:srgbClr w14:val="000000">
                      <w14:alpha w14:val="100000"/>
                    </w14:srgbClr>
                  </w14:solidFill>
                </w14:textFill>
              </w:rPr>
              <w:t>|||</w:t>
            </w:r>
            <w:r>
              <w:rPr>
                <w:color w:val="000000"/>
                <w:spacing w:val="2"/>
                <w:shd w:val="solid" w:color="000000" w:fill="000000"/>
                <w:fitText w:val="336" w:id="-628426747"/>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A9E1718" w14:textId="3145AC7B" w:rsidR="00A3213F" w:rsidRPr="00FA4290" w:rsidRDefault="00165A53" w:rsidP="00107000">
            <w:pPr>
              <w:pStyle w:val="TableText0"/>
              <w:keepLines/>
              <w:contextualSpacing/>
              <w:jc w:val="center"/>
              <w:rPr>
                <w:highlight w:val="darkGray"/>
              </w:rPr>
            </w:pPr>
            <w:r>
              <w:rPr>
                <w:color w:val="000000"/>
                <w:spacing w:val="50"/>
                <w:shd w:val="solid" w:color="000000" w:fill="000000"/>
                <w:fitText w:val="324" w:id="-628426746"/>
                <w14:textFill>
                  <w14:solidFill>
                    <w14:srgbClr w14:val="000000">
                      <w14:alpha w14:val="100000"/>
                    </w14:srgbClr>
                  </w14:solidFill>
                </w14:textFill>
              </w:rPr>
              <w:t>|||</w:t>
            </w:r>
            <w:r>
              <w:rPr>
                <w:color w:val="000000"/>
                <w:spacing w:val="2"/>
                <w:shd w:val="solid" w:color="000000" w:fill="000000"/>
                <w:fitText w:val="324" w:id="-628426746"/>
                <w14:textFill>
                  <w14:solidFill>
                    <w14:srgbClr w14:val="000000">
                      <w14:alpha w14:val="100000"/>
                    </w14:srgbClr>
                  </w14:solidFill>
                </w14:textFill>
              </w:rPr>
              <w:t>|</w:t>
            </w:r>
            <w:r w:rsidR="000718DC" w:rsidRPr="000718DC">
              <w:rPr>
                <w:vertAlign w:val="superscript"/>
              </w:rPr>
              <w:t>1</w:t>
            </w:r>
            <w:r w:rsidR="000718DC" w:rsidRPr="000718DC">
              <w:t xml:space="preserve"> </w:t>
            </w:r>
            <w:r>
              <w:rPr>
                <w:color w:val="000000"/>
                <w:spacing w:val="54"/>
                <w:shd w:val="solid" w:color="000000" w:fill="000000"/>
                <w:fitText w:val="336" w:id="-628426745"/>
                <w14:textFill>
                  <w14:solidFill>
                    <w14:srgbClr w14:val="000000">
                      <w14:alpha w14:val="100000"/>
                    </w14:srgbClr>
                  </w14:solidFill>
                </w14:textFill>
              </w:rPr>
              <w:t>|||</w:t>
            </w:r>
            <w:r>
              <w:rPr>
                <w:color w:val="000000"/>
                <w:spacing w:val="2"/>
                <w:shd w:val="solid" w:color="000000" w:fill="000000"/>
                <w:fitText w:val="336" w:id="-628426745"/>
                <w14:textFill>
                  <w14:solidFill>
                    <w14:srgbClr w14:val="000000">
                      <w14:alpha w14:val="100000"/>
                    </w14:srgbClr>
                  </w14:solidFill>
                </w14:textFill>
              </w:rPr>
              <w:t>|</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DE8C937" w14:textId="3AB3F94C" w:rsidR="00A3213F" w:rsidRPr="00FA4290" w:rsidRDefault="00165A53" w:rsidP="00107000">
            <w:pPr>
              <w:pStyle w:val="TableText0"/>
              <w:keepLines/>
              <w:contextualSpacing/>
              <w:jc w:val="center"/>
              <w:rPr>
                <w:highlight w:val="darkGray"/>
              </w:rPr>
            </w:pPr>
            <w:r>
              <w:rPr>
                <w:color w:val="000000"/>
                <w:spacing w:val="54"/>
                <w:shd w:val="solid" w:color="000000" w:fill="000000"/>
                <w:fitText w:val="336" w:id="-628426744"/>
                <w14:textFill>
                  <w14:solidFill>
                    <w14:srgbClr w14:val="000000">
                      <w14:alpha w14:val="100000"/>
                    </w14:srgbClr>
                  </w14:solidFill>
                </w14:textFill>
              </w:rPr>
              <w:t>|||</w:t>
            </w:r>
            <w:r>
              <w:rPr>
                <w:color w:val="000000"/>
                <w:spacing w:val="2"/>
                <w:shd w:val="solid" w:color="000000" w:fill="000000"/>
                <w:fitText w:val="336" w:id="-628426744"/>
                <w14:textFill>
                  <w14:solidFill>
                    <w14:srgbClr w14:val="000000">
                      <w14:alpha w14:val="100000"/>
                    </w14:srgbClr>
                  </w14:solidFill>
                </w14:textFill>
              </w:rPr>
              <w:t>|</w:t>
            </w:r>
            <w:r w:rsidR="000718DC" w:rsidRPr="000718DC">
              <w:rPr>
                <w:vertAlign w:val="superscript"/>
              </w:rPr>
              <w:t>1</w:t>
            </w:r>
            <w:r w:rsidR="000718DC" w:rsidRPr="000718DC">
              <w:t xml:space="preserve"> </w:t>
            </w:r>
            <w:r>
              <w:rPr>
                <w:color w:val="000000"/>
                <w:spacing w:val="54"/>
                <w:shd w:val="solid" w:color="000000" w:fill="000000"/>
                <w:fitText w:val="336" w:id="-628426743"/>
                <w14:textFill>
                  <w14:solidFill>
                    <w14:srgbClr w14:val="000000">
                      <w14:alpha w14:val="100000"/>
                    </w14:srgbClr>
                  </w14:solidFill>
                </w14:textFill>
              </w:rPr>
              <w:t>|||</w:t>
            </w:r>
            <w:r>
              <w:rPr>
                <w:color w:val="000000"/>
                <w:spacing w:val="2"/>
                <w:shd w:val="solid" w:color="000000" w:fill="000000"/>
                <w:fitText w:val="336" w:id="-628426743"/>
                <w14:textFill>
                  <w14:solidFill>
                    <w14:srgbClr w14:val="000000">
                      <w14:alpha w14:val="100000"/>
                    </w14:srgbClr>
                  </w14:solidFill>
                </w14:textFill>
              </w:rPr>
              <w:t>|</w:t>
            </w:r>
          </w:p>
        </w:tc>
      </w:tr>
      <w:tr w:rsidR="008E511C" w:rsidRPr="00497260" w14:paraId="3985AF14" w14:textId="77777777" w:rsidTr="001E26DD">
        <w:tc>
          <w:tcPr>
            <w:tcW w:w="4779" w:type="dxa"/>
            <w:gridSpan w:val="3"/>
            <w:tcBorders>
              <w:right w:val="nil"/>
            </w:tcBorders>
            <w:tcMar>
              <w:left w:w="20" w:type="dxa"/>
              <w:right w:w="20" w:type="dxa"/>
            </w:tcMar>
            <w:vAlign w:val="center"/>
          </w:tcPr>
          <w:p w14:paraId="4DD887D2" w14:textId="6D4E9C0F" w:rsidR="008E511C" w:rsidRPr="00497260" w:rsidRDefault="008E511C" w:rsidP="008E511C">
            <w:pPr>
              <w:pStyle w:val="TableText0"/>
              <w:keepLines/>
              <w:contextualSpacing/>
            </w:pPr>
            <w:r w:rsidRPr="00497260">
              <w:rPr>
                <w:b/>
                <w:bCs w:val="0"/>
              </w:rPr>
              <w:t>Number of scripts (PBS + RPBS), dMMR</w:t>
            </w:r>
          </w:p>
        </w:tc>
        <w:tc>
          <w:tcPr>
            <w:tcW w:w="1064" w:type="dxa"/>
            <w:tcBorders>
              <w:top w:val="single" w:sz="4" w:space="0" w:color="auto"/>
              <w:left w:val="nil"/>
              <w:bottom w:val="single" w:sz="4" w:space="0" w:color="auto"/>
              <w:right w:val="nil"/>
            </w:tcBorders>
            <w:tcMar>
              <w:left w:w="20" w:type="dxa"/>
              <w:right w:w="20" w:type="dxa"/>
            </w:tcMar>
            <w:vAlign w:val="center"/>
          </w:tcPr>
          <w:p w14:paraId="06DF73C3" w14:textId="77777777" w:rsidR="008E511C" w:rsidRPr="00497260" w:rsidRDefault="008E511C" w:rsidP="00107000">
            <w:pPr>
              <w:pStyle w:val="TableText0"/>
              <w:keepLines/>
              <w:contextualSpacing/>
              <w:jc w:val="center"/>
            </w:pPr>
          </w:p>
        </w:tc>
        <w:tc>
          <w:tcPr>
            <w:tcW w:w="1064" w:type="dxa"/>
            <w:tcBorders>
              <w:top w:val="single" w:sz="4" w:space="0" w:color="auto"/>
              <w:left w:val="nil"/>
              <w:bottom w:val="single" w:sz="4" w:space="0" w:color="auto"/>
              <w:right w:val="nil"/>
            </w:tcBorders>
            <w:tcMar>
              <w:left w:w="20" w:type="dxa"/>
              <w:right w:w="20" w:type="dxa"/>
            </w:tcMar>
            <w:vAlign w:val="center"/>
          </w:tcPr>
          <w:p w14:paraId="4568A59B" w14:textId="77777777" w:rsidR="008E511C" w:rsidRPr="00497260" w:rsidRDefault="008E511C" w:rsidP="00107000">
            <w:pPr>
              <w:pStyle w:val="TableText0"/>
              <w:keepLines/>
              <w:contextualSpacing/>
              <w:jc w:val="center"/>
            </w:pPr>
          </w:p>
        </w:tc>
        <w:tc>
          <w:tcPr>
            <w:tcW w:w="1064" w:type="dxa"/>
            <w:tcBorders>
              <w:top w:val="single" w:sz="4" w:space="0" w:color="auto"/>
              <w:left w:val="nil"/>
              <w:bottom w:val="single" w:sz="4" w:space="0" w:color="auto"/>
              <w:right w:val="nil"/>
            </w:tcBorders>
            <w:tcMar>
              <w:left w:w="20" w:type="dxa"/>
              <w:right w:w="20" w:type="dxa"/>
            </w:tcMar>
            <w:vAlign w:val="center"/>
          </w:tcPr>
          <w:p w14:paraId="5AA5F3C3" w14:textId="77777777" w:rsidR="008E511C" w:rsidRPr="00497260" w:rsidRDefault="008E511C" w:rsidP="00107000">
            <w:pPr>
              <w:pStyle w:val="TableText0"/>
              <w:keepLines/>
              <w:contextualSpacing/>
              <w:jc w:val="center"/>
            </w:pP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2B85727B" w14:textId="77777777" w:rsidR="008E511C" w:rsidRPr="00497260" w:rsidRDefault="008E511C" w:rsidP="00107000">
            <w:pPr>
              <w:pStyle w:val="TableText0"/>
              <w:keepLines/>
              <w:contextualSpacing/>
              <w:jc w:val="center"/>
            </w:pPr>
          </w:p>
        </w:tc>
      </w:tr>
      <w:tr w:rsidR="00A3213F" w:rsidRPr="00497260" w14:paraId="53A5CFFF" w14:textId="77777777" w:rsidTr="00BB742C">
        <w:tc>
          <w:tcPr>
            <w:tcW w:w="2651" w:type="dxa"/>
            <w:tcBorders>
              <w:right w:val="single" w:sz="4" w:space="0" w:color="auto"/>
            </w:tcBorders>
            <w:tcMar>
              <w:left w:w="20" w:type="dxa"/>
              <w:right w:w="20" w:type="dxa"/>
            </w:tcMar>
            <w:vAlign w:val="center"/>
          </w:tcPr>
          <w:p w14:paraId="589A564D" w14:textId="6DE6715A" w:rsidR="00A3213F" w:rsidRPr="00497260" w:rsidRDefault="008E511C" w:rsidP="00107000">
            <w:pPr>
              <w:pStyle w:val="TableText0"/>
              <w:keepLines/>
              <w:contextualSpacing/>
              <w:rPr>
                <w:vertAlign w:val="superscript"/>
              </w:rPr>
            </w:pPr>
            <w:r w:rsidRPr="00497260">
              <w:t>I</w:t>
            </w:r>
            <w:r w:rsidR="00A3213F" w:rsidRPr="00497260">
              <w:t xml:space="preserve">nitial 200mg Q3W </w:t>
            </w:r>
            <w:r w:rsidR="00A3213F" w:rsidRPr="00497260">
              <w:rPr>
                <w:vertAlign w:val="superscript"/>
              </w:rPr>
              <w:t>a</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3ED9F1E" w14:textId="5D3D57F2" w:rsidR="00A3213F" w:rsidRPr="00FA4290" w:rsidRDefault="00165A53" w:rsidP="00107000">
            <w:pPr>
              <w:pStyle w:val="TableText0"/>
              <w:keepLines/>
              <w:contextualSpacing/>
              <w:jc w:val="center"/>
              <w:rPr>
                <w:highlight w:val="darkGray"/>
              </w:rPr>
            </w:pPr>
            <w:r>
              <w:rPr>
                <w:rFonts w:cs="Arial"/>
                <w:color w:val="000000"/>
                <w:spacing w:val="50"/>
                <w:szCs w:val="20"/>
                <w:shd w:val="solid" w:color="000000" w:fill="000000"/>
                <w:fitText w:val="324" w:id="-628426742"/>
                <w14:textFill>
                  <w14:solidFill>
                    <w14:srgbClr w14:val="000000">
                      <w14:alpha w14:val="100000"/>
                    </w14:srgbClr>
                  </w14:solidFill>
                </w14:textFill>
              </w:rPr>
              <w:t>|||</w:t>
            </w:r>
            <w:r>
              <w:rPr>
                <w:rFonts w:cs="Arial"/>
                <w:color w:val="000000"/>
                <w:spacing w:val="2"/>
                <w:szCs w:val="20"/>
                <w:shd w:val="solid" w:color="000000" w:fill="000000"/>
                <w:fitText w:val="324" w:id="-628426742"/>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3DFDFEE4" w14:textId="7CBD636F" w:rsidR="00A3213F" w:rsidRPr="00FA4290" w:rsidRDefault="00165A53" w:rsidP="00107000">
            <w:pPr>
              <w:pStyle w:val="TableText0"/>
              <w:keepLines/>
              <w:contextualSpacing/>
              <w:jc w:val="center"/>
              <w:rPr>
                <w:highlight w:val="darkGray"/>
              </w:rPr>
            </w:pPr>
            <w:r>
              <w:rPr>
                <w:rFonts w:cs="Arial"/>
                <w:color w:val="000000"/>
                <w:spacing w:val="50"/>
                <w:szCs w:val="20"/>
                <w:shd w:val="solid" w:color="000000" w:fill="000000"/>
                <w:fitText w:val="324" w:id="-628426741"/>
                <w14:textFill>
                  <w14:solidFill>
                    <w14:srgbClr w14:val="000000">
                      <w14:alpha w14:val="100000"/>
                    </w14:srgbClr>
                  </w14:solidFill>
                </w14:textFill>
              </w:rPr>
              <w:t>|||</w:t>
            </w:r>
            <w:r>
              <w:rPr>
                <w:rFonts w:cs="Arial"/>
                <w:color w:val="000000"/>
                <w:spacing w:val="2"/>
                <w:szCs w:val="20"/>
                <w:shd w:val="solid" w:color="000000" w:fill="000000"/>
                <w:fitText w:val="324" w:id="-628426741"/>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5428451F" w14:textId="46371764" w:rsidR="00A3213F" w:rsidRPr="00FA4290" w:rsidRDefault="00165A53" w:rsidP="00107000">
            <w:pPr>
              <w:pStyle w:val="TableText0"/>
              <w:keepLines/>
              <w:contextualSpacing/>
              <w:jc w:val="center"/>
              <w:rPr>
                <w:highlight w:val="darkGray"/>
              </w:rPr>
            </w:pPr>
            <w:r>
              <w:rPr>
                <w:rFonts w:cs="Arial"/>
                <w:color w:val="000000"/>
                <w:spacing w:val="50"/>
                <w:szCs w:val="20"/>
                <w:shd w:val="solid" w:color="000000" w:fill="000000"/>
                <w:fitText w:val="324" w:id="-628426740"/>
                <w14:textFill>
                  <w14:solidFill>
                    <w14:srgbClr w14:val="000000">
                      <w14:alpha w14:val="100000"/>
                    </w14:srgbClr>
                  </w14:solidFill>
                </w14:textFill>
              </w:rPr>
              <w:t>|||</w:t>
            </w:r>
            <w:r>
              <w:rPr>
                <w:rFonts w:cs="Arial"/>
                <w:color w:val="000000"/>
                <w:spacing w:val="2"/>
                <w:szCs w:val="20"/>
                <w:shd w:val="solid" w:color="000000" w:fill="000000"/>
                <w:fitText w:val="324" w:id="-628426740"/>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27F09D5D" w14:textId="55E0DEDB" w:rsidR="00A3213F" w:rsidRPr="00FA4290" w:rsidRDefault="00165A53" w:rsidP="00107000">
            <w:pPr>
              <w:pStyle w:val="TableText0"/>
              <w:keepLines/>
              <w:contextualSpacing/>
              <w:jc w:val="center"/>
              <w:rPr>
                <w:highlight w:val="darkGray"/>
              </w:rPr>
            </w:pPr>
            <w:r>
              <w:rPr>
                <w:rFonts w:cs="Arial"/>
                <w:color w:val="000000"/>
                <w:spacing w:val="50"/>
                <w:szCs w:val="20"/>
                <w:shd w:val="solid" w:color="000000" w:fill="000000"/>
                <w:fitText w:val="324" w:id="-628426739"/>
                <w14:textFill>
                  <w14:solidFill>
                    <w14:srgbClr w14:val="000000">
                      <w14:alpha w14:val="100000"/>
                    </w14:srgbClr>
                  </w14:solidFill>
                </w14:textFill>
              </w:rPr>
              <w:t>|||</w:t>
            </w:r>
            <w:r>
              <w:rPr>
                <w:rFonts w:cs="Arial"/>
                <w:color w:val="000000"/>
                <w:spacing w:val="2"/>
                <w:szCs w:val="20"/>
                <w:shd w:val="solid" w:color="000000" w:fill="000000"/>
                <w:fitText w:val="324" w:id="-628426739"/>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54D1D03A" w14:textId="525FB29F" w:rsidR="00A3213F" w:rsidRPr="00FA4290" w:rsidRDefault="00165A53" w:rsidP="00107000">
            <w:pPr>
              <w:pStyle w:val="TableText0"/>
              <w:keepLines/>
              <w:contextualSpacing/>
              <w:jc w:val="center"/>
              <w:rPr>
                <w:highlight w:val="darkGray"/>
              </w:rPr>
            </w:pPr>
            <w:r>
              <w:rPr>
                <w:rFonts w:cs="Arial"/>
                <w:color w:val="000000"/>
                <w:spacing w:val="50"/>
                <w:szCs w:val="20"/>
                <w:shd w:val="solid" w:color="000000" w:fill="000000"/>
                <w:fitText w:val="324" w:id="-628426738"/>
                <w14:textFill>
                  <w14:solidFill>
                    <w14:srgbClr w14:val="000000">
                      <w14:alpha w14:val="100000"/>
                    </w14:srgbClr>
                  </w14:solidFill>
                </w14:textFill>
              </w:rPr>
              <w:t>|||</w:t>
            </w:r>
            <w:r>
              <w:rPr>
                <w:rFonts w:cs="Arial"/>
                <w:color w:val="000000"/>
                <w:spacing w:val="2"/>
                <w:szCs w:val="20"/>
                <w:shd w:val="solid" w:color="000000" w:fill="000000"/>
                <w:fitText w:val="324" w:id="-628426738"/>
                <w14:textFill>
                  <w14:solidFill>
                    <w14:srgbClr w14:val="000000">
                      <w14:alpha w14:val="100000"/>
                    </w14:srgbClr>
                  </w14:solidFill>
                </w14:textFill>
              </w:rPr>
              <w:t>|</w:t>
            </w:r>
            <w:r w:rsidR="00E54862" w:rsidRPr="00E54862">
              <w:rPr>
                <w:rFonts w:cs="Arial"/>
                <w:color w:val="000000"/>
                <w:szCs w:val="20"/>
                <w:vertAlign w:val="superscript"/>
              </w:rPr>
              <w:t>2</w:t>
            </w: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102E19F0" w14:textId="6FDB4491" w:rsidR="00A3213F" w:rsidRPr="00FA4290" w:rsidRDefault="00165A53" w:rsidP="00107000">
            <w:pPr>
              <w:pStyle w:val="TableText0"/>
              <w:keepLines/>
              <w:contextualSpacing/>
              <w:jc w:val="center"/>
              <w:rPr>
                <w:highlight w:val="darkGray"/>
              </w:rPr>
            </w:pPr>
            <w:r>
              <w:rPr>
                <w:rFonts w:cs="Arial"/>
                <w:color w:val="000000"/>
                <w:spacing w:val="50"/>
                <w:szCs w:val="20"/>
                <w:shd w:val="solid" w:color="000000" w:fill="000000"/>
                <w:fitText w:val="324" w:id="-628426737"/>
                <w14:textFill>
                  <w14:solidFill>
                    <w14:srgbClr w14:val="000000">
                      <w14:alpha w14:val="100000"/>
                    </w14:srgbClr>
                  </w14:solidFill>
                </w14:textFill>
              </w:rPr>
              <w:t>|||</w:t>
            </w:r>
            <w:r>
              <w:rPr>
                <w:rFonts w:cs="Arial"/>
                <w:color w:val="000000"/>
                <w:spacing w:val="2"/>
                <w:szCs w:val="20"/>
                <w:shd w:val="solid" w:color="000000" w:fill="000000"/>
                <w:fitText w:val="324" w:id="-628426737"/>
                <w14:textFill>
                  <w14:solidFill>
                    <w14:srgbClr w14:val="000000">
                      <w14:alpha w14:val="100000"/>
                    </w14:srgbClr>
                  </w14:solidFill>
                </w14:textFill>
              </w:rPr>
              <w:t>|</w:t>
            </w:r>
            <w:r w:rsidR="00E54862" w:rsidRPr="00E54862">
              <w:rPr>
                <w:rFonts w:cs="Arial"/>
                <w:color w:val="000000"/>
                <w:szCs w:val="20"/>
                <w:vertAlign w:val="superscript"/>
              </w:rPr>
              <w:t>2</w:t>
            </w:r>
            <w:r>
              <w:rPr>
                <w:rFonts w:cs="Arial"/>
                <w:color w:val="000000"/>
                <w:spacing w:val="50"/>
                <w:szCs w:val="20"/>
                <w:shd w:val="solid" w:color="000000" w:fill="000000"/>
                <w:fitText w:val="324" w:id="-628426736"/>
                <w14:textFill>
                  <w14:solidFill>
                    <w14:srgbClr w14:val="000000">
                      <w14:alpha w14:val="100000"/>
                    </w14:srgbClr>
                  </w14:solidFill>
                </w14:textFill>
              </w:rPr>
              <w:t>|||</w:t>
            </w:r>
            <w:r>
              <w:rPr>
                <w:rFonts w:cs="Arial"/>
                <w:color w:val="000000"/>
                <w:spacing w:val="2"/>
                <w:szCs w:val="20"/>
                <w:shd w:val="solid" w:color="000000" w:fill="000000"/>
                <w:fitText w:val="324" w:id="-628426736"/>
                <w14:textFill>
                  <w14:solidFill>
                    <w14:srgbClr w14:val="000000">
                      <w14:alpha w14:val="100000"/>
                    </w14:srgbClr>
                  </w14:solidFill>
                </w14:textFill>
              </w:rPr>
              <w:t>|</w:t>
            </w:r>
          </w:p>
        </w:tc>
      </w:tr>
      <w:tr w:rsidR="00A3213F" w:rsidRPr="00497260" w14:paraId="5A356E44" w14:textId="77777777" w:rsidTr="00BB742C">
        <w:tc>
          <w:tcPr>
            <w:tcW w:w="2651" w:type="dxa"/>
            <w:tcBorders>
              <w:right w:val="single" w:sz="4" w:space="0" w:color="auto"/>
            </w:tcBorders>
            <w:tcMar>
              <w:left w:w="20" w:type="dxa"/>
              <w:right w:w="20" w:type="dxa"/>
            </w:tcMar>
            <w:vAlign w:val="center"/>
          </w:tcPr>
          <w:p w14:paraId="1B29523D" w14:textId="18873CDD" w:rsidR="00A3213F" w:rsidRPr="00497260" w:rsidRDefault="008E511C" w:rsidP="00107000">
            <w:pPr>
              <w:pStyle w:val="TableText0"/>
              <w:keepLines/>
              <w:contextualSpacing/>
              <w:rPr>
                <w:vertAlign w:val="superscript"/>
              </w:rPr>
            </w:pPr>
            <w:r w:rsidRPr="00497260">
              <w:t>C</w:t>
            </w:r>
            <w:r w:rsidR="00A3213F" w:rsidRPr="00497260">
              <w:t xml:space="preserve">ontinuing 400mg Q6W </w:t>
            </w:r>
            <w:r w:rsidR="00A3213F" w:rsidRPr="00497260">
              <w:rPr>
                <w:vertAlign w:val="superscript"/>
              </w:rPr>
              <w:t>b</w:t>
            </w:r>
          </w:p>
        </w:tc>
        <w:tc>
          <w:tcPr>
            <w:tcW w:w="1064" w:type="dxa"/>
            <w:tcBorders>
              <w:top w:val="single" w:sz="4" w:space="0" w:color="auto"/>
              <w:left w:val="nil"/>
              <w:bottom w:val="single" w:sz="4" w:space="0" w:color="auto"/>
              <w:right w:val="single" w:sz="4" w:space="0" w:color="auto"/>
            </w:tcBorders>
            <w:tcMar>
              <w:left w:w="20" w:type="dxa"/>
              <w:right w:w="20" w:type="dxa"/>
            </w:tcMar>
            <w:vAlign w:val="bottom"/>
          </w:tcPr>
          <w:p w14:paraId="1B44B784" w14:textId="65481E25" w:rsidR="00A3213F" w:rsidRPr="00FA4290" w:rsidRDefault="00165A53" w:rsidP="00107000">
            <w:pPr>
              <w:pStyle w:val="TableText0"/>
              <w:keepLines/>
              <w:contextualSpacing/>
              <w:jc w:val="center"/>
              <w:rPr>
                <w:szCs w:val="20"/>
                <w:highlight w:val="darkGray"/>
              </w:rPr>
            </w:pPr>
            <w:r w:rsidRPr="00165A53">
              <w:rPr>
                <w:color w:val="000000"/>
                <w:spacing w:val="51"/>
                <w:szCs w:val="20"/>
                <w:shd w:val="solid" w:color="000000" w:fill="000000"/>
                <w:fitText w:val="324" w:id="-628426752"/>
                <w14:textFill>
                  <w14:solidFill>
                    <w14:srgbClr w14:val="000000">
                      <w14:alpha w14:val="100000"/>
                    </w14:srgbClr>
                  </w14:solidFill>
                </w14:textFill>
              </w:rPr>
              <w:t>|||</w:t>
            </w:r>
            <w:r w:rsidRPr="00165A53">
              <w:rPr>
                <w:color w:val="000000"/>
                <w:spacing w:val="1"/>
                <w:szCs w:val="20"/>
                <w:shd w:val="solid" w:color="000000" w:fill="000000"/>
                <w:fitText w:val="324" w:id="-628426752"/>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36411620" w14:textId="50B0F224" w:rsidR="00A3213F" w:rsidRPr="00FA4290" w:rsidRDefault="00165A53" w:rsidP="00107000">
            <w:pPr>
              <w:pStyle w:val="TableText0"/>
              <w:keepLines/>
              <w:contextualSpacing/>
              <w:jc w:val="center"/>
              <w:rPr>
                <w:szCs w:val="20"/>
                <w:highlight w:val="darkGray"/>
              </w:rPr>
            </w:pPr>
            <w:r w:rsidRPr="00165A53">
              <w:rPr>
                <w:color w:val="000000"/>
                <w:spacing w:val="51"/>
                <w:szCs w:val="20"/>
                <w:shd w:val="solid" w:color="000000" w:fill="000000"/>
                <w:fitText w:val="324" w:id="-628426751"/>
                <w14:textFill>
                  <w14:solidFill>
                    <w14:srgbClr w14:val="000000">
                      <w14:alpha w14:val="100000"/>
                    </w14:srgbClr>
                  </w14:solidFill>
                </w14:textFill>
              </w:rPr>
              <w:t>|||</w:t>
            </w:r>
            <w:r w:rsidRPr="00165A53">
              <w:rPr>
                <w:color w:val="000000"/>
                <w:spacing w:val="1"/>
                <w:szCs w:val="20"/>
                <w:shd w:val="solid" w:color="000000" w:fill="000000"/>
                <w:fitText w:val="324" w:id="-628426751"/>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79FA94ED" w14:textId="77450A79" w:rsidR="00A3213F" w:rsidRPr="00FA4290" w:rsidRDefault="00165A53" w:rsidP="00107000">
            <w:pPr>
              <w:pStyle w:val="TableText0"/>
              <w:keepLines/>
              <w:contextualSpacing/>
              <w:jc w:val="center"/>
              <w:rPr>
                <w:szCs w:val="20"/>
                <w:highlight w:val="darkGray"/>
              </w:rPr>
            </w:pPr>
            <w:r w:rsidRPr="00165A53">
              <w:rPr>
                <w:color w:val="000000"/>
                <w:spacing w:val="51"/>
                <w:szCs w:val="20"/>
                <w:shd w:val="solid" w:color="000000" w:fill="000000"/>
                <w:fitText w:val="324" w:id="-628426750"/>
                <w14:textFill>
                  <w14:solidFill>
                    <w14:srgbClr w14:val="000000">
                      <w14:alpha w14:val="100000"/>
                    </w14:srgbClr>
                  </w14:solidFill>
                </w14:textFill>
              </w:rPr>
              <w:t>|||</w:t>
            </w:r>
            <w:r w:rsidRPr="00165A53">
              <w:rPr>
                <w:color w:val="000000"/>
                <w:spacing w:val="1"/>
                <w:szCs w:val="20"/>
                <w:shd w:val="solid" w:color="000000" w:fill="000000"/>
                <w:fitText w:val="324" w:id="-628426750"/>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1D3036FE" w14:textId="4250E886" w:rsidR="00A3213F" w:rsidRPr="00FA4290" w:rsidRDefault="00165A53" w:rsidP="00107000">
            <w:pPr>
              <w:pStyle w:val="TableText0"/>
              <w:keepLines/>
              <w:contextualSpacing/>
              <w:jc w:val="center"/>
              <w:rPr>
                <w:szCs w:val="20"/>
                <w:highlight w:val="darkGray"/>
              </w:rPr>
            </w:pPr>
            <w:r w:rsidRPr="00165A53">
              <w:rPr>
                <w:color w:val="000000"/>
                <w:spacing w:val="51"/>
                <w:szCs w:val="20"/>
                <w:shd w:val="solid" w:color="000000" w:fill="000000"/>
                <w:fitText w:val="324" w:id="-628426749"/>
                <w14:textFill>
                  <w14:solidFill>
                    <w14:srgbClr w14:val="000000">
                      <w14:alpha w14:val="100000"/>
                    </w14:srgbClr>
                  </w14:solidFill>
                </w14:textFill>
              </w:rPr>
              <w:t>|||</w:t>
            </w:r>
            <w:r w:rsidRPr="00165A53">
              <w:rPr>
                <w:color w:val="000000"/>
                <w:spacing w:val="1"/>
                <w:szCs w:val="20"/>
                <w:shd w:val="solid" w:color="000000" w:fill="000000"/>
                <w:fitText w:val="324" w:id="-628426749"/>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5DBA8184" w14:textId="4036C020" w:rsidR="00A3213F" w:rsidRPr="00FA4290" w:rsidRDefault="00165A53" w:rsidP="00107000">
            <w:pPr>
              <w:pStyle w:val="TableText0"/>
              <w:keepLines/>
              <w:contextualSpacing/>
              <w:jc w:val="center"/>
              <w:rPr>
                <w:szCs w:val="20"/>
                <w:highlight w:val="darkGray"/>
              </w:rPr>
            </w:pPr>
            <w:r w:rsidRPr="00165A53">
              <w:rPr>
                <w:color w:val="000000"/>
                <w:spacing w:val="51"/>
                <w:szCs w:val="20"/>
                <w:shd w:val="solid" w:color="000000" w:fill="000000"/>
                <w:fitText w:val="324" w:id="-628426748"/>
                <w14:textFill>
                  <w14:solidFill>
                    <w14:srgbClr w14:val="000000">
                      <w14:alpha w14:val="100000"/>
                    </w14:srgbClr>
                  </w14:solidFill>
                </w14:textFill>
              </w:rPr>
              <w:t>|||</w:t>
            </w:r>
            <w:r w:rsidRPr="00165A53">
              <w:rPr>
                <w:color w:val="000000"/>
                <w:spacing w:val="1"/>
                <w:szCs w:val="20"/>
                <w:shd w:val="solid" w:color="000000" w:fill="000000"/>
                <w:fitText w:val="324" w:id="-628426748"/>
                <w14:textFill>
                  <w14:solidFill>
                    <w14:srgbClr w14:val="000000">
                      <w14:alpha w14:val="100000"/>
                    </w14:srgbClr>
                  </w14:solidFill>
                </w14:textFill>
              </w:rPr>
              <w:t>|</w:t>
            </w:r>
            <w:r w:rsidR="00E54862" w:rsidRPr="00E54862">
              <w:rPr>
                <w:rFonts w:cs="Arial"/>
                <w:color w:val="000000"/>
                <w:szCs w:val="20"/>
                <w:vertAlign w:val="superscript"/>
              </w:rPr>
              <w:t>2</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57079D96" w14:textId="1F68A807" w:rsidR="00A3213F" w:rsidRPr="00FA4290" w:rsidRDefault="00165A53" w:rsidP="00107000">
            <w:pPr>
              <w:pStyle w:val="TableText0"/>
              <w:keepLines/>
              <w:contextualSpacing/>
              <w:jc w:val="center"/>
              <w:rPr>
                <w:szCs w:val="20"/>
                <w:highlight w:val="darkGray"/>
              </w:rPr>
            </w:pPr>
            <w:r w:rsidRPr="00165A53">
              <w:rPr>
                <w:color w:val="000000"/>
                <w:spacing w:val="55"/>
                <w:szCs w:val="20"/>
                <w:shd w:val="solid" w:color="000000" w:fill="000000"/>
                <w:fitText w:val="336" w:id="-628426747"/>
                <w14:textFill>
                  <w14:solidFill>
                    <w14:srgbClr w14:val="000000">
                      <w14:alpha w14:val="100000"/>
                    </w14:srgbClr>
                  </w14:solidFill>
                </w14:textFill>
              </w:rPr>
              <w:t>|||</w:t>
            </w:r>
            <w:r w:rsidRPr="00165A53">
              <w:rPr>
                <w:color w:val="000000"/>
                <w:spacing w:val="1"/>
                <w:szCs w:val="20"/>
                <w:shd w:val="solid" w:color="000000" w:fill="000000"/>
                <w:fitText w:val="336" w:id="-628426747"/>
                <w14:textFill>
                  <w14:solidFill>
                    <w14:srgbClr w14:val="000000">
                      <w14:alpha w14:val="100000"/>
                    </w14:srgbClr>
                  </w14:solidFill>
                </w14:textFill>
              </w:rPr>
              <w:t>|</w:t>
            </w:r>
            <w:r w:rsidR="00E54862" w:rsidRPr="00E54862">
              <w:rPr>
                <w:rFonts w:cs="Arial"/>
                <w:color w:val="000000"/>
                <w:szCs w:val="20"/>
                <w:vertAlign w:val="superscript"/>
              </w:rPr>
              <w:t>2</w:t>
            </w:r>
          </w:p>
        </w:tc>
      </w:tr>
      <w:tr w:rsidR="00EF1852" w:rsidRPr="00497260" w14:paraId="50BA9DE0" w14:textId="77777777" w:rsidTr="00DE2ED0">
        <w:tc>
          <w:tcPr>
            <w:tcW w:w="2651" w:type="dxa"/>
            <w:tcBorders>
              <w:bottom w:val="single" w:sz="4" w:space="0" w:color="auto"/>
              <w:right w:val="single" w:sz="4" w:space="0" w:color="auto"/>
            </w:tcBorders>
            <w:tcMar>
              <w:left w:w="20" w:type="dxa"/>
              <w:right w:w="20" w:type="dxa"/>
            </w:tcMar>
            <w:vAlign w:val="center"/>
          </w:tcPr>
          <w:p w14:paraId="0E8E2CF5" w14:textId="77777777" w:rsidR="00EF1852" w:rsidRPr="00497260" w:rsidRDefault="00EF1852" w:rsidP="00EF1852">
            <w:pPr>
              <w:pStyle w:val="TableText0"/>
              <w:keepLines/>
              <w:contextualSpacing/>
            </w:pPr>
            <w:r w:rsidRPr="00497260">
              <w:t>Total scripts</w:t>
            </w:r>
          </w:p>
        </w:tc>
        <w:tc>
          <w:tcPr>
            <w:tcW w:w="1064" w:type="dxa"/>
            <w:tcBorders>
              <w:top w:val="single" w:sz="4" w:space="0" w:color="auto"/>
              <w:left w:val="nil"/>
              <w:bottom w:val="single" w:sz="4" w:space="0" w:color="auto"/>
              <w:right w:val="single" w:sz="4" w:space="0" w:color="auto"/>
            </w:tcBorders>
            <w:tcMar>
              <w:left w:w="20" w:type="dxa"/>
              <w:right w:w="20" w:type="dxa"/>
            </w:tcMar>
          </w:tcPr>
          <w:p w14:paraId="7F5F6115" w14:textId="4E615DE8" w:rsidR="00EF1852" w:rsidRPr="00FA4290" w:rsidRDefault="00165A53" w:rsidP="00EF1852">
            <w:pPr>
              <w:pStyle w:val="TableText0"/>
              <w:keepLines/>
              <w:contextualSpacing/>
              <w:jc w:val="center"/>
              <w:rPr>
                <w:szCs w:val="20"/>
                <w:highlight w:val="darkGray"/>
              </w:rPr>
            </w:pPr>
            <w:r w:rsidRPr="00165A53">
              <w:rPr>
                <w:color w:val="000000"/>
                <w:spacing w:val="51"/>
                <w:shd w:val="solid" w:color="000000" w:fill="000000"/>
                <w:fitText w:val="324" w:id="-628426746"/>
                <w14:textFill>
                  <w14:solidFill>
                    <w14:srgbClr w14:val="000000">
                      <w14:alpha w14:val="100000"/>
                    </w14:srgbClr>
                  </w14:solidFill>
                </w14:textFill>
              </w:rPr>
              <w:t>|||</w:t>
            </w:r>
            <w:r w:rsidRPr="00165A53">
              <w:rPr>
                <w:color w:val="000000"/>
                <w:spacing w:val="1"/>
                <w:shd w:val="solid" w:color="000000" w:fill="000000"/>
                <w:fitText w:val="324" w:id="-628426746"/>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091C57AC" w14:textId="44B6F693" w:rsidR="00EF1852" w:rsidRPr="00FA4290" w:rsidRDefault="00165A53" w:rsidP="00EF1852">
            <w:pPr>
              <w:pStyle w:val="TableText0"/>
              <w:keepLines/>
              <w:contextualSpacing/>
              <w:jc w:val="center"/>
              <w:rPr>
                <w:szCs w:val="20"/>
                <w:highlight w:val="darkGray"/>
              </w:rPr>
            </w:pPr>
            <w:r w:rsidRPr="00165A53">
              <w:rPr>
                <w:color w:val="000000"/>
                <w:spacing w:val="51"/>
                <w:shd w:val="solid" w:color="000000" w:fill="000000"/>
                <w:fitText w:val="324" w:id="-628426745"/>
                <w14:textFill>
                  <w14:solidFill>
                    <w14:srgbClr w14:val="000000">
                      <w14:alpha w14:val="100000"/>
                    </w14:srgbClr>
                  </w14:solidFill>
                </w14:textFill>
              </w:rPr>
              <w:t>|||</w:t>
            </w:r>
            <w:r w:rsidRPr="00165A53">
              <w:rPr>
                <w:color w:val="000000"/>
                <w:spacing w:val="1"/>
                <w:shd w:val="solid" w:color="000000" w:fill="000000"/>
                <w:fitText w:val="324" w:id="-628426745"/>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1F5C0A79" w14:textId="2716434D" w:rsidR="00EF1852" w:rsidRPr="00FA4290" w:rsidRDefault="00165A53" w:rsidP="00EF1852">
            <w:pPr>
              <w:pStyle w:val="TableText0"/>
              <w:keepLines/>
              <w:contextualSpacing/>
              <w:jc w:val="center"/>
              <w:rPr>
                <w:szCs w:val="20"/>
                <w:highlight w:val="darkGray"/>
              </w:rPr>
            </w:pPr>
            <w:r w:rsidRPr="00165A53">
              <w:rPr>
                <w:color w:val="000000"/>
                <w:spacing w:val="51"/>
                <w:shd w:val="solid" w:color="000000" w:fill="000000"/>
                <w:fitText w:val="324" w:id="-628426744"/>
                <w14:textFill>
                  <w14:solidFill>
                    <w14:srgbClr w14:val="000000">
                      <w14:alpha w14:val="100000"/>
                    </w14:srgbClr>
                  </w14:solidFill>
                </w14:textFill>
              </w:rPr>
              <w:t>|||</w:t>
            </w:r>
            <w:r w:rsidRPr="00165A53">
              <w:rPr>
                <w:color w:val="000000"/>
                <w:spacing w:val="1"/>
                <w:shd w:val="solid" w:color="000000" w:fill="000000"/>
                <w:fitText w:val="324" w:id="-628426744"/>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290A8525" w14:textId="1B2CFF94" w:rsidR="00EF1852" w:rsidRPr="00FA4290" w:rsidRDefault="00165A53" w:rsidP="00EF1852">
            <w:pPr>
              <w:pStyle w:val="TableText0"/>
              <w:keepLines/>
              <w:contextualSpacing/>
              <w:jc w:val="center"/>
              <w:rPr>
                <w:szCs w:val="20"/>
                <w:highlight w:val="darkGray"/>
              </w:rPr>
            </w:pPr>
            <w:r w:rsidRPr="00165A53">
              <w:rPr>
                <w:color w:val="000000"/>
                <w:spacing w:val="51"/>
                <w:shd w:val="solid" w:color="000000" w:fill="000000"/>
                <w:fitText w:val="324" w:id="-628426743"/>
                <w14:textFill>
                  <w14:solidFill>
                    <w14:srgbClr w14:val="000000">
                      <w14:alpha w14:val="100000"/>
                    </w14:srgbClr>
                  </w14:solidFill>
                </w14:textFill>
              </w:rPr>
              <w:t>|||</w:t>
            </w:r>
            <w:r w:rsidRPr="00165A53">
              <w:rPr>
                <w:color w:val="000000"/>
                <w:spacing w:val="1"/>
                <w:shd w:val="solid" w:color="000000" w:fill="000000"/>
                <w:fitText w:val="324" w:id="-628426743"/>
                <w14:textFill>
                  <w14:solidFill>
                    <w14:srgbClr w14:val="000000">
                      <w14:alpha w14:val="100000"/>
                    </w14:srgbClr>
                  </w14:solidFill>
                </w14:textFill>
              </w:rPr>
              <w:t>|</w:t>
            </w:r>
            <w:r w:rsidR="00E54862" w:rsidRPr="00E54862">
              <w:rPr>
                <w:rFonts w:cs="Arial"/>
                <w:color w:val="000000"/>
                <w:szCs w:val="20"/>
                <w:vertAlign w:val="superscript"/>
              </w:rPr>
              <w:t>2</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13A2B755" w14:textId="4CB0DF1A" w:rsidR="00EF1852" w:rsidRPr="00FA4290" w:rsidRDefault="00165A53" w:rsidP="00EF1852">
            <w:pPr>
              <w:pStyle w:val="TableText0"/>
              <w:keepLines/>
              <w:contextualSpacing/>
              <w:jc w:val="center"/>
              <w:rPr>
                <w:szCs w:val="20"/>
                <w:highlight w:val="darkGray"/>
              </w:rPr>
            </w:pPr>
            <w:r w:rsidRPr="00165A53">
              <w:rPr>
                <w:color w:val="000000"/>
                <w:spacing w:val="51"/>
                <w:shd w:val="solid" w:color="000000" w:fill="000000"/>
                <w:fitText w:val="324" w:id="-628426742"/>
                <w14:textFill>
                  <w14:solidFill>
                    <w14:srgbClr w14:val="000000">
                      <w14:alpha w14:val="100000"/>
                    </w14:srgbClr>
                  </w14:solidFill>
                </w14:textFill>
              </w:rPr>
              <w:t>|||</w:t>
            </w:r>
            <w:r w:rsidRPr="00165A53">
              <w:rPr>
                <w:color w:val="000000"/>
                <w:spacing w:val="1"/>
                <w:shd w:val="solid" w:color="000000" w:fill="000000"/>
                <w:fitText w:val="324" w:id="-628426742"/>
                <w14:textFill>
                  <w14:solidFill>
                    <w14:srgbClr w14:val="000000">
                      <w14:alpha w14:val="100000"/>
                    </w14:srgbClr>
                  </w14:solidFill>
                </w14:textFill>
              </w:rPr>
              <w:t>|</w:t>
            </w:r>
            <w:r w:rsidR="00E54862" w:rsidRPr="00E54862">
              <w:rPr>
                <w:rFonts w:cs="Arial"/>
                <w:color w:val="000000"/>
                <w:szCs w:val="20"/>
                <w:vertAlign w:val="superscript"/>
              </w:rPr>
              <w:t>2</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tcPr>
          <w:p w14:paraId="645FF804" w14:textId="3806628E" w:rsidR="00EF1852" w:rsidRPr="00FA4290" w:rsidRDefault="00165A53" w:rsidP="00EF1852">
            <w:pPr>
              <w:pStyle w:val="TableText0"/>
              <w:keepLines/>
              <w:contextualSpacing/>
              <w:jc w:val="center"/>
              <w:rPr>
                <w:szCs w:val="20"/>
                <w:highlight w:val="darkGray"/>
              </w:rPr>
            </w:pPr>
            <w:r w:rsidRPr="00165A53">
              <w:rPr>
                <w:color w:val="000000"/>
                <w:spacing w:val="55"/>
                <w:shd w:val="solid" w:color="000000" w:fill="000000"/>
                <w:fitText w:val="336" w:id="-628426741"/>
                <w14:textFill>
                  <w14:solidFill>
                    <w14:srgbClr w14:val="000000">
                      <w14:alpha w14:val="100000"/>
                    </w14:srgbClr>
                  </w14:solidFill>
                </w14:textFill>
              </w:rPr>
              <w:t>|||</w:t>
            </w:r>
            <w:r w:rsidRPr="00165A53">
              <w:rPr>
                <w:color w:val="000000"/>
                <w:spacing w:val="1"/>
                <w:shd w:val="solid" w:color="000000" w:fill="000000"/>
                <w:fitText w:val="336" w:id="-628426741"/>
                <w14:textFill>
                  <w14:solidFill>
                    <w14:srgbClr w14:val="000000">
                      <w14:alpha w14:val="100000"/>
                    </w14:srgbClr>
                  </w14:solidFill>
                </w14:textFill>
              </w:rPr>
              <w:t>|</w:t>
            </w:r>
            <w:r w:rsidR="00E54862" w:rsidRPr="00E54862">
              <w:rPr>
                <w:rFonts w:cs="Arial"/>
                <w:color w:val="000000"/>
                <w:szCs w:val="20"/>
                <w:vertAlign w:val="superscript"/>
              </w:rPr>
              <w:t>2</w:t>
            </w:r>
          </w:p>
        </w:tc>
      </w:tr>
      <w:tr w:rsidR="008E511C" w:rsidRPr="00497260" w14:paraId="34F82466" w14:textId="77777777" w:rsidTr="001E26DD">
        <w:tc>
          <w:tcPr>
            <w:tcW w:w="9017" w:type="dxa"/>
            <w:gridSpan w:val="7"/>
            <w:tcBorders>
              <w:right w:val="single" w:sz="4" w:space="0" w:color="auto"/>
            </w:tcBorders>
            <w:tcMar>
              <w:left w:w="20" w:type="dxa"/>
              <w:right w:w="20" w:type="dxa"/>
            </w:tcMar>
            <w:vAlign w:val="center"/>
          </w:tcPr>
          <w:p w14:paraId="69E9448F" w14:textId="173697B2" w:rsidR="008E511C" w:rsidRPr="00497260" w:rsidRDefault="008E511C" w:rsidP="008E511C">
            <w:pPr>
              <w:pStyle w:val="TableText0"/>
              <w:keepLines/>
              <w:contextualSpacing/>
              <w:rPr>
                <w:b/>
                <w:bCs w:val="0"/>
              </w:rPr>
            </w:pPr>
            <w:r w:rsidRPr="00497260">
              <w:rPr>
                <w:b/>
                <w:bCs w:val="0"/>
              </w:rPr>
              <w:t>Estimated financial implications for the PBS/RPBS/MBS, dMMR</w:t>
            </w:r>
          </w:p>
        </w:tc>
      </w:tr>
      <w:tr w:rsidR="00A3213F" w:rsidRPr="00497260" w14:paraId="568972BD"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5F13620D" w14:textId="3D21A3BE" w:rsidR="00A3213F" w:rsidRPr="00497260" w:rsidRDefault="00A3213F" w:rsidP="00107000">
            <w:pPr>
              <w:pStyle w:val="TableText0"/>
              <w:keepLines/>
              <w:contextualSpacing/>
            </w:pPr>
            <w:r w:rsidRPr="00497260">
              <w:t xml:space="preserve">Net cost to PBS/RPBS </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05A569B6" w14:textId="071ECB24" w:rsidR="00A3213F" w:rsidRPr="00221484" w:rsidRDefault="00A3213F" w:rsidP="00107000">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740"/>
                <w14:textFill>
                  <w14:solidFill>
                    <w14:srgbClr w14:val="000000">
                      <w14:alpha w14:val="100000"/>
                    </w14:srgbClr>
                  </w14:solidFill>
                </w14:textFill>
              </w:rPr>
              <w:t>|||</w:t>
            </w:r>
            <w:r w:rsidR="00165A53">
              <w:rPr>
                <w:color w:val="000000"/>
                <w:spacing w:val="2"/>
                <w:shd w:val="solid" w:color="000000" w:fill="000000"/>
                <w:fitText w:val="324" w:id="-628426740"/>
                <w14:textFill>
                  <w14:solidFill>
                    <w14:srgbClr w14:val="000000">
                      <w14:alpha w14:val="100000"/>
                    </w14:srgbClr>
                  </w14:solidFill>
                </w14:textFill>
              </w:rPr>
              <w:t>|</w:t>
            </w:r>
            <w:r w:rsidR="00221484">
              <w:rPr>
                <w:vertAlign w:val="superscript"/>
              </w:rPr>
              <w:t>3</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5D52E8E" w14:textId="22DEF459" w:rsidR="00A3213F" w:rsidRPr="00350ACC" w:rsidRDefault="00A3213F" w:rsidP="00107000">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739"/>
                <w14:textFill>
                  <w14:solidFill>
                    <w14:srgbClr w14:val="000000">
                      <w14:alpha w14:val="100000"/>
                    </w14:srgbClr>
                  </w14:solidFill>
                </w14:textFill>
              </w:rPr>
              <w:t>|||</w:t>
            </w:r>
            <w:r w:rsidR="00165A53">
              <w:rPr>
                <w:color w:val="000000"/>
                <w:spacing w:val="2"/>
                <w:shd w:val="solid" w:color="000000" w:fill="000000"/>
                <w:fitText w:val="324" w:id="-628426739"/>
                <w14:textFill>
                  <w14:solidFill>
                    <w14:srgbClr w14:val="000000">
                      <w14:alpha w14:val="100000"/>
                    </w14:srgbClr>
                  </w14:solidFill>
                </w14:textFill>
              </w:rPr>
              <w:t>|</w:t>
            </w:r>
            <w:r w:rsidR="00350ACC">
              <w:rPr>
                <w:vertAlign w:val="superscript"/>
              </w:rPr>
              <w:t>4</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E67C358" w14:textId="2AFB3BCD" w:rsidR="00A3213F" w:rsidRPr="00350ACC" w:rsidRDefault="00A3213F" w:rsidP="00107000">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738"/>
                <w14:textFill>
                  <w14:solidFill>
                    <w14:srgbClr w14:val="000000">
                      <w14:alpha w14:val="100000"/>
                    </w14:srgbClr>
                  </w14:solidFill>
                </w14:textFill>
              </w:rPr>
              <w:t>|||</w:t>
            </w:r>
            <w:r w:rsidR="00165A53">
              <w:rPr>
                <w:color w:val="000000"/>
                <w:spacing w:val="2"/>
                <w:shd w:val="solid" w:color="000000" w:fill="000000"/>
                <w:fitText w:val="324" w:id="-628426738"/>
                <w14:textFill>
                  <w14:solidFill>
                    <w14:srgbClr w14:val="000000">
                      <w14:alpha w14:val="100000"/>
                    </w14:srgbClr>
                  </w14:solidFill>
                </w14:textFill>
              </w:rPr>
              <w:t>|</w:t>
            </w:r>
            <w:r w:rsidR="00350ACC">
              <w:rPr>
                <w:vertAlign w:val="superscript"/>
              </w:rPr>
              <w:t>4</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DBDE4ED" w14:textId="6956778E" w:rsidR="00A3213F" w:rsidRPr="00350ACC" w:rsidRDefault="00A3213F" w:rsidP="00107000">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737"/>
                <w14:textFill>
                  <w14:solidFill>
                    <w14:srgbClr w14:val="000000">
                      <w14:alpha w14:val="100000"/>
                    </w14:srgbClr>
                  </w14:solidFill>
                </w14:textFill>
              </w:rPr>
              <w:t>|||</w:t>
            </w:r>
            <w:r w:rsidR="00165A53">
              <w:rPr>
                <w:color w:val="000000"/>
                <w:spacing w:val="2"/>
                <w:shd w:val="solid" w:color="000000" w:fill="000000"/>
                <w:fitText w:val="324" w:id="-628426737"/>
                <w14:textFill>
                  <w14:solidFill>
                    <w14:srgbClr w14:val="000000">
                      <w14:alpha w14:val="100000"/>
                    </w14:srgbClr>
                  </w14:solidFill>
                </w14:textFill>
              </w:rPr>
              <w:t>|</w:t>
            </w:r>
            <w:r w:rsidR="00350ACC">
              <w:rPr>
                <w:vertAlign w:val="superscript"/>
              </w:rPr>
              <w:t>4</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9044FC1" w14:textId="09B5F99E" w:rsidR="00A3213F" w:rsidRPr="00350ACC" w:rsidRDefault="00A3213F" w:rsidP="00107000">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736"/>
                <w14:textFill>
                  <w14:solidFill>
                    <w14:srgbClr w14:val="000000">
                      <w14:alpha w14:val="100000"/>
                    </w14:srgbClr>
                  </w14:solidFill>
                </w14:textFill>
              </w:rPr>
              <w:t>|||</w:t>
            </w:r>
            <w:r w:rsidR="00165A53">
              <w:rPr>
                <w:color w:val="000000"/>
                <w:spacing w:val="2"/>
                <w:shd w:val="solid" w:color="000000" w:fill="000000"/>
                <w:fitText w:val="324" w:id="-628426736"/>
                <w14:textFill>
                  <w14:solidFill>
                    <w14:srgbClr w14:val="000000">
                      <w14:alpha w14:val="100000"/>
                    </w14:srgbClr>
                  </w14:solidFill>
                </w14:textFill>
              </w:rPr>
              <w:t>|</w:t>
            </w:r>
            <w:r w:rsidR="00350ACC">
              <w:rPr>
                <w:vertAlign w:val="superscript"/>
              </w:rPr>
              <w:t>4</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574A277" w14:textId="41E0B534" w:rsidR="00A3213F" w:rsidRPr="00350ACC" w:rsidRDefault="00A3213F" w:rsidP="00107000">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96"/>
                <w14:textFill>
                  <w14:solidFill>
                    <w14:srgbClr w14:val="000000">
                      <w14:alpha w14:val="100000"/>
                    </w14:srgbClr>
                  </w14:solidFill>
                </w14:textFill>
              </w:rPr>
              <w:t>|||</w:t>
            </w:r>
            <w:r w:rsidR="00165A53">
              <w:rPr>
                <w:color w:val="000000"/>
                <w:spacing w:val="2"/>
                <w:shd w:val="solid" w:color="000000" w:fill="000000"/>
                <w:fitText w:val="324" w:id="-628426496"/>
                <w14:textFill>
                  <w14:solidFill>
                    <w14:srgbClr w14:val="000000">
                      <w14:alpha w14:val="100000"/>
                    </w14:srgbClr>
                  </w14:solidFill>
                </w14:textFill>
              </w:rPr>
              <w:t>|</w:t>
            </w:r>
            <w:r w:rsidR="00350ACC">
              <w:rPr>
                <w:vertAlign w:val="superscript"/>
              </w:rPr>
              <w:t>4</w:t>
            </w:r>
          </w:p>
        </w:tc>
      </w:tr>
      <w:tr w:rsidR="00A3213F" w:rsidRPr="00497260" w14:paraId="7D83B82C"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174E1055" w14:textId="0FFD286F" w:rsidR="00A3213F" w:rsidRPr="00497260" w:rsidRDefault="00A3213F" w:rsidP="00107000">
            <w:pPr>
              <w:pStyle w:val="TableText0"/>
              <w:keepLines/>
              <w:contextualSpacing/>
              <w:rPr>
                <w:vertAlign w:val="superscript"/>
              </w:rPr>
            </w:pPr>
            <w:r w:rsidRPr="00497260">
              <w:t xml:space="preserve">Net MBS costs </w:t>
            </w:r>
            <w:r w:rsidR="00D30702" w:rsidRPr="00497260">
              <w:rPr>
                <w:vertAlign w:val="superscript"/>
              </w:rPr>
              <w:t>g</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8D53C03" w14:textId="68A3D3AA" w:rsidR="00A3213F" w:rsidRPr="00C45561" w:rsidRDefault="00A3213F" w:rsidP="00107000">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5"/>
                <w14:textFill>
                  <w14:solidFill>
                    <w14:srgbClr w14:val="000000">
                      <w14:alpha w14:val="100000"/>
                    </w14:srgbClr>
                  </w14:solidFill>
                </w14:textFill>
              </w:rPr>
              <w:t>|||</w:t>
            </w:r>
            <w:r w:rsidR="00165A53">
              <w:rPr>
                <w:rFonts w:cs="Arial"/>
                <w:color w:val="000000"/>
                <w:spacing w:val="2"/>
                <w:szCs w:val="20"/>
                <w:shd w:val="solid" w:color="000000" w:fill="000000"/>
                <w:fitText w:val="324" w:id="-628426495"/>
                <w14:textFill>
                  <w14:solidFill>
                    <w14:srgbClr w14:val="000000">
                      <w14:alpha w14:val="100000"/>
                    </w14:srgbClr>
                  </w14:solidFill>
                </w14:textFill>
              </w:rPr>
              <w:t>|</w:t>
            </w:r>
            <w:r w:rsidR="00C45561">
              <w:rPr>
                <w:rFonts w:cs="Arial"/>
                <w:color w:val="000000"/>
                <w:szCs w:val="20"/>
                <w:vertAlign w:val="superscript"/>
              </w:rPr>
              <w:t>5</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176BFC3C" w14:textId="0F8FF097" w:rsidR="00A3213F" w:rsidRPr="00C45561" w:rsidRDefault="00A3213F" w:rsidP="00107000">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4"/>
                <w14:textFill>
                  <w14:solidFill>
                    <w14:srgbClr w14:val="000000">
                      <w14:alpha w14:val="100000"/>
                    </w14:srgbClr>
                  </w14:solidFill>
                </w14:textFill>
              </w:rPr>
              <w:t>|||</w:t>
            </w:r>
            <w:r w:rsidR="00165A53">
              <w:rPr>
                <w:rFonts w:cs="Arial"/>
                <w:color w:val="000000"/>
                <w:spacing w:val="2"/>
                <w:szCs w:val="20"/>
                <w:shd w:val="solid" w:color="000000" w:fill="000000"/>
                <w:fitText w:val="324" w:id="-628426494"/>
                <w14:textFill>
                  <w14:solidFill>
                    <w14:srgbClr w14:val="000000">
                      <w14:alpha w14:val="100000"/>
                    </w14:srgbClr>
                  </w14:solidFill>
                </w14:textFill>
              </w:rPr>
              <w:t>|</w:t>
            </w:r>
            <w:r w:rsidR="00C45561">
              <w:rPr>
                <w:rFonts w:cs="Arial"/>
                <w:color w:val="000000"/>
                <w:szCs w:val="20"/>
                <w:vertAlign w:val="superscript"/>
              </w:rPr>
              <w:t>5</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24B845AB" w14:textId="77435753" w:rsidR="00A3213F" w:rsidRPr="00C45561" w:rsidRDefault="00A3213F" w:rsidP="00107000">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3"/>
                <w14:textFill>
                  <w14:solidFill>
                    <w14:srgbClr w14:val="000000">
                      <w14:alpha w14:val="100000"/>
                    </w14:srgbClr>
                  </w14:solidFill>
                </w14:textFill>
              </w:rPr>
              <w:t>|||</w:t>
            </w:r>
            <w:r w:rsidR="00165A53">
              <w:rPr>
                <w:rFonts w:cs="Arial"/>
                <w:color w:val="000000"/>
                <w:spacing w:val="2"/>
                <w:szCs w:val="20"/>
                <w:shd w:val="solid" w:color="000000" w:fill="000000"/>
                <w:fitText w:val="324" w:id="-628426493"/>
                <w14:textFill>
                  <w14:solidFill>
                    <w14:srgbClr w14:val="000000">
                      <w14:alpha w14:val="100000"/>
                    </w14:srgbClr>
                  </w14:solidFill>
                </w14:textFill>
              </w:rPr>
              <w:t>|</w:t>
            </w:r>
            <w:r w:rsidR="00C45561">
              <w:rPr>
                <w:rFonts w:cs="Arial"/>
                <w:color w:val="000000"/>
                <w:szCs w:val="20"/>
                <w:vertAlign w:val="superscript"/>
              </w:rPr>
              <w:t>5</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4C55699E" w14:textId="6C1BAC12" w:rsidR="00A3213F" w:rsidRPr="00C45561" w:rsidRDefault="00A3213F" w:rsidP="00107000">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2"/>
                <w14:textFill>
                  <w14:solidFill>
                    <w14:srgbClr w14:val="000000">
                      <w14:alpha w14:val="100000"/>
                    </w14:srgbClr>
                  </w14:solidFill>
                </w14:textFill>
              </w:rPr>
              <w:t>|||</w:t>
            </w:r>
            <w:r w:rsidR="00165A53">
              <w:rPr>
                <w:rFonts w:cs="Arial"/>
                <w:color w:val="000000"/>
                <w:spacing w:val="2"/>
                <w:szCs w:val="20"/>
                <w:shd w:val="solid" w:color="000000" w:fill="000000"/>
                <w:fitText w:val="324" w:id="-628426492"/>
                <w14:textFill>
                  <w14:solidFill>
                    <w14:srgbClr w14:val="000000">
                      <w14:alpha w14:val="100000"/>
                    </w14:srgbClr>
                  </w14:solidFill>
                </w14:textFill>
              </w:rPr>
              <w:t>|</w:t>
            </w:r>
            <w:r w:rsidR="00C45561">
              <w:rPr>
                <w:rFonts w:cs="Arial"/>
                <w:color w:val="000000"/>
                <w:szCs w:val="20"/>
                <w:vertAlign w:val="superscript"/>
              </w:rPr>
              <w:t>5</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03C1AA98" w14:textId="15151438" w:rsidR="00A3213F" w:rsidRPr="00C45561" w:rsidRDefault="00A3213F" w:rsidP="00107000">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1"/>
                <w14:textFill>
                  <w14:solidFill>
                    <w14:srgbClr w14:val="000000">
                      <w14:alpha w14:val="100000"/>
                    </w14:srgbClr>
                  </w14:solidFill>
                </w14:textFill>
              </w:rPr>
              <w:t>|||</w:t>
            </w:r>
            <w:r w:rsidR="00165A53">
              <w:rPr>
                <w:rFonts w:cs="Arial"/>
                <w:color w:val="000000"/>
                <w:spacing w:val="2"/>
                <w:szCs w:val="20"/>
                <w:shd w:val="solid" w:color="000000" w:fill="000000"/>
                <w:fitText w:val="324" w:id="-628426491"/>
                <w14:textFill>
                  <w14:solidFill>
                    <w14:srgbClr w14:val="000000">
                      <w14:alpha w14:val="100000"/>
                    </w14:srgbClr>
                  </w14:solidFill>
                </w14:textFill>
              </w:rPr>
              <w:t>|</w:t>
            </w:r>
            <w:r w:rsidR="00C45561">
              <w:rPr>
                <w:rFonts w:cs="Arial"/>
                <w:color w:val="000000"/>
                <w:szCs w:val="20"/>
                <w:vertAlign w:val="superscript"/>
              </w:rPr>
              <w:t>5</w:t>
            </w: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37BA34AE" w14:textId="703FA2E8" w:rsidR="00A3213F" w:rsidRPr="00C45561" w:rsidRDefault="00A3213F" w:rsidP="00107000">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0"/>
                <w14:textFill>
                  <w14:solidFill>
                    <w14:srgbClr w14:val="000000">
                      <w14:alpha w14:val="100000"/>
                    </w14:srgbClr>
                  </w14:solidFill>
                </w14:textFill>
              </w:rPr>
              <w:t>|||</w:t>
            </w:r>
            <w:r w:rsidR="00165A53">
              <w:rPr>
                <w:rFonts w:cs="Arial"/>
                <w:color w:val="000000"/>
                <w:spacing w:val="2"/>
                <w:szCs w:val="20"/>
                <w:shd w:val="solid" w:color="000000" w:fill="000000"/>
                <w:fitText w:val="324" w:id="-628426490"/>
                <w14:textFill>
                  <w14:solidFill>
                    <w14:srgbClr w14:val="000000">
                      <w14:alpha w14:val="100000"/>
                    </w14:srgbClr>
                  </w14:solidFill>
                </w14:textFill>
              </w:rPr>
              <w:t>|</w:t>
            </w:r>
            <w:r w:rsidR="00C45561">
              <w:rPr>
                <w:rFonts w:cs="Arial"/>
                <w:color w:val="000000"/>
                <w:szCs w:val="20"/>
                <w:vertAlign w:val="superscript"/>
              </w:rPr>
              <w:t>5</w:t>
            </w:r>
          </w:p>
        </w:tc>
      </w:tr>
      <w:tr w:rsidR="00A3213F" w:rsidRPr="00497260" w14:paraId="58DDBF4B"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4758BAEB" w14:textId="7E04F267" w:rsidR="00A3213F" w:rsidRPr="00497260" w:rsidRDefault="00A3213F" w:rsidP="00107000">
            <w:pPr>
              <w:pStyle w:val="TableText0"/>
              <w:keepLines/>
              <w:contextualSpacing/>
            </w:pPr>
            <w:r w:rsidRPr="00497260">
              <w:t xml:space="preserve">Net cost to </w:t>
            </w:r>
            <w:r w:rsidR="00CC07BF" w:rsidRPr="00497260">
              <w:t>PBS/RPBS/MBS</w:t>
            </w:r>
            <w:r w:rsidRPr="00497260">
              <w:t xml:space="preserve"> </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3207B1E6" w14:textId="4EDE26D7" w:rsidR="00A3213F" w:rsidRPr="00350ACC" w:rsidRDefault="00A3213F" w:rsidP="00107000">
            <w:pPr>
              <w:pStyle w:val="TableText0"/>
              <w:keepLines/>
              <w:contextualSpacing/>
              <w:jc w:val="center"/>
              <w:rPr>
                <w:rFonts w:cs="Calibri"/>
                <w:b/>
                <w:bCs w:val="0"/>
                <w:color w:val="000000"/>
                <w:szCs w:val="20"/>
                <w:vertAlign w:val="superscript"/>
              </w:rPr>
            </w:pPr>
            <w:r w:rsidRPr="00497260">
              <w:rPr>
                <w:rFonts w:cs="Calibri"/>
                <w:b/>
                <w:bCs w:val="0"/>
                <w:color w:val="000000"/>
                <w:szCs w:val="20"/>
              </w:rPr>
              <w:t>$</w:t>
            </w:r>
            <w:r w:rsidR="00165A53">
              <w:rPr>
                <w:rFonts w:cs="Calibri"/>
                <w:b/>
                <w:bCs w:val="0"/>
                <w:color w:val="000000"/>
                <w:spacing w:val="58"/>
                <w:szCs w:val="20"/>
                <w:shd w:val="solid" w:color="000000" w:fill="000000"/>
                <w:fitText w:val="360" w:id="-628426489"/>
                <w14:textFill>
                  <w14:solidFill>
                    <w14:srgbClr w14:val="000000">
                      <w14:alpha w14:val="100000"/>
                    </w14:srgbClr>
                  </w14:solidFill>
                </w14:textFill>
              </w:rPr>
              <w:t>|||</w:t>
            </w:r>
            <w:r w:rsidR="00165A53">
              <w:rPr>
                <w:rFonts w:cs="Calibri"/>
                <w:b/>
                <w:bCs w:val="0"/>
                <w:color w:val="000000"/>
                <w:spacing w:val="2"/>
                <w:szCs w:val="20"/>
                <w:shd w:val="solid" w:color="000000" w:fill="000000"/>
                <w:fitText w:val="360" w:id="-628426489"/>
                <w14:textFill>
                  <w14:solidFill>
                    <w14:srgbClr w14:val="000000">
                      <w14:alpha w14:val="100000"/>
                    </w14:srgbClr>
                  </w14:solidFill>
                </w14:textFill>
              </w:rPr>
              <w:t>|</w:t>
            </w:r>
            <w:r w:rsidR="00797171">
              <w:rPr>
                <w:rFonts w:cs="Calibri"/>
                <w:b/>
                <w:bCs w:val="0"/>
                <w:color w:val="000000"/>
                <w:szCs w:val="20"/>
                <w:vertAlign w:val="superscript"/>
              </w:rPr>
              <w:t>3</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C4086F0" w14:textId="1C49D032" w:rsidR="00A3213F" w:rsidRPr="00797171" w:rsidRDefault="00A3213F" w:rsidP="00107000">
            <w:pPr>
              <w:pStyle w:val="TableText0"/>
              <w:keepLines/>
              <w:contextualSpacing/>
              <w:jc w:val="center"/>
              <w:rPr>
                <w:rFonts w:cs="Calibri"/>
                <w:b/>
                <w:bCs w:val="0"/>
                <w:color w:val="000000"/>
                <w:szCs w:val="20"/>
                <w:vertAlign w:val="superscript"/>
              </w:rPr>
            </w:pPr>
            <w:r w:rsidRPr="00497260">
              <w:rPr>
                <w:rFonts w:cs="Calibri"/>
                <w:b/>
                <w:bCs w:val="0"/>
                <w:color w:val="000000"/>
                <w:szCs w:val="20"/>
              </w:rPr>
              <w:t>$</w:t>
            </w:r>
            <w:r w:rsidR="00165A53">
              <w:rPr>
                <w:rFonts w:cs="Calibri"/>
                <w:b/>
                <w:bCs w:val="0"/>
                <w:color w:val="000000"/>
                <w:spacing w:val="58"/>
                <w:szCs w:val="20"/>
                <w:shd w:val="solid" w:color="000000" w:fill="000000"/>
                <w:fitText w:val="360" w:id="-628426488"/>
                <w14:textFill>
                  <w14:solidFill>
                    <w14:srgbClr w14:val="000000">
                      <w14:alpha w14:val="100000"/>
                    </w14:srgbClr>
                  </w14:solidFill>
                </w14:textFill>
              </w:rPr>
              <w:t>|||</w:t>
            </w:r>
            <w:r w:rsidR="00165A53">
              <w:rPr>
                <w:rFonts w:cs="Calibri"/>
                <w:b/>
                <w:bCs w:val="0"/>
                <w:color w:val="000000"/>
                <w:spacing w:val="2"/>
                <w:szCs w:val="20"/>
                <w:shd w:val="solid" w:color="000000" w:fill="000000"/>
                <w:fitText w:val="360" w:id="-628426488"/>
                <w14:textFill>
                  <w14:solidFill>
                    <w14:srgbClr w14:val="000000">
                      <w14:alpha w14:val="100000"/>
                    </w14:srgbClr>
                  </w14:solidFill>
                </w14:textFill>
              </w:rPr>
              <w:t>|</w:t>
            </w:r>
            <w:r w:rsidR="00797171">
              <w:rPr>
                <w:rFonts w:cs="Calibri"/>
                <w:b/>
                <w:bCs w:val="0"/>
                <w:color w:val="000000"/>
                <w:szCs w:val="20"/>
                <w:vertAlign w:val="superscript"/>
              </w:rPr>
              <w:t>4</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285A2D9" w14:textId="4A36149D" w:rsidR="00A3213F" w:rsidRPr="00797171" w:rsidRDefault="00A3213F" w:rsidP="00107000">
            <w:pPr>
              <w:pStyle w:val="TableText0"/>
              <w:keepLines/>
              <w:contextualSpacing/>
              <w:jc w:val="center"/>
              <w:rPr>
                <w:rFonts w:cs="Calibri"/>
                <w:b/>
                <w:bCs w:val="0"/>
                <w:color w:val="000000"/>
                <w:szCs w:val="20"/>
                <w:vertAlign w:val="superscript"/>
              </w:rPr>
            </w:pPr>
            <w:r w:rsidRPr="00497260">
              <w:rPr>
                <w:rFonts w:cs="Calibri"/>
                <w:b/>
                <w:bCs w:val="0"/>
                <w:color w:val="000000"/>
                <w:szCs w:val="20"/>
              </w:rPr>
              <w:t>$</w:t>
            </w:r>
            <w:r w:rsidR="00165A53">
              <w:rPr>
                <w:rFonts w:cs="Calibri"/>
                <w:b/>
                <w:bCs w:val="0"/>
                <w:color w:val="000000"/>
                <w:spacing w:val="58"/>
                <w:szCs w:val="20"/>
                <w:shd w:val="solid" w:color="000000" w:fill="000000"/>
                <w:fitText w:val="360" w:id="-628426487"/>
                <w14:textFill>
                  <w14:solidFill>
                    <w14:srgbClr w14:val="000000">
                      <w14:alpha w14:val="100000"/>
                    </w14:srgbClr>
                  </w14:solidFill>
                </w14:textFill>
              </w:rPr>
              <w:t>|||</w:t>
            </w:r>
            <w:r w:rsidR="00165A53">
              <w:rPr>
                <w:rFonts w:cs="Calibri"/>
                <w:b/>
                <w:bCs w:val="0"/>
                <w:color w:val="000000"/>
                <w:spacing w:val="2"/>
                <w:szCs w:val="20"/>
                <w:shd w:val="solid" w:color="000000" w:fill="000000"/>
                <w:fitText w:val="360" w:id="-628426487"/>
                <w14:textFill>
                  <w14:solidFill>
                    <w14:srgbClr w14:val="000000">
                      <w14:alpha w14:val="100000"/>
                    </w14:srgbClr>
                  </w14:solidFill>
                </w14:textFill>
              </w:rPr>
              <w:t>|</w:t>
            </w:r>
            <w:r w:rsidR="00797171">
              <w:rPr>
                <w:rFonts w:cs="Calibri"/>
                <w:b/>
                <w:bCs w:val="0"/>
                <w:color w:val="000000"/>
                <w:szCs w:val="20"/>
                <w:vertAlign w:val="superscript"/>
              </w:rPr>
              <w:t>4</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BC50378" w14:textId="5C55C92F" w:rsidR="00A3213F" w:rsidRPr="00797171" w:rsidRDefault="00A3213F" w:rsidP="00107000">
            <w:pPr>
              <w:pStyle w:val="TableText0"/>
              <w:keepLines/>
              <w:contextualSpacing/>
              <w:jc w:val="center"/>
              <w:rPr>
                <w:rFonts w:cs="Calibri"/>
                <w:b/>
                <w:bCs w:val="0"/>
                <w:color w:val="000000"/>
                <w:szCs w:val="20"/>
                <w:vertAlign w:val="superscript"/>
              </w:rPr>
            </w:pPr>
            <w:r w:rsidRPr="00497260">
              <w:rPr>
                <w:rFonts w:cs="Calibri"/>
                <w:b/>
                <w:bCs w:val="0"/>
                <w:color w:val="000000"/>
                <w:szCs w:val="20"/>
              </w:rPr>
              <w:t>$</w:t>
            </w:r>
            <w:r w:rsidR="00165A53">
              <w:rPr>
                <w:rFonts w:cs="Calibri"/>
                <w:b/>
                <w:bCs w:val="0"/>
                <w:color w:val="000000"/>
                <w:spacing w:val="58"/>
                <w:szCs w:val="20"/>
                <w:shd w:val="solid" w:color="000000" w:fill="000000"/>
                <w:fitText w:val="360" w:id="-628426486"/>
                <w14:textFill>
                  <w14:solidFill>
                    <w14:srgbClr w14:val="000000">
                      <w14:alpha w14:val="100000"/>
                    </w14:srgbClr>
                  </w14:solidFill>
                </w14:textFill>
              </w:rPr>
              <w:t>|||</w:t>
            </w:r>
            <w:r w:rsidR="00165A53">
              <w:rPr>
                <w:rFonts w:cs="Calibri"/>
                <w:b/>
                <w:bCs w:val="0"/>
                <w:color w:val="000000"/>
                <w:spacing w:val="2"/>
                <w:szCs w:val="20"/>
                <w:shd w:val="solid" w:color="000000" w:fill="000000"/>
                <w:fitText w:val="360" w:id="-628426486"/>
                <w14:textFill>
                  <w14:solidFill>
                    <w14:srgbClr w14:val="000000">
                      <w14:alpha w14:val="100000"/>
                    </w14:srgbClr>
                  </w14:solidFill>
                </w14:textFill>
              </w:rPr>
              <w:t>|</w:t>
            </w:r>
            <w:r w:rsidR="00797171">
              <w:rPr>
                <w:rFonts w:cs="Calibri"/>
                <w:b/>
                <w:bCs w:val="0"/>
                <w:color w:val="000000"/>
                <w:szCs w:val="20"/>
                <w:vertAlign w:val="superscript"/>
              </w:rPr>
              <w:t>4</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0230BFB" w14:textId="3B07B1F3" w:rsidR="00A3213F" w:rsidRPr="00797171" w:rsidRDefault="00A3213F" w:rsidP="00107000">
            <w:pPr>
              <w:pStyle w:val="TableText0"/>
              <w:keepLines/>
              <w:contextualSpacing/>
              <w:jc w:val="center"/>
              <w:rPr>
                <w:rFonts w:cs="Calibri"/>
                <w:b/>
                <w:bCs w:val="0"/>
                <w:color w:val="000000"/>
                <w:szCs w:val="20"/>
                <w:vertAlign w:val="superscript"/>
              </w:rPr>
            </w:pPr>
            <w:r w:rsidRPr="00497260">
              <w:rPr>
                <w:rFonts w:cs="Calibri"/>
                <w:b/>
                <w:bCs w:val="0"/>
                <w:color w:val="000000"/>
                <w:szCs w:val="20"/>
              </w:rPr>
              <w:t>$</w:t>
            </w:r>
            <w:r w:rsidR="00165A53">
              <w:rPr>
                <w:rFonts w:cs="Calibri"/>
                <w:b/>
                <w:bCs w:val="0"/>
                <w:color w:val="000000"/>
                <w:spacing w:val="58"/>
                <w:szCs w:val="20"/>
                <w:shd w:val="solid" w:color="000000" w:fill="000000"/>
                <w:fitText w:val="360" w:id="-628426485"/>
                <w14:textFill>
                  <w14:solidFill>
                    <w14:srgbClr w14:val="000000">
                      <w14:alpha w14:val="100000"/>
                    </w14:srgbClr>
                  </w14:solidFill>
                </w14:textFill>
              </w:rPr>
              <w:t>|||</w:t>
            </w:r>
            <w:r w:rsidR="00165A53">
              <w:rPr>
                <w:rFonts w:cs="Calibri"/>
                <w:b/>
                <w:bCs w:val="0"/>
                <w:color w:val="000000"/>
                <w:spacing w:val="2"/>
                <w:szCs w:val="20"/>
                <w:shd w:val="solid" w:color="000000" w:fill="000000"/>
                <w:fitText w:val="360" w:id="-628426485"/>
                <w14:textFill>
                  <w14:solidFill>
                    <w14:srgbClr w14:val="000000">
                      <w14:alpha w14:val="100000"/>
                    </w14:srgbClr>
                  </w14:solidFill>
                </w14:textFill>
              </w:rPr>
              <w:t>|</w:t>
            </w:r>
            <w:r w:rsidR="00797171">
              <w:rPr>
                <w:rFonts w:cs="Calibri"/>
                <w:b/>
                <w:bCs w:val="0"/>
                <w:color w:val="000000"/>
                <w:szCs w:val="20"/>
                <w:vertAlign w:val="superscript"/>
              </w:rPr>
              <w:t>4</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B8F708D" w14:textId="34AF6DBB" w:rsidR="00A3213F" w:rsidRPr="00797171" w:rsidRDefault="00A3213F" w:rsidP="00107000">
            <w:pPr>
              <w:pStyle w:val="TableText0"/>
              <w:keepLines/>
              <w:contextualSpacing/>
              <w:jc w:val="center"/>
              <w:rPr>
                <w:rFonts w:cs="Calibri"/>
                <w:b/>
                <w:bCs w:val="0"/>
                <w:color w:val="000000"/>
                <w:szCs w:val="20"/>
                <w:vertAlign w:val="superscript"/>
              </w:rPr>
            </w:pPr>
            <w:r w:rsidRPr="00497260">
              <w:rPr>
                <w:rFonts w:cs="Calibri"/>
                <w:b/>
                <w:bCs w:val="0"/>
                <w:color w:val="000000"/>
                <w:szCs w:val="20"/>
              </w:rPr>
              <w:t>$</w:t>
            </w:r>
            <w:r w:rsidR="00165A53">
              <w:rPr>
                <w:rFonts w:cs="Calibri"/>
                <w:b/>
                <w:bCs w:val="0"/>
                <w:color w:val="000000"/>
                <w:spacing w:val="58"/>
                <w:szCs w:val="20"/>
                <w:shd w:val="solid" w:color="000000" w:fill="000000"/>
                <w:fitText w:val="360" w:id="-628426484"/>
                <w14:textFill>
                  <w14:solidFill>
                    <w14:srgbClr w14:val="000000">
                      <w14:alpha w14:val="100000"/>
                    </w14:srgbClr>
                  </w14:solidFill>
                </w14:textFill>
              </w:rPr>
              <w:t>|||</w:t>
            </w:r>
            <w:r w:rsidR="00165A53">
              <w:rPr>
                <w:rFonts w:cs="Calibri"/>
                <w:b/>
                <w:bCs w:val="0"/>
                <w:color w:val="000000"/>
                <w:spacing w:val="2"/>
                <w:szCs w:val="20"/>
                <w:shd w:val="solid" w:color="000000" w:fill="000000"/>
                <w:fitText w:val="360" w:id="-628426484"/>
                <w14:textFill>
                  <w14:solidFill>
                    <w14:srgbClr w14:val="000000">
                      <w14:alpha w14:val="100000"/>
                    </w14:srgbClr>
                  </w14:solidFill>
                </w14:textFill>
              </w:rPr>
              <w:t>|</w:t>
            </w:r>
            <w:r w:rsidR="00797171">
              <w:rPr>
                <w:rFonts w:cs="Calibri"/>
                <w:b/>
                <w:bCs w:val="0"/>
                <w:color w:val="000000"/>
                <w:szCs w:val="20"/>
                <w:vertAlign w:val="superscript"/>
              </w:rPr>
              <w:t>4</w:t>
            </w:r>
          </w:p>
        </w:tc>
      </w:tr>
      <w:tr w:rsidR="008E511C" w:rsidRPr="00497260" w14:paraId="2777B4B0" w14:textId="77777777" w:rsidTr="001E26DD">
        <w:tc>
          <w:tcPr>
            <w:tcW w:w="9017" w:type="dxa"/>
            <w:gridSpan w:val="7"/>
            <w:tcBorders>
              <w:top w:val="single" w:sz="4" w:space="0" w:color="auto"/>
              <w:bottom w:val="single" w:sz="4" w:space="0" w:color="auto"/>
              <w:right w:val="single" w:sz="4" w:space="0" w:color="auto"/>
            </w:tcBorders>
            <w:tcMar>
              <w:left w:w="20" w:type="dxa"/>
              <w:right w:w="20" w:type="dxa"/>
            </w:tcMar>
            <w:vAlign w:val="center"/>
          </w:tcPr>
          <w:p w14:paraId="78426DB5" w14:textId="25521F2D" w:rsidR="008E511C" w:rsidRPr="00497260" w:rsidRDefault="008E511C" w:rsidP="008E511C">
            <w:pPr>
              <w:pStyle w:val="TableText0"/>
              <w:keepLines/>
              <w:contextualSpacing/>
              <w:rPr>
                <w:rFonts w:cs="Calibri"/>
                <w:b/>
                <w:bCs w:val="0"/>
                <w:color w:val="000000"/>
                <w:szCs w:val="20"/>
              </w:rPr>
            </w:pPr>
            <w:r w:rsidRPr="00497260">
              <w:rPr>
                <w:rFonts w:cs="Calibri"/>
                <w:b/>
                <w:bCs w:val="0"/>
                <w:color w:val="000000"/>
                <w:szCs w:val="20"/>
              </w:rPr>
              <w:t>PSCR revised estimates (lower % of patients with relevant ECOG status)</w:t>
            </w:r>
          </w:p>
        </w:tc>
      </w:tr>
      <w:tr w:rsidR="00EF1852" w:rsidRPr="00497260" w14:paraId="542B69C5" w14:textId="77777777" w:rsidTr="00DE2ED0">
        <w:tc>
          <w:tcPr>
            <w:tcW w:w="2651" w:type="dxa"/>
            <w:tcBorders>
              <w:top w:val="single" w:sz="4" w:space="0" w:color="auto"/>
              <w:bottom w:val="single" w:sz="4" w:space="0" w:color="auto"/>
              <w:right w:val="single" w:sz="4" w:space="0" w:color="auto"/>
            </w:tcBorders>
            <w:tcMar>
              <w:left w:w="20" w:type="dxa"/>
              <w:right w:w="20" w:type="dxa"/>
            </w:tcMar>
            <w:vAlign w:val="center"/>
          </w:tcPr>
          <w:p w14:paraId="28236F16" w14:textId="06A24904" w:rsidR="00EF1852" w:rsidRPr="00497260" w:rsidRDefault="00EF1852" w:rsidP="00EF1852">
            <w:pPr>
              <w:pStyle w:val="TableText0"/>
              <w:keepLines/>
              <w:contextualSpacing/>
            </w:pPr>
            <w:r w:rsidRPr="00497260">
              <w:t>Total initiating dMMR patients</w:t>
            </w:r>
          </w:p>
        </w:tc>
        <w:tc>
          <w:tcPr>
            <w:tcW w:w="1064" w:type="dxa"/>
            <w:tcBorders>
              <w:top w:val="single" w:sz="4" w:space="0" w:color="auto"/>
              <w:left w:val="nil"/>
              <w:bottom w:val="single" w:sz="4" w:space="0" w:color="auto"/>
              <w:right w:val="single" w:sz="4" w:space="0" w:color="auto"/>
            </w:tcBorders>
            <w:tcMar>
              <w:left w:w="20" w:type="dxa"/>
              <w:right w:w="20" w:type="dxa"/>
            </w:tcMar>
          </w:tcPr>
          <w:p w14:paraId="72696473" w14:textId="51081B8C"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3"/>
                <w14:textFill>
                  <w14:solidFill>
                    <w14:srgbClr w14:val="000000">
                      <w14:alpha w14:val="100000"/>
                    </w14:srgbClr>
                  </w14:solidFill>
                </w14:textFill>
              </w:rPr>
              <w:t>|||</w:t>
            </w:r>
            <w:r w:rsidRPr="00165A53">
              <w:rPr>
                <w:color w:val="000000"/>
                <w:spacing w:val="1"/>
                <w:shd w:val="solid" w:color="000000" w:fill="000000"/>
                <w:fitText w:val="324" w:id="-628426483"/>
                <w14:textFill>
                  <w14:solidFill>
                    <w14:srgbClr w14:val="000000">
                      <w14:alpha w14:val="100000"/>
                    </w14:srgbClr>
                  </w14:solidFill>
                </w14:textFill>
              </w:rPr>
              <w:t>|</w:t>
            </w:r>
            <w:r w:rsidR="000718DC" w:rsidRPr="000718DC">
              <w:rPr>
                <w:vertAlign w:val="superscript"/>
              </w:rPr>
              <w:t>1</w:t>
            </w:r>
            <w:r w:rsidR="000718DC" w:rsidRPr="000718DC">
              <w:t xml:space="preserve"> </w:t>
            </w:r>
            <w:r w:rsidRPr="00165A53">
              <w:rPr>
                <w:color w:val="000000"/>
                <w:spacing w:val="55"/>
                <w:shd w:val="solid" w:color="000000" w:fill="000000"/>
                <w:fitText w:val="336" w:id="-628426482"/>
                <w14:textFill>
                  <w14:solidFill>
                    <w14:srgbClr w14:val="000000">
                      <w14:alpha w14:val="100000"/>
                    </w14:srgbClr>
                  </w14:solidFill>
                </w14:textFill>
              </w:rPr>
              <w:t>|||</w:t>
            </w:r>
            <w:r w:rsidRPr="00165A53">
              <w:rPr>
                <w:color w:val="000000"/>
                <w:spacing w:val="1"/>
                <w:shd w:val="solid" w:color="000000" w:fill="000000"/>
                <w:fitText w:val="336" w:id="-628426482"/>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503F783A" w14:textId="3E60F9A2"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1"/>
                <w14:textFill>
                  <w14:solidFill>
                    <w14:srgbClr w14:val="000000">
                      <w14:alpha w14:val="100000"/>
                    </w14:srgbClr>
                  </w14:solidFill>
                </w14:textFill>
              </w:rPr>
              <w:t>|||</w:t>
            </w:r>
            <w:r w:rsidRPr="00165A53">
              <w:rPr>
                <w:color w:val="000000"/>
                <w:spacing w:val="1"/>
                <w:shd w:val="solid" w:color="000000" w:fill="000000"/>
                <w:fitText w:val="324" w:id="-628426481"/>
                <w14:textFill>
                  <w14:solidFill>
                    <w14:srgbClr w14:val="000000">
                      <w14:alpha w14:val="100000"/>
                    </w14:srgbClr>
                  </w14:solidFill>
                </w14:textFill>
              </w:rPr>
              <w:t>|</w:t>
            </w:r>
            <w:r w:rsidR="000718DC" w:rsidRPr="000718DC">
              <w:rPr>
                <w:vertAlign w:val="superscript"/>
              </w:rPr>
              <w:t>1</w:t>
            </w:r>
            <w:r w:rsidR="000718DC" w:rsidRPr="000718DC">
              <w:t xml:space="preserve"> </w:t>
            </w:r>
            <w:r w:rsidRPr="00165A53">
              <w:rPr>
                <w:color w:val="000000"/>
                <w:spacing w:val="55"/>
                <w:shd w:val="solid" w:color="000000" w:fill="000000"/>
                <w:fitText w:val="336" w:id="-628426480"/>
                <w14:textFill>
                  <w14:solidFill>
                    <w14:srgbClr w14:val="000000">
                      <w14:alpha w14:val="100000"/>
                    </w14:srgbClr>
                  </w14:solidFill>
                </w14:textFill>
              </w:rPr>
              <w:t>|||</w:t>
            </w:r>
            <w:r w:rsidRPr="00165A53">
              <w:rPr>
                <w:color w:val="000000"/>
                <w:spacing w:val="1"/>
                <w:shd w:val="solid" w:color="000000" w:fill="000000"/>
                <w:fitText w:val="336" w:id="-628426480"/>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2DF42B01" w14:textId="0AC182F9"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96"/>
                <w14:textFill>
                  <w14:solidFill>
                    <w14:srgbClr w14:val="000000">
                      <w14:alpha w14:val="100000"/>
                    </w14:srgbClr>
                  </w14:solidFill>
                </w14:textFill>
              </w:rPr>
              <w:t>|||</w:t>
            </w:r>
            <w:r w:rsidRPr="00165A53">
              <w:rPr>
                <w:color w:val="000000"/>
                <w:spacing w:val="1"/>
                <w:shd w:val="solid" w:color="000000" w:fill="000000"/>
                <w:fitText w:val="324" w:id="-628426496"/>
                <w14:textFill>
                  <w14:solidFill>
                    <w14:srgbClr w14:val="000000">
                      <w14:alpha w14:val="100000"/>
                    </w14:srgbClr>
                  </w14:solidFill>
                </w14:textFill>
              </w:rPr>
              <w:t>|</w:t>
            </w:r>
            <w:r w:rsidR="000718DC" w:rsidRPr="000718DC">
              <w:rPr>
                <w:vertAlign w:val="superscript"/>
              </w:rPr>
              <w:t>1</w:t>
            </w:r>
            <w:r w:rsidR="000718DC" w:rsidRPr="000718DC">
              <w:t xml:space="preserve"> </w:t>
            </w:r>
            <w:r w:rsidRPr="00165A53">
              <w:rPr>
                <w:color w:val="000000"/>
                <w:spacing w:val="55"/>
                <w:shd w:val="solid" w:color="000000" w:fill="000000"/>
                <w:fitText w:val="336" w:id="-628426495"/>
                <w14:textFill>
                  <w14:solidFill>
                    <w14:srgbClr w14:val="000000">
                      <w14:alpha w14:val="100000"/>
                    </w14:srgbClr>
                  </w14:solidFill>
                </w14:textFill>
              </w:rPr>
              <w:t>|||</w:t>
            </w:r>
            <w:r w:rsidRPr="00165A53">
              <w:rPr>
                <w:color w:val="000000"/>
                <w:spacing w:val="1"/>
                <w:shd w:val="solid" w:color="000000" w:fill="000000"/>
                <w:fitText w:val="336" w:id="-628426495"/>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0B22885A" w14:textId="699D8E1A"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94"/>
                <w14:textFill>
                  <w14:solidFill>
                    <w14:srgbClr w14:val="000000">
                      <w14:alpha w14:val="100000"/>
                    </w14:srgbClr>
                  </w14:solidFill>
                </w14:textFill>
              </w:rPr>
              <w:t>|||</w:t>
            </w:r>
            <w:r w:rsidRPr="00165A53">
              <w:rPr>
                <w:color w:val="000000"/>
                <w:spacing w:val="1"/>
                <w:shd w:val="solid" w:color="000000" w:fill="000000"/>
                <w:fitText w:val="324" w:id="-628426494"/>
                <w14:textFill>
                  <w14:solidFill>
                    <w14:srgbClr w14:val="000000">
                      <w14:alpha w14:val="100000"/>
                    </w14:srgbClr>
                  </w14:solidFill>
                </w14:textFill>
              </w:rPr>
              <w:t>|</w:t>
            </w:r>
            <w:r w:rsidR="000718DC" w:rsidRPr="000718DC">
              <w:rPr>
                <w:vertAlign w:val="superscript"/>
              </w:rPr>
              <w:t>1</w:t>
            </w:r>
            <w:r w:rsidR="000718DC" w:rsidRPr="000718DC">
              <w:t xml:space="preserve"> </w:t>
            </w:r>
            <w:r w:rsidRPr="00165A53">
              <w:rPr>
                <w:color w:val="000000"/>
                <w:spacing w:val="55"/>
                <w:shd w:val="solid" w:color="000000" w:fill="000000"/>
                <w:fitText w:val="336" w:id="-628426493"/>
                <w14:textFill>
                  <w14:solidFill>
                    <w14:srgbClr w14:val="000000">
                      <w14:alpha w14:val="100000"/>
                    </w14:srgbClr>
                  </w14:solidFill>
                </w14:textFill>
              </w:rPr>
              <w:t>|||</w:t>
            </w:r>
            <w:r w:rsidRPr="00165A53">
              <w:rPr>
                <w:color w:val="000000"/>
                <w:spacing w:val="1"/>
                <w:shd w:val="solid" w:color="000000" w:fill="000000"/>
                <w:fitText w:val="336" w:id="-628426493"/>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46D5A702" w14:textId="758B8DC9"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92"/>
                <w14:textFill>
                  <w14:solidFill>
                    <w14:srgbClr w14:val="000000">
                      <w14:alpha w14:val="100000"/>
                    </w14:srgbClr>
                  </w14:solidFill>
                </w14:textFill>
              </w:rPr>
              <w:t>|||</w:t>
            </w:r>
            <w:r w:rsidRPr="00165A53">
              <w:rPr>
                <w:color w:val="000000"/>
                <w:spacing w:val="1"/>
                <w:shd w:val="solid" w:color="000000" w:fill="000000"/>
                <w:fitText w:val="324" w:id="-628426492"/>
                <w14:textFill>
                  <w14:solidFill>
                    <w14:srgbClr w14:val="000000">
                      <w14:alpha w14:val="100000"/>
                    </w14:srgbClr>
                  </w14:solidFill>
                </w14:textFill>
              </w:rPr>
              <w:t>|</w:t>
            </w:r>
            <w:r w:rsidR="000718DC" w:rsidRPr="000718DC">
              <w:rPr>
                <w:vertAlign w:val="superscript"/>
              </w:rPr>
              <w:t>1</w:t>
            </w:r>
            <w:r w:rsidR="000718DC" w:rsidRPr="000718DC">
              <w:t xml:space="preserve"> </w:t>
            </w:r>
            <w:r w:rsidRPr="00165A53">
              <w:rPr>
                <w:color w:val="000000"/>
                <w:spacing w:val="55"/>
                <w:shd w:val="solid" w:color="000000" w:fill="000000"/>
                <w:fitText w:val="336" w:id="-628426491"/>
                <w14:textFill>
                  <w14:solidFill>
                    <w14:srgbClr w14:val="000000">
                      <w14:alpha w14:val="100000"/>
                    </w14:srgbClr>
                  </w14:solidFill>
                </w14:textFill>
              </w:rPr>
              <w:t>|||</w:t>
            </w:r>
            <w:r w:rsidRPr="00165A53">
              <w:rPr>
                <w:color w:val="000000"/>
                <w:spacing w:val="1"/>
                <w:shd w:val="solid" w:color="000000" w:fill="000000"/>
                <w:fitText w:val="336" w:id="-628426491"/>
                <w14:textFill>
                  <w14:solidFill>
                    <w14:srgbClr w14:val="000000">
                      <w14:alpha w14:val="100000"/>
                    </w14:srgbClr>
                  </w14:solidFill>
                </w14:textFill>
              </w:rPr>
              <w:t>|</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tcPr>
          <w:p w14:paraId="0D74C80E" w14:textId="0552BDE9"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5"/>
                <w:shd w:val="solid" w:color="000000" w:fill="000000"/>
                <w:fitText w:val="336" w:id="-628426490"/>
                <w14:textFill>
                  <w14:solidFill>
                    <w14:srgbClr w14:val="000000">
                      <w14:alpha w14:val="100000"/>
                    </w14:srgbClr>
                  </w14:solidFill>
                </w14:textFill>
              </w:rPr>
              <w:t>|||</w:t>
            </w:r>
            <w:r w:rsidRPr="00165A53">
              <w:rPr>
                <w:color w:val="000000"/>
                <w:spacing w:val="1"/>
                <w:shd w:val="solid" w:color="000000" w:fill="000000"/>
                <w:fitText w:val="336" w:id="-628426490"/>
                <w14:textFill>
                  <w14:solidFill>
                    <w14:srgbClr w14:val="000000">
                      <w14:alpha w14:val="100000"/>
                    </w14:srgbClr>
                  </w14:solidFill>
                </w14:textFill>
              </w:rPr>
              <w:t>|</w:t>
            </w:r>
            <w:r w:rsidR="000718DC" w:rsidRPr="000718DC">
              <w:rPr>
                <w:vertAlign w:val="superscript"/>
              </w:rPr>
              <w:t>1</w:t>
            </w:r>
            <w:r w:rsidR="000718DC" w:rsidRPr="000718DC">
              <w:t xml:space="preserve"> </w:t>
            </w:r>
            <w:r w:rsidRPr="00165A53">
              <w:rPr>
                <w:color w:val="000000"/>
                <w:spacing w:val="55"/>
                <w:shd w:val="solid" w:color="000000" w:fill="000000"/>
                <w:fitText w:val="336" w:id="-628426489"/>
                <w14:textFill>
                  <w14:solidFill>
                    <w14:srgbClr w14:val="000000">
                      <w14:alpha w14:val="100000"/>
                    </w14:srgbClr>
                  </w14:solidFill>
                </w14:textFill>
              </w:rPr>
              <w:t>|||</w:t>
            </w:r>
            <w:r w:rsidRPr="00165A53">
              <w:rPr>
                <w:color w:val="000000"/>
                <w:spacing w:val="1"/>
                <w:shd w:val="solid" w:color="000000" w:fill="000000"/>
                <w:fitText w:val="336" w:id="-628426489"/>
                <w14:textFill>
                  <w14:solidFill>
                    <w14:srgbClr w14:val="000000">
                      <w14:alpha w14:val="100000"/>
                    </w14:srgbClr>
                  </w14:solidFill>
                </w14:textFill>
              </w:rPr>
              <w:t>|</w:t>
            </w:r>
          </w:p>
        </w:tc>
      </w:tr>
      <w:tr w:rsidR="00EF1852" w:rsidRPr="00497260" w14:paraId="0A4C6529" w14:textId="77777777" w:rsidTr="00DE2ED0">
        <w:tc>
          <w:tcPr>
            <w:tcW w:w="2651" w:type="dxa"/>
            <w:tcBorders>
              <w:top w:val="single" w:sz="4" w:space="0" w:color="auto"/>
              <w:bottom w:val="single" w:sz="4" w:space="0" w:color="auto"/>
              <w:right w:val="single" w:sz="4" w:space="0" w:color="auto"/>
            </w:tcBorders>
            <w:tcMar>
              <w:left w:w="20" w:type="dxa"/>
              <w:right w:w="20" w:type="dxa"/>
            </w:tcMar>
            <w:vAlign w:val="center"/>
          </w:tcPr>
          <w:p w14:paraId="59C1CFFF" w14:textId="2E15FA67" w:rsidR="00EF1852" w:rsidRPr="00497260" w:rsidRDefault="00EF1852" w:rsidP="00EF1852">
            <w:pPr>
              <w:pStyle w:val="TableText0"/>
              <w:keepLines/>
              <w:contextualSpacing/>
            </w:pPr>
            <w:r w:rsidRPr="00497260">
              <w:t>Total scripts</w:t>
            </w:r>
          </w:p>
        </w:tc>
        <w:tc>
          <w:tcPr>
            <w:tcW w:w="1064" w:type="dxa"/>
            <w:tcBorders>
              <w:top w:val="single" w:sz="4" w:space="0" w:color="auto"/>
              <w:left w:val="nil"/>
              <w:bottom w:val="single" w:sz="4" w:space="0" w:color="auto"/>
              <w:right w:val="single" w:sz="4" w:space="0" w:color="auto"/>
            </w:tcBorders>
            <w:tcMar>
              <w:left w:w="20" w:type="dxa"/>
              <w:right w:w="20" w:type="dxa"/>
            </w:tcMar>
          </w:tcPr>
          <w:p w14:paraId="7B5555E8" w14:textId="15C3D047"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8"/>
                <w14:textFill>
                  <w14:solidFill>
                    <w14:srgbClr w14:val="000000">
                      <w14:alpha w14:val="100000"/>
                    </w14:srgbClr>
                  </w14:solidFill>
                </w14:textFill>
              </w:rPr>
              <w:t>|||</w:t>
            </w:r>
            <w:r w:rsidRPr="00165A53">
              <w:rPr>
                <w:color w:val="000000"/>
                <w:spacing w:val="1"/>
                <w:shd w:val="solid" w:color="000000" w:fill="000000"/>
                <w:fitText w:val="324" w:id="-628426488"/>
                <w14:textFill>
                  <w14:solidFill>
                    <w14:srgbClr w14:val="000000">
                      <w14:alpha w14:val="100000"/>
                    </w14:srgbClr>
                  </w14:solidFill>
                </w14:textFill>
              </w:rPr>
              <w:t>|</w:t>
            </w:r>
            <w:r w:rsidR="00E54862" w:rsidRPr="00E54862">
              <w:rPr>
                <w:rFonts w:cs="Arial"/>
                <w:color w:val="000000"/>
                <w:szCs w:val="20"/>
                <w:vertAlign w:val="superscript"/>
              </w:rPr>
              <w:t>2</w:t>
            </w:r>
            <w:r w:rsidRPr="00165A53">
              <w:rPr>
                <w:color w:val="000000"/>
                <w:spacing w:val="51"/>
                <w:shd w:val="solid" w:color="000000" w:fill="000000"/>
                <w:fitText w:val="324" w:id="-628426487"/>
                <w14:textFill>
                  <w14:solidFill>
                    <w14:srgbClr w14:val="000000">
                      <w14:alpha w14:val="100000"/>
                    </w14:srgbClr>
                  </w14:solidFill>
                </w14:textFill>
              </w:rPr>
              <w:t>|||</w:t>
            </w:r>
            <w:r w:rsidRPr="00165A53">
              <w:rPr>
                <w:color w:val="000000"/>
                <w:spacing w:val="1"/>
                <w:shd w:val="solid" w:color="000000" w:fill="000000"/>
                <w:fitText w:val="324" w:id="-628426487"/>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13CD912E" w14:textId="5E64E4A4"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6"/>
                <w14:textFill>
                  <w14:solidFill>
                    <w14:srgbClr w14:val="000000">
                      <w14:alpha w14:val="100000"/>
                    </w14:srgbClr>
                  </w14:solidFill>
                </w14:textFill>
              </w:rPr>
              <w:t>|||</w:t>
            </w:r>
            <w:r w:rsidRPr="00165A53">
              <w:rPr>
                <w:color w:val="000000"/>
                <w:spacing w:val="1"/>
                <w:shd w:val="solid" w:color="000000" w:fill="000000"/>
                <w:fitText w:val="324" w:id="-628426486"/>
                <w14:textFill>
                  <w14:solidFill>
                    <w14:srgbClr w14:val="000000">
                      <w14:alpha w14:val="100000"/>
                    </w14:srgbClr>
                  </w14:solidFill>
                </w14:textFill>
              </w:rPr>
              <w:t>|</w:t>
            </w:r>
            <w:r w:rsidR="00E54862" w:rsidRPr="00E54862">
              <w:rPr>
                <w:rFonts w:cs="Arial"/>
                <w:color w:val="000000"/>
                <w:szCs w:val="20"/>
                <w:vertAlign w:val="superscript"/>
              </w:rPr>
              <w:t>2</w:t>
            </w:r>
            <w:r w:rsidRPr="00165A53">
              <w:rPr>
                <w:color w:val="000000"/>
                <w:spacing w:val="51"/>
                <w:shd w:val="solid" w:color="000000" w:fill="000000"/>
                <w:fitText w:val="324" w:id="-628426485"/>
                <w14:textFill>
                  <w14:solidFill>
                    <w14:srgbClr w14:val="000000">
                      <w14:alpha w14:val="100000"/>
                    </w14:srgbClr>
                  </w14:solidFill>
                </w14:textFill>
              </w:rPr>
              <w:t>|||</w:t>
            </w:r>
            <w:r w:rsidRPr="00165A53">
              <w:rPr>
                <w:color w:val="000000"/>
                <w:spacing w:val="1"/>
                <w:shd w:val="solid" w:color="000000" w:fill="000000"/>
                <w:fitText w:val="324" w:id="-628426485"/>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50475AC4" w14:textId="701D4FF8"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4"/>
                <w14:textFill>
                  <w14:solidFill>
                    <w14:srgbClr w14:val="000000">
                      <w14:alpha w14:val="100000"/>
                    </w14:srgbClr>
                  </w14:solidFill>
                </w14:textFill>
              </w:rPr>
              <w:t>|||</w:t>
            </w:r>
            <w:r w:rsidRPr="00165A53">
              <w:rPr>
                <w:color w:val="000000"/>
                <w:spacing w:val="1"/>
                <w:shd w:val="solid" w:color="000000" w:fill="000000"/>
                <w:fitText w:val="324" w:id="-628426484"/>
                <w14:textFill>
                  <w14:solidFill>
                    <w14:srgbClr w14:val="000000">
                      <w14:alpha w14:val="100000"/>
                    </w14:srgbClr>
                  </w14:solidFill>
                </w14:textFill>
              </w:rPr>
              <w:t>|</w:t>
            </w:r>
            <w:r w:rsidR="00E54862" w:rsidRPr="00E54862">
              <w:rPr>
                <w:rFonts w:cs="Arial"/>
                <w:color w:val="000000"/>
                <w:szCs w:val="20"/>
                <w:vertAlign w:val="superscript"/>
              </w:rPr>
              <w:t>2</w:t>
            </w:r>
            <w:r w:rsidRPr="00165A53">
              <w:rPr>
                <w:color w:val="000000"/>
                <w:spacing w:val="51"/>
                <w:shd w:val="solid" w:color="000000" w:fill="000000"/>
                <w:fitText w:val="324" w:id="-628426483"/>
                <w14:textFill>
                  <w14:solidFill>
                    <w14:srgbClr w14:val="000000">
                      <w14:alpha w14:val="100000"/>
                    </w14:srgbClr>
                  </w14:solidFill>
                </w14:textFill>
              </w:rPr>
              <w:t>|||</w:t>
            </w:r>
            <w:r w:rsidRPr="00165A53">
              <w:rPr>
                <w:color w:val="000000"/>
                <w:spacing w:val="1"/>
                <w:shd w:val="solid" w:color="000000" w:fill="000000"/>
                <w:fitText w:val="324" w:id="-628426483"/>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5C71EEDD" w14:textId="6EDB0E3E"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2"/>
                <w14:textFill>
                  <w14:solidFill>
                    <w14:srgbClr w14:val="000000">
                      <w14:alpha w14:val="100000"/>
                    </w14:srgbClr>
                  </w14:solidFill>
                </w14:textFill>
              </w:rPr>
              <w:t>|||</w:t>
            </w:r>
            <w:r w:rsidRPr="00165A53">
              <w:rPr>
                <w:color w:val="000000"/>
                <w:spacing w:val="1"/>
                <w:shd w:val="solid" w:color="000000" w:fill="000000"/>
                <w:fitText w:val="324" w:id="-628426482"/>
                <w14:textFill>
                  <w14:solidFill>
                    <w14:srgbClr w14:val="000000">
                      <w14:alpha w14:val="100000"/>
                    </w14:srgbClr>
                  </w14:solidFill>
                </w14:textFill>
              </w:rPr>
              <w:t>|</w:t>
            </w:r>
            <w:r w:rsidR="00E54862" w:rsidRPr="00E54862">
              <w:rPr>
                <w:rFonts w:cs="Arial"/>
                <w:color w:val="000000"/>
                <w:szCs w:val="20"/>
                <w:vertAlign w:val="superscript"/>
              </w:rPr>
              <w:t>2</w:t>
            </w:r>
            <w:r w:rsidRPr="00165A53">
              <w:rPr>
                <w:color w:val="000000"/>
                <w:spacing w:val="51"/>
                <w:shd w:val="solid" w:color="000000" w:fill="000000"/>
                <w:fitText w:val="324" w:id="-628426481"/>
                <w14:textFill>
                  <w14:solidFill>
                    <w14:srgbClr w14:val="000000">
                      <w14:alpha w14:val="100000"/>
                    </w14:srgbClr>
                  </w14:solidFill>
                </w14:textFill>
              </w:rPr>
              <w:t>|||</w:t>
            </w:r>
            <w:r w:rsidRPr="00165A53">
              <w:rPr>
                <w:color w:val="000000"/>
                <w:spacing w:val="1"/>
                <w:shd w:val="solid" w:color="000000" w:fill="000000"/>
                <w:fitText w:val="324" w:id="-628426481"/>
                <w14:textFill>
                  <w14:solidFill>
                    <w14:srgbClr w14:val="000000">
                      <w14:alpha w14:val="100000"/>
                    </w14:srgb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19E57013" w14:textId="1C1C14F9"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80"/>
                <w14:textFill>
                  <w14:solidFill>
                    <w14:srgbClr w14:val="000000">
                      <w14:alpha w14:val="100000"/>
                    </w14:srgbClr>
                  </w14:solidFill>
                </w14:textFill>
              </w:rPr>
              <w:t>|||</w:t>
            </w:r>
            <w:r w:rsidRPr="00165A53">
              <w:rPr>
                <w:color w:val="000000"/>
                <w:spacing w:val="1"/>
                <w:shd w:val="solid" w:color="000000" w:fill="000000"/>
                <w:fitText w:val="324" w:id="-628426480"/>
                <w14:textFill>
                  <w14:solidFill>
                    <w14:srgbClr w14:val="000000">
                      <w14:alpha w14:val="100000"/>
                    </w14:srgbClr>
                  </w14:solidFill>
                </w14:textFill>
              </w:rPr>
              <w:t>|</w:t>
            </w:r>
            <w:r w:rsidR="00E54862" w:rsidRPr="00E54862">
              <w:rPr>
                <w:rFonts w:cs="Arial"/>
                <w:color w:val="000000"/>
                <w:szCs w:val="20"/>
                <w:vertAlign w:val="superscript"/>
              </w:rPr>
              <w:t>2</w:t>
            </w:r>
            <w:r w:rsidRPr="00165A53">
              <w:rPr>
                <w:color w:val="000000"/>
                <w:spacing w:val="51"/>
                <w:shd w:val="solid" w:color="000000" w:fill="000000"/>
                <w:fitText w:val="324" w:id="-628426496"/>
                <w14:textFill>
                  <w14:solidFill>
                    <w14:srgbClr w14:val="000000">
                      <w14:alpha w14:val="100000"/>
                    </w14:srgbClr>
                  </w14:solidFill>
                </w14:textFill>
              </w:rPr>
              <w:t>|||</w:t>
            </w:r>
            <w:r w:rsidRPr="00165A53">
              <w:rPr>
                <w:color w:val="000000"/>
                <w:spacing w:val="1"/>
                <w:shd w:val="solid" w:color="000000" w:fill="000000"/>
                <w:fitText w:val="324" w:id="-628426496"/>
                <w14:textFill>
                  <w14:solidFill>
                    <w14:srgbClr w14:val="000000">
                      <w14:alpha w14:val="100000"/>
                    </w14:srgbClr>
                  </w14:solidFill>
                </w14:textFill>
              </w:rPr>
              <w:t>|</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tcPr>
          <w:p w14:paraId="12094FF0" w14:textId="2843B166" w:rsidR="00EF1852" w:rsidRPr="00FA4290" w:rsidRDefault="00165A53" w:rsidP="00EF1852">
            <w:pPr>
              <w:pStyle w:val="TableText0"/>
              <w:keepLines/>
              <w:contextualSpacing/>
              <w:jc w:val="center"/>
              <w:rPr>
                <w:rFonts w:cs="Calibri"/>
                <w:b/>
                <w:bCs w:val="0"/>
                <w:color w:val="000000"/>
                <w:szCs w:val="20"/>
                <w:highlight w:val="darkGray"/>
              </w:rPr>
            </w:pPr>
            <w:r w:rsidRPr="00165A53">
              <w:rPr>
                <w:color w:val="000000"/>
                <w:spacing w:val="51"/>
                <w:shd w:val="solid" w:color="000000" w:fill="000000"/>
                <w:fitText w:val="324" w:id="-628426495"/>
                <w14:textFill>
                  <w14:solidFill>
                    <w14:srgbClr w14:val="000000">
                      <w14:alpha w14:val="100000"/>
                    </w14:srgbClr>
                  </w14:solidFill>
                </w14:textFill>
              </w:rPr>
              <w:t>|||</w:t>
            </w:r>
            <w:r w:rsidRPr="00165A53">
              <w:rPr>
                <w:color w:val="000000"/>
                <w:spacing w:val="1"/>
                <w:shd w:val="solid" w:color="000000" w:fill="000000"/>
                <w:fitText w:val="324" w:id="-628426495"/>
                <w14:textFill>
                  <w14:solidFill>
                    <w14:srgbClr w14:val="000000">
                      <w14:alpha w14:val="100000"/>
                    </w14:srgbClr>
                  </w14:solidFill>
                </w14:textFill>
              </w:rPr>
              <w:t>|</w:t>
            </w:r>
            <w:r w:rsidR="00E54862" w:rsidRPr="00E54862">
              <w:rPr>
                <w:rFonts w:cs="Arial"/>
                <w:color w:val="000000"/>
                <w:szCs w:val="20"/>
                <w:vertAlign w:val="superscript"/>
              </w:rPr>
              <w:t>2</w:t>
            </w:r>
            <w:r w:rsidRPr="00165A53">
              <w:rPr>
                <w:color w:val="000000"/>
                <w:spacing w:val="51"/>
                <w:shd w:val="solid" w:color="000000" w:fill="000000"/>
                <w:fitText w:val="324" w:id="-628426494"/>
                <w14:textFill>
                  <w14:solidFill>
                    <w14:srgbClr w14:val="000000">
                      <w14:alpha w14:val="100000"/>
                    </w14:srgbClr>
                  </w14:solidFill>
                </w14:textFill>
              </w:rPr>
              <w:t>|||</w:t>
            </w:r>
            <w:r w:rsidRPr="00165A53">
              <w:rPr>
                <w:color w:val="000000"/>
                <w:spacing w:val="1"/>
                <w:shd w:val="solid" w:color="000000" w:fill="000000"/>
                <w:fitText w:val="324" w:id="-628426494"/>
                <w14:textFill>
                  <w14:solidFill>
                    <w14:srgbClr w14:val="000000">
                      <w14:alpha w14:val="100000"/>
                    </w14:srgbClr>
                  </w14:solidFill>
                </w14:textFill>
              </w:rPr>
              <w:t>|</w:t>
            </w:r>
          </w:p>
        </w:tc>
      </w:tr>
      <w:tr w:rsidR="00616017" w:rsidRPr="00497260" w14:paraId="4008EFB1" w14:textId="77777777" w:rsidTr="001E26DD">
        <w:tc>
          <w:tcPr>
            <w:tcW w:w="2651" w:type="dxa"/>
            <w:tcBorders>
              <w:top w:val="single" w:sz="4" w:space="0" w:color="auto"/>
              <w:bottom w:val="single" w:sz="4" w:space="0" w:color="auto"/>
              <w:right w:val="single" w:sz="4" w:space="0" w:color="auto"/>
            </w:tcBorders>
            <w:tcMar>
              <w:left w:w="20" w:type="dxa"/>
              <w:right w:w="20" w:type="dxa"/>
            </w:tcMar>
            <w:vAlign w:val="center"/>
          </w:tcPr>
          <w:p w14:paraId="261423E2" w14:textId="19AD3A42" w:rsidR="00EF1852" w:rsidRPr="00497260" w:rsidRDefault="00EF1852" w:rsidP="00EF1852">
            <w:pPr>
              <w:pStyle w:val="TableText0"/>
              <w:keepLines/>
              <w:contextualSpacing/>
            </w:pPr>
            <w:r w:rsidRPr="00497260">
              <w:t>Net cost to PBS/RPBS</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DB15AEF" w14:textId="221FAC49" w:rsidR="00EF1852" w:rsidRPr="00B2233B" w:rsidRDefault="00EF1852" w:rsidP="00EF1852">
            <w:pPr>
              <w:pStyle w:val="TableText0"/>
              <w:keepLines/>
              <w:contextualSpacing/>
              <w:jc w:val="center"/>
              <w:rPr>
                <w:rFonts w:cs="Calibri"/>
                <w:b/>
                <w:bCs w:val="0"/>
                <w:color w:val="000000"/>
                <w:szCs w:val="20"/>
                <w:vertAlign w:val="superscript"/>
              </w:rPr>
            </w:pPr>
            <w:r w:rsidRPr="00497260">
              <w:rPr>
                <w:rFonts w:cs="Arial"/>
                <w:b/>
                <w:color w:val="000000"/>
                <w:szCs w:val="22"/>
              </w:rPr>
              <w:t>$</w:t>
            </w:r>
            <w:r w:rsidR="00165A53">
              <w:rPr>
                <w:rFonts w:cs="Arial"/>
                <w:b/>
                <w:color w:val="000000"/>
                <w:spacing w:val="58"/>
                <w:szCs w:val="22"/>
                <w:shd w:val="solid" w:color="000000" w:fill="000000"/>
                <w:fitText w:val="360" w:id="-628426493"/>
                <w14:textFill>
                  <w14:solidFill>
                    <w14:srgbClr w14:val="000000">
                      <w14:alpha w14:val="100000"/>
                    </w14:srgbClr>
                  </w14:solidFill>
                </w14:textFill>
              </w:rPr>
              <w:t>|||</w:t>
            </w:r>
            <w:r w:rsidR="00165A53">
              <w:rPr>
                <w:rFonts w:cs="Arial"/>
                <w:b/>
                <w:color w:val="000000"/>
                <w:spacing w:val="2"/>
                <w:szCs w:val="22"/>
                <w:shd w:val="solid" w:color="000000" w:fill="000000"/>
                <w:fitText w:val="360" w:id="-628426493"/>
                <w14:textFill>
                  <w14:solidFill>
                    <w14:srgbClr w14:val="000000">
                      <w14:alpha w14:val="100000"/>
                    </w14:srgbClr>
                  </w14:solidFill>
                </w14:textFill>
              </w:rPr>
              <w:t>|</w:t>
            </w:r>
            <w:r w:rsidR="00B2233B">
              <w:rPr>
                <w:rFonts w:cs="Arial"/>
                <w:b/>
                <w:color w:val="000000"/>
                <w:szCs w:val="22"/>
                <w:vertAlign w:val="superscript"/>
              </w:rPr>
              <w:t>6</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47FA67C1" w14:textId="266C4181" w:rsidR="00EF1852" w:rsidRPr="00221484" w:rsidRDefault="00EF1852" w:rsidP="00EF1852">
            <w:pPr>
              <w:pStyle w:val="TableText0"/>
              <w:keepLines/>
              <w:contextualSpacing/>
              <w:jc w:val="center"/>
              <w:rPr>
                <w:rFonts w:cs="Calibri"/>
                <w:b/>
                <w:bCs w:val="0"/>
                <w:color w:val="000000"/>
                <w:szCs w:val="20"/>
                <w:vertAlign w:val="superscript"/>
              </w:rPr>
            </w:pPr>
            <w:r w:rsidRPr="00497260">
              <w:rPr>
                <w:rFonts w:cs="Arial"/>
                <w:b/>
                <w:color w:val="000000"/>
                <w:szCs w:val="22"/>
              </w:rPr>
              <w:t>$</w:t>
            </w:r>
            <w:r w:rsidR="00165A53">
              <w:rPr>
                <w:rFonts w:cs="Arial"/>
                <w:b/>
                <w:color w:val="000000"/>
                <w:spacing w:val="58"/>
                <w:szCs w:val="22"/>
                <w:shd w:val="solid" w:color="000000" w:fill="000000"/>
                <w:fitText w:val="360" w:id="-628426492"/>
                <w14:textFill>
                  <w14:solidFill>
                    <w14:srgbClr w14:val="000000">
                      <w14:alpha w14:val="100000"/>
                    </w14:srgbClr>
                  </w14:solidFill>
                </w14:textFill>
              </w:rPr>
              <w:t>|||</w:t>
            </w:r>
            <w:r w:rsidR="00165A53">
              <w:rPr>
                <w:rFonts w:cs="Arial"/>
                <w:b/>
                <w:color w:val="000000"/>
                <w:spacing w:val="2"/>
                <w:szCs w:val="22"/>
                <w:shd w:val="solid" w:color="000000" w:fill="000000"/>
                <w:fitText w:val="360" w:id="-628426492"/>
                <w14:textFill>
                  <w14:solidFill>
                    <w14:srgbClr w14:val="000000">
                      <w14:alpha w14:val="100000"/>
                    </w14:srgbClr>
                  </w14:solidFill>
                </w14:textFill>
              </w:rPr>
              <w:t>|</w:t>
            </w:r>
            <w:r w:rsidR="00221484">
              <w:rPr>
                <w:rFonts w:cs="Arial"/>
                <w:b/>
                <w:color w:val="000000"/>
                <w:szCs w:val="22"/>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C6B245D" w14:textId="7E0980BF" w:rsidR="00EF1852" w:rsidRPr="00221484" w:rsidRDefault="00EF1852" w:rsidP="00EF1852">
            <w:pPr>
              <w:pStyle w:val="TableText0"/>
              <w:keepLines/>
              <w:contextualSpacing/>
              <w:jc w:val="center"/>
              <w:rPr>
                <w:rFonts w:cs="Calibri"/>
                <w:b/>
                <w:bCs w:val="0"/>
                <w:color w:val="000000"/>
                <w:szCs w:val="20"/>
                <w:vertAlign w:val="superscript"/>
              </w:rPr>
            </w:pPr>
            <w:r w:rsidRPr="00497260">
              <w:rPr>
                <w:rFonts w:cs="Arial"/>
                <w:b/>
                <w:color w:val="000000"/>
                <w:szCs w:val="22"/>
              </w:rPr>
              <w:t>$</w:t>
            </w:r>
            <w:r w:rsidR="00165A53">
              <w:rPr>
                <w:rFonts w:cs="Arial"/>
                <w:b/>
                <w:color w:val="000000"/>
                <w:spacing w:val="58"/>
                <w:szCs w:val="22"/>
                <w:shd w:val="solid" w:color="000000" w:fill="000000"/>
                <w:fitText w:val="360" w:id="-628426491"/>
                <w14:textFill>
                  <w14:solidFill>
                    <w14:srgbClr w14:val="000000">
                      <w14:alpha w14:val="100000"/>
                    </w14:srgbClr>
                  </w14:solidFill>
                </w14:textFill>
              </w:rPr>
              <w:t>|||</w:t>
            </w:r>
            <w:r w:rsidR="00165A53">
              <w:rPr>
                <w:rFonts w:cs="Arial"/>
                <w:b/>
                <w:color w:val="000000"/>
                <w:spacing w:val="2"/>
                <w:szCs w:val="22"/>
                <w:shd w:val="solid" w:color="000000" w:fill="000000"/>
                <w:fitText w:val="360" w:id="-628426491"/>
                <w14:textFill>
                  <w14:solidFill>
                    <w14:srgbClr w14:val="000000">
                      <w14:alpha w14:val="100000"/>
                    </w14:srgbClr>
                  </w14:solidFill>
                </w14:textFill>
              </w:rPr>
              <w:t>|</w:t>
            </w:r>
            <w:r w:rsidR="00221484">
              <w:rPr>
                <w:rFonts w:cs="Arial"/>
                <w:b/>
                <w:color w:val="000000"/>
                <w:szCs w:val="22"/>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55EE80A" w14:textId="6EEAC957" w:rsidR="00EF1852" w:rsidRPr="00221484" w:rsidRDefault="00EF1852" w:rsidP="00EF1852">
            <w:pPr>
              <w:pStyle w:val="TableText0"/>
              <w:keepLines/>
              <w:contextualSpacing/>
              <w:jc w:val="center"/>
              <w:rPr>
                <w:rFonts w:cs="Calibri"/>
                <w:b/>
                <w:bCs w:val="0"/>
                <w:color w:val="000000"/>
                <w:szCs w:val="20"/>
                <w:vertAlign w:val="superscript"/>
              </w:rPr>
            </w:pPr>
            <w:r w:rsidRPr="00497260">
              <w:rPr>
                <w:rFonts w:cs="Arial"/>
                <w:b/>
                <w:color w:val="000000"/>
                <w:szCs w:val="22"/>
              </w:rPr>
              <w:t>$</w:t>
            </w:r>
            <w:r w:rsidR="00165A53">
              <w:rPr>
                <w:rFonts w:cs="Arial"/>
                <w:b/>
                <w:color w:val="000000"/>
                <w:spacing w:val="58"/>
                <w:szCs w:val="22"/>
                <w:shd w:val="solid" w:color="000000" w:fill="000000"/>
                <w:fitText w:val="360" w:id="-628426490"/>
                <w14:textFill>
                  <w14:solidFill>
                    <w14:srgbClr w14:val="000000">
                      <w14:alpha w14:val="100000"/>
                    </w14:srgbClr>
                  </w14:solidFill>
                </w14:textFill>
              </w:rPr>
              <w:t>|||</w:t>
            </w:r>
            <w:r w:rsidR="00165A53">
              <w:rPr>
                <w:rFonts w:cs="Arial"/>
                <w:b/>
                <w:color w:val="000000"/>
                <w:spacing w:val="2"/>
                <w:szCs w:val="22"/>
                <w:shd w:val="solid" w:color="000000" w:fill="000000"/>
                <w:fitText w:val="360" w:id="-628426490"/>
                <w14:textFill>
                  <w14:solidFill>
                    <w14:srgbClr w14:val="000000">
                      <w14:alpha w14:val="100000"/>
                    </w14:srgbClr>
                  </w14:solidFill>
                </w14:textFill>
              </w:rPr>
              <w:t>|</w:t>
            </w:r>
            <w:r w:rsidR="00221484">
              <w:rPr>
                <w:rFonts w:cs="Arial"/>
                <w:b/>
                <w:color w:val="000000"/>
                <w:szCs w:val="22"/>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04F8A2F9" w14:textId="096D6FB2" w:rsidR="00EF1852" w:rsidRPr="00221484" w:rsidRDefault="00EF1852" w:rsidP="00EF1852">
            <w:pPr>
              <w:pStyle w:val="TableText0"/>
              <w:keepLines/>
              <w:contextualSpacing/>
              <w:jc w:val="center"/>
              <w:rPr>
                <w:rFonts w:cs="Calibri"/>
                <w:b/>
                <w:bCs w:val="0"/>
                <w:color w:val="000000"/>
                <w:szCs w:val="20"/>
                <w:vertAlign w:val="superscript"/>
              </w:rPr>
            </w:pPr>
            <w:r w:rsidRPr="00497260">
              <w:rPr>
                <w:rFonts w:cs="Arial"/>
                <w:b/>
                <w:color w:val="000000"/>
                <w:szCs w:val="22"/>
              </w:rPr>
              <w:t>$</w:t>
            </w:r>
            <w:r w:rsidR="00165A53">
              <w:rPr>
                <w:rFonts w:cs="Arial"/>
                <w:b/>
                <w:color w:val="000000"/>
                <w:spacing w:val="58"/>
                <w:szCs w:val="22"/>
                <w:shd w:val="solid" w:color="000000" w:fill="000000"/>
                <w:fitText w:val="360" w:id="-628426489"/>
                <w14:textFill>
                  <w14:solidFill>
                    <w14:srgbClr w14:val="000000">
                      <w14:alpha w14:val="100000"/>
                    </w14:srgbClr>
                  </w14:solidFill>
                </w14:textFill>
              </w:rPr>
              <w:t>|||</w:t>
            </w:r>
            <w:r w:rsidR="00165A53">
              <w:rPr>
                <w:rFonts w:cs="Arial"/>
                <w:b/>
                <w:color w:val="000000"/>
                <w:spacing w:val="2"/>
                <w:szCs w:val="22"/>
                <w:shd w:val="solid" w:color="000000" w:fill="000000"/>
                <w:fitText w:val="360" w:id="-628426489"/>
                <w14:textFill>
                  <w14:solidFill>
                    <w14:srgbClr w14:val="000000">
                      <w14:alpha w14:val="100000"/>
                    </w14:srgbClr>
                  </w14:solidFill>
                </w14:textFill>
              </w:rPr>
              <w:t>|</w:t>
            </w:r>
            <w:r w:rsidR="00221484">
              <w:rPr>
                <w:rFonts w:cs="Arial"/>
                <w:b/>
                <w:color w:val="000000"/>
                <w:szCs w:val="22"/>
                <w:vertAlign w:val="superscript"/>
              </w:rPr>
              <w:t>3</w:t>
            </w: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5190EE0B" w14:textId="4EBD630F" w:rsidR="00EF1852" w:rsidRPr="00797171" w:rsidRDefault="00EF1852" w:rsidP="00EF1852">
            <w:pPr>
              <w:pStyle w:val="TableText0"/>
              <w:keepLines/>
              <w:contextualSpacing/>
              <w:jc w:val="center"/>
              <w:rPr>
                <w:rFonts w:cs="Calibri"/>
                <w:b/>
                <w:bCs w:val="0"/>
                <w:color w:val="000000"/>
                <w:szCs w:val="20"/>
                <w:vertAlign w:val="superscript"/>
              </w:rPr>
            </w:pPr>
            <w:r w:rsidRPr="00497260">
              <w:rPr>
                <w:rFonts w:cs="Arial"/>
                <w:b/>
                <w:color w:val="000000"/>
                <w:szCs w:val="22"/>
              </w:rPr>
              <w:t>$</w:t>
            </w:r>
            <w:r w:rsidR="00165A53">
              <w:rPr>
                <w:rFonts w:cs="Arial"/>
                <w:b/>
                <w:color w:val="000000"/>
                <w:spacing w:val="58"/>
                <w:szCs w:val="22"/>
                <w:shd w:val="solid" w:color="000000" w:fill="000000"/>
                <w:fitText w:val="360" w:id="-628426488"/>
                <w14:textFill>
                  <w14:solidFill>
                    <w14:srgbClr w14:val="000000">
                      <w14:alpha w14:val="100000"/>
                    </w14:srgbClr>
                  </w14:solidFill>
                </w14:textFill>
              </w:rPr>
              <w:t>|||</w:t>
            </w:r>
            <w:r w:rsidR="00165A53">
              <w:rPr>
                <w:rFonts w:cs="Arial"/>
                <w:b/>
                <w:color w:val="000000"/>
                <w:spacing w:val="2"/>
                <w:szCs w:val="22"/>
                <w:shd w:val="solid" w:color="000000" w:fill="000000"/>
                <w:fitText w:val="360" w:id="-628426488"/>
                <w14:textFill>
                  <w14:solidFill>
                    <w14:srgbClr w14:val="000000">
                      <w14:alpha w14:val="100000"/>
                    </w14:srgbClr>
                  </w14:solidFill>
                </w14:textFill>
              </w:rPr>
              <w:t>|</w:t>
            </w:r>
            <w:r w:rsidR="00797171">
              <w:rPr>
                <w:rFonts w:cs="Arial"/>
                <w:b/>
                <w:color w:val="000000"/>
                <w:szCs w:val="22"/>
                <w:vertAlign w:val="superscript"/>
              </w:rPr>
              <w:t>4</w:t>
            </w:r>
          </w:p>
        </w:tc>
      </w:tr>
      <w:tr w:rsidR="00616017" w:rsidRPr="00497260" w14:paraId="6708F21E" w14:textId="77777777" w:rsidTr="001E26DD">
        <w:tc>
          <w:tcPr>
            <w:tcW w:w="2651" w:type="dxa"/>
            <w:tcBorders>
              <w:top w:val="single" w:sz="4" w:space="0" w:color="auto"/>
              <w:bottom w:val="single" w:sz="4" w:space="0" w:color="auto"/>
              <w:right w:val="single" w:sz="4" w:space="0" w:color="auto"/>
            </w:tcBorders>
            <w:tcMar>
              <w:left w:w="20" w:type="dxa"/>
              <w:right w:w="20" w:type="dxa"/>
            </w:tcMar>
            <w:vAlign w:val="center"/>
          </w:tcPr>
          <w:p w14:paraId="055A81F2" w14:textId="1F56E8A5" w:rsidR="00EF1852" w:rsidRPr="00497260" w:rsidRDefault="00EF1852" w:rsidP="00EF1852">
            <w:pPr>
              <w:pStyle w:val="TableText0"/>
              <w:keepLines/>
              <w:contextualSpacing/>
            </w:pPr>
            <w:r w:rsidRPr="00497260">
              <w:t>Net cost to PBS/RPBS/MBS</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7C37C121" w14:textId="6D2DE187" w:rsidR="00EF1852" w:rsidRPr="00B2233B" w:rsidRDefault="00EF1852" w:rsidP="00EF1852">
            <w:pPr>
              <w:pStyle w:val="TableText0"/>
              <w:keepLines/>
              <w:contextualSpacing/>
              <w:jc w:val="center"/>
              <w:rPr>
                <w:rFonts w:cs="Arial"/>
                <w:b/>
                <w:color w:val="000000"/>
                <w:szCs w:val="22"/>
                <w:vertAlign w:val="superscript"/>
              </w:rPr>
            </w:pPr>
            <w:r w:rsidRPr="00497260">
              <w:t>$</w:t>
            </w:r>
            <w:r w:rsidR="00165A53">
              <w:rPr>
                <w:color w:val="000000"/>
                <w:spacing w:val="50"/>
                <w:shd w:val="solid" w:color="000000" w:fill="000000"/>
                <w:fitText w:val="324" w:id="-628426487"/>
                <w14:textFill>
                  <w14:solidFill>
                    <w14:srgbClr w14:val="000000">
                      <w14:alpha w14:val="100000"/>
                    </w14:srgbClr>
                  </w14:solidFill>
                </w14:textFill>
              </w:rPr>
              <w:t>|||</w:t>
            </w:r>
            <w:r w:rsidR="00165A53">
              <w:rPr>
                <w:color w:val="000000"/>
                <w:spacing w:val="2"/>
                <w:shd w:val="solid" w:color="000000" w:fill="000000"/>
                <w:fitText w:val="324" w:id="-628426487"/>
                <w14:textFill>
                  <w14:solidFill>
                    <w14:srgbClr w14:val="000000">
                      <w14:alpha w14:val="100000"/>
                    </w14:srgbClr>
                  </w14:solidFill>
                </w14:textFill>
              </w:rPr>
              <w:t>|</w:t>
            </w:r>
            <w:r w:rsidR="00B2233B">
              <w:rPr>
                <w:vertAlign w:val="superscript"/>
              </w:rPr>
              <w:t>6</w:t>
            </w:r>
          </w:p>
        </w:tc>
        <w:tc>
          <w:tcPr>
            <w:tcW w:w="1064" w:type="dxa"/>
            <w:tcBorders>
              <w:top w:val="single" w:sz="4" w:space="0" w:color="auto"/>
              <w:left w:val="nil"/>
              <w:bottom w:val="single" w:sz="4" w:space="0" w:color="auto"/>
              <w:right w:val="single" w:sz="4" w:space="0" w:color="auto"/>
            </w:tcBorders>
            <w:tcMar>
              <w:left w:w="20" w:type="dxa"/>
              <w:right w:w="20" w:type="dxa"/>
            </w:tcMar>
          </w:tcPr>
          <w:p w14:paraId="01F9133E" w14:textId="45BE57E3" w:rsidR="00EF1852" w:rsidRPr="00221484" w:rsidRDefault="00EF1852" w:rsidP="00EF1852">
            <w:pPr>
              <w:pStyle w:val="TableText0"/>
              <w:keepLines/>
              <w:contextualSpacing/>
              <w:jc w:val="center"/>
              <w:rPr>
                <w:rFonts w:cs="Arial"/>
                <w:b/>
                <w:color w:val="000000"/>
                <w:szCs w:val="22"/>
                <w:vertAlign w:val="superscript"/>
              </w:rPr>
            </w:pPr>
            <w:r w:rsidRPr="00497260">
              <w:t>$</w:t>
            </w:r>
            <w:r w:rsidR="00165A53">
              <w:rPr>
                <w:color w:val="000000"/>
                <w:spacing w:val="50"/>
                <w:shd w:val="solid" w:color="000000" w:fill="000000"/>
                <w:fitText w:val="324" w:id="-628426486"/>
                <w14:textFill>
                  <w14:solidFill>
                    <w14:srgbClr w14:val="000000">
                      <w14:alpha w14:val="100000"/>
                    </w14:srgbClr>
                  </w14:solidFill>
                </w14:textFill>
              </w:rPr>
              <w:t>|||</w:t>
            </w:r>
            <w:r w:rsidR="00165A53">
              <w:rPr>
                <w:color w:val="000000"/>
                <w:spacing w:val="2"/>
                <w:shd w:val="solid" w:color="000000" w:fill="000000"/>
                <w:fitText w:val="324" w:id="-628426486"/>
                <w14:textFill>
                  <w14:solidFill>
                    <w14:srgbClr w14:val="000000">
                      <w14:alpha w14:val="100000"/>
                    </w14:srgbClr>
                  </w14:solidFill>
                </w14:textFill>
              </w:rPr>
              <w:t>|</w:t>
            </w:r>
            <w:r w:rsidR="00221484">
              <w:rPr>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tcPr>
          <w:p w14:paraId="4B63D590" w14:textId="2F94AFA0" w:rsidR="00EF1852" w:rsidRPr="00221484" w:rsidRDefault="00EF1852" w:rsidP="00EF1852">
            <w:pPr>
              <w:pStyle w:val="TableText0"/>
              <w:keepLines/>
              <w:contextualSpacing/>
              <w:jc w:val="center"/>
              <w:rPr>
                <w:rFonts w:cs="Arial"/>
                <w:b/>
                <w:color w:val="000000"/>
                <w:szCs w:val="22"/>
                <w:vertAlign w:val="superscript"/>
              </w:rPr>
            </w:pPr>
            <w:r w:rsidRPr="00497260">
              <w:t>$</w:t>
            </w:r>
            <w:r w:rsidR="00165A53">
              <w:rPr>
                <w:color w:val="000000"/>
                <w:spacing w:val="50"/>
                <w:shd w:val="solid" w:color="000000" w:fill="000000"/>
                <w:fitText w:val="324" w:id="-628426485"/>
                <w14:textFill>
                  <w14:solidFill>
                    <w14:srgbClr w14:val="000000">
                      <w14:alpha w14:val="100000"/>
                    </w14:srgbClr>
                  </w14:solidFill>
                </w14:textFill>
              </w:rPr>
              <w:t>|||</w:t>
            </w:r>
            <w:r w:rsidR="00165A53">
              <w:rPr>
                <w:color w:val="000000"/>
                <w:spacing w:val="2"/>
                <w:shd w:val="solid" w:color="000000" w:fill="000000"/>
                <w:fitText w:val="324" w:id="-628426485"/>
                <w14:textFill>
                  <w14:solidFill>
                    <w14:srgbClr w14:val="000000">
                      <w14:alpha w14:val="100000"/>
                    </w14:srgbClr>
                  </w14:solidFill>
                </w14:textFill>
              </w:rPr>
              <w:t>|</w:t>
            </w:r>
            <w:r w:rsidR="00221484">
              <w:rPr>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tcPr>
          <w:p w14:paraId="5004DD51" w14:textId="6E3EDC27" w:rsidR="00EF1852" w:rsidRPr="00221484" w:rsidRDefault="00EF1852" w:rsidP="00EF1852">
            <w:pPr>
              <w:pStyle w:val="TableText0"/>
              <w:keepLines/>
              <w:contextualSpacing/>
              <w:jc w:val="center"/>
              <w:rPr>
                <w:rFonts w:cs="Arial"/>
                <w:b/>
                <w:color w:val="000000"/>
                <w:szCs w:val="22"/>
                <w:vertAlign w:val="superscript"/>
              </w:rPr>
            </w:pPr>
            <w:r w:rsidRPr="00497260">
              <w:t>$</w:t>
            </w:r>
            <w:r w:rsidR="00165A53">
              <w:rPr>
                <w:color w:val="000000"/>
                <w:spacing w:val="50"/>
                <w:shd w:val="solid" w:color="000000" w:fill="000000"/>
                <w:fitText w:val="324" w:id="-628426484"/>
                <w14:textFill>
                  <w14:solidFill>
                    <w14:srgbClr w14:val="000000">
                      <w14:alpha w14:val="100000"/>
                    </w14:srgbClr>
                  </w14:solidFill>
                </w14:textFill>
              </w:rPr>
              <w:t>|||</w:t>
            </w:r>
            <w:r w:rsidR="00165A53">
              <w:rPr>
                <w:color w:val="000000"/>
                <w:spacing w:val="2"/>
                <w:shd w:val="solid" w:color="000000" w:fill="000000"/>
                <w:fitText w:val="324" w:id="-628426484"/>
                <w14:textFill>
                  <w14:solidFill>
                    <w14:srgbClr w14:val="000000">
                      <w14:alpha w14:val="100000"/>
                    </w14:srgbClr>
                  </w14:solidFill>
                </w14:textFill>
              </w:rPr>
              <w:t>|</w:t>
            </w:r>
            <w:r w:rsidR="00221484">
              <w:rPr>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tcPr>
          <w:p w14:paraId="65AB3B66" w14:textId="3C407031" w:rsidR="00EF1852" w:rsidRPr="00221484" w:rsidRDefault="00EF1852" w:rsidP="00EF1852">
            <w:pPr>
              <w:pStyle w:val="TableText0"/>
              <w:keepLines/>
              <w:contextualSpacing/>
              <w:jc w:val="center"/>
              <w:rPr>
                <w:rFonts w:cs="Arial"/>
                <w:b/>
                <w:color w:val="000000"/>
                <w:szCs w:val="22"/>
                <w:vertAlign w:val="superscript"/>
              </w:rPr>
            </w:pPr>
            <w:r w:rsidRPr="00497260">
              <w:t>$</w:t>
            </w:r>
            <w:r w:rsidR="00165A53">
              <w:rPr>
                <w:color w:val="000000"/>
                <w:spacing w:val="50"/>
                <w:shd w:val="solid" w:color="000000" w:fill="000000"/>
                <w:fitText w:val="324" w:id="-628426483"/>
                <w14:textFill>
                  <w14:solidFill>
                    <w14:srgbClr w14:val="000000">
                      <w14:alpha w14:val="100000"/>
                    </w14:srgbClr>
                  </w14:solidFill>
                </w14:textFill>
              </w:rPr>
              <w:t>|||</w:t>
            </w:r>
            <w:r w:rsidR="00165A53">
              <w:rPr>
                <w:color w:val="000000"/>
                <w:spacing w:val="2"/>
                <w:shd w:val="solid" w:color="000000" w:fill="000000"/>
                <w:fitText w:val="324" w:id="-628426483"/>
                <w14:textFill>
                  <w14:solidFill>
                    <w14:srgbClr w14:val="000000">
                      <w14:alpha w14:val="100000"/>
                    </w14:srgbClr>
                  </w14:solidFill>
                </w14:textFill>
              </w:rPr>
              <w:t>|</w:t>
            </w:r>
            <w:r w:rsidR="00221484">
              <w:rPr>
                <w:vertAlign w:val="superscript"/>
              </w:rPr>
              <w:t>3</w:t>
            </w:r>
          </w:p>
        </w:tc>
        <w:tc>
          <w:tcPr>
            <w:tcW w:w="1046" w:type="dxa"/>
            <w:tcBorders>
              <w:top w:val="single" w:sz="4" w:space="0" w:color="auto"/>
              <w:left w:val="nil"/>
              <w:bottom w:val="single" w:sz="4" w:space="0" w:color="auto"/>
              <w:right w:val="single" w:sz="4" w:space="0" w:color="auto"/>
            </w:tcBorders>
            <w:tcMar>
              <w:left w:w="20" w:type="dxa"/>
              <w:right w:w="20" w:type="dxa"/>
            </w:tcMar>
          </w:tcPr>
          <w:p w14:paraId="7512A320" w14:textId="358278A5" w:rsidR="00EF1852" w:rsidRPr="00797171" w:rsidRDefault="00EF1852" w:rsidP="00EF1852">
            <w:pPr>
              <w:pStyle w:val="TableText0"/>
              <w:keepLines/>
              <w:contextualSpacing/>
              <w:jc w:val="center"/>
              <w:rPr>
                <w:rFonts w:cs="Arial"/>
                <w:b/>
                <w:color w:val="000000"/>
                <w:szCs w:val="22"/>
                <w:vertAlign w:val="superscript"/>
              </w:rPr>
            </w:pPr>
            <w:r w:rsidRPr="00497260">
              <w:t>$</w:t>
            </w:r>
            <w:r w:rsidR="00165A53">
              <w:rPr>
                <w:color w:val="000000"/>
                <w:spacing w:val="50"/>
                <w:shd w:val="solid" w:color="000000" w:fill="000000"/>
                <w:fitText w:val="324" w:id="-628426482"/>
                <w14:textFill>
                  <w14:solidFill>
                    <w14:srgbClr w14:val="000000">
                      <w14:alpha w14:val="100000"/>
                    </w14:srgbClr>
                  </w14:solidFill>
                </w14:textFill>
              </w:rPr>
              <w:t>|||</w:t>
            </w:r>
            <w:r w:rsidR="00165A53">
              <w:rPr>
                <w:color w:val="000000"/>
                <w:spacing w:val="2"/>
                <w:shd w:val="solid" w:color="000000" w:fill="000000"/>
                <w:fitText w:val="324" w:id="-628426482"/>
                <w14:textFill>
                  <w14:solidFill>
                    <w14:srgbClr w14:val="000000">
                      <w14:alpha w14:val="100000"/>
                    </w14:srgbClr>
                  </w14:solidFill>
                </w14:textFill>
              </w:rPr>
              <w:t>|</w:t>
            </w:r>
            <w:r w:rsidR="00797171">
              <w:rPr>
                <w:vertAlign w:val="superscript"/>
              </w:rPr>
              <w:t>4</w:t>
            </w:r>
          </w:p>
        </w:tc>
      </w:tr>
    </w:tbl>
    <w:p w14:paraId="2A9CF3AB" w14:textId="77777777" w:rsidR="00D30702" w:rsidRPr="00497260" w:rsidRDefault="00D30702" w:rsidP="00107000">
      <w:pPr>
        <w:pStyle w:val="FooterTableFigure"/>
        <w:keepNext/>
        <w:keepLines/>
      </w:pPr>
      <w:r w:rsidRPr="00497260">
        <w:t>Source: Tables 4.2-1; 4.2-2; 4.2-3; 4.3-4; 4.3-5; 4.3-6; 4.3-7; 4.3-8; 4.3-9;  4.4-1; 4.4-2; 4.4-5; 4.4-7; 4.5-1; 4.5-2; 4.6-1; 4.6-2; 4.6-3; pp209 -  of the submission.</w:t>
      </w:r>
    </w:p>
    <w:p w14:paraId="623CA84F" w14:textId="77777777" w:rsidR="00D30702" w:rsidRPr="00497260" w:rsidRDefault="00D30702" w:rsidP="00107000">
      <w:pPr>
        <w:pStyle w:val="FooterTableFigure"/>
        <w:keepNext/>
        <w:keepLines/>
      </w:pPr>
      <w:r w:rsidRPr="00497260">
        <w:t>Abbreviations: 1L = first-line; 2L = second-line; AIHW = Australian Institute of Health and Welfare; A/R = advanced or recurrent; dMMR = mismatch repair deficient; EC = endometrial cancer; ECOG = Eastern Cooperative Oncology Group; Govt = government; MBS = Medicare Benefits Schedule; PBC = platinum-based chemotherapy; PBS = Pharmaceutical Benefits Scheme; PEM+LEN = pembrolizumab + lenvatinib; RPBS = Repatriation Pharmaceutical Benefits Scheme; Yr = year.</w:t>
      </w:r>
    </w:p>
    <w:p w14:paraId="4C11D097" w14:textId="605C423F" w:rsidR="00D30702" w:rsidRPr="00497260" w:rsidRDefault="00287C5F" w:rsidP="00107000">
      <w:pPr>
        <w:pStyle w:val="FooterTableFigure"/>
        <w:keepNext/>
        <w:keepLines/>
      </w:pPr>
      <w:r w:rsidRPr="00497260">
        <w:t xml:space="preserve">Two minor issues were corrected during evaluation (refer to paragraph </w:t>
      </w:r>
      <w:r w:rsidRPr="00497260">
        <w:fldChar w:fldCharType="begin"/>
      </w:r>
      <w:r w:rsidRPr="00497260">
        <w:instrText xml:space="preserve"> REF _Ref198551572 \r \h </w:instrText>
      </w:r>
      <w:r w:rsidR="00AB6F27" w:rsidRPr="00497260">
        <w:instrText xml:space="preserve"> \* MERGEFORMAT </w:instrText>
      </w:r>
      <w:r w:rsidRPr="00497260">
        <w:fldChar w:fldCharType="separate"/>
      </w:r>
      <w:r w:rsidR="003359D3">
        <w:t>6.95</w:t>
      </w:r>
      <w:r w:rsidRPr="00497260">
        <w:fldChar w:fldCharType="end"/>
      </w:r>
      <w:r w:rsidRPr="00497260">
        <w:t>)</w:t>
      </w:r>
      <w:r w:rsidR="000E28CB" w:rsidRPr="00497260">
        <w:t>.</w:t>
      </w:r>
    </w:p>
    <w:p w14:paraId="627C0E4A" w14:textId="77777777" w:rsidR="00D30702" w:rsidRPr="00497260" w:rsidRDefault="00D30702" w:rsidP="00107000">
      <w:pPr>
        <w:pStyle w:val="FooterTableFigure"/>
        <w:keepNext/>
        <w:keepLines/>
      </w:pPr>
      <w:r w:rsidRPr="00497260">
        <w:rPr>
          <w:vertAlign w:val="superscript"/>
        </w:rPr>
        <w:t xml:space="preserve">a </w:t>
      </w:r>
      <w:r w:rsidRPr="00497260">
        <w:t xml:space="preserve">Calculated using patient years of treatment using an 18 week initiation period. 17.33 scripts per year of treatment (52 weeks / (1 pack / (dosing of 1 pack / every 3 weeks))* 100% compliance. </w:t>
      </w:r>
    </w:p>
    <w:p w14:paraId="4C3D1A21" w14:textId="77777777" w:rsidR="00D30702" w:rsidRPr="00497260" w:rsidRDefault="00D30702" w:rsidP="00107000">
      <w:pPr>
        <w:pStyle w:val="FooterTableFigure"/>
        <w:keepNext/>
        <w:keepLines/>
      </w:pPr>
      <w:r w:rsidRPr="00497260">
        <w:rPr>
          <w:vertAlign w:val="superscript"/>
        </w:rPr>
        <w:t xml:space="preserve">b </w:t>
      </w:r>
      <w:r w:rsidRPr="00497260">
        <w:t>Calculated using patient years of treatment. dMMR estimated mean time on treatment NRG-GY018 14.4 months = 62.57 weeks. Assuming 18 weeks of initiation, then the remainder 44.57 weeks used as maintenance. With 8.67 scripts per year of treatment (52 weeks / (1 pack / (dosing of 1 pack / every 6 weeks))* 100% compliance.</w:t>
      </w:r>
    </w:p>
    <w:p w14:paraId="0D019AEB" w14:textId="34510818" w:rsidR="00D30702" w:rsidRPr="00497260" w:rsidRDefault="00D30702" w:rsidP="00107000">
      <w:pPr>
        <w:pStyle w:val="FooterTableFigure"/>
        <w:keepNext/>
        <w:keepLines/>
      </w:pPr>
      <w:r w:rsidRPr="00497260">
        <w:rPr>
          <w:vertAlign w:val="superscript"/>
        </w:rPr>
        <w:t xml:space="preserve">e </w:t>
      </w:r>
      <w:r w:rsidRPr="00497260">
        <w:t>Pembrolizumab scripts calculated using patient years of treatment with a treatment duration of 44.07 weeks per the finalised 2L PEM+LEN pricing package. 17.33 scripts per year of treatment (52 weeks / (1 pack / (dosing of 1 pack / every 3 weeks))* 100% compliance.</w:t>
      </w:r>
    </w:p>
    <w:p w14:paraId="11A0D236" w14:textId="3C1F5932" w:rsidR="00D30702" w:rsidRPr="00497260" w:rsidRDefault="00D30702" w:rsidP="00107000">
      <w:pPr>
        <w:pStyle w:val="FooterTableFigure"/>
        <w:keepNext/>
        <w:keepLines/>
      </w:pPr>
      <w:r w:rsidRPr="00497260">
        <w:rPr>
          <w:vertAlign w:val="superscript"/>
        </w:rPr>
        <w:t xml:space="preserve">f </w:t>
      </w:r>
      <w:r w:rsidRPr="00497260">
        <w:t>Lenvatinib scripts calculated using patient years of treatment with a treatment duration of 8.81 months per the finalised 2L PEM+LEN pricing package. This treatment duration could not be independently verified. 12 scripts per year of treatment (12 months / (30 pack / (dosing of 30 pack)* 100% compliance.</w:t>
      </w:r>
    </w:p>
    <w:p w14:paraId="4BEA6774" w14:textId="291D09AB" w:rsidR="00A3213F" w:rsidRDefault="00D30702" w:rsidP="00107000">
      <w:pPr>
        <w:pStyle w:val="FooterTableFigure"/>
        <w:keepNext/>
        <w:keepLines/>
      </w:pPr>
      <w:r w:rsidRPr="00497260">
        <w:rPr>
          <w:vertAlign w:val="superscript"/>
        </w:rPr>
        <w:t xml:space="preserve">g </w:t>
      </w:r>
      <w:r w:rsidRPr="00497260">
        <w:t>Calculated by multiplying the number of administrations for pembrolizumab by the corresponding number of MBS items (MBS code 13950) and its allocated cost ($123.05).</w:t>
      </w:r>
    </w:p>
    <w:p w14:paraId="139CEE05" w14:textId="77777777" w:rsidR="003A1DE1" w:rsidRPr="003A1DE1" w:rsidRDefault="003A1DE1" w:rsidP="003A1DE1">
      <w:pPr>
        <w:pStyle w:val="FooterTableFigure"/>
        <w:keepNext/>
        <w:keepLines/>
        <w:rPr>
          <w:i/>
        </w:rPr>
      </w:pPr>
      <w:r w:rsidRPr="003A1DE1">
        <w:rPr>
          <w:i/>
        </w:rPr>
        <w:t xml:space="preserve">The redacted values correspond to the following ranges: </w:t>
      </w:r>
    </w:p>
    <w:p w14:paraId="0663E4CD" w14:textId="6607AF0E" w:rsidR="003A1DE1" w:rsidRPr="003A1DE1" w:rsidRDefault="003A1DE1" w:rsidP="003A1DE1">
      <w:pPr>
        <w:pStyle w:val="FooterTableFigure"/>
        <w:keepNext/>
        <w:keepLines/>
        <w:rPr>
          <w:i/>
        </w:rPr>
      </w:pPr>
      <w:r w:rsidRPr="003A1DE1">
        <w:rPr>
          <w:i/>
          <w:vertAlign w:val="superscript"/>
        </w:rPr>
        <w:t>1</w:t>
      </w:r>
      <w:r w:rsidRPr="003A1DE1">
        <w:rPr>
          <w:i/>
        </w:rPr>
        <w:t xml:space="preserve"> </w:t>
      </w:r>
      <w:r w:rsidR="000718DC" w:rsidRPr="000718DC">
        <w:rPr>
          <w:i/>
        </w:rPr>
        <w:t>&lt; 500</w:t>
      </w:r>
    </w:p>
    <w:p w14:paraId="414D3BAD" w14:textId="0C215F50" w:rsidR="003A1DE1" w:rsidRPr="003A1DE1" w:rsidRDefault="003A1DE1" w:rsidP="003A1DE1">
      <w:pPr>
        <w:pStyle w:val="FooterTableFigure"/>
        <w:keepNext/>
        <w:keepLines/>
        <w:rPr>
          <w:i/>
        </w:rPr>
      </w:pPr>
      <w:r w:rsidRPr="003A1DE1">
        <w:rPr>
          <w:i/>
          <w:vertAlign w:val="superscript"/>
        </w:rPr>
        <w:t>2</w:t>
      </w:r>
      <w:r w:rsidRPr="003A1DE1">
        <w:rPr>
          <w:i/>
        </w:rPr>
        <w:t xml:space="preserve"> </w:t>
      </w:r>
      <w:r w:rsidR="00E54862" w:rsidRPr="00E54862">
        <w:rPr>
          <w:i/>
        </w:rPr>
        <w:t>500 to &lt; 5,000</w:t>
      </w:r>
    </w:p>
    <w:p w14:paraId="4AF74652" w14:textId="0F8D0F7B" w:rsidR="003A1DE1" w:rsidRPr="003A1DE1" w:rsidRDefault="003A1DE1" w:rsidP="003A1DE1">
      <w:pPr>
        <w:pStyle w:val="FooterTableFigure"/>
        <w:keepNext/>
        <w:keepLines/>
        <w:rPr>
          <w:i/>
        </w:rPr>
      </w:pPr>
      <w:r w:rsidRPr="003A1DE1">
        <w:rPr>
          <w:i/>
          <w:vertAlign w:val="superscript"/>
        </w:rPr>
        <w:t>3</w:t>
      </w:r>
      <w:r w:rsidRPr="003A1DE1">
        <w:rPr>
          <w:i/>
        </w:rPr>
        <w:t xml:space="preserve"> </w:t>
      </w:r>
      <w:r w:rsidR="00221484" w:rsidRPr="00221484">
        <w:rPr>
          <w:i/>
        </w:rPr>
        <w:t>$30 million to &lt; $40 million</w:t>
      </w:r>
    </w:p>
    <w:p w14:paraId="0B5195E7" w14:textId="01655155" w:rsidR="003A1DE1" w:rsidRPr="003A1DE1" w:rsidRDefault="003A1DE1" w:rsidP="003A1DE1">
      <w:pPr>
        <w:pStyle w:val="FooterTableFigure"/>
        <w:keepNext/>
        <w:keepLines/>
        <w:rPr>
          <w:i/>
        </w:rPr>
      </w:pPr>
      <w:r w:rsidRPr="003A1DE1">
        <w:rPr>
          <w:i/>
          <w:vertAlign w:val="superscript"/>
        </w:rPr>
        <w:t>4</w:t>
      </w:r>
      <w:r w:rsidRPr="003A1DE1">
        <w:rPr>
          <w:i/>
        </w:rPr>
        <w:t xml:space="preserve"> </w:t>
      </w:r>
      <w:r w:rsidR="00350ACC" w:rsidRPr="00350ACC">
        <w:rPr>
          <w:i/>
        </w:rPr>
        <w:t>$40 million to &lt; $50 million</w:t>
      </w:r>
    </w:p>
    <w:p w14:paraId="53F077CA" w14:textId="78722F9B" w:rsidR="003A1DE1" w:rsidRPr="003A1DE1" w:rsidRDefault="003A1DE1" w:rsidP="003A1DE1">
      <w:pPr>
        <w:pStyle w:val="FooterTableFigure"/>
        <w:keepNext/>
        <w:keepLines/>
        <w:rPr>
          <w:i/>
        </w:rPr>
      </w:pPr>
      <w:r w:rsidRPr="003A1DE1">
        <w:rPr>
          <w:i/>
          <w:vertAlign w:val="superscript"/>
        </w:rPr>
        <w:t>5</w:t>
      </w:r>
      <w:r w:rsidRPr="003A1DE1">
        <w:rPr>
          <w:i/>
        </w:rPr>
        <w:t xml:space="preserve"> </w:t>
      </w:r>
      <w:r w:rsidR="00C45561" w:rsidRPr="00C45561">
        <w:rPr>
          <w:i/>
        </w:rPr>
        <w:t>$0 to &lt; $10 million</w:t>
      </w:r>
    </w:p>
    <w:p w14:paraId="3DBDAFE7" w14:textId="74A3EBF6" w:rsidR="003A1DE1" w:rsidRPr="003A1DE1" w:rsidRDefault="003A1DE1" w:rsidP="00107000">
      <w:pPr>
        <w:pStyle w:val="FooterTableFigure"/>
        <w:keepNext/>
        <w:keepLines/>
        <w:rPr>
          <w:i/>
        </w:rPr>
      </w:pPr>
      <w:r w:rsidRPr="003A1DE1">
        <w:rPr>
          <w:i/>
          <w:vertAlign w:val="superscript"/>
        </w:rPr>
        <w:t>6</w:t>
      </w:r>
      <w:r w:rsidRPr="003A1DE1">
        <w:rPr>
          <w:i/>
        </w:rPr>
        <w:t xml:space="preserve"> </w:t>
      </w:r>
      <w:r w:rsidR="00B2233B" w:rsidRPr="00B2233B">
        <w:rPr>
          <w:i/>
        </w:rPr>
        <w:t>$20 million to &lt; $30 million</w:t>
      </w:r>
    </w:p>
    <w:p w14:paraId="24B915C9" w14:textId="639EE7B5" w:rsidR="00A3213F" w:rsidRPr="00497260" w:rsidRDefault="00A3213F" w:rsidP="00A3213F">
      <w:pPr>
        <w:pStyle w:val="3-BodyText"/>
      </w:pPr>
      <w:bookmarkStart w:id="88" w:name="_Hlk200628146"/>
      <w:r w:rsidRPr="00497260">
        <w:t xml:space="preserve">The </w:t>
      </w:r>
      <w:r w:rsidR="00305ECB">
        <w:t xml:space="preserve">evaluation noted the </w:t>
      </w:r>
      <w:r w:rsidRPr="00497260">
        <w:t xml:space="preserve">following points regarding the submission’s financial </w:t>
      </w:r>
      <w:r w:rsidR="001B4861">
        <w:t>estimates for the dMMR population</w:t>
      </w:r>
      <w:r w:rsidRPr="00497260">
        <w:t xml:space="preserve">: </w:t>
      </w:r>
    </w:p>
    <w:bookmarkEnd w:id="88"/>
    <w:p w14:paraId="6B8588C6" w14:textId="447B8456" w:rsidR="00A3213F" w:rsidRPr="00497260" w:rsidRDefault="000E5C8A" w:rsidP="0037102E">
      <w:pPr>
        <w:pStyle w:val="3-BodyText"/>
        <w:numPr>
          <w:ilvl w:val="0"/>
          <w:numId w:val="18"/>
        </w:numPr>
      </w:pPr>
      <w:r w:rsidRPr="00497260">
        <w:t>Offsets</w:t>
      </w:r>
      <w:r w:rsidR="00D30702" w:rsidRPr="00497260">
        <w:t xml:space="preserve"> for</w:t>
      </w:r>
      <w:r w:rsidRPr="00497260">
        <w:t xml:space="preserve"> reduced use of</w:t>
      </w:r>
      <w:r w:rsidR="00D30702" w:rsidRPr="00497260">
        <w:t xml:space="preserve"> </w:t>
      </w:r>
      <w:r w:rsidR="00437BAB" w:rsidRPr="00497260">
        <w:t>dostarlimab</w:t>
      </w:r>
      <w:r w:rsidR="00D30702" w:rsidRPr="00497260">
        <w:t xml:space="preserve"> and </w:t>
      </w:r>
      <w:r w:rsidR="008F1D87" w:rsidRPr="00497260">
        <w:t>durvalumab</w:t>
      </w:r>
      <w:r w:rsidR="00D30702" w:rsidRPr="00497260">
        <w:t xml:space="preserve"> </w:t>
      </w:r>
      <w:r w:rsidRPr="00497260">
        <w:t xml:space="preserve">should </w:t>
      </w:r>
      <w:r w:rsidR="00FD5687">
        <w:t xml:space="preserve">have </w:t>
      </w:r>
      <w:r w:rsidRPr="00497260">
        <w:t>be</w:t>
      </w:r>
      <w:r w:rsidR="00FD5687">
        <w:t>en</w:t>
      </w:r>
      <w:r w:rsidRPr="00497260">
        <w:t xml:space="preserve"> included</w:t>
      </w:r>
      <w:r w:rsidR="00D30702" w:rsidRPr="00497260">
        <w:t>. As such, the net cost</w:t>
      </w:r>
      <w:r w:rsidR="00A41CB0" w:rsidRPr="00497260">
        <w:t>s</w:t>
      </w:r>
      <w:r w:rsidR="00D30702" w:rsidRPr="00497260">
        <w:t xml:space="preserve"> to </w:t>
      </w:r>
      <w:r w:rsidR="00A41CB0" w:rsidRPr="00497260">
        <w:t>the PBS/RPBS</w:t>
      </w:r>
      <w:r w:rsidR="00D30702" w:rsidRPr="00497260">
        <w:t xml:space="preserve"> </w:t>
      </w:r>
      <w:r w:rsidR="00FD5687">
        <w:t>we</w:t>
      </w:r>
      <w:r w:rsidR="00BB742C" w:rsidRPr="00497260">
        <w:t>re</w:t>
      </w:r>
      <w:r w:rsidR="00D30702" w:rsidRPr="00497260">
        <w:t xml:space="preserve"> overestimated and </w:t>
      </w:r>
      <w:r w:rsidR="00FD5687">
        <w:t>we</w:t>
      </w:r>
      <w:r w:rsidR="00BB742C" w:rsidRPr="00497260">
        <w:t xml:space="preserve">re </w:t>
      </w:r>
      <w:r w:rsidR="00D30702" w:rsidRPr="00497260">
        <w:t>not indicative of the actual cost of listing</w:t>
      </w:r>
      <w:r w:rsidR="00F230A4">
        <w:t>. A</w:t>
      </w:r>
      <w:r w:rsidR="0053531F">
        <w:t xml:space="preserve">s outlined in paragraph </w:t>
      </w:r>
      <w:r w:rsidR="0053531F">
        <w:fldChar w:fldCharType="begin"/>
      </w:r>
      <w:r w:rsidR="0053531F">
        <w:instrText xml:space="preserve"> REF _Ref205286782 \r \h </w:instrText>
      </w:r>
      <w:r w:rsidR="0053531F">
        <w:fldChar w:fldCharType="separate"/>
      </w:r>
      <w:r w:rsidR="003359D3">
        <w:t>6.92</w:t>
      </w:r>
      <w:r w:rsidR="0053531F">
        <w:fldChar w:fldCharType="end"/>
      </w:r>
      <w:r w:rsidR="0053531F">
        <w:t>, t</w:t>
      </w:r>
      <w:r w:rsidR="0053531F" w:rsidRPr="0053531F">
        <w:t xml:space="preserve">he PSCR stated the financial estimates were intended to </w:t>
      </w:r>
      <w:r w:rsidR="00F230A4">
        <w:t xml:space="preserve">estimate </w:t>
      </w:r>
      <w:r w:rsidR="0053531F" w:rsidRPr="0053531F">
        <w:t>the total cost of listing anti-PD-(L)1 for the treatment of 1L A/R EC</w:t>
      </w:r>
      <w:r w:rsidR="00E33C00">
        <w:t xml:space="preserve">. The ESC </w:t>
      </w:r>
      <w:r w:rsidR="00CA4581">
        <w:t xml:space="preserve">noted that the submission did not include any market share assumptions. </w:t>
      </w:r>
      <w:r w:rsidR="00271530">
        <w:t xml:space="preserve">The pre-PBAC response stated </w:t>
      </w:r>
      <w:r w:rsidR="00037FA6">
        <w:t>it anticipated</w:t>
      </w:r>
      <w:r w:rsidR="002F5FDF">
        <w:t xml:space="preserve"> a market share rate of 70% in first line dMMR</w:t>
      </w:r>
      <w:r w:rsidR="00A3213F" w:rsidRPr="00497260">
        <w:t xml:space="preserve">; </w:t>
      </w:r>
    </w:p>
    <w:p w14:paraId="44BF77B0" w14:textId="3A3F96C8" w:rsidR="00A3213F" w:rsidRPr="00497260" w:rsidRDefault="00A3213F" w:rsidP="0037102E">
      <w:pPr>
        <w:pStyle w:val="3-BodyText"/>
        <w:numPr>
          <w:ilvl w:val="0"/>
          <w:numId w:val="18"/>
        </w:numPr>
      </w:pPr>
      <w:r w:rsidRPr="00497260">
        <w:lastRenderedPageBreak/>
        <w:t xml:space="preserve">It was unclear why 2L </w:t>
      </w:r>
      <w:r w:rsidR="00BF1B0D" w:rsidRPr="00497260">
        <w:t>pembrolizumab</w:t>
      </w:r>
      <w:r w:rsidR="00FC64AF" w:rsidRPr="00497260">
        <w:t xml:space="preserve"> </w:t>
      </w:r>
      <w:r w:rsidRPr="00497260">
        <w:t>+</w:t>
      </w:r>
      <w:r w:rsidR="00FC64AF" w:rsidRPr="00497260">
        <w:t xml:space="preserve"> </w:t>
      </w:r>
      <w:r w:rsidR="001F3073" w:rsidRPr="00497260">
        <w:t>lenvatinib</w:t>
      </w:r>
      <w:r w:rsidRPr="00497260">
        <w:t xml:space="preserve"> offsets were not included in the dMMR population as 1L </w:t>
      </w:r>
      <w:r w:rsidR="00BF1B0D" w:rsidRPr="00497260">
        <w:t>pembrolizumab</w:t>
      </w:r>
      <w:r w:rsidRPr="00497260">
        <w:t xml:space="preserve"> would be expected to replace 1L PBC followed by 2L </w:t>
      </w:r>
      <w:r w:rsidR="00BF1B0D" w:rsidRPr="00497260">
        <w:t>pembrolizumab</w:t>
      </w:r>
      <w:r w:rsidR="00FC64AF" w:rsidRPr="00497260">
        <w:t xml:space="preserve"> </w:t>
      </w:r>
      <w:r w:rsidRPr="00497260">
        <w:t>+</w:t>
      </w:r>
      <w:r w:rsidR="00FC64AF" w:rsidRPr="00497260">
        <w:t xml:space="preserve"> </w:t>
      </w:r>
      <w:r w:rsidR="001F3073" w:rsidRPr="00497260">
        <w:t>lenvatinib</w:t>
      </w:r>
      <w:r w:rsidRPr="00497260">
        <w:t xml:space="preserve"> in a proportion of patients</w:t>
      </w:r>
      <w:r w:rsidR="002A2EB6" w:rsidRPr="00497260">
        <w:t>. This would have led to an overestimate in the cost in the dMMR population</w:t>
      </w:r>
      <w:r w:rsidRPr="00497260">
        <w:t>;</w:t>
      </w:r>
    </w:p>
    <w:p w14:paraId="4FFFF256" w14:textId="7B3A9C46" w:rsidR="00A3213F" w:rsidRPr="00497260" w:rsidRDefault="00A3213F" w:rsidP="0037102E">
      <w:pPr>
        <w:pStyle w:val="3-BodyText"/>
        <w:numPr>
          <w:ilvl w:val="0"/>
          <w:numId w:val="18"/>
        </w:numPr>
      </w:pPr>
      <w:r w:rsidRPr="00497260">
        <w:t>There was potential double counting due to inclusion of ECOG 0-2 criteria (95%) and eligibility for 1L PBC (90%), as part of the eligibility requirements to commence 1L PBC are likely inclusive of an ECOG assessment;</w:t>
      </w:r>
    </w:p>
    <w:p w14:paraId="2900AC1A" w14:textId="54A92CD1" w:rsidR="00A3213F" w:rsidRPr="00497260" w:rsidRDefault="00A3213F" w:rsidP="0037102E">
      <w:pPr>
        <w:pStyle w:val="3-BodyText"/>
        <w:numPr>
          <w:ilvl w:val="0"/>
          <w:numId w:val="18"/>
        </w:numPr>
      </w:pPr>
      <w:r w:rsidRPr="00497260">
        <w:t xml:space="preserve">The number of recurrent EC patients was likely overestimated as the rate of 22% (Stage I/II and Stage III curative) could not be independently verified, and was greater than 19.5% reported in Vizza 2020, as used in 2L </w:t>
      </w:r>
      <w:r w:rsidR="00BF1B0D" w:rsidRPr="00497260">
        <w:t>pembrolizumab</w:t>
      </w:r>
      <w:r w:rsidR="00FC64AF" w:rsidRPr="00497260">
        <w:t xml:space="preserve"> </w:t>
      </w:r>
      <w:r w:rsidRPr="00497260">
        <w:t>+</w:t>
      </w:r>
      <w:r w:rsidR="00FC64AF" w:rsidRPr="00497260">
        <w:t xml:space="preserve"> </w:t>
      </w:r>
      <w:r w:rsidR="001F3073" w:rsidRPr="00497260">
        <w:t>lenvatinib</w:t>
      </w:r>
      <w:r w:rsidRPr="00497260">
        <w:t xml:space="preserve"> (Table 15, pembrolizumab PSD, March 2022 PBAC Meeting)</w:t>
      </w:r>
      <w:r w:rsidR="00034648" w:rsidRPr="00497260">
        <w:t>; and</w:t>
      </w:r>
      <w:r w:rsidRPr="00497260">
        <w:t xml:space="preserve"> </w:t>
      </w:r>
    </w:p>
    <w:p w14:paraId="19D739A3" w14:textId="77777777" w:rsidR="00A3213F" w:rsidRPr="00497260" w:rsidRDefault="00A3213F" w:rsidP="0037102E">
      <w:pPr>
        <w:pStyle w:val="3-BodyText"/>
        <w:numPr>
          <w:ilvl w:val="0"/>
          <w:numId w:val="18"/>
        </w:numPr>
      </w:pPr>
      <w:r w:rsidRPr="00497260">
        <w:t>A compliance rate of 100% was assumed for the pembrolizumab scripts which was likely an overestimate.</w:t>
      </w:r>
    </w:p>
    <w:p w14:paraId="1B5AF696" w14:textId="2BB49AAB" w:rsidR="00287C5F" w:rsidRPr="00497260" w:rsidRDefault="00287C5F" w:rsidP="00287C5F">
      <w:pPr>
        <w:pStyle w:val="3-BodyText"/>
      </w:pPr>
      <w:bookmarkStart w:id="89" w:name="_Ref198551572"/>
      <w:r w:rsidRPr="00497260">
        <w:t>The following minor corrections were applied to the submissions financial model during the evaluation</w:t>
      </w:r>
      <w:r w:rsidR="0042381F" w:rsidRPr="00497260">
        <w:t xml:space="preserve"> (though these do not appear to have been corrected in the PSCR’s revised financial estimates)</w:t>
      </w:r>
      <w:r w:rsidRPr="00497260">
        <w:t>:</w:t>
      </w:r>
      <w:bookmarkEnd w:id="89"/>
    </w:p>
    <w:p w14:paraId="0BB28ED2" w14:textId="77777777" w:rsidR="00287C5F" w:rsidRPr="00497260" w:rsidRDefault="00287C5F" w:rsidP="0037102E">
      <w:pPr>
        <w:pStyle w:val="3-BodyText"/>
        <w:numPr>
          <w:ilvl w:val="0"/>
          <w:numId w:val="19"/>
        </w:numPr>
      </w:pPr>
      <w:r w:rsidRPr="00497260">
        <w:t>The duration of treatment group for the 50 grandfathered patients (pMMR) was corrected to maintenance (Q6W) patients instead of initiating (Q3W), as these patients were assumed by the submission to have completed half of their total treatment duration (and thus would be beyond the 18 weeks of initiation treatment); and</w:t>
      </w:r>
    </w:p>
    <w:p w14:paraId="5C1DB5DA" w14:textId="77777777" w:rsidR="00287C5F" w:rsidRPr="00497260" w:rsidRDefault="00287C5F" w:rsidP="0037102E">
      <w:pPr>
        <w:pStyle w:val="3-BodyText"/>
        <w:numPr>
          <w:ilvl w:val="0"/>
          <w:numId w:val="19"/>
        </w:numPr>
      </w:pPr>
      <w:r w:rsidRPr="00497260">
        <w:t xml:space="preserve">The submission’s MBS service volume calculation basis only included administration associated with initial scripts, which underestimated the total volume of drug administrations. </w:t>
      </w:r>
    </w:p>
    <w:p w14:paraId="7A87EA1C" w14:textId="77777777" w:rsidR="005A40A9" w:rsidRDefault="005A40A9" w:rsidP="005A40A9">
      <w:pPr>
        <w:pStyle w:val="3-BodyText"/>
        <w:numPr>
          <w:ilvl w:val="0"/>
          <w:numId w:val="0"/>
        </w:numPr>
        <w:ind w:left="720" w:hanging="720"/>
        <w:outlineLvl w:val="2"/>
        <w:rPr>
          <w:rFonts w:eastAsia="Calibri"/>
          <w:i/>
          <w:iCs/>
          <w:u w:val="single"/>
        </w:rPr>
      </w:pPr>
      <w:r>
        <w:rPr>
          <w:rFonts w:eastAsia="Calibri"/>
          <w:i/>
          <w:iCs/>
          <w:u w:val="single"/>
        </w:rPr>
        <w:t>p</w:t>
      </w:r>
      <w:r w:rsidRPr="00AB6F27">
        <w:rPr>
          <w:rFonts w:eastAsia="Calibri"/>
          <w:i/>
          <w:iCs/>
          <w:u w:val="single"/>
        </w:rPr>
        <w:t>MMR population</w:t>
      </w:r>
    </w:p>
    <w:p w14:paraId="1E55F382" w14:textId="3AEFE72A" w:rsidR="005A40A9" w:rsidRPr="00497260" w:rsidRDefault="005A40A9" w:rsidP="005A40A9">
      <w:pPr>
        <w:pStyle w:val="3-BodyText"/>
      </w:pPr>
      <w:r w:rsidRPr="00497260">
        <w:t>For the pMMR population,</w:t>
      </w:r>
      <w:r w:rsidR="00E11D2C">
        <w:t xml:space="preserve"> </w:t>
      </w:r>
      <w:r w:rsidRPr="00497260">
        <w:t xml:space="preserve">a prevalent and incident pool </w:t>
      </w:r>
      <w:r w:rsidR="008B13A6">
        <w:t xml:space="preserve">was included as the submission </w:t>
      </w:r>
      <w:r w:rsidR="00227BA3" w:rsidRPr="00497260">
        <w:t xml:space="preserve">anticipated </w:t>
      </w:r>
      <w:r w:rsidRPr="00497260">
        <w:t>pembrolizumab to be PBS</w:t>
      </w:r>
      <w:r w:rsidR="00227BA3" w:rsidRPr="00497260">
        <w:t>-</w:t>
      </w:r>
      <w:r w:rsidRPr="00497260">
        <w:t>listed in the same year as other immune checkpoint inhibitors (dostarlimab and/or durvalumab +</w:t>
      </w:r>
      <w:r w:rsidRPr="00497260" w:rsidDel="005A40A9">
        <w:t xml:space="preserve"> </w:t>
      </w:r>
      <w:r w:rsidRPr="00497260">
        <w:t>olaparib). Cost offsets were included to account for the decreased utilisation of 2L pembrolizumab</w:t>
      </w:r>
      <w:r w:rsidR="00083269" w:rsidRPr="00497260">
        <w:t xml:space="preserve"> </w:t>
      </w:r>
      <w:r w:rsidRPr="00497260">
        <w:t>+</w:t>
      </w:r>
      <w:r w:rsidR="00083269" w:rsidRPr="00497260">
        <w:t xml:space="preserve"> </w:t>
      </w:r>
      <w:r w:rsidRPr="00497260">
        <w:t>lenvatinib</w:t>
      </w:r>
      <w:r w:rsidR="00083269" w:rsidRPr="00497260">
        <w:t xml:space="preserve"> (though these were not included in the dMMR population estimates)</w:t>
      </w:r>
      <w:r w:rsidRPr="00497260">
        <w:t>.</w:t>
      </w:r>
    </w:p>
    <w:p w14:paraId="7673E974" w14:textId="77777777" w:rsidR="003359D3" w:rsidRPr="003359D3" w:rsidRDefault="005A40A9" w:rsidP="003359D3">
      <w:pPr>
        <w:pStyle w:val="3-BodyText"/>
      </w:pPr>
      <w:r w:rsidRPr="00497260">
        <w:t>The key data sources, parameters and assumptions used to estimate the financial impact of listing pembrolizumab in the 1L pMMR setting are summarised in</w:t>
      </w:r>
      <w:r w:rsidR="00FC64AF" w:rsidRPr="00497260">
        <w:t xml:space="preserve"> </w:t>
      </w:r>
      <w:r w:rsidR="00FC64AF" w:rsidRPr="00497260">
        <w:fldChar w:fldCharType="begin"/>
      </w:r>
      <w:r w:rsidR="00FC64AF" w:rsidRPr="00497260">
        <w:instrText xml:space="preserve"> REF _Ref200697787 \h  \* MERGEFORMAT </w:instrText>
      </w:r>
      <w:r w:rsidR="00FC64AF" w:rsidRPr="00497260">
        <w:fldChar w:fldCharType="separate"/>
      </w:r>
      <w:r w:rsidR="003359D3">
        <w:br w:type="page"/>
      </w:r>
    </w:p>
    <w:p w14:paraId="23BF91A5" w14:textId="5ECE39B8" w:rsidR="005A40A9" w:rsidRPr="00497260" w:rsidRDefault="003359D3" w:rsidP="005A40A9">
      <w:pPr>
        <w:pStyle w:val="3-BodyText"/>
      </w:pPr>
      <w:r w:rsidRPr="00497260">
        <w:lastRenderedPageBreak/>
        <w:t xml:space="preserve">Table </w:t>
      </w:r>
      <w:r>
        <w:rPr>
          <w:noProof/>
        </w:rPr>
        <w:t>24</w:t>
      </w:r>
      <w:r w:rsidR="00FC64AF" w:rsidRPr="00497260">
        <w:fldChar w:fldCharType="end"/>
      </w:r>
      <w:r w:rsidR="005A40A9" w:rsidRPr="00497260">
        <w:t xml:space="preserve">. Only inputs that differ to </w:t>
      </w:r>
      <w:r w:rsidR="00227BA3" w:rsidRPr="00497260">
        <w:t xml:space="preserve">the </w:t>
      </w:r>
      <w:r w:rsidR="005A40A9" w:rsidRPr="00497260">
        <w:t>dMMR setting are included in this table.</w:t>
      </w:r>
    </w:p>
    <w:p w14:paraId="46B21348" w14:textId="77777777" w:rsidR="00B60B87" w:rsidRDefault="00B60B87">
      <w:pPr>
        <w:jc w:val="left"/>
        <w:rPr>
          <w:rFonts w:ascii="Arial Narrow" w:eastAsiaTheme="majorEastAsia" w:hAnsi="Arial Narrow" w:cstheme="majorBidi"/>
          <w:b/>
          <w:bCs/>
          <w:sz w:val="20"/>
        </w:rPr>
      </w:pPr>
      <w:bookmarkStart w:id="90" w:name="_Ref200697787"/>
      <w:r>
        <w:br w:type="page"/>
      </w:r>
    </w:p>
    <w:p w14:paraId="539DE71F" w14:textId="77BA018B" w:rsidR="005A40A9" w:rsidRPr="00497260" w:rsidRDefault="00FC64AF" w:rsidP="00DF0464">
      <w:pPr>
        <w:pStyle w:val="TableFigureHeading"/>
        <w:rPr>
          <w:rStyle w:val="CommentReference"/>
          <w:b/>
          <w:bCs w:val="0"/>
          <w:szCs w:val="20"/>
        </w:rPr>
      </w:pPr>
      <w:r w:rsidRPr="00497260">
        <w:lastRenderedPageBreak/>
        <w:t xml:space="preserve">Table </w:t>
      </w:r>
      <w:r w:rsidRPr="00497260">
        <w:fldChar w:fldCharType="begin"/>
      </w:r>
      <w:r w:rsidRPr="00497260">
        <w:instrText xml:space="preserve"> SEQ Table \* ARABIC </w:instrText>
      </w:r>
      <w:r w:rsidRPr="00497260">
        <w:fldChar w:fldCharType="separate"/>
      </w:r>
      <w:r w:rsidR="003359D3">
        <w:rPr>
          <w:noProof/>
        </w:rPr>
        <w:t>24</w:t>
      </w:r>
      <w:r w:rsidRPr="00497260">
        <w:fldChar w:fldCharType="end"/>
      </w:r>
      <w:bookmarkEnd w:id="90"/>
      <w:r w:rsidRPr="00497260">
        <w:t>: Key inputs for financial estimates (pMMR)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4: Key inputs for financial estimates (pMMR)"/>
      </w:tblPr>
      <w:tblGrid>
        <w:gridCol w:w="1714"/>
        <w:gridCol w:w="3714"/>
        <w:gridCol w:w="3589"/>
      </w:tblGrid>
      <w:tr w:rsidR="005A40A9" w:rsidRPr="00497260" w14:paraId="20827490" w14:textId="77777777" w:rsidTr="005A40A9">
        <w:trPr>
          <w:tblHeader/>
        </w:trPr>
        <w:tc>
          <w:tcPr>
            <w:tcW w:w="1714" w:type="dxa"/>
            <w:vAlign w:val="center"/>
          </w:tcPr>
          <w:p w14:paraId="6BB8727E" w14:textId="77777777" w:rsidR="005A40A9" w:rsidRPr="00497260" w:rsidRDefault="005A40A9" w:rsidP="00C74104">
            <w:pPr>
              <w:pStyle w:val="In-tableHeading"/>
              <w:keepNext w:val="0"/>
              <w:jc w:val="center"/>
            </w:pPr>
            <w:r w:rsidRPr="00497260">
              <w:t>Data</w:t>
            </w:r>
          </w:p>
        </w:tc>
        <w:tc>
          <w:tcPr>
            <w:tcW w:w="3714" w:type="dxa"/>
            <w:vAlign w:val="center"/>
          </w:tcPr>
          <w:p w14:paraId="1E0D2AA3" w14:textId="77777777" w:rsidR="005A40A9" w:rsidRPr="00497260" w:rsidRDefault="005A40A9" w:rsidP="00C74104">
            <w:pPr>
              <w:pStyle w:val="In-tableHeading"/>
              <w:keepNext w:val="0"/>
              <w:jc w:val="center"/>
            </w:pPr>
            <w:r w:rsidRPr="00497260">
              <w:t>Value and Source</w:t>
            </w:r>
          </w:p>
        </w:tc>
        <w:tc>
          <w:tcPr>
            <w:tcW w:w="3589" w:type="dxa"/>
            <w:vAlign w:val="center"/>
          </w:tcPr>
          <w:p w14:paraId="7A296130" w14:textId="1F73C2E1" w:rsidR="005A40A9" w:rsidRPr="00497260" w:rsidRDefault="00BF6AA6" w:rsidP="00C74104">
            <w:pPr>
              <w:pStyle w:val="In-tableHeading"/>
              <w:keepNext w:val="0"/>
              <w:jc w:val="center"/>
            </w:pPr>
            <w:r w:rsidRPr="00AB6F27">
              <w:t>Comment</w:t>
            </w:r>
            <w:r>
              <w:t xml:space="preserve"> from evaluation</w:t>
            </w:r>
          </w:p>
        </w:tc>
      </w:tr>
      <w:tr w:rsidR="005A40A9" w:rsidRPr="00497260" w14:paraId="7008ECBE" w14:textId="77777777" w:rsidTr="005A40A9">
        <w:tc>
          <w:tcPr>
            <w:tcW w:w="9017" w:type="dxa"/>
            <w:gridSpan w:val="3"/>
            <w:vAlign w:val="center"/>
          </w:tcPr>
          <w:p w14:paraId="47BE712F" w14:textId="77777777" w:rsidR="005A40A9" w:rsidRPr="00497260" w:rsidRDefault="005A40A9" w:rsidP="00C74104">
            <w:pPr>
              <w:pStyle w:val="In-tableHeading"/>
              <w:keepNext w:val="0"/>
            </w:pPr>
            <w:r w:rsidRPr="00497260">
              <w:t>Eligible population</w:t>
            </w:r>
          </w:p>
        </w:tc>
      </w:tr>
      <w:tr w:rsidR="005A40A9" w:rsidRPr="00497260" w14:paraId="5DDC2F1D" w14:textId="77777777" w:rsidTr="005A40A9">
        <w:tc>
          <w:tcPr>
            <w:tcW w:w="1714" w:type="dxa"/>
            <w:vAlign w:val="center"/>
          </w:tcPr>
          <w:p w14:paraId="61DEB4C1" w14:textId="77777777" w:rsidR="005A40A9" w:rsidRPr="00497260" w:rsidRDefault="005A40A9" w:rsidP="00C74104">
            <w:pPr>
              <w:pStyle w:val="TableText0"/>
              <w:keepNext w:val="0"/>
            </w:pPr>
            <w:r w:rsidRPr="00497260">
              <w:t>Prevalent EC patient pool</w:t>
            </w:r>
          </w:p>
          <w:p w14:paraId="37C92CA7" w14:textId="77777777" w:rsidR="005A40A9" w:rsidRPr="00497260" w:rsidRDefault="005A40A9" w:rsidP="00C74104">
            <w:pPr>
              <w:pStyle w:val="TableText0"/>
              <w:keepNext w:val="0"/>
            </w:pPr>
            <w:r w:rsidRPr="00497260">
              <w:t>(pMMR only)</w:t>
            </w:r>
          </w:p>
        </w:tc>
        <w:tc>
          <w:tcPr>
            <w:tcW w:w="3714" w:type="dxa"/>
            <w:vAlign w:val="center"/>
          </w:tcPr>
          <w:p w14:paraId="3BC2C2A8" w14:textId="77777777" w:rsidR="005A40A9" w:rsidRPr="00497260" w:rsidRDefault="005A40A9" w:rsidP="00C74104">
            <w:pPr>
              <w:pStyle w:val="TableText0"/>
              <w:keepNext w:val="0"/>
            </w:pPr>
            <w:r w:rsidRPr="00497260">
              <w:t>Yr 1: 326</w:t>
            </w:r>
          </w:p>
          <w:p w14:paraId="39B28584" w14:textId="77777777" w:rsidR="005A40A9" w:rsidRPr="00497260" w:rsidRDefault="005A40A9" w:rsidP="00C74104">
            <w:pPr>
              <w:pStyle w:val="TableText0"/>
              <w:keepNext w:val="0"/>
            </w:pPr>
            <w:r w:rsidRPr="00497260">
              <w:t xml:space="preserve">Source: Calculated by linear extrapolation of known EC patients based on AIHW data from 2021 to 2024 to estimate total prevalent patients in 2025, then calculated by assuming the following: </w:t>
            </w:r>
          </w:p>
          <w:p w14:paraId="10B8F4AB" w14:textId="77777777" w:rsidR="005A40A9" w:rsidRPr="00497260" w:rsidRDefault="005A40A9" w:rsidP="0037102E">
            <w:pPr>
              <w:pStyle w:val="TableText0"/>
              <w:keepNext w:val="0"/>
              <w:numPr>
                <w:ilvl w:val="0"/>
                <w:numId w:val="11"/>
              </w:numPr>
              <w:ind w:left="458"/>
            </w:pPr>
            <w:r w:rsidRPr="00497260">
              <w:t>95% (proportion of uterine cancer reported as EC) was applied;</w:t>
            </w:r>
          </w:p>
          <w:p w14:paraId="228F0430" w14:textId="77777777" w:rsidR="005A40A9" w:rsidRPr="00497260" w:rsidRDefault="005A40A9" w:rsidP="0037102E">
            <w:pPr>
              <w:pStyle w:val="TableText0"/>
              <w:keepNext w:val="0"/>
              <w:numPr>
                <w:ilvl w:val="0"/>
                <w:numId w:val="11"/>
              </w:numPr>
              <w:ind w:left="458"/>
            </w:pPr>
            <w:r w:rsidRPr="00497260">
              <w:t>50 grandfather patients were subtracted;</w:t>
            </w:r>
          </w:p>
          <w:p w14:paraId="63A06486" w14:textId="77777777" w:rsidR="005A40A9" w:rsidRPr="00497260" w:rsidRDefault="005A40A9" w:rsidP="0037102E">
            <w:pPr>
              <w:pStyle w:val="TableText0"/>
              <w:keepNext w:val="0"/>
              <w:numPr>
                <w:ilvl w:val="0"/>
                <w:numId w:val="11"/>
              </w:numPr>
              <w:ind w:left="458"/>
            </w:pPr>
            <w:r w:rsidRPr="00497260">
              <w:t>18% were assumed to be advanced or metastatic (Stage III SEER database); and</w:t>
            </w:r>
          </w:p>
          <w:p w14:paraId="1B3D66A3" w14:textId="382BC203" w:rsidR="005A40A9" w:rsidRPr="00497260" w:rsidRDefault="005A40A9" w:rsidP="0037102E">
            <w:pPr>
              <w:pStyle w:val="TableText0"/>
              <w:keepNext w:val="0"/>
              <w:numPr>
                <w:ilvl w:val="0"/>
                <w:numId w:val="11"/>
              </w:numPr>
              <w:ind w:left="458"/>
            </w:pPr>
            <w:r w:rsidRPr="00497260">
              <w:t>1 year OS of 92.5% was assumed.</w:t>
            </w:r>
            <w:r w:rsidR="00F37297" w:rsidRPr="00497260">
              <w:t xml:space="preserve"> This was reduced to 83.5% in the PSCR (as accepted for the 2L PEM+LEN submission).</w:t>
            </w:r>
          </w:p>
          <w:p w14:paraId="1D973BA8" w14:textId="77777777" w:rsidR="005A40A9" w:rsidRPr="00497260" w:rsidRDefault="005A40A9" w:rsidP="0037102E">
            <w:pPr>
              <w:pStyle w:val="TableText0"/>
              <w:keepNext w:val="0"/>
              <w:numPr>
                <w:ilvl w:val="0"/>
                <w:numId w:val="11"/>
              </w:numPr>
              <w:ind w:left="458"/>
            </w:pPr>
            <w:r w:rsidRPr="00497260">
              <w:t>90% eligible for 1L PBC</w:t>
            </w:r>
          </w:p>
          <w:p w14:paraId="4DD85799" w14:textId="73F03702" w:rsidR="005A40A9" w:rsidRPr="00497260" w:rsidRDefault="005A40A9" w:rsidP="0037102E">
            <w:pPr>
              <w:pStyle w:val="TableText0"/>
              <w:keepNext w:val="0"/>
              <w:numPr>
                <w:ilvl w:val="0"/>
                <w:numId w:val="11"/>
              </w:numPr>
              <w:ind w:left="458"/>
            </w:pPr>
            <w:r w:rsidRPr="00497260">
              <w:t>95% ECOG 0-2</w:t>
            </w:r>
            <w:r w:rsidR="00F37297" w:rsidRPr="00497260">
              <w:t>. Updated to 80% in the PSCR.</w:t>
            </w:r>
          </w:p>
          <w:p w14:paraId="7FA571ED" w14:textId="77777777" w:rsidR="005A40A9" w:rsidRPr="00497260" w:rsidRDefault="005A40A9" w:rsidP="0037102E">
            <w:pPr>
              <w:pStyle w:val="TableText0"/>
              <w:keepNext w:val="0"/>
              <w:numPr>
                <w:ilvl w:val="0"/>
                <w:numId w:val="11"/>
              </w:numPr>
              <w:ind w:left="458"/>
            </w:pPr>
            <w:r w:rsidRPr="00497260">
              <w:t>73% pMMR</w:t>
            </w:r>
          </w:p>
        </w:tc>
        <w:tc>
          <w:tcPr>
            <w:tcW w:w="3589" w:type="dxa"/>
            <w:vAlign w:val="center"/>
          </w:tcPr>
          <w:p w14:paraId="40E4C77B" w14:textId="72203236" w:rsidR="00F37297" w:rsidRPr="00497260" w:rsidRDefault="005A40A9" w:rsidP="00C74104">
            <w:pPr>
              <w:pStyle w:val="TableText0"/>
              <w:keepNext w:val="0"/>
            </w:pPr>
            <w:r w:rsidRPr="00497260">
              <w:t>In the 2L PEM+LEN submission (March 2022 PBAC meeting), the percentage of patients assumed to be advanced or metastatic was reduced to 10% from 18% in the pre-PBAC response in response to</w:t>
            </w:r>
            <w:r w:rsidR="0062634E">
              <w:t xml:space="preserve"> </w:t>
            </w:r>
            <w:r w:rsidRPr="00497260">
              <w:t xml:space="preserve">DUSC advice to remove Stage III patients that would be treated with curative intent (Table 15 pembrolizumab PSD, March 2022 PBAC meeting). </w:t>
            </w:r>
            <w:r w:rsidR="00F37297" w:rsidRPr="00497260">
              <w:t xml:space="preserve">However, the PSCR maintained that 18% was consistent with the final estimates </w:t>
            </w:r>
            <w:r w:rsidR="009D4629" w:rsidRPr="00497260">
              <w:t xml:space="preserve">accepted </w:t>
            </w:r>
            <w:r w:rsidR="00F37297" w:rsidRPr="00497260">
              <w:t>for 2L PEM+LEN.</w:t>
            </w:r>
          </w:p>
          <w:p w14:paraId="0910A024" w14:textId="01BEB387" w:rsidR="005A40A9" w:rsidRPr="00497260" w:rsidRDefault="00F37297" w:rsidP="00C74104">
            <w:pPr>
              <w:pStyle w:val="TableText0"/>
              <w:keepNext w:val="0"/>
            </w:pPr>
            <w:r w:rsidRPr="00497260">
              <w:t xml:space="preserve">The PSCR updated the estimated 1 year OS rate and the proportion of patients with ECOG 0 to 2 to be consistent with values previously accepted by the PBAC. </w:t>
            </w:r>
          </w:p>
        </w:tc>
      </w:tr>
      <w:tr w:rsidR="005A40A9" w:rsidRPr="00497260" w14:paraId="14FCEF66" w14:textId="77777777" w:rsidTr="005A40A9">
        <w:tc>
          <w:tcPr>
            <w:tcW w:w="9017" w:type="dxa"/>
            <w:gridSpan w:val="3"/>
            <w:vAlign w:val="center"/>
          </w:tcPr>
          <w:p w14:paraId="2683450E" w14:textId="77777777" w:rsidR="005A40A9" w:rsidRPr="00497260" w:rsidRDefault="005A40A9" w:rsidP="00C74104">
            <w:pPr>
              <w:pStyle w:val="TableText0"/>
              <w:keepNext w:val="0"/>
              <w:rPr>
                <w:b/>
              </w:rPr>
            </w:pPr>
            <w:r w:rsidRPr="00497260">
              <w:rPr>
                <w:b/>
              </w:rPr>
              <w:t>Treatment utilisation</w:t>
            </w:r>
          </w:p>
        </w:tc>
      </w:tr>
      <w:tr w:rsidR="005A40A9" w:rsidRPr="00497260" w14:paraId="19741FD1" w14:textId="77777777" w:rsidTr="005A40A9">
        <w:tc>
          <w:tcPr>
            <w:tcW w:w="1714" w:type="dxa"/>
            <w:vAlign w:val="center"/>
          </w:tcPr>
          <w:p w14:paraId="4678D034" w14:textId="77777777" w:rsidR="005A40A9" w:rsidRPr="00497260" w:rsidRDefault="005A40A9" w:rsidP="00C74104">
            <w:pPr>
              <w:pStyle w:val="TableText0"/>
              <w:keepNext w:val="0"/>
            </w:pPr>
            <w:r w:rsidRPr="00497260">
              <w:t>Uptake rate</w:t>
            </w:r>
          </w:p>
        </w:tc>
        <w:tc>
          <w:tcPr>
            <w:tcW w:w="3714" w:type="dxa"/>
            <w:vAlign w:val="center"/>
          </w:tcPr>
          <w:p w14:paraId="23D844EB" w14:textId="3E962792" w:rsidR="005A40A9" w:rsidRPr="00497260" w:rsidRDefault="005A40A9" w:rsidP="00C74104">
            <w:pPr>
              <w:pStyle w:val="TableText0"/>
              <w:keepNext w:val="0"/>
            </w:pPr>
            <w:r w:rsidRPr="002654E0">
              <w:t>95%</w:t>
            </w:r>
            <w:r w:rsidRPr="00497260">
              <w:t xml:space="preserve"> for the incident population</w:t>
            </w:r>
          </w:p>
          <w:p w14:paraId="3AD89FAC" w14:textId="2178EB6D" w:rsidR="005A40A9" w:rsidRPr="00497260" w:rsidRDefault="005A40A9" w:rsidP="00C74104">
            <w:pPr>
              <w:pStyle w:val="TableText0"/>
              <w:keepNext w:val="0"/>
            </w:pPr>
            <w:r w:rsidRPr="00497260">
              <w:t>Source: Assumption</w:t>
            </w:r>
          </w:p>
          <w:p w14:paraId="751D070C" w14:textId="77777777" w:rsidR="005A40A9" w:rsidRPr="00497260" w:rsidRDefault="005A40A9" w:rsidP="00C74104">
            <w:pPr>
              <w:pStyle w:val="TableText0"/>
              <w:keepNext w:val="0"/>
            </w:pPr>
            <w:r w:rsidRPr="00F25AC9">
              <w:t>76% for the prevalent</w:t>
            </w:r>
            <w:r w:rsidRPr="00497260">
              <w:t xml:space="preserve"> pMMR population</w:t>
            </w:r>
          </w:p>
          <w:p w14:paraId="75A45011" w14:textId="77777777" w:rsidR="005A40A9" w:rsidRPr="00497260" w:rsidRDefault="005A40A9" w:rsidP="00C74104">
            <w:pPr>
              <w:pStyle w:val="TableText0"/>
              <w:keepNext w:val="0"/>
            </w:pPr>
            <w:r w:rsidRPr="00497260">
              <w:t>Source: Not stated</w:t>
            </w:r>
          </w:p>
        </w:tc>
        <w:tc>
          <w:tcPr>
            <w:tcW w:w="3589" w:type="dxa"/>
            <w:vAlign w:val="center"/>
          </w:tcPr>
          <w:p w14:paraId="3BA08DFE" w14:textId="1E183D5E" w:rsidR="005A40A9" w:rsidRPr="00497260" w:rsidRDefault="005A40A9" w:rsidP="00C74104">
            <w:pPr>
              <w:pStyle w:val="TableText0"/>
              <w:keepNext w:val="0"/>
            </w:pPr>
            <w:r w:rsidRPr="00497260">
              <w:t xml:space="preserve">DUSC </w:t>
            </w:r>
            <w:r w:rsidR="00001A63">
              <w:t xml:space="preserve">previously </w:t>
            </w:r>
            <w:r w:rsidRPr="00497260">
              <w:t>considered 95% was reasonable for 2L PEM + LEN (Table 15, pembrolizumab PSD, March 2022). The</w:t>
            </w:r>
            <w:r w:rsidR="00F37297" w:rsidRPr="00497260">
              <w:t xml:space="preserve"> evaluation considered it was unclear why the uptake was lower in </w:t>
            </w:r>
            <w:r w:rsidRPr="00497260">
              <w:t xml:space="preserve">prevalent patients compared to incident patients. </w:t>
            </w:r>
            <w:r w:rsidR="00F37297" w:rsidRPr="00497260">
              <w:t xml:space="preserve">The PSCR </w:t>
            </w:r>
            <w:r w:rsidR="00F37297" w:rsidRPr="00F25AC9">
              <w:t xml:space="preserve">clarified that the treatment uptake rate </w:t>
            </w:r>
            <w:r w:rsidR="00892543" w:rsidRPr="00F25AC9">
              <w:t>of 75.8% (amended from 76%)</w:t>
            </w:r>
            <w:r w:rsidR="00892543" w:rsidRPr="00497260">
              <w:t xml:space="preserve"> was intended to reflect a 95% treatment uptake applied to the eligible patient number minus the </w:t>
            </w:r>
            <w:r w:rsidR="00165A53" w:rsidRPr="00165A53">
              <w:rPr>
                <w:color w:val="000000"/>
                <w:spacing w:val="51"/>
                <w:shd w:val="solid" w:color="000000" w:fill="000000"/>
                <w:fitText w:val="324" w:id="-628426481"/>
                <w14:textFill>
                  <w14:solidFill>
                    <w14:srgbClr w14:val="000000">
                      <w14:alpha w14:val="100000"/>
                    </w14:srgbClr>
                  </w14:solidFill>
                </w14:textFill>
              </w:rPr>
              <w:t>|||</w:t>
            </w:r>
            <w:r w:rsidR="00165A53" w:rsidRPr="00165A53">
              <w:rPr>
                <w:color w:val="000000"/>
                <w:spacing w:val="1"/>
                <w:shd w:val="solid" w:color="000000" w:fill="000000"/>
                <w:fitText w:val="324" w:id="-628426481"/>
                <w14:textFill>
                  <w14:solidFill>
                    <w14:srgbClr w14:val="000000">
                      <w14:alpha w14:val="100000"/>
                    </w14:srgbClr>
                  </w14:solidFill>
                </w14:textFill>
              </w:rPr>
              <w:t>|</w:t>
            </w:r>
            <w:r w:rsidR="00F25AC9">
              <w:rPr>
                <w:vertAlign w:val="superscript"/>
              </w:rPr>
              <w:t>1</w:t>
            </w:r>
            <w:r w:rsidR="00892543" w:rsidRPr="00497260">
              <w:t xml:space="preserve"> grandfathered patients, to avoid double counting.</w:t>
            </w:r>
          </w:p>
        </w:tc>
      </w:tr>
      <w:tr w:rsidR="005A40A9" w:rsidRPr="00497260" w14:paraId="75D2DE05" w14:textId="77777777" w:rsidTr="005A40A9">
        <w:tc>
          <w:tcPr>
            <w:tcW w:w="1714" w:type="dxa"/>
            <w:vAlign w:val="center"/>
          </w:tcPr>
          <w:p w14:paraId="16F566E6" w14:textId="77777777" w:rsidR="005A40A9" w:rsidRPr="00497260" w:rsidRDefault="005A40A9" w:rsidP="00C74104">
            <w:pPr>
              <w:pStyle w:val="TableText0"/>
              <w:keepNext w:val="0"/>
            </w:pPr>
            <w:r w:rsidRPr="00497260">
              <w:t>Treatment duration</w:t>
            </w:r>
          </w:p>
        </w:tc>
        <w:tc>
          <w:tcPr>
            <w:tcW w:w="3714" w:type="dxa"/>
            <w:vAlign w:val="center"/>
          </w:tcPr>
          <w:p w14:paraId="4CA9CA3F" w14:textId="77777777" w:rsidR="005A40A9" w:rsidRPr="00497260" w:rsidRDefault="005A40A9" w:rsidP="00C74104">
            <w:pPr>
              <w:pStyle w:val="TableText0"/>
              <w:keepNext w:val="0"/>
            </w:pPr>
            <w:r w:rsidRPr="00497260">
              <w:t>pMMR: 43.02 weeks (18 weeks initiation; 25.02 weeks continuing)</w:t>
            </w:r>
          </w:p>
          <w:p w14:paraId="28C0A024" w14:textId="77777777" w:rsidR="005A40A9" w:rsidRPr="00497260" w:rsidRDefault="005A40A9" w:rsidP="00C74104">
            <w:pPr>
              <w:pStyle w:val="TableText0"/>
              <w:keepNext w:val="0"/>
            </w:pPr>
            <w:r w:rsidRPr="00497260">
              <w:t>Grandfathered: 21.51 weeks (corrected from initiation to continuing during evaluation)</w:t>
            </w:r>
          </w:p>
          <w:p w14:paraId="00CC42F9" w14:textId="77777777" w:rsidR="005A40A9" w:rsidRPr="00497260" w:rsidRDefault="005A40A9" w:rsidP="00C74104">
            <w:pPr>
              <w:pStyle w:val="TableText0"/>
              <w:keepNext w:val="0"/>
            </w:pPr>
            <w:r w:rsidRPr="00497260">
              <w:t xml:space="preserve">Source: Estimated time on treatment from NRG-GY018 using product-limit (Kaplan-Meier) method. </w:t>
            </w:r>
          </w:p>
        </w:tc>
        <w:tc>
          <w:tcPr>
            <w:tcW w:w="3589" w:type="dxa"/>
            <w:vAlign w:val="center"/>
          </w:tcPr>
          <w:p w14:paraId="141B492C" w14:textId="38006A85" w:rsidR="005A40A9" w:rsidRPr="00497260" w:rsidRDefault="005A40A9" w:rsidP="0045493D">
            <w:pPr>
              <w:pStyle w:val="TableText0"/>
              <w:keepNext w:val="0"/>
            </w:pPr>
            <w:r w:rsidRPr="00497260">
              <w:t>The applied product-limit (Kaplan-Meier) method estimated mean time on treatment was longer than the reported duration on therapy for the EUR, which appeared to be due to differences in approach for handling censored data.</w:t>
            </w:r>
          </w:p>
        </w:tc>
      </w:tr>
      <w:tr w:rsidR="005A40A9" w:rsidRPr="00497260" w14:paraId="1C6B3885" w14:textId="77777777" w:rsidTr="005A40A9">
        <w:tc>
          <w:tcPr>
            <w:tcW w:w="1714" w:type="dxa"/>
            <w:vAlign w:val="center"/>
          </w:tcPr>
          <w:p w14:paraId="359C5922" w14:textId="77777777" w:rsidR="005A40A9" w:rsidRPr="00497260" w:rsidRDefault="005A40A9" w:rsidP="00C74104">
            <w:pPr>
              <w:pStyle w:val="TableText0"/>
              <w:keepNext w:val="0"/>
            </w:pPr>
            <w:r w:rsidRPr="00497260">
              <w:t>Grandfathered patients (1L A/R pMMR EC)</w:t>
            </w:r>
          </w:p>
        </w:tc>
        <w:tc>
          <w:tcPr>
            <w:tcW w:w="3714" w:type="dxa"/>
            <w:vAlign w:val="center"/>
          </w:tcPr>
          <w:p w14:paraId="4A1435CF" w14:textId="344376A0" w:rsidR="005A40A9" w:rsidRPr="00497260" w:rsidRDefault="00165A53" w:rsidP="00C74104">
            <w:pPr>
              <w:pStyle w:val="TableText0"/>
              <w:keepNext w:val="0"/>
            </w:pPr>
            <w:r>
              <w:rPr>
                <w:color w:val="000000"/>
                <w:spacing w:val="50"/>
                <w:shd w:val="solid" w:color="000000" w:fill="000000"/>
                <w:fitText w:val="324" w:id="-628426480"/>
                <w14:textFill>
                  <w14:solidFill>
                    <w14:srgbClr w14:val="000000">
                      <w14:alpha w14:val="100000"/>
                    </w14:srgbClr>
                  </w14:solidFill>
                </w14:textFill>
              </w:rPr>
              <w:t>|||</w:t>
            </w:r>
            <w:r>
              <w:rPr>
                <w:color w:val="000000"/>
                <w:spacing w:val="2"/>
                <w:shd w:val="solid" w:color="000000" w:fill="000000"/>
                <w:fitText w:val="324" w:id="-628426480"/>
                <w14:textFill>
                  <w14:solidFill>
                    <w14:srgbClr w14:val="000000">
                      <w14:alpha w14:val="100000"/>
                    </w14:srgbClr>
                  </w14:solidFill>
                </w14:textFill>
              </w:rPr>
              <w:t>|</w:t>
            </w:r>
            <w:r w:rsidR="00F25AC9">
              <w:rPr>
                <w:vertAlign w:val="superscript"/>
              </w:rPr>
              <w:t>1</w:t>
            </w:r>
            <w:r w:rsidR="005A40A9" w:rsidRPr="00497260">
              <w:t xml:space="preserve"> in Yr 1</w:t>
            </w:r>
          </w:p>
          <w:p w14:paraId="0461127B" w14:textId="77777777" w:rsidR="005A40A9" w:rsidRPr="00497260" w:rsidRDefault="005A40A9" w:rsidP="00C74104">
            <w:pPr>
              <w:pStyle w:val="TableText0"/>
              <w:keepNext w:val="0"/>
            </w:pPr>
            <w:r w:rsidRPr="00497260">
              <w:t>Source: Sponsor estimate</w:t>
            </w:r>
          </w:p>
        </w:tc>
        <w:tc>
          <w:tcPr>
            <w:tcW w:w="3589" w:type="dxa"/>
            <w:vAlign w:val="center"/>
          </w:tcPr>
          <w:p w14:paraId="1B0EA8B7" w14:textId="77777777" w:rsidR="005A40A9" w:rsidRPr="00497260" w:rsidRDefault="005A40A9" w:rsidP="00C74104">
            <w:pPr>
              <w:pStyle w:val="TableText0"/>
              <w:keepNext w:val="0"/>
            </w:pPr>
            <w:r w:rsidRPr="00497260">
              <w:t xml:space="preserve">The submission stated that half of the time on treatment was applied for grandfathered patients in the pMMR population. However, the DTG incorrectly applied the initiation treatment (200mg Q3W), instead of maintenance (400mg Q6W) which was inappropriate given these patients would be expected to have completed initiation. This was corrected during evaluation.  </w:t>
            </w:r>
          </w:p>
        </w:tc>
      </w:tr>
    </w:tbl>
    <w:p w14:paraId="53B9DA26" w14:textId="77777777" w:rsidR="005A40A9" w:rsidRPr="00497260" w:rsidRDefault="005A40A9" w:rsidP="005A40A9">
      <w:pPr>
        <w:pStyle w:val="FooterTableFigure"/>
      </w:pPr>
      <w:r w:rsidRPr="00497260">
        <w:t xml:space="preserve">Source: Compiled during evaluation using information from pp204-211 of the submission; Attachment 14 and 15 of the submission, and the submission’s financial workbooks (dMMR and pMMR). </w:t>
      </w:r>
    </w:p>
    <w:p w14:paraId="1BF2B3E8" w14:textId="77777777" w:rsidR="005A40A9" w:rsidRPr="00497260" w:rsidRDefault="005A40A9" w:rsidP="005A40A9">
      <w:pPr>
        <w:pStyle w:val="FooterTableFigure"/>
      </w:pPr>
      <w:r w:rsidRPr="00497260">
        <w:lastRenderedPageBreak/>
        <w:t>Abbreviations: 1L = first-line; 2L = second-line; AEMP = approved ex-manufacturer price; AIHW = Australian Institute of Health and Welfare; A/R = advanced or recurrent; CMA = cost minimisation analysis; dMMR = mismatch repair deficient; DOS = dostarlimab; DUSC = drug utilisation sub-committee; DUR = durvalumab; EC = endometrial cancer; ECOG = Eastern Cooperative Oncology Group; MBS = Medicare Benefits Schedule; OLA = olaparib; PBC = platinum-based chemotherapy; PBS = Pharmaceutical Benefits Scheme; PEM+LEN = pembrolizumab + lenvatinib; PSD = public summary document; RPBS = Repatriation Pharmaceutical Benefits Scheme; SEER = Surveillance, Epidemiology, and End Results; Yr = year.</w:t>
      </w:r>
    </w:p>
    <w:p w14:paraId="48EC856D" w14:textId="77777777" w:rsidR="005A40A9" w:rsidRDefault="005A40A9" w:rsidP="005A40A9">
      <w:pPr>
        <w:pStyle w:val="FooterTableFigure"/>
      </w:pPr>
      <w:r w:rsidRPr="00497260">
        <w:rPr>
          <w:vertAlign w:val="superscript"/>
        </w:rPr>
        <w:t xml:space="preserve">a </w:t>
      </w:r>
      <w:r w:rsidRPr="00497260">
        <w:t>Huepenbecker 2024 reported 83.5% of patients (272/326) treated with immune checkpoint inhibitors had an ECOG score of 0-2, and 72.9% (1,332/1,826) of patients that never received immune checkpoint inhibitors had an ECOG score of 0-2.</w:t>
      </w:r>
    </w:p>
    <w:p w14:paraId="7B914A9F" w14:textId="77777777" w:rsidR="007D144D" w:rsidRPr="007D144D" w:rsidRDefault="007D144D" w:rsidP="007D144D">
      <w:pPr>
        <w:pStyle w:val="FooterTableFigure"/>
        <w:rPr>
          <w:i/>
        </w:rPr>
      </w:pPr>
      <w:r w:rsidRPr="007D144D">
        <w:rPr>
          <w:i/>
        </w:rPr>
        <w:t xml:space="preserve">The redacted values correspond to the following ranges: </w:t>
      </w:r>
    </w:p>
    <w:p w14:paraId="0FE8A09D" w14:textId="1944E806" w:rsidR="007D144D" w:rsidRPr="007D144D" w:rsidRDefault="007D144D" w:rsidP="007D144D">
      <w:pPr>
        <w:pStyle w:val="FooterTableFigure"/>
        <w:rPr>
          <w:i/>
        </w:rPr>
      </w:pPr>
      <w:r w:rsidRPr="007D144D">
        <w:rPr>
          <w:i/>
          <w:vertAlign w:val="superscript"/>
        </w:rPr>
        <w:t>1</w:t>
      </w:r>
      <w:r w:rsidRPr="007D144D">
        <w:rPr>
          <w:i/>
        </w:rPr>
        <w:t xml:space="preserve"> </w:t>
      </w:r>
      <w:r w:rsidR="00F957B8" w:rsidRPr="00F957B8">
        <w:rPr>
          <w:i/>
        </w:rPr>
        <w:t>&lt; 500</w:t>
      </w:r>
    </w:p>
    <w:p w14:paraId="79F6C515" w14:textId="77777777" w:rsidR="007D144D" w:rsidRPr="00497260" w:rsidRDefault="007D144D" w:rsidP="005A40A9">
      <w:pPr>
        <w:pStyle w:val="FooterTableFigure"/>
      </w:pPr>
    </w:p>
    <w:p w14:paraId="0724A679" w14:textId="35D3B9AB" w:rsidR="00BB742C" w:rsidRDefault="00FC64AF" w:rsidP="00BB742C">
      <w:pPr>
        <w:pStyle w:val="3-BodyText"/>
      </w:pPr>
      <w:r w:rsidRPr="00497260">
        <w:rPr>
          <w:highlight w:val="yellow"/>
        </w:rPr>
        <w:fldChar w:fldCharType="begin"/>
      </w:r>
      <w:r w:rsidRPr="00497260">
        <w:rPr>
          <w:highlight w:val="yellow"/>
        </w:rPr>
        <w:instrText xml:space="preserve"> REF _Ref200697736 \h </w:instrText>
      </w:r>
      <w:r w:rsidR="00497260" w:rsidRPr="00497260">
        <w:rPr>
          <w:highlight w:val="yellow"/>
        </w:rPr>
        <w:instrText xml:space="preserve"> \* MERGEFORMAT </w:instrText>
      </w:r>
      <w:r w:rsidRPr="00497260">
        <w:rPr>
          <w:highlight w:val="yellow"/>
        </w:rPr>
      </w:r>
      <w:r w:rsidRPr="00497260">
        <w:rPr>
          <w:highlight w:val="yellow"/>
        </w:rPr>
        <w:fldChar w:fldCharType="separate"/>
      </w:r>
      <w:r w:rsidR="003359D3" w:rsidRPr="00497260">
        <w:t xml:space="preserve">Table </w:t>
      </w:r>
      <w:r w:rsidR="003359D3">
        <w:rPr>
          <w:noProof/>
        </w:rPr>
        <w:t>25</w:t>
      </w:r>
      <w:r w:rsidRPr="00497260">
        <w:rPr>
          <w:highlight w:val="yellow"/>
        </w:rPr>
        <w:fldChar w:fldCharType="end"/>
      </w:r>
      <w:r w:rsidRPr="00497260">
        <w:t xml:space="preserve"> </w:t>
      </w:r>
      <w:r w:rsidR="00BB742C" w:rsidRPr="00497260">
        <w:t xml:space="preserve">presents the submission’s estimate of the financial implications of listing pembrolizumab for the 1L treatment of </w:t>
      </w:r>
      <w:r w:rsidR="00F73852" w:rsidRPr="00497260">
        <w:t xml:space="preserve">pMMR </w:t>
      </w:r>
      <w:r w:rsidR="00BB742C" w:rsidRPr="00497260">
        <w:t xml:space="preserve">EC over the first 6 years. Published prices were used (as the effective prices of the comparators were not known to the sponsor and no effective price for pembrolizumab was proposed). Offsets for reduced use of dostarlimab/durvalumab were not included and as such, the </w:t>
      </w:r>
      <w:r w:rsidR="004918D9">
        <w:t xml:space="preserve">evaluation and the ESC considered that the </w:t>
      </w:r>
      <w:r w:rsidR="00BB742C" w:rsidRPr="00497260">
        <w:t>submission’s estimate of the financial impact was not informative (substantially overestimated).</w:t>
      </w:r>
    </w:p>
    <w:p w14:paraId="24131559" w14:textId="5FC54566" w:rsidR="00BB742C" w:rsidRPr="00497260" w:rsidRDefault="00FC64AF" w:rsidP="00FC64AF">
      <w:pPr>
        <w:pStyle w:val="Caption"/>
        <w:rPr>
          <w:b w:val="0"/>
          <w:bCs w:val="0"/>
        </w:rPr>
      </w:pPr>
      <w:bookmarkStart w:id="91" w:name="_Ref200697736"/>
      <w:r w:rsidRPr="00497260">
        <w:lastRenderedPageBreak/>
        <w:t xml:space="preserve">Table </w:t>
      </w:r>
      <w:r w:rsidRPr="00497260">
        <w:fldChar w:fldCharType="begin"/>
      </w:r>
      <w:r w:rsidRPr="00497260">
        <w:instrText xml:space="preserve"> SEQ Table \* ARABIC </w:instrText>
      </w:r>
      <w:r w:rsidRPr="00497260">
        <w:fldChar w:fldCharType="separate"/>
      </w:r>
      <w:r w:rsidR="003359D3">
        <w:rPr>
          <w:noProof/>
        </w:rPr>
        <w:t>25</w:t>
      </w:r>
      <w:r w:rsidRPr="00497260">
        <w:fldChar w:fldCharType="end"/>
      </w:r>
      <w:bookmarkEnd w:id="91"/>
      <w:r w:rsidRPr="00497260">
        <w:t xml:space="preserve">: </w:t>
      </w:r>
      <w:r w:rsidRPr="00497260">
        <w:rPr>
          <w:rStyle w:val="CommentReference"/>
          <w:b/>
          <w:bCs w:val="0"/>
          <w:szCs w:val="24"/>
        </w:rPr>
        <w:t>Estimated use and financial implications in pMMR (published price, without 1L offsets)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5: Estimated use and financial implications in pMMR (published price, without 1L offsets)"/>
      </w:tblPr>
      <w:tblGrid>
        <w:gridCol w:w="2651"/>
        <w:gridCol w:w="1064"/>
        <w:gridCol w:w="1064"/>
        <w:gridCol w:w="1064"/>
        <w:gridCol w:w="1064"/>
        <w:gridCol w:w="1064"/>
        <w:gridCol w:w="1046"/>
      </w:tblGrid>
      <w:tr w:rsidR="00BB742C" w:rsidRPr="00497260" w14:paraId="13EAAD56" w14:textId="77777777" w:rsidTr="00BB742C">
        <w:trPr>
          <w:trHeight w:val="135"/>
          <w:tblHeader/>
        </w:trPr>
        <w:tc>
          <w:tcPr>
            <w:tcW w:w="2651" w:type="dxa"/>
            <w:tcMar>
              <w:left w:w="20" w:type="dxa"/>
              <w:right w:w="20" w:type="dxa"/>
            </w:tcMar>
            <w:vAlign w:val="center"/>
            <w:hideMark/>
          </w:tcPr>
          <w:p w14:paraId="0B26C350" w14:textId="77777777" w:rsidR="00BB742C" w:rsidRPr="00497260" w:rsidRDefault="00BB742C" w:rsidP="00C74104">
            <w:pPr>
              <w:pStyle w:val="In-tableHeading"/>
              <w:keepLines/>
              <w:contextualSpacing/>
              <w:rPr>
                <w:szCs w:val="20"/>
                <w:lang w:val="en-AU"/>
              </w:rPr>
            </w:pPr>
          </w:p>
        </w:tc>
        <w:tc>
          <w:tcPr>
            <w:tcW w:w="1064" w:type="dxa"/>
            <w:tcMar>
              <w:left w:w="20" w:type="dxa"/>
              <w:right w:w="20" w:type="dxa"/>
            </w:tcMar>
            <w:vAlign w:val="center"/>
            <w:hideMark/>
          </w:tcPr>
          <w:p w14:paraId="691F8E94" w14:textId="77777777" w:rsidR="00BB742C" w:rsidRPr="00497260" w:rsidRDefault="00BB742C" w:rsidP="00C74104">
            <w:pPr>
              <w:pStyle w:val="In-tableHeading"/>
              <w:keepLines/>
              <w:contextualSpacing/>
              <w:jc w:val="center"/>
              <w:rPr>
                <w:szCs w:val="20"/>
                <w:lang w:val="en-AU"/>
              </w:rPr>
            </w:pPr>
            <w:r w:rsidRPr="00497260">
              <w:rPr>
                <w:szCs w:val="20"/>
                <w:lang w:val="en-AU"/>
              </w:rPr>
              <w:t>Year 1</w:t>
            </w:r>
          </w:p>
        </w:tc>
        <w:tc>
          <w:tcPr>
            <w:tcW w:w="1064" w:type="dxa"/>
            <w:tcMar>
              <w:left w:w="20" w:type="dxa"/>
              <w:right w:w="20" w:type="dxa"/>
            </w:tcMar>
            <w:vAlign w:val="center"/>
            <w:hideMark/>
          </w:tcPr>
          <w:p w14:paraId="7AADBEA5" w14:textId="77777777" w:rsidR="00BB742C" w:rsidRPr="00497260" w:rsidRDefault="00BB742C" w:rsidP="00C74104">
            <w:pPr>
              <w:pStyle w:val="In-tableHeading"/>
              <w:keepLines/>
              <w:contextualSpacing/>
              <w:jc w:val="center"/>
              <w:rPr>
                <w:szCs w:val="20"/>
                <w:lang w:val="en-AU"/>
              </w:rPr>
            </w:pPr>
            <w:r w:rsidRPr="00497260">
              <w:rPr>
                <w:szCs w:val="20"/>
                <w:lang w:val="en-AU"/>
              </w:rPr>
              <w:t>Year 2</w:t>
            </w:r>
          </w:p>
        </w:tc>
        <w:tc>
          <w:tcPr>
            <w:tcW w:w="1064" w:type="dxa"/>
            <w:tcMar>
              <w:left w:w="20" w:type="dxa"/>
              <w:right w:w="20" w:type="dxa"/>
            </w:tcMar>
            <w:vAlign w:val="center"/>
            <w:hideMark/>
          </w:tcPr>
          <w:p w14:paraId="7677BBF2" w14:textId="77777777" w:rsidR="00BB742C" w:rsidRPr="00497260" w:rsidRDefault="00BB742C" w:rsidP="00C74104">
            <w:pPr>
              <w:pStyle w:val="In-tableHeading"/>
              <w:keepLines/>
              <w:contextualSpacing/>
              <w:jc w:val="center"/>
              <w:rPr>
                <w:szCs w:val="20"/>
                <w:lang w:val="en-AU"/>
              </w:rPr>
            </w:pPr>
            <w:r w:rsidRPr="00497260">
              <w:rPr>
                <w:szCs w:val="20"/>
                <w:lang w:val="en-AU"/>
              </w:rPr>
              <w:t>Year 3</w:t>
            </w:r>
          </w:p>
        </w:tc>
        <w:tc>
          <w:tcPr>
            <w:tcW w:w="1064" w:type="dxa"/>
            <w:tcMar>
              <w:left w:w="20" w:type="dxa"/>
              <w:right w:w="20" w:type="dxa"/>
            </w:tcMar>
            <w:vAlign w:val="center"/>
            <w:hideMark/>
          </w:tcPr>
          <w:p w14:paraId="6A72246E" w14:textId="77777777" w:rsidR="00BB742C" w:rsidRPr="00497260" w:rsidRDefault="00BB742C" w:rsidP="00C74104">
            <w:pPr>
              <w:pStyle w:val="In-tableHeading"/>
              <w:keepLines/>
              <w:contextualSpacing/>
              <w:jc w:val="center"/>
              <w:rPr>
                <w:szCs w:val="20"/>
                <w:lang w:val="en-AU"/>
              </w:rPr>
            </w:pPr>
            <w:r w:rsidRPr="00497260">
              <w:rPr>
                <w:szCs w:val="20"/>
                <w:lang w:val="en-AU"/>
              </w:rPr>
              <w:t>Year 4</w:t>
            </w:r>
          </w:p>
        </w:tc>
        <w:tc>
          <w:tcPr>
            <w:tcW w:w="1064" w:type="dxa"/>
            <w:tcMar>
              <w:left w:w="20" w:type="dxa"/>
              <w:right w:w="20" w:type="dxa"/>
            </w:tcMar>
            <w:vAlign w:val="center"/>
            <w:hideMark/>
          </w:tcPr>
          <w:p w14:paraId="37EC70FE" w14:textId="77777777" w:rsidR="00BB742C" w:rsidRPr="00497260" w:rsidRDefault="00BB742C" w:rsidP="00C74104">
            <w:pPr>
              <w:pStyle w:val="In-tableHeading"/>
              <w:keepLines/>
              <w:contextualSpacing/>
              <w:jc w:val="center"/>
              <w:rPr>
                <w:szCs w:val="20"/>
                <w:lang w:val="en-AU"/>
              </w:rPr>
            </w:pPr>
            <w:r w:rsidRPr="00497260">
              <w:rPr>
                <w:szCs w:val="20"/>
                <w:lang w:val="en-AU"/>
              </w:rPr>
              <w:t>Year 5</w:t>
            </w:r>
          </w:p>
        </w:tc>
        <w:tc>
          <w:tcPr>
            <w:tcW w:w="1046" w:type="dxa"/>
            <w:tcMar>
              <w:left w:w="20" w:type="dxa"/>
              <w:right w:w="20" w:type="dxa"/>
            </w:tcMar>
            <w:vAlign w:val="center"/>
            <w:hideMark/>
          </w:tcPr>
          <w:p w14:paraId="04B7A2BC" w14:textId="77777777" w:rsidR="00BB742C" w:rsidRPr="00497260" w:rsidRDefault="00BB742C" w:rsidP="00C74104">
            <w:pPr>
              <w:pStyle w:val="In-tableHeading"/>
              <w:keepLines/>
              <w:contextualSpacing/>
              <w:jc w:val="center"/>
              <w:rPr>
                <w:szCs w:val="20"/>
                <w:lang w:val="en-AU"/>
              </w:rPr>
            </w:pPr>
            <w:r w:rsidRPr="00497260">
              <w:rPr>
                <w:szCs w:val="20"/>
                <w:lang w:val="en-AU"/>
              </w:rPr>
              <w:t>Year 6</w:t>
            </w:r>
          </w:p>
        </w:tc>
      </w:tr>
      <w:tr w:rsidR="00BB742C" w:rsidRPr="00497260" w14:paraId="3B58ED7C" w14:textId="77777777" w:rsidTr="00BB742C">
        <w:trPr>
          <w:trHeight w:val="115"/>
        </w:trPr>
        <w:tc>
          <w:tcPr>
            <w:tcW w:w="9017" w:type="dxa"/>
            <w:gridSpan w:val="7"/>
            <w:tcBorders>
              <w:bottom w:val="single" w:sz="4" w:space="0" w:color="auto"/>
            </w:tcBorders>
            <w:tcMar>
              <w:left w:w="20" w:type="dxa"/>
              <w:right w:w="20" w:type="dxa"/>
            </w:tcMar>
            <w:vAlign w:val="center"/>
          </w:tcPr>
          <w:p w14:paraId="2D088812" w14:textId="77777777" w:rsidR="00BB742C" w:rsidRPr="00497260" w:rsidRDefault="00BB742C" w:rsidP="00C74104">
            <w:pPr>
              <w:pStyle w:val="TableText0"/>
              <w:keepLines/>
              <w:contextualSpacing/>
              <w:rPr>
                <w:b/>
                <w:bCs w:val="0"/>
                <w:szCs w:val="20"/>
              </w:rPr>
            </w:pPr>
            <w:r w:rsidRPr="00497260">
              <w:rPr>
                <w:b/>
                <w:szCs w:val="20"/>
              </w:rPr>
              <w:t xml:space="preserve">Estimated Estimation of use </w:t>
            </w:r>
          </w:p>
        </w:tc>
      </w:tr>
      <w:tr w:rsidR="00BB742C" w:rsidRPr="00497260" w14:paraId="70C44441" w14:textId="77777777" w:rsidTr="00BB742C">
        <w:tc>
          <w:tcPr>
            <w:tcW w:w="2651" w:type="dxa"/>
            <w:tcBorders>
              <w:right w:val="single" w:sz="4" w:space="0" w:color="auto"/>
            </w:tcBorders>
            <w:tcMar>
              <w:left w:w="20" w:type="dxa"/>
              <w:right w:w="20" w:type="dxa"/>
            </w:tcMar>
            <w:vAlign w:val="center"/>
          </w:tcPr>
          <w:p w14:paraId="7894C460" w14:textId="77777777" w:rsidR="00BB742C" w:rsidRPr="00497260" w:rsidRDefault="00BB742C" w:rsidP="00C74104">
            <w:pPr>
              <w:pStyle w:val="TableText0"/>
              <w:keepLines/>
              <w:contextualSpacing/>
            </w:pPr>
            <w:r w:rsidRPr="00497260">
              <w:t xml:space="preserve">Total initiating pMMR patients </w:t>
            </w:r>
          </w:p>
        </w:tc>
        <w:tc>
          <w:tcPr>
            <w:tcW w:w="1064" w:type="dxa"/>
            <w:tcBorders>
              <w:top w:val="single" w:sz="4" w:space="0" w:color="auto"/>
              <w:left w:val="nil"/>
              <w:bottom w:val="single" w:sz="4" w:space="0" w:color="auto"/>
              <w:right w:val="single" w:sz="4" w:space="0" w:color="auto"/>
            </w:tcBorders>
            <w:tcMar>
              <w:left w:w="20" w:type="dxa"/>
              <w:right w:w="20" w:type="dxa"/>
            </w:tcMar>
            <w:vAlign w:val="bottom"/>
          </w:tcPr>
          <w:p w14:paraId="7E3E7CED" w14:textId="124E6971" w:rsidR="00BB742C" w:rsidRPr="00A336EE" w:rsidRDefault="00165A53" w:rsidP="00C74104">
            <w:pPr>
              <w:pStyle w:val="TableText0"/>
              <w:keepLines/>
              <w:contextualSpacing/>
              <w:jc w:val="center"/>
              <w:rPr>
                <w:highlight w:val="darkGray"/>
                <w:vertAlign w:val="superscript"/>
              </w:rPr>
            </w:pPr>
            <w:r w:rsidRPr="00165A53">
              <w:rPr>
                <w:color w:val="000000"/>
                <w:spacing w:val="51"/>
                <w:shd w:val="solid" w:color="000000" w:fill="000000"/>
                <w:fitText w:val="324" w:id="-628426496"/>
                <w14:textFill>
                  <w14:solidFill>
                    <w14:srgbClr w14:val="000000">
                      <w14:alpha w14:val="100000"/>
                    </w14:srgbClr>
                  </w14:solidFill>
                </w14:textFill>
              </w:rPr>
              <w:t>|||</w:t>
            </w:r>
            <w:r w:rsidRPr="00165A53">
              <w:rPr>
                <w:color w:val="000000"/>
                <w:spacing w:val="1"/>
                <w:shd w:val="solid" w:color="000000" w:fill="000000"/>
                <w:fitText w:val="324" w:id="-628426496"/>
                <w14:textFill>
                  <w14:solidFill>
                    <w14:srgbClr w14:val="000000">
                      <w14:alpha w14:val="100000"/>
                    </w14:srgbClr>
                  </w14:solidFill>
                </w14:textFill>
              </w:rPr>
              <w:t>|</w:t>
            </w:r>
            <w:r w:rsidR="00A336EE" w:rsidRPr="00A336EE">
              <w:rPr>
                <w:vertAlign w:val="superscript"/>
              </w:rPr>
              <w:t>1</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3E4B7939" w14:textId="78A73396" w:rsidR="00BB742C" w:rsidRPr="007D4486" w:rsidRDefault="00165A53" w:rsidP="00C74104">
            <w:pPr>
              <w:pStyle w:val="TableText0"/>
              <w:keepLines/>
              <w:contextualSpacing/>
              <w:jc w:val="center"/>
              <w:rPr>
                <w:highlight w:val="darkGray"/>
              </w:rPr>
            </w:pPr>
            <w:r w:rsidRPr="00165A53">
              <w:rPr>
                <w:color w:val="000000"/>
                <w:spacing w:val="51"/>
                <w:shd w:val="solid" w:color="000000" w:fill="000000"/>
                <w:fitText w:val="324" w:id="-628426495"/>
                <w14:textFill>
                  <w14:solidFill>
                    <w14:srgbClr w14:val="000000">
                      <w14:alpha w14:val="100000"/>
                    </w14:srgbClr>
                  </w14:solidFill>
                </w14:textFill>
              </w:rPr>
              <w:t>|||</w:t>
            </w:r>
            <w:r w:rsidRPr="00165A53">
              <w:rPr>
                <w:color w:val="000000"/>
                <w:spacing w:val="1"/>
                <w:shd w:val="solid" w:color="000000" w:fill="000000"/>
                <w:fitText w:val="324" w:id="-628426495"/>
                <w14:textFill>
                  <w14:solidFill>
                    <w14:srgbClr w14:val="000000">
                      <w14:alpha w14:val="100000"/>
                    </w14:srgbClr>
                  </w14:solidFill>
                </w14:textFill>
              </w:rPr>
              <w:t>|</w:t>
            </w:r>
            <w:r w:rsidR="00A336EE" w:rsidRPr="00A336EE">
              <w:rPr>
                <w:vertAlign w:val="superscript"/>
              </w:rPr>
              <w:t>1</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7076538D" w14:textId="5447AB48" w:rsidR="00BB742C" w:rsidRPr="007D4486" w:rsidRDefault="00165A53" w:rsidP="00C74104">
            <w:pPr>
              <w:pStyle w:val="TableText0"/>
              <w:keepLines/>
              <w:contextualSpacing/>
              <w:jc w:val="center"/>
              <w:rPr>
                <w:highlight w:val="darkGray"/>
              </w:rPr>
            </w:pPr>
            <w:r w:rsidRPr="00165A53">
              <w:rPr>
                <w:color w:val="000000"/>
                <w:spacing w:val="51"/>
                <w:shd w:val="solid" w:color="000000" w:fill="000000"/>
                <w:fitText w:val="324" w:id="-628426494"/>
                <w14:textFill>
                  <w14:solidFill>
                    <w14:srgbClr w14:val="000000">
                      <w14:alpha w14:val="100000"/>
                    </w14:srgbClr>
                  </w14:solidFill>
                </w14:textFill>
              </w:rPr>
              <w:t>|||</w:t>
            </w:r>
            <w:r w:rsidRPr="00165A53">
              <w:rPr>
                <w:color w:val="000000"/>
                <w:spacing w:val="1"/>
                <w:shd w:val="solid" w:color="000000" w:fill="000000"/>
                <w:fitText w:val="324" w:id="-628426494"/>
                <w14:textFill>
                  <w14:solidFill>
                    <w14:srgbClr w14:val="000000">
                      <w14:alpha w14:val="100000"/>
                    </w14:srgbClr>
                  </w14:solidFill>
                </w14:textFill>
              </w:rPr>
              <w:t>|</w:t>
            </w:r>
            <w:r w:rsidR="00A336EE" w:rsidRPr="00A336EE">
              <w:rPr>
                <w:vertAlign w:val="superscript"/>
              </w:rPr>
              <w:t>1</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06702BE2" w14:textId="41DF1BDA" w:rsidR="00BB742C" w:rsidRPr="007D4486" w:rsidRDefault="00165A53" w:rsidP="00C74104">
            <w:pPr>
              <w:pStyle w:val="TableText0"/>
              <w:keepLines/>
              <w:contextualSpacing/>
              <w:jc w:val="center"/>
              <w:rPr>
                <w:highlight w:val="darkGray"/>
              </w:rPr>
            </w:pPr>
            <w:r w:rsidRPr="00165A53">
              <w:rPr>
                <w:color w:val="000000"/>
                <w:spacing w:val="51"/>
                <w:shd w:val="solid" w:color="000000" w:fill="000000"/>
                <w:fitText w:val="324" w:id="-628426493"/>
                <w14:textFill>
                  <w14:solidFill>
                    <w14:srgbClr w14:val="000000">
                      <w14:alpha w14:val="100000"/>
                    </w14:srgbClr>
                  </w14:solidFill>
                </w14:textFill>
              </w:rPr>
              <w:t>|||</w:t>
            </w:r>
            <w:r w:rsidRPr="00165A53">
              <w:rPr>
                <w:color w:val="000000"/>
                <w:spacing w:val="1"/>
                <w:shd w:val="solid" w:color="000000" w:fill="000000"/>
                <w:fitText w:val="324" w:id="-628426493"/>
                <w14:textFill>
                  <w14:solidFill>
                    <w14:srgbClr w14:val="000000">
                      <w14:alpha w14:val="100000"/>
                    </w14:srgbClr>
                  </w14:solidFill>
                </w14:textFill>
              </w:rPr>
              <w:t>|</w:t>
            </w:r>
            <w:r w:rsidR="00A336EE" w:rsidRPr="00A336EE">
              <w:rPr>
                <w:vertAlign w:val="superscript"/>
              </w:rPr>
              <w:t>1</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185020B2" w14:textId="1DD41D48" w:rsidR="00BB742C" w:rsidRPr="007D4486" w:rsidRDefault="00165A53" w:rsidP="00C74104">
            <w:pPr>
              <w:pStyle w:val="TableText0"/>
              <w:keepLines/>
              <w:contextualSpacing/>
              <w:jc w:val="center"/>
              <w:rPr>
                <w:highlight w:val="darkGray"/>
              </w:rPr>
            </w:pPr>
            <w:r w:rsidRPr="00165A53">
              <w:rPr>
                <w:color w:val="000000"/>
                <w:spacing w:val="51"/>
                <w:shd w:val="solid" w:color="000000" w:fill="000000"/>
                <w:fitText w:val="324" w:id="-628426492"/>
                <w14:textFill>
                  <w14:solidFill>
                    <w14:srgbClr w14:val="000000">
                      <w14:alpha w14:val="100000"/>
                    </w14:srgbClr>
                  </w14:solidFill>
                </w14:textFill>
              </w:rPr>
              <w:t>|||</w:t>
            </w:r>
            <w:r w:rsidRPr="00165A53">
              <w:rPr>
                <w:color w:val="000000"/>
                <w:spacing w:val="1"/>
                <w:shd w:val="solid" w:color="000000" w:fill="000000"/>
                <w:fitText w:val="324" w:id="-628426492"/>
                <w14:textFill>
                  <w14:solidFill>
                    <w14:srgbClr w14:val="000000">
                      <w14:alpha w14:val="100000"/>
                    </w14:srgbClr>
                  </w14:solidFill>
                </w14:textFill>
              </w:rPr>
              <w:t>|</w:t>
            </w:r>
            <w:r w:rsidR="00A336EE" w:rsidRPr="00A336EE">
              <w:rPr>
                <w:vertAlign w:val="superscript"/>
              </w:rPr>
              <w:t>1</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bottom"/>
          </w:tcPr>
          <w:p w14:paraId="55030ADB" w14:textId="66143109" w:rsidR="00BB742C" w:rsidRPr="007D4486" w:rsidRDefault="00165A53" w:rsidP="00C74104">
            <w:pPr>
              <w:pStyle w:val="TableText0"/>
              <w:keepLines/>
              <w:contextualSpacing/>
              <w:jc w:val="center"/>
              <w:rPr>
                <w:highlight w:val="darkGray"/>
              </w:rPr>
            </w:pPr>
            <w:r w:rsidRPr="00165A53">
              <w:rPr>
                <w:color w:val="000000"/>
                <w:spacing w:val="55"/>
                <w:shd w:val="solid" w:color="000000" w:fill="000000"/>
                <w:fitText w:val="336" w:id="-628426491"/>
                <w14:textFill>
                  <w14:solidFill>
                    <w14:srgbClr w14:val="000000">
                      <w14:alpha w14:val="100000"/>
                    </w14:srgbClr>
                  </w14:solidFill>
                </w14:textFill>
              </w:rPr>
              <w:t>|||</w:t>
            </w:r>
            <w:r w:rsidRPr="00165A53">
              <w:rPr>
                <w:color w:val="000000"/>
                <w:spacing w:val="1"/>
                <w:shd w:val="solid" w:color="000000" w:fill="000000"/>
                <w:fitText w:val="336" w:id="-628426491"/>
                <w14:textFill>
                  <w14:solidFill>
                    <w14:srgbClr w14:val="000000">
                      <w14:alpha w14:val="100000"/>
                    </w14:srgbClr>
                  </w14:solidFill>
                </w14:textFill>
              </w:rPr>
              <w:t>|</w:t>
            </w:r>
            <w:r w:rsidR="00A336EE" w:rsidRPr="00A336EE">
              <w:rPr>
                <w:vertAlign w:val="superscript"/>
              </w:rPr>
              <w:t>1</w:t>
            </w:r>
          </w:p>
        </w:tc>
      </w:tr>
      <w:tr w:rsidR="00BB742C" w:rsidRPr="00497260" w14:paraId="5C6E1A2A" w14:textId="77777777" w:rsidTr="00BB742C">
        <w:tc>
          <w:tcPr>
            <w:tcW w:w="2651" w:type="dxa"/>
            <w:tcBorders>
              <w:right w:val="nil"/>
            </w:tcBorders>
            <w:tcMar>
              <w:left w:w="20" w:type="dxa"/>
              <w:right w:w="20" w:type="dxa"/>
            </w:tcMar>
            <w:vAlign w:val="center"/>
          </w:tcPr>
          <w:p w14:paraId="20796D88" w14:textId="77777777" w:rsidR="00BB742C" w:rsidRPr="00497260" w:rsidRDefault="00BB742C" w:rsidP="00C74104">
            <w:pPr>
              <w:pStyle w:val="TableText0"/>
              <w:keepLines/>
              <w:contextualSpacing/>
              <w:rPr>
                <w:b/>
                <w:bCs w:val="0"/>
              </w:rPr>
            </w:pPr>
            <w:r w:rsidRPr="00497260">
              <w:rPr>
                <w:b/>
                <w:bCs w:val="0"/>
              </w:rPr>
              <w:t>PBS/RPBS cost less co-pay</w:t>
            </w:r>
          </w:p>
        </w:tc>
        <w:tc>
          <w:tcPr>
            <w:tcW w:w="1064" w:type="dxa"/>
            <w:tcBorders>
              <w:top w:val="single" w:sz="4" w:space="0" w:color="auto"/>
              <w:left w:val="nil"/>
              <w:bottom w:val="single" w:sz="4" w:space="0" w:color="auto"/>
              <w:right w:val="nil"/>
            </w:tcBorders>
            <w:tcMar>
              <w:left w:w="20" w:type="dxa"/>
              <w:right w:w="20" w:type="dxa"/>
            </w:tcMar>
            <w:vAlign w:val="center"/>
          </w:tcPr>
          <w:p w14:paraId="6D6BADA8" w14:textId="77777777" w:rsidR="00BB742C" w:rsidRPr="00497260" w:rsidRDefault="00BB742C" w:rsidP="00C74104">
            <w:pPr>
              <w:pStyle w:val="TableText0"/>
              <w:keepLines/>
              <w:contextualSpacing/>
              <w:jc w:val="center"/>
              <w:rPr>
                <w:b/>
                <w:bCs w:val="0"/>
              </w:rPr>
            </w:pPr>
          </w:p>
        </w:tc>
        <w:tc>
          <w:tcPr>
            <w:tcW w:w="1064" w:type="dxa"/>
            <w:tcBorders>
              <w:top w:val="single" w:sz="4" w:space="0" w:color="auto"/>
              <w:left w:val="nil"/>
              <w:bottom w:val="single" w:sz="4" w:space="0" w:color="auto"/>
              <w:right w:val="nil"/>
            </w:tcBorders>
            <w:tcMar>
              <w:left w:w="20" w:type="dxa"/>
              <w:right w:w="20" w:type="dxa"/>
            </w:tcMar>
            <w:vAlign w:val="center"/>
          </w:tcPr>
          <w:p w14:paraId="56F1E929" w14:textId="77777777" w:rsidR="00BB742C" w:rsidRPr="00497260" w:rsidRDefault="00BB742C" w:rsidP="00C74104">
            <w:pPr>
              <w:pStyle w:val="TableText0"/>
              <w:keepLines/>
              <w:contextualSpacing/>
              <w:jc w:val="center"/>
              <w:rPr>
                <w:b/>
                <w:bCs w:val="0"/>
              </w:rPr>
            </w:pPr>
          </w:p>
        </w:tc>
        <w:tc>
          <w:tcPr>
            <w:tcW w:w="1064" w:type="dxa"/>
            <w:tcBorders>
              <w:top w:val="single" w:sz="4" w:space="0" w:color="auto"/>
              <w:left w:val="nil"/>
              <w:bottom w:val="single" w:sz="4" w:space="0" w:color="auto"/>
              <w:right w:val="nil"/>
            </w:tcBorders>
            <w:tcMar>
              <w:left w:w="20" w:type="dxa"/>
              <w:right w:w="20" w:type="dxa"/>
            </w:tcMar>
            <w:vAlign w:val="center"/>
          </w:tcPr>
          <w:p w14:paraId="198AAFBA" w14:textId="77777777" w:rsidR="00BB742C" w:rsidRPr="00497260" w:rsidRDefault="00BB742C" w:rsidP="00C74104">
            <w:pPr>
              <w:pStyle w:val="TableText0"/>
              <w:keepLines/>
              <w:contextualSpacing/>
              <w:jc w:val="center"/>
              <w:rPr>
                <w:b/>
                <w:bCs w:val="0"/>
              </w:rPr>
            </w:pPr>
          </w:p>
        </w:tc>
        <w:tc>
          <w:tcPr>
            <w:tcW w:w="1064" w:type="dxa"/>
            <w:tcBorders>
              <w:top w:val="single" w:sz="4" w:space="0" w:color="auto"/>
              <w:left w:val="nil"/>
              <w:bottom w:val="single" w:sz="4" w:space="0" w:color="auto"/>
              <w:right w:val="nil"/>
            </w:tcBorders>
            <w:tcMar>
              <w:left w:w="20" w:type="dxa"/>
              <w:right w:w="20" w:type="dxa"/>
            </w:tcMar>
            <w:vAlign w:val="center"/>
          </w:tcPr>
          <w:p w14:paraId="78842046" w14:textId="77777777" w:rsidR="00BB742C" w:rsidRPr="00497260" w:rsidRDefault="00BB742C" w:rsidP="00C74104">
            <w:pPr>
              <w:pStyle w:val="TableText0"/>
              <w:keepLines/>
              <w:contextualSpacing/>
              <w:jc w:val="center"/>
              <w:rPr>
                <w:b/>
                <w:bCs w:val="0"/>
              </w:rPr>
            </w:pPr>
          </w:p>
        </w:tc>
        <w:tc>
          <w:tcPr>
            <w:tcW w:w="1064" w:type="dxa"/>
            <w:tcBorders>
              <w:top w:val="single" w:sz="4" w:space="0" w:color="auto"/>
              <w:left w:val="nil"/>
              <w:bottom w:val="single" w:sz="4" w:space="0" w:color="auto"/>
              <w:right w:val="nil"/>
            </w:tcBorders>
            <w:tcMar>
              <w:left w:w="20" w:type="dxa"/>
              <w:right w:w="20" w:type="dxa"/>
            </w:tcMar>
            <w:vAlign w:val="center"/>
          </w:tcPr>
          <w:p w14:paraId="7FD715FC" w14:textId="77777777" w:rsidR="00BB742C" w:rsidRPr="00497260" w:rsidRDefault="00BB742C" w:rsidP="00C74104">
            <w:pPr>
              <w:pStyle w:val="TableText0"/>
              <w:keepLines/>
              <w:contextualSpacing/>
              <w:jc w:val="center"/>
              <w:rPr>
                <w:b/>
                <w:bCs w:val="0"/>
              </w:rPr>
            </w:pP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79736EC9" w14:textId="77777777" w:rsidR="00BB742C" w:rsidRPr="00497260" w:rsidRDefault="00BB742C" w:rsidP="00C74104">
            <w:pPr>
              <w:pStyle w:val="TableText0"/>
              <w:keepLines/>
              <w:contextualSpacing/>
              <w:jc w:val="center"/>
              <w:rPr>
                <w:b/>
                <w:bCs w:val="0"/>
              </w:rPr>
            </w:pPr>
          </w:p>
        </w:tc>
      </w:tr>
      <w:tr w:rsidR="00BB742C" w:rsidRPr="00497260" w14:paraId="580DF40A" w14:textId="77777777" w:rsidTr="00BB742C">
        <w:tc>
          <w:tcPr>
            <w:tcW w:w="2651" w:type="dxa"/>
            <w:tcBorders>
              <w:bottom w:val="single" w:sz="4" w:space="0" w:color="auto"/>
              <w:right w:val="single" w:sz="4" w:space="0" w:color="auto"/>
            </w:tcBorders>
            <w:tcMar>
              <w:left w:w="20" w:type="dxa"/>
              <w:right w:w="20" w:type="dxa"/>
            </w:tcMar>
            <w:vAlign w:val="center"/>
          </w:tcPr>
          <w:p w14:paraId="08B326D6" w14:textId="77777777" w:rsidR="00BB742C" w:rsidRPr="00497260" w:rsidRDefault="00BB742C" w:rsidP="00C74104">
            <w:pPr>
              <w:pStyle w:val="TableText0"/>
              <w:keepLines/>
              <w:contextualSpacing/>
              <w:rPr>
                <w:vertAlign w:val="superscript"/>
              </w:rPr>
            </w:pPr>
            <w:r w:rsidRPr="00497260">
              <w:t xml:space="preserve">pMMR </w:t>
            </w:r>
            <w:r w:rsidRPr="00497260">
              <w:rPr>
                <w:vertAlign w:val="superscript"/>
              </w:rPr>
              <w:t>d</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BE598D6" w14:textId="7FEE35AB" w:rsidR="00BB742C" w:rsidRPr="004C406F" w:rsidRDefault="00BB742C" w:rsidP="00C74104">
            <w:pPr>
              <w:pStyle w:val="TableText0"/>
              <w:keepLines/>
              <w:contextualSpacing/>
              <w:jc w:val="center"/>
              <w:rPr>
                <w:vertAlign w:val="superscript"/>
              </w:rPr>
            </w:pPr>
            <w:r w:rsidRPr="00497260">
              <w:rPr>
                <w:rFonts w:cs="Arial"/>
                <w:color w:val="000000"/>
                <w:szCs w:val="20"/>
              </w:rPr>
              <w:t>$</w:t>
            </w:r>
            <w:r w:rsidR="00165A53">
              <w:rPr>
                <w:rFonts w:cs="Arial"/>
                <w:color w:val="000000"/>
                <w:spacing w:val="50"/>
                <w:szCs w:val="20"/>
                <w:shd w:val="solid" w:color="000000" w:fill="000000"/>
                <w:fitText w:val="324" w:id="-628426490"/>
                <w14:textFill>
                  <w14:solidFill>
                    <w14:srgbClr w14:val="000000">
                      <w14:alpha w14:val="100000"/>
                    </w14:srgbClr>
                  </w14:solidFill>
                </w14:textFill>
              </w:rPr>
              <w:t>|||</w:t>
            </w:r>
            <w:r w:rsidR="00165A53">
              <w:rPr>
                <w:rFonts w:cs="Arial"/>
                <w:color w:val="000000"/>
                <w:spacing w:val="2"/>
                <w:szCs w:val="20"/>
                <w:shd w:val="solid" w:color="000000" w:fill="000000"/>
                <w:fitText w:val="324" w:id="-628426490"/>
                <w14:textFill>
                  <w14:solidFill>
                    <w14:srgbClr w14:val="000000">
                      <w14:alpha w14:val="100000"/>
                    </w14:srgbClr>
                  </w14:solidFill>
                </w14:textFill>
              </w:rPr>
              <w:t>|</w:t>
            </w:r>
            <w:r w:rsidR="004C406F">
              <w:rPr>
                <w:rFonts w:cs="Arial"/>
                <w:color w:val="000000"/>
                <w:szCs w:val="20"/>
                <w:vertAlign w:val="superscript"/>
              </w:rPr>
              <w:t>2</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2374693D" w14:textId="5D831692" w:rsidR="00734FAA" w:rsidRDefault="00BB742C" w:rsidP="00C74104">
            <w:pPr>
              <w:pStyle w:val="TableText0"/>
              <w:keepLines/>
              <w:contextualSpacing/>
              <w:jc w:val="center"/>
              <w:rPr>
                <w:rFonts w:cs="Arial"/>
                <w:color w:val="000000"/>
                <w:szCs w:val="20"/>
              </w:rPr>
            </w:pPr>
            <w:r w:rsidRPr="00497260">
              <w:rPr>
                <w:rFonts w:cs="Arial"/>
                <w:color w:val="000000"/>
                <w:szCs w:val="20"/>
              </w:rPr>
              <w:t>$</w:t>
            </w:r>
            <w:r w:rsidR="00165A53">
              <w:rPr>
                <w:rFonts w:cs="Arial"/>
                <w:color w:val="000000"/>
                <w:spacing w:val="54"/>
                <w:szCs w:val="20"/>
                <w:shd w:val="solid" w:color="000000" w:fill="000000"/>
                <w:fitText w:val="336" w:id="-628426489"/>
                <w14:textFill>
                  <w14:solidFill>
                    <w14:srgbClr w14:val="000000">
                      <w14:alpha w14:val="100000"/>
                    </w14:srgbClr>
                  </w14:solidFill>
                </w14:textFill>
              </w:rPr>
              <w:t>|||</w:t>
            </w:r>
            <w:r w:rsidR="00165A53">
              <w:rPr>
                <w:rFonts w:cs="Arial"/>
                <w:color w:val="000000"/>
                <w:spacing w:val="2"/>
                <w:szCs w:val="20"/>
                <w:shd w:val="solid" w:color="000000" w:fill="000000"/>
                <w:fitText w:val="336" w:id="-628426489"/>
                <w14:textFill>
                  <w14:solidFill>
                    <w14:srgbClr w14:val="000000">
                      <w14:alpha w14:val="100000"/>
                    </w14:srgbClr>
                  </w14:solidFill>
                </w14:textFill>
              </w:rPr>
              <w:t>|</w:t>
            </w:r>
          </w:p>
          <w:p w14:paraId="12253352" w14:textId="09A8954D" w:rsidR="00BB742C" w:rsidRPr="00734FAA" w:rsidRDefault="00734FAA" w:rsidP="00C74104">
            <w:pPr>
              <w:pStyle w:val="TableText0"/>
              <w:keepLines/>
              <w:contextualSpacing/>
              <w:jc w:val="center"/>
              <w:rPr>
                <w:vertAlign w:val="superscript"/>
              </w:rPr>
            </w:pPr>
            <w:r>
              <w:rPr>
                <w:rFonts w:cs="Arial"/>
                <w:color w:val="000000"/>
                <w:szCs w:val="20"/>
                <w:vertAlign w:val="superscript"/>
              </w:rPr>
              <w:t>3</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B9AB2FA" w14:textId="6C2E794B" w:rsidR="00420317" w:rsidRDefault="00BB742C" w:rsidP="00C74104">
            <w:pPr>
              <w:pStyle w:val="TableText0"/>
              <w:keepLines/>
              <w:contextualSpacing/>
              <w:jc w:val="center"/>
              <w:rPr>
                <w:rFonts w:cs="Arial"/>
                <w:color w:val="000000"/>
                <w:szCs w:val="20"/>
              </w:rPr>
            </w:pPr>
            <w:r w:rsidRPr="00497260">
              <w:rPr>
                <w:rFonts w:cs="Arial"/>
                <w:color w:val="000000"/>
                <w:szCs w:val="20"/>
              </w:rPr>
              <w:t>$</w:t>
            </w:r>
            <w:r w:rsidR="00165A53">
              <w:rPr>
                <w:rFonts w:cs="Arial"/>
                <w:color w:val="000000"/>
                <w:spacing w:val="54"/>
                <w:szCs w:val="20"/>
                <w:shd w:val="solid" w:color="000000" w:fill="000000"/>
                <w:fitText w:val="336" w:id="-628426488"/>
                <w14:textFill>
                  <w14:solidFill>
                    <w14:srgbClr w14:val="000000">
                      <w14:alpha w14:val="100000"/>
                    </w14:srgbClr>
                  </w14:solidFill>
                </w14:textFill>
              </w:rPr>
              <w:t>|||</w:t>
            </w:r>
            <w:r w:rsidR="00165A53">
              <w:rPr>
                <w:rFonts w:cs="Arial"/>
                <w:color w:val="000000"/>
                <w:spacing w:val="2"/>
                <w:szCs w:val="20"/>
                <w:shd w:val="solid" w:color="000000" w:fill="000000"/>
                <w:fitText w:val="336" w:id="-628426488"/>
                <w14:textFill>
                  <w14:solidFill>
                    <w14:srgbClr w14:val="000000">
                      <w14:alpha w14:val="100000"/>
                    </w14:srgbClr>
                  </w14:solidFill>
                </w14:textFill>
              </w:rPr>
              <w:t>|</w:t>
            </w:r>
          </w:p>
          <w:p w14:paraId="382E81A5" w14:textId="424BA8E2" w:rsidR="00BB742C" w:rsidRPr="00420317" w:rsidRDefault="00420317" w:rsidP="00C74104">
            <w:pPr>
              <w:pStyle w:val="TableText0"/>
              <w:keepLines/>
              <w:contextualSpacing/>
              <w:jc w:val="center"/>
              <w:rPr>
                <w:vertAlign w:val="superscript"/>
              </w:rPr>
            </w:pPr>
            <w:r>
              <w:rPr>
                <w:rFonts w:cs="Arial"/>
                <w:color w:val="000000"/>
                <w:szCs w:val="20"/>
                <w:vertAlign w:val="superscript"/>
              </w:rPr>
              <w:t>4</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EE88FF6" w14:textId="0DB33B4C" w:rsidR="007533E5" w:rsidRDefault="00BB742C" w:rsidP="00C74104">
            <w:pPr>
              <w:pStyle w:val="TableText0"/>
              <w:keepLines/>
              <w:contextualSpacing/>
              <w:jc w:val="center"/>
              <w:rPr>
                <w:rFonts w:cs="Arial"/>
                <w:color w:val="000000"/>
                <w:szCs w:val="20"/>
              </w:rPr>
            </w:pPr>
            <w:r w:rsidRPr="00497260">
              <w:rPr>
                <w:rFonts w:cs="Arial"/>
                <w:color w:val="000000"/>
                <w:szCs w:val="20"/>
              </w:rPr>
              <w:t>$</w:t>
            </w:r>
            <w:r w:rsidR="00165A53">
              <w:rPr>
                <w:rFonts w:cs="Arial"/>
                <w:color w:val="000000"/>
                <w:spacing w:val="54"/>
                <w:szCs w:val="20"/>
                <w:shd w:val="solid" w:color="000000" w:fill="000000"/>
                <w:fitText w:val="336" w:id="-628426487"/>
                <w14:textFill>
                  <w14:solidFill>
                    <w14:srgbClr w14:val="000000">
                      <w14:alpha w14:val="100000"/>
                    </w14:srgbClr>
                  </w14:solidFill>
                </w14:textFill>
              </w:rPr>
              <w:t>|||</w:t>
            </w:r>
            <w:r w:rsidR="00165A53">
              <w:rPr>
                <w:rFonts w:cs="Arial"/>
                <w:color w:val="000000"/>
                <w:spacing w:val="2"/>
                <w:szCs w:val="20"/>
                <w:shd w:val="solid" w:color="000000" w:fill="000000"/>
                <w:fitText w:val="336" w:id="-628426487"/>
                <w14:textFill>
                  <w14:solidFill>
                    <w14:srgbClr w14:val="000000">
                      <w14:alpha w14:val="100000"/>
                    </w14:srgbClr>
                  </w14:solidFill>
                </w14:textFill>
              </w:rPr>
              <w:t>|</w:t>
            </w:r>
          </w:p>
          <w:p w14:paraId="6B305AE6" w14:textId="0469EE53" w:rsidR="00BB742C" w:rsidRPr="007533E5" w:rsidRDefault="007533E5" w:rsidP="00C74104">
            <w:pPr>
              <w:pStyle w:val="TableText0"/>
              <w:keepLines/>
              <w:contextualSpacing/>
              <w:jc w:val="center"/>
              <w:rPr>
                <w:vertAlign w:val="superscript"/>
              </w:rPr>
            </w:pPr>
            <w:r>
              <w:rPr>
                <w:rFonts w:cs="Arial"/>
                <w:color w:val="000000"/>
                <w:szCs w:val="20"/>
                <w:vertAlign w:val="superscript"/>
              </w:rPr>
              <w:t>4</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12B74499" w14:textId="041CDA1F" w:rsidR="007533E5" w:rsidRDefault="00BB742C" w:rsidP="00C74104">
            <w:pPr>
              <w:pStyle w:val="TableText0"/>
              <w:keepLines/>
              <w:contextualSpacing/>
              <w:jc w:val="center"/>
              <w:rPr>
                <w:rFonts w:cs="Arial"/>
                <w:color w:val="000000"/>
                <w:szCs w:val="20"/>
              </w:rPr>
            </w:pPr>
            <w:r w:rsidRPr="00497260">
              <w:rPr>
                <w:rFonts w:cs="Arial"/>
                <w:color w:val="000000"/>
                <w:szCs w:val="20"/>
              </w:rPr>
              <w:t>$</w:t>
            </w:r>
            <w:r w:rsidR="00165A53">
              <w:rPr>
                <w:rFonts w:cs="Arial"/>
                <w:color w:val="000000"/>
                <w:spacing w:val="54"/>
                <w:szCs w:val="20"/>
                <w:shd w:val="solid" w:color="000000" w:fill="000000"/>
                <w:fitText w:val="336" w:id="-628426486"/>
                <w14:textFill>
                  <w14:solidFill>
                    <w14:srgbClr w14:val="000000">
                      <w14:alpha w14:val="100000"/>
                    </w14:srgbClr>
                  </w14:solidFill>
                </w14:textFill>
              </w:rPr>
              <w:t>|||</w:t>
            </w:r>
            <w:r w:rsidR="00165A53">
              <w:rPr>
                <w:rFonts w:cs="Arial"/>
                <w:color w:val="000000"/>
                <w:spacing w:val="2"/>
                <w:szCs w:val="20"/>
                <w:shd w:val="solid" w:color="000000" w:fill="000000"/>
                <w:fitText w:val="336" w:id="-628426486"/>
                <w14:textFill>
                  <w14:solidFill>
                    <w14:srgbClr w14:val="000000">
                      <w14:alpha w14:val="100000"/>
                    </w14:srgbClr>
                  </w14:solidFill>
                </w14:textFill>
              </w:rPr>
              <w:t>|</w:t>
            </w:r>
          </w:p>
          <w:p w14:paraId="391C2018" w14:textId="637821D8" w:rsidR="00BB742C" w:rsidRPr="007533E5" w:rsidRDefault="007533E5" w:rsidP="00C74104">
            <w:pPr>
              <w:pStyle w:val="TableText0"/>
              <w:keepLines/>
              <w:contextualSpacing/>
              <w:jc w:val="center"/>
              <w:rPr>
                <w:vertAlign w:val="superscript"/>
              </w:rPr>
            </w:pPr>
            <w:r>
              <w:rPr>
                <w:rFonts w:cs="Arial"/>
                <w:color w:val="000000"/>
                <w:szCs w:val="20"/>
                <w:vertAlign w:val="superscript"/>
              </w:rPr>
              <w:t>4</w:t>
            </w: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212838E3" w14:textId="678832AD" w:rsidR="007533E5" w:rsidRDefault="00BB742C" w:rsidP="00C74104">
            <w:pPr>
              <w:pStyle w:val="TableText0"/>
              <w:keepLines/>
              <w:contextualSpacing/>
              <w:jc w:val="center"/>
              <w:rPr>
                <w:rFonts w:cs="Arial"/>
                <w:color w:val="000000"/>
                <w:szCs w:val="20"/>
              </w:rPr>
            </w:pPr>
            <w:r w:rsidRPr="00497260">
              <w:rPr>
                <w:rFonts w:cs="Arial"/>
                <w:color w:val="000000"/>
                <w:szCs w:val="20"/>
              </w:rPr>
              <w:t>$</w:t>
            </w:r>
            <w:r w:rsidR="00165A53">
              <w:rPr>
                <w:rFonts w:cs="Arial"/>
                <w:color w:val="000000"/>
                <w:spacing w:val="50"/>
                <w:szCs w:val="20"/>
                <w:shd w:val="solid" w:color="000000" w:fill="000000"/>
                <w:fitText w:val="324" w:id="-628426485"/>
                <w14:textFill>
                  <w14:solidFill>
                    <w14:srgbClr w14:val="000000">
                      <w14:alpha w14:val="100000"/>
                    </w14:srgbClr>
                  </w14:solidFill>
                </w14:textFill>
              </w:rPr>
              <w:t>|||</w:t>
            </w:r>
            <w:r w:rsidR="00165A53">
              <w:rPr>
                <w:rFonts w:cs="Arial"/>
                <w:color w:val="000000"/>
                <w:spacing w:val="2"/>
                <w:szCs w:val="20"/>
                <w:shd w:val="solid" w:color="000000" w:fill="000000"/>
                <w:fitText w:val="324" w:id="-628426485"/>
                <w14:textFill>
                  <w14:solidFill>
                    <w14:srgbClr w14:val="000000">
                      <w14:alpha w14:val="100000"/>
                    </w14:srgbClr>
                  </w14:solidFill>
                </w14:textFill>
              </w:rPr>
              <w:t>|</w:t>
            </w:r>
          </w:p>
          <w:p w14:paraId="0707F9FC" w14:textId="01BBEAB8" w:rsidR="00BB742C" w:rsidRPr="007533E5" w:rsidRDefault="007533E5" w:rsidP="00C74104">
            <w:pPr>
              <w:pStyle w:val="TableText0"/>
              <w:keepLines/>
              <w:contextualSpacing/>
              <w:jc w:val="center"/>
              <w:rPr>
                <w:vertAlign w:val="superscript"/>
              </w:rPr>
            </w:pPr>
            <w:r>
              <w:rPr>
                <w:rFonts w:cs="Arial"/>
                <w:color w:val="000000"/>
                <w:szCs w:val="20"/>
                <w:vertAlign w:val="superscript"/>
              </w:rPr>
              <w:t>4</w:t>
            </w:r>
          </w:p>
        </w:tc>
      </w:tr>
      <w:tr w:rsidR="00BB742C" w:rsidRPr="00497260" w14:paraId="0809D67A" w14:textId="77777777" w:rsidTr="00BB742C">
        <w:tc>
          <w:tcPr>
            <w:tcW w:w="9017" w:type="dxa"/>
            <w:gridSpan w:val="7"/>
            <w:tcBorders>
              <w:top w:val="single" w:sz="4" w:space="0" w:color="auto"/>
              <w:bottom w:val="single" w:sz="4" w:space="0" w:color="auto"/>
              <w:right w:val="single" w:sz="4" w:space="0" w:color="auto"/>
            </w:tcBorders>
            <w:tcMar>
              <w:left w:w="20" w:type="dxa"/>
              <w:right w:w="20" w:type="dxa"/>
            </w:tcMar>
            <w:vAlign w:val="center"/>
          </w:tcPr>
          <w:p w14:paraId="6FFAEAAD" w14:textId="77777777" w:rsidR="00BB742C" w:rsidRPr="00497260" w:rsidRDefault="00BB742C" w:rsidP="00C74104">
            <w:pPr>
              <w:pStyle w:val="TableText0"/>
              <w:keepLines/>
              <w:contextualSpacing/>
              <w:rPr>
                <w:b/>
                <w:bCs w:val="0"/>
                <w:color w:val="000000"/>
                <w:szCs w:val="20"/>
              </w:rPr>
            </w:pPr>
            <w:r w:rsidRPr="00497260">
              <w:rPr>
                <w:b/>
                <w:bCs w:val="0"/>
              </w:rPr>
              <w:t>Estimation of changes in use and financial impact of other medicines (PBS and RPBS)</w:t>
            </w:r>
          </w:p>
        </w:tc>
      </w:tr>
      <w:tr w:rsidR="00BB742C" w:rsidRPr="00497260" w14:paraId="3157EFA7"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7C75C1E3" w14:textId="77777777" w:rsidR="00BB742C" w:rsidRPr="00B510A0" w:rsidRDefault="00BB742C" w:rsidP="00C74104">
            <w:pPr>
              <w:pStyle w:val="TableText0"/>
              <w:keepLines/>
              <w:contextualSpacing/>
              <w:rPr>
                <w:vertAlign w:val="superscript"/>
                <w:lang w:val="de-DE"/>
              </w:rPr>
            </w:pPr>
            <w:r w:rsidRPr="00B510A0">
              <w:rPr>
                <w:lang w:val="de-DE"/>
              </w:rPr>
              <w:t xml:space="preserve">2L PEM+LEN scripts (pMMR) </w:t>
            </w:r>
            <w:r w:rsidRPr="00B510A0">
              <w:rPr>
                <w:vertAlign w:val="superscript"/>
                <w:lang w:val="de-DE"/>
              </w:rPr>
              <w:t>e, f</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4C9C0AD0" w14:textId="60A33BE8" w:rsidR="00BB742C" w:rsidRPr="00C52B19" w:rsidRDefault="00165A53" w:rsidP="00C74104">
            <w:pPr>
              <w:pStyle w:val="TableText0"/>
              <w:keepLines/>
              <w:contextualSpacing/>
              <w:jc w:val="center"/>
              <w:rPr>
                <w:color w:val="000000" w:themeColor="text1"/>
                <w:szCs w:val="20"/>
                <w:highlight w:val="darkGray"/>
                <w:vertAlign w:val="superscript"/>
              </w:rPr>
            </w:pPr>
            <w:r w:rsidRPr="00165A53">
              <w:rPr>
                <w:color w:val="000000" w:themeColor="text1"/>
                <w:spacing w:val="51"/>
                <w:shd w:val="solid" w:color="000000" w:fill="000000"/>
                <w:fitText w:val="324" w:id="-628426484"/>
                <w14:textFill>
                  <w14:solidFill>
                    <w14:schemeClr w14:val="tx1">
                      <w14:alpha w14:val="100000"/>
                    </w14:schemeClr>
                  </w14:solidFill>
                </w14:textFill>
              </w:rPr>
              <w:t>|||</w:t>
            </w:r>
            <w:r w:rsidRPr="00165A53">
              <w:rPr>
                <w:color w:val="000000" w:themeColor="text1"/>
                <w:spacing w:val="1"/>
                <w:shd w:val="solid" w:color="000000" w:fill="000000"/>
                <w:fitText w:val="324" w:id="-628426484"/>
                <w14:textFill>
                  <w14:solidFill>
                    <w14:schemeClr w14:val="tx1">
                      <w14:alpha w14:val="100000"/>
                    </w14:schemeClr>
                  </w14:solidFill>
                </w14:textFill>
              </w:rPr>
              <w:t>|</w:t>
            </w:r>
            <w:r w:rsidR="00C52B19" w:rsidRPr="00C52B19">
              <w:rPr>
                <w:color w:val="000000" w:themeColor="text1"/>
                <w:vertAlign w:val="superscript"/>
              </w:rPr>
              <w:t>5</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957B664" w14:textId="0C40BC8C" w:rsidR="00BB742C" w:rsidRPr="007D4486" w:rsidRDefault="00165A53" w:rsidP="00C74104">
            <w:pPr>
              <w:pStyle w:val="TableText0"/>
              <w:keepLines/>
              <w:contextualSpacing/>
              <w:jc w:val="center"/>
              <w:rPr>
                <w:color w:val="000000" w:themeColor="text1"/>
                <w:szCs w:val="20"/>
                <w:highlight w:val="darkGray"/>
              </w:rPr>
            </w:pPr>
            <w:r w:rsidRPr="00165A53">
              <w:rPr>
                <w:color w:val="000000" w:themeColor="text1"/>
                <w:spacing w:val="51"/>
                <w:shd w:val="solid" w:color="000000" w:fill="000000"/>
                <w:fitText w:val="324" w:id="-628426483"/>
                <w14:textFill>
                  <w14:solidFill>
                    <w14:schemeClr w14:val="tx1">
                      <w14:alpha w14:val="100000"/>
                    </w14:schemeClr>
                  </w14:solidFill>
                </w14:textFill>
              </w:rPr>
              <w:t>|||</w:t>
            </w:r>
            <w:r w:rsidRPr="00165A53">
              <w:rPr>
                <w:color w:val="000000" w:themeColor="text1"/>
                <w:spacing w:val="1"/>
                <w:shd w:val="solid" w:color="000000" w:fill="000000"/>
                <w:fitText w:val="324" w:id="-628426483"/>
                <w14:textFill>
                  <w14:solidFill>
                    <w14:schemeClr w14:val="tx1">
                      <w14:alpha w14:val="100000"/>
                    </w14:schemeClr>
                  </w14:solidFill>
                </w14:textFill>
              </w:rPr>
              <w:t>|</w:t>
            </w:r>
            <w:r w:rsidR="00797608" w:rsidRPr="00C52B19">
              <w:rPr>
                <w:color w:val="000000" w:themeColor="text1"/>
                <w:vertAlign w:val="superscript"/>
              </w:rPr>
              <w:t>5</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4FCD239" w14:textId="2492B6DE" w:rsidR="00BB742C" w:rsidRPr="007D4486" w:rsidRDefault="00165A53" w:rsidP="00C74104">
            <w:pPr>
              <w:pStyle w:val="TableText0"/>
              <w:keepLines/>
              <w:contextualSpacing/>
              <w:jc w:val="center"/>
              <w:rPr>
                <w:color w:val="000000" w:themeColor="text1"/>
                <w:szCs w:val="20"/>
                <w:highlight w:val="darkGray"/>
              </w:rPr>
            </w:pPr>
            <w:r w:rsidRPr="00165A53">
              <w:rPr>
                <w:color w:val="000000" w:themeColor="text1"/>
                <w:spacing w:val="51"/>
                <w:shd w:val="solid" w:color="000000" w:fill="000000"/>
                <w:fitText w:val="324" w:id="-628426482"/>
                <w14:textFill>
                  <w14:solidFill>
                    <w14:schemeClr w14:val="tx1">
                      <w14:alpha w14:val="100000"/>
                    </w14:schemeClr>
                  </w14:solidFill>
                </w14:textFill>
              </w:rPr>
              <w:t>|||</w:t>
            </w:r>
            <w:r w:rsidRPr="00165A53">
              <w:rPr>
                <w:color w:val="000000" w:themeColor="text1"/>
                <w:spacing w:val="1"/>
                <w:shd w:val="solid" w:color="000000" w:fill="000000"/>
                <w:fitText w:val="324" w:id="-628426482"/>
                <w14:textFill>
                  <w14:solidFill>
                    <w14:schemeClr w14:val="tx1">
                      <w14:alpha w14:val="100000"/>
                    </w14:schemeClr>
                  </w14:solidFill>
                </w14:textFill>
              </w:rPr>
              <w:t>|</w:t>
            </w:r>
            <w:r w:rsidR="00797608" w:rsidRPr="00C52B19">
              <w:rPr>
                <w:color w:val="000000" w:themeColor="text1"/>
                <w:vertAlign w:val="superscript"/>
              </w:rPr>
              <w:t>5</w:t>
            </w:r>
            <w:r w:rsidRPr="00165A53">
              <w:rPr>
                <w:color w:val="000000" w:themeColor="text1"/>
                <w:spacing w:val="51"/>
                <w:shd w:val="solid" w:color="000000" w:fill="000000"/>
                <w:fitText w:val="324" w:id="-628426481"/>
                <w14:textFill>
                  <w14:solidFill>
                    <w14:schemeClr w14:val="tx1">
                      <w14:alpha w14:val="100000"/>
                    </w14:schemeClr>
                  </w14:solidFill>
                </w14:textFill>
              </w:rPr>
              <w:t>|||</w:t>
            </w:r>
            <w:r w:rsidRPr="00165A53">
              <w:rPr>
                <w:color w:val="000000" w:themeColor="text1"/>
                <w:spacing w:val="1"/>
                <w:shd w:val="solid" w:color="000000" w:fill="000000"/>
                <w:fitText w:val="324" w:id="-628426481"/>
                <w14:textFill>
                  <w14:solidFill>
                    <w14:schemeClr w14:val="tx1">
                      <w14:alpha w14:val="100000"/>
                    </w14:scheme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219C1E2" w14:textId="310AD643" w:rsidR="00BB742C" w:rsidRPr="007D4486" w:rsidRDefault="00165A53" w:rsidP="00C74104">
            <w:pPr>
              <w:pStyle w:val="TableText0"/>
              <w:keepLines/>
              <w:contextualSpacing/>
              <w:jc w:val="center"/>
              <w:rPr>
                <w:color w:val="000000" w:themeColor="text1"/>
                <w:szCs w:val="20"/>
                <w:highlight w:val="darkGray"/>
              </w:rPr>
            </w:pPr>
            <w:r w:rsidRPr="00165A53">
              <w:rPr>
                <w:color w:val="000000" w:themeColor="text1"/>
                <w:spacing w:val="51"/>
                <w:shd w:val="solid" w:color="000000" w:fill="000000"/>
                <w:fitText w:val="324" w:id="-628426480"/>
                <w14:textFill>
                  <w14:solidFill>
                    <w14:schemeClr w14:val="tx1">
                      <w14:alpha w14:val="100000"/>
                    </w14:schemeClr>
                  </w14:solidFill>
                </w14:textFill>
              </w:rPr>
              <w:t>|||</w:t>
            </w:r>
            <w:r w:rsidRPr="00165A53">
              <w:rPr>
                <w:color w:val="000000" w:themeColor="text1"/>
                <w:spacing w:val="1"/>
                <w:shd w:val="solid" w:color="000000" w:fill="000000"/>
                <w:fitText w:val="324" w:id="-628426480"/>
                <w14:textFill>
                  <w14:solidFill>
                    <w14:schemeClr w14:val="tx1">
                      <w14:alpha w14:val="100000"/>
                    </w14:schemeClr>
                  </w14:solidFill>
                </w14:textFill>
              </w:rPr>
              <w:t>|</w:t>
            </w:r>
            <w:r w:rsidR="00797608" w:rsidRPr="00C52B19">
              <w:rPr>
                <w:color w:val="000000" w:themeColor="text1"/>
                <w:vertAlign w:val="superscript"/>
              </w:rPr>
              <w:t>5</w:t>
            </w:r>
            <w:r w:rsidRPr="00165A53">
              <w:rPr>
                <w:color w:val="000000" w:themeColor="text1"/>
                <w:spacing w:val="51"/>
                <w:shd w:val="solid" w:color="000000" w:fill="000000"/>
                <w:fitText w:val="324" w:id="-628426496"/>
                <w14:textFill>
                  <w14:solidFill>
                    <w14:schemeClr w14:val="tx1">
                      <w14:alpha w14:val="100000"/>
                    </w14:schemeClr>
                  </w14:solidFill>
                </w14:textFill>
              </w:rPr>
              <w:t>|||</w:t>
            </w:r>
            <w:r w:rsidRPr="00165A53">
              <w:rPr>
                <w:color w:val="000000" w:themeColor="text1"/>
                <w:spacing w:val="1"/>
                <w:shd w:val="solid" w:color="000000" w:fill="000000"/>
                <w:fitText w:val="324" w:id="-628426496"/>
                <w14:textFill>
                  <w14:solidFill>
                    <w14:schemeClr w14:val="tx1">
                      <w14:alpha w14:val="100000"/>
                    </w14:schemeClr>
                  </w14:solidFill>
                </w14:textFill>
              </w:rPr>
              <w:t>|</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12FA12B" w14:textId="560968E6" w:rsidR="00BB742C" w:rsidRPr="007D4486" w:rsidRDefault="00165A53" w:rsidP="00C74104">
            <w:pPr>
              <w:pStyle w:val="TableText0"/>
              <w:keepLines/>
              <w:contextualSpacing/>
              <w:jc w:val="center"/>
              <w:rPr>
                <w:color w:val="000000" w:themeColor="text1"/>
                <w:szCs w:val="20"/>
                <w:highlight w:val="darkGray"/>
              </w:rPr>
            </w:pPr>
            <w:r w:rsidRPr="00165A53">
              <w:rPr>
                <w:color w:val="000000" w:themeColor="text1"/>
                <w:spacing w:val="51"/>
                <w:shd w:val="solid" w:color="000000" w:fill="000000"/>
                <w:fitText w:val="324" w:id="-628426495"/>
                <w14:textFill>
                  <w14:solidFill>
                    <w14:schemeClr w14:val="tx1">
                      <w14:alpha w14:val="100000"/>
                    </w14:schemeClr>
                  </w14:solidFill>
                </w14:textFill>
              </w:rPr>
              <w:t>|||</w:t>
            </w:r>
            <w:r w:rsidRPr="00165A53">
              <w:rPr>
                <w:color w:val="000000" w:themeColor="text1"/>
                <w:spacing w:val="1"/>
                <w:shd w:val="solid" w:color="000000" w:fill="000000"/>
                <w:fitText w:val="324" w:id="-628426495"/>
                <w14:textFill>
                  <w14:solidFill>
                    <w14:schemeClr w14:val="tx1">
                      <w14:alpha w14:val="100000"/>
                    </w14:schemeClr>
                  </w14:solidFill>
                </w14:textFill>
              </w:rPr>
              <w:t>|</w:t>
            </w:r>
            <w:r w:rsidR="00797608" w:rsidRPr="00C52B19">
              <w:rPr>
                <w:color w:val="000000" w:themeColor="text1"/>
                <w:vertAlign w:val="superscript"/>
              </w:rPr>
              <w:t>5</w:t>
            </w:r>
            <w:r w:rsidRPr="00165A53">
              <w:rPr>
                <w:color w:val="000000" w:themeColor="text1"/>
                <w:spacing w:val="51"/>
                <w:shd w:val="solid" w:color="000000" w:fill="000000"/>
                <w:fitText w:val="324" w:id="-628426494"/>
                <w14:textFill>
                  <w14:solidFill>
                    <w14:schemeClr w14:val="tx1">
                      <w14:alpha w14:val="100000"/>
                    </w14:schemeClr>
                  </w14:solidFill>
                </w14:textFill>
              </w:rPr>
              <w:t>|||</w:t>
            </w:r>
            <w:r w:rsidRPr="00165A53">
              <w:rPr>
                <w:color w:val="000000" w:themeColor="text1"/>
                <w:spacing w:val="1"/>
                <w:shd w:val="solid" w:color="000000" w:fill="000000"/>
                <w:fitText w:val="324" w:id="-628426494"/>
                <w14:textFill>
                  <w14:solidFill>
                    <w14:schemeClr w14:val="tx1">
                      <w14:alpha w14:val="100000"/>
                    </w14:schemeClr>
                  </w14:solidFill>
                </w14:textFill>
              </w:rPr>
              <w:t>|</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B46AC98" w14:textId="79E3E36F" w:rsidR="00BB742C" w:rsidRPr="007D4486" w:rsidRDefault="00165A53" w:rsidP="00C74104">
            <w:pPr>
              <w:pStyle w:val="TableText0"/>
              <w:keepLines/>
              <w:contextualSpacing/>
              <w:jc w:val="center"/>
              <w:rPr>
                <w:color w:val="000000" w:themeColor="text1"/>
                <w:szCs w:val="20"/>
                <w:highlight w:val="darkGray"/>
              </w:rPr>
            </w:pPr>
            <w:r w:rsidRPr="00165A53">
              <w:rPr>
                <w:color w:val="000000" w:themeColor="text1"/>
                <w:spacing w:val="51"/>
                <w:shd w:val="solid" w:color="000000" w:fill="000000"/>
                <w:fitText w:val="324" w:id="-628426493"/>
                <w14:textFill>
                  <w14:solidFill>
                    <w14:schemeClr w14:val="tx1">
                      <w14:alpha w14:val="100000"/>
                    </w14:schemeClr>
                  </w14:solidFill>
                </w14:textFill>
              </w:rPr>
              <w:t>|||</w:t>
            </w:r>
            <w:r w:rsidRPr="00165A53">
              <w:rPr>
                <w:color w:val="000000" w:themeColor="text1"/>
                <w:spacing w:val="1"/>
                <w:shd w:val="solid" w:color="000000" w:fill="000000"/>
                <w:fitText w:val="324" w:id="-628426493"/>
                <w14:textFill>
                  <w14:solidFill>
                    <w14:schemeClr w14:val="tx1">
                      <w14:alpha w14:val="100000"/>
                    </w14:schemeClr>
                  </w14:solidFill>
                </w14:textFill>
              </w:rPr>
              <w:t>|</w:t>
            </w:r>
            <w:r w:rsidR="00797608" w:rsidRPr="00C52B19">
              <w:rPr>
                <w:color w:val="000000" w:themeColor="text1"/>
                <w:vertAlign w:val="superscript"/>
              </w:rPr>
              <w:t>5</w:t>
            </w:r>
            <w:r w:rsidRPr="00165A53">
              <w:rPr>
                <w:color w:val="000000" w:themeColor="text1"/>
                <w:spacing w:val="51"/>
                <w:shd w:val="solid" w:color="000000" w:fill="000000"/>
                <w:fitText w:val="324" w:id="-628426492"/>
                <w14:textFill>
                  <w14:solidFill>
                    <w14:schemeClr w14:val="tx1">
                      <w14:alpha w14:val="100000"/>
                    </w14:schemeClr>
                  </w14:solidFill>
                </w14:textFill>
              </w:rPr>
              <w:t>|||</w:t>
            </w:r>
            <w:r w:rsidRPr="00165A53">
              <w:rPr>
                <w:color w:val="000000" w:themeColor="text1"/>
                <w:spacing w:val="1"/>
                <w:shd w:val="solid" w:color="000000" w:fill="000000"/>
                <w:fitText w:val="324" w:id="-628426492"/>
                <w14:textFill>
                  <w14:solidFill>
                    <w14:schemeClr w14:val="tx1">
                      <w14:alpha w14:val="100000"/>
                    </w14:schemeClr>
                  </w14:solidFill>
                </w14:textFill>
              </w:rPr>
              <w:t>|</w:t>
            </w:r>
          </w:p>
        </w:tc>
      </w:tr>
      <w:tr w:rsidR="00BB742C" w:rsidRPr="00497260" w14:paraId="11950994" w14:textId="77777777" w:rsidTr="00BB742C">
        <w:tc>
          <w:tcPr>
            <w:tcW w:w="2651" w:type="dxa"/>
            <w:tcBorders>
              <w:top w:val="single" w:sz="4" w:space="0" w:color="auto"/>
              <w:bottom w:val="single" w:sz="4" w:space="0" w:color="auto"/>
              <w:right w:val="nil"/>
            </w:tcBorders>
            <w:tcMar>
              <w:left w:w="20" w:type="dxa"/>
              <w:right w:w="20" w:type="dxa"/>
            </w:tcMar>
            <w:vAlign w:val="center"/>
          </w:tcPr>
          <w:p w14:paraId="1591A87F" w14:textId="77777777" w:rsidR="00BB742C" w:rsidRPr="00497260" w:rsidRDefault="00BB742C" w:rsidP="00C74104">
            <w:pPr>
              <w:pStyle w:val="TableText0"/>
              <w:keepLines/>
              <w:contextualSpacing/>
            </w:pPr>
            <w:r w:rsidRPr="00497260">
              <w:t>PBS/RPBS cost less co-pay</w:t>
            </w:r>
          </w:p>
        </w:tc>
        <w:tc>
          <w:tcPr>
            <w:tcW w:w="1064" w:type="dxa"/>
            <w:tcBorders>
              <w:top w:val="single" w:sz="4" w:space="0" w:color="auto"/>
              <w:left w:val="nil"/>
              <w:bottom w:val="single" w:sz="4" w:space="0" w:color="auto"/>
              <w:right w:val="nil"/>
            </w:tcBorders>
            <w:tcMar>
              <w:left w:w="20" w:type="dxa"/>
              <w:right w:w="20" w:type="dxa"/>
            </w:tcMar>
            <w:vAlign w:val="bottom"/>
          </w:tcPr>
          <w:p w14:paraId="0FF9C6EA" w14:textId="77777777" w:rsidR="00BB742C" w:rsidRPr="00497260" w:rsidRDefault="00BB742C" w:rsidP="00C74104">
            <w:pPr>
              <w:pStyle w:val="TableText0"/>
              <w:keepLines/>
              <w:contextualSpacing/>
              <w:jc w:val="center"/>
              <w:rPr>
                <w:color w:val="000000"/>
                <w:szCs w:val="20"/>
              </w:rPr>
            </w:pPr>
          </w:p>
        </w:tc>
        <w:tc>
          <w:tcPr>
            <w:tcW w:w="1064" w:type="dxa"/>
            <w:tcBorders>
              <w:top w:val="single" w:sz="4" w:space="0" w:color="auto"/>
              <w:left w:val="nil"/>
              <w:bottom w:val="single" w:sz="4" w:space="0" w:color="auto"/>
              <w:right w:val="nil"/>
            </w:tcBorders>
            <w:tcMar>
              <w:left w:w="20" w:type="dxa"/>
              <w:right w:w="20" w:type="dxa"/>
            </w:tcMar>
            <w:vAlign w:val="bottom"/>
          </w:tcPr>
          <w:p w14:paraId="7C50AA03" w14:textId="77777777" w:rsidR="00BB742C" w:rsidRPr="00497260" w:rsidRDefault="00BB742C" w:rsidP="00C74104">
            <w:pPr>
              <w:pStyle w:val="TableText0"/>
              <w:keepLines/>
              <w:contextualSpacing/>
              <w:jc w:val="center"/>
              <w:rPr>
                <w:color w:val="000000"/>
                <w:szCs w:val="20"/>
              </w:rPr>
            </w:pPr>
          </w:p>
        </w:tc>
        <w:tc>
          <w:tcPr>
            <w:tcW w:w="1064" w:type="dxa"/>
            <w:tcBorders>
              <w:top w:val="single" w:sz="4" w:space="0" w:color="auto"/>
              <w:left w:val="nil"/>
              <w:bottom w:val="single" w:sz="4" w:space="0" w:color="auto"/>
              <w:right w:val="nil"/>
            </w:tcBorders>
            <w:tcMar>
              <w:left w:w="20" w:type="dxa"/>
              <w:right w:w="20" w:type="dxa"/>
            </w:tcMar>
            <w:vAlign w:val="bottom"/>
          </w:tcPr>
          <w:p w14:paraId="3D973F55" w14:textId="77777777" w:rsidR="00BB742C" w:rsidRPr="00497260" w:rsidRDefault="00BB742C" w:rsidP="00C74104">
            <w:pPr>
              <w:pStyle w:val="TableText0"/>
              <w:keepLines/>
              <w:contextualSpacing/>
              <w:jc w:val="center"/>
              <w:rPr>
                <w:color w:val="000000"/>
                <w:szCs w:val="20"/>
              </w:rPr>
            </w:pPr>
          </w:p>
        </w:tc>
        <w:tc>
          <w:tcPr>
            <w:tcW w:w="1064" w:type="dxa"/>
            <w:tcBorders>
              <w:top w:val="single" w:sz="4" w:space="0" w:color="auto"/>
              <w:left w:val="nil"/>
              <w:bottom w:val="single" w:sz="4" w:space="0" w:color="auto"/>
              <w:right w:val="nil"/>
            </w:tcBorders>
            <w:tcMar>
              <w:left w:w="20" w:type="dxa"/>
              <w:right w:w="20" w:type="dxa"/>
            </w:tcMar>
            <w:vAlign w:val="bottom"/>
          </w:tcPr>
          <w:p w14:paraId="6E657EA9" w14:textId="77777777" w:rsidR="00BB742C" w:rsidRPr="00497260" w:rsidRDefault="00BB742C" w:rsidP="00C74104">
            <w:pPr>
              <w:pStyle w:val="TableText0"/>
              <w:keepLines/>
              <w:contextualSpacing/>
              <w:jc w:val="center"/>
              <w:rPr>
                <w:color w:val="000000"/>
                <w:szCs w:val="20"/>
              </w:rPr>
            </w:pPr>
          </w:p>
        </w:tc>
        <w:tc>
          <w:tcPr>
            <w:tcW w:w="1064" w:type="dxa"/>
            <w:tcBorders>
              <w:top w:val="single" w:sz="4" w:space="0" w:color="auto"/>
              <w:left w:val="nil"/>
              <w:bottom w:val="single" w:sz="4" w:space="0" w:color="auto"/>
              <w:right w:val="nil"/>
            </w:tcBorders>
            <w:tcMar>
              <w:left w:w="20" w:type="dxa"/>
              <w:right w:w="20" w:type="dxa"/>
            </w:tcMar>
            <w:vAlign w:val="bottom"/>
          </w:tcPr>
          <w:p w14:paraId="46B910FB" w14:textId="77777777" w:rsidR="00BB742C" w:rsidRPr="00497260" w:rsidRDefault="00BB742C" w:rsidP="00C74104">
            <w:pPr>
              <w:pStyle w:val="TableText0"/>
              <w:keepLines/>
              <w:contextualSpacing/>
              <w:jc w:val="center"/>
              <w:rPr>
                <w:color w:val="000000"/>
                <w:szCs w:val="20"/>
              </w:rPr>
            </w:pPr>
          </w:p>
        </w:tc>
        <w:tc>
          <w:tcPr>
            <w:tcW w:w="1046" w:type="dxa"/>
            <w:tcBorders>
              <w:top w:val="single" w:sz="4" w:space="0" w:color="auto"/>
              <w:left w:val="nil"/>
              <w:bottom w:val="single" w:sz="4" w:space="0" w:color="auto"/>
              <w:right w:val="single" w:sz="4" w:space="0" w:color="auto"/>
            </w:tcBorders>
            <w:tcMar>
              <w:left w:w="20" w:type="dxa"/>
              <w:right w:w="20" w:type="dxa"/>
            </w:tcMar>
            <w:vAlign w:val="bottom"/>
          </w:tcPr>
          <w:p w14:paraId="44CD4320" w14:textId="77777777" w:rsidR="00BB742C" w:rsidRPr="00497260" w:rsidRDefault="00BB742C" w:rsidP="00C74104">
            <w:pPr>
              <w:pStyle w:val="TableText0"/>
              <w:keepLines/>
              <w:contextualSpacing/>
              <w:jc w:val="center"/>
              <w:rPr>
                <w:color w:val="000000"/>
                <w:szCs w:val="20"/>
              </w:rPr>
            </w:pPr>
          </w:p>
        </w:tc>
      </w:tr>
      <w:tr w:rsidR="00BB742C" w:rsidRPr="00497260" w14:paraId="0E3AAA4B"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1D9D3C46" w14:textId="77777777" w:rsidR="00BB742C" w:rsidRPr="00497260" w:rsidRDefault="00BB742C" w:rsidP="00C74104">
            <w:pPr>
              <w:pStyle w:val="TableText0"/>
              <w:keepLines/>
              <w:contextualSpacing/>
            </w:pPr>
            <w:r w:rsidRPr="00497260">
              <w:t>2L PEM+LEN (pMMR)</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AF9E4C7" w14:textId="1B5A8FE0" w:rsidR="00945416" w:rsidRDefault="00BB742C" w:rsidP="00C74104">
            <w:pPr>
              <w:pStyle w:val="TableText0"/>
              <w:keepLines/>
              <w:contextualSpacing/>
              <w:jc w:val="center"/>
              <w:rPr>
                <w:color w:val="000000" w:themeColor="text1"/>
              </w:rPr>
            </w:pPr>
            <w:r w:rsidRPr="00497260">
              <w:rPr>
                <w:color w:val="000000" w:themeColor="text1"/>
              </w:rPr>
              <w:t>-$</w:t>
            </w:r>
            <w:r w:rsidR="00165A53">
              <w:rPr>
                <w:color w:val="000000" w:themeColor="text1"/>
                <w:spacing w:val="50"/>
                <w:shd w:val="solid" w:color="000000" w:fill="000000"/>
                <w:fitText w:val="324" w:id="-628426491"/>
                <w14:textFill>
                  <w14:solidFill>
                    <w14:schemeClr w14:val="tx1">
                      <w14:alpha w14:val="100000"/>
                    </w14:schemeClr>
                  </w14:solidFill>
                </w14:textFill>
              </w:rPr>
              <w:t>|||</w:t>
            </w:r>
            <w:r w:rsidR="00165A53">
              <w:rPr>
                <w:color w:val="000000" w:themeColor="text1"/>
                <w:spacing w:val="2"/>
                <w:shd w:val="solid" w:color="000000" w:fill="000000"/>
                <w:fitText w:val="324" w:id="-628426491"/>
                <w14:textFill>
                  <w14:solidFill>
                    <w14:schemeClr w14:val="tx1">
                      <w14:alpha w14:val="100000"/>
                    </w14:schemeClr>
                  </w14:solidFill>
                </w14:textFill>
              </w:rPr>
              <w:t>|</w:t>
            </w:r>
          </w:p>
          <w:p w14:paraId="341E042D" w14:textId="199E5A46" w:rsidR="00BB742C" w:rsidRPr="00945416" w:rsidRDefault="00945416" w:rsidP="00C74104">
            <w:pPr>
              <w:pStyle w:val="TableText0"/>
              <w:keepLines/>
              <w:contextualSpacing/>
              <w:jc w:val="center"/>
              <w:rPr>
                <w:color w:val="000000" w:themeColor="text1"/>
                <w:szCs w:val="20"/>
                <w:vertAlign w:val="superscript"/>
              </w:rPr>
            </w:pPr>
            <w:r>
              <w:rPr>
                <w:color w:val="000000" w:themeColor="text1"/>
                <w:vertAlign w:val="superscript"/>
              </w:rPr>
              <w:t>6</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34FF232" w14:textId="14AD1063" w:rsidR="00DC1811" w:rsidRDefault="00BB742C" w:rsidP="00C74104">
            <w:pPr>
              <w:pStyle w:val="TableText0"/>
              <w:keepLines/>
              <w:contextualSpacing/>
              <w:jc w:val="center"/>
              <w:rPr>
                <w:color w:val="000000" w:themeColor="text1"/>
              </w:rPr>
            </w:pPr>
            <w:r w:rsidRPr="00497260">
              <w:rPr>
                <w:color w:val="000000" w:themeColor="text1"/>
              </w:rPr>
              <w:t>-$</w:t>
            </w:r>
            <w:r w:rsidR="00165A53">
              <w:rPr>
                <w:color w:val="000000" w:themeColor="text1"/>
                <w:spacing w:val="50"/>
                <w:shd w:val="solid" w:color="000000" w:fill="000000"/>
                <w:fitText w:val="324" w:id="-628426490"/>
                <w14:textFill>
                  <w14:solidFill>
                    <w14:schemeClr w14:val="tx1">
                      <w14:alpha w14:val="100000"/>
                    </w14:schemeClr>
                  </w14:solidFill>
                </w14:textFill>
              </w:rPr>
              <w:t>|||</w:t>
            </w:r>
            <w:r w:rsidR="00165A53">
              <w:rPr>
                <w:color w:val="000000" w:themeColor="text1"/>
                <w:spacing w:val="2"/>
                <w:shd w:val="solid" w:color="000000" w:fill="000000"/>
                <w:fitText w:val="324" w:id="-628426490"/>
                <w14:textFill>
                  <w14:solidFill>
                    <w14:schemeClr w14:val="tx1">
                      <w14:alpha w14:val="100000"/>
                    </w14:schemeClr>
                  </w14:solidFill>
                </w14:textFill>
              </w:rPr>
              <w:t>|</w:t>
            </w:r>
          </w:p>
          <w:p w14:paraId="7E92F568" w14:textId="08843773" w:rsidR="00BB742C" w:rsidRPr="00DC1811" w:rsidRDefault="00DC1811" w:rsidP="00C74104">
            <w:pPr>
              <w:pStyle w:val="TableText0"/>
              <w:keepLines/>
              <w:contextualSpacing/>
              <w:jc w:val="center"/>
              <w:rPr>
                <w:color w:val="000000" w:themeColor="text1"/>
                <w:szCs w:val="20"/>
                <w:vertAlign w:val="superscript"/>
              </w:rPr>
            </w:pPr>
            <w:r>
              <w:rPr>
                <w:color w:val="000000" w:themeColor="text1"/>
                <w:vertAlign w:val="superscript"/>
              </w:rPr>
              <w:t>7</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C1A6D96" w14:textId="791D5999" w:rsidR="00DC1811" w:rsidRDefault="00BB742C" w:rsidP="00C74104">
            <w:pPr>
              <w:pStyle w:val="TableText0"/>
              <w:keepLines/>
              <w:contextualSpacing/>
              <w:jc w:val="center"/>
              <w:rPr>
                <w:color w:val="000000" w:themeColor="text1"/>
              </w:rPr>
            </w:pPr>
            <w:r w:rsidRPr="00497260">
              <w:rPr>
                <w:color w:val="000000" w:themeColor="text1"/>
              </w:rPr>
              <w:t>-$</w:t>
            </w:r>
            <w:r w:rsidR="00165A53">
              <w:rPr>
                <w:color w:val="000000" w:themeColor="text1"/>
                <w:spacing w:val="50"/>
                <w:shd w:val="solid" w:color="000000" w:fill="000000"/>
                <w:fitText w:val="324" w:id="-628426489"/>
                <w14:textFill>
                  <w14:solidFill>
                    <w14:schemeClr w14:val="tx1">
                      <w14:alpha w14:val="100000"/>
                    </w14:schemeClr>
                  </w14:solidFill>
                </w14:textFill>
              </w:rPr>
              <w:t>|||</w:t>
            </w:r>
            <w:r w:rsidR="00165A53">
              <w:rPr>
                <w:color w:val="000000" w:themeColor="text1"/>
                <w:spacing w:val="2"/>
                <w:shd w:val="solid" w:color="000000" w:fill="000000"/>
                <w:fitText w:val="324" w:id="-628426489"/>
                <w14:textFill>
                  <w14:solidFill>
                    <w14:schemeClr w14:val="tx1">
                      <w14:alpha w14:val="100000"/>
                    </w14:schemeClr>
                  </w14:solidFill>
                </w14:textFill>
              </w:rPr>
              <w:t>|</w:t>
            </w:r>
          </w:p>
          <w:p w14:paraId="66DD866C" w14:textId="74AAEB86" w:rsidR="00BB742C" w:rsidRPr="00DC1811" w:rsidRDefault="00DC1811" w:rsidP="00C74104">
            <w:pPr>
              <w:pStyle w:val="TableText0"/>
              <w:keepLines/>
              <w:contextualSpacing/>
              <w:jc w:val="center"/>
              <w:rPr>
                <w:color w:val="000000" w:themeColor="text1"/>
                <w:szCs w:val="20"/>
                <w:vertAlign w:val="superscript"/>
              </w:rPr>
            </w:pPr>
            <w:r>
              <w:rPr>
                <w:color w:val="000000" w:themeColor="text1"/>
                <w:vertAlign w:val="superscript"/>
              </w:rPr>
              <w:t>7</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9E9C6DB" w14:textId="4BA92ABC" w:rsidR="00DC1811" w:rsidRDefault="00BB742C" w:rsidP="00C74104">
            <w:pPr>
              <w:pStyle w:val="TableText0"/>
              <w:keepLines/>
              <w:contextualSpacing/>
              <w:jc w:val="center"/>
              <w:rPr>
                <w:color w:val="000000" w:themeColor="text1"/>
              </w:rPr>
            </w:pPr>
            <w:r w:rsidRPr="00497260">
              <w:rPr>
                <w:color w:val="000000" w:themeColor="text1"/>
              </w:rPr>
              <w:t>-$</w:t>
            </w:r>
            <w:r w:rsidR="00165A53">
              <w:rPr>
                <w:color w:val="000000" w:themeColor="text1"/>
                <w:spacing w:val="50"/>
                <w:shd w:val="solid" w:color="000000" w:fill="000000"/>
                <w:fitText w:val="324" w:id="-628426488"/>
                <w14:textFill>
                  <w14:solidFill>
                    <w14:schemeClr w14:val="tx1">
                      <w14:alpha w14:val="100000"/>
                    </w14:schemeClr>
                  </w14:solidFill>
                </w14:textFill>
              </w:rPr>
              <w:t>|||</w:t>
            </w:r>
            <w:r w:rsidR="00165A53">
              <w:rPr>
                <w:color w:val="000000" w:themeColor="text1"/>
                <w:spacing w:val="2"/>
                <w:shd w:val="solid" w:color="000000" w:fill="000000"/>
                <w:fitText w:val="324" w:id="-628426488"/>
                <w14:textFill>
                  <w14:solidFill>
                    <w14:schemeClr w14:val="tx1">
                      <w14:alpha w14:val="100000"/>
                    </w14:schemeClr>
                  </w14:solidFill>
                </w14:textFill>
              </w:rPr>
              <w:t>|</w:t>
            </w:r>
          </w:p>
          <w:p w14:paraId="5B7ACFF3" w14:textId="625C4C58" w:rsidR="00BB742C" w:rsidRPr="00DC1811" w:rsidRDefault="00DC1811" w:rsidP="00C74104">
            <w:pPr>
              <w:pStyle w:val="TableText0"/>
              <w:keepLines/>
              <w:contextualSpacing/>
              <w:jc w:val="center"/>
              <w:rPr>
                <w:color w:val="000000" w:themeColor="text1"/>
                <w:szCs w:val="20"/>
                <w:vertAlign w:val="superscript"/>
              </w:rPr>
            </w:pPr>
            <w:r>
              <w:rPr>
                <w:color w:val="000000" w:themeColor="text1"/>
                <w:vertAlign w:val="superscript"/>
              </w:rPr>
              <w:t>7</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851B25D" w14:textId="562B8920" w:rsidR="00DC1811" w:rsidRDefault="00BB742C" w:rsidP="00C74104">
            <w:pPr>
              <w:pStyle w:val="TableText0"/>
              <w:keepLines/>
              <w:contextualSpacing/>
              <w:jc w:val="center"/>
              <w:rPr>
                <w:color w:val="000000" w:themeColor="text1"/>
              </w:rPr>
            </w:pPr>
            <w:r w:rsidRPr="00497260">
              <w:rPr>
                <w:color w:val="000000" w:themeColor="text1"/>
              </w:rPr>
              <w:t>-$</w:t>
            </w:r>
            <w:r w:rsidR="00165A53">
              <w:rPr>
                <w:color w:val="000000" w:themeColor="text1"/>
                <w:spacing w:val="50"/>
                <w:shd w:val="solid" w:color="000000" w:fill="000000"/>
                <w:fitText w:val="324" w:id="-628426487"/>
                <w14:textFill>
                  <w14:solidFill>
                    <w14:schemeClr w14:val="tx1">
                      <w14:alpha w14:val="100000"/>
                    </w14:schemeClr>
                  </w14:solidFill>
                </w14:textFill>
              </w:rPr>
              <w:t>|||</w:t>
            </w:r>
            <w:r w:rsidR="00165A53">
              <w:rPr>
                <w:color w:val="000000" w:themeColor="text1"/>
                <w:spacing w:val="2"/>
                <w:shd w:val="solid" w:color="000000" w:fill="000000"/>
                <w:fitText w:val="324" w:id="-628426487"/>
                <w14:textFill>
                  <w14:solidFill>
                    <w14:schemeClr w14:val="tx1">
                      <w14:alpha w14:val="100000"/>
                    </w14:schemeClr>
                  </w14:solidFill>
                </w14:textFill>
              </w:rPr>
              <w:t>|</w:t>
            </w:r>
          </w:p>
          <w:p w14:paraId="11887AA4" w14:textId="6730058C" w:rsidR="00BB742C" w:rsidRPr="00DC1811" w:rsidRDefault="00DC1811" w:rsidP="00C74104">
            <w:pPr>
              <w:pStyle w:val="TableText0"/>
              <w:keepLines/>
              <w:contextualSpacing/>
              <w:jc w:val="center"/>
              <w:rPr>
                <w:color w:val="000000" w:themeColor="text1"/>
                <w:szCs w:val="20"/>
                <w:vertAlign w:val="superscript"/>
              </w:rPr>
            </w:pPr>
            <w:r>
              <w:rPr>
                <w:color w:val="000000" w:themeColor="text1"/>
                <w:vertAlign w:val="superscript"/>
              </w:rPr>
              <w:t>7</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638DB9F" w14:textId="32A94C2F" w:rsidR="00945416" w:rsidRDefault="00BB742C" w:rsidP="00C74104">
            <w:pPr>
              <w:pStyle w:val="TableText0"/>
              <w:keepLines/>
              <w:contextualSpacing/>
              <w:jc w:val="center"/>
              <w:rPr>
                <w:color w:val="000000" w:themeColor="text1"/>
              </w:rPr>
            </w:pPr>
            <w:r w:rsidRPr="00497260">
              <w:rPr>
                <w:color w:val="000000" w:themeColor="text1"/>
              </w:rPr>
              <w:t>-$</w:t>
            </w:r>
            <w:r w:rsidR="00165A53">
              <w:rPr>
                <w:color w:val="000000" w:themeColor="text1"/>
                <w:spacing w:val="50"/>
                <w:shd w:val="solid" w:color="000000" w:fill="000000"/>
                <w:fitText w:val="324" w:id="-628426486"/>
                <w14:textFill>
                  <w14:solidFill>
                    <w14:schemeClr w14:val="tx1">
                      <w14:alpha w14:val="100000"/>
                    </w14:schemeClr>
                  </w14:solidFill>
                </w14:textFill>
              </w:rPr>
              <w:t>|||</w:t>
            </w:r>
            <w:r w:rsidR="00165A53">
              <w:rPr>
                <w:color w:val="000000" w:themeColor="text1"/>
                <w:spacing w:val="2"/>
                <w:shd w:val="solid" w:color="000000" w:fill="000000"/>
                <w:fitText w:val="324" w:id="-628426486"/>
                <w14:textFill>
                  <w14:solidFill>
                    <w14:schemeClr w14:val="tx1">
                      <w14:alpha w14:val="100000"/>
                    </w14:schemeClr>
                  </w14:solidFill>
                </w14:textFill>
              </w:rPr>
              <w:t>|</w:t>
            </w:r>
          </w:p>
          <w:p w14:paraId="3BD5A57E" w14:textId="14D04D79" w:rsidR="00BB742C" w:rsidRPr="00945416" w:rsidRDefault="00945416" w:rsidP="00C74104">
            <w:pPr>
              <w:pStyle w:val="TableText0"/>
              <w:keepLines/>
              <w:contextualSpacing/>
              <w:jc w:val="center"/>
              <w:rPr>
                <w:color w:val="000000" w:themeColor="text1"/>
                <w:szCs w:val="20"/>
                <w:vertAlign w:val="superscript"/>
              </w:rPr>
            </w:pPr>
            <w:r>
              <w:rPr>
                <w:color w:val="000000" w:themeColor="text1"/>
                <w:vertAlign w:val="superscript"/>
              </w:rPr>
              <w:t>6</w:t>
            </w:r>
          </w:p>
        </w:tc>
      </w:tr>
      <w:tr w:rsidR="00BB742C" w:rsidRPr="00497260" w14:paraId="52F22A88" w14:textId="77777777" w:rsidTr="00BB742C">
        <w:tc>
          <w:tcPr>
            <w:tcW w:w="9017" w:type="dxa"/>
            <w:gridSpan w:val="7"/>
            <w:tcBorders>
              <w:top w:val="single" w:sz="4" w:space="0" w:color="auto"/>
              <w:bottom w:val="single" w:sz="4" w:space="0" w:color="auto"/>
              <w:right w:val="single" w:sz="4" w:space="0" w:color="auto"/>
            </w:tcBorders>
            <w:tcMar>
              <w:left w:w="20" w:type="dxa"/>
              <w:right w:w="20" w:type="dxa"/>
            </w:tcMar>
            <w:vAlign w:val="center"/>
          </w:tcPr>
          <w:p w14:paraId="7BA3B8B6" w14:textId="77777777" w:rsidR="00BB742C" w:rsidRPr="00497260" w:rsidRDefault="00BB742C" w:rsidP="00C74104">
            <w:pPr>
              <w:pStyle w:val="TableText0"/>
              <w:keepLines/>
              <w:contextualSpacing/>
              <w:rPr>
                <w:b/>
                <w:bCs w:val="0"/>
                <w:color w:val="000000" w:themeColor="text1"/>
              </w:rPr>
            </w:pPr>
            <w:r w:rsidRPr="00497260">
              <w:rPr>
                <w:b/>
                <w:bCs w:val="0"/>
              </w:rPr>
              <w:t>Estimated financial implications for the PBS/RPBS</w:t>
            </w:r>
          </w:p>
        </w:tc>
      </w:tr>
      <w:tr w:rsidR="00BB742C" w:rsidRPr="00497260" w14:paraId="5985B49D"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430ACFCD" w14:textId="77777777" w:rsidR="00BB742C" w:rsidRPr="00497260" w:rsidRDefault="00BB742C" w:rsidP="00C74104">
            <w:pPr>
              <w:pStyle w:val="TableText0"/>
              <w:keepLines/>
              <w:contextualSpacing/>
            </w:pPr>
            <w:r w:rsidRPr="00497260">
              <w:t>Net cost to PBS/RPBS (pMMR)</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10D2D580" w14:textId="2FAE3561" w:rsidR="00BB742C" w:rsidRPr="008458D4" w:rsidRDefault="00BB742C" w:rsidP="00C74104">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85"/>
                <w14:textFill>
                  <w14:solidFill>
                    <w14:srgbClr w14:val="000000">
                      <w14:alpha w14:val="100000"/>
                    </w14:srgbClr>
                  </w14:solidFill>
                </w14:textFill>
              </w:rPr>
              <w:t>|||</w:t>
            </w:r>
            <w:r w:rsidR="00165A53">
              <w:rPr>
                <w:color w:val="000000"/>
                <w:spacing w:val="2"/>
                <w:shd w:val="solid" w:color="000000" w:fill="000000"/>
                <w:fitText w:val="324" w:id="-628426485"/>
                <w14:textFill>
                  <w14:solidFill>
                    <w14:srgbClr w14:val="000000">
                      <w14:alpha w14:val="100000"/>
                    </w14:srgbClr>
                  </w14:solidFill>
                </w14:textFill>
              </w:rPr>
              <w:t>|</w:t>
            </w:r>
            <w:r w:rsidR="008458D4">
              <w:rPr>
                <w:vertAlign w:val="superscript"/>
              </w:rPr>
              <w:t>8</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35543CE" w14:textId="76F27444" w:rsidR="00BB742C" w:rsidRPr="00D14231" w:rsidRDefault="00BB742C" w:rsidP="00C74104">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84"/>
                <w14:textFill>
                  <w14:solidFill>
                    <w14:srgbClr w14:val="000000">
                      <w14:alpha w14:val="100000"/>
                    </w14:srgbClr>
                  </w14:solidFill>
                </w14:textFill>
              </w:rPr>
              <w:t>|||</w:t>
            </w:r>
            <w:r w:rsidR="00165A53">
              <w:rPr>
                <w:color w:val="000000"/>
                <w:spacing w:val="2"/>
                <w:shd w:val="solid" w:color="000000" w:fill="000000"/>
                <w:fitText w:val="324" w:id="-628426484"/>
                <w14:textFill>
                  <w14:solidFill>
                    <w14:srgbClr w14:val="000000">
                      <w14:alpha w14:val="100000"/>
                    </w14:srgbClr>
                  </w14:solidFill>
                </w14:textFill>
              </w:rPr>
              <w:t>|</w:t>
            </w:r>
            <w:r w:rsidR="00D14231">
              <w:rPr>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916E111" w14:textId="1C7198E3" w:rsidR="00BB742C" w:rsidRPr="00D14231" w:rsidRDefault="00BB742C" w:rsidP="00C74104">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83"/>
                <w14:textFill>
                  <w14:solidFill>
                    <w14:srgbClr w14:val="000000">
                      <w14:alpha w14:val="100000"/>
                    </w14:srgbClr>
                  </w14:solidFill>
                </w14:textFill>
              </w:rPr>
              <w:t>|||</w:t>
            </w:r>
            <w:r w:rsidR="00165A53">
              <w:rPr>
                <w:color w:val="000000"/>
                <w:spacing w:val="2"/>
                <w:shd w:val="solid" w:color="000000" w:fill="000000"/>
                <w:fitText w:val="324" w:id="-628426483"/>
                <w14:textFill>
                  <w14:solidFill>
                    <w14:srgbClr w14:val="000000">
                      <w14:alpha w14:val="100000"/>
                    </w14:srgbClr>
                  </w14:solidFill>
                </w14:textFill>
              </w:rPr>
              <w:t>|</w:t>
            </w:r>
            <w:r w:rsidR="00D14231">
              <w:rPr>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DC541F6" w14:textId="6455210A" w:rsidR="00BB742C" w:rsidRPr="00D14231" w:rsidRDefault="00BB742C" w:rsidP="00C74104">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82"/>
                <w14:textFill>
                  <w14:solidFill>
                    <w14:srgbClr w14:val="000000">
                      <w14:alpha w14:val="100000"/>
                    </w14:srgbClr>
                  </w14:solidFill>
                </w14:textFill>
              </w:rPr>
              <w:t>|||</w:t>
            </w:r>
            <w:r w:rsidR="00165A53">
              <w:rPr>
                <w:color w:val="000000"/>
                <w:spacing w:val="2"/>
                <w:shd w:val="solid" w:color="000000" w:fill="000000"/>
                <w:fitText w:val="324" w:id="-628426482"/>
                <w14:textFill>
                  <w14:solidFill>
                    <w14:srgbClr w14:val="000000">
                      <w14:alpha w14:val="100000"/>
                    </w14:srgbClr>
                  </w14:solidFill>
                </w14:textFill>
              </w:rPr>
              <w:t>|</w:t>
            </w:r>
            <w:r w:rsidR="00D14231">
              <w:rPr>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38063CB" w14:textId="0B4F03D2" w:rsidR="00BB742C" w:rsidRPr="00D14231" w:rsidRDefault="00BB742C" w:rsidP="00C74104">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81"/>
                <w14:textFill>
                  <w14:solidFill>
                    <w14:srgbClr w14:val="000000">
                      <w14:alpha w14:val="100000"/>
                    </w14:srgbClr>
                  </w14:solidFill>
                </w14:textFill>
              </w:rPr>
              <w:t>|||</w:t>
            </w:r>
            <w:r w:rsidR="00165A53">
              <w:rPr>
                <w:color w:val="000000"/>
                <w:spacing w:val="2"/>
                <w:shd w:val="solid" w:color="000000" w:fill="000000"/>
                <w:fitText w:val="324" w:id="-628426481"/>
                <w14:textFill>
                  <w14:solidFill>
                    <w14:srgbClr w14:val="000000">
                      <w14:alpha w14:val="100000"/>
                    </w14:srgbClr>
                  </w14:solidFill>
                </w14:textFill>
              </w:rPr>
              <w:t>|</w:t>
            </w:r>
            <w:r w:rsidR="00D14231">
              <w:rPr>
                <w:vertAlign w:val="superscript"/>
              </w:rPr>
              <w:t>9</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F812C1A" w14:textId="5EB725B7" w:rsidR="00BB742C" w:rsidRPr="00D14231" w:rsidRDefault="00BB742C" w:rsidP="00C74104">
            <w:pPr>
              <w:pStyle w:val="TableText0"/>
              <w:keepLines/>
              <w:contextualSpacing/>
              <w:jc w:val="center"/>
              <w:rPr>
                <w:color w:val="000000" w:themeColor="text1"/>
                <w:vertAlign w:val="superscript"/>
              </w:rPr>
            </w:pPr>
            <w:r w:rsidRPr="00497260">
              <w:t>$</w:t>
            </w:r>
            <w:r w:rsidR="00165A53">
              <w:rPr>
                <w:color w:val="000000"/>
                <w:spacing w:val="50"/>
                <w:shd w:val="solid" w:color="000000" w:fill="000000"/>
                <w:fitText w:val="324" w:id="-628426480"/>
                <w14:textFill>
                  <w14:solidFill>
                    <w14:srgbClr w14:val="000000">
                      <w14:alpha w14:val="100000"/>
                    </w14:srgbClr>
                  </w14:solidFill>
                </w14:textFill>
              </w:rPr>
              <w:t>|||</w:t>
            </w:r>
            <w:r w:rsidR="00165A53">
              <w:rPr>
                <w:color w:val="000000"/>
                <w:spacing w:val="2"/>
                <w:shd w:val="solid" w:color="000000" w:fill="000000"/>
                <w:fitText w:val="324" w:id="-628426480"/>
                <w14:textFill>
                  <w14:solidFill>
                    <w14:srgbClr w14:val="000000">
                      <w14:alpha w14:val="100000"/>
                    </w14:srgbClr>
                  </w14:solidFill>
                </w14:textFill>
              </w:rPr>
              <w:t>|</w:t>
            </w:r>
            <w:r w:rsidR="00D14231">
              <w:rPr>
                <w:vertAlign w:val="superscript"/>
              </w:rPr>
              <w:t>9</w:t>
            </w:r>
          </w:p>
        </w:tc>
      </w:tr>
      <w:tr w:rsidR="00BB742C" w:rsidRPr="00497260" w14:paraId="06BB3AAB" w14:textId="77777777" w:rsidTr="00BB742C">
        <w:tc>
          <w:tcPr>
            <w:tcW w:w="9017" w:type="dxa"/>
            <w:gridSpan w:val="7"/>
            <w:tcBorders>
              <w:top w:val="single" w:sz="4" w:space="0" w:color="auto"/>
              <w:bottom w:val="single" w:sz="4" w:space="0" w:color="auto"/>
              <w:right w:val="single" w:sz="4" w:space="0" w:color="auto"/>
            </w:tcBorders>
            <w:tcMar>
              <w:left w:w="20" w:type="dxa"/>
              <w:right w:w="20" w:type="dxa"/>
            </w:tcMar>
            <w:vAlign w:val="center"/>
          </w:tcPr>
          <w:p w14:paraId="46C1753B" w14:textId="77777777" w:rsidR="00BB742C" w:rsidRPr="00497260" w:rsidRDefault="00BB742C" w:rsidP="00C74104">
            <w:pPr>
              <w:pStyle w:val="TableText0"/>
              <w:keepLines/>
              <w:contextualSpacing/>
              <w:rPr>
                <w:b/>
                <w:bCs w:val="0"/>
                <w:color w:val="000000" w:themeColor="text1"/>
              </w:rPr>
            </w:pPr>
            <w:r w:rsidRPr="00497260">
              <w:rPr>
                <w:b/>
                <w:bCs w:val="0"/>
                <w:color w:val="000000" w:themeColor="text1"/>
              </w:rPr>
              <w:t>Estimated financial implications for the health budget</w:t>
            </w:r>
          </w:p>
        </w:tc>
      </w:tr>
      <w:tr w:rsidR="00BB742C" w:rsidRPr="00497260" w14:paraId="708A6236"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410AE61A" w14:textId="77777777" w:rsidR="00BB742C" w:rsidRPr="00497260" w:rsidRDefault="00BB742C" w:rsidP="00C74104">
            <w:pPr>
              <w:pStyle w:val="TableText0"/>
              <w:keepLines/>
              <w:contextualSpacing/>
              <w:rPr>
                <w:vertAlign w:val="superscript"/>
              </w:rPr>
            </w:pPr>
            <w:r w:rsidRPr="00497260">
              <w:t xml:space="preserve">Net MBS costs (pMMR) </w:t>
            </w:r>
            <w:r w:rsidRPr="00497260">
              <w:rPr>
                <w:vertAlign w:val="superscript"/>
              </w:rPr>
              <w:t>g</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A2A4C3C" w14:textId="7723BDF5" w:rsidR="00BB742C" w:rsidRPr="00D14231" w:rsidRDefault="00BB742C" w:rsidP="00C74104">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4"/>
                <w:szCs w:val="20"/>
                <w:shd w:val="solid" w:color="000000" w:fill="000000"/>
                <w:fitText w:val="336" w:id="-628426496"/>
                <w14:textFill>
                  <w14:solidFill>
                    <w14:srgbClr w14:val="000000">
                      <w14:alpha w14:val="100000"/>
                    </w14:srgbClr>
                  </w14:solidFill>
                </w14:textFill>
              </w:rPr>
              <w:t>|||</w:t>
            </w:r>
            <w:r w:rsidR="00165A53">
              <w:rPr>
                <w:rFonts w:cs="Arial"/>
                <w:color w:val="000000"/>
                <w:spacing w:val="2"/>
                <w:szCs w:val="20"/>
                <w:shd w:val="solid" w:color="000000" w:fill="000000"/>
                <w:fitText w:val="336" w:id="-628426496"/>
                <w14:textFill>
                  <w14:solidFill>
                    <w14:srgbClr w14:val="000000">
                      <w14:alpha w14:val="100000"/>
                    </w14:srgbClr>
                  </w14:solidFill>
                </w14:textFill>
              </w:rPr>
              <w:t>|</w:t>
            </w:r>
            <w:r w:rsidR="00D14231">
              <w:rPr>
                <w:rFonts w:cs="Arial"/>
                <w:color w:val="000000"/>
                <w:szCs w:val="20"/>
                <w:vertAlign w:val="superscript"/>
              </w:rPr>
              <w:t>10</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23BB7D01" w14:textId="5B860CC1" w:rsidR="00BB742C" w:rsidRPr="00D14231" w:rsidRDefault="00BB742C" w:rsidP="00C74104">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4"/>
                <w:szCs w:val="20"/>
                <w:shd w:val="solid" w:color="000000" w:fill="000000"/>
                <w:fitText w:val="336" w:id="-628426495"/>
                <w14:textFill>
                  <w14:solidFill>
                    <w14:srgbClr w14:val="000000">
                      <w14:alpha w14:val="100000"/>
                    </w14:srgbClr>
                  </w14:solidFill>
                </w14:textFill>
              </w:rPr>
              <w:t>|||</w:t>
            </w:r>
            <w:r w:rsidR="00165A53">
              <w:rPr>
                <w:rFonts w:cs="Arial"/>
                <w:color w:val="000000"/>
                <w:spacing w:val="2"/>
                <w:szCs w:val="20"/>
                <w:shd w:val="solid" w:color="000000" w:fill="000000"/>
                <w:fitText w:val="336" w:id="-628426495"/>
                <w14:textFill>
                  <w14:solidFill>
                    <w14:srgbClr w14:val="000000">
                      <w14:alpha w14:val="100000"/>
                    </w14:srgbClr>
                  </w14:solidFill>
                </w14:textFill>
              </w:rPr>
              <w:t>|</w:t>
            </w:r>
            <w:r w:rsidR="00D14231">
              <w:rPr>
                <w:rFonts w:cs="Arial"/>
                <w:color w:val="000000"/>
                <w:szCs w:val="20"/>
                <w:vertAlign w:val="superscript"/>
              </w:rPr>
              <w:t>10</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6AB755B8" w14:textId="2F2DA1E7" w:rsidR="00BB742C" w:rsidRPr="00D14231" w:rsidRDefault="00BB742C" w:rsidP="00C74104">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4"/>
                <w:szCs w:val="20"/>
                <w:shd w:val="solid" w:color="000000" w:fill="000000"/>
                <w:fitText w:val="336" w:id="-628426494"/>
                <w14:textFill>
                  <w14:solidFill>
                    <w14:srgbClr w14:val="000000">
                      <w14:alpha w14:val="100000"/>
                    </w14:srgbClr>
                  </w14:solidFill>
                </w14:textFill>
              </w:rPr>
              <w:t>|||</w:t>
            </w:r>
            <w:r w:rsidR="00165A53">
              <w:rPr>
                <w:rFonts w:cs="Arial"/>
                <w:color w:val="000000"/>
                <w:spacing w:val="2"/>
                <w:szCs w:val="20"/>
                <w:shd w:val="solid" w:color="000000" w:fill="000000"/>
                <w:fitText w:val="336" w:id="-628426494"/>
                <w14:textFill>
                  <w14:solidFill>
                    <w14:srgbClr w14:val="000000">
                      <w14:alpha w14:val="100000"/>
                    </w14:srgbClr>
                  </w14:solidFill>
                </w14:textFill>
              </w:rPr>
              <w:t>|</w:t>
            </w:r>
            <w:r w:rsidR="00D14231">
              <w:rPr>
                <w:rFonts w:cs="Arial"/>
                <w:color w:val="000000"/>
                <w:szCs w:val="20"/>
                <w:vertAlign w:val="superscript"/>
              </w:rPr>
              <w:t>10</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16606331" w14:textId="3AF3D306" w:rsidR="00BB742C" w:rsidRPr="00D14231" w:rsidRDefault="00BB742C" w:rsidP="00C74104">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4"/>
                <w:szCs w:val="20"/>
                <w:shd w:val="solid" w:color="000000" w:fill="000000"/>
                <w:fitText w:val="336" w:id="-628426493"/>
                <w14:textFill>
                  <w14:solidFill>
                    <w14:srgbClr w14:val="000000">
                      <w14:alpha w14:val="100000"/>
                    </w14:srgbClr>
                  </w14:solidFill>
                </w14:textFill>
              </w:rPr>
              <w:t>|||</w:t>
            </w:r>
            <w:r w:rsidR="00165A53">
              <w:rPr>
                <w:rFonts w:cs="Arial"/>
                <w:color w:val="000000"/>
                <w:spacing w:val="2"/>
                <w:szCs w:val="20"/>
                <w:shd w:val="solid" w:color="000000" w:fill="000000"/>
                <w:fitText w:val="336" w:id="-628426493"/>
                <w14:textFill>
                  <w14:solidFill>
                    <w14:srgbClr w14:val="000000">
                      <w14:alpha w14:val="100000"/>
                    </w14:srgbClr>
                  </w14:solidFill>
                </w14:textFill>
              </w:rPr>
              <w:t>|</w:t>
            </w:r>
            <w:r w:rsidR="00D14231">
              <w:rPr>
                <w:rFonts w:cs="Arial"/>
                <w:color w:val="000000"/>
                <w:szCs w:val="20"/>
                <w:vertAlign w:val="superscript"/>
              </w:rPr>
              <w:t>10</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0AC9FF22" w14:textId="68114A15" w:rsidR="00BB742C" w:rsidRPr="00D14231" w:rsidRDefault="00BB742C" w:rsidP="00C74104">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4"/>
                <w:szCs w:val="20"/>
                <w:shd w:val="solid" w:color="000000" w:fill="000000"/>
                <w:fitText w:val="336" w:id="-628426492"/>
                <w14:textFill>
                  <w14:solidFill>
                    <w14:srgbClr w14:val="000000">
                      <w14:alpha w14:val="100000"/>
                    </w14:srgbClr>
                  </w14:solidFill>
                </w14:textFill>
              </w:rPr>
              <w:t>|||</w:t>
            </w:r>
            <w:r w:rsidR="00165A53">
              <w:rPr>
                <w:rFonts w:cs="Arial"/>
                <w:color w:val="000000"/>
                <w:spacing w:val="2"/>
                <w:szCs w:val="20"/>
                <w:shd w:val="solid" w:color="000000" w:fill="000000"/>
                <w:fitText w:val="336" w:id="-628426492"/>
                <w14:textFill>
                  <w14:solidFill>
                    <w14:srgbClr w14:val="000000">
                      <w14:alpha w14:val="100000"/>
                    </w14:srgbClr>
                  </w14:solidFill>
                </w14:textFill>
              </w:rPr>
              <w:t>|</w:t>
            </w:r>
            <w:r w:rsidR="00D14231">
              <w:rPr>
                <w:rFonts w:cs="Arial"/>
                <w:color w:val="000000"/>
                <w:szCs w:val="20"/>
                <w:vertAlign w:val="superscript"/>
              </w:rPr>
              <w:t>10</w:t>
            </w:r>
          </w:p>
        </w:tc>
        <w:tc>
          <w:tcPr>
            <w:tcW w:w="1046" w:type="dxa"/>
            <w:tcBorders>
              <w:top w:val="single" w:sz="4" w:space="0" w:color="auto"/>
              <w:left w:val="nil"/>
              <w:bottom w:val="single" w:sz="4" w:space="0" w:color="auto"/>
              <w:right w:val="single" w:sz="4" w:space="0" w:color="auto"/>
            </w:tcBorders>
            <w:tcMar>
              <w:left w:w="20" w:type="dxa"/>
              <w:right w:w="20" w:type="dxa"/>
            </w:tcMar>
            <w:vAlign w:val="center"/>
          </w:tcPr>
          <w:p w14:paraId="024D74E7" w14:textId="2BFD68D0" w:rsidR="00BB742C" w:rsidRPr="00D14231" w:rsidRDefault="00BB742C" w:rsidP="00C74104">
            <w:pPr>
              <w:pStyle w:val="TableText0"/>
              <w:keepLines/>
              <w:contextualSpacing/>
              <w:jc w:val="center"/>
              <w:rPr>
                <w:rFonts w:cs="Calibri"/>
                <w:color w:val="000000"/>
                <w:szCs w:val="20"/>
                <w:vertAlign w:val="superscript"/>
              </w:rPr>
            </w:pPr>
            <w:r w:rsidRPr="00497260">
              <w:rPr>
                <w:rFonts w:cs="Arial"/>
                <w:color w:val="000000"/>
                <w:szCs w:val="20"/>
              </w:rPr>
              <w:t>$</w:t>
            </w:r>
            <w:r w:rsidR="00165A53">
              <w:rPr>
                <w:rFonts w:cs="Arial"/>
                <w:color w:val="000000"/>
                <w:spacing w:val="50"/>
                <w:szCs w:val="20"/>
                <w:shd w:val="solid" w:color="000000" w:fill="000000"/>
                <w:fitText w:val="324" w:id="-628426491"/>
                <w14:textFill>
                  <w14:solidFill>
                    <w14:srgbClr w14:val="000000">
                      <w14:alpha w14:val="100000"/>
                    </w14:srgbClr>
                  </w14:solidFill>
                </w14:textFill>
              </w:rPr>
              <w:t>|||</w:t>
            </w:r>
            <w:r w:rsidR="00165A53">
              <w:rPr>
                <w:rFonts w:cs="Arial"/>
                <w:color w:val="000000"/>
                <w:spacing w:val="2"/>
                <w:szCs w:val="20"/>
                <w:shd w:val="solid" w:color="000000" w:fill="000000"/>
                <w:fitText w:val="324" w:id="-628426491"/>
                <w14:textFill>
                  <w14:solidFill>
                    <w14:srgbClr w14:val="000000">
                      <w14:alpha w14:val="100000"/>
                    </w14:srgbClr>
                  </w14:solidFill>
                </w14:textFill>
              </w:rPr>
              <w:t>|</w:t>
            </w:r>
            <w:r w:rsidR="00D14231">
              <w:rPr>
                <w:rFonts w:cs="Arial"/>
                <w:color w:val="000000"/>
                <w:szCs w:val="20"/>
                <w:vertAlign w:val="superscript"/>
              </w:rPr>
              <w:t>10</w:t>
            </w:r>
          </w:p>
        </w:tc>
      </w:tr>
      <w:tr w:rsidR="00BB742C" w:rsidRPr="00497260" w14:paraId="76F642AF" w14:textId="77777777" w:rsidTr="00BB742C">
        <w:tc>
          <w:tcPr>
            <w:tcW w:w="2651" w:type="dxa"/>
            <w:tcBorders>
              <w:top w:val="single" w:sz="4" w:space="0" w:color="auto"/>
              <w:bottom w:val="single" w:sz="4" w:space="0" w:color="auto"/>
              <w:right w:val="single" w:sz="4" w:space="0" w:color="auto"/>
            </w:tcBorders>
            <w:tcMar>
              <w:left w:w="20" w:type="dxa"/>
              <w:right w:w="20" w:type="dxa"/>
            </w:tcMar>
            <w:vAlign w:val="center"/>
          </w:tcPr>
          <w:p w14:paraId="2A7376E7" w14:textId="77777777" w:rsidR="00BB742C" w:rsidRPr="00497260" w:rsidRDefault="00BB742C" w:rsidP="00C74104">
            <w:pPr>
              <w:pStyle w:val="TableText0"/>
              <w:keepLines/>
              <w:contextualSpacing/>
            </w:pPr>
            <w:r w:rsidRPr="00497260">
              <w:t>Net cost to PBS/RPBS/MBS</w:t>
            </w:r>
            <w:r w:rsidRPr="00497260" w:rsidDel="00CC07BF">
              <w:t xml:space="preserve"> </w:t>
            </w:r>
            <w:r w:rsidRPr="00497260">
              <w:t>(pMMR)</w:t>
            </w:r>
          </w:p>
        </w:tc>
        <w:tc>
          <w:tcPr>
            <w:tcW w:w="1064" w:type="dxa"/>
            <w:tcBorders>
              <w:top w:val="single" w:sz="4" w:space="0" w:color="auto"/>
              <w:left w:val="nil"/>
              <w:bottom w:val="single" w:sz="4" w:space="0" w:color="auto"/>
              <w:right w:val="single" w:sz="4" w:space="0" w:color="auto"/>
            </w:tcBorders>
            <w:tcMar>
              <w:left w:w="20" w:type="dxa"/>
              <w:right w:w="20" w:type="dxa"/>
            </w:tcMar>
            <w:vAlign w:val="center"/>
          </w:tcPr>
          <w:p w14:paraId="2AA5340A" w14:textId="4F8512BD" w:rsidR="00BB742C" w:rsidRPr="001E654F" w:rsidRDefault="00BB742C" w:rsidP="00C74104">
            <w:pPr>
              <w:pStyle w:val="TableText0"/>
              <w:keepLines/>
              <w:contextualSpacing/>
              <w:jc w:val="center"/>
              <w:rPr>
                <w:rFonts w:cs="Calibri"/>
                <w:color w:val="000000"/>
                <w:szCs w:val="20"/>
                <w:vertAlign w:val="superscript"/>
              </w:rPr>
            </w:pPr>
            <w:r w:rsidRPr="00497260">
              <w:rPr>
                <w:rFonts w:cs="Calibri"/>
                <w:color w:val="000000"/>
                <w:szCs w:val="20"/>
              </w:rPr>
              <w:t>$</w:t>
            </w:r>
            <w:r w:rsidR="00165A53">
              <w:rPr>
                <w:rFonts w:cs="Calibri"/>
                <w:color w:val="000000"/>
                <w:spacing w:val="50"/>
                <w:szCs w:val="20"/>
                <w:shd w:val="solid" w:color="000000" w:fill="000000"/>
                <w:fitText w:val="324" w:id="-628426490"/>
                <w14:textFill>
                  <w14:solidFill>
                    <w14:srgbClr w14:val="000000">
                      <w14:alpha w14:val="100000"/>
                    </w14:srgbClr>
                  </w14:solidFill>
                </w14:textFill>
              </w:rPr>
              <w:t>|||</w:t>
            </w:r>
            <w:r w:rsidR="00165A53">
              <w:rPr>
                <w:rFonts w:cs="Calibri"/>
                <w:color w:val="000000"/>
                <w:spacing w:val="2"/>
                <w:szCs w:val="20"/>
                <w:shd w:val="solid" w:color="000000" w:fill="000000"/>
                <w:fitText w:val="324" w:id="-628426490"/>
                <w14:textFill>
                  <w14:solidFill>
                    <w14:srgbClr w14:val="000000">
                      <w14:alpha w14:val="100000"/>
                    </w14:srgbClr>
                  </w14:solidFill>
                </w14:textFill>
              </w:rPr>
              <w:t>|</w:t>
            </w:r>
            <w:r w:rsidR="001E654F">
              <w:rPr>
                <w:rFonts w:cs="Calibri"/>
                <w:color w:val="000000"/>
                <w:szCs w:val="20"/>
                <w:vertAlign w:val="superscript"/>
              </w:rPr>
              <w:t>8</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ECA3F59" w14:textId="7B6C9D1E" w:rsidR="00BB742C" w:rsidRPr="00D14231" w:rsidRDefault="00BB742C" w:rsidP="00C74104">
            <w:pPr>
              <w:pStyle w:val="TableText0"/>
              <w:keepLines/>
              <w:contextualSpacing/>
              <w:jc w:val="center"/>
              <w:rPr>
                <w:rFonts w:cs="Calibri"/>
                <w:color w:val="000000"/>
                <w:szCs w:val="20"/>
                <w:vertAlign w:val="superscript"/>
              </w:rPr>
            </w:pPr>
            <w:r w:rsidRPr="00497260">
              <w:rPr>
                <w:rFonts w:cs="Calibri"/>
                <w:color w:val="000000"/>
                <w:szCs w:val="20"/>
              </w:rPr>
              <w:t>$</w:t>
            </w:r>
            <w:r w:rsidR="00165A53">
              <w:rPr>
                <w:rFonts w:cs="Calibri"/>
                <w:color w:val="000000"/>
                <w:spacing w:val="50"/>
                <w:szCs w:val="20"/>
                <w:shd w:val="solid" w:color="000000" w:fill="000000"/>
                <w:fitText w:val="324" w:id="-628426489"/>
                <w14:textFill>
                  <w14:solidFill>
                    <w14:srgbClr w14:val="000000">
                      <w14:alpha w14:val="100000"/>
                    </w14:srgbClr>
                  </w14:solidFill>
                </w14:textFill>
              </w:rPr>
              <w:t>|||</w:t>
            </w:r>
            <w:r w:rsidR="00165A53">
              <w:rPr>
                <w:rFonts w:cs="Calibri"/>
                <w:color w:val="000000"/>
                <w:spacing w:val="2"/>
                <w:szCs w:val="20"/>
                <w:shd w:val="solid" w:color="000000" w:fill="000000"/>
                <w:fitText w:val="324" w:id="-628426489"/>
                <w14:textFill>
                  <w14:solidFill>
                    <w14:srgbClr w14:val="000000">
                      <w14:alpha w14:val="100000"/>
                    </w14:srgbClr>
                  </w14:solidFill>
                </w14:textFill>
              </w:rPr>
              <w:t>|</w:t>
            </w:r>
            <w:r w:rsidR="00D14231">
              <w:rPr>
                <w:rFonts w:cs="Calibri"/>
                <w:color w:val="000000"/>
                <w:szCs w:val="20"/>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FECF965" w14:textId="5EC79EB0" w:rsidR="00BB742C" w:rsidRPr="00D14231" w:rsidRDefault="00BB742C" w:rsidP="00C74104">
            <w:pPr>
              <w:pStyle w:val="TableText0"/>
              <w:keepLines/>
              <w:contextualSpacing/>
              <w:jc w:val="center"/>
              <w:rPr>
                <w:rFonts w:cs="Calibri"/>
                <w:color w:val="000000"/>
                <w:szCs w:val="20"/>
                <w:vertAlign w:val="superscript"/>
              </w:rPr>
            </w:pPr>
            <w:r w:rsidRPr="00497260">
              <w:rPr>
                <w:rFonts w:cs="Calibri"/>
                <w:color w:val="000000"/>
                <w:szCs w:val="20"/>
              </w:rPr>
              <w:t>$</w:t>
            </w:r>
            <w:r w:rsidR="00165A53">
              <w:rPr>
                <w:rFonts w:cs="Calibri"/>
                <w:color w:val="000000"/>
                <w:spacing w:val="50"/>
                <w:szCs w:val="20"/>
                <w:shd w:val="solid" w:color="000000" w:fill="000000"/>
                <w:fitText w:val="324" w:id="-628426488"/>
                <w14:textFill>
                  <w14:solidFill>
                    <w14:srgbClr w14:val="000000">
                      <w14:alpha w14:val="100000"/>
                    </w14:srgbClr>
                  </w14:solidFill>
                </w14:textFill>
              </w:rPr>
              <w:t>|||</w:t>
            </w:r>
            <w:r w:rsidR="00165A53">
              <w:rPr>
                <w:rFonts w:cs="Calibri"/>
                <w:color w:val="000000"/>
                <w:spacing w:val="2"/>
                <w:szCs w:val="20"/>
                <w:shd w:val="solid" w:color="000000" w:fill="000000"/>
                <w:fitText w:val="324" w:id="-628426488"/>
                <w14:textFill>
                  <w14:solidFill>
                    <w14:srgbClr w14:val="000000">
                      <w14:alpha w14:val="100000"/>
                    </w14:srgbClr>
                  </w14:solidFill>
                </w14:textFill>
              </w:rPr>
              <w:t>|</w:t>
            </w:r>
            <w:r w:rsidR="00D14231">
              <w:rPr>
                <w:rFonts w:cs="Calibri"/>
                <w:color w:val="000000"/>
                <w:szCs w:val="20"/>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1287D25" w14:textId="5C4C8680" w:rsidR="00BB742C" w:rsidRPr="00D14231" w:rsidRDefault="00BB742C" w:rsidP="00C74104">
            <w:pPr>
              <w:pStyle w:val="TableText0"/>
              <w:keepLines/>
              <w:contextualSpacing/>
              <w:jc w:val="center"/>
              <w:rPr>
                <w:rFonts w:cs="Calibri"/>
                <w:color w:val="000000"/>
                <w:szCs w:val="20"/>
                <w:vertAlign w:val="superscript"/>
              </w:rPr>
            </w:pPr>
            <w:r w:rsidRPr="00497260">
              <w:rPr>
                <w:rFonts w:cs="Calibri"/>
                <w:color w:val="000000"/>
                <w:szCs w:val="20"/>
              </w:rPr>
              <w:t>$</w:t>
            </w:r>
            <w:r w:rsidR="00165A53">
              <w:rPr>
                <w:rFonts w:cs="Calibri"/>
                <w:color w:val="000000"/>
                <w:spacing w:val="50"/>
                <w:szCs w:val="20"/>
                <w:shd w:val="solid" w:color="000000" w:fill="000000"/>
                <w:fitText w:val="324" w:id="-628426487"/>
                <w14:textFill>
                  <w14:solidFill>
                    <w14:srgbClr w14:val="000000">
                      <w14:alpha w14:val="100000"/>
                    </w14:srgbClr>
                  </w14:solidFill>
                </w14:textFill>
              </w:rPr>
              <w:t>|||</w:t>
            </w:r>
            <w:r w:rsidR="00165A53">
              <w:rPr>
                <w:rFonts w:cs="Calibri"/>
                <w:color w:val="000000"/>
                <w:spacing w:val="2"/>
                <w:szCs w:val="20"/>
                <w:shd w:val="solid" w:color="000000" w:fill="000000"/>
                <w:fitText w:val="324" w:id="-628426487"/>
                <w14:textFill>
                  <w14:solidFill>
                    <w14:srgbClr w14:val="000000">
                      <w14:alpha w14:val="100000"/>
                    </w14:srgbClr>
                  </w14:solidFill>
                </w14:textFill>
              </w:rPr>
              <w:t>|</w:t>
            </w:r>
            <w:r w:rsidR="00D14231">
              <w:rPr>
                <w:rFonts w:cs="Calibri"/>
                <w:color w:val="000000"/>
                <w:szCs w:val="20"/>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955CC09" w14:textId="25E78BEA" w:rsidR="00BB742C" w:rsidRPr="00D14231" w:rsidRDefault="00BB742C" w:rsidP="00C74104">
            <w:pPr>
              <w:pStyle w:val="TableText0"/>
              <w:keepLines/>
              <w:contextualSpacing/>
              <w:jc w:val="center"/>
              <w:rPr>
                <w:rFonts w:cs="Calibri"/>
                <w:color w:val="000000"/>
                <w:szCs w:val="20"/>
                <w:vertAlign w:val="superscript"/>
              </w:rPr>
            </w:pPr>
            <w:r w:rsidRPr="00497260">
              <w:rPr>
                <w:rFonts w:cs="Calibri"/>
                <w:color w:val="000000"/>
                <w:szCs w:val="20"/>
              </w:rPr>
              <w:t>$</w:t>
            </w:r>
            <w:r w:rsidR="00165A53">
              <w:rPr>
                <w:rFonts w:cs="Calibri"/>
                <w:color w:val="000000"/>
                <w:spacing w:val="50"/>
                <w:szCs w:val="20"/>
                <w:shd w:val="solid" w:color="000000" w:fill="000000"/>
                <w:fitText w:val="324" w:id="-628426486"/>
                <w14:textFill>
                  <w14:solidFill>
                    <w14:srgbClr w14:val="000000">
                      <w14:alpha w14:val="100000"/>
                    </w14:srgbClr>
                  </w14:solidFill>
                </w14:textFill>
              </w:rPr>
              <w:t>|||</w:t>
            </w:r>
            <w:r w:rsidR="00165A53">
              <w:rPr>
                <w:rFonts w:cs="Calibri"/>
                <w:color w:val="000000"/>
                <w:spacing w:val="2"/>
                <w:szCs w:val="20"/>
                <w:shd w:val="solid" w:color="000000" w:fill="000000"/>
                <w:fitText w:val="324" w:id="-628426486"/>
                <w14:textFill>
                  <w14:solidFill>
                    <w14:srgbClr w14:val="000000">
                      <w14:alpha w14:val="100000"/>
                    </w14:srgbClr>
                  </w14:solidFill>
                </w14:textFill>
              </w:rPr>
              <w:t>|</w:t>
            </w:r>
            <w:r w:rsidR="00D14231">
              <w:rPr>
                <w:rFonts w:cs="Calibri"/>
                <w:color w:val="000000"/>
                <w:szCs w:val="20"/>
                <w:vertAlign w:val="superscript"/>
              </w:rPr>
              <w:t>9</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B8135B6" w14:textId="168346BE" w:rsidR="00BB742C" w:rsidRPr="00420317" w:rsidRDefault="00BB742C" w:rsidP="00C74104">
            <w:pPr>
              <w:pStyle w:val="TableText0"/>
              <w:keepLines/>
              <w:contextualSpacing/>
              <w:jc w:val="center"/>
              <w:rPr>
                <w:rFonts w:cs="Calibri"/>
                <w:color w:val="000000"/>
                <w:szCs w:val="20"/>
                <w:vertAlign w:val="superscript"/>
              </w:rPr>
            </w:pPr>
            <w:r w:rsidRPr="00497260">
              <w:rPr>
                <w:rFonts w:cs="Calibri"/>
                <w:color w:val="000000"/>
                <w:szCs w:val="20"/>
              </w:rPr>
              <w:t>$</w:t>
            </w:r>
            <w:r w:rsidR="00165A53">
              <w:rPr>
                <w:rFonts w:cs="Calibri"/>
                <w:color w:val="000000"/>
                <w:spacing w:val="50"/>
                <w:szCs w:val="20"/>
                <w:shd w:val="solid" w:color="000000" w:fill="000000"/>
                <w:fitText w:val="324" w:id="-628426485"/>
                <w14:textFill>
                  <w14:solidFill>
                    <w14:srgbClr w14:val="000000">
                      <w14:alpha w14:val="100000"/>
                    </w14:srgbClr>
                  </w14:solidFill>
                </w14:textFill>
              </w:rPr>
              <w:t>|||</w:t>
            </w:r>
            <w:r w:rsidR="00165A53">
              <w:rPr>
                <w:rFonts w:cs="Calibri"/>
                <w:color w:val="000000"/>
                <w:spacing w:val="2"/>
                <w:szCs w:val="20"/>
                <w:shd w:val="solid" w:color="000000" w:fill="000000"/>
                <w:fitText w:val="324" w:id="-628426485"/>
                <w14:textFill>
                  <w14:solidFill>
                    <w14:srgbClr w14:val="000000">
                      <w14:alpha w14:val="100000"/>
                    </w14:srgbClr>
                  </w14:solidFill>
                </w14:textFill>
              </w:rPr>
              <w:t>|</w:t>
            </w:r>
            <w:r w:rsidR="00420317">
              <w:rPr>
                <w:rFonts w:cs="Calibri"/>
                <w:color w:val="000000"/>
                <w:szCs w:val="20"/>
                <w:vertAlign w:val="superscript"/>
              </w:rPr>
              <w:t>3</w:t>
            </w:r>
          </w:p>
        </w:tc>
      </w:tr>
      <w:tr w:rsidR="000E28CB" w:rsidRPr="00497260" w14:paraId="0776282F" w14:textId="77777777" w:rsidTr="001E26DD">
        <w:tc>
          <w:tcPr>
            <w:tcW w:w="9017" w:type="dxa"/>
            <w:gridSpan w:val="7"/>
            <w:tcBorders>
              <w:top w:val="single" w:sz="4" w:space="0" w:color="auto"/>
              <w:bottom w:val="single" w:sz="4" w:space="0" w:color="auto"/>
              <w:right w:val="single" w:sz="4" w:space="0" w:color="auto"/>
            </w:tcBorders>
            <w:tcMar>
              <w:left w:w="20" w:type="dxa"/>
              <w:right w:w="20" w:type="dxa"/>
            </w:tcMar>
            <w:vAlign w:val="center"/>
          </w:tcPr>
          <w:p w14:paraId="659E5D82" w14:textId="484FBEC3" w:rsidR="000E28CB" w:rsidRPr="00497260" w:rsidRDefault="000E28CB" w:rsidP="000E28CB">
            <w:pPr>
              <w:pStyle w:val="TableText0"/>
              <w:keepLines/>
              <w:contextualSpacing/>
              <w:rPr>
                <w:rFonts w:cs="Calibri"/>
                <w:b/>
                <w:bCs w:val="0"/>
                <w:color w:val="000000"/>
                <w:szCs w:val="20"/>
              </w:rPr>
            </w:pPr>
            <w:r w:rsidRPr="00497260">
              <w:rPr>
                <w:rFonts w:cs="Calibri"/>
                <w:b/>
                <w:bCs w:val="0"/>
                <w:color w:val="000000"/>
                <w:szCs w:val="20"/>
              </w:rPr>
              <w:t>PSCR revised estimates</w:t>
            </w:r>
          </w:p>
        </w:tc>
      </w:tr>
      <w:tr w:rsidR="000E28CB" w:rsidRPr="00497260" w14:paraId="30415FD2" w14:textId="77777777" w:rsidTr="00D632EE">
        <w:tc>
          <w:tcPr>
            <w:tcW w:w="2651" w:type="dxa"/>
            <w:tcBorders>
              <w:top w:val="single" w:sz="4" w:space="0" w:color="auto"/>
              <w:bottom w:val="single" w:sz="4" w:space="0" w:color="auto"/>
              <w:right w:val="single" w:sz="4" w:space="0" w:color="auto"/>
            </w:tcBorders>
            <w:tcMar>
              <w:left w:w="20" w:type="dxa"/>
              <w:right w:w="20" w:type="dxa"/>
            </w:tcMar>
            <w:vAlign w:val="center"/>
          </w:tcPr>
          <w:p w14:paraId="138A858A" w14:textId="17BCE830" w:rsidR="000E28CB" w:rsidRPr="00497260" w:rsidRDefault="000E28CB" w:rsidP="000E28CB">
            <w:pPr>
              <w:pStyle w:val="TableText0"/>
              <w:keepLines/>
              <w:contextualSpacing/>
            </w:pPr>
            <w:r w:rsidRPr="00497260">
              <w:t>Net cost to PBS/RPBS</w:t>
            </w:r>
          </w:p>
        </w:tc>
        <w:tc>
          <w:tcPr>
            <w:tcW w:w="1064" w:type="dxa"/>
            <w:tcBorders>
              <w:top w:val="single" w:sz="4" w:space="0" w:color="auto"/>
              <w:left w:val="nil"/>
              <w:bottom w:val="single" w:sz="4" w:space="0" w:color="auto"/>
              <w:right w:val="single" w:sz="4" w:space="0" w:color="auto"/>
            </w:tcBorders>
            <w:tcMar>
              <w:left w:w="20" w:type="dxa"/>
              <w:right w:w="20" w:type="dxa"/>
            </w:tcMar>
          </w:tcPr>
          <w:p w14:paraId="4431B0E3" w14:textId="777C0C35" w:rsidR="000E28CB" w:rsidRPr="001E654F" w:rsidRDefault="000E28CB" w:rsidP="000E28CB">
            <w:pPr>
              <w:pStyle w:val="TableText0"/>
              <w:keepLines/>
              <w:contextualSpacing/>
              <w:jc w:val="center"/>
              <w:rPr>
                <w:rFonts w:cs="Calibri"/>
                <w:color w:val="000000"/>
                <w:szCs w:val="20"/>
                <w:vertAlign w:val="superscript"/>
              </w:rPr>
            </w:pPr>
            <w:r w:rsidRPr="00497260">
              <w:t>$</w:t>
            </w:r>
            <w:r w:rsidR="00165A53">
              <w:rPr>
                <w:color w:val="000000"/>
                <w:spacing w:val="50"/>
                <w:shd w:val="solid" w:color="000000" w:fill="000000"/>
                <w:fitText w:val="324" w:id="-628426484"/>
                <w14:textFill>
                  <w14:solidFill>
                    <w14:srgbClr w14:val="000000">
                      <w14:alpha w14:val="100000"/>
                    </w14:srgbClr>
                  </w14:solidFill>
                </w14:textFill>
              </w:rPr>
              <w:t>|||</w:t>
            </w:r>
            <w:r w:rsidR="00165A53">
              <w:rPr>
                <w:color w:val="000000"/>
                <w:spacing w:val="2"/>
                <w:shd w:val="solid" w:color="000000" w:fill="000000"/>
                <w:fitText w:val="324" w:id="-628426484"/>
                <w14:textFill>
                  <w14:solidFill>
                    <w14:srgbClr w14:val="000000">
                      <w14:alpha w14:val="100000"/>
                    </w14:srgbClr>
                  </w14:solidFill>
                </w14:textFill>
              </w:rPr>
              <w:t>|</w:t>
            </w:r>
            <w:r w:rsidR="001E654F">
              <w:rPr>
                <w:vertAlign w:val="superscript"/>
              </w:rPr>
              <w:t>8</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415BBF52" w14:textId="58B9720D" w:rsidR="000E28CB" w:rsidRPr="00D14231" w:rsidRDefault="000E28CB" w:rsidP="000E28CB">
            <w:pPr>
              <w:pStyle w:val="TableText0"/>
              <w:keepLines/>
              <w:contextualSpacing/>
              <w:jc w:val="center"/>
              <w:rPr>
                <w:rFonts w:cs="Calibri"/>
                <w:color w:val="000000"/>
                <w:szCs w:val="20"/>
                <w:vertAlign w:val="superscript"/>
              </w:rPr>
            </w:pPr>
            <w:r w:rsidRPr="00497260">
              <w:t>$</w:t>
            </w:r>
            <w:r w:rsidR="00165A53">
              <w:rPr>
                <w:color w:val="000000"/>
                <w:spacing w:val="50"/>
                <w:shd w:val="solid" w:color="000000" w:fill="000000"/>
                <w:fitText w:val="324" w:id="-628426483"/>
                <w14:textFill>
                  <w14:solidFill>
                    <w14:srgbClr w14:val="000000">
                      <w14:alpha w14:val="100000"/>
                    </w14:srgbClr>
                  </w14:solidFill>
                </w14:textFill>
              </w:rPr>
              <w:t>|||</w:t>
            </w:r>
            <w:r w:rsidR="00165A53">
              <w:rPr>
                <w:color w:val="000000"/>
                <w:spacing w:val="2"/>
                <w:shd w:val="solid" w:color="000000" w:fill="000000"/>
                <w:fitText w:val="324" w:id="-628426483"/>
                <w14:textFill>
                  <w14:solidFill>
                    <w14:srgbClr w14:val="000000">
                      <w14:alpha w14:val="100000"/>
                    </w14:srgbClr>
                  </w14:solidFill>
                </w14:textFill>
              </w:rPr>
              <w:t>|</w:t>
            </w:r>
            <w:r w:rsidR="00D14231">
              <w:rPr>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77C771DF" w14:textId="38EB75AE" w:rsidR="000E28CB" w:rsidRPr="00D14231" w:rsidRDefault="000E28CB" w:rsidP="000E28CB">
            <w:pPr>
              <w:pStyle w:val="TableText0"/>
              <w:keepLines/>
              <w:contextualSpacing/>
              <w:jc w:val="center"/>
              <w:rPr>
                <w:rFonts w:cs="Calibri"/>
                <w:color w:val="000000"/>
                <w:szCs w:val="20"/>
                <w:vertAlign w:val="superscript"/>
              </w:rPr>
            </w:pPr>
            <w:r w:rsidRPr="00497260">
              <w:t>$</w:t>
            </w:r>
            <w:r w:rsidR="00165A53">
              <w:rPr>
                <w:color w:val="000000"/>
                <w:spacing w:val="50"/>
                <w:shd w:val="solid" w:color="000000" w:fill="000000"/>
                <w:fitText w:val="324" w:id="-628426482"/>
                <w14:textFill>
                  <w14:solidFill>
                    <w14:srgbClr w14:val="000000">
                      <w14:alpha w14:val="100000"/>
                    </w14:srgbClr>
                  </w14:solidFill>
                </w14:textFill>
              </w:rPr>
              <w:t>|||</w:t>
            </w:r>
            <w:r w:rsidR="00165A53">
              <w:rPr>
                <w:color w:val="000000"/>
                <w:spacing w:val="2"/>
                <w:shd w:val="solid" w:color="000000" w:fill="000000"/>
                <w:fitText w:val="324" w:id="-628426482"/>
                <w14:textFill>
                  <w14:solidFill>
                    <w14:srgbClr w14:val="000000">
                      <w14:alpha w14:val="100000"/>
                    </w14:srgbClr>
                  </w14:solidFill>
                </w14:textFill>
              </w:rPr>
              <w:t>|</w:t>
            </w:r>
            <w:r w:rsidR="00D14231">
              <w:rPr>
                <w:vertAlign w:val="superscript"/>
              </w:rPr>
              <w:t>9</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396863FC" w14:textId="7C5A5B31" w:rsidR="000E28CB" w:rsidRPr="00420317" w:rsidRDefault="000E28CB" w:rsidP="000E28CB">
            <w:pPr>
              <w:pStyle w:val="TableText0"/>
              <w:keepLines/>
              <w:contextualSpacing/>
              <w:jc w:val="center"/>
              <w:rPr>
                <w:rFonts w:cs="Calibri"/>
                <w:color w:val="000000"/>
                <w:szCs w:val="20"/>
                <w:vertAlign w:val="superscript"/>
              </w:rPr>
            </w:pPr>
            <w:r w:rsidRPr="00497260">
              <w:t>$</w:t>
            </w:r>
            <w:r w:rsidR="00165A53">
              <w:rPr>
                <w:color w:val="000000"/>
                <w:spacing w:val="50"/>
                <w:shd w:val="solid" w:color="000000" w:fill="000000"/>
                <w:fitText w:val="324" w:id="-628426481"/>
                <w14:textFill>
                  <w14:solidFill>
                    <w14:srgbClr w14:val="000000">
                      <w14:alpha w14:val="100000"/>
                    </w14:srgbClr>
                  </w14:solidFill>
                </w14:textFill>
              </w:rPr>
              <w:t>|||</w:t>
            </w:r>
            <w:r w:rsidR="00165A53">
              <w:rPr>
                <w:color w:val="000000"/>
                <w:spacing w:val="2"/>
                <w:shd w:val="solid" w:color="000000" w:fill="000000"/>
                <w:fitText w:val="324" w:id="-628426481"/>
                <w14:textFill>
                  <w14:solidFill>
                    <w14:srgbClr w14:val="000000">
                      <w14:alpha w14:val="100000"/>
                    </w14:srgbClr>
                  </w14:solidFill>
                </w14:textFill>
              </w:rPr>
              <w:t>|</w:t>
            </w:r>
            <w:r w:rsidR="00420317">
              <w:rPr>
                <w:vertAlign w:val="superscript"/>
              </w:rPr>
              <w:t>3</w:t>
            </w:r>
          </w:p>
        </w:tc>
        <w:tc>
          <w:tcPr>
            <w:tcW w:w="1064" w:type="dxa"/>
            <w:tcBorders>
              <w:top w:val="single" w:sz="4" w:space="0" w:color="auto"/>
              <w:left w:val="single" w:sz="4" w:space="0" w:color="auto"/>
              <w:bottom w:val="single" w:sz="4" w:space="0" w:color="auto"/>
              <w:right w:val="single" w:sz="4" w:space="0" w:color="auto"/>
            </w:tcBorders>
            <w:tcMar>
              <w:left w:w="20" w:type="dxa"/>
              <w:right w:w="20" w:type="dxa"/>
            </w:tcMar>
          </w:tcPr>
          <w:p w14:paraId="74D08AA4" w14:textId="3FAEDB94" w:rsidR="000E28CB" w:rsidRPr="00420317" w:rsidRDefault="000E28CB" w:rsidP="000E28CB">
            <w:pPr>
              <w:pStyle w:val="TableText0"/>
              <w:keepLines/>
              <w:contextualSpacing/>
              <w:jc w:val="center"/>
              <w:rPr>
                <w:rFonts w:cs="Calibri"/>
                <w:color w:val="000000"/>
                <w:szCs w:val="20"/>
                <w:vertAlign w:val="superscript"/>
              </w:rPr>
            </w:pPr>
            <w:r w:rsidRPr="00497260">
              <w:t>$</w:t>
            </w:r>
            <w:r w:rsidR="00165A53">
              <w:rPr>
                <w:color w:val="000000"/>
                <w:spacing w:val="50"/>
                <w:shd w:val="solid" w:color="000000" w:fill="000000"/>
                <w:fitText w:val="324" w:id="-628426480"/>
                <w14:textFill>
                  <w14:solidFill>
                    <w14:srgbClr w14:val="000000">
                      <w14:alpha w14:val="100000"/>
                    </w14:srgbClr>
                  </w14:solidFill>
                </w14:textFill>
              </w:rPr>
              <w:t>|||</w:t>
            </w:r>
            <w:r w:rsidR="00165A53">
              <w:rPr>
                <w:color w:val="000000"/>
                <w:spacing w:val="2"/>
                <w:shd w:val="solid" w:color="000000" w:fill="000000"/>
                <w:fitText w:val="324" w:id="-628426480"/>
                <w14:textFill>
                  <w14:solidFill>
                    <w14:srgbClr w14:val="000000">
                      <w14:alpha w14:val="100000"/>
                    </w14:srgbClr>
                  </w14:solidFill>
                </w14:textFill>
              </w:rPr>
              <w:t>|</w:t>
            </w:r>
            <w:r w:rsidR="00420317">
              <w:rPr>
                <w:vertAlign w:val="superscript"/>
              </w:rPr>
              <w:t>3</w:t>
            </w:r>
          </w:p>
        </w:tc>
        <w:tc>
          <w:tcPr>
            <w:tcW w:w="1046" w:type="dxa"/>
            <w:tcBorders>
              <w:top w:val="single" w:sz="4" w:space="0" w:color="auto"/>
              <w:left w:val="single" w:sz="4" w:space="0" w:color="auto"/>
              <w:bottom w:val="single" w:sz="4" w:space="0" w:color="auto"/>
              <w:right w:val="single" w:sz="4" w:space="0" w:color="auto"/>
            </w:tcBorders>
            <w:tcMar>
              <w:left w:w="20" w:type="dxa"/>
              <w:right w:w="20" w:type="dxa"/>
            </w:tcMar>
          </w:tcPr>
          <w:p w14:paraId="7F63BC72" w14:textId="3EDC961F" w:rsidR="000E28CB" w:rsidRPr="00420317" w:rsidRDefault="000E28CB" w:rsidP="000E28CB">
            <w:pPr>
              <w:pStyle w:val="TableText0"/>
              <w:keepLines/>
              <w:contextualSpacing/>
              <w:jc w:val="center"/>
              <w:rPr>
                <w:rFonts w:cs="Calibri"/>
                <w:color w:val="000000"/>
                <w:szCs w:val="20"/>
                <w:vertAlign w:val="superscript"/>
              </w:rPr>
            </w:pPr>
            <w:r w:rsidRPr="00497260">
              <w:t>$</w:t>
            </w:r>
            <w:r w:rsidR="00165A53">
              <w:rPr>
                <w:color w:val="000000"/>
                <w:spacing w:val="50"/>
                <w:shd w:val="solid" w:color="000000" w:fill="000000"/>
                <w:fitText w:val="324" w:id="-628426496"/>
                <w14:textFill>
                  <w14:solidFill>
                    <w14:srgbClr w14:val="000000">
                      <w14:alpha w14:val="100000"/>
                    </w14:srgbClr>
                  </w14:solidFill>
                </w14:textFill>
              </w:rPr>
              <w:t>|||</w:t>
            </w:r>
            <w:r w:rsidR="00165A53">
              <w:rPr>
                <w:color w:val="000000"/>
                <w:spacing w:val="2"/>
                <w:shd w:val="solid" w:color="000000" w:fill="000000"/>
                <w:fitText w:val="324" w:id="-628426496"/>
                <w14:textFill>
                  <w14:solidFill>
                    <w14:srgbClr w14:val="000000">
                      <w14:alpha w14:val="100000"/>
                    </w14:srgbClr>
                  </w14:solidFill>
                </w14:textFill>
              </w:rPr>
              <w:t>|</w:t>
            </w:r>
            <w:r w:rsidR="00420317">
              <w:rPr>
                <w:vertAlign w:val="superscript"/>
              </w:rPr>
              <w:t>3</w:t>
            </w:r>
          </w:p>
        </w:tc>
      </w:tr>
    </w:tbl>
    <w:p w14:paraId="7C84CE28" w14:textId="149FB9FC" w:rsidR="00BB742C" w:rsidRPr="00497260" w:rsidRDefault="00BB742C" w:rsidP="00BB742C">
      <w:pPr>
        <w:pStyle w:val="FooterTableFigure"/>
        <w:keepNext/>
        <w:keepLines/>
      </w:pPr>
      <w:r w:rsidRPr="00497260">
        <w:t>Source: Tables 4.2-1; 4.2-2; 4.2-3; 4.3-4; 4.3-5; 4.3-6; 4.3-7; 4.3-8; 4.3-9;  4.4-1; 4.4-2; 4.4-5; 4.4-7; 4.5-1; 4.5-2; 4.6-1; 4.6-2; 4.6-3; pp209 of the submission.</w:t>
      </w:r>
    </w:p>
    <w:p w14:paraId="0DE5D350" w14:textId="77777777" w:rsidR="00BB742C" w:rsidRPr="00497260" w:rsidRDefault="00BB742C" w:rsidP="00BB742C">
      <w:pPr>
        <w:pStyle w:val="FooterTableFigure"/>
        <w:keepNext/>
        <w:keepLines/>
      </w:pPr>
      <w:r w:rsidRPr="00497260">
        <w:t>Abbreviations: 1L = first-line; 2L = second-line; AIHW = Australian Institute of Health and Welfare; A/R = advanced or recurrent; dMMR = mismatch repair deficient; EC = endometrial cancer; ECOG = Eastern Cooperative Oncology Group; Govt = government; MBS = Medicare Benefits Schedule; PBC = platinum-based chemotherapy; PBS = Pharmaceutical Benefits Scheme; PEM+LEN = pembrolizumab + lenvatinib; RPBS = Repatriation Pharmaceutical Benefits Scheme; Yr = year.</w:t>
      </w:r>
    </w:p>
    <w:p w14:paraId="44E8646D" w14:textId="4552434D" w:rsidR="00BB742C" w:rsidRPr="00497260" w:rsidRDefault="00BB742C" w:rsidP="00BB742C">
      <w:pPr>
        <w:pStyle w:val="FooterTableFigure"/>
        <w:keepNext/>
        <w:keepLines/>
      </w:pPr>
      <w:r w:rsidRPr="00497260">
        <w:t xml:space="preserve">Two minor issues were corrected during evaluation (refer to paragraph </w:t>
      </w:r>
      <w:r w:rsidRPr="00497260">
        <w:fldChar w:fldCharType="begin"/>
      </w:r>
      <w:r w:rsidRPr="00497260">
        <w:instrText xml:space="preserve"> REF _Ref198551572 \r \h  \* MERGEFORMAT </w:instrText>
      </w:r>
      <w:r w:rsidRPr="00497260">
        <w:fldChar w:fldCharType="separate"/>
      </w:r>
      <w:r w:rsidR="003359D3">
        <w:t>6.95</w:t>
      </w:r>
      <w:r w:rsidRPr="00497260">
        <w:fldChar w:fldCharType="end"/>
      </w:r>
      <w:r w:rsidRPr="00497260">
        <w:t>)</w:t>
      </w:r>
    </w:p>
    <w:p w14:paraId="778CFFD3" w14:textId="77777777" w:rsidR="00BB742C" w:rsidRPr="00497260" w:rsidRDefault="00BB742C" w:rsidP="00BB742C">
      <w:pPr>
        <w:pStyle w:val="FooterTableFigure"/>
        <w:keepNext/>
        <w:keepLines/>
      </w:pPr>
      <w:r w:rsidRPr="00497260">
        <w:rPr>
          <w:vertAlign w:val="superscript"/>
        </w:rPr>
        <w:t xml:space="preserve">d </w:t>
      </w:r>
      <w:r w:rsidRPr="00497260">
        <w:t>The grandfathered patients DTG was corrected during the evaluation to the continuing (maintenance) patients as these patients were assumed to have completed half the total treatment duration and therefore would not be under initiation regimens. Half of the pMMR duration of treatment = 21.51 weeks. With 8.67 scripts per year of treatment (52 weeks / (1 pack / (dosing of 1 pack / every 6 weeks))* 100% compliance.</w:t>
      </w:r>
    </w:p>
    <w:p w14:paraId="773F4BAB" w14:textId="77777777" w:rsidR="00BB742C" w:rsidRPr="00497260" w:rsidRDefault="00BB742C" w:rsidP="00BB742C">
      <w:pPr>
        <w:pStyle w:val="FooterTableFigure"/>
        <w:keepNext/>
        <w:keepLines/>
      </w:pPr>
      <w:r w:rsidRPr="00497260">
        <w:rPr>
          <w:vertAlign w:val="superscript"/>
        </w:rPr>
        <w:t xml:space="preserve">e </w:t>
      </w:r>
      <w:r w:rsidRPr="00497260">
        <w:t>Pembrolizumab scripts calculated using patient years of treatment with a treatment duration of 44.07 weeks per the finalised 2L PEM+LEN pricing package. 17.33 scripts per year of treatment (52 weeks / (1 pack / (dosing of 1 pack / every 3 weeks))* 100% compliance.</w:t>
      </w:r>
    </w:p>
    <w:p w14:paraId="5246CF70" w14:textId="77777777" w:rsidR="00BB742C" w:rsidRPr="00497260" w:rsidRDefault="00BB742C" w:rsidP="00BB742C">
      <w:pPr>
        <w:pStyle w:val="FooterTableFigure"/>
        <w:keepNext/>
        <w:keepLines/>
      </w:pPr>
      <w:r w:rsidRPr="00497260">
        <w:rPr>
          <w:vertAlign w:val="superscript"/>
        </w:rPr>
        <w:t xml:space="preserve">f </w:t>
      </w:r>
      <w:r w:rsidRPr="00497260">
        <w:t>Lenvatinib scripts calculated using patient years of treatment with a treatment duration of 8.81 months per the finalised 2L PEM+LEN pricing package. This treatment duration could not be independently verified. 12 scripts per year of treatment (12 months / (30 pack / (dosing of 30 pack)* 100% compliance.</w:t>
      </w:r>
    </w:p>
    <w:p w14:paraId="0190E052" w14:textId="77777777" w:rsidR="00BB742C" w:rsidRDefault="00BB742C" w:rsidP="00A336EE">
      <w:pPr>
        <w:pStyle w:val="FooterTableFigure"/>
        <w:keepNext/>
        <w:keepLines/>
        <w:spacing w:after="0"/>
      </w:pPr>
      <w:r w:rsidRPr="00497260">
        <w:rPr>
          <w:vertAlign w:val="superscript"/>
        </w:rPr>
        <w:t xml:space="preserve">g </w:t>
      </w:r>
      <w:r w:rsidRPr="00497260">
        <w:t>Calculated by multiplying the number of administrations for pembrolizumab by the corresponding number of MBS items (MBS code 13950) and its allocated cost ($123.05).</w:t>
      </w:r>
    </w:p>
    <w:p w14:paraId="4ECA7197" w14:textId="77777777" w:rsidR="00A336EE" w:rsidRPr="00A336EE" w:rsidRDefault="00A336EE" w:rsidP="00A336EE">
      <w:pPr>
        <w:jc w:val="left"/>
        <w:rPr>
          <w:rFonts w:ascii="Arial Narrow" w:hAnsi="Arial Narrow"/>
          <w:i/>
          <w:sz w:val="18"/>
          <w:szCs w:val="18"/>
        </w:rPr>
      </w:pPr>
      <w:r w:rsidRPr="00A336EE">
        <w:rPr>
          <w:rFonts w:ascii="Arial Narrow" w:hAnsi="Arial Narrow"/>
          <w:i/>
          <w:sz w:val="18"/>
          <w:szCs w:val="18"/>
        </w:rPr>
        <w:t xml:space="preserve">The redacted values correspond to the following ranges: </w:t>
      </w:r>
    </w:p>
    <w:p w14:paraId="47747DA7" w14:textId="12E3AC1A" w:rsidR="00A336EE" w:rsidRPr="00A336EE" w:rsidRDefault="00A336EE" w:rsidP="00A336EE">
      <w:pPr>
        <w:jc w:val="left"/>
        <w:rPr>
          <w:rFonts w:ascii="Arial Narrow" w:hAnsi="Arial Narrow"/>
          <w:i/>
          <w:sz w:val="18"/>
          <w:szCs w:val="18"/>
        </w:rPr>
      </w:pPr>
      <w:r w:rsidRPr="00A336EE">
        <w:rPr>
          <w:rFonts w:ascii="Arial Narrow" w:hAnsi="Arial Narrow"/>
          <w:i/>
          <w:sz w:val="18"/>
          <w:szCs w:val="18"/>
          <w:vertAlign w:val="superscript"/>
        </w:rPr>
        <w:t>1</w:t>
      </w:r>
      <w:r w:rsidRPr="00A336EE">
        <w:rPr>
          <w:rFonts w:ascii="Arial Narrow" w:hAnsi="Arial Narrow"/>
          <w:i/>
          <w:sz w:val="18"/>
          <w:szCs w:val="18"/>
        </w:rPr>
        <w:t xml:space="preserve"> </w:t>
      </w:r>
      <w:r w:rsidR="003D2CF2" w:rsidRPr="003D2CF2">
        <w:rPr>
          <w:rFonts w:ascii="Arial Narrow" w:hAnsi="Arial Narrow"/>
          <w:i/>
          <w:sz w:val="18"/>
          <w:szCs w:val="18"/>
        </w:rPr>
        <w:t>&lt; 500</w:t>
      </w:r>
    </w:p>
    <w:p w14:paraId="5B055AAA" w14:textId="61C21609" w:rsidR="00A336EE" w:rsidRPr="00A336EE" w:rsidRDefault="00A336EE" w:rsidP="00A336EE">
      <w:pPr>
        <w:jc w:val="left"/>
        <w:rPr>
          <w:rFonts w:ascii="Arial Narrow" w:hAnsi="Arial Narrow"/>
          <w:i/>
          <w:sz w:val="18"/>
          <w:szCs w:val="18"/>
        </w:rPr>
      </w:pPr>
      <w:r w:rsidRPr="00A336EE">
        <w:rPr>
          <w:rFonts w:ascii="Arial Narrow" w:hAnsi="Arial Narrow"/>
          <w:i/>
          <w:sz w:val="18"/>
          <w:szCs w:val="18"/>
          <w:vertAlign w:val="superscript"/>
        </w:rPr>
        <w:t>2</w:t>
      </w:r>
      <w:r w:rsidRPr="00A336EE">
        <w:rPr>
          <w:rFonts w:ascii="Arial Narrow" w:hAnsi="Arial Narrow"/>
          <w:i/>
          <w:sz w:val="18"/>
          <w:szCs w:val="18"/>
        </w:rPr>
        <w:t xml:space="preserve"> </w:t>
      </w:r>
      <w:r w:rsidR="004C406F" w:rsidRPr="004C406F">
        <w:rPr>
          <w:rFonts w:ascii="Arial Narrow" w:hAnsi="Arial Narrow"/>
          <w:i/>
          <w:sz w:val="18"/>
          <w:szCs w:val="18"/>
        </w:rPr>
        <w:t>$100 million to &lt; $200 million</w:t>
      </w:r>
    </w:p>
    <w:p w14:paraId="77741448" w14:textId="7D2EE5E0" w:rsidR="00A336EE" w:rsidRPr="00A336EE" w:rsidRDefault="00A336EE" w:rsidP="00A336EE">
      <w:pPr>
        <w:jc w:val="left"/>
        <w:rPr>
          <w:rFonts w:ascii="Arial Narrow" w:hAnsi="Arial Narrow"/>
          <w:i/>
          <w:sz w:val="18"/>
          <w:szCs w:val="18"/>
        </w:rPr>
      </w:pPr>
      <w:r w:rsidRPr="00A336EE">
        <w:rPr>
          <w:rFonts w:ascii="Arial Narrow" w:hAnsi="Arial Narrow"/>
          <w:i/>
          <w:sz w:val="18"/>
          <w:szCs w:val="18"/>
          <w:vertAlign w:val="superscript"/>
        </w:rPr>
        <w:t>3</w:t>
      </w:r>
      <w:r w:rsidRPr="00A336EE">
        <w:rPr>
          <w:rFonts w:ascii="Arial Narrow" w:hAnsi="Arial Narrow"/>
          <w:i/>
          <w:sz w:val="18"/>
          <w:szCs w:val="18"/>
        </w:rPr>
        <w:t xml:space="preserve"> </w:t>
      </w:r>
      <w:r w:rsidR="00734FAA" w:rsidRPr="00734FAA">
        <w:rPr>
          <w:rFonts w:ascii="Arial Narrow" w:hAnsi="Arial Narrow"/>
          <w:i/>
          <w:sz w:val="18"/>
          <w:szCs w:val="18"/>
        </w:rPr>
        <w:t>$70 million to &lt; $80 million</w:t>
      </w:r>
    </w:p>
    <w:p w14:paraId="3B3AF6E8" w14:textId="4D4E3B95" w:rsidR="00A336EE" w:rsidRPr="00A336EE" w:rsidRDefault="00A336EE" w:rsidP="00A336EE">
      <w:pPr>
        <w:jc w:val="left"/>
        <w:rPr>
          <w:rFonts w:ascii="Arial Narrow" w:hAnsi="Arial Narrow"/>
          <w:i/>
          <w:sz w:val="18"/>
          <w:szCs w:val="18"/>
        </w:rPr>
      </w:pPr>
      <w:r w:rsidRPr="00A336EE">
        <w:rPr>
          <w:rFonts w:ascii="Arial Narrow" w:hAnsi="Arial Narrow"/>
          <w:i/>
          <w:sz w:val="18"/>
          <w:szCs w:val="18"/>
          <w:vertAlign w:val="superscript"/>
        </w:rPr>
        <w:t>4</w:t>
      </w:r>
      <w:r w:rsidRPr="00A336EE">
        <w:rPr>
          <w:rFonts w:ascii="Arial Narrow" w:hAnsi="Arial Narrow"/>
          <w:i/>
          <w:sz w:val="18"/>
          <w:szCs w:val="18"/>
        </w:rPr>
        <w:t xml:space="preserve"> </w:t>
      </w:r>
      <w:r w:rsidR="007533E5" w:rsidRPr="007533E5">
        <w:rPr>
          <w:rFonts w:ascii="Arial Narrow" w:hAnsi="Arial Narrow"/>
          <w:i/>
          <w:sz w:val="18"/>
          <w:szCs w:val="18"/>
        </w:rPr>
        <w:t>$80 million to &lt; $90 million</w:t>
      </w:r>
    </w:p>
    <w:p w14:paraId="601EF9B9" w14:textId="2DB755B9" w:rsidR="00A336EE" w:rsidRPr="00A336EE" w:rsidRDefault="00A336EE" w:rsidP="00A336EE">
      <w:pPr>
        <w:jc w:val="left"/>
        <w:rPr>
          <w:rFonts w:ascii="Arial Narrow" w:hAnsi="Arial Narrow"/>
          <w:i/>
          <w:sz w:val="18"/>
          <w:szCs w:val="18"/>
        </w:rPr>
      </w:pPr>
      <w:r w:rsidRPr="00A336EE">
        <w:rPr>
          <w:rFonts w:ascii="Arial Narrow" w:hAnsi="Arial Narrow"/>
          <w:i/>
          <w:sz w:val="18"/>
          <w:szCs w:val="18"/>
          <w:vertAlign w:val="superscript"/>
        </w:rPr>
        <w:t>5</w:t>
      </w:r>
      <w:r w:rsidRPr="00A336EE">
        <w:rPr>
          <w:rFonts w:ascii="Arial Narrow" w:hAnsi="Arial Narrow"/>
          <w:i/>
          <w:sz w:val="18"/>
          <w:szCs w:val="18"/>
        </w:rPr>
        <w:t xml:space="preserve"> </w:t>
      </w:r>
      <w:r w:rsidR="00021546" w:rsidRPr="00021546">
        <w:rPr>
          <w:rFonts w:ascii="Arial Narrow" w:hAnsi="Arial Narrow"/>
          <w:i/>
          <w:sz w:val="18"/>
          <w:szCs w:val="18"/>
        </w:rPr>
        <w:t>500 to &lt; 5,000</w:t>
      </w:r>
    </w:p>
    <w:p w14:paraId="1F5F0713" w14:textId="7A125C4C" w:rsidR="00A336EE" w:rsidRDefault="00A336EE" w:rsidP="00A336EE">
      <w:pPr>
        <w:jc w:val="left"/>
        <w:rPr>
          <w:rFonts w:ascii="Arial Narrow" w:hAnsi="Arial Narrow"/>
          <w:i/>
          <w:sz w:val="18"/>
          <w:szCs w:val="18"/>
        </w:rPr>
      </w:pPr>
      <w:r w:rsidRPr="00A336EE">
        <w:rPr>
          <w:rFonts w:ascii="Arial Narrow" w:hAnsi="Arial Narrow"/>
          <w:i/>
          <w:sz w:val="18"/>
          <w:szCs w:val="18"/>
          <w:vertAlign w:val="superscript"/>
        </w:rPr>
        <w:t>6</w:t>
      </w:r>
      <w:r w:rsidRPr="00A336EE">
        <w:rPr>
          <w:rFonts w:ascii="Arial Narrow" w:hAnsi="Arial Narrow"/>
          <w:i/>
          <w:sz w:val="18"/>
          <w:szCs w:val="18"/>
        </w:rPr>
        <w:t xml:space="preserve"> </w:t>
      </w:r>
      <w:r w:rsidR="00945416" w:rsidRPr="00945416">
        <w:rPr>
          <w:rFonts w:ascii="Arial Narrow" w:hAnsi="Arial Narrow"/>
          <w:i/>
          <w:sz w:val="18"/>
          <w:szCs w:val="18"/>
        </w:rPr>
        <w:t>$20 million to &lt; $30 million</w:t>
      </w:r>
    </w:p>
    <w:p w14:paraId="26BD9D06" w14:textId="530D29E0" w:rsidR="00DC1811" w:rsidRDefault="00DC1811" w:rsidP="00A336EE">
      <w:pPr>
        <w:jc w:val="left"/>
        <w:rPr>
          <w:rFonts w:ascii="Arial Narrow" w:hAnsi="Arial Narrow"/>
          <w:i/>
          <w:sz w:val="18"/>
          <w:szCs w:val="18"/>
        </w:rPr>
      </w:pPr>
      <w:r>
        <w:rPr>
          <w:rFonts w:ascii="Arial Narrow" w:hAnsi="Arial Narrow"/>
          <w:i/>
          <w:sz w:val="18"/>
          <w:szCs w:val="18"/>
          <w:vertAlign w:val="superscript"/>
        </w:rPr>
        <w:t xml:space="preserve">7 </w:t>
      </w:r>
      <w:r w:rsidRPr="00DC1811">
        <w:rPr>
          <w:rFonts w:ascii="Arial Narrow" w:hAnsi="Arial Narrow"/>
          <w:i/>
          <w:sz w:val="18"/>
          <w:szCs w:val="18"/>
        </w:rPr>
        <w:t>$10 million to &lt; $20 million</w:t>
      </w:r>
    </w:p>
    <w:p w14:paraId="44E2DBBA" w14:textId="6FD88B84" w:rsidR="001E654F" w:rsidRDefault="001E654F" w:rsidP="00A336EE">
      <w:pPr>
        <w:jc w:val="left"/>
        <w:rPr>
          <w:rFonts w:ascii="Arial Narrow" w:hAnsi="Arial Narrow"/>
          <w:i/>
          <w:sz w:val="18"/>
          <w:szCs w:val="18"/>
        </w:rPr>
      </w:pPr>
      <w:r>
        <w:rPr>
          <w:rFonts w:ascii="Arial Narrow" w:hAnsi="Arial Narrow"/>
          <w:i/>
          <w:sz w:val="18"/>
          <w:szCs w:val="18"/>
          <w:vertAlign w:val="superscript"/>
        </w:rPr>
        <w:t xml:space="preserve">8 </w:t>
      </w:r>
      <w:r w:rsidRPr="001E654F">
        <w:rPr>
          <w:rFonts w:ascii="Arial Narrow" w:hAnsi="Arial Narrow"/>
          <w:i/>
          <w:sz w:val="18"/>
          <w:szCs w:val="18"/>
        </w:rPr>
        <w:t>$80 million to &lt; $90 million</w:t>
      </w:r>
    </w:p>
    <w:p w14:paraId="6F14B185" w14:textId="4DA3C606" w:rsidR="00534A80" w:rsidRDefault="00534A80" w:rsidP="00A336EE">
      <w:pPr>
        <w:jc w:val="left"/>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534A80">
        <w:rPr>
          <w:rFonts w:ascii="Arial Narrow" w:hAnsi="Arial Narrow"/>
          <w:i/>
          <w:sz w:val="18"/>
          <w:szCs w:val="18"/>
        </w:rPr>
        <w:t>$60 million to &lt; $70 million</w:t>
      </w:r>
    </w:p>
    <w:p w14:paraId="391CEA96" w14:textId="219C1F40" w:rsidR="00EA7158" w:rsidRPr="00A336EE" w:rsidRDefault="00EA7158" w:rsidP="00A336EE">
      <w:pPr>
        <w:jc w:val="left"/>
        <w:rPr>
          <w:rFonts w:ascii="Arial Narrow" w:hAnsi="Arial Narrow"/>
          <w:i/>
          <w:sz w:val="18"/>
          <w:szCs w:val="18"/>
        </w:rPr>
      </w:pPr>
      <w:r>
        <w:rPr>
          <w:rFonts w:ascii="Arial Narrow" w:hAnsi="Arial Narrow"/>
          <w:i/>
          <w:sz w:val="18"/>
          <w:szCs w:val="18"/>
          <w:vertAlign w:val="superscript"/>
        </w:rPr>
        <w:t xml:space="preserve">10 </w:t>
      </w:r>
      <w:r w:rsidR="00F22A8F" w:rsidRPr="00F22A8F">
        <w:rPr>
          <w:rFonts w:ascii="Arial Narrow" w:hAnsi="Arial Narrow"/>
          <w:i/>
          <w:sz w:val="18"/>
          <w:szCs w:val="18"/>
        </w:rPr>
        <w:t>$0 to &lt; $10 million</w:t>
      </w:r>
    </w:p>
    <w:p w14:paraId="30C8A604" w14:textId="77777777" w:rsidR="00A336EE" w:rsidRPr="00497260" w:rsidRDefault="00A336EE" w:rsidP="00BB742C">
      <w:pPr>
        <w:pStyle w:val="FooterTableFigure"/>
        <w:keepNext/>
        <w:keepLines/>
      </w:pPr>
    </w:p>
    <w:p w14:paraId="2238DEE9" w14:textId="3E6A228B" w:rsidR="00576972" w:rsidRPr="00AB6F27" w:rsidRDefault="00576972" w:rsidP="00606FBA">
      <w:pPr>
        <w:pStyle w:val="4-SubsectionHeading"/>
        <w:rPr>
          <w:iCs/>
        </w:rPr>
      </w:pPr>
      <w:bookmarkStart w:id="92" w:name="_Toc198643462"/>
      <w:r w:rsidRPr="00AB6F27">
        <w:rPr>
          <w:iCs/>
        </w:rPr>
        <w:t>Quality Use of Medicines</w:t>
      </w:r>
      <w:bookmarkEnd w:id="82"/>
      <w:bookmarkEnd w:id="92"/>
    </w:p>
    <w:p w14:paraId="79535D2C" w14:textId="77777777" w:rsidR="00A3213F" w:rsidRPr="00AB6F27" w:rsidRDefault="00A3213F" w:rsidP="00344239">
      <w:pPr>
        <w:pStyle w:val="3-BodyText"/>
      </w:pPr>
      <w:bookmarkStart w:id="93" w:name="_Toc22897649"/>
      <w:r w:rsidRPr="00AB6F27">
        <w:t xml:space="preserve">The submission stated that the Sponsor intends to develop materials to provide the latest information to physicians, nurses, pharmacists and patients about how to identify and manage potential treatment-related AEs, in particular immune-related AEs. In addition, the submission stated </w:t>
      </w:r>
      <w:proofErr w:type="gramStart"/>
      <w:r w:rsidRPr="00AB6F27">
        <w:t>a number of</w:t>
      </w:r>
      <w:proofErr w:type="gramEnd"/>
      <w:r w:rsidRPr="00AB6F27">
        <w:t xml:space="preserve"> education activities are planned </w:t>
      </w:r>
      <w:r w:rsidRPr="00AB6F27">
        <w:lastRenderedPageBreak/>
        <w:t>that will be supported by the Sponsor’s medical team and representatives. The submission also noted access to the Sponsor’s 1800 medical information service line to respond to questions from patients, carers and health care professionals about specific medicines.</w:t>
      </w:r>
    </w:p>
    <w:p w14:paraId="6015A395" w14:textId="2EDB6A4E" w:rsidR="00576972" w:rsidRPr="00AB6F27" w:rsidRDefault="00576972" w:rsidP="00606FBA">
      <w:pPr>
        <w:pStyle w:val="4-SubsectionHeading"/>
        <w:rPr>
          <w:iCs/>
        </w:rPr>
      </w:pPr>
      <w:bookmarkStart w:id="94" w:name="_Toc198643463"/>
      <w:r w:rsidRPr="00AB6F27">
        <w:rPr>
          <w:iCs/>
        </w:rPr>
        <w:t>Financial Management – Risk Sharing Arrangements</w:t>
      </w:r>
      <w:bookmarkEnd w:id="93"/>
      <w:bookmarkEnd w:id="94"/>
    </w:p>
    <w:p w14:paraId="48D08E35" w14:textId="3018594C" w:rsidR="00A3213F" w:rsidRPr="00AB6F27" w:rsidRDefault="00A3213F" w:rsidP="00344239">
      <w:pPr>
        <w:pStyle w:val="3-BodyText"/>
      </w:pPr>
      <w:bookmarkStart w:id="95" w:name="_Toc22897650"/>
      <w:r w:rsidRPr="00AB6F27">
        <w:t xml:space="preserve">The submission stated that the Sponsor was willing to discuss and work through the parameters of any risk sharing arrangement (RSA) but did not provide further details. </w:t>
      </w:r>
    </w:p>
    <w:p w14:paraId="03EC64D8" w14:textId="33483D7E" w:rsidR="00A3213F" w:rsidRPr="00AB6F27" w:rsidRDefault="005A40A9" w:rsidP="00344239">
      <w:pPr>
        <w:pStyle w:val="3-BodyText"/>
      </w:pPr>
      <w:r>
        <w:t>T</w:t>
      </w:r>
      <w:r w:rsidR="00A3213F" w:rsidRPr="00AB6F27">
        <w:t xml:space="preserve">here is an existing RSA </w:t>
      </w:r>
      <w:r>
        <w:t>that comprises both</w:t>
      </w:r>
      <w:r w:rsidR="00A3213F" w:rsidRPr="00AB6F27">
        <w:t xml:space="preserve"> the 1L dMMR </w:t>
      </w:r>
      <w:r w:rsidR="00437BAB">
        <w:t>dostarlimab</w:t>
      </w:r>
      <w:r w:rsidR="00A3213F" w:rsidRPr="00AB6F27">
        <w:t xml:space="preserve"> </w:t>
      </w:r>
      <w:r>
        <w:t xml:space="preserve">listing </w:t>
      </w:r>
      <w:proofErr w:type="gramStart"/>
      <w:r w:rsidR="00A3213F" w:rsidRPr="00AB6F27">
        <w:t>and also</w:t>
      </w:r>
      <w:proofErr w:type="gramEnd"/>
      <w:r w:rsidR="00A3213F" w:rsidRPr="00AB6F27">
        <w:t xml:space="preserve"> the 2L </w:t>
      </w:r>
      <w:r w:rsidR="00BF1B0D">
        <w:t>pembrolizumab</w:t>
      </w:r>
      <w:r>
        <w:t xml:space="preserve"> </w:t>
      </w:r>
      <w:r w:rsidR="00A3213F" w:rsidRPr="00AB6F27">
        <w:t>+</w:t>
      </w:r>
      <w:r>
        <w:t xml:space="preserve"> </w:t>
      </w:r>
      <w:r w:rsidR="001F3073">
        <w:t>lenvatinib</w:t>
      </w:r>
      <w:r>
        <w:t xml:space="preserve"> listing (all-comers)</w:t>
      </w:r>
      <w:r w:rsidR="00A3213F" w:rsidRPr="00AB6F27">
        <w:t>. Paragraph 7.11 of the dostarlimab PSD, November 2023 PBAC meeting states: “</w:t>
      </w:r>
      <w:r w:rsidR="00FC1A06" w:rsidRPr="00AB6F27">
        <w:t>(t)</w:t>
      </w:r>
      <w:r w:rsidR="00A3213F" w:rsidRPr="00AB6F27">
        <w:t xml:space="preserve">he PBAC considered that shared financial caps with 2L </w:t>
      </w:r>
      <w:r w:rsidR="00BF1B0D">
        <w:t>pembrolizumab</w:t>
      </w:r>
      <w:r>
        <w:t xml:space="preserve"> </w:t>
      </w:r>
      <w:r w:rsidR="00A3213F" w:rsidRPr="00AB6F27">
        <w:t>+</w:t>
      </w:r>
      <w:r>
        <w:t xml:space="preserve"> </w:t>
      </w:r>
      <w:r w:rsidR="001F3073">
        <w:t>lenvatinib</w:t>
      </w:r>
      <w:r w:rsidR="00A3213F" w:rsidRPr="00AB6F27">
        <w:t xml:space="preserve"> would be appropriate, given the substantial overlap in patient populations and because the cost-effectiveness for dostarlimab relies on cost offsets for 2L </w:t>
      </w:r>
      <w:r w:rsidR="00BF1B0D">
        <w:t>pembrolizumab</w:t>
      </w:r>
      <w:r w:rsidR="00FC64AF">
        <w:t xml:space="preserve"> </w:t>
      </w:r>
      <w:r w:rsidR="00A3213F" w:rsidRPr="00AB6F27">
        <w:t>+</w:t>
      </w:r>
      <w:r w:rsidR="00FC64AF">
        <w:t xml:space="preserve"> </w:t>
      </w:r>
      <w:r w:rsidR="001F3073">
        <w:t>lenvatinib</w:t>
      </w:r>
      <w:r w:rsidR="00A3213F" w:rsidRPr="00AB6F27">
        <w:t xml:space="preserve">. The PBAC considered that the caps should be increased to account for additional patients treated 1L dostarlimab, with offsets for 2L </w:t>
      </w:r>
      <w:r w:rsidR="00BF1B0D">
        <w:t>pembrolizumab</w:t>
      </w:r>
      <w:r w:rsidR="00FC64AF">
        <w:t xml:space="preserve"> </w:t>
      </w:r>
      <w:r w:rsidR="00A3213F" w:rsidRPr="00AB6F27">
        <w:t>+</w:t>
      </w:r>
      <w:r w:rsidR="00FC64AF">
        <w:t xml:space="preserve"> </w:t>
      </w:r>
      <w:r w:rsidR="001F3073">
        <w:t>lenvatinib</w:t>
      </w:r>
      <w:r w:rsidR="00A3213F" w:rsidRPr="00AB6F27">
        <w:t>.”</w:t>
      </w:r>
    </w:p>
    <w:bookmarkEnd w:id="95"/>
    <w:p w14:paraId="7CD84974" w14:textId="77777777" w:rsidR="00BC0F2D" w:rsidRPr="00C33D30" w:rsidRDefault="00BC0F2D" w:rsidP="00BC0F2D">
      <w:pPr>
        <w:ind w:firstLine="709"/>
        <w:rPr>
          <w:rFonts w:asciiTheme="minorHAnsi" w:hAnsiTheme="minorHAnsi"/>
          <w:i/>
        </w:rPr>
      </w:pPr>
      <w:r w:rsidRPr="00C33D30">
        <w:rPr>
          <w:rFonts w:asciiTheme="minorHAnsi" w:hAnsiTheme="minorHAnsi"/>
          <w:i/>
        </w:rPr>
        <w:t>For more detail on PBAC’s view, see section 7 PBAC outcome.</w:t>
      </w:r>
    </w:p>
    <w:p w14:paraId="26AE5F39" w14:textId="77777777" w:rsidR="00533911" w:rsidRPr="00533911" w:rsidRDefault="00533911" w:rsidP="007D66C7">
      <w:pPr>
        <w:pStyle w:val="2-SectionHeading"/>
      </w:pPr>
      <w:r w:rsidRPr="00533911">
        <w:t>PBAC Outcome</w:t>
      </w:r>
    </w:p>
    <w:p w14:paraId="5AF970AA" w14:textId="5B3A0B19" w:rsidR="00724D0C" w:rsidRPr="00072F49" w:rsidRDefault="00533911" w:rsidP="00AD6AFE">
      <w:pPr>
        <w:widowControl w:val="0"/>
        <w:numPr>
          <w:ilvl w:val="1"/>
          <w:numId w:val="2"/>
        </w:numPr>
        <w:spacing w:after="120"/>
        <w:rPr>
          <w:lang w:val="en-GB"/>
        </w:rPr>
      </w:pPr>
      <w:r w:rsidRPr="00AD6AFE">
        <w:t>The</w:t>
      </w:r>
      <w:r w:rsidRPr="00072F49">
        <w:rPr>
          <w:lang w:val="en-GB"/>
        </w:rPr>
        <w:t xml:space="preserve"> PBAC did not recommend</w:t>
      </w:r>
      <w:r w:rsidR="004F1DBE" w:rsidRPr="00072F49">
        <w:rPr>
          <w:lang w:val="en-GB"/>
        </w:rPr>
        <w:t xml:space="preserve"> pembrolizumab </w:t>
      </w:r>
      <w:r w:rsidR="00F44469" w:rsidRPr="00072F49">
        <w:rPr>
          <w:lang w:val="en-GB"/>
        </w:rPr>
        <w:t xml:space="preserve">for the </w:t>
      </w:r>
      <w:r w:rsidR="00A94C55" w:rsidRPr="00072F49">
        <w:rPr>
          <w:lang w:val="en-GB"/>
        </w:rPr>
        <w:t xml:space="preserve">treatment of </w:t>
      </w:r>
      <w:r w:rsidR="00D37906" w:rsidRPr="00072F49">
        <w:rPr>
          <w:lang w:val="en-GB"/>
        </w:rPr>
        <w:t xml:space="preserve">primary advanced or recurrent endometrial </w:t>
      </w:r>
      <w:r w:rsidR="00D37906" w:rsidRPr="00AB69E9">
        <w:rPr>
          <w:lang w:val="en-GB"/>
        </w:rPr>
        <w:t xml:space="preserve">cancer </w:t>
      </w:r>
      <w:r w:rsidR="00C03E7D" w:rsidRPr="00AB69E9">
        <w:rPr>
          <w:lang w:val="en-GB"/>
        </w:rPr>
        <w:t xml:space="preserve">in patients </w:t>
      </w:r>
      <w:r w:rsidR="00CE1527" w:rsidRPr="00AB69E9">
        <w:rPr>
          <w:lang w:val="en-GB"/>
        </w:rPr>
        <w:t>irrespective</w:t>
      </w:r>
      <w:r w:rsidR="00D37906" w:rsidRPr="00AB69E9">
        <w:rPr>
          <w:lang w:val="en-GB"/>
        </w:rPr>
        <w:t xml:space="preserve"> of </w:t>
      </w:r>
      <w:r w:rsidR="008D63F9" w:rsidRPr="00AB69E9">
        <w:rPr>
          <w:lang w:val="en-GB"/>
        </w:rPr>
        <w:t xml:space="preserve">their </w:t>
      </w:r>
      <w:r w:rsidR="00D37906" w:rsidRPr="00AB69E9">
        <w:rPr>
          <w:lang w:val="en-GB"/>
        </w:rPr>
        <w:t>mismatch repair (MMR) status.</w:t>
      </w:r>
      <w:r w:rsidR="00E16024" w:rsidRPr="00AB69E9">
        <w:rPr>
          <w:lang w:val="en-GB"/>
        </w:rPr>
        <w:t xml:space="preserve"> </w:t>
      </w:r>
      <w:r w:rsidR="00C919D4" w:rsidRPr="00AB69E9">
        <w:rPr>
          <w:lang w:val="en-GB"/>
        </w:rPr>
        <w:t>The PBAC co</w:t>
      </w:r>
      <w:r w:rsidR="00C919D4" w:rsidRPr="00072F49">
        <w:rPr>
          <w:lang w:val="en-GB"/>
        </w:rPr>
        <w:t xml:space="preserve">nsidered the </w:t>
      </w:r>
      <w:r w:rsidR="00D61421" w:rsidRPr="00072F49">
        <w:rPr>
          <w:lang w:val="en-GB"/>
        </w:rPr>
        <w:t>claim</w:t>
      </w:r>
      <w:r w:rsidR="00C919D4" w:rsidRPr="00072F49">
        <w:rPr>
          <w:lang w:val="en-GB"/>
        </w:rPr>
        <w:t xml:space="preserve"> of </w:t>
      </w:r>
      <w:r w:rsidR="00E16024" w:rsidRPr="00072F49">
        <w:rPr>
          <w:lang w:val="en-GB"/>
        </w:rPr>
        <w:t xml:space="preserve">non-inferior effectiveness versus dostarlimab and durvalumab in </w:t>
      </w:r>
      <w:r w:rsidR="00A804EF">
        <w:rPr>
          <w:lang w:val="en-GB"/>
        </w:rPr>
        <w:t>m</w:t>
      </w:r>
      <w:r w:rsidR="00A804EF" w:rsidRPr="00A804EF">
        <w:rPr>
          <w:lang w:val="en-GB"/>
        </w:rPr>
        <w:t xml:space="preserve">ismatch repair deficient </w:t>
      </w:r>
      <w:r w:rsidR="00A804EF">
        <w:rPr>
          <w:lang w:val="en-GB"/>
        </w:rPr>
        <w:t>(</w:t>
      </w:r>
      <w:r w:rsidR="00E16024" w:rsidRPr="00072F49">
        <w:rPr>
          <w:lang w:val="en-GB"/>
        </w:rPr>
        <w:t>dMMR</w:t>
      </w:r>
      <w:r w:rsidR="00A804EF">
        <w:rPr>
          <w:lang w:val="en-GB"/>
        </w:rPr>
        <w:t>)</w:t>
      </w:r>
      <w:r w:rsidR="00E16024" w:rsidRPr="00072F49">
        <w:rPr>
          <w:lang w:val="en-GB"/>
        </w:rPr>
        <w:t xml:space="preserve"> </w:t>
      </w:r>
      <w:r w:rsidR="00A804EF" w:rsidRPr="00072F49">
        <w:rPr>
          <w:lang w:val="en-GB"/>
        </w:rPr>
        <w:t>endometrial cancer</w:t>
      </w:r>
      <w:r w:rsidR="00E16024" w:rsidRPr="00072F49">
        <w:rPr>
          <w:lang w:val="en-GB"/>
        </w:rPr>
        <w:t xml:space="preserve"> </w:t>
      </w:r>
      <w:r w:rsidR="00C76437">
        <w:rPr>
          <w:lang w:val="en-GB"/>
        </w:rPr>
        <w:t>was</w:t>
      </w:r>
      <w:r w:rsidR="00E16024" w:rsidRPr="00072F49">
        <w:rPr>
          <w:lang w:val="en-GB"/>
        </w:rPr>
        <w:t xml:space="preserve"> not adequately supported by </w:t>
      </w:r>
      <w:r w:rsidR="00E16024" w:rsidRPr="004E3B44">
        <w:rPr>
          <w:lang w:val="en-GB"/>
        </w:rPr>
        <w:t xml:space="preserve">the evidence presented due to </w:t>
      </w:r>
      <w:r w:rsidR="0090415E" w:rsidRPr="004E3B44">
        <w:rPr>
          <w:lang w:val="en-GB"/>
        </w:rPr>
        <w:t>wide con</w:t>
      </w:r>
      <w:r w:rsidR="00DF16ED" w:rsidRPr="004E3B44">
        <w:rPr>
          <w:lang w:val="en-GB"/>
        </w:rPr>
        <w:t>fidence intervals</w:t>
      </w:r>
      <w:r w:rsidR="00FB5E99">
        <w:rPr>
          <w:lang w:val="en-GB"/>
        </w:rPr>
        <w:t xml:space="preserve"> for the </w:t>
      </w:r>
      <w:r w:rsidR="00AF0AD7">
        <w:rPr>
          <w:lang w:val="en-GB"/>
        </w:rPr>
        <w:t xml:space="preserve">progression-free survival (PFS) and overall survival (OS) hazard ratios (HRs) </w:t>
      </w:r>
      <w:r w:rsidR="00DF16ED" w:rsidRPr="004E3B44">
        <w:rPr>
          <w:lang w:val="en-GB"/>
        </w:rPr>
        <w:t xml:space="preserve">in the </w:t>
      </w:r>
      <w:r w:rsidR="00DA10D6" w:rsidRPr="004E3B44">
        <w:rPr>
          <w:lang w:val="en-GB"/>
        </w:rPr>
        <w:t>indirect treatment co</w:t>
      </w:r>
      <w:r w:rsidR="00DA10D6">
        <w:rPr>
          <w:lang w:val="en-GB"/>
        </w:rPr>
        <w:t>mparison</w:t>
      </w:r>
      <w:r w:rsidR="004E3B44">
        <w:rPr>
          <w:lang w:val="en-GB"/>
        </w:rPr>
        <w:t xml:space="preserve">, with point estimates that </w:t>
      </w:r>
      <w:r w:rsidR="00B601CD">
        <w:rPr>
          <w:lang w:val="en-GB"/>
        </w:rPr>
        <w:t>generally</w:t>
      </w:r>
      <w:r w:rsidR="004E3B44">
        <w:rPr>
          <w:lang w:val="en-GB"/>
        </w:rPr>
        <w:t xml:space="preserve"> favoured the comparators</w:t>
      </w:r>
      <w:r w:rsidR="00AF2BD3">
        <w:rPr>
          <w:lang w:val="en-GB"/>
        </w:rPr>
        <w:t>. The PBAC considered that these results</w:t>
      </w:r>
      <w:r w:rsidR="001163F3" w:rsidRPr="001163F3">
        <w:rPr>
          <w:lang w:val="en-GB"/>
        </w:rPr>
        <w:t xml:space="preserve"> did not sufficiently rule out the possibility of a conclusion of inferiority</w:t>
      </w:r>
      <w:r w:rsidR="00780407">
        <w:rPr>
          <w:lang w:val="en-GB"/>
        </w:rPr>
        <w:t xml:space="preserve">. The PBAC also considered this was in </w:t>
      </w:r>
      <w:r w:rsidR="00F55CAD">
        <w:rPr>
          <w:lang w:val="en-GB"/>
        </w:rPr>
        <w:t xml:space="preserve">the context of </w:t>
      </w:r>
      <w:r w:rsidR="002E0FDD">
        <w:rPr>
          <w:lang w:val="en-GB"/>
        </w:rPr>
        <w:t xml:space="preserve">limited </w:t>
      </w:r>
      <w:r w:rsidR="00327310" w:rsidRPr="00072F49">
        <w:rPr>
          <w:lang w:val="en-GB"/>
        </w:rPr>
        <w:t>clinical need for additional treatment option</w:t>
      </w:r>
      <w:r w:rsidR="00D3639F">
        <w:rPr>
          <w:lang w:val="en-GB"/>
        </w:rPr>
        <w:t>s</w:t>
      </w:r>
      <w:r w:rsidR="00327310" w:rsidRPr="00072F49">
        <w:rPr>
          <w:lang w:val="en-GB"/>
        </w:rPr>
        <w:t xml:space="preserve"> in </w:t>
      </w:r>
      <w:r w:rsidR="00BC2733" w:rsidRPr="00072F49">
        <w:rPr>
          <w:lang w:val="en-GB"/>
        </w:rPr>
        <w:t>dMMR endometrial cancer</w:t>
      </w:r>
      <w:r w:rsidR="00286191">
        <w:rPr>
          <w:lang w:val="en-GB"/>
        </w:rPr>
        <w:t xml:space="preserve"> </w:t>
      </w:r>
      <w:r w:rsidR="00D40A6C">
        <w:rPr>
          <w:lang w:val="en-GB"/>
        </w:rPr>
        <w:t xml:space="preserve">(i.e. </w:t>
      </w:r>
      <w:r w:rsidR="006F611F">
        <w:rPr>
          <w:lang w:val="en-GB"/>
        </w:rPr>
        <w:t xml:space="preserve">as </w:t>
      </w:r>
      <w:r w:rsidR="00792505" w:rsidRPr="00792505">
        <w:rPr>
          <w:lang w:val="en-GB"/>
        </w:rPr>
        <w:t>dostarlimab and durvalumab</w:t>
      </w:r>
      <w:r w:rsidR="00327310" w:rsidRPr="00072F49">
        <w:rPr>
          <w:lang w:val="en-GB"/>
        </w:rPr>
        <w:t xml:space="preserve"> are availabl</w:t>
      </w:r>
      <w:r w:rsidR="00792505">
        <w:rPr>
          <w:lang w:val="en-GB"/>
        </w:rPr>
        <w:t>e in this setting</w:t>
      </w:r>
      <w:r w:rsidR="00D40A6C">
        <w:rPr>
          <w:lang w:val="en-GB"/>
        </w:rPr>
        <w:t>)</w:t>
      </w:r>
      <w:r w:rsidR="00327310" w:rsidRPr="00072F49">
        <w:rPr>
          <w:lang w:val="en-GB"/>
        </w:rPr>
        <w:t xml:space="preserve">. </w:t>
      </w:r>
      <w:r w:rsidR="0009585C" w:rsidRPr="00072F49">
        <w:rPr>
          <w:lang w:val="en-GB"/>
        </w:rPr>
        <w:t xml:space="preserve">In the </w:t>
      </w:r>
      <w:r w:rsidR="007B1320">
        <w:rPr>
          <w:lang w:val="en-GB"/>
        </w:rPr>
        <w:t>m</w:t>
      </w:r>
      <w:r w:rsidR="007B1320" w:rsidRPr="007B1320">
        <w:rPr>
          <w:lang w:val="en-GB"/>
        </w:rPr>
        <w:t xml:space="preserve">ismatch repair proficient </w:t>
      </w:r>
      <w:r w:rsidR="007B1320">
        <w:rPr>
          <w:lang w:val="en-GB"/>
        </w:rPr>
        <w:t>(</w:t>
      </w:r>
      <w:r w:rsidR="0009585C" w:rsidRPr="00072F49">
        <w:rPr>
          <w:lang w:val="en-GB"/>
        </w:rPr>
        <w:t>pMMR</w:t>
      </w:r>
      <w:r w:rsidR="007B1320">
        <w:rPr>
          <w:lang w:val="en-GB"/>
        </w:rPr>
        <w:t>)</w:t>
      </w:r>
      <w:r w:rsidR="0009585C" w:rsidRPr="00072F49">
        <w:rPr>
          <w:lang w:val="en-GB"/>
        </w:rPr>
        <w:t xml:space="preserve"> population, the PBAC noted that the nominated comparators had not </w:t>
      </w:r>
      <w:r w:rsidR="001C5E7E" w:rsidRPr="00072F49">
        <w:rPr>
          <w:lang w:val="en-GB"/>
        </w:rPr>
        <w:t>received positive</w:t>
      </w:r>
      <w:r w:rsidR="0009585C" w:rsidRPr="00072F49">
        <w:rPr>
          <w:lang w:val="en-GB"/>
        </w:rPr>
        <w:t xml:space="preserve"> recommend</w:t>
      </w:r>
      <w:r w:rsidR="001C5E7E" w:rsidRPr="00072F49">
        <w:rPr>
          <w:lang w:val="en-GB"/>
        </w:rPr>
        <w:t xml:space="preserve">ations, and thus the cost-minimisation approaches (CMAs) presented were not relevant.  </w:t>
      </w:r>
    </w:p>
    <w:p w14:paraId="38F64CF7" w14:textId="77777777" w:rsidR="002C2D34" w:rsidRPr="00AB2A68" w:rsidRDefault="002C2D34" w:rsidP="002C2D34">
      <w:pPr>
        <w:widowControl w:val="0"/>
        <w:numPr>
          <w:ilvl w:val="1"/>
          <w:numId w:val="2"/>
        </w:numPr>
        <w:spacing w:after="120"/>
        <w:rPr>
          <w:rFonts w:asciiTheme="minorHAnsi" w:hAnsiTheme="minorHAnsi"/>
          <w:snapToGrid w:val="0"/>
          <w:lang w:val="en-GB"/>
        </w:rPr>
      </w:pPr>
      <w:r>
        <w:t>The primary reason for this outcome was due to the comparative clinical evidence.</w:t>
      </w:r>
    </w:p>
    <w:p w14:paraId="7984137E" w14:textId="6072EF58" w:rsidR="00464066" w:rsidRPr="00464066" w:rsidRDefault="00464066" w:rsidP="00464066">
      <w:pPr>
        <w:pStyle w:val="3-BodyText"/>
        <w:numPr>
          <w:ilvl w:val="0"/>
          <w:numId w:val="0"/>
        </w:numPr>
        <w:outlineLvl w:val="1"/>
        <w:rPr>
          <w:b/>
          <w:bCs/>
          <w:i/>
          <w:iCs/>
          <w:lang w:val="en-GB"/>
        </w:rPr>
      </w:pPr>
      <w:r w:rsidRPr="00464066">
        <w:rPr>
          <w:b/>
          <w:bCs/>
          <w:i/>
          <w:iCs/>
          <w:lang w:val="en-GB"/>
        </w:rPr>
        <w:t xml:space="preserve">pMMR population </w:t>
      </w:r>
    </w:p>
    <w:p w14:paraId="54024F96" w14:textId="3771E6C2" w:rsidR="00C87090" w:rsidRDefault="00C87090" w:rsidP="007D66C7">
      <w:pPr>
        <w:pStyle w:val="3-BodyText"/>
        <w:rPr>
          <w:lang w:val="en-GB"/>
        </w:rPr>
      </w:pPr>
      <w:r w:rsidRPr="00C87090">
        <w:rPr>
          <w:lang w:val="en-GB"/>
        </w:rPr>
        <w:t xml:space="preserve">The </w:t>
      </w:r>
      <w:r>
        <w:rPr>
          <w:lang w:val="en-GB"/>
        </w:rPr>
        <w:t xml:space="preserve">PBAC noted that the </w:t>
      </w:r>
      <w:r w:rsidRPr="00C87090">
        <w:rPr>
          <w:lang w:val="en-GB"/>
        </w:rPr>
        <w:t>submission</w:t>
      </w:r>
      <w:r>
        <w:rPr>
          <w:lang w:val="en-GB"/>
        </w:rPr>
        <w:t xml:space="preserve"> </w:t>
      </w:r>
      <w:r w:rsidR="000F4C57">
        <w:rPr>
          <w:lang w:val="en-GB"/>
        </w:rPr>
        <w:t xml:space="preserve">had </w:t>
      </w:r>
      <w:r w:rsidRPr="00C87090">
        <w:rPr>
          <w:lang w:val="en-GB"/>
        </w:rPr>
        <w:t>requested listing in both the dMMR and pMMR</w:t>
      </w:r>
      <w:r w:rsidR="00382C77">
        <w:rPr>
          <w:lang w:val="en-GB"/>
        </w:rPr>
        <w:t xml:space="preserve"> </w:t>
      </w:r>
      <w:r w:rsidRPr="00C87090">
        <w:rPr>
          <w:lang w:val="en-GB"/>
        </w:rPr>
        <w:t xml:space="preserve">populations. Listing in the pMMR population was requested on a cost-minimisation basis versus dostarlimab and durvalumab + olaparib, which were both under PBAC consideration at the time the submission was made. However, since that time, neither </w:t>
      </w:r>
      <w:r w:rsidR="009254BF">
        <w:rPr>
          <w:lang w:val="en-GB"/>
        </w:rPr>
        <w:t xml:space="preserve">therapy </w:t>
      </w:r>
      <w:r w:rsidR="00A7560C">
        <w:rPr>
          <w:lang w:val="en-GB"/>
        </w:rPr>
        <w:t xml:space="preserve">had </w:t>
      </w:r>
      <w:r w:rsidRPr="00C87090">
        <w:rPr>
          <w:lang w:val="en-GB"/>
        </w:rPr>
        <w:t xml:space="preserve">received a positive PBAC recommendation in the pMMR </w:t>
      </w:r>
      <w:r w:rsidRPr="00C87090">
        <w:rPr>
          <w:lang w:val="en-GB"/>
        </w:rPr>
        <w:lastRenderedPageBreak/>
        <w:t xml:space="preserve">population: dostarlimab was not recommended at the May 2025 PBAC meeting; and durvalumab + olaparib was deferred at the November 2024 PBAC meeting due to ongoing TGA considerations (refer to paragraph 1.2). The PSCR acknowledged that if neither dostarlimab nor durvalumab + olaparib were recommended for pMMR, then the most appropriate comparator would be platinum-based chemotherapy alone followed, in a proportion of patients, by second line pembrolizumab + lenvatinib. </w:t>
      </w:r>
      <w:r w:rsidR="00CD0073" w:rsidRPr="00CD0073">
        <w:rPr>
          <w:lang w:val="en-GB"/>
        </w:rPr>
        <w:t xml:space="preserve">Given the submission did not include an economic evaluation versus this comparator, the PSCR requested </w:t>
      </w:r>
      <w:r w:rsidR="007635C6">
        <w:rPr>
          <w:lang w:val="en-GB"/>
        </w:rPr>
        <w:t xml:space="preserve">that the PBAC’s </w:t>
      </w:r>
      <w:r w:rsidR="00CD0073" w:rsidRPr="00CD0073">
        <w:rPr>
          <w:lang w:val="en-GB"/>
        </w:rPr>
        <w:t xml:space="preserve">consideration of </w:t>
      </w:r>
      <w:r w:rsidR="007635C6">
        <w:rPr>
          <w:lang w:val="en-GB"/>
        </w:rPr>
        <w:t xml:space="preserve">this submission be limited to </w:t>
      </w:r>
      <w:r w:rsidR="00CD0073" w:rsidRPr="00CD0073">
        <w:rPr>
          <w:lang w:val="en-GB"/>
        </w:rPr>
        <w:t>the dMMR population only.</w:t>
      </w:r>
      <w:r w:rsidR="00CD0073">
        <w:rPr>
          <w:lang w:val="en-GB"/>
        </w:rPr>
        <w:t xml:space="preserve"> </w:t>
      </w:r>
    </w:p>
    <w:p w14:paraId="37235D50" w14:textId="53B96657" w:rsidR="00464066" w:rsidRPr="00464066" w:rsidRDefault="00464066" w:rsidP="00464066">
      <w:pPr>
        <w:pStyle w:val="3-BodyText"/>
        <w:numPr>
          <w:ilvl w:val="0"/>
          <w:numId w:val="0"/>
        </w:numPr>
        <w:outlineLvl w:val="1"/>
        <w:rPr>
          <w:b/>
          <w:bCs/>
          <w:i/>
          <w:iCs/>
          <w:lang w:val="en-GB"/>
        </w:rPr>
      </w:pPr>
      <w:r w:rsidRPr="00464066">
        <w:rPr>
          <w:b/>
          <w:bCs/>
          <w:i/>
          <w:iCs/>
          <w:lang w:val="en-GB"/>
        </w:rPr>
        <w:t>dMMR population</w:t>
      </w:r>
    </w:p>
    <w:p w14:paraId="16A46C4E" w14:textId="126C3F81" w:rsidR="00831B06" w:rsidRPr="00932991" w:rsidRDefault="00C70188" w:rsidP="00831B06">
      <w:pPr>
        <w:pStyle w:val="3-BodyText"/>
        <w:rPr>
          <w:lang w:val="en-GB"/>
        </w:rPr>
      </w:pPr>
      <w:r w:rsidRPr="00C70188">
        <w:rPr>
          <w:lang w:val="en-GB"/>
        </w:rPr>
        <w:t xml:space="preserve">The </w:t>
      </w:r>
      <w:r>
        <w:rPr>
          <w:lang w:val="en-GB"/>
        </w:rPr>
        <w:t xml:space="preserve">PBAC noted and welcomed the </w:t>
      </w:r>
      <w:r w:rsidR="000C54C6">
        <w:rPr>
          <w:lang w:val="en-GB"/>
        </w:rPr>
        <w:t xml:space="preserve">consumer </w:t>
      </w:r>
      <w:r w:rsidRPr="00C70188">
        <w:rPr>
          <w:lang w:val="en-GB"/>
        </w:rPr>
        <w:t>comments</w:t>
      </w:r>
      <w:r w:rsidR="000C54C6">
        <w:rPr>
          <w:lang w:val="en-GB"/>
        </w:rPr>
        <w:t>, which were from two organisations. The comments</w:t>
      </w:r>
      <w:r w:rsidRPr="00C70188">
        <w:rPr>
          <w:lang w:val="en-GB"/>
        </w:rPr>
        <w:t xml:space="preserve"> highlighted that </w:t>
      </w:r>
      <w:r w:rsidR="000042F9">
        <w:rPr>
          <w:lang w:val="en-GB"/>
        </w:rPr>
        <w:t>a</w:t>
      </w:r>
      <w:r w:rsidRPr="00C70188">
        <w:rPr>
          <w:lang w:val="en-GB"/>
        </w:rPr>
        <w:t xml:space="preserve"> key benefit of listing pembrolizumab (in the dMMR population) would be </w:t>
      </w:r>
      <w:r w:rsidR="00797A03">
        <w:rPr>
          <w:lang w:val="en-GB"/>
        </w:rPr>
        <w:t>that it would provide</w:t>
      </w:r>
      <w:r w:rsidRPr="00C70188">
        <w:rPr>
          <w:lang w:val="en-GB"/>
        </w:rPr>
        <w:t xml:space="preserve"> an alternative treatment option. </w:t>
      </w:r>
      <w:r w:rsidR="00124CBC">
        <w:rPr>
          <w:lang w:val="en-GB"/>
        </w:rPr>
        <w:t xml:space="preserve">Overall, in the population with dMMR endometrial cancer, the PBAC considered the clinical need </w:t>
      </w:r>
      <w:r w:rsidR="00124CBC">
        <w:rPr>
          <w:bCs/>
        </w:rPr>
        <w:t xml:space="preserve">for new therapies </w:t>
      </w:r>
      <w:r w:rsidR="00124CBC">
        <w:rPr>
          <w:lang w:val="en-GB"/>
        </w:rPr>
        <w:t xml:space="preserve">was limited given </w:t>
      </w:r>
      <w:r w:rsidR="00124CBC" w:rsidRPr="00C87090">
        <w:rPr>
          <w:lang w:val="en-GB"/>
        </w:rPr>
        <w:t xml:space="preserve">dostarlimab and durvalumab </w:t>
      </w:r>
      <w:r w:rsidR="00124CBC">
        <w:rPr>
          <w:lang w:val="en-GB"/>
        </w:rPr>
        <w:t xml:space="preserve">are available. </w:t>
      </w:r>
      <w:r w:rsidR="00124CBC" w:rsidRPr="00932991">
        <w:rPr>
          <w:lang w:val="en-GB"/>
        </w:rPr>
        <w:t>However, t</w:t>
      </w:r>
      <w:r w:rsidR="00831B06" w:rsidRPr="00932991">
        <w:rPr>
          <w:lang w:val="en-GB"/>
        </w:rPr>
        <w:t xml:space="preserve">he PBAC </w:t>
      </w:r>
      <w:r w:rsidR="00C35001" w:rsidRPr="00932991">
        <w:rPr>
          <w:lang w:val="en-GB"/>
        </w:rPr>
        <w:t xml:space="preserve">acknowledged that </w:t>
      </w:r>
      <w:r w:rsidR="00831B06" w:rsidRPr="00932991">
        <w:rPr>
          <w:lang w:val="en-GB"/>
        </w:rPr>
        <w:t xml:space="preserve">an advantage of pembrolizumab </w:t>
      </w:r>
      <w:r w:rsidR="00CE2FE6" w:rsidRPr="00932991">
        <w:rPr>
          <w:lang w:val="en-GB"/>
        </w:rPr>
        <w:t>compared with</w:t>
      </w:r>
      <w:r w:rsidR="00831B06" w:rsidRPr="00932991">
        <w:rPr>
          <w:lang w:val="en-GB"/>
        </w:rPr>
        <w:t xml:space="preserve"> </w:t>
      </w:r>
      <w:r w:rsidR="0005195B" w:rsidRPr="00932991">
        <w:rPr>
          <w:lang w:val="en-GB"/>
        </w:rPr>
        <w:t xml:space="preserve">dostarlimab </w:t>
      </w:r>
      <w:r w:rsidR="00CE2FE6" w:rsidRPr="00932991">
        <w:rPr>
          <w:lang w:val="en-GB"/>
        </w:rPr>
        <w:t>or</w:t>
      </w:r>
      <w:r w:rsidR="0005195B" w:rsidRPr="00932991">
        <w:rPr>
          <w:lang w:val="en-GB"/>
        </w:rPr>
        <w:t xml:space="preserve"> durvalumab </w:t>
      </w:r>
      <w:r w:rsidR="00831B06" w:rsidRPr="00932991">
        <w:rPr>
          <w:lang w:val="en-GB"/>
        </w:rPr>
        <w:t xml:space="preserve">would be </w:t>
      </w:r>
      <w:r w:rsidR="00CE2FE6" w:rsidRPr="00932991">
        <w:rPr>
          <w:lang w:val="en-GB"/>
        </w:rPr>
        <w:t xml:space="preserve">its </w:t>
      </w:r>
      <w:r w:rsidR="0005195B" w:rsidRPr="00932991">
        <w:rPr>
          <w:lang w:val="en-GB"/>
        </w:rPr>
        <w:t xml:space="preserve">shorter </w:t>
      </w:r>
      <w:r w:rsidR="00831B06" w:rsidRPr="00932991">
        <w:rPr>
          <w:lang w:val="en-GB"/>
        </w:rPr>
        <w:t xml:space="preserve">maximum </w:t>
      </w:r>
      <w:r w:rsidR="0005195B" w:rsidRPr="00932991">
        <w:rPr>
          <w:lang w:val="en-GB"/>
        </w:rPr>
        <w:t>treatment duration (two years for pembrolizumab versus three years for d</w:t>
      </w:r>
      <w:r w:rsidR="00831B06" w:rsidRPr="00932991">
        <w:rPr>
          <w:lang w:val="en-GB"/>
        </w:rPr>
        <w:t>ostarlimab</w:t>
      </w:r>
      <w:r w:rsidR="00537F9E">
        <w:rPr>
          <w:lang w:val="en-GB"/>
        </w:rPr>
        <w:t xml:space="preserve"> or durvalumab</w:t>
      </w:r>
      <w:r w:rsidR="0005195B" w:rsidRPr="00932991">
        <w:rPr>
          <w:lang w:val="en-GB"/>
        </w:rPr>
        <w:t>).</w:t>
      </w:r>
      <w:r w:rsidR="00831B06" w:rsidRPr="00932991">
        <w:rPr>
          <w:lang w:val="en-GB"/>
        </w:rPr>
        <w:t xml:space="preserve"> </w:t>
      </w:r>
    </w:p>
    <w:p w14:paraId="47BF0C06" w14:textId="7F029189" w:rsidR="00533911" w:rsidRPr="00533911" w:rsidRDefault="006B45BA" w:rsidP="007D66C7">
      <w:pPr>
        <w:pStyle w:val="3-BodyText"/>
        <w:rPr>
          <w:lang w:val="en-GB"/>
        </w:rPr>
      </w:pPr>
      <w:r>
        <w:rPr>
          <w:lang w:val="en-GB"/>
        </w:rPr>
        <w:t xml:space="preserve">In the dMMR population, the PBAC </w:t>
      </w:r>
      <w:r w:rsidR="00B37FDE">
        <w:rPr>
          <w:lang w:val="en-GB"/>
        </w:rPr>
        <w:t>noted</w:t>
      </w:r>
      <w:r>
        <w:rPr>
          <w:lang w:val="en-GB"/>
        </w:rPr>
        <w:t xml:space="preserve"> that the submission nominated </w:t>
      </w:r>
      <w:r w:rsidR="00B37FDE">
        <w:rPr>
          <w:lang w:val="en-GB"/>
        </w:rPr>
        <w:t xml:space="preserve">dostarlimab as the main </w:t>
      </w:r>
      <w:r>
        <w:rPr>
          <w:lang w:val="en-GB"/>
        </w:rPr>
        <w:t xml:space="preserve">comparator </w:t>
      </w:r>
      <w:r w:rsidR="00B37FDE">
        <w:rPr>
          <w:lang w:val="en-GB"/>
        </w:rPr>
        <w:t>and</w:t>
      </w:r>
      <w:r w:rsidR="0037591A" w:rsidRPr="0037591A">
        <w:rPr>
          <w:lang w:val="en-GB"/>
        </w:rPr>
        <w:t xml:space="preserve"> durvalumab</w:t>
      </w:r>
      <w:r w:rsidR="00B37FDE">
        <w:rPr>
          <w:lang w:val="en-GB"/>
        </w:rPr>
        <w:t xml:space="preserve"> as a secondary comparator </w:t>
      </w:r>
      <w:r w:rsidR="005020B2">
        <w:rPr>
          <w:lang w:val="en-GB"/>
        </w:rPr>
        <w:t>(</w:t>
      </w:r>
      <w:r w:rsidR="002E05C8">
        <w:rPr>
          <w:lang w:val="en-GB"/>
        </w:rPr>
        <w:t>as</w:t>
      </w:r>
      <w:r w:rsidR="005020B2">
        <w:rPr>
          <w:lang w:val="en-GB"/>
        </w:rPr>
        <w:t xml:space="preserve"> </w:t>
      </w:r>
      <w:r w:rsidR="005020B2" w:rsidRPr="005020B2">
        <w:rPr>
          <w:lang w:val="en-GB"/>
        </w:rPr>
        <w:t>it received a positive recommendation at the November 2024 PBAC Meeting</w:t>
      </w:r>
      <w:r w:rsidR="005020B2">
        <w:rPr>
          <w:lang w:val="en-GB"/>
        </w:rPr>
        <w:t xml:space="preserve"> but was not listed at the time of PBAC consideration</w:t>
      </w:r>
      <w:r w:rsidR="002E05C8">
        <w:rPr>
          <w:lang w:val="en-GB"/>
        </w:rPr>
        <w:t>)</w:t>
      </w:r>
      <w:r w:rsidR="005020B2">
        <w:rPr>
          <w:lang w:val="en-GB"/>
        </w:rPr>
        <w:t xml:space="preserve">. The PBAC considered the comparators nominated by the submission were appropriate. </w:t>
      </w:r>
    </w:p>
    <w:p w14:paraId="3377C546" w14:textId="4FF6905A" w:rsidR="001320FB" w:rsidRDefault="00A06A1E" w:rsidP="007D66C7">
      <w:pPr>
        <w:pStyle w:val="3-BodyText"/>
        <w:rPr>
          <w:lang w:val="en-GB"/>
        </w:rPr>
      </w:pPr>
      <w:r>
        <w:rPr>
          <w:lang w:val="en-GB"/>
        </w:rPr>
        <w:t xml:space="preserve">The clinical claim </w:t>
      </w:r>
      <w:r w:rsidR="00481CA4">
        <w:rPr>
          <w:lang w:val="en-GB"/>
        </w:rPr>
        <w:t xml:space="preserve">in </w:t>
      </w:r>
      <w:r w:rsidR="000D4BBD">
        <w:rPr>
          <w:lang w:val="en-GB"/>
        </w:rPr>
        <w:t xml:space="preserve">the </w:t>
      </w:r>
      <w:r w:rsidR="00481CA4">
        <w:rPr>
          <w:lang w:val="en-GB"/>
        </w:rPr>
        <w:t xml:space="preserve">dMMR </w:t>
      </w:r>
      <w:r w:rsidR="000D4BBD">
        <w:rPr>
          <w:lang w:val="en-GB"/>
        </w:rPr>
        <w:t xml:space="preserve">population </w:t>
      </w:r>
      <w:r>
        <w:rPr>
          <w:lang w:val="en-GB"/>
        </w:rPr>
        <w:t xml:space="preserve">was based on </w:t>
      </w:r>
      <w:r w:rsidR="00C632D9">
        <w:rPr>
          <w:lang w:val="en-GB"/>
        </w:rPr>
        <w:t>a</w:t>
      </w:r>
      <w:r w:rsidR="00C66DB3">
        <w:rPr>
          <w:lang w:val="en-GB"/>
        </w:rPr>
        <w:t xml:space="preserve">n </w:t>
      </w:r>
      <w:r w:rsidR="009D207C" w:rsidRPr="009D207C">
        <w:rPr>
          <w:lang w:val="en-GB"/>
        </w:rPr>
        <w:t xml:space="preserve">indirect comparison </w:t>
      </w:r>
      <w:r w:rsidR="00481CA4" w:rsidRPr="00481CA4">
        <w:rPr>
          <w:lang w:val="en-GB"/>
        </w:rPr>
        <w:t xml:space="preserve">between pembrolizumab (informed by </w:t>
      </w:r>
      <w:r w:rsidR="00136DDA" w:rsidRPr="00481CA4">
        <w:rPr>
          <w:lang w:val="en-GB"/>
        </w:rPr>
        <w:t>NRG-GY018</w:t>
      </w:r>
      <w:r w:rsidR="00481CA4" w:rsidRPr="00481CA4">
        <w:rPr>
          <w:lang w:val="en-GB"/>
        </w:rPr>
        <w:t xml:space="preserve">), </w:t>
      </w:r>
      <w:r w:rsidR="00481CA4">
        <w:rPr>
          <w:lang w:val="en-GB"/>
        </w:rPr>
        <w:t>dostarlimab</w:t>
      </w:r>
      <w:r w:rsidR="00481CA4" w:rsidRPr="00481CA4">
        <w:rPr>
          <w:lang w:val="en-GB"/>
        </w:rPr>
        <w:t xml:space="preserve"> (informed by RUBY</w:t>
      </w:r>
      <w:r w:rsidR="00284101">
        <w:rPr>
          <w:lang w:val="en-GB"/>
        </w:rPr>
        <w:t>-</w:t>
      </w:r>
      <w:r w:rsidR="00481CA4" w:rsidRPr="00481CA4">
        <w:rPr>
          <w:lang w:val="en-GB"/>
        </w:rPr>
        <w:t xml:space="preserve">1) and </w:t>
      </w:r>
      <w:r w:rsidR="00481CA4">
        <w:rPr>
          <w:lang w:val="en-GB"/>
        </w:rPr>
        <w:t>durvalumab</w:t>
      </w:r>
      <w:r w:rsidR="00481CA4" w:rsidRPr="00481CA4">
        <w:rPr>
          <w:lang w:val="en-GB"/>
        </w:rPr>
        <w:t xml:space="preserve"> (informed by DUO-E) using placebo as the common comparator. </w:t>
      </w:r>
      <w:r w:rsidR="00481CA4">
        <w:rPr>
          <w:lang w:val="en-GB"/>
        </w:rPr>
        <w:t xml:space="preserve">The PBAC noted </w:t>
      </w:r>
      <w:r w:rsidR="00734FAB">
        <w:rPr>
          <w:lang w:val="en-GB"/>
        </w:rPr>
        <w:t>t</w:t>
      </w:r>
      <w:r w:rsidR="00734FAB" w:rsidRPr="00734FAB">
        <w:rPr>
          <w:lang w:val="en-GB"/>
        </w:rPr>
        <w:t>he confidence intervals were wide</w:t>
      </w:r>
      <w:r w:rsidR="0081252C">
        <w:rPr>
          <w:lang w:val="en-GB"/>
        </w:rPr>
        <w:t>, for example</w:t>
      </w:r>
      <w:r w:rsidR="00734FAB" w:rsidRPr="00734FAB">
        <w:rPr>
          <w:lang w:val="en-GB"/>
        </w:rPr>
        <w:t xml:space="preserve"> the Bucher </w:t>
      </w:r>
      <w:r w:rsidR="00A37412" w:rsidRPr="009D207C">
        <w:rPr>
          <w:lang w:val="en-GB"/>
        </w:rPr>
        <w:t xml:space="preserve">indirect comparison </w:t>
      </w:r>
      <w:r w:rsidR="00734FAB" w:rsidRPr="00734FAB">
        <w:rPr>
          <w:lang w:val="en-GB"/>
        </w:rPr>
        <w:t xml:space="preserve">between </w:t>
      </w:r>
      <w:r w:rsidR="00A37412">
        <w:rPr>
          <w:lang w:val="en-GB"/>
        </w:rPr>
        <w:t xml:space="preserve">pembrolizumab and dostarlimab </w:t>
      </w:r>
      <w:r w:rsidR="00734FAB" w:rsidRPr="00734FAB">
        <w:rPr>
          <w:lang w:val="en-GB"/>
        </w:rPr>
        <w:t xml:space="preserve">reported a </w:t>
      </w:r>
      <w:r w:rsidR="00241EDA">
        <w:rPr>
          <w:lang w:val="en-GB"/>
        </w:rPr>
        <w:t>progression</w:t>
      </w:r>
      <w:r w:rsidR="007207F0">
        <w:rPr>
          <w:lang w:val="en-GB"/>
        </w:rPr>
        <w:t>-</w:t>
      </w:r>
      <w:r w:rsidR="00241EDA">
        <w:rPr>
          <w:lang w:val="en-GB"/>
        </w:rPr>
        <w:t>free survival (</w:t>
      </w:r>
      <w:r w:rsidR="00734FAB" w:rsidRPr="00734FAB">
        <w:rPr>
          <w:lang w:val="en-GB"/>
        </w:rPr>
        <w:t>PFS</w:t>
      </w:r>
      <w:r w:rsidR="00241EDA">
        <w:rPr>
          <w:lang w:val="en-GB"/>
        </w:rPr>
        <w:t>)</w:t>
      </w:r>
      <w:r w:rsidR="00734FAB" w:rsidRPr="00734FAB">
        <w:rPr>
          <w:lang w:val="en-GB"/>
        </w:rPr>
        <w:t xml:space="preserve"> </w:t>
      </w:r>
      <w:r w:rsidR="00241EDA">
        <w:rPr>
          <w:lang w:val="en-GB"/>
        </w:rPr>
        <w:t>hazard ratio (</w:t>
      </w:r>
      <w:r w:rsidR="00734FAB" w:rsidRPr="00734FAB">
        <w:rPr>
          <w:lang w:val="en-GB"/>
        </w:rPr>
        <w:t>HR</w:t>
      </w:r>
      <w:r w:rsidR="00241EDA">
        <w:rPr>
          <w:lang w:val="en-GB"/>
        </w:rPr>
        <w:t>)</w:t>
      </w:r>
      <w:r w:rsidR="00734FAB" w:rsidRPr="00734FAB">
        <w:rPr>
          <w:lang w:val="en-GB"/>
        </w:rPr>
        <w:t xml:space="preserve"> of 1.24 (95% CI: 0.62, 2.49) and an </w:t>
      </w:r>
      <w:r w:rsidR="00241EDA">
        <w:rPr>
          <w:lang w:val="en-GB"/>
        </w:rPr>
        <w:t>overall survival (</w:t>
      </w:r>
      <w:r w:rsidR="00734FAB" w:rsidRPr="00734FAB">
        <w:rPr>
          <w:lang w:val="en-GB"/>
        </w:rPr>
        <w:t>OS</w:t>
      </w:r>
      <w:r w:rsidR="00241EDA">
        <w:rPr>
          <w:lang w:val="en-GB"/>
        </w:rPr>
        <w:t>)</w:t>
      </w:r>
      <w:r w:rsidR="00734FAB" w:rsidRPr="00734FAB">
        <w:rPr>
          <w:lang w:val="en-GB"/>
        </w:rPr>
        <w:t xml:space="preserve"> HR of 1.77 (95% CI: 0.73, 4.34)</w:t>
      </w:r>
      <w:r w:rsidR="0081252C">
        <w:rPr>
          <w:lang w:val="en-GB"/>
        </w:rPr>
        <w:t xml:space="preserve">. </w:t>
      </w:r>
      <w:r w:rsidR="000B6641">
        <w:rPr>
          <w:lang w:val="en-GB"/>
        </w:rPr>
        <w:t>T</w:t>
      </w:r>
      <w:r w:rsidR="0081252C">
        <w:rPr>
          <w:lang w:val="en-GB"/>
        </w:rPr>
        <w:t xml:space="preserve">he results versus durvalumab </w:t>
      </w:r>
      <w:r w:rsidR="000B6641">
        <w:rPr>
          <w:lang w:val="en-GB"/>
        </w:rPr>
        <w:t xml:space="preserve">were similar with the </w:t>
      </w:r>
      <w:r w:rsidR="0081252C" w:rsidRPr="00734FAB">
        <w:rPr>
          <w:lang w:val="en-GB"/>
        </w:rPr>
        <w:t xml:space="preserve">Bucher </w:t>
      </w:r>
      <w:r w:rsidR="0081252C" w:rsidRPr="009D207C">
        <w:rPr>
          <w:lang w:val="en-GB"/>
        </w:rPr>
        <w:t xml:space="preserve">indirect comparison </w:t>
      </w:r>
      <w:r w:rsidR="0081252C" w:rsidRPr="00734FAB">
        <w:rPr>
          <w:lang w:val="en-GB"/>
        </w:rPr>
        <w:t xml:space="preserve">between </w:t>
      </w:r>
      <w:r w:rsidR="0081252C">
        <w:rPr>
          <w:lang w:val="en-GB"/>
        </w:rPr>
        <w:t xml:space="preserve">pembrolizumab and </w:t>
      </w:r>
      <w:r w:rsidR="000B6641">
        <w:rPr>
          <w:lang w:val="en-GB"/>
        </w:rPr>
        <w:t>durvalumab</w:t>
      </w:r>
      <w:r w:rsidR="0081252C">
        <w:rPr>
          <w:lang w:val="en-GB"/>
        </w:rPr>
        <w:t xml:space="preserve"> </w:t>
      </w:r>
      <w:r w:rsidR="0081252C" w:rsidRPr="00734FAB">
        <w:rPr>
          <w:lang w:val="en-GB"/>
        </w:rPr>
        <w:t>report</w:t>
      </w:r>
      <w:r w:rsidR="000B6641">
        <w:rPr>
          <w:lang w:val="en-GB"/>
        </w:rPr>
        <w:t>ing</w:t>
      </w:r>
      <w:r w:rsidR="0081252C" w:rsidRPr="00734FAB">
        <w:rPr>
          <w:lang w:val="en-GB"/>
        </w:rPr>
        <w:t xml:space="preserve"> a PFS HR of </w:t>
      </w:r>
      <w:r w:rsidR="003708EC" w:rsidRPr="003708EC">
        <w:rPr>
          <w:lang w:val="en-GB"/>
        </w:rPr>
        <w:t xml:space="preserve">0.83 </w:t>
      </w:r>
      <w:r w:rsidR="0081252C" w:rsidRPr="00734FAB">
        <w:rPr>
          <w:lang w:val="en-GB"/>
        </w:rPr>
        <w:t>(95% CI</w:t>
      </w:r>
      <w:r w:rsidR="003708EC">
        <w:rPr>
          <w:lang w:val="en-GB"/>
        </w:rPr>
        <w:t xml:space="preserve">: </w:t>
      </w:r>
      <w:r w:rsidR="003708EC" w:rsidRPr="003708EC">
        <w:rPr>
          <w:lang w:val="en-GB"/>
        </w:rPr>
        <w:t>0.39, 1.77</w:t>
      </w:r>
      <w:r w:rsidR="0081252C" w:rsidRPr="00734FAB">
        <w:rPr>
          <w:lang w:val="en-GB"/>
        </w:rPr>
        <w:t>) and an OS HR of 1.</w:t>
      </w:r>
      <w:r w:rsidR="002A0E39">
        <w:rPr>
          <w:lang w:val="en-GB"/>
        </w:rPr>
        <w:t>6</w:t>
      </w:r>
      <w:r w:rsidR="0081252C" w:rsidRPr="00734FAB">
        <w:rPr>
          <w:lang w:val="en-GB"/>
        </w:rPr>
        <w:t>7 (95% CI: 0.</w:t>
      </w:r>
      <w:r w:rsidR="002A0E39">
        <w:rPr>
          <w:lang w:val="en-GB"/>
        </w:rPr>
        <w:t>56</w:t>
      </w:r>
      <w:r w:rsidR="0081252C" w:rsidRPr="00734FAB">
        <w:rPr>
          <w:lang w:val="en-GB"/>
        </w:rPr>
        <w:t>, 4.</w:t>
      </w:r>
      <w:r w:rsidR="002A0E39">
        <w:rPr>
          <w:lang w:val="en-GB"/>
        </w:rPr>
        <w:t>96</w:t>
      </w:r>
      <w:r w:rsidR="0081252C" w:rsidRPr="00734FAB">
        <w:rPr>
          <w:lang w:val="en-GB"/>
        </w:rPr>
        <w:t>)</w:t>
      </w:r>
      <w:r w:rsidR="002A0E39">
        <w:rPr>
          <w:lang w:val="en-GB"/>
        </w:rPr>
        <w:t>.</w:t>
      </w:r>
      <w:r w:rsidR="00C36E0F" w:rsidRPr="00C36E0F">
        <w:t xml:space="preserve"> </w:t>
      </w:r>
      <w:r w:rsidR="0090415E" w:rsidRPr="000168C7">
        <w:t>T</w:t>
      </w:r>
      <w:r w:rsidR="00862354" w:rsidRPr="000168C7">
        <w:t xml:space="preserve">he PBAC </w:t>
      </w:r>
      <w:r w:rsidR="0060480B" w:rsidRPr="000168C7">
        <w:t xml:space="preserve">considered that </w:t>
      </w:r>
      <w:r w:rsidR="001D59C4" w:rsidRPr="000168C7">
        <w:t xml:space="preserve">the </w:t>
      </w:r>
      <w:r w:rsidR="00091B3C" w:rsidRPr="000168C7">
        <w:t>wide confidence intervals</w:t>
      </w:r>
      <w:r w:rsidR="000168C7" w:rsidRPr="000168C7">
        <w:t xml:space="preserve">, with point estimates </w:t>
      </w:r>
      <w:r w:rsidR="00B601CD">
        <w:t>generally</w:t>
      </w:r>
      <w:r w:rsidR="000168C7" w:rsidRPr="000168C7">
        <w:t xml:space="preserve"> favouring the comparators, </w:t>
      </w:r>
      <w:r w:rsidR="00091B3C" w:rsidRPr="000168C7">
        <w:t>did not sufficiently rule out the possibility of a conclusion of inferiority</w:t>
      </w:r>
      <w:r w:rsidR="00E37B32" w:rsidRPr="000168C7">
        <w:t>.</w:t>
      </w:r>
      <w:r w:rsidR="00746E7C" w:rsidRPr="000168C7">
        <w:t xml:space="preserve"> Overall,</w:t>
      </w:r>
      <w:r w:rsidR="00746E7C">
        <w:t xml:space="preserve"> the PBAC considered that the</w:t>
      </w:r>
      <w:r w:rsidR="00746E7C" w:rsidRPr="00746E7C">
        <w:t xml:space="preserve"> claim of non-inferior efficacy </w:t>
      </w:r>
      <w:r w:rsidR="00746E7C">
        <w:t xml:space="preserve">versus dostarlimab and durvalumab </w:t>
      </w:r>
      <w:r w:rsidR="00746E7C" w:rsidRPr="00746E7C">
        <w:t>was not adequately supported by the information provided in the submission.</w:t>
      </w:r>
    </w:p>
    <w:p w14:paraId="43067B03" w14:textId="3B6D4DCC" w:rsidR="004A3EAD" w:rsidRDefault="00543F56" w:rsidP="004A3EAD">
      <w:pPr>
        <w:pStyle w:val="3-BodyText"/>
        <w:rPr>
          <w:lang w:val="en-GB"/>
        </w:rPr>
      </w:pPr>
      <w:r w:rsidRPr="001A337C">
        <w:rPr>
          <w:lang w:val="en-GB"/>
        </w:rPr>
        <w:t xml:space="preserve">The PBAC acknowledged that </w:t>
      </w:r>
      <w:r w:rsidR="003344D1" w:rsidRPr="001A337C">
        <w:rPr>
          <w:lang w:val="en-GB"/>
        </w:rPr>
        <w:t>event rates were different</w:t>
      </w:r>
      <w:r w:rsidR="003344D1" w:rsidRPr="003344D1">
        <w:rPr>
          <w:lang w:val="en-GB"/>
        </w:rPr>
        <w:t xml:space="preserve"> in the common comparator arms </w:t>
      </w:r>
      <w:r w:rsidR="003344D1">
        <w:rPr>
          <w:lang w:val="en-GB"/>
        </w:rPr>
        <w:t xml:space="preserve">of the trials included in the indirect </w:t>
      </w:r>
      <w:r w:rsidR="003167AB">
        <w:rPr>
          <w:lang w:val="en-GB"/>
        </w:rPr>
        <w:t>c</w:t>
      </w:r>
      <w:r w:rsidR="003344D1">
        <w:rPr>
          <w:lang w:val="en-GB"/>
        </w:rPr>
        <w:t xml:space="preserve">omparison, and that a key reason for this </w:t>
      </w:r>
      <w:r w:rsidR="001A337C">
        <w:rPr>
          <w:lang w:val="en-GB"/>
        </w:rPr>
        <w:t>may have been</w:t>
      </w:r>
      <w:r w:rsidR="003344D1" w:rsidRPr="003344D1">
        <w:rPr>
          <w:lang w:val="en-GB"/>
        </w:rPr>
        <w:t xml:space="preserve"> the early </w:t>
      </w:r>
      <w:r w:rsidR="00336126">
        <w:rPr>
          <w:lang w:val="en-GB"/>
        </w:rPr>
        <w:t>treatment switching</w:t>
      </w:r>
      <w:r w:rsidR="003344D1" w:rsidRPr="003344D1">
        <w:rPr>
          <w:lang w:val="en-GB"/>
        </w:rPr>
        <w:t xml:space="preserve"> </w:t>
      </w:r>
      <w:r w:rsidR="00336126">
        <w:rPr>
          <w:lang w:val="en-GB"/>
        </w:rPr>
        <w:t xml:space="preserve">that occurred </w:t>
      </w:r>
      <w:r w:rsidR="003344D1" w:rsidRPr="003344D1">
        <w:rPr>
          <w:lang w:val="en-GB"/>
        </w:rPr>
        <w:t xml:space="preserve">in </w:t>
      </w:r>
      <w:r w:rsidR="00336126">
        <w:rPr>
          <w:lang w:val="en-GB"/>
        </w:rPr>
        <w:t xml:space="preserve">the </w:t>
      </w:r>
      <w:r w:rsidR="003344D1" w:rsidRPr="003344D1">
        <w:rPr>
          <w:lang w:val="en-GB"/>
        </w:rPr>
        <w:t xml:space="preserve">NRG-GY018 </w:t>
      </w:r>
      <w:r w:rsidR="00336126">
        <w:rPr>
          <w:lang w:val="en-GB"/>
        </w:rPr>
        <w:t>trial</w:t>
      </w:r>
      <w:r w:rsidR="002130E7">
        <w:rPr>
          <w:lang w:val="en-GB"/>
        </w:rPr>
        <w:t xml:space="preserve">. </w:t>
      </w:r>
      <w:r w:rsidR="002130E7">
        <w:rPr>
          <w:lang w:val="en-GB"/>
        </w:rPr>
        <w:lastRenderedPageBreak/>
        <w:t>The</w:t>
      </w:r>
      <w:r w:rsidR="001A337C" w:rsidRPr="001A337C">
        <w:rPr>
          <w:lang w:val="en-GB"/>
        </w:rPr>
        <w:t xml:space="preserve"> </w:t>
      </w:r>
      <w:r w:rsidR="00C5575E" w:rsidRPr="003344D1">
        <w:rPr>
          <w:lang w:val="en-GB"/>
        </w:rPr>
        <w:t xml:space="preserve">NRG-GY018 </w:t>
      </w:r>
      <w:r w:rsidR="002130E7">
        <w:rPr>
          <w:lang w:val="en-GB"/>
        </w:rPr>
        <w:t xml:space="preserve">trial </w:t>
      </w:r>
      <w:r w:rsidR="001A337C">
        <w:rPr>
          <w:lang w:val="en-GB"/>
        </w:rPr>
        <w:t xml:space="preserve">was unblinded </w:t>
      </w:r>
      <w:r w:rsidR="001A337C" w:rsidRPr="00AD5FB1">
        <w:rPr>
          <w:lang w:val="en-GB"/>
        </w:rPr>
        <w:t xml:space="preserve">after </w:t>
      </w:r>
      <w:r w:rsidR="002130E7" w:rsidRPr="00AB6F27">
        <w:t>interim analysis 1</w:t>
      </w:r>
      <w:r w:rsidR="002130E7">
        <w:t xml:space="preserve"> (IA1</w:t>
      </w:r>
      <w:r w:rsidR="006C5A96">
        <w:t>,</w:t>
      </w:r>
      <w:r w:rsidR="006C5A96" w:rsidRPr="006C5A96">
        <w:t xml:space="preserve"> median follow-up of 13.6 months</w:t>
      </w:r>
      <w:r w:rsidR="002130E7">
        <w:t>)</w:t>
      </w:r>
      <w:r w:rsidR="001A337C">
        <w:rPr>
          <w:lang w:val="en-GB"/>
        </w:rPr>
        <w:t xml:space="preserve">, which led to </w:t>
      </w:r>
      <w:r w:rsidR="001A337C" w:rsidRPr="0004237D">
        <w:rPr>
          <w:lang w:val="en-GB"/>
        </w:rPr>
        <w:t xml:space="preserve">some </w:t>
      </w:r>
      <w:r w:rsidR="001A337C">
        <w:rPr>
          <w:lang w:val="en-GB"/>
        </w:rPr>
        <w:t xml:space="preserve">placebo-randomised </w:t>
      </w:r>
      <w:r w:rsidR="001A337C" w:rsidRPr="0004237D">
        <w:rPr>
          <w:lang w:val="en-GB"/>
        </w:rPr>
        <w:t>patients commenc</w:t>
      </w:r>
      <w:r w:rsidR="001A337C">
        <w:rPr>
          <w:lang w:val="en-GB"/>
        </w:rPr>
        <w:t>ing</w:t>
      </w:r>
      <w:r w:rsidR="001A337C" w:rsidRPr="0004237D">
        <w:rPr>
          <w:lang w:val="en-GB"/>
        </w:rPr>
        <w:t xml:space="preserve"> immunotherapy prior to disease progression</w:t>
      </w:r>
      <w:r w:rsidR="001A337C">
        <w:rPr>
          <w:lang w:val="en-GB"/>
        </w:rPr>
        <w:t xml:space="preserve">. </w:t>
      </w:r>
      <w:r w:rsidR="000F24A6">
        <w:rPr>
          <w:lang w:val="en-GB"/>
        </w:rPr>
        <w:t xml:space="preserve">The </w:t>
      </w:r>
      <w:r w:rsidR="002E3F04">
        <w:rPr>
          <w:lang w:val="en-GB"/>
        </w:rPr>
        <w:t xml:space="preserve">subsequent </w:t>
      </w:r>
      <w:r w:rsidR="000F24A6">
        <w:rPr>
          <w:lang w:val="en-GB"/>
        </w:rPr>
        <w:t xml:space="preserve">data-cut, referred to as the </w:t>
      </w:r>
      <w:r w:rsidR="000F24A6" w:rsidRPr="00E22D96">
        <w:rPr>
          <w:lang w:val="en-GB"/>
        </w:rPr>
        <w:t>efficacy update report (EUR</w:t>
      </w:r>
      <w:r w:rsidR="00D84EFB">
        <w:rPr>
          <w:lang w:val="en-GB"/>
        </w:rPr>
        <w:t>,</w:t>
      </w:r>
      <w:r w:rsidR="00D84EFB" w:rsidRPr="00D84EFB">
        <w:t xml:space="preserve"> </w:t>
      </w:r>
      <w:r w:rsidR="00D84EFB" w:rsidRPr="006C5A96">
        <w:t xml:space="preserve">median follow-up of </w:t>
      </w:r>
      <w:r w:rsidR="003167AB">
        <w:t>22.5</w:t>
      </w:r>
      <w:r w:rsidR="00D84EFB" w:rsidRPr="006C5A96">
        <w:t xml:space="preserve"> months</w:t>
      </w:r>
      <w:r w:rsidR="002775C0">
        <w:t xml:space="preserve"> per </w:t>
      </w:r>
      <w:r w:rsidR="00A04623">
        <w:fldChar w:fldCharType="begin"/>
      </w:r>
      <w:r w:rsidR="00A04623">
        <w:instrText xml:space="preserve"> REF _Ref196302933 \h </w:instrText>
      </w:r>
      <w:r w:rsidR="00A04623">
        <w:fldChar w:fldCharType="separate"/>
      </w:r>
      <w:r w:rsidR="003359D3" w:rsidRPr="00DF01CF">
        <w:t xml:space="preserve">Table </w:t>
      </w:r>
      <w:r w:rsidR="003359D3">
        <w:rPr>
          <w:noProof/>
        </w:rPr>
        <w:t>8</w:t>
      </w:r>
      <w:r w:rsidR="00A04623">
        <w:fldChar w:fldCharType="end"/>
      </w:r>
      <w:r w:rsidR="000F24A6" w:rsidRPr="00E22D96">
        <w:rPr>
          <w:lang w:val="en-GB"/>
        </w:rPr>
        <w:t xml:space="preserve">) </w:t>
      </w:r>
      <w:r w:rsidR="000F24A6" w:rsidRPr="00635FA7">
        <w:rPr>
          <w:lang w:val="en-GB"/>
        </w:rPr>
        <w:t>analys</w:t>
      </w:r>
      <w:r w:rsidR="000F24A6">
        <w:rPr>
          <w:lang w:val="en-GB"/>
        </w:rPr>
        <w:t>i</w:t>
      </w:r>
      <w:r w:rsidR="000F24A6" w:rsidRPr="00635FA7">
        <w:rPr>
          <w:lang w:val="en-GB"/>
        </w:rPr>
        <w:t>s</w:t>
      </w:r>
      <w:r w:rsidR="000F24A6">
        <w:rPr>
          <w:lang w:val="en-GB"/>
        </w:rPr>
        <w:t>, was used in the indirect comparisons</w:t>
      </w:r>
      <w:r w:rsidR="004A3EAD">
        <w:rPr>
          <w:lang w:val="en-GB"/>
        </w:rPr>
        <w:t>. The submission claimed th</w:t>
      </w:r>
      <w:r w:rsidR="00182AA5">
        <w:rPr>
          <w:lang w:val="en-GB"/>
        </w:rPr>
        <w:t xml:space="preserve">e early crossover </w:t>
      </w:r>
      <w:r w:rsidR="00AD511E">
        <w:rPr>
          <w:lang w:val="en-GB"/>
        </w:rPr>
        <w:t>impacted</w:t>
      </w:r>
      <w:r w:rsidR="00182AA5">
        <w:rPr>
          <w:lang w:val="en-GB"/>
        </w:rPr>
        <w:t xml:space="preserve"> the EUR analysis </w:t>
      </w:r>
      <w:r w:rsidR="00AD511E">
        <w:rPr>
          <w:lang w:val="en-GB"/>
        </w:rPr>
        <w:t xml:space="preserve">and </w:t>
      </w:r>
      <w:r w:rsidR="004A3EAD">
        <w:rPr>
          <w:lang w:val="en-GB"/>
        </w:rPr>
        <w:t xml:space="preserve">may have </w:t>
      </w:r>
      <w:r w:rsidR="004A3EAD" w:rsidRPr="00635FA7">
        <w:rPr>
          <w:lang w:val="en-GB"/>
        </w:rPr>
        <w:t>bias</w:t>
      </w:r>
      <w:r w:rsidR="004A3EAD">
        <w:rPr>
          <w:lang w:val="en-GB"/>
        </w:rPr>
        <w:t>ed</w:t>
      </w:r>
      <w:r w:rsidR="004A3EAD" w:rsidRPr="00635FA7">
        <w:rPr>
          <w:lang w:val="en-GB"/>
        </w:rPr>
        <w:t xml:space="preserve"> </w:t>
      </w:r>
      <w:r w:rsidR="004A3EAD">
        <w:rPr>
          <w:lang w:val="en-GB"/>
        </w:rPr>
        <w:t xml:space="preserve">the </w:t>
      </w:r>
      <w:r w:rsidR="004A3EAD" w:rsidRPr="00635FA7">
        <w:rPr>
          <w:lang w:val="en-GB"/>
        </w:rPr>
        <w:t xml:space="preserve">estimation of </w:t>
      </w:r>
      <w:r w:rsidR="00EE6AE8">
        <w:rPr>
          <w:lang w:val="en-GB"/>
        </w:rPr>
        <w:t>HRs</w:t>
      </w:r>
      <w:r w:rsidR="00CD5588">
        <w:rPr>
          <w:lang w:val="en-GB"/>
        </w:rPr>
        <w:t xml:space="preserve"> (in the </w:t>
      </w:r>
      <w:r w:rsidR="00CD5588" w:rsidRPr="003344D1">
        <w:rPr>
          <w:lang w:val="en-GB"/>
        </w:rPr>
        <w:t xml:space="preserve">NRG-GY018 </w:t>
      </w:r>
      <w:r w:rsidR="00CD5588">
        <w:rPr>
          <w:lang w:val="en-GB"/>
        </w:rPr>
        <w:t>trial)</w:t>
      </w:r>
      <w:r w:rsidR="004A3EAD" w:rsidRPr="00635FA7">
        <w:rPr>
          <w:lang w:val="en-GB"/>
        </w:rPr>
        <w:t xml:space="preserve"> in favour of the placebo group.</w:t>
      </w:r>
      <w:r w:rsidR="004A3EAD">
        <w:rPr>
          <w:lang w:val="en-GB"/>
        </w:rPr>
        <w:t xml:space="preserve"> The PBAC noted there were</w:t>
      </w:r>
      <w:r w:rsidR="004A3EAD" w:rsidRPr="00AD5FB1">
        <w:rPr>
          <w:lang w:val="en-GB"/>
        </w:rPr>
        <w:t xml:space="preserve"> higher rates of subsequent PD</w:t>
      </w:r>
      <w:r w:rsidR="00AE35EC">
        <w:rPr>
          <w:lang w:val="en-GB"/>
        </w:rPr>
        <w:t>-</w:t>
      </w:r>
      <w:r w:rsidR="004A3EAD" w:rsidRPr="00AD5FB1">
        <w:rPr>
          <w:lang w:val="en-GB"/>
        </w:rPr>
        <w:t xml:space="preserve">(L)1 </w:t>
      </w:r>
      <w:r w:rsidR="001404F6">
        <w:rPr>
          <w:lang w:val="en-GB"/>
        </w:rPr>
        <w:t xml:space="preserve">inhibitor </w:t>
      </w:r>
      <w:r w:rsidR="004A3EAD" w:rsidRPr="00AD5FB1">
        <w:rPr>
          <w:lang w:val="en-GB"/>
        </w:rPr>
        <w:t>use in the placebo arm of NRG-GY018 than the other trials (e.g. EUR 48.2% versus RUBY-1 IA1 38.5%, in the dMMR subpopulations</w:t>
      </w:r>
      <w:r w:rsidR="004A3EAD">
        <w:rPr>
          <w:lang w:val="en-GB"/>
        </w:rPr>
        <w:t xml:space="preserve">). However, overall, the PBAC considered the impact of </w:t>
      </w:r>
      <w:r w:rsidR="00D1754C" w:rsidRPr="00AB6F27">
        <w:t xml:space="preserve">confounding due to differences in </w:t>
      </w:r>
      <w:r w:rsidR="00D1754C">
        <w:t xml:space="preserve">use of </w:t>
      </w:r>
      <w:r w:rsidR="00D1754C" w:rsidRPr="00AB6F27">
        <w:t>subsequent therap</w:t>
      </w:r>
      <w:r w:rsidR="00D1754C">
        <w:t>ies between the trials</w:t>
      </w:r>
      <w:r w:rsidR="00D1754C" w:rsidRPr="00AB6F27">
        <w:t xml:space="preserve"> was unclear</w:t>
      </w:r>
      <w:r w:rsidR="00102314">
        <w:t xml:space="preserve"> and introduced bias that could not be quantified</w:t>
      </w:r>
      <w:r w:rsidR="001170D8">
        <w:rPr>
          <w:lang w:val="en-GB"/>
        </w:rPr>
        <w:t>. For example</w:t>
      </w:r>
      <w:r w:rsidR="00756999">
        <w:rPr>
          <w:lang w:val="en-GB"/>
        </w:rPr>
        <w:t>:</w:t>
      </w:r>
      <w:r w:rsidR="001170D8">
        <w:rPr>
          <w:lang w:val="en-GB"/>
        </w:rPr>
        <w:t xml:space="preserve"> </w:t>
      </w:r>
      <w:r w:rsidR="00372CB0">
        <w:rPr>
          <w:lang w:val="en-GB"/>
        </w:rPr>
        <w:t xml:space="preserve">the </w:t>
      </w:r>
      <w:r w:rsidR="00372CB0" w:rsidRPr="00474A55">
        <w:rPr>
          <w:lang w:val="en-GB"/>
        </w:rPr>
        <w:t xml:space="preserve">number of </w:t>
      </w:r>
      <w:r w:rsidR="00372CB0">
        <w:rPr>
          <w:lang w:val="en-GB"/>
        </w:rPr>
        <w:t xml:space="preserve">placebo-randomised </w:t>
      </w:r>
      <w:r w:rsidR="00372CB0" w:rsidRPr="00474A55">
        <w:rPr>
          <w:lang w:val="en-GB"/>
        </w:rPr>
        <w:t xml:space="preserve">patients </w:t>
      </w:r>
      <w:r w:rsidR="00372CB0">
        <w:rPr>
          <w:lang w:val="en-GB"/>
        </w:rPr>
        <w:t>who</w:t>
      </w:r>
      <w:r w:rsidR="00372CB0" w:rsidRPr="0004237D">
        <w:rPr>
          <w:lang w:val="en-GB"/>
        </w:rPr>
        <w:t xml:space="preserve"> commenc</w:t>
      </w:r>
      <w:r w:rsidR="00372CB0">
        <w:rPr>
          <w:lang w:val="en-GB"/>
        </w:rPr>
        <w:t>ed</w:t>
      </w:r>
      <w:r w:rsidR="00372CB0" w:rsidRPr="0004237D">
        <w:rPr>
          <w:lang w:val="en-GB"/>
        </w:rPr>
        <w:t xml:space="preserve"> </w:t>
      </w:r>
      <w:r w:rsidR="00372CB0" w:rsidRPr="008626DA">
        <w:rPr>
          <w:lang w:val="en-GB"/>
        </w:rPr>
        <w:t>immunotherapy prior to disease progression was not available</w:t>
      </w:r>
      <w:r w:rsidR="00756999">
        <w:rPr>
          <w:lang w:val="en-GB"/>
        </w:rPr>
        <w:t>;</w:t>
      </w:r>
      <w:r w:rsidR="009254FF">
        <w:rPr>
          <w:lang w:val="en-GB"/>
        </w:rPr>
        <w:t xml:space="preserve"> and </w:t>
      </w:r>
      <w:r w:rsidR="009254FF" w:rsidRPr="009254FF">
        <w:rPr>
          <w:lang w:val="en-GB"/>
        </w:rPr>
        <w:t xml:space="preserve">a proportion of patients in the pembrolizumab arm also received </w:t>
      </w:r>
      <w:r w:rsidR="009254FF">
        <w:rPr>
          <w:lang w:val="en-GB"/>
        </w:rPr>
        <w:t>second line</w:t>
      </w:r>
      <w:r w:rsidR="009254FF" w:rsidRPr="009254FF">
        <w:rPr>
          <w:lang w:val="en-GB"/>
        </w:rPr>
        <w:t xml:space="preserve"> immunotherapy in the EUR analysis</w:t>
      </w:r>
      <w:r w:rsidR="001406D7">
        <w:rPr>
          <w:lang w:val="en-GB"/>
        </w:rPr>
        <w:t xml:space="preserve"> </w:t>
      </w:r>
      <w:r w:rsidR="001406D7" w:rsidRPr="009254FF">
        <w:rPr>
          <w:lang w:val="en-GB"/>
        </w:rPr>
        <w:t xml:space="preserve">(10% </w:t>
      </w:r>
      <w:r w:rsidR="001406D7">
        <w:rPr>
          <w:lang w:val="en-GB"/>
        </w:rPr>
        <w:t xml:space="preserve">of patients </w:t>
      </w:r>
      <w:r w:rsidR="001406D7" w:rsidRPr="009254FF">
        <w:rPr>
          <w:lang w:val="en-GB"/>
        </w:rPr>
        <w:t>in the dMMR population)</w:t>
      </w:r>
      <w:r w:rsidR="009254FF" w:rsidRPr="009254FF">
        <w:rPr>
          <w:lang w:val="en-GB"/>
        </w:rPr>
        <w:t>, which does not reflect Australian practice</w:t>
      </w:r>
      <w:r w:rsidR="00756999">
        <w:rPr>
          <w:lang w:val="en-GB"/>
        </w:rPr>
        <w:t xml:space="preserve">. </w:t>
      </w:r>
      <w:r w:rsidR="00372CB0" w:rsidRPr="008626DA">
        <w:rPr>
          <w:lang w:val="en-GB"/>
        </w:rPr>
        <w:t xml:space="preserve">Further, </w:t>
      </w:r>
      <w:r w:rsidR="004A3EAD" w:rsidRPr="008626DA">
        <w:rPr>
          <w:i/>
          <w:iCs/>
          <w:lang w:val="en-GB"/>
        </w:rPr>
        <w:t>post hoc</w:t>
      </w:r>
      <w:r w:rsidR="004A3EAD" w:rsidRPr="008626DA">
        <w:rPr>
          <w:lang w:val="en-GB"/>
        </w:rPr>
        <w:t xml:space="preserve"> adjustments for treatment switching on the NRG-GY018 trial using </w:t>
      </w:r>
      <w:r w:rsidR="00241EDA">
        <w:rPr>
          <w:lang w:val="en-GB"/>
        </w:rPr>
        <w:t xml:space="preserve">the </w:t>
      </w:r>
      <w:r w:rsidR="004A3EAD" w:rsidRPr="008626DA">
        <w:rPr>
          <w:lang w:val="en-GB"/>
        </w:rPr>
        <w:t xml:space="preserve">inverse probability of censoring weights (IPCW) </w:t>
      </w:r>
      <w:r w:rsidR="00241EDA">
        <w:rPr>
          <w:lang w:val="en-GB"/>
        </w:rPr>
        <w:t xml:space="preserve">method </w:t>
      </w:r>
      <w:r w:rsidR="004A3EAD" w:rsidRPr="008626DA">
        <w:rPr>
          <w:lang w:val="en-GB"/>
        </w:rPr>
        <w:t xml:space="preserve">did not result in statistically significant OS </w:t>
      </w:r>
      <w:r w:rsidR="007F1329">
        <w:rPr>
          <w:lang w:val="en-GB"/>
        </w:rPr>
        <w:t>HRs</w:t>
      </w:r>
      <w:r w:rsidR="004A3EAD" w:rsidRPr="008626DA">
        <w:rPr>
          <w:lang w:val="en-GB"/>
        </w:rPr>
        <w:t xml:space="preserve"> versus placebo</w:t>
      </w:r>
      <w:r w:rsidR="009F78F8">
        <w:rPr>
          <w:lang w:val="en-GB"/>
        </w:rPr>
        <w:t xml:space="preserve"> (i.e. OS HR of </w:t>
      </w:r>
      <w:r w:rsidR="009F78F8" w:rsidRPr="00AB6F27">
        <w:t>0.54 (95% CI 0.22, 1.69</w:t>
      </w:r>
      <w:r w:rsidR="009F78F8">
        <w:t>) for the dMMR population)</w:t>
      </w:r>
      <w:r w:rsidR="004A3EAD" w:rsidRPr="008626DA">
        <w:rPr>
          <w:lang w:val="en-GB"/>
        </w:rPr>
        <w:t xml:space="preserve">. </w:t>
      </w:r>
    </w:p>
    <w:p w14:paraId="69C101BD" w14:textId="2EDC5D1F" w:rsidR="005211C5" w:rsidRPr="00533911" w:rsidRDefault="0059770E" w:rsidP="007D66C7">
      <w:pPr>
        <w:pStyle w:val="3-BodyText"/>
        <w:rPr>
          <w:lang w:val="en-GB"/>
        </w:rPr>
      </w:pPr>
      <w:r>
        <w:rPr>
          <w:lang w:val="en-GB"/>
        </w:rPr>
        <w:t>T</w:t>
      </w:r>
      <w:r w:rsidRPr="0059770E">
        <w:rPr>
          <w:lang w:val="en-GB"/>
        </w:rPr>
        <w:t xml:space="preserve">he </w:t>
      </w:r>
      <w:r>
        <w:rPr>
          <w:lang w:val="en-GB"/>
        </w:rPr>
        <w:t>PBAC</w:t>
      </w:r>
      <w:r w:rsidRPr="0059770E">
        <w:rPr>
          <w:lang w:val="en-GB"/>
        </w:rPr>
        <w:t xml:space="preserve"> considered that the claim of non-inferior safety </w:t>
      </w:r>
      <w:r w:rsidR="00530D1D">
        <w:rPr>
          <w:lang w:val="en-GB"/>
        </w:rPr>
        <w:t xml:space="preserve">versus dostarlimab </w:t>
      </w:r>
      <w:r w:rsidR="00177C86">
        <w:rPr>
          <w:lang w:val="en-GB"/>
        </w:rPr>
        <w:t xml:space="preserve">and durvalumab </w:t>
      </w:r>
      <w:r w:rsidRPr="0059770E">
        <w:rPr>
          <w:lang w:val="en-GB"/>
        </w:rPr>
        <w:t>was likely reasonable in the dMMR population given the rates of adverse events in the unanchored indirect comparison were similar</w:t>
      </w:r>
      <w:r w:rsidR="00993DBD">
        <w:rPr>
          <w:lang w:val="en-GB"/>
        </w:rPr>
        <w:t xml:space="preserve"> and</w:t>
      </w:r>
      <w:r w:rsidRPr="0059770E">
        <w:rPr>
          <w:lang w:val="en-GB"/>
        </w:rPr>
        <w:t xml:space="preserve"> there were no new safety signals</w:t>
      </w:r>
      <w:r w:rsidR="00993DBD">
        <w:rPr>
          <w:lang w:val="en-GB"/>
        </w:rPr>
        <w:t xml:space="preserve">. </w:t>
      </w:r>
    </w:p>
    <w:p w14:paraId="54BAACF0" w14:textId="1B0029A0" w:rsidR="00A926A1" w:rsidRPr="00595FC1" w:rsidRDefault="00A926A1" w:rsidP="00A926A1">
      <w:pPr>
        <w:widowControl w:val="0"/>
        <w:numPr>
          <w:ilvl w:val="1"/>
          <w:numId w:val="2"/>
        </w:numPr>
        <w:spacing w:after="120"/>
      </w:pPr>
      <w:r w:rsidRPr="00595FC1">
        <w:rPr>
          <w:szCs w:val="20"/>
        </w:rPr>
        <w:t xml:space="preserve">The PBAC considered that the </w:t>
      </w:r>
      <w:r>
        <w:rPr>
          <w:szCs w:val="20"/>
        </w:rPr>
        <w:t>CMA</w:t>
      </w:r>
      <w:r w:rsidRPr="00595FC1">
        <w:rPr>
          <w:szCs w:val="20"/>
        </w:rPr>
        <w:t xml:space="preserve"> and financial estimates were not relevant as the clinical claim was not accepted.</w:t>
      </w:r>
      <w:r w:rsidRPr="00595FC1">
        <w:rPr>
          <w:rFonts w:asciiTheme="minorHAnsi" w:hAnsiTheme="minorHAnsi"/>
          <w:snapToGrid w:val="0"/>
          <w:lang w:val="en-GB"/>
        </w:rPr>
        <w:t xml:space="preserve"> </w:t>
      </w:r>
    </w:p>
    <w:p w14:paraId="68406464" w14:textId="77777777" w:rsidR="00595FC1" w:rsidRPr="00595FC1" w:rsidRDefault="00595FC1" w:rsidP="00595FC1">
      <w:pPr>
        <w:numPr>
          <w:ilvl w:val="1"/>
          <w:numId w:val="2"/>
        </w:numPr>
        <w:spacing w:after="240"/>
        <w:contextualSpacing/>
        <w:jc w:val="left"/>
        <w:rPr>
          <w:rFonts w:asciiTheme="minorHAnsi" w:hAnsiTheme="minorHAnsi"/>
          <w:snapToGrid w:val="0"/>
          <w:lang w:val="en-GB"/>
        </w:rPr>
      </w:pPr>
      <w:r w:rsidRPr="00595FC1">
        <w:rPr>
          <w:rFonts w:asciiTheme="minorHAnsi" w:hAnsiTheme="minorHAnsi"/>
          <w:snapToGrid w:val="0"/>
          <w:lang w:val="en-GB"/>
        </w:rPr>
        <w:t xml:space="preserve">The PBAC noted that this submission is eligible for an Independent Review. </w:t>
      </w:r>
    </w:p>
    <w:p w14:paraId="3F4B6FED" w14:textId="77777777" w:rsidR="00533911" w:rsidRPr="00533911" w:rsidRDefault="00533911" w:rsidP="00533911">
      <w:pPr>
        <w:rPr>
          <w:bCs/>
          <w:lang w:val="en-GB"/>
        </w:rPr>
      </w:pPr>
    </w:p>
    <w:p w14:paraId="4C11B701" w14:textId="77777777" w:rsidR="00533911" w:rsidRPr="00533911" w:rsidRDefault="00533911" w:rsidP="00533911">
      <w:pPr>
        <w:rPr>
          <w:b/>
          <w:bCs/>
          <w:lang w:val="en-GB"/>
        </w:rPr>
      </w:pPr>
      <w:r w:rsidRPr="00533911">
        <w:rPr>
          <w:b/>
          <w:bCs/>
          <w:lang w:val="en-GB"/>
        </w:rPr>
        <w:t>Outcome:</w:t>
      </w:r>
    </w:p>
    <w:p w14:paraId="5EA68E62" w14:textId="2E5A0018" w:rsidR="00533911" w:rsidRDefault="2DCDE895" w:rsidP="7A59D51F">
      <w:pPr>
        <w:rPr>
          <w:lang w:val="en-GB"/>
        </w:rPr>
      </w:pPr>
      <w:r w:rsidRPr="7A59D51F">
        <w:rPr>
          <w:lang w:val="en-GB"/>
        </w:rPr>
        <w:t>Not recommended</w:t>
      </w:r>
    </w:p>
    <w:p w14:paraId="6CD21442" w14:textId="77777777" w:rsidR="00334673" w:rsidRDefault="62D69652" w:rsidP="7A59D51F">
      <w:pPr>
        <w:keepNext/>
        <w:spacing w:before="240" w:after="120"/>
        <w:ind w:left="720" w:hanging="720"/>
        <w:jc w:val="left"/>
        <w:outlineLvl w:val="0"/>
        <w:rPr>
          <w:rFonts w:asciiTheme="minorHAnsi" w:hAnsiTheme="minorHAnsi"/>
          <w:b/>
          <w:bCs/>
          <w:snapToGrid w:val="0"/>
          <w:sz w:val="32"/>
          <w:szCs w:val="32"/>
        </w:rPr>
      </w:pPr>
      <w:r w:rsidRPr="7A59D51F">
        <w:rPr>
          <w:rFonts w:asciiTheme="minorHAnsi" w:hAnsiTheme="minorHAnsi"/>
          <w:b/>
          <w:bCs/>
          <w:snapToGrid w:val="0"/>
          <w:sz w:val="32"/>
          <w:szCs w:val="32"/>
        </w:rPr>
        <w:t>9</w:t>
      </w:r>
      <w:r w:rsidR="00334673">
        <w:tab/>
      </w:r>
      <w:r w:rsidRPr="7A59D51F">
        <w:rPr>
          <w:rFonts w:asciiTheme="minorHAnsi" w:hAnsiTheme="minorHAnsi"/>
          <w:b/>
          <w:bCs/>
          <w:snapToGrid w:val="0"/>
          <w:sz w:val="32"/>
          <w:szCs w:val="32"/>
        </w:rPr>
        <w:t>Context for Decision</w:t>
      </w:r>
    </w:p>
    <w:p w14:paraId="0BD54970" w14:textId="18A9AEAF" w:rsidR="005A6BDA" w:rsidRPr="00502884" w:rsidRDefault="005A6BDA" w:rsidP="00502884">
      <w:pPr>
        <w:spacing w:after="120"/>
        <w:ind w:left="720"/>
        <w:rPr>
          <w:rFonts w:asciiTheme="minorHAnsi" w:hAnsiTheme="minorHAnsi"/>
          <w:lang w:val="en-GB"/>
        </w:rPr>
      </w:pPr>
      <w:r w:rsidRPr="7A59D51F">
        <w:rPr>
          <w:rFonts w:asciiTheme="minorHAnsi" w:hAnsiTheme="minorHAns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70B8C4" w14:textId="77777777" w:rsidR="00334673" w:rsidRDefault="62D69652" w:rsidP="7A59D51F">
      <w:pPr>
        <w:keepNext/>
        <w:spacing w:before="240" w:after="120"/>
        <w:ind w:left="720" w:hanging="720"/>
        <w:jc w:val="left"/>
        <w:outlineLvl w:val="0"/>
        <w:rPr>
          <w:rFonts w:asciiTheme="minorHAnsi" w:hAnsiTheme="minorHAnsi"/>
          <w:b/>
          <w:bCs/>
          <w:snapToGrid w:val="0"/>
          <w:sz w:val="32"/>
          <w:szCs w:val="32"/>
        </w:rPr>
      </w:pPr>
      <w:r w:rsidRPr="7A59D51F">
        <w:rPr>
          <w:rFonts w:asciiTheme="minorHAnsi" w:hAnsiTheme="minorHAnsi"/>
          <w:b/>
          <w:bCs/>
          <w:snapToGrid w:val="0"/>
          <w:sz w:val="32"/>
          <w:szCs w:val="32"/>
        </w:rPr>
        <w:lastRenderedPageBreak/>
        <w:t>10</w:t>
      </w:r>
      <w:r w:rsidR="00334673">
        <w:tab/>
      </w:r>
      <w:r w:rsidRPr="7A59D51F">
        <w:rPr>
          <w:rFonts w:asciiTheme="minorHAnsi" w:hAnsiTheme="minorHAnsi"/>
          <w:b/>
          <w:bCs/>
          <w:snapToGrid w:val="0"/>
          <w:sz w:val="32"/>
          <w:szCs w:val="32"/>
        </w:rPr>
        <w:t>Sponsor’s Comment</w:t>
      </w:r>
    </w:p>
    <w:p w14:paraId="546285EB" w14:textId="6EA6179A" w:rsidR="00916B6E" w:rsidRPr="00334673" w:rsidRDefault="0096504F" w:rsidP="0096504F">
      <w:pPr>
        <w:spacing w:after="120"/>
        <w:ind w:left="720"/>
        <w:rPr>
          <w:rFonts w:asciiTheme="minorHAnsi" w:hAnsiTheme="minorHAnsi"/>
          <w:b/>
          <w:bCs/>
          <w:snapToGrid w:val="0"/>
          <w:sz w:val="32"/>
          <w:szCs w:val="32"/>
        </w:rPr>
      </w:pPr>
      <w:r w:rsidRPr="0096504F">
        <w:rPr>
          <w:rFonts w:asciiTheme="minorHAnsi" w:hAnsiTheme="minorHAnsi"/>
          <w:lang w:val="en-GB"/>
        </w:rPr>
        <w:t>MSD is disappointed by the PBAC’s decision not to recommend pembrolizumab (KEYTRUDA®) plus chemotherapy for advanced/recurrent (A/R) dMMR endometrial cancer (EC) with the rationale that PBAC considered the results of the indirect comparisons did not sufficiently rule out the possibility that pembrolizumab would provide worse outcomes for patients than dostarlimab and durvalumab.  The PBAC also considered this was in the context of limited clinical need for additional treatment options in the dMMR settin</w:t>
      </w:r>
      <w:r w:rsidR="005D7FF5">
        <w:rPr>
          <w:rFonts w:asciiTheme="minorHAnsi" w:hAnsiTheme="minorHAnsi"/>
          <w:lang w:val="en-GB"/>
        </w:rPr>
        <w:t>g</w:t>
      </w:r>
      <w:r w:rsidRPr="0096504F">
        <w:rPr>
          <w:rFonts w:asciiTheme="minorHAnsi" w:hAnsiTheme="minorHAnsi"/>
          <w:lang w:val="en-GB"/>
        </w:rPr>
        <w:t>.  This is notably paradoxical to MOGA which considered the submission to be a “high priority for PBS listing.” NRG-GY018 was the only study to incorporate a dMMR specific cohort with independent and pre-specified formal testing. NRG-GY018 demonstrates a numerically better Hazard Ratio for PFS than the dMMR subgroup not formally tested in DUO-E.  Further, MSD considers that NRG-GY018 is comparable to RUBY dMMR population in terms of PFS, OS, ORR and DOR. In summary, MSD concludes that the clinical data demonstrate that NRG-GY018 is the most well-designed study to evaluate benefit in the biologically distinct dMMR phenotype and MSD considered it demonstrates unequivocally non-inferior efficacy to RUBY/DUO-E, a finding further supported by the literature (Bartoletti et al, 2024).</w:t>
      </w:r>
    </w:p>
    <w:p w14:paraId="28D84282" w14:textId="77777777" w:rsidR="00B115C6" w:rsidRDefault="00B115C6" w:rsidP="00533911">
      <w:pPr>
        <w:rPr>
          <w:lang w:val="en-GB"/>
        </w:rPr>
      </w:pPr>
    </w:p>
    <w:p w14:paraId="1A96DC9F" w14:textId="77777777" w:rsidR="00334B9F" w:rsidRDefault="00334B9F" w:rsidP="00533911">
      <w:pPr>
        <w:rPr>
          <w:lang w:val="en-GB"/>
        </w:rPr>
      </w:pPr>
    </w:p>
    <w:sectPr w:rsidR="00334B9F" w:rsidSect="00503773">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0692" w14:textId="77777777" w:rsidR="00B731B2" w:rsidRPr="00E777EE" w:rsidRDefault="00B731B2" w:rsidP="00124A51">
      <w:r w:rsidRPr="00E777EE">
        <w:separator/>
      </w:r>
    </w:p>
    <w:p w14:paraId="1661F8D7" w14:textId="77777777" w:rsidR="00B731B2" w:rsidRPr="00E777EE" w:rsidRDefault="00B731B2"/>
  </w:endnote>
  <w:endnote w:type="continuationSeparator" w:id="0">
    <w:p w14:paraId="17179D40" w14:textId="77777777" w:rsidR="00B731B2" w:rsidRPr="00E777EE" w:rsidRDefault="00B731B2" w:rsidP="00124A51">
      <w:r w:rsidRPr="00E777EE">
        <w:continuationSeparator/>
      </w:r>
    </w:p>
    <w:p w14:paraId="7FF84B2E" w14:textId="77777777" w:rsidR="00B731B2" w:rsidRPr="00E777EE" w:rsidRDefault="00B731B2"/>
  </w:endnote>
  <w:endnote w:type="continuationNotice" w:id="1">
    <w:p w14:paraId="24097461" w14:textId="77777777" w:rsidR="00B731B2" w:rsidRDefault="00B73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212A" w14:textId="4355FD22" w:rsidR="002B6D40" w:rsidRDefault="00F44538">
    <w:pPr>
      <w:pStyle w:val="Footer"/>
    </w:pPr>
    <w:r>
      <w:rPr>
        <w:noProof/>
      </w:rPr>
      <mc:AlternateContent>
        <mc:Choice Requires="wps">
          <w:drawing>
            <wp:anchor distT="0" distB="0" distL="0" distR="0" simplePos="0" relativeHeight="251658244" behindDoc="0" locked="0" layoutInCell="1" allowOverlap="1" wp14:anchorId="54DCCB3B" wp14:editId="23173249">
              <wp:simplePos x="635" y="635"/>
              <wp:positionH relativeFrom="page">
                <wp:align>center</wp:align>
              </wp:positionH>
              <wp:positionV relativeFrom="page">
                <wp:align>bottom</wp:align>
              </wp:positionV>
              <wp:extent cx="551815" cy="376555"/>
              <wp:effectExtent l="0" t="0" r="635" b="0"/>
              <wp:wrapNone/>
              <wp:docPr id="16445082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08B8A3" w14:textId="40A0105E" w:rsidR="00F44538" w:rsidRPr="00F44538" w:rsidRDefault="00F44538" w:rsidP="00F44538">
                          <w:pPr>
                            <w:rPr>
                              <w:rFonts w:eastAsia="Calibri" w:cs="Calibri"/>
                              <w:noProof/>
                              <w:color w:val="FF0000"/>
                            </w:rPr>
                          </w:pPr>
                          <w:r w:rsidRPr="00F44538">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CCB3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308B8A3" w14:textId="40A0105E" w:rsidR="00F44538" w:rsidRPr="00F44538" w:rsidRDefault="00F44538" w:rsidP="00F44538">
                    <w:pPr>
                      <w:rPr>
                        <w:rFonts w:eastAsia="Calibri" w:cs="Calibri"/>
                        <w:noProof/>
                        <w:color w:val="FF0000"/>
                      </w:rPr>
                    </w:pPr>
                    <w:r w:rsidRPr="00F44538">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542E5F2" w:rsidR="00D843F2" w:rsidRPr="00E777EE" w:rsidRDefault="00F44538" w:rsidP="00753B29">
    <w:pPr>
      <w:pStyle w:val="Footer"/>
      <w:jc w:val="center"/>
    </w:pPr>
    <w:r>
      <w:rPr>
        <w:noProof/>
      </w:rPr>
      <mc:AlternateContent>
        <mc:Choice Requires="wps">
          <w:drawing>
            <wp:anchor distT="0" distB="0" distL="0" distR="0" simplePos="0" relativeHeight="251658245" behindDoc="0" locked="0" layoutInCell="1" allowOverlap="1" wp14:anchorId="227C68E8" wp14:editId="224422D6">
              <wp:simplePos x="635" y="635"/>
              <wp:positionH relativeFrom="page">
                <wp:align>center</wp:align>
              </wp:positionH>
              <wp:positionV relativeFrom="page">
                <wp:align>bottom</wp:align>
              </wp:positionV>
              <wp:extent cx="551815" cy="376555"/>
              <wp:effectExtent l="0" t="0" r="635" b="0"/>
              <wp:wrapNone/>
              <wp:docPr id="17997075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903B41" w14:textId="143DE423" w:rsidR="00F44538" w:rsidRPr="00F44538" w:rsidRDefault="00F44538" w:rsidP="00F44538">
                          <w:pPr>
                            <w:rPr>
                              <w:rFonts w:eastAsia="Calibri" w:cs="Calibri"/>
                              <w:noProof/>
                              <w:color w:val="FF0000"/>
                            </w:rPr>
                          </w:pPr>
                          <w:r w:rsidRPr="00F44538">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C68E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C903B41" w14:textId="143DE423" w:rsidR="00F44538" w:rsidRPr="00F44538" w:rsidRDefault="00F44538" w:rsidP="00F44538">
                    <w:pPr>
                      <w:rPr>
                        <w:rFonts w:eastAsia="Calibri" w:cs="Calibri"/>
                        <w:noProof/>
                        <w:color w:val="FF0000"/>
                      </w:rPr>
                    </w:pPr>
                    <w:r w:rsidRPr="00F44538">
                      <w:rPr>
                        <w:rFonts w:eastAsia="Calibri" w:cs="Calibri"/>
                        <w:noProof/>
                        <w:color w:val="FF0000"/>
                      </w:rPr>
                      <w:t>OFFICIAL</w:t>
                    </w:r>
                  </w:p>
                </w:txbxContent>
              </v:textbox>
              <w10:wrap anchorx="page" anchory="page"/>
            </v:shape>
          </w:pict>
        </mc:Fallback>
      </mc:AlternateContent>
    </w:r>
  </w:p>
  <w:p w14:paraId="37484CD3" w14:textId="188092D7" w:rsidR="00D843F2" w:rsidRPr="00E777EE" w:rsidRDefault="003359D3" w:rsidP="00753B29">
    <w:pPr>
      <w:pStyle w:val="Footer"/>
      <w:jc w:val="center"/>
    </w:pPr>
    <w:sdt>
      <w:sdtPr>
        <w:id w:val="1036156457"/>
        <w:docPartObj>
          <w:docPartGallery w:val="Page Numbers (Bottom of Page)"/>
          <w:docPartUnique/>
        </w:docPartObj>
      </w:sdtPr>
      <w:sdtEndPr/>
      <w:sdtContent>
        <w:r w:rsidR="00D843F2" w:rsidRPr="00E777EE">
          <w:fldChar w:fldCharType="begin"/>
        </w:r>
        <w:r w:rsidR="00D843F2" w:rsidRPr="00E777EE">
          <w:instrText xml:space="preserve"> PAGE   \* MERGEFORMAT </w:instrText>
        </w:r>
        <w:r w:rsidR="00D843F2" w:rsidRPr="00E777EE">
          <w:fldChar w:fldCharType="separate"/>
        </w:r>
        <w:r w:rsidR="00D843F2" w:rsidRPr="00E777EE">
          <w:t>2</w:t>
        </w:r>
        <w:r w:rsidR="00D843F2" w:rsidRPr="00E777E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3E25" w14:textId="396CFF7A" w:rsidR="002B6D40" w:rsidRDefault="00F44538">
    <w:pPr>
      <w:pStyle w:val="Footer"/>
    </w:pPr>
    <w:r>
      <w:rPr>
        <w:noProof/>
      </w:rPr>
      <mc:AlternateContent>
        <mc:Choice Requires="wps">
          <w:drawing>
            <wp:anchor distT="0" distB="0" distL="0" distR="0" simplePos="0" relativeHeight="251658243" behindDoc="0" locked="0" layoutInCell="1" allowOverlap="1" wp14:anchorId="2591AE62" wp14:editId="7D7CF889">
              <wp:simplePos x="635" y="635"/>
              <wp:positionH relativeFrom="page">
                <wp:align>center</wp:align>
              </wp:positionH>
              <wp:positionV relativeFrom="page">
                <wp:align>bottom</wp:align>
              </wp:positionV>
              <wp:extent cx="551815" cy="376555"/>
              <wp:effectExtent l="0" t="0" r="635" b="0"/>
              <wp:wrapNone/>
              <wp:docPr id="12511068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D0E04D" w14:textId="7639DFC2" w:rsidR="00F44538" w:rsidRPr="00F44538" w:rsidRDefault="00F44538" w:rsidP="00F44538">
                          <w:pPr>
                            <w:rPr>
                              <w:rFonts w:eastAsia="Calibri" w:cs="Calibri"/>
                              <w:noProof/>
                              <w:color w:val="FF0000"/>
                            </w:rPr>
                          </w:pPr>
                          <w:r w:rsidRPr="00F44538">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1AE6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6D0E04D" w14:textId="7639DFC2" w:rsidR="00F44538" w:rsidRPr="00F44538" w:rsidRDefault="00F44538" w:rsidP="00F44538">
                    <w:pPr>
                      <w:rPr>
                        <w:rFonts w:eastAsia="Calibri" w:cs="Calibri"/>
                        <w:noProof/>
                        <w:color w:val="FF0000"/>
                      </w:rPr>
                    </w:pPr>
                    <w:r w:rsidRPr="00F44538">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ED32" w14:textId="77777777" w:rsidR="00B731B2" w:rsidRPr="00E777EE" w:rsidRDefault="00B731B2" w:rsidP="00124A51">
      <w:r w:rsidRPr="00E777EE">
        <w:separator/>
      </w:r>
    </w:p>
    <w:p w14:paraId="29508396" w14:textId="77777777" w:rsidR="00B731B2" w:rsidRPr="00E777EE" w:rsidRDefault="00B731B2"/>
  </w:footnote>
  <w:footnote w:type="continuationSeparator" w:id="0">
    <w:p w14:paraId="5263786A" w14:textId="77777777" w:rsidR="00B731B2" w:rsidRPr="00E777EE" w:rsidRDefault="00B731B2" w:rsidP="00124A51">
      <w:r w:rsidRPr="00E777EE">
        <w:continuationSeparator/>
      </w:r>
    </w:p>
    <w:p w14:paraId="4D0F54CC" w14:textId="77777777" w:rsidR="00B731B2" w:rsidRPr="00E777EE" w:rsidRDefault="00B731B2"/>
  </w:footnote>
  <w:footnote w:type="continuationNotice" w:id="1">
    <w:p w14:paraId="6930F718" w14:textId="77777777" w:rsidR="00B731B2" w:rsidRDefault="00B731B2"/>
  </w:footnote>
  <w:footnote w:id="2">
    <w:p w14:paraId="3DABF7F4" w14:textId="1A28699A" w:rsidR="0087766D" w:rsidRDefault="0087766D" w:rsidP="0087766D">
      <w:pPr>
        <w:pStyle w:val="Tabletext"/>
      </w:pPr>
      <w:r>
        <w:rPr>
          <w:rStyle w:val="FootnoteReference"/>
        </w:rPr>
        <w:footnoteRef/>
      </w:r>
      <w:r>
        <w:t xml:space="preserve"> </w:t>
      </w:r>
      <w:r w:rsidRPr="0087766D">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71B0" w14:textId="02563498" w:rsidR="002B6D40" w:rsidRDefault="00F44538">
    <w:pPr>
      <w:pStyle w:val="Header"/>
    </w:pPr>
    <w:r>
      <w:rPr>
        <w:noProof/>
      </w:rPr>
      <mc:AlternateContent>
        <mc:Choice Requires="wps">
          <w:drawing>
            <wp:anchor distT="0" distB="0" distL="0" distR="0" simplePos="0" relativeHeight="251658241" behindDoc="0" locked="0" layoutInCell="1" allowOverlap="1" wp14:anchorId="402C6391" wp14:editId="13AA56C6">
              <wp:simplePos x="635" y="635"/>
              <wp:positionH relativeFrom="page">
                <wp:align>center</wp:align>
              </wp:positionH>
              <wp:positionV relativeFrom="page">
                <wp:align>top</wp:align>
              </wp:positionV>
              <wp:extent cx="551815" cy="376555"/>
              <wp:effectExtent l="0" t="0" r="635" b="4445"/>
              <wp:wrapNone/>
              <wp:docPr id="13325463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434A88" w14:textId="7F8EFA8D" w:rsidR="00F44538" w:rsidRPr="00F44538" w:rsidRDefault="00F44538" w:rsidP="00F44538">
                          <w:pPr>
                            <w:rPr>
                              <w:rFonts w:eastAsia="Calibri" w:cs="Calibri"/>
                              <w:noProof/>
                              <w:color w:val="FF0000"/>
                            </w:rPr>
                          </w:pPr>
                          <w:r w:rsidRPr="00F44538">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C639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B434A88" w14:textId="7F8EFA8D" w:rsidR="00F44538" w:rsidRPr="00F44538" w:rsidRDefault="00F44538" w:rsidP="00F44538">
                    <w:pPr>
                      <w:rPr>
                        <w:rFonts w:eastAsia="Calibri" w:cs="Calibri"/>
                        <w:noProof/>
                        <w:color w:val="FF0000"/>
                      </w:rPr>
                    </w:pPr>
                    <w:r w:rsidRPr="00F44538">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2EEC3C32" w:rsidR="00D843F2" w:rsidRPr="00E777EE" w:rsidRDefault="00F44538" w:rsidP="00D822E2">
    <w:pPr>
      <w:pStyle w:val="Head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58242" behindDoc="0" locked="0" layoutInCell="1" allowOverlap="1" wp14:anchorId="21F2F979" wp14:editId="3B630142">
              <wp:simplePos x="635" y="635"/>
              <wp:positionH relativeFrom="page">
                <wp:align>center</wp:align>
              </wp:positionH>
              <wp:positionV relativeFrom="page">
                <wp:align>top</wp:align>
              </wp:positionV>
              <wp:extent cx="551815" cy="376555"/>
              <wp:effectExtent l="0" t="0" r="635" b="4445"/>
              <wp:wrapNone/>
              <wp:docPr id="18707953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F60E8D" w14:textId="669919AD" w:rsidR="00F44538" w:rsidRPr="00F44538" w:rsidRDefault="00F44538" w:rsidP="00F44538">
                          <w:pPr>
                            <w:rPr>
                              <w:rFonts w:eastAsia="Calibri" w:cs="Calibri"/>
                              <w:noProof/>
                              <w:color w:val="FF0000"/>
                            </w:rPr>
                          </w:pPr>
                          <w:r w:rsidRPr="00F44538">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2F97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CF60E8D" w14:textId="669919AD" w:rsidR="00F44538" w:rsidRPr="00F44538" w:rsidRDefault="00F44538" w:rsidP="00F44538">
                    <w:pPr>
                      <w:rPr>
                        <w:rFonts w:eastAsia="Calibri" w:cs="Calibri"/>
                        <w:noProof/>
                        <w:color w:val="FF0000"/>
                      </w:rPr>
                    </w:pPr>
                    <w:r w:rsidRPr="00F44538">
                      <w:rPr>
                        <w:rFonts w:eastAsia="Calibri" w:cs="Calibri"/>
                        <w:noProof/>
                        <w:color w:val="FF0000"/>
                      </w:rPr>
                      <w:t>OFFICIAL</w:t>
                    </w:r>
                  </w:p>
                </w:txbxContent>
              </v:textbox>
              <w10:wrap anchorx="page" anchory="page"/>
            </v:shape>
          </w:pict>
        </mc:Fallback>
      </mc:AlternateContent>
    </w:r>
    <w:r w:rsidR="002B6D40">
      <w:rPr>
        <w:rFonts w:asciiTheme="minorHAnsi" w:hAnsiTheme="minorHAnsi"/>
        <w:i/>
        <w:color w:val="808080"/>
      </w:rPr>
      <w:t>Public Summary Document</w:t>
    </w:r>
    <w:r w:rsidR="00497260">
      <w:rPr>
        <w:rFonts w:asciiTheme="minorHAnsi" w:hAnsiTheme="minorHAnsi"/>
        <w:i/>
        <w:color w:val="808080"/>
      </w:rPr>
      <w:t xml:space="preserve"> - </w:t>
    </w:r>
    <w:r w:rsidR="00D7073C">
      <w:rPr>
        <w:rFonts w:asciiTheme="minorHAnsi" w:hAnsiTheme="minorHAnsi"/>
        <w:i/>
        <w:color w:val="808080"/>
      </w:rPr>
      <w:t>July 2025</w:t>
    </w:r>
    <w:r w:rsidR="00D843F2" w:rsidRPr="00E777EE">
      <w:rPr>
        <w:rFonts w:asciiTheme="minorHAnsi" w:hAnsiTheme="minorHAnsi"/>
        <w:i/>
        <w:color w:val="808080"/>
      </w:rPr>
      <w:t xml:space="preserve"> PBAC Meeting</w:t>
    </w:r>
  </w:p>
  <w:p w14:paraId="03AF943B" w14:textId="77777777" w:rsidR="00D843F2" w:rsidRPr="00E777EE"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C0F4" w14:textId="0A39FE6F" w:rsidR="002B6D40" w:rsidRDefault="00F44538">
    <w:pPr>
      <w:pStyle w:val="Header"/>
    </w:pPr>
    <w:r>
      <w:rPr>
        <w:noProof/>
      </w:rPr>
      <mc:AlternateContent>
        <mc:Choice Requires="wps">
          <w:drawing>
            <wp:anchor distT="0" distB="0" distL="0" distR="0" simplePos="0" relativeHeight="251658240" behindDoc="0" locked="0" layoutInCell="1" allowOverlap="1" wp14:anchorId="6DE28CF6" wp14:editId="4F088B1B">
              <wp:simplePos x="635" y="635"/>
              <wp:positionH relativeFrom="page">
                <wp:align>center</wp:align>
              </wp:positionH>
              <wp:positionV relativeFrom="page">
                <wp:align>top</wp:align>
              </wp:positionV>
              <wp:extent cx="551815" cy="376555"/>
              <wp:effectExtent l="0" t="0" r="635" b="4445"/>
              <wp:wrapNone/>
              <wp:docPr id="1756878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4537A" w14:textId="7E436674" w:rsidR="00F44538" w:rsidRPr="00F44538" w:rsidRDefault="00F44538" w:rsidP="00F44538">
                          <w:pPr>
                            <w:rPr>
                              <w:rFonts w:eastAsia="Calibri" w:cs="Calibri"/>
                              <w:noProof/>
                              <w:color w:val="FF0000"/>
                            </w:rPr>
                          </w:pPr>
                          <w:r w:rsidRPr="00F44538">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28CF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E44537A" w14:textId="7E436674" w:rsidR="00F44538" w:rsidRPr="00F44538" w:rsidRDefault="00F44538" w:rsidP="00F44538">
                    <w:pPr>
                      <w:rPr>
                        <w:rFonts w:eastAsia="Calibri" w:cs="Calibri"/>
                        <w:noProof/>
                        <w:color w:val="FF0000"/>
                      </w:rPr>
                    </w:pPr>
                    <w:r w:rsidRPr="00F44538">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0C42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173E"/>
    <w:multiLevelType w:val="hybridMultilevel"/>
    <w:tmpl w:val="D2D0F8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3E1811"/>
    <w:multiLevelType w:val="hybridMultilevel"/>
    <w:tmpl w:val="850697C0"/>
    <w:lvl w:ilvl="0" w:tplc="C9AEBD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6C3E86"/>
    <w:multiLevelType w:val="hybridMultilevel"/>
    <w:tmpl w:val="B39884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4A4B15"/>
    <w:multiLevelType w:val="hybridMultilevel"/>
    <w:tmpl w:val="4AC258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D8A7A1A"/>
    <w:multiLevelType w:val="hybridMultilevel"/>
    <w:tmpl w:val="16143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215A5"/>
    <w:multiLevelType w:val="hybridMultilevel"/>
    <w:tmpl w:val="38DCDF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46D1396"/>
    <w:multiLevelType w:val="hybridMultilevel"/>
    <w:tmpl w:val="0CC0983E"/>
    <w:lvl w:ilvl="0" w:tplc="F89C069E">
      <w:start w:val="1"/>
      <w:numFmt w:val="decimal"/>
      <w:lvlText w:val="%1."/>
      <w:lvlJc w:val="left"/>
      <w:pPr>
        <w:ind w:left="1020" w:hanging="360"/>
      </w:pPr>
    </w:lvl>
    <w:lvl w:ilvl="1" w:tplc="36B66B7C">
      <w:start w:val="1"/>
      <w:numFmt w:val="decimal"/>
      <w:lvlText w:val="%2."/>
      <w:lvlJc w:val="left"/>
      <w:pPr>
        <w:ind w:left="1020" w:hanging="360"/>
      </w:pPr>
    </w:lvl>
    <w:lvl w:ilvl="2" w:tplc="132CE7DA">
      <w:start w:val="1"/>
      <w:numFmt w:val="decimal"/>
      <w:lvlText w:val="%3."/>
      <w:lvlJc w:val="left"/>
      <w:pPr>
        <w:ind w:left="1020" w:hanging="360"/>
      </w:pPr>
    </w:lvl>
    <w:lvl w:ilvl="3" w:tplc="55AC2AAE">
      <w:start w:val="1"/>
      <w:numFmt w:val="decimal"/>
      <w:lvlText w:val="%4."/>
      <w:lvlJc w:val="left"/>
      <w:pPr>
        <w:ind w:left="1020" w:hanging="360"/>
      </w:pPr>
    </w:lvl>
    <w:lvl w:ilvl="4" w:tplc="B988157E">
      <w:start w:val="1"/>
      <w:numFmt w:val="decimal"/>
      <w:lvlText w:val="%5."/>
      <w:lvlJc w:val="left"/>
      <w:pPr>
        <w:ind w:left="1020" w:hanging="360"/>
      </w:pPr>
    </w:lvl>
    <w:lvl w:ilvl="5" w:tplc="C122D90E">
      <w:start w:val="1"/>
      <w:numFmt w:val="decimal"/>
      <w:lvlText w:val="%6."/>
      <w:lvlJc w:val="left"/>
      <w:pPr>
        <w:ind w:left="1020" w:hanging="360"/>
      </w:pPr>
    </w:lvl>
    <w:lvl w:ilvl="6" w:tplc="A2669566">
      <w:start w:val="1"/>
      <w:numFmt w:val="decimal"/>
      <w:lvlText w:val="%7."/>
      <w:lvlJc w:val="left"/>
      <w:pPr>
        <w:ind w:left="1020" w:hanging="360"/>
      </w:pPr>
    </w:lvl>
    <w:lvl w:ilvl="7" w:tplc="0DC6C128">
      <w:start w:val="1"/>
      <w:numFmt w:val="decimal"/>
      <w:lvlText w:val="%8."/>
      <w:lvlJc w:val="left"/>
      <w:pPr>
        <w:ind w:left="1020" w:hanging="360"/>
      </w:pPr>
    </w:lvl>
    <w:lvl w:ilvl="8" w:tplc="C016B6C6">
      <w:start w:val="1"/>
      <w:numFmt w:val="decimal"/>
      <w:lvlText w:val="%9."/>
      <w:lvlJc w:val="left"/>
      <w:pPr>
        <w:ind w:left="1020" w:hanging="360"/>
      </w:pPr>
    </w:lvl>
  </w:abstractNum>
  <w:abstractNum w:abstractNumId="8" w15:restartNumberingAfterBreak="0">
    <w:nsid w:val="2A56503F"/>
    <w:multiLevelType w:val="hybridMultilevel"/>
    <w:tmpl w:val="704CA04C"/>
    <w:lvl w:ilvl="0" w:tplc="FEE40E88">
      <w:start w:val="1"/>
      <w:numFmt w:val="decimal"/>
      <w:lvlText w:val="%1)"/>
      <w:lvlJc w:val="left"/>
      <w:pPr>
        <w:ind w:left="1020" w:hanging="360"/>
      </w:pPr>
    </w:lvl>
    <w:lvl w:ilvl="1" w:tplc="E4A4F9A6">
      <w:start w:val="1"/>
      <w:numFmt w:val="decimal"/>
      <w:lvlText w:val="%2)"/>
      <w:lvlJc w:val="left"/>
      <w:pPr>
        <w:ind w:left="1020" w:hanging="360"/>
      </w:pPr>
    </w:lvl>
    <w:lvl w:ilvl="2" w:tplc="209E93F2">
      <w:start w:val="1"/>
      <w:numFmt w:val="decimal"/>
      <w:lvlText w:val="%3)"/>
      <w:lvlJc w:val="left"/>
      <w:pPr>
        <w:ind w:left="1020" w:hanging="360"/>
      </w:pPr>
    </w:lvl>
    <w:lvl w:ilvl="3" w:tplc="2A8EF854">
      <w:start w:val="1"/>
      <w:numFmt w:val="decimal"/>
      <w:lvlText w:val="%4)"/>
      <w:lvlJc w:val="left"/>
      <w:pPr>
        <w:ind w:left="1020" w:hanging="360"/>
      </w:pPr>
    </w:lvl>
    <w:lvl w:ilvl="4" w:tplc="3E5A7C2A">
      <w:start w:val="1"/>
      <w:numFmt w:val="decimal"/>
      <w:lvlText w:val="%5)"/>
      <w:lvlJc w:val="left"/>
      <w:pPr>
        <w:ind w:left="1020" w:hanging="360"/>
      </w:pPr>
    </w:lvl>
    <w:lvl w:ilvl="5" w:tplc="C24C9362">
      <w:start w:val="1"/>
      <w:numFmt w:val="decimal"/>
      <w:lvlText w:val="%6)"/>
      <w:lvlJc w:val="left"/>
      <w:pPr>
        <w:ind w:left="1020" w:hanging="360"/>
      </w:pPr>
    </w:lvl>
    <w:lvl w:ilvl="6" w:tplc="C16CD0B6">
      <w:start w:val="1"/>
      <w:numFmt w:val="decimal"/>
      <w:lvlText w:val="%7)"/>
      <w:lvlJc w:val="left"/>
      <w:pPr>
        <w:ind w:left="1020" w:hanging="360"/>
      </w:pPr>
    </w:lvl>
    <w:lvl w:ilvl="7" w:tplc="742412CE">
      <w:start w:val="1"/>
      <w:numFmt w:val="decimal"/>
      <w:lvlText w:val="%8)"/>
      <w:lvlJc w:val="left"/>
      <w:pPr>
        <w:ind w:left="1020" w:hanging="360"/>
      </w:pPr>
    </w:lvl>
    <w:lvl w:ilvl="8" w:tplc="ABBE1C72">
      <w:start w:val="1"/>
      <w:numFmt w:val="decimal"/>
      <w:lvlText w:val="%9)"/>
      <w:lvlJc w:val="left"/>
      <w:pPr>
        <w:ind w:left="1020" w:hanging="360"/>
      </w:pPr>
    </w:lvl>
  </w:abstractNum>
  <w:abstractNum w:abstractNumId="9" w15:restartNumberingAfterBreak="0">
    <w:nsid w:val="318DAC06"/>
    <w:multiLevelType w:val="hybridMultilevel"/>
    <w:tmpl w:val="0812E41E"/>
    <w:lvl w:ilvl="0" w:tplc="17043EA4">
      <w:start w:val="1"/>
      <w:numFmt w:val="decimal"/>
      <w:lvlText w:val="%1."/>
      <w:lvlJc w:val="left"/>
      <w:pPr>
        <w:ind w:left="720" w:hanging="360"/>
      </w:pPr>
    </w:lvl>
    <w:lvl w:ilvl="1" w:tplc="6DD625EC">
      <w:start w:val="1"/>
      <w:numFmt w:val="lowerLetter"/>
      <w:lvlText w:val="%2."/>
      <w:lvlJc w:val="left"/>
      <w:pPr>
        <w:ind w:left="1440" w:hanging="360"/>
      </w:pPr>
    </w:lvl>
    <w:lvl w:ilvl="2" w:tplc="456CCF44">
      <w:start w:val="1"/>
      <w:numFmt w:val="lowerRoman"/>
      <w:lvlText w:val="%3."/>
      <w:lvlJc w:val="right"/>
      <w:pPr>
        <w:ind w:left="2160" w:hanging="180"/>
      </w:pPr>
    </w:lvl>
    <w:lvl w:ilvl="3" w:tplc="1AFEEE3A">
      <w:start w:val="1"/>
      <w:numFmt w:val="decimal"/>
      <w:lvlText w:val="%4."/>
      <w:lvlJc w:val="left"/>
      <w:pPr>
        <w:ind w:left="2880" w:hanging="360"/>
      </w:pPr>
    </w:lvl>
    <w:lvl w:ilvl="4" w:tplc="A76A2F8C">
      <w:start w:val="1"/>
      <w:numFmt w:val="lowerLetter"/>
      <w:lvlText w:val="%5."/>
      <w:lvlJc w:val="left"/>
      <w:pPr>
        <w:ind w:left="3600" w:hanging="360"/>
      </w:pPr>
    </w:lvl>
    <w:lvl w:ilvl="5" w:tplc="64A805D8">
      <w:start w:val="1"/>
      <w:numFmt w:val="lowerRoman"/>
      <w:lvlText w:val="%6."/>
      <w:lvlJc w:val="right"/>
      <w:pPr>
        <w:ind w:left="4320" w:hanging="180"/>
      </w:pPr>
    </w:lvl>
    <w:lvl w:ilvl="6" w:tplc="997CC346">
      <w:start w:val="1"/>
      <w:numFmt w:val="decimal"/>
      <w:lvlText w:val="%7."/>
      <w:lvlJc w:val="left"/>
      <w:pPr>
        <w:ind w:left="5040" w:hanging="360"/>
      </w:pPr>
    </w:lvl>
    <w:lvl w:ilvl="7" w:tplc="D8B41BC2">
      <w:start w:val="1"/>
      <w:numFmt w:val="lowerLetter"/>
      <w:lvlText w:val="%8."/>
      <w:lvlJc w:val="left"/>
      <w:pPr>
        <w:ind w:left="5760" w:hanging="360"/>
      </w:pPr>
    </w:lvl>
    <w:lvl w:ilvl="8" w:tplc="5F8E2F34">
      <w:start w:val="1"/>
      <w:numFmt w:val="lowerRoman"/>
      <w:lvlText w:val="%9."/>
      <w:lvlJc w:val="right"/>
      <w:pPr>
        <w:ind w:left="6480" w:hanging="180"/>
      </w:p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0445F4"/>
    <w:multiLevelType w:val="multilevel"/>
    <w:tmpl w:val="F174A89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A987576"/>
    <w:multiLevelType w:val="hybridMultilevel"/>
    <w:tmpl w:val="E6C6C3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1A90177"/>
    <w:multiLevelType w:val="hybridMultilevel"/>
    <w:tmpl w:val="BA1E96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2152C4D"/>
    <w:multiLevelType w:val="hybridMultilevel"/>
    <w:tmpl w:val="7D9EBCAE"/>
    <w:lvl w:ilvl="0" w:tplc="B0040CBA">
      <w:start w:val="27"/>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A72DFF"/>
    <w:multiLevelType w:val="hybridMultilevel"/>
    <w:tmpl w:val="8D8A80C0"/>
    <w:lvl w:ilvl="0" w:tplc="CDD85D5A">
      <w:start w:val="1"/>
      <w:numFmt w:val="bullet"/>
      <w:lvlText w:val="•"/>
      <w:lvlJc w:val="left"/>
      <w:pPr>
        <w:tabs>
          <w:tab w:val="num" w:pos="720"/>
        </w:tabs>
        <w:ind w:left="720" w:hanging="360"/>
      </w:pPr>
      <w:rPr>
        <w:rFonts w:ascii="Arial" w:hAnsi="Arial" w:hint="default"/>
      </w:rPr>
    </w:lvl>
    <w:lvl w:ilvl="1" w:tplc="D1E2790A">
      <w:numFmt w:val="bullet"/>
      <w:lvlText w:val="•"/>
      <w:lvlJc w:val="left"/>
      <w:pPr>
        <w:tabs>
          <w:tab w:val="num" w:pos="1440"/>
        </w:tabs>
        <w:ind w:left="1440" w:hanging="360"/>
      </w:pPr>
      <w:rPr>
        <w:rFonts w:ascii="Arial" w:hAnsi="Arial" w:hint="default"/>
      </w:rPr>
    </w:lvl>
    <w:lvl w:ilvl="2" w:tplc="D4E607BE">
      <w:numFmt w:val="bullet"/>
      <w:lvlText w:val="•"/>
      <w:lvlJc w:val="left"/>
      <w:pPr>
        <w:tabs>
          <w:tab w:val="num" w:pos="2160"/>
        </w:tabs>
        <w:ind w:left="2160" w:hanging="360"/>
      </w:pPr>
      <w:rPr>
        <w:rFonts w:ascii="Arial" w:hAnsi="Arial" w:hint="default"/>
      </w:rPr>
    </w:lvl>
    <w:lvl w:ilvl="3" w:tplc="68807F3C" w:tentative="1">
      <w:start w:val="1"/>
      <w:numFmt w:val="bullet"/>
      <w:lvlText w:val="•"/>
      <w:lvlJc w:val="left"/>
      <w:pPr>
        <w:tabs>
          <w:tab w:val="num" w:pos="2880"/>
        </w:tabs>
        <w:ind w:left="2880" w:hanging="360"/>
      </w:pPr>
      <w:rPr>
        <w:rFonts w:ascii="Arial" w:hAnsi="Arial" w:hint="default"/>
      </w:rPr>
    </w:lvl>
    <w:lvl w:ilvl="4" w:tplc="ACE082DC" w:tentative="1">
      <w:start w:val="1"/>
      <w:numFmt w:val="bullet"/>
      <w:lvlText w:val="•"/>
      <w:lvlJc w:val="left"/>
      <w:pPr>
        <w:tabs>
          <w:tab w:val="num" w:pos="3600"/>
        </w:tabs>
        <w:ind w:left="3600" w:hanging="360"/>
      </w:pPr>
      <w:rPr>
        <w:rFonts w:ascii="Arial" w:hAnsi="Arial" w:hint="default"/>
      </w:rPr>
    </w:lvl>
    <w:lvl w:ilvl="5" w:tplc="C6A66316" w:tentative="1">
      <w:start w:val="1"/>
      <w:numFmt w:val="bullet"/>
      <w:lvlText w:val="•"/>
      <w:lvlJc w:val="left"/>
      <w:pPr>
        <w:tabs>
          <w:tab w:val="num" w:pos="4320"/>
        </w:tabs>
        <w:ind w:left="4320" w:hanging="360"/>
      </w:pPr>
      <w:rPr>
        <w:rFonts w:ascii="Arial" w:hAnsi="Arial" w:hint="default"/>
      </w:rPr>
    </w:lvl>
    <w:lvl w:ilvl="6" w:tplc="A754B00A" w:tentative="1">
      <w:start w:val="1"/>
      <w:numFmt w:val="bullet"/>
      <w:lvlText w:val="•"/>
      <w:lvlJc w:val="left"/>
      <w:pPr>
        <w:tabs>
          <w:tab w:val="num" w:pos="5040"/>
        </w:tabs>
        <w:ind w:left="5040" w:hanging="360"/>
      </w:pPr>
      <w:rPr>
        <w:rFonts w:ascii="Arial" w:hAnsi="Arial" w:hint="default"/>
      </w:rPr>
    </w:lvl>
    <w:lvl w:ilvl="7" w:tplc="F49CD062" w:tentative="1">
      <w:start w:val="1"/>
      <w:numFmt w:val="bullet"/>
      <w:lvlText w:val="•"/>
      <w:lvlJc w:val="left"/>
      <w:pPr>
        <w:tabs>
          <w:tab w:val="num" w:pos="5760"/>
        </w:tabs>
        <w:ind w:left="5760" w:hanging="360"/>
      </w:pPr>
      <w:rPr>
        <w:rFonts w:ascii="Arial" w:hAnsi="Arial" w:hint="default"/>
      </w:rPr>
    </w:lvl>
    <w:lvl w:ilvl="8" w:tplc="E6BE9D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426612"/>
    <w:multiLevelType w:val="hybridMultilevel"/>
    <w:tmpl w:val="25463F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ADC60F6"/>
    <w:multiLevelType w:val="hybridMultilevel"/>
    <w:tmpl w:val="28FA8ABC"/>
    <w:lvl w:ilvl="0" w:tplc="CD62C936">
      <w:start w:val="1"/>
      <w:numFmt w:val="decimal"/>
      <w:lvlText w:val="%1."/>
      <w:lvlJc w:val="left"/>
      <w:pPr>
        <w:ind w:left="1020" w:hanging="360"/>
      </w:pPr>
    </w:lvl>
    <w:lvl w:ilvl="1" w:tplc="B9CA1438">
      <w:start w:val="1"/>
      <w:numFmt w:val="decimal"/>
      <w:lvlText w:val="%2."/>
      <w:lvlJc w:val="left"/>
      <w:pPr>
        <w:ind w:left="1020" w:hanging="360"/>
      </w:pPr>
    </w:lvl>
    <w:lvl w:ilvl="2" w:tplc="000E5310">
      <w:start w:val="1"/>
      <w:numFmt w:val="decimal"/>
      <w:lvlText w:val="%3."/>
      <w:lvlJc w:val="left"/>
      <w:pPr>
        <w:ind w:left="1020" w:hanging="360"/>
      </w:pPr>
    </w:lvl>
    <w:lvl w:ilvl="3" w:tplc="1C94B662">
      <w:start w:val="1"/>
      <w:numFmt w:val="decimal"/>
      <w:lvlText w:val="%4."/>
      <w:lvlJc w:val="left"/>
      <w:pPr>
        <w:ind w:left="1020" w:hanging="360"/>
      </w:pPr>
    </w:lvl>
    <w:lvl w:ilvl="4" w:tplc="5DF4B066">
      <w:start w:val="1"/>
      <w:numFmt w:val="decimal"/>
      <w:lvlText w:val="%5."/>
      <w:lvlJc w:val="left"/>
      <w:pPr>
        <w:ind w:left="1020" w:hanging="360"/>
      </w:pPr>
    </w:lvl>
    <w:lvl w:ilvl="5" w:tplc="ACEEC144">
      <w:start w:val="1"/>
      <w:numFmt w:val="decimal"/>
      <w:lvlText w:val="%6."/>
      <w:lvlJc w:val="left"/>
      <w:pPr>
        <w:ind w:left="1020" w:hanging="360"/>
      </w:pPr>
    </w:lvl>
    <w:lvl w:ilvl="6" w:tplc="E5CC8580">
      <w:start w:val="1"/>
      <w:numFmt w:val="decimal"/>
      <w:lvlText w:val="%7."/>
      <w:lvlJc w:val="left"/>
      <w:pPr>
        <w:ind w:left="1020" w:hanging="360"/>
      </w:pPr>
    </w:lvl>
    <w:lvl w:ilvl="7" w:tplc="22BE3F98">
      <w:start w:val="1"/>
      <w:numFmt w:val="decimal"/>
      <w:lvlText w:val="%8."/>
      <w:lvlJc w:val="left"/>
      <w:pPr>
        <w:ind w:left="1020" w:hanging="360"/>
      </w:pPr>
    </w:lvl>
    <w:lvl w:ilvl="8" w:tplc="2BBAE6B2">
      <w:start w:val="1"/>
      <w:numFmt w:val="decimal"/>
      <w:lvlText w:val="%9."/>
      <w:lvlJc w:val="left"/>
      <w:pPr>
        <w:ind w:left="1020" w:hanging="360"/>
      </w:pPr>
    </w:lvl>
  </w:abstractNum>
  <w:abstractNum w:abstractNumId="19" w15:restartNumberingAfterBreak="0">
    <w:nsid w:val="6283169B"/>
    <w:multiLevelType w:val="hybridMultilevel"/>
    <w:tmpl w:val="FB84A7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4B84369"/>
    <w:multiLevelType w:val="hybridMultilevel"/>
    <w:tmpl w:val="2B34C1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95356E1"/>
    <w:multiLevelType w:val="hybridMultilevel"/>
    <w:tmpl w:val="6CA2201E"/>
    <w:lvl w:ilvl="0" w:tplc="90D81DFC">
      <w:start w:val="1"/>
      <w:numFmt w:val="bullet"/>
      <w:lvlText w:val="•"/>
      <w:lvlJc w:val="left"/>
      <w:pPr>
        <w:tabs>
          <w:tab w:val="num" w:pos="720"/>
        </w:tabs>
        <w:ind w:left="720" w:hanging="360"/>
      </w:pPr>
      <w:rPr>
        <w:rFonts w:ascii="Arial" w:hAnsi="Arial" w:hint="default"/>
      </w:rPr>
    </w:lvl>
    <w:lvl w:ilvl="1" w:tplc="D4E4D21A" w:tentative="1">
      <w:start w:val="1"/>
      <w:numFmt w:val="bullet"/>
      <w:lvlText w:val="•"/>
      <w:lvlJc w:val="left"/>
      <w:pPr>
        <w:tabs>
          <w:tab w:val="num" w:pos="1440"/>
        </w:tabs>
        <w:ind w:left="1440" w:hanging="360"/>
      </w:pPr>
      <w:rPr>
        <w:rFonts w:ascii="Arial" w:hAnsi="Arial" w:hint="default"/>
      </w:rPr>
    </w:lvl>
    <w:lvl w:ilvl="2" w:tplc="C3D8C652" w:tentative="1">
      <w:start w:val="1"/>
      <w:numFmt w:val="bullet"/>
      <w:lvlText w:val="•"/>
      <w:lvlJc w:val="left"/>
      <w:pPr>
        <w:tabs>
          <w:tab w:val="num" w:pos="2160"/>
        </w:tabs>
        <w:ind w:left="2160" w:hanging="360"/>
      </w:pPr>
      <w:rPr>
        <w:rFonts w:ascii="Arial" w:hAnsi="Arial" w:hint="default"/>
      </w:rPr>
    </w:lvl>
    <w:lvl w:ilvl="3" w:tplc="C8A26AC2" w:tentative="1">
      <w:start w:val="1"/>
      <w:numFmt w:val="bullet"/>
      <w:lvlText w:val="•"/>
      <w:lvlJc w:val="left"/>
      <w:pPr>
        <w:tabs>
          <w:tab w:val="num" w:pos="2880"/>
        </w:tabs>
        <w:ind w:left="2880" w:hanging="360"/>
      </w:pPr>
      <w:rPr>
        <w:rFonts w:ascii="Arial" w:hAnsi="Arial" w:hint="default"/>
      </w:rPr>
    </w:lvl>
    <w:lvl w:ilvl="4" w:tplc="02BA0F78" w:tentative="1">
      <w:start w:val="1"/>
      <w:numFmt w:val="bullet"/>
      <w:lvlText w:val="•"/>
      <w:lvlJc w:val="left"/>
      <w:pPr>
        <w:tabs>
          <w:tab w:val="num" w:pos="3600"/>
        </w:tabs>
        <w:ind w:left="3600" w:hanging="360"/>
      </w:pPr>
      <w:rPr>
        <w:rFonts w:ascii="Arial" w:hAnsi="Arial" w:hint="default"/>
      </w:rPr>
    </w:lvl>
    <w:lvl w:ilvl="5" w:tplc="BD923900" w:tentative="1">
      <w:start w:val="1"/>
      <w:numFmt w:val="bullet"/>
      <w:lvlText w:val="•"/>
      <w:lvlJc w:val="left"/>
      <w:pPr>
        <w:tabs>
          <w:tab w:val="num" w:pos="4320"/>
        </w:tabs>
        <w:ind w:left="4320" w:hanging="360"/>
      </w:pPr>
      <w:rPr>
        <w:rFonts w:ascii="Arial" w:hAnsi="Arial" w:hint="default"/>
      </w:rPr>
    </w:lvl>
    <w:lvl w:ilvl="6" w:tplc="376C9E8E" w:tentative="1">
      <w:start w:val="1"/>
      <w:numFmt w:val="bullet"/>
      <w:lvlText w:val="•"/>
      <w:lvlJc w:val="left"/>
      <w:pPr>
        <w:tabs>
          <w:tab w:val="num" w:pos="5040"/>
        </w:tabs>
        <w:ind w:left="5040" w:hanging="360"/>
      </w:pPr>
      <w:rPr>
        <w:rFonts w:ascii="Arial" w:hAnsi="Arial" w:hint="default"/>
      </w:rPr>
    </w:lvl>
    <w:lvl w:ilvl="7" w:tplc="24202F8C" w:tentative="1">
      <w:start w:val="1"/>
      <w:numFmt w:val="bullet"/>
      <w:lvlText w:val="•"/>
      <w:lvlJc w:val="left"/>
      <w:pPr>
        <w:tabs>
          <w:tab w:val="num" w:pos="5760"/>
        </w:tabs>
        <w:ind w:left="5760" w:hanging="360"/>
      </w:pPr>
      <w:rPr>
        <w:rFonts w:ascii="Arial" w:hAnsi="Arial" w:hint="default"/>
      </w:rPr>
    </w:lvl>
    <w:lvl w:ilvl="8" w:tplc="75A48A6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A63627"/>
    <w:multiLevelType w:val="hybridMultilevel"/>
    <w:tmpl w:val="9BDCE5A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BD40509"/>
    <w:multiLevelType w:val="hybridMultilevel"/>
    <w:tmpl w:val="BA7251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C886010"/>
    <w:multiLevelType w:val="hybridMultilevel"/>
    <w:tmpl w:val="397A7A9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CCA5276"/>
    <w:multiLevelType w:val="hybridMultilevel"/>
    <w:tmpl w:val="9CC4A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A769E6"/>
    <w:multiLevelType w:val="hybridMultilevel"/>
    <w:tmpl w:val="B15A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402DC"/>
    <w:multiLevelType w:val="hybridMultilevel"/>
    <w:tmpl w:val="E2904F7E"/>
    <w:lvl w:ilvl="0" w:tplc="0A5EFA5C">
      <w:start w:val="1"/>
      <w:numFmt w:val="decimal"/>
      <w:lvlText w:val="%1."/>
      <w:lvlJc w:val="left"/>
      <w:pPr>
        <w:ind w:left="1020" w:hanging="360"/>
      </w:pPr>
    </w:lvl>
    <w:lvl w:ilvl="1" w:tplc="2BC6C736">
      <w:start w:val="1"/>
      <w:numFmt w:val="decimal"/>
      <w:lvlText w:val="%2."/>
      <w:lvlJc w:val="left"/>
      <w:pPr>
        <w:ind w:left="1020" w:hanging="360"/>
      </w:pPr>
    </w:lvl>
    <w:lvl w:ilvl="2" w:tplc="EC10C12A">
      <w:start w:val="1"/>
      <w:numFmt w:val="decimal"/>
      <w:lvlText w:val="%3."/>
      <w:lvlJc w:val="left"/>
      <w:pPr>
        <w:ind w:left="1020" w:hanging="360"/>
      </w:pPr>
    </w:lvl>
    <w:lvl w:ilvl="3" w:tplc="FA927D30">
      <w:start w:val="1"/>
      <w:numFmt w:val="decimal"/>
      <w:lvlText w:val="%4."/>
      <w:lvlJc w:val="left"/>
      <w:pPr>
        <w:ind w:left="1020" w:hanging="360"/>
      </w:pPr>
    </w:lvl>
    <w:lvl w:ilvl="4" w:tplc="127ED33C">
      <w:start w:val="1"/>
      <w:numFmt w:val="decimal"/>
      <w:lvlText w:val="%5."/>
      <w:lvlJc w:val="left"/>
      <w:pPr>
        <w:ind w:left="1020" w:hanging="360"/>
      </w:pPr>
    </w:lvl>
    <w:lvl w:ilvl="5" w:tplc="597AFDC2">
      <w:start w:val="1"/>
      <w:numFmt w:val="decimal"/>
      <w:lvlText w:val="%6."/>
      <w:lvlJc w:val="left"/>
      <w:pPr>
        <w:ind w:left="1020" w:hanging="360"/>
      </w:pPr>
    </w:lvl>
    <w:lvl w:ilvl="6" w:tplc="BE4AD1DA">
      <w:start w:val="1"/>
      <w:numFmt w:val="decimal"/>
      <w:lvlText w:val="%7."/>
      <w:lvlJc w:val="left"/>
      <w:pPr>
        <w:ind w:left="1020" w:hanging="360"/>
      </w:pPr>
    </w:lvl>
    <w:lvl w:ilvl="7" w:tplc="3670DCA0">
      <w:start w:val="1"/>
      <w:numFmt w:val="decimal"/>
      <w:lvlText w:val="%8."/>
      <w:lvlJc w:val="left"/>
      <w:pPr>
        <w:ind w:left="1020" w:hanging="360"/>
      </w:pPr>
    </w:lvl>
    <w:lvl w:ilvl="8" w:tplc="7EBEC4D2">
      <w:start w:val="1"/>
      <w:numFmt w:val="decimal"/>
      <w:lvlText w:val="%9."/>
      <w:lvlJc w:val="left"/>
      <w:pPr>
        <w:ind w:left="1020" w:hanging="360"/>
      </w:pPr>
    </w:lvl>
  </w:abstractNum>
  <w:abstractNum w:abstractNumId="29" w15:restartNumberingAfterBreak="0">
    <w:nsid w:val="76B430C2"/>
    <w:multiLevelType w:val="hybridMultilevel"/>
    <w:tmpl w:val="8CC61BBE"/>
    <w:lvl w:ilvl="0" w:tplc="987EA2CA">
      <w:start w:val="1"/>
      <w:numFmt w:val="decimal"/>
      <w:lvlText w:val="%1."/>
      <w:lvlJc w:val="left"/>
      <w:pPr>
        <w:ind w:left="1020" w:hanging="360"/>
      </w:pPr>
    </w:lvl>
    <w:lvl w:ilvl="1" w:tplc="A33A6AF0">
      <w:start w:val="1"/>
      <w:numFmt w:val="decimal"/>
      <w:lvlText w:val="%2."/>
      <w:lvlJc w:val="left"/>
      <w:pPr>
        <w:ind w:left="1020" w:hanging="360"/>
      </w:pPr>
    </w:lvl>
    <w:lvl w:ilvl="2" w:tplc="E9529BFA">
      <w:start w:val="1"/>
      <w:numFmt w:val="decimal"/>
      <w:lvlText w:val="%3."/>
      <w:lvlJc w:val="left"/>
      <w:pPr>
        <w:ind w:left="1020" w:hanging="360"/>
      </w:pPr>
    </w:lvl>
    <w:lvl w:ilvl="3" w:tplc="5B1A6422">
      <w:start w:val="1"/>
      <w:numFmt w:val="decimal"/>
      <w:lvlText w:val="%4."/>
      <w:lvlJc w:val="left"/>
      <w:pPr>
        <w:ind w:left="1020" w:hanging="360"/>
      </w:pPr>
    </w:lvl>
    <w:lvl w:ilvl="4" w:tplc="F06C15A2">
      <w:start w:val="1"/>
      <w:numFmt w:val="decimal"/>
      <w:lvlText w:val="%5."/>
      <w:lvlJc w:val="left"/>
      <w:pPr>
        <w:ind w:left="1020" w:hanging="360"/>
      </w:pPr>
    </w:lvl>
    <w:lvl w:ilvl="5" w:tplc="47A4F4F2">
      <w:start w:val="1"/>
      <w:numFmt w:val="decimal"/>
      <w:lvlText w:val="%6."/>
      <w:lvlJc w:val="left"/>
      <w:pPr>
        <w:ind w:left="1020" w:hanging="360"/>
      </w:pPr>
    </w:lvl>
    <w:lvl w:ilvl="6" w:tplc="93DE24AE">
      <w:start w:val="1"/>
      <w:numFmt w:val="decimal"/>
      <w:lvlText w:val="%7."/>
      <w:lvlJc w:val="left"/>
      <w:pPr>
        <w:ind w:left="1020" w:hanging="360"/>
      </w:pPr>
    </w:lvl>
    <w:lvl w:ilvl="7" w:tplc="6E0C3C50">
      <w:start w:val="1"/>
      <w:numFmt w:val="decimal"/>
      <w:lvlText w:val="%8."/>
      <w:lvlJc w:val="left"/>
      <w:pPr>
        <w:ind w:left="1020" w:hanging="360"/>
      </w:pPr>
    </w:lvl>
    <w:lvl w:ilvl="8" w:tplc="42A2B64C">
      <w:start w:val="1"/>
      <w:numFmt w:val="decimal"/>
      <w:lvlText w:val="%9."/>
      <w:lvlJc w:val="left"/>
      <w:pPr>
        <w:ind w:left="1020" w:hanging="360"/>
      </w:pPr>
    </w:lvl>
  </w:abstractNum>
  <w:abstractNum w:abstractNumId="3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917E1A"/>
    <w:multiLevelType w:val="hybridMultilevel"/>
    <w:tmpl w:val="DD048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8B123B"/>
    <w:multiLevelType w:val="hybridMultilevel"/>
    <w:tmpl w:val="2CB0D9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49204667">
    <w:abstractNumId w:val="9"/>
  </w:num>
  <w:num w:numId="2" w16cid:durableId="1492526744">
    <w:abstractNumId w:val="30"/>
  </w:num>
  <w:num w:numId="3" w16cid:durableId="1442722558">
    <w:abstractNumId w:val="10"/>
  </w:num>
  <w:num w:numId="4" w16cid:durableId="705326201">
    <w:abstractNumId w:val="11"/>
  </w:num>
  <w:num w:numId="5" w16cid:durableId="304628429">
    <w:abstractNumId w:val="0"/>
  </w:num>
  <w:num w:numId="6" w16cid:durableId="1316447102">
    <w:abstractNumId w:val="20"/>
  </w:num>
  <w:num w:numId="7" w16cid:durableId="1187063118">
    <w:abstractNumId w:val="27"/>
  </w:num>
  <w:num w:numId="8" w16cid:durableId="721169797">
    <w:abstractNumId w:val="12"/>
  </w:num>
  <w:num w:numId="9" w16cid:durableId="927275196">
    <w:abstractNumId w:val="5"/>
  </w:num>
  <w:num w:numId="10" w16cid:durableId="105317532">
    <w:abstractNumId w:val="31"/>
  </w:num>
  <w:num w:numId="11" w16cid:durableId="279729153">
    <w:abstractNumId w:val="26"/>
  </w:num>
  <w:num w:numId="12" w16cid:durableId="2051146969">
    <w:abstractNumId w:val="6"/>
  </w:num>
  <w:num w:numId="13" w16cid:durableId="1297375635">
    <w:abstractNumId w:val="4"/>
  </w:num>
  <w:num w:numId="14" w16cid:durableId="1141654131">
    <w:abstractNumId w:val="32"/>
  </w:num>
  <w:num w:numId="15" w16cid:durableId="556821823">
    <w:abstractNumId w:val="13"/>
  </w:num>
  <w:num w:numId="16" w16cid:durableId="1681421365">
    <w:abstractNumId w:val="24"/>
  </w:num>
  <w:num w:numId="17" w16cid:durableId="540284738">
    <w:abstractNumId w:val="1"/>
  </w:num>
  <w:num w:numId="18" w16cid:durableId="1304774513">
    <w:abstractNumId w:val="25"/>
  </w:num>
  <w:num w:numId="19" w16cid:durableId="1088235080">
    <w:abstractNumId w:val="21"/>
  </w:num>
  <w:num w:numId="20" w16cid:durableId="642154102">
    <w:abstractNumId w:val="17"/>
  </w:num>
  <w:num w:numId="21" w16cid:durableId="1677876709">
    <w:abstractNumId w:val="14"/>
  </w:num>
  <w:num w:numId="22" w16cid:durableId="958223581">
    <w:abstractNumId w:val="15"/>
  </w:num>
  <w:num w:numId="23" w16cid:durableId="1609048024">
    <w:abstractNumId w:val="3"/>
  </w:num>
  <w:num w:numId="24" w16cid:durableId="1028872413">
    <w:abstractNumId w:val="2"/>
  </w:num>
  <w:num w:numId="25" w16cid:durableId="714888318">
    <w:abstractNumId w:val="19"/>
  </w:num>
  <w:num w:numId="26" w16cid:durableId="212693421">
    <w:abstractNumId w:val="23"/>
  </w:num>
  <w:num w:numId="27" w16cid:durableId="5237126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9419126">
    <w:abstractNumId w:val="22"/>
  </w:num>
  <w:num w:numId="29" w16cid:durableId="797378900">
    <w:abstractNumId w:val="16"/>
  </w:num>
  <w:num w:numId="30" w16cid:durableId="1063866325">
    <w:abstractNumId w:val="30"/>
  </w:num>
  <w:num w:numId="31" w16cid:durableId="186987439">
    <w:abstractNumId w:val="30"/>
  </w:num>
  <w:num w:numId="32" w16cid:durableId="2027514199">
    <w:abstractNumId w:val="18"/>
  </w:num>
  <w:num w:numId="33" w16cid:durableId="477305240">
    <w:abstractNumId w:val="7"/>
  </w:num>
  <w:num w:numId="34" w16cid:durableId="648751350">
    <w:abstractNumId w:val="28"/>
  </w:num>
  <w:num w:numId="35" w16cid:durableId="112670721">
    <w:abstractNumId w:val="29"/>
  </w:num>
  <w:num w:numId="36" w16cid:durableId="12082269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A5"/>
    <w:rsid w:val="00000790"/>
    <w:rsid w:val="000010B3"/>
    <w:rsid w:val="0000110B"/>
    <w:rsid w:val="000015EF"/>
    <w:rsid w:val="00001A63"/>
    <w:rsid w:val="00001BA5"/>
    <w:rsid w:val="000028B1"/>
    <w:rsid w:val="0000303A"/>
    <w:rsid w:val="00003499"/>
    <w:rsid w:val="000037E0"/>
    <w:rsid w:val="000039B7"/>
    <w:rsid w:val="00003FB8"/>
    <w:rsid w:val="000042F9"/>
    <w:rsid w:val="00004513"/>
    <w:rsid w:val="00004B3E"/>
    <w:rsid w:val="00004BD9"/>
    <w:rsid w:val="000056B9"/>
    <w:rsid w:val="00005D80"/>
    <w:rsid w:val="0000639A"/>
    <w:rsid w:val="00006938"/>
    <w:rsid w:val="0000736B"/>
    <w:rsid w:val="0000753E"/>
    <w:rsid w:val="000075B6"/>
    <w:rsid w:val="00010165"/>
    <w:rsid w:val="00010A8B"/>
    <w:rsid w:val="00010F0A"/>
    <w:rsid w:val="00010F8C"/>
    <w:rsid w:val="0001113E"/>
    <w:rsid w:val="00011433"/>
    <w:rsid w:val="000116C3"/>
    <w:rsid w:val="000117F0"/>
    <w:rsid w:val="00011C5A"/>
    <w:rsid w:val="00011FC9"/>
    <w:rsid w:val="0001239D"/>
    <w:rsid w:val="0001241D"/>
    <w:rsid w:val="0001247E"/>
    <w:rsid w:val="00012CC8"/>
    <w:rsid w:val="00013247"/>
    <w:rsid w:val="00013920"/>
    <w:rsid w:val="00013C54"/>
    <w:rsid w:val="00013E20"/>
    <w:rsid w:val="00013F07"/>
    <w:rsid w:val="00014122"/>
    <w:rsid w:val="0001535D"/>
    <w:rsid w:val="00015886"/>
    <w:rsid w:val="00015A76"/>
    <w:rsid w:val="00015A91"/>
    <w:rsid w:val="00015CF7"/>
    <w:rsid w:val="000161D1"/>
    <w:rsid w:val="000162EF"/>
    <w:rsid w:val="00016481"/>
    <w:rsid w:val="00016763"/>
    <w:rsid w:val="00016767"/>
    <w:rsid w:val="000168C7"/>
    <w:rsid w:val="00016ABE"/>
    <w:rsid w:val="00016CA0"/>
    <w:rsid w:val="00017AFF"/>
    <w:rsid w:val="000207C9"/>
    <w:rsid w:val="000208A6"/>
    <w:rsid w:val="00020C85"/>
    <w:rsid w:val="00021292"/>
    <w:rsid w:val="00021546"/>
    <w:rsid w:val="00021A73"/>
    <w:rsid w:val="00021D5C"/>
    <w:rsid w:val="0002225F"/>
    <w:rsid w:val="00022581"/>
    <w:rsid w:val="0002261D"/>
    <w:rsid w:val="00023256"/>
    <w:rsid w:val="00023532"/>
    <w:rsid w:val="00023763"/>
    <w:rsid w:val="000239EE"/>
    <w:rsid w:val="00023C46"/>
    <w:rsid w:val="000247DA"/>
    <w:rsid w:val="00024EB5"/>
    <w:rsid w:val="00025261"/>
    <w:rsid w:val="000260C2"/>
    <w:rsid w:val="0002650B"/>
    <w:rsid w:val="000274B8"/>
    <w:rsid w:val="00027996"/>
    <w:rsid w:val="00030377"/>
    <w:rsid w:val="000303FA"/>
    <w:rsid w:val="00031906"/>
    <w:rsid w:val="00032234"/>
    <w:rsid w:val="000331EE"/>
    <w:rsid w:val="000334CA"/>
    <w:rsid w:val="00033863"/>
    <w:rsid w:val="00034294"/>
    <w:rsid w:val="00034648"/>
    <w:rsid w:val="00034FF8"/>
    <w:rsid w:val="00035436"/>
    <w:rsid w:val="00035506"/>
    <w:rsid w:val="00035DC0"/>
    <w:rsid w:val="00036829"/>
    <w:rsid w:val="00037FA6"/>
    <w:rsid w:val="000403D6"/>
    <w:rsid w:val="0004063B"/>
    <w:rsid w:val="00040895"/>
    <w:rsid w:val="00040D75"/>
    <w:rsid w:val="00040E7C"/>
    <w:rsid w:val="000410A0"/>
    <w:rsid w:val="0004237D"/>
    <w:rsid w:val="00042B6C"/>
    <w:rsid w:val="00042E2F"/>
    <w:rsid w:val="00043133"/>
    <w:rsid w:val="0004318E"/>
    <w:rsid w:val="000435EE"/>
    <w:rsid w:val="00043C37"/>
    <w:rsid w:val="000444B9"/>
    <w:rsid w:val="00045017"/>
    <w:rsid w:val="00045174"/>
    <w:rsid w:val="0004555A"/>
    <w:rsid w:val="00045A2B"/>
    <w:rsid w:val="000461CB"/>
    <w:rsid w:val="0004698F"/>
    <w:rsid w:val="00046D64"/>
    <w:rsid w:val="000473ED"/>
    <w:rsid w:val="0005040A"/>
    <w:rsid w:val="00050638"/>
    <w:rsid w:val="0005075B"/>
    <w:rsid w:val="000508C2"/>
    <w:rsid w:val="00050904"/>
    <w:rsid w:val="00051345"/>
    <w:rsid w:val="000513B6"/>
    <w:rsid w:val="000516B4"/>
    <w:rsid w:val="0005195B"/>
    <w:rsid w:val="00051C70"/>
    <w:rsid w:val="00051C88"/>
    <w:rsid w:val="000520D9"/>
    <w:rsid w:val="00052681"/>
    <w:rsid w:val="0005284D"/>
    <w:rsid w:val="0005292E"/>
    <w:rsid w:val="00052B65"/>
    <w:rsid w:val="00052BE1"/>
    <w:rsid w:val="00053274"/>
    <w:rsid w:val="000539D0"/>
    <w:rsid w:val="00053A09"/>
    <w:rsid w:val="00053F4B"/>
    <w:rsid w:val="000541DA"/>
    <w:rsid w:val="000542E4"/>
    <w:rsid w:val="00054621"/>
    <w:rsid w:val="000546D7"/>
    <w:rsid w:val="00054994"/>
    <w:rsid w:val="00054A8D"/>
    <w:rsid w:val="000553CF"/>
    <w:rsid w:val="00055E08"/>
    <w:rsid w:val="000560FA"/>
    <w:rsid w:val="00056315"/>
    <w:rsid w:val="00056D3A"/>
    <w:rsid w:val="00056ECF"/>
    <w:rsid w:val="0005738B"/>
    <w:rsid w:val="000576B9"/>
    <w:rsid w:val="00057778"/>
    <w:rsid w:val="0005783A"/>
    <w:rsid w:val="00060241"/>
    <w:rsid w:val="000604DF"/>
    <w:rsid w:val="000618CC"/>
    <w:rsid w:val="00061A81"/>
    <w:rsid w:val="00062358"/>
    <w:rsid w:val="00062A37"/>
    <w:rsid w:val="00062B7C"/>
    <w:rsid w:val="00063595"/>
    <w:rsid w:val="00063DD2"/>
    <w:rsid w:val="00063F50"/>
    <w:rsid w:val="0006463E"/>
    <w:rsid w:val="00064986"/>
    <w:rsid w:val="00065155"/>
    <w:rsid w:val="000653B5"/>
    <w:rsid w:val="00065EB8"/>
    <w:rsid w:val="00066360"/>
    <w:rsid w:val="00066604"/>
    <w:rsid w:val="00066A5F"/>
    <w:rsid w:val="00066AE1"/>
    <w:rsid w:val="00066AF8"/>
    <w:rsid w:val="00066BF9"/>
    <w:rsid w:val="00066D99"/>
    <w:rsid w:val="00066DAF"/>
    <w:rsid w:val="00066E21"/>
    <w:rsid w:val="00070950"/>
    <w:rsid w:val="00071248"/>
    <w:rsid w:val="00071859"/>
    <w:rsid w:val="000718DC"/>
    <w:rsid w:val="000720B9"/>
    <w:rsid w:val="00072412"/>
    <w:rsid w:val="0007253A"/>
    <w:rsid w:val="00072F49"/>
    <w:rsid w:val="0007350C"/>
    <w:rsid w:val="000737F7"/>
    <w:rsid w:val="0007469B"/>
    <w:rsid w:val="00074731"/>
    <w:rsid w:val="000749BA"/>
    <w:rsid w:val="000751D2"/>
    <w:rsid w:val="00075BCE"/>
    <w:rsid w:val="00075DA8"/>
    <w:rsid w:val="0007672F"/>
    <w:rsid w:val="000767C4"/>
    <w:rsid w:val="00076B54"/>
    <w:rsid w:val="0007726D"/>
    <w:rsid w:val="000774F0"/>
    <w:rsid w:val="00080248"/>
    <w:rsid w:val="00080362"/>
    <w:rsid w:val="0008052C"/>
    <w:rsid w:val="00080909"/>
    <w:rsid w:val="00080A41"/>
    <w:rsid w:val="000812CA"/>
    <w:rsid w:val="0008168E"/>
    <w:rsid w:val="00081755"/>
    <w:rsid w:val="00081B2F"/>
    <w:rsid w:val="00081E63"/>
    <w:rsid w:val="000820DE"/>
    <w:rsid w:val="0008258D"/>
    <w:rsid w:val="00082E9C"/>
    <w:rsid w:val="00083192"/>
    <w:rsid w:val="00083269"/>
    <w:rsid w:val="00083E99"/>
    <w:rsid w:val="00084C65"/>
    <w:rsid w:val="00084FA8"/>
    <w:rsid w:val="000856C5"/>
    <w:rsid w:val="00085C31"/>
    <w:rsid w:val="00085CCE"/>
    <w:rsid w:val="000861FE"/>
    <w:rsid w:val="00086B90"/>
    <w:rsid w:val="00086CAF"/>
    <w:rsid w:val="00087C85"/>
    <w:rsid w:val="00087EA9"/>
    <w:rsid w:val="00090246"/>
    <w:rsid w:val="000902D9"/>
    <w:rsid w:val="00090C7E"/>
    <w:rsid w:val="000911AC"/>
    <w:rsid w:val="00091B3C"/>
    <w:rsid w:val="00092000"/>
    <w:rsid w:val="00092004"/>
    <w:rsid w:val="000925C5"/>
    <w:rsid w:val="00092600"/>
    <w:rsid w:val="0009262B"/>
    <w:rsid w:val="00093310"/>
    <w:rsid w:val="0009445C"/>
    <w:rsid w:val="00095200"/>
    <w:rsid w:val="0009585C"/>
    <w:rsid w:val="00095E1D"/>
    <w:rsid w:val="00095FE5"/>
    <w:rsid w:val="00096284"/>
    <w:rsid w:val="00096C08"/>
    <w:rsid w:val="00097A95"/>
    <w:rsid w:val="00097BB8"/>
    <w:rsid w:val="000A0768"/>
    <w:rsid w:val="000A184E"/>
    <w:rsid w:val="000A1855"/>
    <w:rsid w:val="000A1BC0"/>
    <w:rsid w:val="000A215A"/>
    <w:rsid w:val="000A2F9E"/>
    <w:rsid w:val="000A303C"/>
    <w:rsid w:val="000A3833"/>
    <w:rsid w:val="000A396F"/>
    <w:rsid w:val="000A3B4D"/>
    <w:rsid w:val="000A3E47"/>
    <w:rsid w:val="000A3E90"/>
    <w:rsid w:val="000A480F"/>
    <w:rsid w:val="000A4C55"/>
    <w:rsid w:val="000A522B"/>
    <w:rsid w:val="000A5CFB"/>
    <w:rsid w:val="000A6039"/>
    <w:rsid w:val="000A7453"/>
    <w:rsid w:val="000A74DE"/>
    <w:rsid w:val="000A7CDE"/>
    <w:rsid w:val="000A7D08"/>
    <w:rsid w:val="000B0121"/>
    <w:rsid w:val="000B0670"/>
    <w:rsid w:val="000B092F"/>
    <w:rsid w:val="000B0E75"/>
    <w:rsid w:val="000B1194"/>
    <w:rsid w:val="000B153C"/>
    <w:rsid w:val="000B2466"/>
    <w:rsid w:val="000B29D5"/>
    <w:rsid w:val="000B2DCB"/>
    <w:rsid w:val="000B2F57"/>
    <w:rsid w:val="000B399F"/>
    <w:rsid w:val="000B5CE0"/>
    <w:rsid w:val="000B62D0"/>
    <w:rsid w:val="000B6641"/>
    <w:rsid w:val="000B6CAC"/>
    <w:rsid w:val="000B6E52"/>
    <w:rsid w:val="000B74CF"/>
    <w:rsid w:val="000B7612"/>
    <w:rsid w:val="000B78AE"/>
    <w:rsid w:val="000C00E3"/>
    <w:rsid w:val="000C022C"/>
    <w:rsid w:val="000C0259"/>
    <w:rsid w:val="000C04F6"/>
    <w:rsid w:val="000C08BC"/>
    <w:rsid w:val="000C0E82"/>
    <w:rsid w:val="000C1CCE"/>
    <w:rsid w:val="000C26BB"/>
    <w:rsid w:val="000C3DE2"/>
    <w:rsid w:val="000C3DF9"/>
    <w:rsid w:val="000C46E2"/>
    <w:rsid w:val="000C4CF2"/>
    <w:rsid w:val="000C4D50"/>
    <w:rsid w:val="000C508D"/>
    <w:rsid w:val="000C54C6"/>
    <w:rsid w:val="000C5954"/>
    <w:rsid w:val="000C6713"/>
    <w:rsid w:val="000C696D"/>
    <w:rsid w:val="000C7513"/>
    <w:rsid w:val="000C7D3F"/>
    <w:rsid w:val="000C7FD1"/>
    <w:rsid w:val="000D069A"/>
    <w:rsid w:val="000D1748"/>
    <w:rsid w:val="000D1BFC"/>
    <w:rsid w:val="000D1D5D"/>
    <w:rsid w:val="000D2283"/>
    <w:rsid w:val="000D281A"/>
    <w:rsid w:val="000D2848"/>
    <w:rsid w:val="000D326A"/>
    <w:rsid w:val="000D39E5"/>
    <w:rsid w:val="000D41A1"/>
    <w:rsid w:val="000D491A"/>
    <w:rsid w:val="000D4BBD"/>
    <w:rsid w:val="000D4EDE"/>
    <w:rsid w:val="000D51FB"/>
    <w:rsid w:val="000D78DC"/>
    <w:rsid w:val="000D796C"/>
    <w:rsid w:val="000D7A37"/>
    <w:rsid w:val="000D7CBC"/>
    <w:rsid w:val="000E0640"/>
    <w:rsid w:val="000E0894"/>
    <w:rsid w:val="000E1057"/>
    <w:rsid w:val="000E135D"/>
    <w:rsid w:val="000E1481"/>
    <w:rsid w:val="000E28CB"/>
    <w:rsid w:val="000E29F1"/>
    <w:rsid w:val="000E2B31"/>
    <w:rsid w:val="000E37D9"/>
    <w:rsid w:val="000E4A0B"/>
    <w:rsid w:val="000E4A7F"/>
    <w:rsid w:val="000E501F"/>
    <w:rsid w:val="000E5C8A"/>
    <w:rsid w:val="000E5DFE"/>
    <w:rsid w:val="000E67D0"/>
    <w:rsid w:val="000E68B8"/>
    <w:rsid w:val="000E6B01"/>
    <w:rsid w:val="000E6F79"/>
    <w:rsid w:val="000F00BA"/>
    <w:rsid w:val="000F0D6F"/>
    <w:rsid w:val="000F0EBF"/>
    <w:rsid w:val="000F119E"/>
    <w:rsid w:val="000F1931"/>
    <w:rsid w:val="000F1DDB"/>
    <w:rsid w:val="000F24A6"/>
    <w:rsid w:val="000F258F"/>
    <w:rsid w:val="000F2D7E"/>
    <w:rsid w:val="000F3149"/>
    <w:rsid w:val="000F316A"/>
    <w:rsid w:val="000F379A"/>
    <w:rsid w:val="000F39FA"/>
    <w:rsid w:val="000F3B47"/>
    <w:rsid w:val="000F3C74"/>
    <w:rsid w:val="000F3DCC"/>
    <w:rsid w:val="000F45CF"/>
    <w:rsid w:val="000F4BB8"/>
    <w:rsid w:val="000F4C57"/>
    <w:rsid w:val="000F4C59"/>
    <w:rsid w:val="000F4E51"/>
    <w:rsid w:val="000F4FA9"/>
    <w:rsid w:val="000F53FB"/>
    <w:rsid w:val="000F59F8"/>
    <w:rsid w:val="000F6022"/>
    <w:rsid w:val="000F6D34"/>
    <w:rsid w:val="000F7127"/>
    <w:rsid w:val="000F76A5"/>
    <w:rsid w:val="000F7B54"/>
    <w:rsid w:val="001000B3"/>
    <w:rsid w:val="0010023A"/>
    <w:rsid w:val="00100B54"/>
    <w:rsid w:val="00100CB3"/>
    <w:rsid w:val="00100E28"/>
    <w:rsid w:val="00100F8A"/>
    <w:rsid w:val="00102314"/>
    <w:rsid w:val="00102686"/>
    <w:rsid w:val="00103338"/>
    <w:rsid w:val="00103BDC"/>
    <w:rsid w:val="00103D1B"/>
    <w:rsid w:val="001040EC"/>
    <w:rsid w:val="0010452E"/>
    <w:rsid w:val="00105231"/>
    <w:rsid w:val="00105434"/>
    <w:rsid w:val="00105AE2"/>
    <w:rsid w:val="00105C65"/>
    <w:rsid w:val="00105CB7"/>
    <w:rsid w:val="00105E77"/>
    <w:rsid w:val="001060C6"/>
    <w:rsid w:val="00106868"/>
    <w:rsid w:val="001069BC"/>
    <w:rsid w:val="00106B80"/>
    <w:rsid w:val="00107000"/>
    <w:rsid w:val="0011032E"/>
    <w:rsid w:val="001117B2"/>
    <w:rsid w:val="00111DB2"/>
    <w:rsid w:val="0011348B"/>
    <w:rsid w:val="001135B6"/>
    <w:rsid w:val="00113740"/>
    <w:rsid w:val="00113EC8"/>
    <w:rsid w:val="001144E6"/>
    <w:rsid w:val="00115060"/>
    <w:rsid w:val="0011517F"/>
    <w:rsid w:val="00115982"/>
    <w:rsid w:val="00115A9A"/>
    <w:rsid w:val="001161E8"/>
    <w:rsid w:val="0011621F"/>
    <w:rsid w:val="001163F3"/>
    <w:rsid w:val="00116C53"/>
    <w:rsid w:val="001170D8"/>
    <w:rsid w:val="001171DA"/>
    <w:rsid w:val="00120203"/>
    <w:rsid w:val="00120231"/>
    <w:rsid w:val="0012050C"/>
    <w:rsid w:val="00120615"/>
    <w:rsid w:val="00120CB3"/>
    <w:rsid w:val="001216A0"/>
    <w:rsid w:val="00121799"/>
    <w:rsid w:val="001222FC"/>
    <w:rsid w:val="00122A11"/>
    <w:rsid w:val="00123902"/>
    <w:rsid w:val="00124675"/>
    <w:rsid w:val="00124A51"/>
    <w:rsid w:val="00124CBC"/>
    <w:rsid w:val="00124FF5"/>
    <w:rsid w:val="0012608A"/>
    <w:rsid w:val="00126621"/>
    <w:rsid w:val="00126A66"/>
    <w:rsid w:val="00126B1D"/>
    <w:rsid w:val="00127596"/>
    <w:rsid w:val="00127EC5"/>
    <w:rsid w:val="001301E9"/>
    <w:rsid w:val="00130AD3"/>
    <w:rsid w:val="0013147F"/>
    <w:rsid w:val="00131A2D"/>
    <w:rsid w:val="00131D82"/>
    <w:rsid w:val="001320FB"/>
    <w:rsid w:val="00132B22"/>
    <w:rsid w:val="00132C73"/>
    <w:rsid w:val="001333FE"/>
    <w:rsid w:val="00133D36"/>
    <w:rsid w:val="0013534E"/>
    <w:rsid w:val="00135465"/>
    <w:rsid w:val="00136364"/>
    <w:rsid w:val="00136584"/>
    <w:rsid w:val="001366C6"/>
    <w:rsid w:val="00136897"/>
    <w:rsid w:val="00136C4A"/>
    <w:rsid w:val="00136DA3"/>
    <w:rsid w:val="00136DDA"/>
    <w:rsid w:val="00136FD2"/>
    <w:rsid w:val="00137645"/>
    <w:rsid w:val="0014015A"/>
    <w:rsid w:val="001402EC"/>
    <w:rsid w:val="001404F6"/>
    <w:rsid w:val="001406D7"/>
    <w:rsid w:val="00140E99"/>
    <w:rsid w:val="00142405"/>
    <w:rsid w:val="00142D35"/>
    <w:rsid w:val="00143953"/>
    <w:rsid w:val="00143F67"/>
    <w:rsid w:val="00144327"/>
    <w:rsid w:val="0014436D"/>
    <w:rsid w:val="00145234"/>
    <w:rsid w:val="00145263"/>
    <w:rsid w:val="00145540"/>
    <w:rsid w:val="001456B0"/>
    <w:rsid w:val="00146137"/>
    <w:rsid w:val="00146678"/>
    <w:rsid w:val="00146D52"/>
    <w:rsid w:val="00147348"/>
    <w:rsid w:val="00147794"/>
    <w:rsid w:val="001501B9"/>
    <w:rsid w:val="0015033C"/>
    <w:rsid w:val="001504A2"/>
    <w:rsid w:val="001507BB"/>
    <w:rsid w:val="00150FFF"/>
    <w:rsid w:val="00151E69"/>
    <w:rsid w:val="00153E38"/>
    <w:rsid w:val="001547AB"/>
    <w:rsid w:val="001547B7"/>
    <w:rsid w:val="0015511F"/>
    <w:rsid w:val="001553DB"/>
    <w:rsid w:val="00155E20"/>
    <w:rsid w:val="00156409"/>
    <w:rsid w:val="00156F8F"/>
    <w:rsid w:val="00157130"/>
    <w:rsid w:val="00157409"/>
    <w:rsid w:val="001576B1"/>
    <w:rsid w:val="00157ED7"/>
    <w:rsid w:val="0016047B"/>
    <w:rsid w:val="001609D7"/>
    <w:rsid w:val="00160A4C"/>
    <w:rsid w:val="00160E49"/>
    <w:rsid w:val="00161D43"/>
    <w:rsid w:val="00162913"/>
    <w:rsid w:val="001637F7"/>
    <w:rsid w:val="00163EFF"/>
    <w:rsid w:val="00163F66"/>
    <w:rsid w:val="00164548"/>
    <w:rsid w:val="0016478E"/>
    <w:rsid w:val="00164801"/>
    <w:rsid w:val="00165A53"/>
    <w:rsid w:val="00165EC4"/>
    <w:rsid w:val="001661FB"/>
    <w:rsid w:val="001671A0"/>
    <w:rsid w:val="00167540"/>
    <w:rsid w:val="0016767F"/>
    <w:rsid w:val="00167701"/>
    <w:rsid w:val="00167AAA"/>
    <w:rsid w:val="00170769"/>
    <w:rsid w:val="00170AC6"/>
    <w:rsid w:val="001725D4"/>
    <w:rsid w:val="00172A14"/>
    <w:rsid w:val="00173565"/>
    <w:rsid w:val="00173B07"/>
    <w:rsid w:val="00173F1D"/>
    <w:rsid w:val="00174C32"/>
    <w:rsid w:val="00174DE5"/>
    <w:rsid w:val="001750F2"/>
    <w:rsid w:val="001751FA"/>
    <w:rsid w:val="001762F9"/>
    <w:rsid w:val="00177C86"/>
    <w:rsid w:val="00180B8D"/>
    <w:rsid w:val="00181558"/>
    <w:rsid w:val="0018155C"/>
    <w:rsid w:val="001819F4"/>
    <w:rsid w:val="00181C10"/>
    <w:rsid w:val="00181D9C"/>
    <w:rsid w:val="0018252C"/>
    <w:rsid w:val="001826DB"/>
    <w:rsid w:val="0018278E"/>
    <w:rsid w:val="00182AA5"/>
    <w:rsid w:val="001837FF"/>
    <w:rsid w:val="00183DB3"/>
    <w:rsid w:val="001842B4"/>
    <w:rsid w:val="00184B0E"/>
    <w:rsid w:val="00184F17"/>
    <w:rsid w:val="001853A1"/>
    <w:rsid w:val="0018562A"/>
    <w:rsid w:val="00185862"/>
    <w:rsid w:val="00185E67"/>
    <w:rsid w:val="00187021"/>
    <w:rsid w:val="0018752F"/>
    <w:rsid w:val="0019016C"/>
    <w:rsid w:val="001902E6"/>
    <w:rsid w:val="0019189A"/>
    <w:rsid w:val="00191BEB"/>
    <w:rsid w:val="00193838"/>
    <w:rsid w:val="0019437B"/>
    <w:rsid w:val="001943BB"/>
    <w:rsid w:val="00194AD8"/>
    <w:rsid w:val="00195017"/>
    <w:rsid w:val="00195049"/>
    <w:rsid w:val="00195222"/>
    <w:rsid w:val="00195452"/>
    <w:rsid w:val="0019619A"/>
    <w:rsid w:val="001975D8"/>
    <w:rsid w:val="0019786D"/>
    <w:rsid w:val="00197FBC"/>
    <w:rsid w:val="001A04D4"/>
    <w:rsid w:val="001A178E"/>
    <w:rsid w:val="001A3073"/>
    <w:rsid w:val="001A337C"/>
    <w:rsid w:val="001A422E"/>
    <w:rsid w:val="001A4396"/>
    <w:rsid w:val="001A43FA"/>
    <w:rsid w:val="001A47C5"/>
    <w:rsid w:val="001A4AAA"/>
    <w:rsid w:val="001A5032"/>
    <w:rsid w:val="001A59FB"/>
    <w:rsid w:val="001A5E9E"/>
    <w:rsid w:val="001A634B"/>
    <w:rsid w:val="001A6354"/>
    <w:rsid w:val="001A6366"/>
    <w:rsid w:val="001A7679"/>
    <w:rsid w:val="001A7AE8"/>
    <w:rsid w:val="001A7C50"/>
    <w:rsid w:val="001A7E0C"/>
    <w:rsid w:val="001B11E8"/>
    <w:rsid w:val="001B1A8E"/>
    <w:rsid w:val="001B204E"/>
    <w:rsid w:val="001B214F"/>
    <w:rsid w:val="001B2372"/>
    <w:rsid w:val="001B2502"/>
    <w:rsid w:val="001B295D"/>
    <w:rsid w:val="001B29C4"/>
    <w:rsid w:val="001B2F9E"/>
    <w:rsid w:val="001B3088"/>
    <w:rsid w:val="001B3443"/>
    <w:rsid w:val="001B3611"/>
    <w:rsid w:val="001B4646"/>
    <w:rsid w:val="001B46EF"/>
    <w:rsid w:val="001B4861"/>
    <w:rsid w:val="001B4D20"/>
    <w:rsid w:val="001B5462"/>
    <w:rsid w:val="001B5472"/>
    <w:rsid w:val="001B5D1D"/>
    <w:rsid w:val="001B7143"/>
    <w:rsid w:val="001B7F84"/>
    <w:rsid w:val="001C09C6"/>
    <w:rsid w:val="001C19C1"/>
    <w:rsid w:val="001C1CD1"/>
    <w:rsid w:val="001C2A9B"/>
    <w:rsid w:val="001C2D64"/>
    <w:rsid w:val="001C3DD6"/>
    <w:rsid w:val="001C4299"/>
    <w:rsid w:val="001C4874"/>
    <w:rsid w:val="001C50A3"/>
    <w:rsid w:val="001C5678"/>
    <w:rsid w:val="001C5E7E"/>
    <w:rsid w:val="001C5F94"/>
    <w:rsid w:val="001C6E66"/>
    <w:rsid w:val="001C7C1B"/>
    <w:rsid w:val="001C7C47"/>
    <w:rsid w:val="001D1100"/>
    <w:rsid w:val="001D1391"/>
    <w:rsid w:val="001D16E3"/>
    <w:rsid w:val="001D1958"/>
    <w:rsid w:val="001D25B1"/>
    <w:rsid w:val="001D25D7"/>
    <w:rsid w:val="001D391D"/>
    <w:rsid w:val="001D4227"/>
    <w:rsid w:val="001D4530"/>
    <w:rsid w:val="001D4D2F"/>
    <w:rsid w:val="001D50B2"/>
    <w:rsid w:val="001D571B"/>
    <w:rsid w:val="001D59C4"/>
    <w:rsid w:val="001D5B4E"/>
    <w:rsid w:val="001D6221"/>
    <w:rsid w:val="001D6A84"/>
    <w:rsid w:val="001D71F4"/>
    <w:rsid w:val="001D7645"/>
    <w:rsid w:val="001E0875"/>
    <w:rsid w:val="001E0995"/>
    <w:rsid w:val="001E09DC"/>
    <w:rsid w:val="001E101D"/>
    <w:rsid w:val="001E1A4C"/>
    <w:rsid w:val="001E1E86"/>
    <w:rsid w:val="001E238E"/>
    <w:rsid w:val="001E2483"/>
    <w:rsid w:val="001E26DD"/>
    <w:rsid w:val="001E2B1E"/>
    <w:rsid w:val="001E2CFF"/>
    <w:rsid w:val="001E2F24"/>
    <w:rsid w:val="001E30C2"/>
    <w:rsid w:val="001E30D4"/>
    <w:rsid w:val="001E34DF"/>
    <w:rsid w:val="001E39AE"/>
    <w:rsid w:val="001E3BF5"/>
    <w:rsid w:val="001E4DB6"/>
    <w:rsid w:val="001E51D9"/>
    <w:rsid w:val="001E52EB"/>
    <w:rsid w:val="001E5C7C"/>
    <w:rsid w:val="001E5E9A"/>
    <w:rsid w:val="001E606B"/>
    <w:rsid w:val="001E61D2"/>
    <w:rsid w:val="001E63C0"/>
    <w:rsid w:val="001E654F"/>
    <w:rsid w:val="001E740C"/>
    <w:rsid w:val="001E79C8"/>
    <w:rsid w:val="001F1235"/>
    <w:rsid w:val="001F1A82"/>
    <w:rsid w:val="001F1B65"/>
    <w:rsid w:val="001F1CB3"/>
    <w:rsid w:val="001F2017"/>
    <w:rsid w:val="001F21AB"/>
    <w:rsid w:val="001F3073"/>
    <w:rsid w:val="001F335F"/>
    <w:rsid w:val="001F38B5"/>
    <w:rsid w:val="001F3AA6"/>
    <w:rsid w:val="001F4003"/>
    <w:rsid w:val="001F4081"/>
    <w:rsid w:val="001F48A6"/>
    <w:rsid w:val="001F4C8F"/>
    <w:rsid w:val="001F53B7"/>
    <w:rsid w:val="001F6BB3"/>
    <w:rsid w:val="001F7234"/>
    <w:rsid w:val="001F7361"/>
    <w:rsid w:val="001F7669"/>
    <w:rsid w:val="001F7B12"/>
    <w:rsid w:val="001F7D43"/>
    <w:rsid w:val="002008AC"/>
    <w:rsid w:val="002009E5"/>
    <w:rsid w:val="00200A12"/>
    <w:rsid w:val="00200D11"/>
    <w:rsid w:val="00200E4B"/>
    <w:rsid w:val="002011B0"/>
    <w:rsid w:val="00201EBA"/>
    <w:rsid w:val="00202684"/>
    <w:rsid w:val="00203181"/>
    <w:rsid w:val="00203204"/>
    <w:rsid w:val="002034AA"/>
    <w:rsid w:val="002034EC"/>
    <w:rsid w:val="00203669"/>
    <w:rsid w:val="00203783"/>
    <w:rsid w:val="0020385F"/>
    <w:rsid w:val="00205F61"/>
    <w:rsid w:val="002068A0"/>
    <w:rsid w:val="002069A2"/>
    <w:rsid w:val="00206D5E"/>
    <w:rsid w:val="00206E31"/>
    <w:rsid w:val="00207021"/>
    <w:rsid w:val="0020732F"/>
    <w:rsid w:val="0020785D"/>
    <w:rsid w:val="00207D00"/>
    <w:rsid w:val="002105C1"/>
    <w:rsid w:val="002107F3"/>
    <w:rsid w:val="002108C1"/>
    <w:rsid w:val="00210CE2"/>
    <w:rsid w:val="00211107"/>
    <w:rsid w:val="002116FD"/>
    <w:rsid w:val="00211956"/>
    <w:rsid w:val="00211BE7"/>
    <w:rsid w:val="002130E7"/>
    <w:rsid w:val="00213CA3"/>
    <w:rsid w:val="00213D54"/>
    <w:rsid w:val="00213E10"/>
    <w:rsid w:val="00213EF5"/>
    <w:rsid w:val="00216281"/>
    <w:rsid w:val="00216BF5"/>
    <w:rsid w:val="00216E25"/>
    <w:rsid w:val="002175E1"/>
    <w:rsid w:val="00217A1F"/>
    <w:rsid w:val="00217A3D"/>
    <w:rsid w:val="00217CD1"/>
    <w:rsid w:val="002200C3"/>
    <w:rsid w:val="00220384"/>
    <w:rsid w:val="00220558"/>
    <w:rsid w:val="00220629"/>
    <w:rsid w:val="0022078C"/>
    <w:rsid w:val="00220963"/>
    <w:rsid w:val="00220A61"/>
    <w:rsid w:val="00221484"/>
    <w:rsid w:val="00221727"/>
    <w:rsid w:val="00221887"/>
    <w:rsid w:val="0022293E"/>
    <w:rsid w:val="002229E1"/>
    <w:rsid w:val="0022317E"/>
    <w:rsid w:val="002233CA"/>
    <w:rsid w:val="00223B49"/>
    <w:rsid w:val="00223D5A"/>
    <w:rsid w:val="0022430F"/>
    <w:rsid w:val="00224AF5"/>
    <w:rsid w:val="00224DD4"/>
    <w:rsid w:val="00224DD6"/>
    <w:rsid w:val="00225583"/>
    <w:rsid w:val="00225CD2"/>
    <w:rsid w:val="00225E71"/>
    <w:rsid w:val="00226A1B"/>
    <w:rsid w:val="00226D42"/>
    <w:rsid w:val="00227204"/>
    <w:rsid w:val="002278A0"/>
    <w:rsid w:val="00227BA3"/>
    <w:rsid w:val="002305E8"/>
    <w:rsid w:val="002309CC"/>
    <w:rsid w:val="00230E7C"/>
    <w:rsid w:val="002313F6"/>
    <w:rsid w:val="00231BA9"/>
    <w:rsid w:val="00232052"/>
    <w:rsid w:val="0023209F"/>
    <w:rsid w:val="00232CC1"/>
    <w:rsid w:val="00233C01"/>
    <w:rsid w:val="00233D22"/>
    <w:rsid w:val="00233F82"/>
    <w:rsid w:val="0023413C"/>
    <w:rsid w:val="002344DD"/>
    <w:rsid w:val="002346F0"/>
    <w:rsid w:val="00235002"/>
    <w:rsid w:val="002355A9"/>
    <w:rsid w:val="0023629D"/>
    <w:rsid w:val="00236C4A"/>
    <w:rsid w:val="00236CE8"/>
    <w:rsid w:val="00236E71"/>
    <w:rsid w:val="00236FBC"/>
    <w:rsid w:val="00237096"/>
    <w:rsid w:val="00237148"/>
    <w:rsid w:val="00237255"/>
    <w:rsid w:val="002378FB"/>
    <w:rsid w:val="00237A69"/>
    <w:rsid w:val="00241079"/>
    <w:rsid w:val="002414FF"/>
    <w:rsid w:val="00241D37"/>
    <w:rsid w:val="00241EDA"/>
    <w:rsid w:val="002424AF"/>
    <w:rsid w:val="00242F09"/>
    <w:rsid w:val="0024322C"/>
    <w:rsid w:val="00243920"/>
    <w:rsid w:val="002439DC"/>
    <w:rsid w:val="00243A21"/>
    <w:rsid w:val="00243B88"/>
    <w:rsid w:val="002441D2"/>
    <w:rsid w:val="00244DC8"/>
    <w:rsid w:val="002458BA"/>
    <w:rsid w:val="00245CE9"/>
    <w:rsid w:val="0024636C"/>
    <w:rsid w:val="002465F0"/>
    <w:rsid w:val="00246865"/>
    <w:rsid w:val="00246C0E"/>
    <w:rsid w:val="002471B4"/>
    <w:rsid w:val="00247809"/>
    <w:rsid w:val="00247925"/>
    <w:rsid w:val="00250195"/>
    <w:rsid w:val="00251006"/>
    <w:rsid w:val="002512E0"/>
    <w:rsid w:val="0025234B"/>
    <w:rsid w:val="002524D5"/>
    <w:rsid w:val="00252505"/>
    <w:rsid w:val="002529E1"/>
    <w:rsid w:val="00253B1D"/>
    <w:rsid w:val="00253DC9"/>
    <w:rsid w:val="00254DCF"/>
    <w:rsid w:val="0025534B"/>
    <w:rsid w:val="002554AF"/>
    <w:rsid w:val="00255ABF"/>
    <w:rsid w:val="00255BB7"/>
    <w:rsid w:val="00255CCC"/>
    <w:rsid w:val="0025660F"/>
    <w:rsid w:val="0025670D"/>
    <w:rsid w:val="00257049"/>
    <w:rsid w:val="00257541"/>
    <w:rsid w:val="00257A39"/>
    <w:rsid w:val="00257AC4"/>
    <w:rsid w:val="00257BBE"/>
    <w:rsid w:val="00260C7B"/>
    <w:rsid w:val="00261AE4"/>
    <w:rsid w:val="00261EEF"/>
    <w:rsid w:val="002620F8"/>
    <w:rsid w:val="00262A1A"/>
    <w:rsid w:val="00262A87"/>
    <w:rsid w:val="00263486"/>
    <w:rsid w:val="0026359B"/>
    <w:rsid w:val="002636F1"/>
    <w:rsid w:val="00263754"/>
    <w:rsid w:val="002641E1"/>
    <w:rsid w:val="0026443E"/>
    <w:rsid w:val="00264ADF"/>
    <w:rsid w:val="00264D26"/>
    <w:rsid w:val="002654E0"/>
    <w:rsid w:val="00265AF2"/>
    <w:rsid w:val="00266774"/>
    <w:rsid w:val="00266AEE"/>
    <w:rsid w:val="00266F87"/>
    <w:rsid w:val="00267546"/>
    <w:rsid w:val="00267642"/>
    <w:rsid w:val="00267AEA"/>
    <w:rsid w:val="00267D3B"/>
    <w:rsid w:val="002700E6"/>
    <w:rsid w:val="00271480"/>
    <w:rsid w:val="00271530"/>
    <w:rsid w:val="00271828"/>
    <w:rsid w:val="00271FF7"/>
    <w:rsid w:val="0027294B"/>
    <w:rsid w:val="0027312C"/>
    <w:rsid w:val="00273EB4"/>
    <w:rsid w:val="002742DA"/>
    <w:rsid w:val="00274682"/>
    <w:rsid w:val="00274BF1"/>
    <w:rsid w:val="00275158"/>
    <w:rsid w:val="00275C5A"/>
    <w:rsid w:val="002775C0"/>
    <w:rsid w:val="00277892"/>
    <w:rsid w:val="00277B7C"/>
    <w:rsid w:val="00277BEB"/>
    <w:rsid w:val="002801E2"/>
    <w:rsid w:val="00281014"/>
    <w:rsid w:val="00281ECD"/>
    <w:rsid w:val="00281FB5"/>
    <w:rsid w:val="0028224D"/>
    <w:rsid w:val="00282371"/>
    <w:rsid w:val="00282786"/>
    <w:rsid w:val="00282FEB"/>
    <w:rsid w:val="00284101"/>
    <w:rsid w:val="00284A26"/>
    <w:rsid w:val="00285962"/>
    <w:rsid w:val="00285BCE"/>
    <w:rsid w:val="00285FD0"/>
    <w:rsid w:val="00286191"/>
    <w:rsid w:val="0028662E"/>
    <w:rsid w:val="0028665D"/>
    <w:rsid w:val="002870BB"/>
    <w:rsid w:val="00287117"/>
    <w:rsid w:val="00287378"/>
    <w:rsid w:val="002873F3"/>
    <w:rsid w:val="00287C5F"/>
    <w:rsid w:val="00287CAC"/>
    <w:rsid w:val="00290226"/>
    <w:rsid w:val="0029142D"/>
    <w:rsid w:val="00291582"/>
    <w:rsid w:val="0029230C"/>
    <w:rsid w:val="00293980"/>
    <w:rsid w:val="00293A52"/>
    <w:rsid w:val="00293B74"/>
    <w:rsid w:val="00294968"/>
    <w:rsid w:val="002951EE"/>
    <w:rsid w:val="00295687"/>
    <w:rsid w:val="00296138"/>
    <w:rsid w:val="00296972"/>
    <w:rsid w:val="00296CB7"/>
    <w:rsid w:val="00296D90"/>
    <w:rsid w:val="002970C4"/>
    <w:rsid w:val="002A0E39"/>
    <w:rsid w:val="002A12C0"/>
    <w:rsid w:val="002A14AB"/>
    <w:rsid w:val="002A171C"/>
    <w:rsid w:val="002A2957"/>
    <w:rsid w:val="002A2ADE"/>
    <w:rsid w:val="002A2B28"/>
    <w:rsid w:val="002A2EB6"/>
    <w:rsid w:val="002A2F50"/>
    <w:rsid w:val="002A3B01"/>
    <w:rsid w:val="002A3C64"/>
    <w:rsid w:val="002A3F5B"/>
    <w:rsid w:val="002A419D"/>
    <w:rsid w:val="002A4709"/>
    <w:rsid w:val="002A4721"/>
    <w:rsid w:val="002A4B0F"/>
    <w:rsid w:val="002A56D6"/>
    <w:rsid w:val="002A5A17"/>
    <w:rsid w:val="002A6855"/>
    <w:rsid w:val="002A6B33"/>
    <w:rsid w:val="002A7602"/>
    <w:rsid w:val="002A7943"/>
    <w:rsid w:val="002B05A1"/>
    <w:rsid w:val="002B09A4"/>
    <w:rsid w:val="002B0A0B"/>
    <w:rsid w:val="002B0F87"/>
    <w:rsid w:val="002B1C1F"/>
    <w:rsid w:val="002B32A0"/>
    <w:rsid w:val="002B3B8A"/>
    <w:rsid w:val="002B432F"/>
    <w:rsid w:val="002B62B3"/>
    <w:rsid w:val="002B6754"/>
    <w:rsid w:val="002B6CCE"/>
    <w:rsid w:val="002B6D40"/>
    <w:rsid w:val="002B73E1"/>
    <w:rsid w:val="002B7576"/>
    <w:rsid w:val="002C0C33"/>
    <w:rsid w:val="002C146C"/>
    <w:rsid w:val="002C2510"/>
    <w:rsid w:val="002C2775"/>
    <w:rsid w:val="002C27C1"/>
    <w:rsid w:val="002C2D34"/>
    <w:rsid w:val="002C2F25"/>
    <w:rsid w:val="002C36E3"/>
    <w:rsid w:val="002C481C"/>
    <w:rsid w:val="002C499C"/>
    <w:rsid w:val="002C5099"/>
    <w:rsid w:val="002C551D"/>
    <w:rsid w:val="002C5889"/>
    <w:rsid w:val="002C62B8"/>
    <w:rsid w:val="002C635B"/>
    <w:rsid w:val="002C64CB"/>
    <w:rsid w:val="002C66D2"/>
    <w:rsid w:val="002C6A50"/>
    <w:rsid w:val="002C6E9E"/>
    <w:rsid w:val="002C71CE"/>
    <w:rsid w:val="002C76EE"/>
    <w:rsid w:val="002D08F8"/>
    <w:rsid w:val="002D0CD8"/>
    <w:rsid w:val="002D1B78"/>
    <w:rsid w:val="002D2026"/>
    <w:rsid w:val="002D2E2B"/>
    <w:rsid w:val="002D3009"/>
    <w:rsid w:val="002D3AA3"/>
    <w:rsid w:val="002D3AAF"/>
    <w:rsid w:val="002D5309"/>
    <w:rsid w:val="002D54AA"/>
    <w:rsid w:val="002D577C"/>
    <w:rsid w:val="002D57FB"/>
    <w:rsid w:val="002D5D83"/>
    <w:rsid w:val="002D5F5D"/>
    <w:rsid w:val="002D63C9"/>
    <w:rsid w:val="002D66FC"/>
    <w:rsid w:val="002D6BBD"/>
    <w:rsid w:val="002D6CCC"/>
    <w:rsid w:val="002D7832"/>
    <w:rsid w:val="002D7C74"/>
    <w:rsid w:val="002E0262"/>
    <w:rsid w:val="002E05C8"/>
    <w:rsid w:val="002E0FDD"/>
    <w:rsid w:val="002E1071"/>
    <w:rsid w:val="002E11C4"/>
    <w:rsid w:val="002E15B9"/>
    <w:rsid w:val="002E1D66"/>
    <w:rsid w:val="002E2158"/>
    <w:rsid w:val="002E2BA7"/>
    <w:rsid w:val="002E2F94"/>
    <w:rsid w:val="002E3F04"/>
    <w:rsid w:val="002E4278"/>
    <w:rsid w:val="002E450A"/>
    <w:rsid w:val="002E4F02"/>
    <w:rsid w:val="002E6DF3"/>
    <w:rsid w:val="002E74F6"/>
    <w:rsid w:val="002E7722"/>
    <w:rsid w:val="002E78C0"/>
    <w:rsid w:val="002F07BA"/>
    <w:rsid w:val="002F0DA9"/>
    <w:rsid w:val="002F1014"/>
    <w:rsid w:val="002F1765"/>
    <w:rsid w:val="002F1914"/>
    <w:rsid w:val="002F1A3C"/>
    <w:rsid w:val="002F1E3B"/>
    <w:rsid w:val="002F25FD"/>
    <w:rsid w:val="002F26E4"/>
    <w:rsid w:val="002F2F3B"/>
    <w:rsid w:val="002F38EA"/>
    <w:rsid w:val="002F3E92"/>
    <w:rsid w:val="002F4058"/>
    <w:rsid w:val="002F4CA0"/>
    <w:rsid w:val="002F4D2D"/>
    <w:rsid w:val="002F4F52"/>
    <w:rsid w:val="002F5FDF"/>
    <w:rsid w:val="002F6131"/>
    <w:rsid w:val="002F643C"/>
    <w:rsid w:val="002F66A0"/>
    <w:rsid w:val="002F6828"/>
    <w:rsid w:val="002F70DB"/>
    <w:rsid w:val="002F71C0"/>
    <w:rsid w:val="002F74F1"/>
    <w:rsid w:val="002F79D4"/>
    <w:rsid w:val="002F7D29"/>
    <w:rsid w:val="002F7E65"/>
    <w:rsid w:val="0030028A"/>
    <w:rsid w:val="00300877"/>
    <w:rsid w:val="00301017"/>
    <w:rsid w:val="003013BB"/>
    <w:rsid w:val="0030155F"/>
    <w:rsid w:val="00301573"/>
    <w:rsid w:val="00301633"/>
    <w:rsid w:val="0030194A"/>
    <w:rsid w:val="00301BAB"/>
    <w:rsid w:val="00302313"/>
    <w:rsid w:val="003024A4"/>
    <w:rsid w:val="00303BE4"/>
    <w:rsid w:val="00304A7E"/>
    <w:rsid w:val="00304E5E"/>
    <w:rsid w:val="00305570"/>
    <w:rsid w:val="0030587B"/>
    <w:rsid w:val="00305ECB"/>
    <w:rsid w:val="0030665F"/>
    <w:rsid w:val="00306B95"/>
    <w:rsid w:val="00306D98"/>
    <w:rsid w:val="0030786C"/>
    <w:rsid w:val="00307D0C"/>
    <w:rsid w:val="0031031A"/>
    <w:rsid w:val="00310839"/>
    <w:rsid w:val="00310981"/>
    <w:rsid w:val="0031166A"/>
    <w:rsid w:val="00311D9B"/>
    <w:rsid w:val="00311E48"/>
    <w:rsid w:val="00311E92"/>
    <w:rsid w:val="00311FBA"/>
    <w:rsid w:val="003124D9"/>
    <w:rsid w:val="00312594"/>
    <w:rsid w:val="00312FA7"/>
    <w:rsid w:val="00313433"/>
    <w:rsid w:val="00313A9A"/>
    <w:rsid w:val="00314513"/>
    <w:rsid w:val="00314EF3"/>
    <w:rsid w:val="003152AA"/>
    <w:rsid w:val="00315498"/>
    <w:rsid w:val="00315679"/>
    <w:rsid w:val="00315F25"/>
    <w:rsid w:val="00316474"/>
    <w:rsid w:val="003167AB"/>
    <w:rsid w:val="003172FA"/>
    <w:rsid w:val="00317C62"/>
    <w:rsid w:val="00320422"/>
    <w:rsid w:val="00320CB5"/>
    <w:rsid w:val="0032149D"/>
    <w:rsid w:val="00321AD0"/>
    <w:rsid w:val="00322107"/>
    <w:rsid w:val="00322355"/>
    <w:rsid w:val="00322500"/>
    <w:rsid w:val="00322846"/>
    <w:rsid w:val="0032292E"/>
    <w:rsid w:val="00322D8F"/>
    <w:rsid w:val="00323CB8"/>
    <w:rsid w:val="00324E1A"/>
    <w:rsid w:val="00324EBF"/>
    <w:rsid w:val="00325C8E"/>
    <w:rsid w:val="00325D68"/>
    <w:rsid w:val="0032600E"/>
    <w:rsid w:val="003260AD"/>
    <w:rsid w:val="0032623C"/>
    <w:rsid w:val="00326A80"/>
    <w:rsid w:val="00326CC7"/>
    <w:rsid w:val="00326DA7"/>
    <w:rsid w:val="003270E4"/>
    <w:rsid w:val="00327310"/>
    <w:rsid w:val="00330DAA"/>
    <w:rsid w:val="00330F5C"/>
    <w:rsid w:val="00331041"/>
    <w:rsid w:val="003311E7"/>
    <w:rsid w:val="00331F08"/>
    <w:rsid w:val="0033296F"/>
    <w:rsid w:val="00332DCB"/>
    <w:rsid w:val="00332F13"/>
    <w:rsid w:val="00333203"/>
    <w:rsid w:val="003339F9"/>
    <w:rsid w:val="00333A49"/>
    <w:rsid w:val="00333FAC"/>
    <w:rsid w:val="003344D1"/>
    <w:rsid w:val="00334673"/>
    <w:rsid w:val="00334925"/>
    <w:rsid w:val="00334B9F"/>
    <w:rsid w:val="0033573D"/>
    <w:rsid w:val="003359D3"/>
    <w:rsid w:val="00335EBB"/>
    <w:rsid w:val="00336126"/>
    <w:rsid w:val="003366C9"/>
    <w:rsid w:val="0033680F"/>
    <w:rsid w:val="00336DCB"/>
    <w:rsid w:val="003371B0"/>
    <w:rsid w:val="00337AF2"/>
    <w:rsid w:val="003401EC"/>
    <w:rsid w:val="00340DF1"/>
    <w:rsid w:val="003418EC"/>
    <w:rsid w:val="003420EF"/>
    <w:rsid w:val="0034330A"/>
    <w:rsid w:val="003438F2"/>
    <w:rsid w:val="00343E59"/>
    <w:rsid w:val="00344239"/>
    <w:rsid w:val="003445A8"/>
    <w:rsid w:val="00346496"/>
    <w:rsid w:val="00346D0D"/>
    <w:rsid w:val="00347884"/>
    <w:rsid w:val="00347B11"/>
    <w:rsid w:val="00347FCC"/>
    <w:rsid w:val="003505EB"/>
    <w:rsid w:val="00350ACC"/>
    <w:rsid w:val="00350B1B"/>
    <w:rsid w:val="00350B44"/>
    <w:rsid w:val="003517F9"/>
    <w:rsid w:val="00351BA9"/>
    <w:rsid w:val="00352A0B"/>
    <w:rsid w:val="0035353B"/>
    <w:rsid w:val="00354F64"/>
    <w:rsid w:val="0035620E"/>
    <w:rsid w:val="003566B2"/>
    <w:rsid w:val="003573E0"/>
    <w:rsid w:val="003575BE"/>
    <w:rsid w:val="00357B11"/>
    <w:rsid w:val="00357F9B"/>
    <w:rsid w:val="00360345"/>
    <w:rsid w:val="003603CE"/>
    <w:rsid w:val="00361A05"/>
    <w:rsid w:val="0036219A"/>
    <w:rsid w:val="0036231F"/>
    <w:rsid w:val="003624C4"/>
    <w:rsid w:val="0036257E"/>
    <w:rsid w:val="003635DF"/>
    <w:rsid w:val="00363B00"/>
    <w:rsid w:val="00363BD5"/>
    <w:rsid w:val="0036453B"/>
    <w:rsid w:val="0036532C"/>
    <w:rsid w:val="003654AC"/>
    <w:rsid w:val="00365560"/>
    <w:rsid w:val="00366260"/>
    <w:rsid w:val="00366432"/>
    <w:rsid w:val="003665A2"/>
    <w:rsid w:val="0036686A"/>
    <w:rsid w:val="0036743B"/>
    <w:rsid w:val="00367D22"/>
    <w:rsid w:val="003708EC"/>
    <w:rsid w:val="00370AC9"/>
    <w:rsid w:val="0037102E"/>
    <w:rsid w:val="003710CF"/>
    <w:rsid w:val="0037124B"/>
    <w:rsid w:val="00371A59"/>
    <w:rsid w:val="00371F88"/>
    <w:rsid w:val="003722B3"/>
    <w:rsid w:val="00372CB0"/>
    <w:rsid w:val="0037358A"/>
    <w:rsid w:val="00373DEE"/>
    <w:rsid w:val="00373ED3"/>
    <w:rsid w:val="00374A15"/>
    <w:rsid w:val="003750F6"/>
    <w:rsid w:val="0037577C"/>
    <w:rsid w:val="0037591A"/>
    <w:rsid w:val="003760FC"/>
    <w:rsid w:val="00376508"/>
    <w:rsid w:val="003766B2"/>
    <w:rsid w:val="00377CD1"/>
    <w:rsid w:val="00380259"/>
    <w:rsid w:val="00380737"/>
    <w:rsid w:val="00380C43"/>
    <w:rsid w:val="00382166"/>
    <w:rsid w:val="003825F2"/>
    <w:rsid w:val="00382C77"/>
    <w:rsid w:val="00383474"/>
    <w:rsid w:val="0038365C"/>
    <w:rsid w:val="0038369B"/>
    <w:rsid w:val="003839FC"/>
    <w:rsid w:val="00383B78"/>
    <w:rsid w:val="00383DA7"/>
    <w:rsid w:val="00383F15"/>
    <w:rsid w:val="003850CA"/>
    <w:rsid w:val="0038578F"/>
    <w:rsid w:val="00385A61"/>
    <w:rsid w:val="00385A9D"/>
    <w:rsid w:val="003862BD"/>
    <w:rsid w:val="00387121"/>
    <w:rsid w:val="003872C7"/>
    <w:rsid w:val="00387432"/>
    <w:rsid w:val="00387563"/>
    <w:rsid w:val="00387F66"/>
    <w:rsid w:val="003902B1"/>
    <w:rsid w:val="0039179C"/>
    <w:rsid w:val="00391D7B"/>
    <w:rsid w:val="003927C1"/>
    <w:rsid w:val="00392841"/>
    <w:rsid w:val="00393095"/>
    <w:rsid w:val="00393744"/>
    <w:rsid w:val="00393E73"/>
    <w:rsid w:val="00394881"/>
    <w:rsid w:val="00394CE9"/>
    <w:rsid w:val="00394E7E"/>
    <w:rsid w:val="0039536B"/>
    <w:rsid w:val="00395BFD"/>
    <w:rsid w:val="00395F00"/>
    <w:rsid w:val="0039621E"/>
    <w:rsid w:val="00396632"/>
    <w:rsid w:val="00396896"/>
    <w:rsid w:val="00396FD0"/>
    <w:rsid w:val="00397493"/>
    <w:rsid w:val="003974DE"/>
    <w:rsid w:val="0039780B"/>
    <w:rsid w:val="00397DFB"/>
    <w:rsid w:val="003A0671"/>
    <w:rsid w:val="003A0837"/>
    <w:rsid w:val="003A1228"/>
    <w:rsid w:val="003A1A7A"/>
    <w:rsid w:val="003A1DE1"/>
    <w:rsid w:val="003A2392"/>
    <w:rsid w:val="003A2831"/>
    <w:rsid w:val="003A364A"/>
    <w:rsid w:val="003A3CB6"/>
    <w:rsid w:val="003A3ED1"/>
    <w:rsid w:val="003A44DB"/>
    <w:rsid w:val="003A4C14"/>
    <w:rsid w:val="003A512E"/>
    <w:rsid w:val="003A65C3"/>
    <w:rsid w:val="003A6E02"/>
    <w:rsid w:val="003A7405"/>
    <w:rsid w:val="003A7A12"/>
    <w:rsid w:val="003B13E8"/>
    <w:rsid w:val="003B19D2"/>
    <w:rsid w:val="003B2E64"/>
    <w:rsid w:val="003B3971"/>
    <w:rsid w:val="003B39F2"/>
    <w:rsid w:val="003B43C1"/>
    <w:rsid w:val="003B475D"/>
    <w:rsid w:val="003B4C06"/>
    <w:rsid w:val="003B5533"/>
    <w:rsid w:val="003B55D1"/>
    <w:rsid w:val="003B5961"/>
    <w:rsid w:val="003B5B61"/>
    <w:rsid w:val="003B65C5"/>
    <w:rsid w:val="003B67D2"/>
    <w:rsid w:val="003B6D0E"/>
    <w:rsid w:val="003B702B"/>
    <w:rsid w:val="003B78FD"/>
    <w:rsid w:val="003B7945"/>
    <w:rsid w:val="003C0153"/>
    <w:rsid w:val="003C0B02"/>
    <w:rsid w:val="003C0FED"/>
    <w:rsid w:val="003C1654"/>
    <w:rsid w:val="003C28B1"/>
    <w:rsid w:val="003C39B9"/>
    <w:rsid w:val="003C4042"/>
    <w:rsid w:val="003C4DBA"/>
    <w:rsid w:val="003C51A6"/>
    <w:rsid w:val="003C5542"/>
    <w:rsid w:val="003C5B76"/>
    <w:rsid w:val="003C5C5B"/>
    <w:rsid w:val="003C5D8E"/>
    <w:rsid w:val="003C62CA"/>
    <w:rsid w:val="003C6685"/>
    <w:rsid w:val="003C68C1"/>
    <w:rsid w:val="003C7BF8"/>
    <w:rsid w:val="003C7C15"/>
    <w:rsid w:val="003C7D19"/>
    <w:rsid w:val="003C7D2F"/>
    <w:rsid w:val="003D08A4"/>
    <w:rsid w:val="003D0A28"/>
    <w:rsid w:val="003D0A3C"/>
    <w:rsid w:val="003D0A6A"/>
    <w:rsid w:val="003D0C5A"/>
    <w:rsid w:val="003D0CCA"/>
    <w:rsid w:val="003D1275"/>
    <w:rsid w:val="003D1374"/>
    <w:rsid w:val="003D1521"/>
    <w:rsid w:val="003D1828"/>
    <w:rsid w:val="003D1DE4"/>
    <w:rsid w:val="003D1E9A"/>
    <w:rsid w:val="003D22DB"/>
    <w:rsid w:val="003D2422"/>
    <w:rsid w:val="003D2CF2"/>
    <w:rsid w:val="003D3337"/>
    <w:rsid w:val="003D39A1"/>
    <w:rsid w:val="003D3EA0"/>
    <w:rsid w:val="003D3FBF"/>
    <w:rsid w:val="003D402F"/>
    <w:rsid w:val="003D4403"/>
    <w:rsid w:val="003D4437"/>
    <w:rsid w:val="003D4A30"/>
    <w:rsid w:val="003D549F"/>
    <w:rsid w:val="003D5983"/>
    <w:rsid w:val="003D5B1D"/>
    <w:rsid w:val="003D606D"/>
    <w:rsid w:val="003D7452"/>
    <w:rsid w:val="003D7603"/>
    <w:rsid w:val="003D7694"/>
    <w:rsid w:val="003D775B"/>
    <w:rsid w:val="003D79BB"/>
    <w:rsid w:val="003D7B66"/>
    <w:rsid w:val="003D7C98"/>
    <w:rsid w:val="003D7D9D"/>
    <w:rsid w:val="003D7F75"/>
    <w:rsid w:val="003E0543"/>
    <w:rsid w:val="003E0B3D"/>
    <w:rsid w:val="003E0F77"/>
    <w:rsid w:val="003E122E"/>
    <w:rsid w:val="003E1334"/>
    <w:rsid w:val="003E18F0"/>
    <w:rsid w:val="003E2148"/>
    <w:rsid w:val="003E535A"/>
    <w:rsid w:val="003E5603"/>
    <w:rsid w:val="003E57BF"/>
    <w:rsid w:val="003E640A"/>
    <w:rsid w:val="003E7265"/>
    <w:rsid w:val="003E749E"/>
    <w:rsid w:val="003E7A3C"/>
    <w:rsid w:val="003F136C"/>
    <w:rsid w:val="003F2CDB"/>
    <w:rsid w:val="003F31C2"/>
    <w:rsid w:val="003F32C0"/>
    <w:rsid w:val="003F39AC"/>
    <w:rsid w:val="003F3CAC"/>
    <w:rsid w:val="003F4156"/>
    <w:rsid w:val="003F41D9"/>
    <w:rsid w:val="003F43BF"/>
    <w:rsid w:val="003F5376"/>
    <w:rsid w:val="003F55F3"/>
    <w:rsid w:val="003F5692"/>
    <w:rsid w:val="003F5ADF"/>
    <w:rsid w:val="003F616E"/>
    <w:rsid w:val="003F63F8"/>
    <w:rsid w:val="003F6F46"/>
    <w:rsid w:val="003F7586"/>
    <w:rsid w:val="003F7608"/>
    <w:rsid w:val="003F7A35"/>
    <w:rsid w:val="003F7A86"/>
    <w:rsid w:val="003F7F90"/>
    <w:rsid w:val="003F7FAC"/>
    <w:rsid w:val="004001B6"/>
    <w:rsid w:val="00400975"/>
    <w:rsid w:val="00400B29"/>
    <w:rsid w:val="00401469"/>
    <w:rsid w:val="00401CD7"/>
    <w:rsid w:val="004021E3"/>
    <w:rsid w:val="0040275C"/>
    <w:rsid w:val="00402812"/>
    <w:rsid w:val="00403192"/>
    <w:rsid w:val="00403285"/>
    <w:rsid w:val="004032ED"/>
    <w:rsid w:val="004036B2"/>
    <w:rsid w:val="004039A1"/>
    <w:rsid w:val="00403CF2"/>
    <w:rsid w:val="00403E11"/>
    <w:rsid w:val="00404686"/>
    <w:rsid w:val="0040504B"/>
    <w:rsid w:val="004059F4"/>
    <w:rsid w:val="00405EBF"/>
    <w:rsid w:val="004067BD"/>
    <w:rsid w:val="0040721C"/>
    <w:rsid w:val="0040793B"/>
    <w:rsid w:val="00407FE5"/>
    <w:rsid w:val="004101B0"/>
    <w:rsid w:val="00410326"/>
    <w:rsid w:val="00410708"/>
    <w:rsid w:val="00410EC7"/>
    <w:rsid w:val="00411B39"/>
    <w:rsid w:val="00412320"/>
    <w:rsid w:val="004127A7"/>
    <w:rsid w:val="004127C8"/>
    <w:rsid w:val="0041287C"/>
    <w:rsid w:val="00413A1E"/>
    <w:rsid w:val="00413E67"/>
    <w:rsid w:val="00414476"/>
    <w:rsid w:val="004149EA"/>
    <w:rsid w:val="00414A75"/>
    <w:rsid w:val="00414B5D"/>
    <w:rsid w:val="00414C2E"/>
    <w:rsid w:val="00414DA4"/>
    <w:rsid w:val="004151CF"/>
    <w:rsid w:val="0041600D"/>
    <w:rsid w:val="00416364"/>
    <w:rsid w:val="00417246"/>
    <w:rsid w:val="00417E16"/>
    <w:rsid w:val="00420317"/>
    <w:rsid w:val="0042047F"/>
    <w:rsid w:val="00420AA6"/>
    <w:rsid w:val="00420B9F"/>
    <w:rsid w:val="0042192C"/>
    <w:rsid w:val="00422260"/>
    <w:rsid w:val="00422C55"/>
    <w:rsid w:val="00422F7A"/>
    <w:rsid w:val="0042381F"/>
    <w:rsid w:val="0042413F"/>
    <w:rsid w:val="00424280"/>
    <w:rsid w:val="00424FE4"/>
    <w:rsid w:val="004266DC"/>
    <w:rsid w:val="00426DDB"/>
    <w:rsid w:val="00427F5A"/>
    <w:rsid w:val="00430B01"/>
    <w:rsid w:val="00430C85"/>
    <w:rsid w:val="004314C3"/>
    <w:rsid w:val="004319F8"/>
    <w:rsid w:val="00431A06"/>
    <w:rsid w:val="00431E37"/>
    <w:rsid w:val="00431E55"/>
    <w:rsid w:val="004321F6"/>
    <w:rsid w:val="00432B82"/>
    <w:rsid w:val="0043300F"/>
    <w:rsid w:val="00433044"/>
    <w:rsid w:val="00434088"/>
    <w:rsid w:val="00434283"/>
    <w:rsid w:val="00436C87"/>
    <w:rsid w:val="004375B9"/>
    <w:rsid w:val="004377F7"/>
    <w:rsid w:val="00437BAB"/>
    <w:rsid w:val="004402FA"/>
    <w:rsid w:val="004406C2"/>
    <w:rsid w:val="00440742"/>
    <w:rsid w:val="004415C2"/>
    <w:rsid w:val="00441C44"/>
    <w:rsid w:val="004428D0"/>
    <w:rsid w:val="004429B2"/>
    <w:rsid w:val="00444185"/>
    <w:rsid w:val="0044423C"/>
    <w:rsid w:val="004443A7"/>
    <w:rsid w:val="0044442C"/>
    <w:rsid w:val="00444A39"/>
    <w:rsid w:val="00444D56"/>
    <w:rsid w:val="00445844"/>
    <w:rsid w:val="00445941"/>
    <w:rsid w:val="00445B3A"/>
    <w:rsid w:val="00445B95"/>
    <w:rsid w:val="00445D75"/>
    <w:rsid w:val="0044612C"/>
    <w:rsid w:val="004464EB"/>
    <w:rsid w:val="00446605"/>
    <w:rsid w:val="00447D26"/>
    <w:rsid w:val="00447DFC"/>
    <w:rsid w:val="0045146F"/>
    <w:rsid w:val="00451B91"/>
    <w:rsid w:val="004537A3"/>
    <w:rsid w:val="00453C28"/>
    <w:rsid w:val="00453CDA"/>
    <w:rsid w:val="00454111"/>
    <w:rsid w:val="00454322"/>
    <w:rsid w:val="00454436"/>
    <w:rsid w:val="0045493D"/>
    <w:rsid w:val="00454F09"/>
    <w:rsid w:val="0045558A"/>
    <w:rsid w:val="004556C8"/>
    <w:rsid w:val="004558A3"/>
    <w:rsid w:val="00455D45"/>
    <w:rsid w:val="0045619E"/>
    <w:rsid w:val="00456807"/>
    <w:rsid w:val="00456EFE"/>
    <w:rsid w:val="00456F58"/>
    <w:rsid w:val="004572C1"/>
    <w:rsid w:val="00457363"/>
    <w:rsid w:val="00460078"/>
    <w:rsid w:val="00460ED0"/>
    <w:rsid w:val="00461E7A"/>
    <w:rsid w:val="00462891"/>
    <w:rsid w:val="00463397"/>
    <w:rsid w:val="0046352C"/>
    <w:rsid w:val="00463B28"/>
    <w:rsid w:val="00464066"/>
    <w:rsid w:val="00464221"/>
    <w:rsid w:val="00464595"/>
    <w:rsid w:val="004645F9"/>
    <w:rsid w:val="004651F1"/>
    <w:rsid w:val="00465370"/>
    <w:rsid w:val="004658B5"/>
    <w:rsid w:val="00466189"/>
    <w:rsid w:val="0046651C"/>
    <w:rsid w:val="00466D74"/>
    <w:rsid w:val="00466DF8"/>
    <w:rsid w:val="004670DD"/>
    <w:rsid w:val="004671EC"/>
    <w:rsid w:val="00467399"/>
    <w:rsid w:val="00470221"/>
    <w:rsid w:val="004703C8"/>
    <w:rsid w:val="00470C89"/>
    <w:rsid w:val="00470F9F"/>
    <w:rsid w:val="00471A85"/>
    <w:rsid w:val="00471EA5"/>
    <w:rsid w:val="00472008"/>
    <w:rsid w:val="004720BE"/>
    <w:rsid w:val="00472942"/>
    <w:rsid w:val="00472A79"/>
    <w:rsid w:val="00472DCA"/>
    <w:rsid w:val="00473F19"/>
    <w:rsid w:val="00474270"/>
    <w:rsid w:val="00474A55"/>
    <w:rsid w:val="00474AC8"/>
    <w:rsid w:val="00474F2A"/>
    <w:rsid w:val="00475935"/>
    <w:rsid w:val="00475B96"/>
    <w:rsid w:val="00475E22"/>
    <w:rsid w:val="00475EB4"/>
    <w:rsid w:val="00476D64"/>
    <w:rsid w:val="00477411"/>
    <w:rsid w:val="004777F6"/>
    <w:rsid w:val="00480525"/>
    <w:rsid w:val="00480649"/>
    <w:rsid w:val="004806CF"/>
    <w:rsid w:val="0048088E"/>
    <w:rsid w:val="00480A6E"/>
    <w:rsid w:val="00480F2B"/>
    <w:rsid w:val="00481CA4"/>
    <w:rsid w:val="00482368"/>
    <w:rsid w:val="00482720"/>
    <w:rsid w:val="00482CC3"/>
    <w:rsid w:val="004835E7"/>
    <w:rsid w:val="004838BB"/>
    <w:rsid w:val="00484610"/>
    <w:rsid w:val="00484DDA"/>
    <w:rsid w:val="00484F45"/>
    <w:rsid w:val="00485831"/>
    <w:rsid w:val="004859E1"/>
    <w:rsid w:val="00486432"/>
    <w:rsid w:val="004867E2"/>
    <w:rsid w:val="00487B1E"/>
    <w:rsid w:val="00487B8E"/>
    <w:rsid w:val="00487FDF"/>
    <w:rsid w:val="00490B17"/>
    <w:rsid w:val="00491063"/>
    <w:rsid w:val="004918D9"/>
    <w:rsid w:val="00491B3A"/>
    <w:rsid w:val="00491EE1"/>
    <w:rsid w:val="00492627"/>
    <w:rsid w:val="00492A1B"/>
    <w:rsid w:val="00492CFD"/>
    <w:rsid w:val="00493429"/>
    <w:rsid w:val="004934B3"/>
    <w:rsid w:val="00494090"/>
    <w:rsid w:val="00494207"/>
    <w:rsid w:val="0049444F"/>
    <w:rsid w:val="00494DD5"/>
    <w:rsid w:val="004955A0"/>
    <w:rsid w:val="0049595B"/>
    <w:rsid w:val="00495A62"/>
    <w:rsid w:val="00495AA2"/>
    <w:rsid w:val="004962D2"/>
    <w:rsid w:val="004964C0"/>
    <w:rsid w:val="0049657D"/>
    <w:rsid w:val="00496B28"/>
    <w:rsid w:val="00497260"/>
    <w:rsid w:val="004972DA"/>
    <w:rsid w:val="00497792"/>
    <w:rsid w:val="004A0203"/>
    <w:rsid w:val="004A092D"/>
    <w:rsid w:val="004A0DA1"/>
    <w:rsid w:val="004A13D6"/>
    <w:rsid w:val="004A1730"/>
    <w:rsid w:val="004A1BDA"/>
    <w:rsid w:val="004A27D3"/>
    <w:rsid w:val="004A3DC8"/>
    <w:rsid w:val="004A3EAD"/>
    <w:rsid w:val="004A4206"/>
    <w:rsid w:val="004A4505"/>
    <w:rsid w:val="004A478C"/>
    <w:rsid w:val="004A4B37"/>
    <w:rsid w:val="004A52E9"/>
    <w:rsid w:val="004A6040"/>
    <w:rsid w:val="004A62CC"/>
    <w:rsid w:val="004A657F"/>
    <w:rsid w:val="004A6597"/>
    <w:rsid w:val="004A7848"/>
    <w:rsid w:val="004A793B"/>
    <w:rsid w:val="004B0EC9"/>
    <w:rsid w:val="004B14CA"/>
    <w:rsid w:val="004B1622"/>
    <w:rsid w:val="004B1B42"/>
    <w:rsid w:val="004B1CB4"/>
    <w:rsid w:val="004B2861"/>
    <w:rsid w:val="004B2F18"/>
    <w:rsid w:val="004B3036"/>
    <w:rsid w:val="004B3DBF"/>
    <w:rsid w:val="004B3DDB"/>
    <w:rsid w:val="004B4093"/>
    <w:rsid w:val="004B44FD"/>
    <w:rsid w:val="004B510A"/>
    <w:rsid w:val="004B51C2"/>
    <w:rsid w:val="004B5CFC"/>
    <w:rsid w:val="004B5D40"/>
    <w:rsid w:val="004B6F49"/>
    <w:rsid w:val="004B6F79"/>
    <w:rsid w:val="004B71A4"/>
    <w:rsid w:val="004B774D"/>
    <w:rsid w:val="004B77F3"/>
    <w:rsid w:val="004C0B0D"/>
    <w:rsid w:val="004C10A1"/>
    <w:rsid w:val="004C1815"/>
    <w:rsid w:val="004C20FA"/>
    <w:rsid w:val="004C2292"/>
    <w:rsid w:val="004C2AC2"/>
    <w:rsid w:val="004C2EA7"/>
    <w:rsid w:val="004C3677"/>
    <w:rsid w:val="004C3BA8"/>
    <w:rsid w:val="004C406F"/>
    <w:rsid w:val="004C41FA"/>
    <w:rsid w:val="004C4AED"/>
    <w:rsid w:val="004C5C4A"/>
    <w:rsid w:val="004C667D"/>
    <w:rsid w:val="004C66DD"/>
    <w:rsid w:val="004C6794"/>
    <w:rsid w:val="004C67C7"/>
    <w:rsid w:val="004C68B6"/>
    <w:rsid w:val="004D00EA"/>
    <w:rsid w:val="004D1ABC"/>
    <w:rsid w:val="004D1E46"/>
    <w:rsid w:val="004D2702"/>
    <w:rsid w:val="004D280C"/>
    <w:rsid w:val="004D2C2D"/>
    <w:rsid w:val="004D3714"/>
    <w:rsid w:val="004D39F7"/>
    <w:rsid w:val="004D3CCC"/>
    <w:rsid w:val="004D4D69"/>
    <w:rsid w:val="004D51EF"/>
    <w:rsid w:val="004D5241"/>
    <w:rsid w:val="004D5AFB"/>
    <w:rsid w:val="004D5E02"/>
    <w:rsid w:val="004D5E69"/>
    <w:rsid w:val="004D66E1"/>
    <w:rsid w:val="004D69B5"/>
    <w:rsid w:val="004D6CEA"/>
    <w:rsid w:val="004D7227"/>
    <w:rsid w:val="004D7B5E"/>
    <w:rsid w:val="004D7B91"/>
    <w:rsid w:val="004D7C0A"/>
    <w:rsid w:val="004E076B"/>
    <w:rsid w:val="004E0B0F"/>
    <w:rsid w:val="004E0E7F"/>
    <w:rsid w:val="004E0EB8"/>
    <w:rsid w:val="004E14C0"/>
    <w:rsid w:val="004E18E9"/>
    <w:rsid w:val="004E24A7"/>
    <w:rsid w:val="004E2ADC"/>
    <w:rsid w:val="004E38BC"/>
    <w:rsid w:val="004E3923"/>
    <w:rsid w:val="004E3B44"/>
    <w:rsid w:val="004E3CDE"/>
    <w:rsid w:val="004E3F06"/>
    <w:rsid w:val="004E43B2"/>
    <w:rsid w:val="004E4D76"/>
    <w:rsid w:val="004E59C7"/>
    <w:rsid w:val="004E6140"/>
    <w:rsid w:val="004E62E4"/>
    <w:rsid w:val="004E67F5"/>
    <w:rsid w:val="004E68C8"/>
    <w:rsid w:val="004E72D1"/>
    <w:rsid w:val="004E762C"/>
    <w:rsid w:val="004E7914"/>
    <w:rsid w:val="004F0086"/>
    <w:rsid w:val="004F1825"/>
    <w:rsid w:val="004F1CE9"/>
    <w:rsid w:val="004F1D02"/>
    <w:rsid w:val="004F1D79"/>
    <w:rsid w:val="004F1DBE"/>
    <w:rsid w:val="004F2679"/>
    <w:rsid w:val="004F271A"/>
    <w:rsid w:val="004F2F21"/>
    <w:rsid w:val="004F326E"/>
    <w:rsid w:val="004F365E"/>
    <w:rsid w:val="004F3D66"/>
    <w:rsid w:val="004F3DE5"/>
    <w:rsid w:val="004F41C4"/>
    <w:rsid w:val="004F4AD6"/>
    <w:rsid w:val="004F502E"/>
    <w:rsid w:val="004F5F2D"/>
    <w:rsid w:val="004F6913"/>
    <w:rsid w:val="004F6B33"/>
    <w:rsid w:val="004F6E20"/>
    <w:rsid w:val="004F6ED9"/>
    <w:rsid w:val="004F7162"/>
    <w:rsid w:val="004F7559"/>
    <w:rsid w:val="004F76B1"/>
    <w:rsid w:val="004F7865"/>
    <w:rsid w:val="005002B0"/>
    <w:rsid w:val="005003E8"/>
    <w:rsid w:val="005011C4"/>
    <w:rsid w:val="0050174E"/>
    <w:rsid w:val="00501854"/>
    <w:rsid w:val="00501D3E"/>
    <w:rsid w:val="00501F6B"/>
    <w:rsid w:val="005020B2"/>
    <w:rsid w:val="0050219B"/>
    <w:rsid w:val="0050252E"/>
    <w:rsid w:val="00502636"/>
    <w:rsid w:val="00502884"/>
    <w:rsid w:val="00503637"/>
    <w:rsid w:val="00503773"/>
    <w:rsid w:val="00503A0C"/>
    <w:rsid w:val="00503F17"/>
    <w:rsid w:val="00503F3A"/>
    <w:rsid w:val="00504858"/>
    <w:rsid w:val="00504D3F"/>
    <w:rsid w:val="00506595"/>
    <w:rsid w:val="00506928"/>
    <w:rsid w:val="005077D0"/>
    <w:rsid w:val="005077EF"/>
    <w:rsid w:val="0051078C"/>
    <w:rsid w:val="00511AD5"/>
    <w:rsid w:val="00511DC7"/>
    <w:rsid w:val="0051325E"/>
    <w:rsid w:val="00513485"/>
    <w:rsid w:val="00513734"/>
    <w:rsid w:val="00513D82"/>
    <w:rsid w:val="005142C5"/>
    <w:rsid w:val="00514745"/>
    <w:rsid w:val="00514913"/>
    <w:rsid w:val="00514E1E"/>
    <w:rsid w:val="0051501B"/>
    <w:rsid w:val="005152B5"/>
    <w:rsid w:val="00515800"/>
    <w:rsid w:val="00515886"/>
    <w:rsid w:val="005164B0"/>
    <w:rsid w:val="00516573"/>
    <w:rsid w:val="00516B1E"/>
    <w:rsid w:val="00520418"/>
    <w:rsid w:val="00520FFA"/>
    <w:rsid w:val="005211C5"/>
    <w:rsid w:val="0052123C"/>
    <w:rsid w:val="00521319"/>
    <w:rsid w:val="0052236F"/>
    <w:rsid w:val="0052278E"/>
    <w:rsid w:val="005228CB"/>
    <w:rsid w:val="00522BC8"/>
    <w:rsid w:val="00523147"/>
    <w:rsid w:val="00523C28"/>
    <w:rsid w:val="00523C82"/>
    <w:rsid w:val="00524109"/>
    <w:rsid w:val="00524110"/>
    <w:rsid w:val="00524938"/>
    <w:rsid w:val="0052570F"/>
    <w:rsid w:val="005269E2"/>
    <w:rsid w:val="00527EFF"/>
    <w:rsid w:val="00530D1D"/>
    <w:rsid w:val="00530DB9"/>
    <w:rsid w:val="00530E7D"/>
    <w:rsid w:val="0053176B"/>
    <w:rsid w:val="00531BAE"/>
    <w:rsid w:val="00532C11"/>
    <w:rsid w:val="00533911"/>
    <w:rsid w:val="00533D56"/>
    <w:rsid w:val="00533E8D"/>
    <w:rsid w:val="005341B3"/>
    <w:rsid w:val="005343AF"/>
    <w:rsid w:val="0053463B"/>
    <w:rsid w:val="00534A80"/>
    <w:rsid w:val="005350F5"/>
    <w:rsid w:val="00535302"/>
    <w:rsid w:val="0053531F"/>
    <w:rsid w:val="005360FC"/>
    <w:rsid w:val="0053618C"/>
    <w:rsid w:val="005369D0"/>
    <w:rsid w:val="00536F42"/>
    <w:rsid w:val="00537182"/>
    <w:rsid w:val="005376EB"/>
    <w:rsid w:val="00537C13"/>
    <w:rsid w:val="00537EEE"/>
    <w:rsid w:val="00537F9E"/>
    <w:rsid w:val="005400E1"/>
    <w:rsid w:val="00540F36"/>
    <w:rsid w:val="005410A7"/>
    <w:rsid w:val="00541976"/>
    <w:rsid w:val="00541EDD"/>
    <w:rsid w:val="00541F11"/>
    <w:rsid w:val="0054233C"/>
    <w:rsid w:val="00542743"/>
    <w:rsid w:val="00542C2D"/>
    <w:rsid w:val="00542C6D"/>
    <w:rsid w:val="0054300A"/>
    <w:rsid w:val="0054353A"/>
    <w:rsid w:val="00543F56"/>
    <w:rsid w:val="005440EA"/>
    <w:rsid w:val="00544470"/>
    <w:rsid w:val="00544A7A"/>
    <w:rsid w:val="00545BD0"/>
    <w:rsid w:val="005460D4"/>
    <w:rsid w:val="00546AC7"/>
    <w:rsid w:val="0054727A"/>
    <w:rsid w:val="00547415"/>
    <w:rsid w:val="005476A3"/>
    <w:rsid w:val="005478BD"/>
    <w:rsid w:val="005479E3"/>
    <w:rsid w:val="00547F12"/>
    <w:rsid w:val="00550332"/>
    <w:rsid w:val="00550EEB"/>
    <w:rsid w:val="00551098"/>
    <w:rsid w:val="00551985"/>
    <w:rsid w:val="00552625"/>
    <w:rsid w:val="00552BD3"/>
    <w:rsid w:val="005532A0"/>
    <w:rsid w:val="00553399"/>
    <w:rsid w:val="0055414C"/>
    <w:rsid w:val="00554CF2"/>
    <w:rsid w:val="00555109"/>
    <w:rsid w:val="00555345"/>
    <w:rsid w:val="0055582A"/>
    <w:rsid w:val="0055687D"/>
    <w:rsid w:val="00556B35"/>
    <w:rsid w:val="0055741A"/>
    <w:rsid w:val="005576F2"/>
    <w:rsid w:val="005602AE"/>
    <w:rsid w:val="0056116E"/>
    <w:rsid w:val="005611B7"/>
    <w:rsid w:val="005618D4"/>
    <w:rsid w:val="0056230C"/>
    <w:rsid w:val="00562521"/>
    <w:rsid w:val="00562C6A"/>
    <w:rsid w:val="005637AC"/>
    <w:rsid w:val="00563BC7"/>
    <w:rsid w:val="00564566"/>
    <w:rsid w:val="00564727"/>
    <w:rsid w:val="00564867"/>
    <w:rsid w:val="0056486C"/>
    <w:rsid w:val="00564E31"/>
    <w:rsid w:val="0056531F"/>
    <w:rsid w:val="00565C52"/>
    <w:rsid w:val="00565C79"/>
    <w:rsid w:val="00565DF0"/>
    <w:rsid w:val="005663AA"/>
    <w:rsid w:val="005663D1"/>
    <w:rsid w:val="005668C3"/>
    <w:rsid w:val="0056696F"/>
    <w:rsid w:val="00566C9E"/>
    <w:rsid w:val="005677A3"/>
    <w:rsid w:val="00570088"/>
    <w:rsid w:val="00571327"/>
    <w:rsid w:val="00571D8B"/>
    <w:rsid w:val="00571EA0"/>
    <w:rsid w:val="00571F03"/>
    <w:rsid w:val="00572269"/>
    <w:rsid w:val="0057244A"/>
    <w:rsid w:val="0057286D"/>
    <w:rsid w:val="00572988"/>
    <w:rsid w:val="00572F26"/>
    <w:rsid w:val="005746C9"/>
    <w:rsid w:val="0057477B"/>
    <w:rsid w:val="00574A55"/>
    <w:rsid w:val="005750C5"/>
    <w:rsid w:val="005752DE"/>
    <w:rsid w:val="00575D60"/>
    <w:rsid w:val="00575D8D"/>
    <w:rsid w:val="00576972"/>
    <w:rsid w:val="00577248"/>
    <w:rsid w:val="0057730B"/>
    <w:rsid w:val="00580946"/>
    <w:rsid w:val="0058147B"/>
    <w:rsid w:val="00581701"/>
    <w:rsid w:val="00581964"/>
    <w:rsid w:val="00581BF7"/>
    <w:rsid w:val="00582C2D"/>
    <w:rsid w:val="00583699"/>
    <w:rsid w:val="00583A40"/>
    <w:rsid w:val="00583A8A"/>
    <w:rsid w:val="00583DB1"/>
    <w:rsid w:val="005841CB"/>
    <w:rsid w:val="00584230"/>
    <w:rsid w:val="005844C6"/>
    <w:rsid w:val="0058475C"/>
    <w:rsid w:val="0058547B"/>
    <w:rsid w:val="00585675"/>
    <w:rsid w:val="00585CDD"/>
    <w:rsid w:val="00585D8D"/>
    <w:rsid w:val="005862D0"/>
    <w:rsid w:val="00586BAA"/>
    <w:rsid w:val="00587058"/>
    <w:rsid w:val="005901AE"/>
    <w:rsid w:val="00590BF8"/>
    <w:rsid w:val="00591957"/>
    <w:rsid w:val="00592305"/>
    <w:rsid w:val="00592757"/>
    <w:rsid w:val="00592D15"/>
    <w:rsid w:val="00593239"/>
    <w:rsid w:val="00593A31"/>
    <w:rsid w:val="00593B65"/>
    <w:rsid w:val="00593E0A"/>
    <w:rsid w:val="00594A51"/>
    <w:rsid w:val="00594B08"/>
    <w:rsid w:val="00594BB2"/>
    <w:rsid w:val="00595587"/>
    <w:rsid w:val="00595CA7"/>
    <w:rsid w:val="00595FC1"/>
    <w:rsid w:val="00596098"/>
    <w:rsid w:val="0059750D"/>
    <w:rsid w:val="0059770E"/>
    <w:rsid w:val="00597BF9"/>
    <w:rsid w:val="005A05B1"/>
    <w:rsid w:val="005A05E5"/>
    <w:rsid w:val="005A08ED"/>
    <w:rsid w:val="005A0B9B"/>
    <w:rsid w:val="005A0C11"/>
    <w:rsid w:val="005A0DA0"/>
    <w:rsid w:val="005A0F4E"/>
    <w:rsid w:val="005A1FBB"/>
    <w:rsid w:val="005A237C"/>
    <w:rsid w:val="005A309A"/>
    <w:rsid w:val="005A373D"/>
    <w:rsid w:val="005A3A25"/>
    <w:rsid w:val="005A40A9"/>
    <w:rsid w:val="005A42A1"/>
    <w:rsid w:val="005A434E"/>
    <w:rsid w:val="005A4B76"/>
    <w:rsid w:val="005A4C71"/>
    <w:rsid w:val="005A52F7"/>
    <w:rsid w:val="005A5353"/>
    <w:rsid w:val="005A6BDA"/>
    <w:rsid w:val="005A6CB7"/>
    <w:rsid w:val="005A701A"/>
    <w:rsid w:val="005A7594"/>
    <w:rsid w:val="005A7716"/>
    <w:rsid w:val="005A7763"/>
    <w:rsid w:val="005A7947"/>
    <w:rsid w:val="005B0104"/>
    <w:rsid w:val="005B0B58"/>
    <w:rsid w:val="005B1C79"/>
    <w:rsid w:val="005B2AD5"/>
    <w:rsid w:val="005B3426"/>
    <w:rsid w:val="005B4E53"/>
    <w:rsid w:val="005B51C4"/>
    <w:rsid w:val="005B5857"/>
    <w:rsid w:val="005B5D2F"/>
    <w:rsid w:val="005B61D0"/>
    <w:rsid w:val="005B70DD"/>
    <w:rsid w:val="005B77DB"/>
    <w:rsid w:val="005C10F7"/>
    <w:rsid w:val="005C1100"/>
    <w:rsid w:val="005C19C4"/>
    <w:rsid w:val="005C1B83"/>
    <w:rsid w:val="005C25FF"/>
    <w:rsid w:val="005C282F"/>
    <w:rsid w:val="005C2D55"/>
    <w:rsid w:val="005C2D8C"/>
    <w:rsid w:val="005C346B"/>
    <w:rsid w:val="005C3CC2"/>
    <w:rsid w:val="005C41BE"/>
    <w:rsid w:val="005C4298"/>
    <w:rsid w:val="005C5ABC"/>
    <w:rsid w:val="005C5CA0"/>
    <w:rsid w:val="005C6DD1"/>
    <w:rsid w:val="005C6F4F"/>
    <w:rsid w:val="005C6FAF"/>
    <w:rsid w:val="005C748A"/>
    <w:rsid w:val="005C7F45"/>
    <w:rsid w:val="005D005C"/>
    <w:rsid w:val="005D044D"/>
    <w:rsid w:val="005D0ABD"/>
    <w:rsid w:val="005D18AD"/>
    <w:rsid w:val="005D1BE9"/>
    <w:rsid w:val="005D1CEF"/>
    <w:rsid w:val="005D26B4"/>
    <w:rsid w:val="005D2768"/>
    <w:rsid w:val="005D280C"/>
    <w:rsid w:val="005D2ADD"/>
    <w:rsid w:val="005D34A4"/>
    <w:rsid w:val="005D45EA"/>
    <w:rsid w:val="005D4879"/>
    <w:rsid w:val="005D4950"/>
    <w:rsid w:val="005D49B6"/>
    <w:rsid w:val="005D5F04"/>
    <w:rsid w:val="005D6015"/>
    <w:rsid w:val="005D6900"/>
    <w:rsid w:val="005D73FD"/>
    <w:rsid w:val="005D7532"/>
    <w:rsid w:val="005D77EF"/>
    <w:rsid w:val="005D7959"/>
    <w:rsid w:val="005D7FF5"/>
    <w:rsid w:val="005E03F3"/>
    <w:rsid w:val="005E1317"/>
    <w:rsid w:val="005E15AC"/>
    <w:rsid w:val="005E17EC"/>
    <w:rsid w:val="005E1995"/>
    <w:rsid w:val="005E290A"/>
    <w:rsid w:val="005E2A0E"/>
    <w:rsid w:val="005E3B54"/>
    <w:rsid w:val="005E46A4"/>
    <w:rsid w:val="005E4C08"/>
    <w:rsid w:val="005E4CD6"/>
    <w:rsid w:val="005E5414"/>
    <w:rsid w:val="005E5816"/>
    <w:rsid w:val="005E6CBC"/>
    <w:rsid w:val="005E6EE2"/>
    <w:rsid w:val="005E72FF"/>
    <w:rsid w:val="005E73C0"/>
    <w:rsid w:val="005E7497"/>
    <w:rsid w:val="005E77F9"/>
    <w:rsid w:val="005E7944"/>
    <w:rsid w:val="005F025A"/>
    <w:rsid w:val="005F05F1"/>
    <w:rsid w:val="005F07ED"/>
    <w:rsid w:val="005F1EE5"/>
    <w:rsid w:val="005F2211"/>
    <w:rsid w:val="005F2706"/>
    <w:rsid w:val="005F346B"/>
    <w:rsid w:val="005F370C"/>
    <w:rsid w:val="005F4DEB"/>
    <w:rsid w:val="005F53DC"/>
    <w:rsid w:val="005F5962"/>
    <w:rsid w:val="005F6A8F"/>
    <w:rsid w:val="005F6BB7"/>
    <w:rsid w:val="005F6DEF"/>
    <w:rsid w:val="005F6DF6"/>
    <w:rsid w:val="005F6E39"/>
    <w:rsid w:val="005F7588"/>
    <w:rsid w:val="0060044B"/>
    <w:rsid w:val="0060098C"/>
    <w:rsid w:val="006011EB"/>
    <w:rsid w:val="00601B4A"/>
    <w:rsid w:val="00602743"/>
    <w:rsid w:val="00602AD3"/>
    <w:rsid w:val="00603302"/>
    <w:rsid w:val="0060346D"/>
    <w:rsid w:val="00603DB9"/>
    <w:rsid w:val="00603FEE"/>
    <w:rsid w:val="006042EC"/>
    <w:rsid w:val="0060480B"/>
    <w:rsid w:val="00606C83"/>
    <w:rsid w:val="00606F0F"/>
    <w:rsid w:val="00606FBA"/>
    <w:rsid w:val="0060749F"/>
    <w:rsid w:val="00607669"/>
    <w:rsid w:val="006076F4"/>
    <w:rsid w:val="00607AFD"/>
    <w:rsid w:val="00607C03"/>
    <w:rsid w:val="00607C21"/>
    <w:rsid w:val="006106F0"/>
    <w:rsid w:val="006116D7"/>
    <w:rsid w:val="00611B12"/>
    <w:rsid w:val="00612AAB"/>
    <w:rsid w:val="00612EE7"/>
    <w:rsid w:val="00612EEA"/>
    <w:rsid w:val="00612F97"/>
    <w:rsid w:val="0061345D"/>
    <w:rsid w:val="006137AB"/>
    <w:rsid w:val="00614D0E"/>
    <w:rsid w:val="0061549B"/>
    <w:rsid w:val="00615D07"/>
    <w:rsid w:val="00616017"/>
    <w:rsid w:val="0061605B"/>
    <w:rsid w:val="0061665A"/>
    <w:rsid w:val="006166E5"/>
    <w:rsid w:val="00616802"/>
    <w:rsid w:val="00617BDF"/>
    <w:rsid w:val="00617E12"/>
    <w:rsid w:val="00620C25"/>
    <w:rsid w:val="00621283"/>
    <w:rsid w:val="00621477"/>
    <w:rsid w:val="00621ADA"/>
    <w:rsid w:val="00622022"/>
    <w:rsid w:val="00622FC9"/>
    <w:rsid w:val="006235BC"/>
    <w:rsid w:val="00623BA7"/>
    <w:rsid w:val="00623BE7"/>
    <w:rsid w:val="00623D15"/>
    <w:rsid w:val="00623F7B"/>
    <w:rsid w:val="0062400C"/>
    <w:rsid w:val="0062493C"/>
    <w:rsid w:val="00624ABB"/>
    <w:rsid w:val="00624BD4"/>
    <w:rsid w:val="0062634E"/>
    <w:rsid w:val="006264A8"/>
    <w:rsid w:val="00626696"/>
    <w:rsid w:val="0062681F"/>
    <w:rsid w:val="00626D57"/>
    <w:rsid w:val="00626DD4"/>
    <w:rsid w:val="0062716B"/>
    <w:rsid w:val="00627750"/>
    <w:rsid w:val="00627839"/>
    <w:rsid w:val="00627E78"/>
    <w:rsid w:val="006307FE"/>
    <w:rsid w:val="00631521"/>
    <w:rsid w:val="0063158F"/>
    <w:rsid w:val="00631D6B"/>
    <w:rsid w:val="00632183"/>
    <w:rsid w:val="0063224D"/>
    <w:rsid w:val="006327F0"/>
    <w:rsid w:val="006330A1"/>
    <w:rsid w:val="00633279"/>
    <w:rsid w:val="0063336E"/>
    <w:rsid w:val="0063479F"/>
    <w:rsid w:val="006353F0"/>
    <w:rsid w:val="006357B5"/>
    <w:rsid w:val="00635917"/>
    <w:rsid w:val="00635C50"/>
    <w:rsid w:val="00635EFC"/>
    <w:rsid w:val="00635FA7"/>
    <w:rsid w:val="006364A1"/>
    <w:rsid w:val="0063678E"/>
    <w:rsid w:val="00636FDA"/>
    <w:rsid w:val="0063768C"/>
    <w:rsid w:val="00637BFD"/>
    <w:rsid w:val="00637C5C"/>
    <w:rsid w:val="00637DC9"/>
    <w:rsid w:val="00637E18"/>
    <w:rsid w:val="00637F34"/>
    <w:rsid w:val="006408B8"/>
    <w:rsid w:val="00640EA1"/>
    <w:rsid w:val="00641BA4"/>
    <w:rsid w:val="00641C4E"/>
    <w:rsid w:val="00641FB3"/>
    <w:rsid w:val="0064434C"/>
    <w:rsid w:val="0064448B"/>
    <w:rsid w:val="00644AF1"/>
    <w:rsid w:val="006452D4"/>
    <w:rsid w:val="006454B9"/>
    <w:rsid w:val="006455F4"/>
    <w:rsid w:val="00646C0C"/>
    <w:rsid w:val="006471CC"/>
    <w:rsid w:val="006472FE"/>
    <w:rsid w:val="00647715"/>
    <w:rsid w:val="00647806"/>
    <w:rsid w:val="00647A29"/>
    <w:rsid w:val="0065079F"/>
    <w:rsid w:val="00650C62"/>
    <w:rsid w:val="006511F1"/>
    <w:rsid w:val="00652384"/>
    <w:rsid w:val="00652A28"/>
    <w:rsid w:val="0065379F"/>
    <w:rsid w:val="006538C9"/>
    <w:rsid w:val="006540AE"/>
    <w:rsid w:val="006540C9"/>
    <w:rsid w:val="00656188"/>
    <w:rsid w:val="0065665F"/>
    <w:rsid w:val="00656BD6"/>
    <w:rsid w:val="0065715A"/>
    <w:rsid w:val="00657FDB"/>
    <w:rsid w:val="00660780"/>
    <w:rsid w:val="00660C1A"/>
    <w:rsid w:val="006610F1"/>
    <w:rsid w:val="00661C6B"/>
    <w:rsid w:val="00661CAF"/>
    <w:rsid w:val="00662999"/>
    <w:rsid w:val="00662D3E"/>
    <w:rsid w:val="00663182"/>
    <w:rsid w:val="00663666"/>
    <w:rsid w:val="006645B3"/>
    <w:rsid w:val="00664712"/>
    <w:rsid w:val="006656A7"/>
    <w:rsid w:val="00665EC5"/>
    <w:rsid w:val="006667E3"/>
    <w:rsid w:val="006674C9"/>
    <w:rsid w:val="00667BE3"/>
    <w:rsid w:val="00671004"/>
    <w:rsid w:val="00671FC1"/>
    <w:rsid w:val="00672646"/>
    <w:rsid w:val="0067270E"/>
    <w:rsid w:val="006729C2"/>
    <w:rsid w:val="00672AFD"/>
    <w:rsid w:val="00672FD3"/>
    <w:rsid w:val="00673434"/>
    <w:rsid w:val="00673AF5"/>
    <w:rsid w:val="00673D80"/>
    <w:rsid w:val="00674607"/>
    <w:rsid w:val="00674E42"/>
    <w:rsid w:val="0067544C"/>
    <w:rsid w:val="00675E6B"/>
    <w:rsid w:val="00676563"/>
    <w:rsid w:val="0067731F"/>
    <w:rsid w:val="00677C87"/>
    <w:rsid w:val="00680144"/>
    <w:rsid w:val="006813F8"/>
    <w:rsid w:val="0068166F"/>
    <w:rsid w:val="00682112"/>
    <w:rsid w:val="0068251F"/>
    <w:rsid w:val="00682A19"/>
    <w:rsid w:val="00682BA6"/>
    <w:rsid w:val="00682F7F"/>
    <w:rsid w:val="00683091"/>
    <w:rsid w:val="00683584"/>
    <w:rsid w:val="0068374A"/>
    <w:rsid w:val="00683A51"/>
    <w:rsid w:val="0068440B"/>
    <w:rsid w:val="00684CAD"/>
    <w:rsid w:val="00685CBD"/>
    <w:rsid w:val="00685CE7"/>
    <w:rsid w:val="00685D36"/>
    <w:rsid w:val="00686957"/>
    <w:rsid w:val="00687166"/>
    <w:rsid w:val="006872BA"/>
    <w:rsid w:val="0068734F"/>
    <w:rsid w:val="00690616"/>
    <w:rsid w:val="0069068B"/>
    <w:rsid w:val="00690795"/>
    <w:rsid w:val="00690D9A"/>
    <w:rsid w:val="00691648"/>
    <w:rsid w:val="006916BC"/>
    <w:rsid w:val="006917D7"/>
    <w:rsid w:val="0069207F"/>
    <w:rsid w:val="0069260E"/>
    <w:rsid w:val="006936A3"/>
    <w:rsid w:val="00693DDB"/>
    <w:rsid w:val="006941D9"/>
    <w:rsid w:val="0069434C"/>
    <w:rsid w:val="00694E42"/>
    <w:rsid w:val="00694F44"/>
    <w:rsid w:val="00695136"/>
    <w:rsid w:val="00695206"/>
    <w:rsid w:val="00695429"/>
    <w:rsid w:val="00696C4E"/>
    <w:rsid w:val="00696C92"/>
    <w:rsid w:val="00696EF9"/>
    <w:rsid w:val="00696F51"/>
    <w:rsid w:val="006979A5"/>
    <w:rsid w:val="006A016F"/>
    <w:rsid w:val="006A0DF7"/>
    <w:rsid w:val="006A1E84"/>
    <w:rsid w:val="006A1FA9"/>
    <w:rsid w:val="006A1FED"/>
    <w:rsid w:val="006A280D"/>
    <w:rsid w:val="006A3844"/>
    <w:rsid w:val="006A3996"/>
    <w:rsid w:val="006A4321"/>
    <w:rsid w:val="006A43D9"/>
    <w:rsid w:val="006A4C81"/>
    <w:rsid w:val="006A5633"/>
    <w:rsid w:val="006A585A"/>
    <w:rsid w:val="006A5FC1"/>
    <w:rsid w:val="006A65FF"/>
    <w:rsid w:val="006A6B99"/>
    <w:rsid w:val="006A6E81"/>
    <w:rsid w:val="006A7E5F"/>
    <w:rsid w:val="006A7F78"/>
    <w:rsid w:val="006B04E1"/>
    <w:rsid w:val="006B09C9"/>
    <w:rsid w:val="006B0F99"/>
    <w:rsid w:val="006B10DD"/>
    <w:rsid w:val="006B261B"/>
    <w:rsid w:val="006B2C90"/>
    <w:rsid w:val="006B33C2"/>
    <w:rsid w:val="006B35E6"/>
    <w:rsid w:val="006B3FA8"/>
    <w:rsid w:val="006B454A"/>
    <w:rsid w:val="006B45BA"/>
    <w:rsid w:val="006B465A"/>
    <w:rsid w:val="006B55A4"/>
    <w:rsid w:val="006B6DD0"/>
    <w:rsid w:val="006B73A2"/>
    <w:rsid w:val="006B73F3"/>
    <w:rsid w:val="006B7988"/>
    <w:rsid w:val="006C0213"/>
    <w:rsid w:val="006C0399"/>
    <w:rsid w:val="006C0722"/>
    <w:rsid w:val="006C0A5F"/>
    <w:rsid w:val="006C0B32"/>
    <w:rsid w:val="006C20FD"/>
    <w:rsid w:val="006C2A8E"/>
    <w:rsid w:val="006C2DE5"/>
    <w:rsid w:val="006C3255"/>
    <w:rsid w:val="006C371D"/>
    <w:rsid w:val="006C39D9"/>
    <w:rsid w:val="006C3D89"/>
    <w:rsid w:val="006C3F26"/>
    <w:rsid w:val="006C46CC"/>
    <w:rsid w:val="006C5030"/>
    <w:rsid w:val="006C5284"/>
    <w:rsid w:val="006C5A96"/>
    <w:rsid w:val="006C62A4"/>
    <w:rsid w:val="006C704E"/>
    <w:rsid w:val="006C76A2"/>
    <w:rsid w:val="006C7D36"/>
    <w:rsid w:val="006D0D17"/>
    <w:rsid w:val="006D1081"/>
    <w:rsid w:val="006D1525"/>
    <w:rsid w:val="006D1FA1"/>
    <w:rsid w:val="006D30CE"/>
    <w:rsid w:val="006D350A"/>
    <w:rsid w:val="006D3C7D"/>
    <w:rsid w:val="006D406C"/>
    <w:rsid w:val="006D415D"/>
    <w:rsid w:val="006D42AC"/>
    <w:rsid w:val="006D4659"/>
    <w:rsid w:val="006D487D"/>
    <w:rsid w:val="006D4BF5"/>
    <w:rsid w:val="006D5D5F"/>
    <w:rsid w:val="006D6121"/>
    <w:rsid w:val="006D68FB"/>
    <w:rsid w:val="006D748E"/>
    <w:rsid w:val="006E0735"/>
    <w:rsid w:val="006E075E"/>
    <w:rsid w:val="006E163F"/>
    <w:rsid w:val="006E1CBF"/>
    <w:rsid w:val="006E1FE2"/>
    <w:rsid w:val="006E2572"/>
    <w:rsid w:val="006E2868"/>
    <w:rsid w:val="006E2F2E"/>
    <w:rsid w:val="006E341F"/>
    <w:rsid w:val="006E3AE2"/>
    <w:rsid w:val="006E4D5C"/>
    <w:rsid w:val="006E4F10"/>
    <w:rsid w:val="006E5D94"/>
    <w:rsid w:val="006E5E67"/>
    <w:rsid w:val="006E673E"/>
    <w:rsid w:val="006E6CF8"/>
    <w:rsid w:val="006E6E3D"/>
    <w:rsid w:val="006E74F4"/>
    <w:rsid w:val="006E7754"/>
    <w:rsid w:val="006F01B6"/>
    <w:rsid w:val="006F0383"/>
    <w:rsid w:val="006F0B17"/>
    <w:rsid w:val="006F292F"/>
    <w:rsid w:val="006F306C"/>
    <w:rsid w:val="006F3178"/>
    <w:rsid w:val="006F3A01"/>
    <w:rsid w:val="006F3C02"/>
    <w:rsid w:val="006F5720"/>
    <w:rsid w:val="006F5951"/>
    <w:rsid w:val="006F5D48"/>
    <w:rsid w:val="006F611F"/>
    <w:rsid w:val="006F63A5"/>
    <w:rsid w:val="006F685B"/>
    <w:rsid w:val="006F6D16"/>
    <w:rsid w:val="006F77A6"/>
    <w:rsid w:val="006F79AD"/>
    <w:rsid w:val="007005E9"/>
    <w:rsid w:val="007007E3"/>
    <w:rsid w:val="00700816"/>
    <w:rsid w:val="00700B3D"/>
    <w:rsid w:val="00700E6E"/>
    <w:rsid w:val="0070142B"/>
    <w:rsid w:val="007018B0"/>
    <w:rsid w:val="007022D0"/>
    <w:rsid w:val="00702590"/>
    <w:rsid w:val="0070276E"/>
    <w:rsid w:val="00702C75"/>
    <w:rsid w:val="00702F8F"/>
    <w:rsid w:val="007030D4"/>
    <w:rsid w:val="00703B81"/>
    <w:rsid w:val="00703BE6"/>
    <w:rsid w:val="00703CB5"/>
    <w:rsid w:val="00703ED7"/>
    <w:rsid w:val="00704771"/>
    <w:rsid w:val="00704DDA"/>
    <w:rsid w:val="00705575"/>
    <w:rsid w:val="007064DA"/>
    <w:rsid w:val="00706508"/>
    <w:rsid w:val="00706BFF"/>
    <w:rsid w:val="00706EEE"/>
    <w:rsid w:val="007079FC"/>
    <w:rsid w:val="00707DCA"/>
    <w:rsid w:val="00710866"/>
    <w:rsid w:val="00710E10"/>
    <w:rsid w:val="007112DC"/>
    <w:rsid w:val="007113C2"/>
    <w:rsid w:val="00711A36"/>
    <w:rsid w:val="007125D3"/>
    <w:rsid w:val="00712AB7"/>
    <w:rsid w:val="00714417"/>
    <w:rsid w:val="007145EE"/>
    <w:rsid w:val="00714C26"/>
    <w:rsid w:val="0071529C"/>
    <w:rsid w:val="00715480"/>
    <w:rsid w:val="00715A52"/>
    <w:rsid w:val="00716235"/>
    <w:rsid w:val="007168C6"/>
    <w:rsid w:val="00716BFE"/>
    <w:rsid w:val="007170DA"/>
    <w:rsid w:val="007172AD"/>
    <w:rsid w:val="00717546"/>
    <w:rsid w:val="00717B27"/>
    <w:rsid w:val="00720223"/>
    <w:rsid w:val="007207F0"/>
    <w:rsid w:val="00720801"/>
    <w:rsid w:val="0072102F"/>
    <w:rsid w:val="007211B3"/>
    <w:rsid w:val="0072176B"/>
    <w:rsid w:val="00721A62"/>
    <w:rsid w:val="00721B0C"/>
    <w:rsid w:val="00721B2B"/>
    <w:rsid w:val="00722B1B"/>
    <w:rsid w:val="00722F8F"/>
    <w:rsid w:val="00723A90"/>
    <w:rsid w:val="00723FD1"/>
    <w:rsid w:val="00724024"/>
    <w:rsid w:val="0072416F"/>
    <w:rsid w:val="00724D0C"/>
    <w:rsid w:val="00724D69"/>
    <w:rsid w:val="00725016"/>
    <w:rsid w:val="00725161"/>
    <w:rsid w:val="007251FB"/>
    <w:rsid w:val="00725F86"/>
    <w:rsid w:val="00726004"/>
    <w:rsid w:val="007273BA"/>
    <w:rsid w:val="00727C94"/>
    <w:rsid w:val="00727E54"/>
    <w:rsid w:val="007308AE"/>
    <w:rsid w:val="0073093E"/>
    <w:rsid w:val="00730AEB"/>
    <w:rsid w:val="00730BBE"/>
    <w:rsid w:val="00731014"/>
    <w:rsid w:val="00731986"/>
    <w:rsid w:val="00731B0A"/>
    <w:rsid w:val="00731CAB"/>
    <w:rsid w:val="00731E19"/>
    <w:rsid w:val="00731EAE"/>
    <w:rsid w:val="00731EDA"/>
    <w:rsid w:val="007322D6"/>
    <w:rsid w:val="00732ACF"/>
    <w:rsid w:val="00732BB0"/>
    <w:rsid w:val="00733073"/>
    <w:rsid w:val="00733A9C"/>
    <w:rsid w:val="00734521"/>
    <w:rsid w:val="00734BC8"/>
    <w:rsid w:val="00734FAA"/>
    <w:rsid w:val="00734FAB"/>
    <w:rsid w:val="00735033"/>
    <w:rsid w:val="00735328"/>
    <w:rsid w:val="007360B9"/>
    <w:rsid w:val="0073669E"/>
    <w:rsid w:val="0073685B"/>
    <w:rsid w:val="00736C1B"/>
    <w:rsid w:val="00737150"/>
    <w:rsid w:val="007372F0"/>
    <w:rsid w:val="00737F43"/>
    <w:rsid w:val="00737F53"/>
    <w:rsid w:val="00740A52"/>
    <w:rsid w:val="00742006"/>
    <w:rsid w:val="007426CA"/>
    <w:rsid w:val="007438B3"/>
    <w:rsid w:val="00744591"/>
    <w:rsid w:val="007449BF"/>
    <w:rsid w:val="007457B0"/>
    <w:rsid w:val="007463FE"/>
    <w:rsid w:val="00746BC0"/>
    <w:rsid w:val="00746E7C"/>
    <w:rsid w:val="00747C3F"/>
    <w:rsid w:val="00750528"/>
    <w:rsid w:val="007509C7"/>
    <w:rsid w:val="007510B4"/>
    <w:rsid w:val="0075160B"/>
    <w:rsid w:val="00751F55"/>
    <w:rsid w:val="00752142"/>
    <w:rsid w:val="0075218A"/>
    <w:rsid w:val="007521D1"/>
    <w:rsid w:val="007523F9"/>
    <w:rsid w:val="00752993"/>
    <w:rsid w:val="00752F64"/>
    <w:rsid w:val="007533CE"/>
    <w:rsid w:val="007533E5"/>
    <w:rsid w:val="0075357E"/>
    <w:rsid w:val="00753B29"/>
    <w:rsid w:val="00753FC3"/>
    <w:rsid w:val="007565E8"/>
    <w:rsid w:val="0075676F"/>
    <w:rsid w:val="00756999"/>
    <w:rsid w:val="00756B49"/>
    <w:rsid w:val="007571C1"/>
    <w:rsid w:val="0075725D"/>
    <w:rsid w:val="007573E8"/>
    <w:rsid w:val="0075766A"/>
    <w:rsid w:val="00757983"/>
    <w:rsid w:val="007601FB"/>
    <w:rsid w:val="00760C4E"/>
    <w:rsid w:val="00760F9E"/>
    <w:rsid w:val="007616E6"/>
    <w:rsid w:val="00762477"/>
    <w:rsid w:val="007627BE"/>
    <w:rsid w:val="0076295E"/>
    <w:rsid w:val="00763440"/>
    <w:rsid w:val="0076357D"/>
    <w:rsid w:val="007635C6"/>
    <w:rsid w:val="007638F4"/>
    <w:rsid w:val="0076429E"/>
    <w:rsid w:val="00764F03"/>
    <w:rsid w:val="007650C9"/>
    <w:rsid w:val="00765B1A"/>
    <w:rsid w:val="00765DC1"/>
    <w:rsid w:val="007665AE"/>
    <w:rsid w:val="0076683F"/>
    <w:rsid w:val="0076723A"/>
    <w:rsid w:val="007679D4"/>
    <w:rsid w:val="00767A0C"/>
    <w:rsid w:val="0077076C"/>
    <w:rsid w:val="007708A6"/>
    <w:rsid w:val="007714A9"/>
    <w:rsid w:val="00771CE2"/>
    <w:rsid w:val="0077268F"/>
    <w:rsid w:val="00772995"/>
    <w:rsid w:val="0077304F"/>
    <w:rsid w:val="007731DC"/>
    <w:rsid w:val="0077321D"/>
    <w:rsid w:val="00773A66"/>
    <w:rsid w:val="00773AD8"/>
    <w:rsid w:val="007745A7"/>
    <w:rsid w:val="0077562B"/>
    <w:rsid w:val="0077597A"/>
    <w:rsid w:val="0077653A"/>
    <w:rsid w:val="007766F5"/>
    <w:rsid w:val="0077699F"/>
    <w:rsid w:val="00776D43"/>
    <w:rsid w:val="00776F5A"/>
    <w:rsid w:val="00777335"/>
    <w:rsid w:val="00780407"/>
    <w:rsid w:val="00780A5E"/>
    <w:rsid w:val="00780B1D"/>
    <w:rsid w:val="00781A33"/>
    <w:rsid w:val="0078296D"/>
    <w:rsid w:val="00782C2E"/>
    <w:rsid w:val="007843F2"/>
    <w:rsid w:val="007843FA"/>
    <w:rsid w:val="0078459C"/>
    <w:rsid w:val="007846FA"/>
    <w:rsid w:val="007847E7"/>
    <w:rsid w:val="00784A76"/>
    <w:rsid w:val="0078541F"/>
    <w:rsid w:val="00785741"/>
    <w:rsid w:val="00785A9F"/>
    <w:rsid w:val="00786888"/>
    <w:rsid w:val="00786E40"/>
    <w:rsid w:val="00786EB7"/>
    <w:rsid w:val="00790D36"/>
    <w:rsid w:val="007910D4"/>
    <w:rsid w:val="007914D1"/>
    <w:rsid w:val="00791AD4"/>
    <w:rsid w:val="007920A7"/>
    <w:rsid w:val="00792505"/>
    <w:rsid w:val="007925DF"/>
    <w:rsid w:val="00792749"/>
    <w:rsid w:val="007928B1"/>
    <w:rsid w:val="00792984"/>
    <w:rsid w:val="00792A86"/>
    <w:rsid w:val="00792CDC"/>
    <w:rsid w:val="00792F26"/>
    <w:rsid w:val="00793C71"/>
    <w:rsid w:val="00793D53"/>
    <w:rsid w:val="00794059"/>
    <w:rsid w:val="0079485F"/>
    <w:rsid w:val="0079491B"/>
    <w:rsid w:val="0079504E"/>
    <w:rsid w:val="0079562A"/>
    <w:rsid w:val="007960A9"/>
    <w:rsid w:val="0079614C"/>
    <w:rsid w:val="00796711"/>
    <w:rsid w:val="00796796"/>
    <w:rsid w:val="00796A25"/>
    <w:rsid w:val="00796BE9"/>
    <w:rsid w:val="00797063"/>
    <w:rsid w:val="00797171"/>
    <w:rsid w:val="007973DE"/>
    <w:rsid w:val="00797608"/>
    <w:rsid w:val="00797A03"/>
    <w:rsid w:val="00797D53"/>
    <w:rsid w:val="00797E20"/>
    <w:rsid w:val="007A04BC"/>
    <w:rsid w:val="007A06C9"/>
    <w:rsid w:val="007A08AA"/>
    <w:rsid w:val="007A095F"/>
    <w:rsid w:val="007A0A12"/>
    <w:rsid w:val="007A0D78"/>
    <w:rsid w:val="007A132D"/>
    <w:rsid w:val="007A1345"/>
    <w:rsid w:val="007A134D"/>
    <w:rsid w:val="007A2DDB"/>
    <w:rsid w:val="007A3CD8"/>
    <w:rsid w:val="007A3D23"/>
    <w:rsid w:val="007A4D14"/>
    <w:rsid w:val="007A511F"/>
    <w:rsid w:val="007A5FB2"/>
    <w:rsid w:val="007A6B0E"/>
    <w:rsid w:val="007A6EA7"/>
    <w:rsid w:val="007A70BA"/>
    <w:rsid w:val="007A77BF"/>
    <w:rsid w:val="007A79B4"/>
    <w:rsid w:val="007B0795"/>
    <w:rsid w:val="007B0D68"/>
    <w:rsid w:val="007B1320"/>
    <w:rsid w:val="007B251D"/>
    <w:rsid w:val="007B2D0D"/>
    <w:rsid w:val="007B317D"/>
    <w:rsid w:val="007B3533"/>
    <w:rsid w:val="007B3A04"/>
    <w:rsid w:val="007B4F58"/>
    <w:rsid w:val="007B528D"/>
    <w:rsid w:val="007B575A"/>
    <w:rsid w:val="007B5E49"/>
    <w:rsid w:val="007B63CA"/>
    <w:rsid w:val="007B6D81"/>
    <w:rsid w:val="007B7698"/>
    <w:rsid w:val="007B77D1"/>
    <w:rsid w:val="007B7B8C"/>
    <w:rsid w:val="007C07C7"/>
    <w:rsid w:val="007C0D31"/>
    <w:rsid w:val="007C14AA"/>
    <w:rsid w:val="007C14B8"/>
    <w:rsid w:val="007C1511"/>
    <w:rsid w:val="007C1CD9"/>
    <w:rsid w:val="007C20DF"/>
    <w:rsid w:val="007C2B5E"/>
    <w:rsid w:val="007C32EF"/>
    <w:rsid w:val="007C337F"/>
    <w:rsid w:val="007C361D"/>
    <w:rsid w:val="007C435D"/>
    <w:rsid w:val="007C454D"/>
    <w:rsid w:val="007C4925"/>
    <w:rsid w:val="007C499F"/>
    <w:rsid w:val="007C4B84"/>
    <w:rsid w:val="007C57BA"/>
    <w:rsid w:val="007C5974"/>
    <w:rsid w:val="007C5A01"/>
    <w:rsid w:val="007C5B19"/>
    <w:rsid w:val="007C70FF"/>
    <w:rsid w:val="007C7AB2"/>
    <w:rsid w:val="007C7C25"/>
    <w:rsid w:val="007C7FBE"/>
    <w:rsid w:val="007D004F"/>
    <w:rsid w:val="007D035F"/>
    <w:rsid w:val="007D05DF"/>
    <w:rsid w:val="007D06B2"/>
    <w:rsid w:val="007D0B38"/>
    <w:rsid w:val="007D12EA"/>
    <w:rsid w:val="007D144D"/>
    <w:rsid w:val="007D1642"/>
    <w:rsid w:val="007D1A4E"/>
    <w:rsid w:val="007D1AEB"/>
    <w:rsid w:val="007D1D5B"/>
    <w:rsid w:val="007D23CF"/>
    <w:rsid w:val="007D2668"/>
    <w:rsid w:val="007D3DAA"/>
    <w:rsid w:val="007D4486"/>
    <w:rsid w:val="007D4545"/>
    <w:rsid w:val="007D49A6"/>
    <w:rsid w:val="007D49CA"/>
    <w:rsid w:val="007D4D23"/>
    <w:rsid w:val="007D5440"/>
    <w:rsid w:val="007D5F5B"/>
    <w:rsid w:val="007D66C7"/>
    <w:rsid w:val="007D6796"/>
    <w:rsid w:val="007D69EB"/>
    <w:rsid w:val="007D6D24"/>
    <w:rsid w:val="007D6DCA"/>
    <w:rsid w:val="007D7095"/>
    <w:rsid w:val="007D73FF"/>
    <w:rsid w:val="007D7606"/>
    <w:rsid w:val="007D792C"/>
    <w:rsid w:val="007E04DE"/>
    <w:rsid w:val="007E0557"/>
    <w:rsid w:val="007E1222"/>
    <w:rsid w:val="007E128F"/>
    <w:rsid w:val="007E1842"/>
    <w:rsid w:val="007E18D0"/>
    <w:rsid w:val="007E2882"/>
    <w:rsid w:val="007E3DC0"/>
    <w:rsid w:val="007E435A"/>
    <w:rsid w:val="007E44E9"/>
    <w:rsid w:val="007E51B1"/>
    <w:rsid w:val="007E53C6"/>
    <w:rsid w:val="007E5F2C"/>
    <w:rsid w:val="007E60C5"/>
    <w:rsid w:val="007E6B3E"/>
    <w:rsid w:val="007E7736"/>
    <w:rsid w:val="007F0688"/>
    <w:rsid w:val="007F0BA3"/>
    <w:rsid w:val="007F0BF3"/>
    <w:rsid w:val="007F1017"/>
    <w:rsid w:val="007F1329"/>
    <w:rsid w:val="007F1919"/>
    <w:rsid w:val="007F1FB7"/>
    <w:rsid w:val="007F4005"/>
    <w:rsid w:val="007F4888"/>
    <w:rsid w:val="007F4A3F"/>
    <w:rsid w:val="007F4A61"/>
    <w:rsid w:val="007F4BD5"/>
    <w:rsid w:val="007F50FB"/>
    <w:rsid w:val="007F5255"/>
    <w:rsid w:val="007F540A"/>
    <w:rsid w:val="007F56CC"/>
    <w:rsid w:val="007F5C2F"/>
    <w:rsid w:val="007F61C2"/>
    <w:rsid w:val="007F6481"/>
    <w:rsid w:val="0080175F"/>
    <w:rsid w:val="008022E5"/>
    <w:rsid w:val="008031A2"/>
    <w:rsid w:val="00803AC9"/>
    <w:rsid w:val="00804427"/>
    <w:rsid w:val="00805098"/>
    <w:rsid w:val="00805142"/>
    <w:rsid w:val="00805153"/>
    <w:rsid w:val="008053E4"/>
    <w:rsid w:val="00805E8D"/>
    <w:rsid w:val="00805FCE"/>
    <w:rsid w:val="00807A8B"/>
    <w:rsid w:val="00810424"/>
    <w:rsid w:val="00810534"/>
    <w:rsid w:val="00810603"/>
    <w:rsid w:val="0081066F"/>
    <w:rsid w:val="00810B4D"/>
    <w:rsid w:val="00811383"/>
    <w:rsid w:val="00812149"/>
    <w:rsid w:val="008123BD"/>
    <w:rsid w:val="00812500"/>
    <w:rsid w:val="0081252C"/>
    <w:rsid w:val="00812BBB"/>
    <w:rsid w:val="00812CAC"/>
    <w:rsid w:val="00813387"/>
    <w:rsid w:val="008136B6"/>
    <w:rsid w:val="0081373F"/>
    <w:rsid w:val="0081461F"/>
    <w:rsid w:val="008147FD"/>
    <w:rsid w:val="00814C5F"/>
    <w:rsid w:val="008160DE"/>
    <w:rsid w:val="00816100"/>
    <w:rsid w:val="00816361"/>
    <w:rsid w:val="008166EF"/>
    <w:rsid w:val="00816B84"/>
    <w:rsid w:val="00816FEF"/>
    <w:rsid w:val="008170B0"/>
    <w:rsid w:val="00817AFD"/>
    <w:rsid w:val="008202E4"/>
    <w:rsid w:val="00820450"/>
    <w:rsid w:val="00820A8C"/>
    <w:rsid w:val="008215FB"/>
    <w:rsid w:val="00821927"/>
    <w:rsid w:val="00821C86"/>
    <w:rsid w:val="00821CEE"/>
    <w:rsid w:val="008220CC"/>
    <w:rsid w:val="008223BF"/>
    <w:rsid w:val="00822532"/>
    <w:rsid w:val="00822820"/>
    <w:rsid w:val="00823174"/>
    <w:rsid w:val="008233A9"/>
    <w:rsid w:val="0082385F"/>
    <w:rsid w:val="00824138"/>
    <w:rsid w:val="00824AD2"/>
    <w:rsid w:val="00825751"/>
    <w:rsid w:val="008264EB"/>
    <w:rsid w:val="008268CE"/>
    <w:rsid w:val="00826E22"/>
    <w:rsid w:val="00826F18"/>
    <w:rsid w:val="00826FE4"/>
    <w:rsid w:val="00827398"/>
    <w:rsid w:val="00827C23"/>
    <w:rsid w:val="00831028"/>
    <w:rsid w:val="00831B06"/>
    <w:rsid w:val="00832475"/>
    <w:rsid w:val="008329BA"/>
    <w:rsid w:val="00832A99"/>
    <w:rsid w:val="00832BAB"/>
    <w:rsid w:val="00832DD9"/>
    <w:rsid w:val="00833ADB"/>
    <w:rsid w:val="00833B05"/>
    <w:rsid w:val="008348B4"/>
    <w:rsid w:val="00834A4B"/>
    <w:rsid w:val="00834C1F"/>
    <w:rsid w:val="0083505D"/>
    <w:rsid w:val="00835480"/>
    <w:rsid w:val="00835AB4"/>
    <w:rsid w:val="00835F34"/>
    <w:rsid w:val="008362B4"/>
    <w:rsid w:val="00837136"/>
    <w:rsid w:val="008400A6"/>
    <w:rsid w:val="00840182"/>
    <w:rsid w:val="0084028C"/>
    <w:rsid w:val="00840CA2"/>
    <w:rsid w:val="00840F0E"/>
    <w:rsid w:val="008419DA"/>
    <w:rsid w:val="008423B6"/>
    <w:rsid w:val="00843348"/>
    <w:rsid w:val="0084374F"/>
    <w:rsid w:val="00843AC2"/>
    <w:rsid w:val="00843E63"/>
    <w:rsid w:val="00843F37"/>
    <w:rsid w:val="00844367"/>
    <w:rsid w:val="00844A22"/>
    <w:rsid w:val="00844C8A"/>
    <w:rsid w:val="008458D4"/>
    <w:rsid w:val="008467B6"/>
    <w:rsid w:val="00847703"/>
    <w:rsid w:val="00847D9F"/>
    <w:rsid w:val="00847DF5"/>
    <w:rsid w:val="0085025C"/>
    <w:rsid w:val="0085037B"/>
    <w:rsid w:val="00850B11"/>
    <w:rsid w:val="008527EC"/>
    <w:rsid w:val="0085309D"/>
    <w:rsid w:val="008535DB"/>
    <w:rsid w:val="00853EF8"/>
    <w:rsid w:val="00853F26"/>
    <w:rsid w:val="00854D30"/>
    <w:rsid w:val="008555F9"/>
    <w:rsid w:val="008565E7"/>
    <w:rsid w:val="00856897"/>
    <w:rsid w:val="00856E9A"/>
    <w:rsid w:val="008570C3"/>
    <w:rsid w:val="0085722A"/>
    <w:rsid w:val="00857440"/>
    <w:rsid w:val="00860324"/>
    <w:rsid w:val="0086075D"/>
    <w:rsid w:val="008608AC"/>
    <w:rsid w:val="00861891"/>
    <w:rsid w:val="008620D2"/>
    <w:rsid w:val="00862354"/>
    <w:rsid w:val="00862502"/>
    <w:rsid w:val="008625EE"/>
    <w:rsid w:val="008626DA"/>
    <w:rsid w:val="00862A70"/>
    <w:rsid w:val="00862CC1"/>
    <w:rsid w:val="00862CE5"/>
    <w:rsid w:val="0086339D"/>
    <w:rsid w:val="0086380B"/>
    <w:rsid w:val="00863B3E"/>
    <w:rsid w:val="00863B76"/>
    <w:rsid w:val="00863B80"/>
    <w:rsid w:val="008642A7"/>
    <w:rsid w:val="00864715"/>
    <w:rsid w:val="00865606"/>
    <w:rsid w:val="0086593A"/>
    <w:rsid w:val="0086599D"/>
    <w:rsid w:val="008660D4"/>
    <w:rsid w:val="008662F0"/>
    <w:rsid w:val="0086680F"/>
    <w:rsid w:val="00866D74"/>
    <w:rsid w:val="00867330"/>
    <w:rsid w:val="00870039"/>
    <w:rsid w:val="008705CA"/>
    <w:rsid w:val="00871231"/>
    <w:rsid w:val="008713C9"/>
    <w:rsid w:val="00871944"/>
    <w:rsid w:val="00871A6F"/>
    <w:rsid w:val="00871F18"/>
    <w:rsid w:val="00871FA9"/>
    <w:rsid w:val="00872592"/>
    <w:rsid w:val="008728E9"/>
    <w:rsid w:val="00873A03"/>
    <w:rsid w:val="00874324"/>
    <w:rsid w:val="00875432"/>
    <w:rsid w:val="00875CC3"/>
    <w:rsid w:val="00876FFC"/>
    <w:rsid w:val="0087766D"/>
    <w:rsid w:val="00880325"/>
    <w:rsid w:val="0088050B"/>
    <w:rsid w:val="00880517"/>
    <w:rsid w:val="00880570"/>
    <w:rsid w:val="00880A20"/>
    <w:rsid w:val="00882874"/>
    <w:rsid w:val="00882BCF"/>
    <w:rsid w:val="00882E3C"/>
    <w:rsid w:val="0088308A"/>
    <w:rsid w:val="008834EB"/>
    <w:rsid w:val="00883787"/>
    <w:rsid w:val="00884397"/>
    <w:rsid w:val="00884602"/>
    <w:rsid w:val="008849C2"/>
    <w:rsid w:val="00884BB1"/>
    <w:rsid w:val="0088543E"/>
    <w:rsid w:val="008855E4"/>
    <w:rsid w:val="00886CD2"/>
    <w:rsid w:val="00887335"/>
    <w:rsid w:val="00887416"/>
    <w:rsid w:val="00890A24"/>
    <w:rsid w:val="00891407"/>
    <w:rsid w:val="008914CD"/>
    <w:rsid w:val="0089167F"/>
    <w:rsid w:val="00891E6F"/>
    <w:rsid w:val="008922F2"/>
    <w:rsid w:val="00892543"/>
    <w:rsid w:val="0089275D"/>
    <w:rsid w:val="00892A36"/>
    <w:rsid w:val="00893239"/>
    <w:rsid w:val="0089363B"/>
    <w:rsid w:val="00893CA8"/>
    <w:rsid w:val="00893CBD"/>
    <w:rsid w:val="00893E78"/>
    <w:rsid w:val="00894489"/>
    <w:rsid w:val="0089469D"/>
    <w:rsid w:val="00894CD6"/>
    <w:rsid w:val="00894E98"/>
    <w:rsid w:val="008963A5"/>
    <w:rsid w:val="008967E9"/>
    <w:rsid w:val="00896D5D"/>
    <w:rsid w:val="00897F9D"/>
    <w:rsid w:val="008A18E7"/>
    <w:rsid w:val="008A21F6"/>
    <w:rsid w:val="008A2777"/>
    <w:rsid w:val="008A2986"/>
    <w:rsid w:val="008A3158"/>
    <w:rsid w:val="008A3196"/>
    <w:rsid w:val="008A3272"/>
    <w:rsid w:val="008A3363"/>
    <w:rsid w:val="008A3371"/>
    <w:rsid w:val="008A34AE"/>
    <w:rsid w:val="008A3A11"/>
    <w:rsid w:val="008A3C3E"/>
    <w:rsid w:val="008A3F2F"/>
    <w:rsid w:val="008A4B08"/>
    <w:rsid w:val="008A5978"/>
    <w:rsid w:val="008A6304"/>
    <w:rsid w:val="008A65B5"/>
    <w:rsid w:val="008A6B1E"/>
    <w:rsid w:val="008A732B"/>
    <w:rsid w:val="008A75FD"/>
    <w:rsid w:val="008A79DE"/>
    <w:rsid w:val="008A7C01"/>
    <w:rsid w:val="008B02E6"/>
    <w:rsid w:val="008B050B"/>
    <w:rsid w:val="008B0F1E"/>
    <w:rsid w:val="008B13A6"/>
    <w:rsid w:val="008B15FC"/>
    <w:rsid w:val="008B1757"/>
    <w:rsid w:val="008B1C33"/>
    <w:rsid w:val="008B1EE6"/>
    <w:rsid w:val="008B22C1"/>
    <w:rsid w:val="008B2381"/>
    <w:rsid w:val="008B3665"/>
    <w:rsid w:val="008B3945"/>
    <w:rsid w:val="008B49F3"/>
    <w:rsid w:val="008B4B6F"/>
    <w:rsid w:val="008B516D"/>
    <w:rsid w:val="008B53EC"/>
    <w:rsid w:val="008B5631"/>
    <w:rsid w:val="008B5C68"/>
    <w:rsid w:val="008B63B4"/>
    <w:rsid w:val="008B655F"/>
    <w:rsid w:val="008B72F4"/>
    <w:rsid w:val="008B7992"/>
    <w:rsid w:val="008B7D7E"/>
    <w:rsid w:val="008C13AD"/>
    <w:rsid w:val="008C16FA"/>
    <w:rsid w:val="008C1CA1"/>
    <w:rsid w:val="008C35CA"/>
    <w:rsid w:val="008C4B6D"/>
    <w:rsid w:val="008C552A"/>
    <w:rsid w:val="008C5610"/>
    <w:rsid w:val="008C5739"/>
    <w:rsid w:val="008C6272"/>
    <w:rsid w:val="008C7282"/>
    <w:rsid w:val="008C7ECB"/>
    <w:rsid w:val="008D06C6"/>
    <w:rsid w:val="008D13A7"/>
    <w:rsid w:val="008D141E"/>
    <w:rsid w:val="008D19E0"/>
    <w:rsid w:val="008D377A"/>
    <w:rsid w:val="008D3B86"/>
    <w:rsid w:val="008D3BD5"/>
    <w:rsid w:val="008D43FD"/>
    <w:rsid w:val="008D4755"/>
    <w:rsid w:val="008D4C3D"/>
    <w:rsid w:val="008D5774"/>
    <w:rsid w:val="008D63F9"/>
    <w:rsid w:val="008D6CD7"/>
    <w:rsid w:val="008D7359"/>
    <w:rsid w:val="008D743C"/>
    <w:rsid w:val="008D7B1F"/>
    <w:rsid w:val="008D7BD1"/>
    <w:rsid w:val="008E0D3C"/>
    <w:rsid w:val="008E1853"/>
    <w:rsid w:val="008E1B5A"/>
    <w:rsid w:val="008E1B9E"/>
    <w:rsid w:val="008E1F81"/>
    <w:rsid w:val="008E214E"/>
    <w:rsid w:val="008E242F"/>
    <w:rsid w:val="008E2BF1"/>
    <w:rsid w:val="008E4321"/>
    <w:rsid w:val="008E4C8D"/>
    <w:rsid w:val="008E4FFC"/>
    <w:rsid w:val="008E511C"/>
    <w:rsid w:val="008E55AB"/>
    <w:rsid w:val="008E5A1D"/>
    <w:rsid w:val="008E61FD"/>
    <w:rsid w:val="008E6DE1"/>
    <w:rsid w:val="008E7749"/>
    <w:rsid w:val="008E77C1"/>
    <w:rsid w:val="008E7832"/>
    <w:rsid w:val="008E7C92"/>
    <w:rsid w:val="008E7EFF"/>
    <w:rsid w:val="008F0241"/>
    <w:rsid w:val="008F0877"/>
    <w:rsid w:val="008F0ED9"/>
    <w:rsid w:val="008F120A"/>
    <w:rsid w:val="008F1520"/>
    <w:rsid w:val="008F1596"/>
    <w:rsid w:val="008F1D26"/>
    <w:rsid w:val="008F1D87"/>
    <w:rsid w:val="008F223F"/>
    <w:rsid w:val="008F2520"/>
    <w:rsid w:val="008F27E0"/>
    <w:rsid w:val="008F2AD8"/>
    <w:rsid w:val="008F30DF"/>
    <w:rsid w:val="008F3B5D"/>
    <w:rsid w:val="008F41C2"/>
    <w:rsid w:val="008F48EB"/>
    <w:rsid w:val="008F4B26"/>
    <w:rsid w:val="008F4F0B"/>
    <w:rsid w:val="008F52E8"/>
    <w:rsid w:val="008F5482"/>
    <w:rsid w:val="008F5798"/>
    <w:rsid w:val="008F5800"/>
    <w:rsid w:val="008F5A22"/>
    <w:rsid w:val="008F6374"/>
    <w:rsid w:val="009000C3"/>
    <w:rsid w:val="0090065B"/>
    <w:rsid w:val="00901FF3"/>
    <w:rsid w:val="00903968"/>
    <w:rsid w:val="0090415E"/>
    <w:rsid w:val="00904516"/>
    <w:rsid w:val="009046C4"/>
    <w:rsid w:val="00904F1D"/>
    <w:rsid w:val="00905937"/>
    <w:rsid w:val="00905B26"/>
    <w:rsid w:val="009062A5"/>
    <w:rsid w:val="00906C21"/>
    <w:rsid w:val="00907699"/>
    <w:rsid w:val="009077DF"/>
    <w:rsid w:val="00907968"/>
    <w:rsid w:val="0091025B"/>
    <w:rsid w:val="0091035B"/>
    <w:rsid w:val="00910FA7"/>
    <w:rsid w:val="00911272"/>
    <w:rsid w:val="00911339"/>
    <w:rsid w:val="009127B7"/>
    <w:rsid w:val="009130CC"/>
    <w:rsid w:val="009130D4"/>
    <w:rsid w:val="009135D6"/>
    <w:rsid w:val="00913AF5"/>
    <w:rsid w:val="00913F82"/>
    <w:rsid w:val="00914423"/>
    <w:rsid w:val="0091491C"/>
    <w:rsid w:val="00914C77"/>
    <w:rsid w:val="00914CBC"/>
    <w:rsid w:val="00915480"/>
    <w:rsid w:val="00915B8E"/>
    <w:rsid w:val="009166AA"/>
    <w:rsid w:val="00916B6E"/>
    <w:rsid w:val="009170FB"/>
    <w:rsid w:val="009200BB"/>
    <w:rsid w:val="0092040D"/>
    <w:rsid w:val="009206E6"/>
    <w:rsid w:val="00920C99"/>
    <w:rsid w:val="00920DF2"/>
    <w:rsid w:val="00921410"/>
    <w:rsid w:val="00921834"/>
    <w:rsid w:val="00921936"/>
    <w:rsid w:val="00921ACB"/>
    <w:rsid w:val="009234C8"/>
    <w:rsid w:val="009235F5"/>
    <w:rsid w:val="0092369B"/>
    <w:rsid w:val="00923B49"/>
    <w:rsid w:val="00925481"/>
    <w:rsid w:val="009254BF"/>
    <w:rsid w:val="009254FF"/>
    <w:rsid w:val="009264A1"/>
    <w:rsid w:val="00926629"/>
    <w:rsid w:val="00926FA4"/>
    <w:rsid w:val="00930106"/>
    <w:rsid w:val="009305B3"/>
    <w:rsid w:val="009305E1"/>
    <w:rsid w:val="00930D1B"/>
    <w:rsid w:val="00931342"/>
    <w:rsid w:val="00931C5E"/>
    <w:rsid w:val="00932991"/>
    <w:rsid w:val="00932D22"/>
    <w:rsid w:val="00932D2D"/>
    <w:rsid w:val="009332BD"/>
    <w:rsid w:val="009335F2"/>
    <w:rsid w:val="00933706"/>
    <w:rsid w:val="00933801"/>
    <w:rsid w:val="0093481F"/>
    <w:rsid w:val="00934988"/>
    <w:rsid w:val="00934A33"/>
    <w:rsid w:val="00934AD9"/>
    <w:rsid w:val="00935994"/>
    <w:rsid w:val="00935FCA"/>
    <w:rsid w:val="00936093"/>
    <w:rsid w:val="0093612D"/>
    <w:rsid w:val="009362EC"/>
    <w:rsid w:val="00936456"/>
    <w:rsid w:val="00937089"/>
    <w:rsid w:val="009378B7"/>
    <w:rsid w:val="009402E2"/>
    <w:rsid w:val="00940301"/>
    <w:rsid w:val="0094041A"/>
    <w:rsid w:val="00940909"/>
    <w:rsid w:val="00940CE3"/>
    <w:rsid w:val="00941004"/>
    <w:rsid w:val="009428E3"/>
    <w:rsid w:val="009443B1"/>
    <w:rsid w:val="00944F8A"/>
    <w:rsid w:val="00945001"/>
    <w:rsid w:val="00945416"/>
    <w:rsid w:val="00945CFD"/>
    <w:rsid w:val="00945FB9"/>
    <w:rsid w:val="00947410"/>
    <w:rsid w:val="00947473"/>
    <w:rsid w:val="00950353"/>
    <w:rsid w:val="00950A85"/>
    <w:rsid w:val="009510A2"/>
    <w:rsid w:val="00951C7C"/>
    <w:rsid w:val="009525F9"/>
    <w:rsid w:val="00953257"/>
    <w:rsid w:val="0095474C"/>
    <w:rsid w:val="009549E0"/>
    <w:rsid w:val="009552F3"/>
    <w:rsid w:val="0095541B"/>
    <w:rsid w:val="00957D92"/>
    <w:rsid w:val="00960710"/>
    <w:rsid w:val="00961239"/>
    <w:rsid w:val="00962348"/>
    <w:rsid w:val="00962CB9"/>
    <w:rsid w:val="00962D2F"/>
    <w:rsid w:val="00962F77"/>
    <w:rsid w:val="00964312"/>
    <w:rsid w:val="0096444C"/>
    <w:rsid w:val="0096504F"/>
    <w:rsid w:val="00965B8A"/>
    <w:rsid w:val="00966976"/>
    <w:rsid w:val="00966D4B"/>
    <w:rsid w:val="009676EA"/>
    <w:rsid w:val="00967A50"/>
    <w:rsid w:val="00967A95"/>
    <w:rsid w:val="00967AD1"/>
    <w:rsid w:val="00970008"/>
    <w:rsid w:val="00970659"/>
    <w:rsid w:val="0097071F"/>
    <w:rsid w:val="00970861"/>
    <w:rsid w:val="00971445"/>
    <w:rsid w:val="009717AC"/>
    <w:rsid w:val="009728B9"/>
    <w:rsid w:val="00972A7A"/>
    <w:rsid w:val="00972E34"/>
    <w:rsid w:val="00973138"/>
    <w:rsid w:val="00973D88"/>
    <w:rsid w:val="00974D9D"/>
    <w:rsid w:val="00974E39"/>
    <w:rsid w:val="009751C1"/>
    <w:rsid w:val="0097600C"/>
    <w:rsid w:val="00976099"/>
    <w:rsid w:val="00976A52"/>
    <w:rsid w:val="00976FC2"/>
    <w:rsid w:val="00977468"/>
    <w:rsid w:val="00977619"/>
    <w:rsid w:val="009811F1"/>
    <w:rsid w:val="00981AC6"/>
    <w:rsid w:val="00983B47"/>
    <w:rsid w:val="00983E57"/>
    <w:rsid w:val="009845E5"/>
    <w:rsid w:val="009859FD"/>
    <w:rsid w:val="00985DE2"/>
    <w:rsid w:val="0098675D"/>
    <w:rsid w:val="009870F4"/>
    <w:rsid w:val="00987BA4"/>
    <w:rsid w:val="00987D1F"/>
    <w:rsid w:val="00990912"/>
    <w:rsid w:val="00990E8D"/>
    <w:rsid w:val="009913F0"/>
    <w:rsid w:val="00991586"/>
    <w:rsid w:val="009919E4"/>
    <w:rsid w:val="00991FDC"/>
    <w:rsid w:val="009926E0"/>
    <w:rsid w:val="00992C09"/>
    <w:rsid w:val="00993014"/>
    <w:rsid w:val="0099324C"/>
    <w:rsid w:val="00993845"/>
    <w:rsid w:val="00993D90"/>
    <w:rsid w:val="00993DBD"/>
    <w:rsid w:val="00994281"/>
    <w:rsid w:val="0099451E"/>
    <w:rsid w:val="009954D9"/>
    <w:rsid w:val="00995A3B"/>
    <w:rsid w:val="00995CBB"/>
    <w:rsid w:val="00995DF3"/>
    <w:rsid w:val="00996908"/>
    <w:rsid w:val="00996B1A"/>
    <w:rsid w:val="00997A8B"/>
    <w:rsid w:val="00997B5C"/>
    <w:rsid w:val="009A02C3"/>
    <w:rsid w:val="009A0DE4"/>
    <w:rsid w:val="009A1174"/>
    <w:rsid w:val="009A140D"/>
    <w:rsid w:val="009A1787"/>
    <w:rsid w:val="009A18F6"/>
    <w:rsid w:val="009A21F1"/>
    <w:rsid w:val="009A2DCC"/>
    <w:rsid w:val="009A333D"/>
    <w:rsid w:val="009A33BC"/>
    <w:rsid w:val="009A33FC"/>
    <w:rsid w:val="009A3F9F"/>
    <w:rsid w:val="009A51B2"/>
    <w:rsid w:val="009A551B"/>
    <w:rsid w:val="009A553E"/>
    <w:rsid w:val="009A5ABC"/>
    <w:rsid w:val="009A5BFB"/>
    <w:rsid w:val="009A68EE"/>
    <w:rsid w:val="009A7052"/>
    <w:rsid w:val="009A78D0"/>
    <w:rsid w:val="009A7CAB"/>
    <w:rsid w:val="009A7F10"/>
    <w:rsid w:val="009A8699"/>
    <w:rsid w:val="009B0FCD"/>
    <w:rsid w:val="009B1677"/>
    <w:rsid w:val="009B3E26"/>
    <w:rsid w:val="009B4B43"/>
    <w:rsid w:val="009B60AD"/>
    <w:rsid w:val="009B6D70"/>
    <w:rsid w:val="009B6F33"/>
    <w:rsid w:val="009B72FD"/>
    <w:rsid w:val="009B74F4"/>
    <w:rsid w:val="009C00FE"/>
    <w:rsid w:val="009C010B"/>
    <w:rsid w:val="009C08A4"/>
    <w:rsid w:val="009C0CB7"/>
    <w:rsid w:val="009C1271"/>
    <w:rsid w:val="009C1840"/>
    <w:rsid w:val="009C1923"/>
    <w:rsid w:val="009C1ED5"/>
    <w:rsid w:val="009C22C6"/>
    <w:rsid w:val="009C36EE"/>
    <w:rsid w:val="009C3706"/>
    <w:rsid w:val="009C3A3A"/>
    <w:rsid w:val="009C4502"/>
    <w:rsid w:val="009C5662"/>
    <w:rsid w:val="009C6A83"/>
    <w:rsid w:val="009C6CEA"/>
    <w:rsid w:val="009C6D93"/>
    <w:rsid w:val="009C736F"/>
    <w:rsid w:val="009C7879"/>
    <w:rsid w:val="009C78C9"/>
    <w:rsid w:val="009C7B85"/>
    <w:rsid w:val="009D008D"/>
    <w:rsid w:val="009D0254"/>
    <w:rsid w:val="009D0508"/>
    <w:rsid w:val="009D07BE"/>
    <w:rsid w:val="009D1A64"/>
    <w:rsid w:val="009D1E83"/>
    <w:rsid w:val="009D207C"/>
    <w:rsid w:val="009D22F7"/>
    <w:rsid w:val="009D238C"/>
    <w:rsid w:val="009D2F7B"/>
    <w:rsid w:val="009D3122"/>
    <w:rsid w:val="009D31F7"/>
    <w:rsid w:val="009D32AA"/>
    <w:rsid w:val="009D3777"/>
    <w:rsid w:val="009D4006"/>
    <w:rsid w:val="009D4075"/>
    <w:rsid w:val="009D4421"/>
    <w:rsid w:val="009D4629"/>
    <w:rsid w:val="009D52CF"/>
    <w:rsid w:val="009D54C6"/>
    <w:rsid w:val="009D5B4B"/>
    <w:rsid w:val="009D5B91"/>
    <w:rsid w:val="009D5EF3"/>
    <w:rsid w:val="009D660E"/>
    <w:rsid w:val="009D6BF7"/>
    <w:rsid w:val="009D6D88"/>
    <w:rsid w:val="009D6DB8"/>
    <w:rsid w:val="009D792E"/>
    <w:rsid w:val="009E00F5"/>
    <w:rsid w:val="009E028B"/>
    <w:rsid w:val="009E0DFE"/>
    <w:rsid w:val="009E1021"/>
    <w:rsid w:val="009E16E9"/>
    <w:rsid w:val="009E1DF7"/>
    <w:rsid w:val="009E227C"/>
    <w:rsid w:val="009E22AA"/>
    <w:rsid w:val="009E23D1"/>
    <w:rsid w:val="009E2CF2"/>
    <w:rsid w:val="009E31F6"/>
    <w:rsid w:val="009E4BF3"/>
    <w:rsid w:val="009E4C07"/>
    <w:rsid w:val="009E5F19"/>
    <w:rsid w:val="009E6526"/>
    <w:rsid w:val="009E6558"/>
    <w:rsid w:val="009E6BA2"/>
    <w:rsid w:val="009E7055"/>
    <w:rsid w:val="009E777F"/>
    <w:rsid w:val="009E7FED"/>
    <w:rsid w:val="009F05DF"/>
    <w:rsid w:val="009F1FCB"/>
    <w:rsid w:val="009F2BC1"/>
    <w:rsid w:val="009F2D92"/>
    <w:rsid w:val="009F36A7"/>
    <w:rsid w:val="009F379D"/>
    <w:rsid w:val="009F3A19"/>
    <w:rsid w:val="009F4620"/>
    <w:rsid w:val="009F58BB"/>
    <w:rsid w:val="009F5ACD"/>
    <w:rsid w:val="009F5AF4"/>
    <w:rsid w:val="009F5FD6"/>
    <w:rsid w:val="009F6120"/>
    <w:rsid w:val="009F7802"/>
    <w:rsid w:val="009F78F8"/>
    <w:rsid w:val="009F7C5D"/>
    <w:rsid w:val="00A00306"/>
    <w:rsid w:val="00A0038D"/>
    <w:rsid w:val="00A00D76"/>
    <w:rsid w:val="00A01184"/>
    <w:rsid w:val="00A01363"/>
    <w:rsid w:val="00A01449"/>
    <w:rsid w:val="00A01848"/>
    <w:rsid w:val="00A01C29"/>
    <w:rsid w:val="00A036B5"/>
    <w:rsid w:val="00A037C2"/>
    <w:rsid w:val="00A0381F"/>
    <w:rsid w:val="00A03D43"/>
    <w:rsid w:val="00A03F2A"/>
    <w:rsid w:val="00A04380"/>
    <w:rsid w:val="00A04623"/>
    <w:rsid w:val="00A04786"/>
    <w:rsid w:val="00A047AA"/>
    <w:rsid w:val="00A05472"/>
    <w:rsid w:val="00A05C32"/>
    <w:rsid w:val="00A0653F"/>
    <w:rsid w:val="00A06A1E"/>
    <w:rsid w:val="00A10A3F"/>
    <w:rsid w:val="00A10F18"/>
    <w:rsid w:val="00A11119"/>
    <w:rsid w:val="00A11AEF"/>
    <w:rsid w:val="00A11CD0"/>
    <w:rsid w:val="00A12397"/>
    <w:rsid w:val="00A12B73"/>
    <w:rsid w:val="00A12DD2"/>
    <w:rsid w:val="00A13183"/>
    <w:rsid w:val="00A1321A"/>
    <w:rsid w:val="00A13948"/>
    <w:rsid w:val="00A149F4"/>
    <w:rsid w:val="00A1555B"/>
    <w:rsid w:val="00A155C5"/>
    <w:rsid w:val="00A15FD5"/>
    <w:rsid w:val="00A1657E"/>
    <w:rsid w:val="00A1664B"/>
    <w:rsid w:val="00A16AD8"/>
    <w:rsid w:val="00A200CF"/>
    <w:rsid w:val="00A2021E"/>
    <w:rsid w:val="00A2146A"/>
    <w:rsid w:val="00A21C95"/>
    <w:rsid w:val="00A21CF3"/>
    <w:rsid w:val="00A21D50"/>
    <w:rsid w:val="00A22255"/>
    <w:rsid w:val="00A22432"/>
    <w:rsid w:val="00A229AA"/>
    <w:rsid w:val="00A22F18"/>
    <w:rsid w:val="00A2350F"/>
    <w:rsid w:val="00A2442D"/>
    <w:rsid w:val="00A24448"/>
    <w:rsid w:val="00A24813"/>
    <w:rsid w:val="00A24D33"/>
    <w:rsid w:val="00A2519F"/>
    <w:rsid w:val="00A26DB1"/>
    <w:rsid w:val="00A277C0"/>
    <w:rsid w:val="00A27AEC"/>
    <w:rsid w:val="00A27E4E"/>
    <w:rsid w:val="00A30F6D"/>
    <w:rsid w:val="00A31769"/>
    <w:rsid w:val="00A3176A"/>
    <w:rsid w:val="00A320DB"/>
    <w:rsid w:val="00A3213F"/>
    <w:rsid w:val="00A322B9"/>
    <w:rsid w:val="00A32603"/>
    <w:rsid w:val="00A32B70"/>
    <w:rsid w:val="00A32C5F"/>
    <w:rsid w:val="00A3300D"/>
    <w:rsid w:val="00A336EE"/>
    <w:rsid w:val="00A33C9F"/>
    <w:rsid w:val="00A33ECC"/>
    <w:rsid w:val="00A340CB"/>
    <w:rsid w:val="00A34CAF"/>
    <w:rsid w:val="00A35CD3"/>
    <w:rsid w:val="00A35D16"/>
    <w:rsid w:val="00A35F81"/>
    <w:rsid w:val="00A37412"/>
    <w:rsid w:val="00A37BCD"/>
    <w:rsid w:val="00A41689"/>
    <w:rsid w:val="00A41CB0"/>
    <w:rsid w:val="00A42381"/>
    <w:rsid w:val="00A42592"/>
    <w:rsid w:val="00A42A55"/>
    <w:rsid w:val="00A42AD9"/>
    <w:rsid w:val="00A43980"/>
    <w:rsid w:val="00A43C59"/>
    <w:rsid w:val="00A440F6"/>
    <w:rsid w:val="00A44C0A"/>
    <w:rsid w:val="00A44C94"/>
    <w:rsid w:val="00A45546"/>
    <w:rsid w:val="00A45DED"/>
    <w:rsid w:val="00A45F8D"/>
    <w:rsid w:val="00A4649C"/>
    <w:rsid w:val="00A50A6D"/>
    <w:rsid w:val="00A50ECD"/>
    <w:rsid w:val="00A50F9B"/>
    <w:rsid w:val="00A518F3"/>
    <w:rsid w:val="00A52729"/>
    <w:rsid w:val="00A52B81"/>
    <w:rsid w:val="00A53675"/>
    <w:rsid w:val="00A537C8"/>
    <w:rsid w:val="00A53DCF"/>
    <w:rsid w:val="00A548EC"/>
    <w:rsid w:val="00A555A0"/>
    <w:rsid w:val="00A557E7"/>
    <w:rsid w:val="00A55D41"/>
    <w:rsid w:val="00A561DA"/>
    <w:rsid w:val="00A564D7"/>
    <w:rsid w:val="00A56B6A"/>
    <w:rsid w:val="00A571C7"/>
    <w:rsid w:val="00A578DC"/>
    <w:rsid w:val="00A57E92"/>
    <w:rsid w:val="00A61250"/>
    <w:rsid w:val="00A61CA5"/>
    <w:rsid w:val="00A61E7C"/>
    <w:rsid w:val="00A6240C"/>
    <w:rsid w:val="00A63D21"/>
    <w:rsid w:val="00A640E2"/>
    <w:rsid w:val="00A64362"/>
    <w:rsid w:val="00A644D3"/>
    <w:rsid w:val="00A64787"/>
    <w:rsid w:val="00A64D65"/>
    <w:rsid w:val="00A64F10"/>
    <w:rsid w:val="00A64F85"/>
    <w:rsid w:val="00A65049"/>
    <w:rsid w:val="00A651C5"/>
    <w:rsid w:val="00A65AA6"/>
    <w:rsid w:val="00A65D57"/>
    <w:rsid w:val="00A66224"/>
    <w:rsid w:val="00A66880"/>
    <w:rsid w:val="00A6725B"/>
    <w:rsid w:val="00A67A16"/>
    <w:rsid w:val="00A70605"/>
    <w:rsid w:val="00A70A0B"/>
    <w:rsid w:val="00A70A6D"/>
    <w:rsid w:val="00A70A79"/>
    <w:rsid w:val="00A71224"/>
    <w:rsid w:val="00A71476"/>
    <w:rsid w:val="00A7204C"/>
    <w:rsid w:val="00A7244D"/>
    <w:rsid w:val="00A7246B"/>
    <w:rsid w:val="00A72C4C"/>
    <w:rsid w:val="00A72EB9"/>
    <w:rsid w:val="00A73134"/>
    <w:rsid w:val="00A7365A"/>
    <w:rsid w:val="00A738AE"/>
    <w:rsid w:val="00A75314"/>
    <w:rsid w:val="00A7560C"/>
    <w:rsid w:val="00A75731"/>
    <w:rsid w:val="00A75C83"/>
    <w:rsid w:val="00A76001"/>
    <w:rsid w:val="00A76244"/>
    <w:rsid w:val="00A763CB"/>
    <w:rsid w:val="00A772DC"/>
    <w:rsid w:val="00A77649"/>
    <w:rsid w:val="00A777B2"/>
    <w:rsid w:val="00A77F1C"/>
    <w:rsid w:val="00A801C8"/>
    <w:rsid w:val="00A804EF"/>
    <w:rsid w:val="00A80B1E"/>
    <w:rsid w:val="00A810D0"/>
    <w:rsid w:val="00A811F6"/>
    <w:rsid w:val="00A81DE0"/>
    <w:rsid w:val="00A821C1"/>
    <w:rsid w:val="00A823FB"/>
    <w:rsid w:val="00A825D4"/>
    <w:rsid w:val="00A828F6"/>
    <w:rsid w:val="00A82B73"/>
    <w:rsid w:val="00A846A0"/>
    <w:rsid w:val="00A8655A"/>
    <w:rsid w:val="00A86E8B"/>
    <w:rsid w:val="00A870F5"/>
    <w:rsid w:val="00A87164"/>
    <w:rsid w:val="00A87A18"/>
    <w:rsid w:val="00A87FED"/>
    <w:rsid w:val="00A90331"/>
    <w:rsid w:val="00A90792"/>
    <w:rsid w:val="00A90D21"/>
    <w:rsid w:val="00A91122"/>
    <w:rsid w:val="00A9117E"/>
    <w:rsid w:val="00A91273"/>
    <w:rsid w:val="00A924FD"/>
    <w:rsid w:val="00A926A1"/>
    <w:rsid w:val="00A93072"/>
    <w:rsid w:val="00A938BD"/>
    <w:rsid w:val="00A93953"/>
    <w:rsid w:val="00A93AD0"/>
    <w:rsid w:val="00A94019"/>
    <w:rsid w:val="00A9479F"/>
    <w:rsid w:val="00A94803"/>
    <w:rsid w:val="00A94C30"/>
    <w:rsid w:val="00A94C55"/>
    <w:rsid w:val="00A94D1A"/>
    <w:rsid w:val="00A9526D"/>
    <w:rsid w:val="00A95466"/>
    <w:rsid w:val="00A959D8"/>
    <w:rsid w:val="00AA113D"/>
    <w:rsid w:val="00AA1401"/>
    <w:rsid w:val="00AA2493"/>
    <w:rsid w:val="00AA249F"/>
    <w:rsid w:val="00AA2916"/>
    <w:rsid w:val="00AA3699"/>
    <w:rsid w:val="00AA3875"/>
    <w:rsid w:val="00AA3A0D"/>
    <w:rsid w:val="00AA458E"/>
    <w:rsid w:val="00AA5626"/>
    <w:rsid w:val="00AA5E7C"/>
    <w:rsid w:val="00AA5F2B"/>
    <w:rsid w:val="00AA6BD5"/>
    <w:rsid w:val="00AA6BD8"/>
    <w:rsid w:val="00AA6C7D"/>
    <w:rsid w:val="00AA6D5F"/>
    <w:rsid w:val="00AA7383"/>
    <w:rsid w:val="00AA7866"/>
    <w:rsid w:val="00AA7926"/>
    <w:rsid w:val="00AA7FD6"/>
    <w:rsid w:val="00AB042A"/>
    <w:rsid w:val="00AB1040"/>
    <w:rsid w:val="00AB11AD"/>
    <w:rsid w:val="00AB1904"/>
    <w:rsid w:val="00AB19EF"/>
    <w:rsid w:val="00AB1F79"/>
    <w:rsid w:val="00AB2495"/>
    <w:rsid w:val="00AB2D03"/>
    <w:rsid w:val="00AB2D34"/>
    <w:rsid w:val="00AB3430"/>
    <w:rsid w:val="00AB37B9"/>
    <w:rsid w:val="00AB3AF0"/>
    <w:rsid w:val="00AB3FAE"/>
    <w:rsid w:val="00AB4AD1"/>
    <w:rsid w:val="00AB4C13"/>
    <w:rsid w:val="00AB4CE2"/>
    <w:rsid w:val="00AB5017"/>
    <w:rsid w:val="00AB50F2"/>
    <w:rsid w:val="00AB56B1"/>
    <w:rsid w:val="00AB5E07"/>
    <w:rsid w:val="00AB69E9"/>
    <w:rsid w:val="00AB6F27"/>
    <w:rsid w:val="00AB758D"/>
    <w:rsid w:val="00AB780C"/>
    <w:rsid w:val="00AB79DC"/>
    <w:rsid w:val="00AB7C85"/>
    <w:rsid w:val="00AB7CFA"/>
    <w:rsid w:val="00AC0073"/>
    <w:rsid w:val="00AC125C"/>
    <w:rsid w:val="00AC2256"/>
    <w:rsid w:val="00AC245F"/>
    <w:rsid w:val="00AC2838"/>
    <w:rsid w:val="00AC35FD"/>
    <w:rsid w:val="00AC4B5F"/>
    <w:rsid w:val="00AC5B42"/>
    <w:rsid w:val="00AC5B48"/>
    <w:rsid w:val="00AC61F8"/>
    <w:rsid w:val="00AC6344"/>
    <w:rsid w:val="00AC6575"/>
    <w:rsid w:val="00AC69B2"/>
    <w:rsid w:val="00AC74F6"/>
    <w:rsid w:val="00AD0504"/>
    <w:rsid w:val="00AD0E6C"/>
    <w:rsid w:val="00AD0FF6"/>
    <w:rsid w:val="00AD1450"/>
    <w:rsid w:val="00AD15E8"/>
    <w:rsid w:val="00AD1A64"/>
    <w:rsid w:val="00AD1FED"/>
    <w:rsid w:val="00AD33C6"/>
    <w:rsid w:val="00AD356D"/>
    <w:rsid w:val="00AD404D"/>
    <w:rsid w:val="00AD511E"/>
    <w:rsid w:val="00AD5129"/>
    <w:rsid w:val="00AD5EC4"/>
    <w:rsid w:val="00AD5FB1"/>
    <w:rsid w:val="00AD6056"/>
    <w:rsid w:val="00AD6502"/>
    <w:rsid w:val="00AD68D9"/>
    <w:rsid w:val="00AD6AFE"/>
    <w:rsid w:val="00AD6B76"/>
    <w:rsid w:val="00AD7689"/>
    <w:rsid w:val="00AD7AA8"/>
    <w:rsid w:val="00AE04DD"/>
    <w:rsid w:val="00AE0695"/>
    <w:rsid w:val="00AE06FA"/>
    <w:rsid w:val="00AE1156"/>
    <w:rsid w:val="00AE1228"/>
    <w:rsid w:val="00AE19A0"/>
    <w:rsid w:val="00AE24CA"/>
    <w:rsid w:val="00AE2F19"/>
    <w:rsid w:val="00AE35EC"/>
    <w:rsid w:val="00AE3E7E"/>
    <w:rsid w:val="00AE47D8"/>
    <w:rsid w:val="00AE4CB2"/>
    <w:rsid w:val="00AE53D1"/>
    <w:rsid w:val="00AE53FA"/>
    <w:rsid w:val="00AE6B87"/>
    <w:rsid w:val="00AE7834"/>
    <w:rsid w:val="00AE7899"/>
    <w:rsid w:val="00AE7D02"/>
    <w:rsid w:val="00AE7E53"/>
    <w:rsid w:val="00AF00BB"/>
    <w:rsid w:val="00AF0443"/>
    <w:rsid w:val="00AF0AD7"/>
    <w:rsid w:val="00AF0FA7"/>
    <w:rsid w:val="00AF1315"/>
    <w:rsid w:val="00AF19BF"/>
    <w:rsid w:val="00AF223A"/>
    <w:rsid w:val="00AF23A5"/>
    <w:rsid w:val="00AF24DE"/>
    <w:rsid w:val="00AF25A2"/>
    <w:rsid w:val="00AF2BD3"/>
    <w:rsid w:val="00AF2DC3"/>
    <w:rsid w:val="00AF4EBF"/>
    <w:rsid w:val="00AF6907"/>
    <w:rsid w:val="00AF7237"/>
    <w:rsid w:val="00AF7704"/>
    <w:rsid w:val="00AF7DDF"/>
    <w:rsid w:val="00B002C7"/>
    <w:rsid w:val="00B01F73"/>
    <w:rsid w:val="00B025AA"/>
    <w:rsid w:val="00B033E5"/>
    <w:rsid w:val="00B0341D"/>
    <w:rsid w:val="00B03719"/>
    <w:rsid w:val="00B03A63"/>
    <w:rsid w:val="00B03E20"/>
    <w:rsid w:val="00B040AD"/>
    <w:rsid w:val="00B04CA8"/>
    <w:rsid w:val="00B04EC4"/>
    <w:rsid w:val="00B06E40"/>
    <w:rsid w:val="00B07A9E"/>
    <w:rsid w:val="00B101CC"/>
    <w:rsid w:val="00B10482"/>
    <w:rsid w:val="00B10C24"/>
    <w:rsid w:val="00B10F3F"/>
    <w:rsid w:val="00B11493"/>
    <w:rsid w:val="00B115C6"/>
    <w:rsid w:val="00B125FA"/>
    <w:rsid w:val="00B129A4"/>
    <w:rsid w:val="00B13490"/>
    <w:rsid w:val="00B13616"/>
    <w:rsid w:val="00B137E4"/>
    <w:rsid w:val="00B13DFC"/>
    <w:rsid w:val="00B1444F"/>
    <w:rsid w:val="00B147A0"/>
    <w:rsid w:val="00B14C41"/>
    <w:rsid w:val="00B14F55"/>
    <w:rsid w:val="00B15435"/>
    <w:rsid w:val="00B15807"/>
    <w:rsid w:val="00B1593B"/>
    <w:rsid w:val="00B16FDB"/>
    <w:rsid w:val="00B177F3"/>
    <w:rsid w:val="00B201A4"/>
    <w:rsid w:val="00B201D1"/>
    <w:rsid w:val="00B20DC5"/>
    <w:rsid w:val="00B213A6"/>
    <w:rsid w:val="00B21A70"/>
    <w:rsid w:val="00B2233B"/>
    <w:rsid w:val="00B235B0"/>
    <w:rsid w:val="00B24DF6"/>
    <w:rsid w:val="00B2617E"/>
    <w:rsid w:val="00B263E3"/>
    <w:rsid w:val="00B2679F"/>
    <w:rsid w:val="00B27A61"/>
    <w:rsid w:val="00B27E18"/>
    <w:rsid w:val="00B30194"/>
    <w:rsid w:val="00B30B12"/>
    <w:rsid w:val="00B32574"/>
    <w:rsid w:val="00B32DE3"/>
    <w:rsid w:val="00B33552"/>
    <w:rsid w:val="00B337BA"/>
    <w:rsid w:val="00B34FE2"/>
    <w:rsid w:val="00B3507C"/>
    <w:rsid w:val="00B35166"/>
    <w:rsid w:val="00B357C3"/>
    <w:rsid w:val="00B357D8"/>
    <w:rsid w:val="00B360F4"/>
    <w:rsid w:val="00B36A00"/>
    <w:rsid w:val="00B37018"/>
    <w:rsid w:val="00B3722B"/>
    <w:rsid w:val="00B376F1"/>
    <w:rsid w:val="00B3792B"/>
    <w:rsid w:val="00B37BFC"/>
    <w:rsid w:val="00B37EDC"/>
    <w:rsid w:val="00B37FDE"/>
    <w:rsid w:val="00B40192"/>
    <w:rsid w:val="00B40358"/>
    <w:rsid w:val="00B40AEA"/>
    <w:rsid w:val="00B4114D"/>
    <w:rsid w:val="00B41614"/>
    <w:rsid w:val="00B42498"/>
    <w:rsid w:val="00B42851"/>
    <w:rsid w:val="00B42864"/>
    <w:rsid w:val="00B42C66"/>
    <w:rsid w:val="00B42DDF"/>
    <w:rsid w:val="00B42F80"/>
    <w:rsid w:val="00B435CB"/>
    <w:rsid w:val="00B436C6"/>
    <w:rsid w:val="00B43D5D"/>
    <w:rsid w:val="00B443EA"/>
    <w:rsid w:val="00B44826"/>
    <w:rsid w:val="00B44843"/>
    <w:rsid w:val="00B4484E"/>
    <w:rsid w:val="00B44BB4"/>
    <w:rsid w:val="00B45480"/>
    <w:rsid w:val="00B45492"/>
    <w:rsid w:val="00B45C81"/>
    <w:rsid w:val="00B46056"/>
    <w:rsid w:val="00B465EC"/>
    <w:rsid w:val="00B46D10"/>
    <w:rsid w:val="00B50436"/>
    <w:rsid w:val="00B505C8"/>
    <w:rsid w:val="00B50DB8"/>
    <w:rsid w:val="00B510A0"/>
    <w:rsid w:val="00B51360"/>
    <w:rsid w:val="00B51597"/>
    <w:rsid w:val="00B51B1F"/>
    <w:rsid w:val="00B51C8C"/>
    <w:rsid w:val="00B51CB9"/>
    <w:rsid w:val="00B51CFA"/>
    <w:rsid w:val="00B5227D"/>
    <w:rsid w:val="00B52413"/>
    <w:rsid w:val="00B52506"/>
    <w:rsid w:val="00B53654"/>
    <w:rsid w:val="00B53754"/>
    <w:rsid w:val="00B53905"/>
    <w:rsid w:val="00B54320"/>
    <w:rsid w:val="00B543FE"/>
    <w:rsid w:val="00B546DB"/>
    <w:rsid w:val="00B54915"/>
    <w:rsid w:val="00B54B5B"/>
    <w:rsid w:val="00B5562E"/>
    <w:rsid w:val="00B5569F"/>
    <w:rsid w:val="00B55862"/>
    <w:rsid w:val="00B5587E"/>
    <w:rsid w:val="00B55D65"/>
    <w:rsid w:val="00B5605A"/>
    <w:rsid w:val="00B560F2"/>
    <w:rsid w:val="00B56305"/>
    <w:rsid w:val="00B56B22"/>
    <w:rsid w:val="00B56C0C"/>
    <w:rsid w:val="00B56E4F"/>
    <w:rsid w:val="00B57000"/>
    <w:rsid w:val="00B5747E"/>
    <w:rsid w:val="00B57C89"/>
    <w:rsid w:val="00B57C99"/>
    <w:rsid w:val="00B601CD"/>
    <w:rsid w:val="00B60379"/>
    <w:rsid w:val="00B60681"/>
    <w:rsid w:val="00B60907"/>
    <w:rsid w:val="00B60939"/>
    <w:rsid w:val="00B60AFD"/>
    <w:rsid w:val="00B60B87"/>
    <w:rsid w:val="00B6109B"/>
    <w:rsid w:val="00B62715"/>
    <w:rsid w:val="00B62775"/>
    <w:rsid w:val="00B62F13"/>
    <w:rsid w:val="00B638E8"/>
    <w:rsid w:val="00B64A09"/>
    <w:rsid w:val="00B64A15"/>
    <w:rsid w:val="00B64C32"/>
    <w:rsid w:val="00B653A6"/>
    <w:rsid w:val="00B65611"/>
    <w:rsid w:val="00B65E7A"/>
    <w:rsid w:val="00B66BDC"/>
    <w:rsid w:val="00B66BF0"/>
    <w:rsid w:val="00B66F5F"/>
    <w:rsid w:val="00B70024"/>
    <w:rsid w:val="00B70C2A"/>
    <w:rsid w:val="00B70E35"/>
    <w:rsid w:val="00B70E8E"/>
    <w:rsid w:val="00B718C5"/>
    <w:rsid w:val="00B720DE"/>
    <w:rsid w:val="00B72BD0"/>
    <w:rsid w:val="00B731B2"/>
    <w:rsid w:val="00B732CF"/>
    <w:rsid w:val="00B75B02"/>
    <w:rsid w:val="00B75E52"/>
    <w:rsid w:val="00B76C92"/>
    <w:rsid w:val="00B770A8"/>
    <w:rsid w:val="00B77A99"/>
    <w:rsid w:val="00B77E4F"/>
    <w:rsid w:val="00B80B19"/>
    <w:rsid w:val="00B80EFD"/>
    <w:rsid w:val="00B80F23"/>
    <w:rsid w:val="00B8101E"/>
    <w:rsid w:val="00B818A4"/>
    <w:rsid w:val="00B82A10"/>
    <w:rsid w:val="00B82A19"/>
    <w:rsid w:val="00B834C7"/>
    <w:rsid w:val="00B83739"/>
    <w:rsid w:val="00B83A5B"/>
    <w:rsid w:val="00B83ADE"/>
    <w:rsid w:val="00B84097"/>
    <w:rsid w:val="00B84117"/>
    <w:rsid w:val="00B849B5"/>
    <w:rsid w:val="00B85759"/>
    <w:rsid w:val="00B858F0"/>
    <w:rsid w:val="00B85A34"/>
    <w:rsid w:val="00B85AA2"/>
    <w:rsid w:val="00B85AF5"/>
    <w:rsid w:val="00B8649C"/>
    <w:rsid w:val="00B8695D"/>
    <w:rsid w:val="00B87353"/>
    <w:rsid w:val="00B877BC"/>
    <w:rsid w:val="00B878D3"/>
    <w:rsid w:val="00B87F0A"/>
    <w:rsid w:val="00B91923"/>
    <w:rsid w:val="00B92D0B"/>
    <w:rsid w:val="00B934FC"/>
    <w:rsid w:val="00B947D5"/>
    <w:rsid w:val="00B94945"/>
    <w:rsid w:val="00B94DD6"/>
    <w:rsid w:val="00B956EB"/>
    <w:rsid w:val="00B9572B"/>
    <w:rsid w:val="00B95D1E"/>
    <w:rsid w:val="00B96491"/>
    <w:rsid w:val="00B97A2F"/>
    <w:rsid w:val="00BA1625"/>
    <w:rsid w:val="00BA1971"/>
    <w:rsid w:val="00BA1ABB"/>
    <w:rsid w:val="00BA1D96"/>
    <w:rsid w:val="00BA28FF"/>
    <w:rsid w:val="00BA2D3F"/>
    <w:rsid w:val="00BA3030"/>
    <w:rsid w:val="00BA322D"/>
    <w:rsid w:val="00BA3D53"/>
    <w:rsid w:val="00BA444F"/>
    <w:rsid w:val="00BA4A89"/>
    <w:rsid w:val="00BA4FDA"/>
    <w:rsid w:val="00BA63FA"/>
    <w:rsid w:val="00BA71CE"/>
    <w:rsid w:val="00BA7309"/>
    <w:rsid w:val="00BB00B3"/>
    <w:rsid w:val="00BB03E8"/>
    <w:rsid w:val="00BB04A0"/>
    <w:rsid w:val="00BB07B6"/>
    <w:rsid w:val="00BB0AA9"/>
    <w:rsid w:val="00BB0BDD"/>
    <w:rsid w:val="00BB10D7"/>
    <w:rsid w:val="00BB115B"/>
    <w:rsid w:val="00BB176C"/>
    <w:rsid w:val="00BB1D23"/>
    <w:rsid w:val="00BB26A0"/>
    <w:rsid w:val="00BB2A73"/>
    <w:rsid w:val="00BB3015"/>
    <w:rsid w:val="00BB3334"/>
    <w:rsid w:val="00BB3A01"/>
    <w:rsid w:val="00BB3A45"/>
    <w:rsid w:val="00BB45A7"/>
    <w:rsid w:val="00BB4ACC"/>
    <w:rsid w:val="00BB59E0"/>
    <w:rsid w:val="00BB703E"/>
    <w:rsid w:val="00BB732D"/>
    <w:rsid w:val="00BB7405"/>
    <w:rsid w:val="00BB742C"/>
    <w:rsid w:val="00BB7767"/>
    <w:rsid w:val="00BB7A70"/>
    <w:rsid w:val="00BB7AF0"/>
    <w:rsid w:val="00BB7DDB"/>
    <w:rsid w:val="00BC0F2D"/>
    <w:rsid w:val="00BC1499"/>
    <w:rsid w:val="00BC2733"/>
    <w:rsid w:val="00BC276A"/>
    <w:rsid w:val="00BC2D05"/>
    <w:rsid w:val="00BC3631"/>
    <w:rsid w:val="00BC3AFE"/>
    <w:rsid w:val="00BC40F6"/>
    <w:rsid w:val="00BC4B7F"/>
    <w:rsid w:val="00BC5576"/>
    <w:rsid w:val="00BC589B"/>
    <w:rsid w:val="00BC591F"/>
    <w:rsid w:val="00BC743D"/>
    <w:rsid w:val="00BC78EC"/>
    <w:rsid w:val="00BC79AD"/>
    <w:rsid w:val="00BC7D6D"/>
    <w:rsid w:val="00BD1981"/>
    <w:rsid w:val="00BD2108"/>
    <w:rsid w:val="00BD2356"/>
    <w:rsid w:val="00BD27FE"/>
    <w:rsid w:val="00BD29C1"/>
    <w:rsid w:val="00BD2CA8"/>
    <w:rsid w:val="00BD30BC"/>
    <w:rsid w:val="00BD41F7"/>
    <w:rsid w:val="00BD42EF"/>
    <w:rsid w:val="00BD476B"/>
    <w:rsid w:val="00BD68A3"/>
    <w:rsid w:val="00BD691F"/>
    <w:rsid w:val="00BD6938"/>
    <w:rsid w:val="00BD6C2E"/>
    <w:rsid w:val="00BD6CF3"/>
    <w:rsid w:val="00BD70FE"/>
    <w:rsid w:val="00BD7547"/>
    <w:rsid w:val="00BD7F72"/>
    <w:rsid w:val="00BE00A0"/>
    <w:rsid w:val="00BE0556"/>
    <w:rsid w:val="00BE0A02"/>
    <w:rsid w:val="00BE0ECA"/>
    <w:rsid w:val="00BE19CB"/>
    <w:rsid w:val="00BE2048"/>
    <w:rsid w:val="00BE2180"/>
    <w:rsid w:val="00BE21F2"/>
    <w:rsid w:val="00BE29DD"/>
    <w:rsid w:val="00BE31AD"/>
    <w:rsid w:val="00BE4084"/>
    <w:rsid w:val="00BE4182"/>
    <w:rsid w:val="00BE4275"/>
    <w:rsid w:val="00BE4788"/>
    <w:rsid w:val="00BE4AF0"/>
    <w:rsid w:val="00BE4B69"/>
    <w:rsid w:val="00BE4E38"/>
    <w:rsid w:val="00BE6021"/>
    <w:rsid w:val="00BE63F9"/>
    <w:rsid w:val="00BE69E6"/>
    <w:rsid w:val="00BE6F2B"/>
    <w:rsid w:val="00BE6F50"/>
    <w:rsid w:val="00BE7278"/>
    <w:rsid w:val="00BF008C"/>
    <w:rsid w:val="00BF01F5"/>
    <w:rsid w:val="00BF03CD"/>
    <w:rsid w:val="00BF06AE"/>
    <w:rsid w:val="00BF086D"/>
    <w:rsid w:val="00BF0F95"/>
    <w:rsid w:val="00BF1B0D"/>
    <w:rsid w:val="00BF1B3E"/>
    <w:rsid w:val="00BF2433"/>
    <w:rsid w:val="00BF27CE"/>
    <w:rsid w:val="00BF2E6E"/>
    <w:rsid w:val="00BF30E2"/>
    <w:rsid w:val="00BF3ADE"/>
    <w:rsid w:val="00BF434B"/>
    <w:rsid w:val="00BF44F0"/>
    <w:rsid w:val="00BF4611"/>
    <w:rsid w:val="00BF4D9B"/>
    <w:rsid w:val="00BF4EF5"/>
    <w:rsid w:val="00BF5354"/>
    <w:rsid w:val="00BF5599"/>
    <w:rsid w:val="00BF6138"/>
    <w:rsid w:val="00BF61C9"/>
    <w:rsid w:val="00BF63CF"/>
    <w:rsid w:val="00BF689C"/>
    <w:rsid w:val="00BF6AA6"/>
    <w:rsid w:val="00BF6C94"/>
    <w:rsid w:val="00BF7081"/>
    <w:rsid w:val="00BF770A"/>
    <w:rsid w:val="00BF786D"/>
    <w:rsid w:val="00BF7A89"/>
    <w:rsid w:val="00C00334"/>
    <w:rsid w:val="00C00424"/>
    <w:rsid w:val="00C00BB0"/>
    <w:rsid w:val="00C00BF2"/>
    <w:rsid w:val="00C03E7D"/>
    <w:rsid w:val="00C04416"/>
    <w:rsid w:val="00C0502A"/>
    <w:rsid w:val="00C05D69"/>
    <w:rsid w:val="00C05FC4"/>
    <w:rsid w:val="00C06E35"/>
    <w:rsid w:val="00C071A1"/>
    <w:rsid w:val="00C103A4"/>
    <w:rsid w:val="00C10DA8"/>
    <w:rsid w:val="00C10E53"/>
    <w:rsid w:val="00C11011"/>
    <w:rsid w:val="00C11597"/>
    <w:rsid w:val="00C1179F"/>
    <w:rsid w:val="00C127B9"/>
    <w:rsid w:val="00C128FA"/>
    <w:rsid w:val="00C12C14"/>
    <w:rsid w:val="00C13748"/>
    <w:rsid w:val="00C13DAD"/>
    <w:rsid w:val="00C13DBD"/>
    <w:rsid w:val="00C1484A"/>
    <w:rsid w:val="00C14DD9"/>
    <w:rsid w:val="00C155FF"/>
    <w:rsid w:val="00C15F04"/>
    <w:rsid w:val="00C161CF"/>
    <w:rsid w:val="00C17669"/>
    <w:rsid w:val="00C179B3"/>
    <w:rsid w:val="00C17E3F"/>
    <w:rsid w:val="00C200AA"/>
    <w:rsid w:val="00C202B9"/>
    <w:rsid w:val="00C204DF"/>
    <w:rsid w:val="00C20FAC"/>
    <w:rsid w:val="00C210E3"/>
    <w:rsid w:val="00C225AA"/>
    <w:rsid w:val="00C22F9C"/>
    <w:rsid w:val="00C235A9"/>
    <w:rsid w:val="00C2361C"/>
    <w:rsid w:val="00C23764"/>
    <w:rsid w:val="00C237ED"/>
    <w:rsid w:val="00C24632"/>
    <w:rsid w:val="00C24B8A"/>
    <w:rsid w:val="00C24E1E"/>
    <w:rsid w:val="00C2506A"/>
    <w:rsid w:val="00C25418"/>
    <w:rsid w:val="00C25500"/>
    <w:rsid w:val="00C25D9C"/>
    <w:rsid w:val="00C26161"/>
    <w:rsid w:val="00C26A65"/>
    <w:rsid w:val="00C273BF"/>
    <w:rsid w:val="00C2778B"/>
    <w:rsid w:val="00C27AD0"/>
    <w:rsid w:val="00C27C45"/>
    <w:rsid w:val="00C27CD6"/>
    <w:rsid w:val="00C3133D"/>
    <w:rsid w:val="00C31649"/>
    <w:rsid w:val="00C316A0"/>
    <w:rsid w:val="00C32B5F"/>
    <w:rsid w:val="00C32F01"/>
    <w:rsid w:val="00C32F0E"/>
    <w:rsid w:val="00C334BB"/>
    <w:rsid w:val="00C33824"/>
    <w:rsid w:val="00C339BC"/>
    <w:rsid w:val="00C33E0A"/>
    <w:rsid w:val="00C3415B"/>
    <w:rsid w:val="00C3434C"/>
    <w:rsid w:val="00C34407"/>
    <w:rsid w:val="00C35001"/>
    <w:rsid w:val="00C3610D"/>
    <w:rsid w:val="00C36E0F"/>
    <w:rsid w:val="00C375C5"/>
    <w:rsid w:val="00C375C8"/>
    <w:rsid w:val="00C37892"/>
    <w:rsid w:val="00C40385"/>
    <w:rsid w:val="00C4050D"/>
    <w:rsid w:val="00C41174"/>
    <w:rsid w:val="00C41768"/>
    <w:rsid w:val="00C41B8F"/>
    <w:rsid w:val="00C41EA4"/>
    <w:rsid w:val="00C424BF"/>
    <w:rsid w:val="00C42769"/>
    <w:rsid w:val="00C42E2E"/>
    <w:rsid w:val="00C43088"/>
    <w:rsid w:val="00C44806"/>
    <w:rsid w:val="00C44951"/>
    <w:rsid w:val="00C45561"/>
    <w:rsid w:val="00C45850"/>
    <w:rsid w:val="00C46A88"/>
    <w:rsid w:val="00C475AA"/>
    <w:rsid w:val="00C4765A"/>
    <w:rsid w:val="00C476AC"/>
    <w:rsid w:val="00C47B0B"/>
    <w:rsid w:val="00C47D17"/>
    <w:rsid w:val="00C50A75"/>
    <w:rsid w:val="00C50DBC"/>
    <w:rsid w:val="00C521A7"/>
    <w:rsid w:val="00C527C7"/>
    <w:rsid w:val="00C52B19"/>
    <w:rsid w:val="00C52C29"/>
    <w:rsid w:val="00C53276"/>
    <w:rsid w:val="00C5395F"/>
    <w:rsid w:val="00C53C98"/>
    <w:rsid w:val="00C54241"/>
    <w:rsid w:val="00C54608"/>
    <w:rsid w:val="00C548A9"/>
    <w:rsid w:val="00C54934"/>
    <w:rsid w:val="00C5575E"/>
    <w:rsid w:val="00C56EE4"/>
    <w:rsid w:val="00C56FCF"/>
    <w:rsid w:val="00C57B6C"/>
    <w:rsid w:val="00C6008D"/>
    <w:rsid w:val="00C608E8"/>
    <w:rsid w:val="00C6126D"/>
    <w:rsid w:val="00C61394"/>
    <w:rsid w:val="00C61516"/>
    <w:rsid w:val="00C61525"/>
    <w:rsid w:val="00C61A59"/>
    <w:rsid w:val="00C61CB7"/>
    <w:rsid w:val="00C61CD1"/>
    <w:rsid w:val="00C61CF2"/>
    <w:rsid w:val="00C6251E"/>
    <w:rsid w:val="00C628A6"/>
    <w:rsid w:val="00C62BA2"/>
    <w:rsid w:val="00C632D9"/>
    <w:rsid w:val="00C63BA1"/>
    <w:rsid w:val="00C64061"/>
    <w:rsid w:val="00C64344"/>
    <w:rsid w:val="00C64D15"/>
    <w:rsid w:val="00C64EF7"/>
    <w:rsid w:val="00C65108"/>
    <w:rsid w:val="00C65576"/>
    <w:rsid w:val="00C65597"/>
    <w:rsid w:val="00C66165"/>
    <w:rsid w:val="00C6658A"/>
    <w:rsid w:val="00C66DB3"/>
    <w:rsid w:val="00C66FEA"/>
    <w:rsid w:val="00C6713C"/>
    <w:rsid w:val="00C67F26"/>
    <w:rsid w:val="00C70188"/>
    <w:rsid w:val="00C7060A"/>
    <w:rsid w:val="00C70D97"/>
    <w:rsid w:val="00C70F79"/>
    <w:rsid w:val="00C7151A"/>
    <w:rsid w:val="00C717E3"/>
    <w:rsid w:val="00C71E74"/>
    <w:rsid w:val="00C71F60"/>
    <w:rsid w:val="00C72241"/>
    <w:rsid w:val="00C72B9F"/>
    <w:rsid w:val="00C73A63"/>
    <w:rsid w:val="00C74104"/>
    <w:rsid w:val="00C741EC"/>
    <w:rsid w:val="00C74D98"/>
    <w:rsid w:val="00C74D9F"/>
    <w:rsid w:val="00C750C8"/>
    <w:rsid w:val="00C7560F"/>
    <w:rsid w:val="00C75C13"/>
    <w:rsid w:val="00C76437"/>
    <w:rsid w:val="00C76A82"/>
    <w:rsid w:val="00C805ED"/>
    <w:rsid w:val="00C80A0E"/>
    <w:rsid w:val="00C8143E"/>
    <w:rsid w:val="00C81B02"/>
    <w:rsid w:val="00C81CDD"/>
    <w:rsid w:val="00C8213F"/>
    <w:rsid w:val="00C82D9D"/>
    <w:rsid w:val="00C8303F"/>
    <w:rsid w:val="00C83B06"/>
    <w:rsid w:val="00C83E7E"/>
    <w:rsid w:val="00C83EAF"/>
    <w:rsid w:val="00C8493B"/>
    <w:rsid w:val="00C84FB5"/>
    <w:rsid w:val="00C85154"/>
    <w:rsid w:val="00C85A70"/>
    <w:rsid w:val="00C86D08"/>
    <w:rsid w:val="00C87090"/>
    <w:rsid w:val="00C877CA"/>
    <w:rsid w:val="00C8797A"/>
    <w:rsid w:val="00C900B8"/>
    <w:rsid w:val="00C90197"/>
    <w:rsid w:val="00C906DF"/>
    <w:rsid w:val="00C90C71"/>
    <w:rsid w:val="00C91574"/>
    <w:rsid w:val="00C916A3"/>
    <w:rsid w:val="00C919D4"/>
    <w:rsid w:val="00C91FD1"/>
    <w:rsid w:val="00C931CF"/>
    <w:rsid w:val="00C938CF"/>
    <w:rsid w:val="00C93F1F"/>
    <w:rsid w:val="00C94053"/>
    <w:rsid w:val="00C95B8D"/>
    <w:rsid w:val="00C95D35"/>
    <w:rsid w:val="00C9624D"/>
    <w:rsid w:val="00C96838"/>
    <w:rsid w:val="00C96988"/>
    <w:rsid w:val="00C969DA"/>
    <w:rsid w:val="00C97990"/>
    <w:rsid w:val="00CA0EA1"/>
    <w:rsid w:val="00CA1086"/>
    <w:rsid w:val="00CA12E8"/>
    <w:rsid w:val="00CA202E"/>
    <w:rsid w:val="00CA242D"/>
    <w:rsid w:val="00CA2C77"/>
    <w:rsid w:val="00CA2CB8"/>
    <w:rsid w:val="00CA391A"/>
    <w:rsid w:val="00CA3B03"/>
    <w:rsid w:val="00CA444F"/>
    <w:rsid w:val="00CA4581"/>
    <w:rsid w:val="00CA4A24"/>
    <w:rsid w:val="00CA5245"/>
    <w:rsid w:val="00CA5D64"/>
    <w:rsid w:val="00CA619D"/>
    <w:rsid w:val="00CA71F4"/>
    <w:rsid w:val="00CA7942"/>
    <w:rsid w:val="00CA79BD"/>
    <w:rsid w:val="00CA7B09"/>
    <w:rsid w:val="00CB12A5"/>
    <w:rsid w:val="00CB1CAC"/>
    <w:rsid w:val="00CB2F2A"/>
    <w:rsid w:val="00CB5B1A"/>
    <w:rsid w:val="00CB5B2B"/>
    <w:rsid w:val="00CB5D9C"/>
    <w:rsid w:val="00CB5E66"/>
    <w:rsid w:val="00CB641D"/>
    <w:rsid w:val="00CB6B22"/>
    <w:rsid w:val="00CB7B16"/>
    <w:rsid w:val="00CB7F5F"/>
    <w:rsid w:val="00CC07BF"/>
    <w:rsid w:val="00CC108C"/>
    <w:rsid w:val="00CC1B28"/>
    <w:rsid w:val="00CC1B39"/>
    <w:rsid w:val="00CC1BFA"/>
    <w:rsid w:val="00CC2087"/>
    <w:rsid w:val="00CC2E9F"/>
    <w:rsid w:val="00CC35EA"/>
    <w:rsid w:val="00CC3848"/>
    <w:rsid w:val="00CC3864"/>
    <w:rsid w:val="00CC3F56"/>
    <w:rsid w:val="00CC3F5B"/>
    <w:rsid w:val="00CC44B0"/>
    <w:rsid w:val="00CC5376"/>
    <w:rsid w:val="00CC539E"/>
    <w:rsid w:val="00CC55DD"/>
    <w:rsid w:val="00CC677D"/>
    <w:rsid w:val="00CC6A9B"/>
    <w:rsid w:val="00CC6D5E"/>
    <w:rsid w:val="00CC70B7"/>
    <w:rsid w:val="00CD0073"/>
    <w:rsid w:val="00CD0200"/>
    <w:rsid w:val="00CD0C62"/>
    <w:rsid w:val="00CD0F60"/>
    <w:rsid w:val="00CD1968"/>
    <w:rsid w:val="00CD2421"/>
    <w:rsid w:val="00CD32F6"/>
    <w:rsid w:val="00CD35F7"/>
    <w:rsid w:val="00CD3F77"/>
    <w:rsid w:val="00CD437E"/>
    <w:rsid w:val="00CD451C"/>
    <w:rsid w:val="00CD5588"/>
    <w:rsid w:val="00CD5C59"/>
    <w:rsid w:val="00CD6438"/>
    <w:rsid w:val="00CD68FD"/>
    <w:rsid w:val="00CD6ADC"/>
    <w:rsid w:val="00CD6C41"/>
    <w:rsid w:val="00CD7193"/>
    <w:rsid w:val="00CD7ACA"/>
    <w:rsid w:val="00CE0448"/>
    <w:rsid w:val="00CE09DF"/>
    <w:rsid w:val="00CE1527"/>
    <w:rsid w:val="00CE21A6"/>
    <w:rsid w:val="00CE24D7"/>
    <w:rsid w:val="00CE2E5C"/>
    <w:rsid w:val="00CE2FE6"/>
    <w:rsid w:val="00CE3128"/>
    <w:rsid w:val="00CE38C8"/>
    <w:rsid w:val="00CE48D3"/>
    <w:rsid w:val="00CE4983"/>
    <w:rsid w:val="00CE4D77"/>
    <w:rsid w:val="00CE524F"/>
    <w:rsid w:val="00CE5839"/>
    <w:rsid w:val="00CE58CC"/>
    <w:rsid w:val="00CE5DBD"/>
    <w:rsid w:val="00CE60EC"/>
    <w:rsid w:val="00CE6259"/>
    <w:rsid w:val="00CE6274"/>
    <w:rsid w:val="00CE640F"/>
    <w:rsid w:val="00CE6DF9"/>
    <w:rsid w:val="00CE6FD4"/>
    <w:rsid w:val="00CE75BA"/>
    <w:rsid w:val="00CE77B6"/>
    <w:rsid w:val="00CF053C"/>
    <w:rsid w:val="00CF20EE"/>
    <w:rsid w:val="00CF27AE"/>
    <w:rsid w:val="00CF2B8D"/>
    <w:rsid w:val="00CF341A"/>
    <w:rsid w:val="00CF395C"/>
    <w:rsid w:val="00CF3A1B"/>
    <w:rsid w:val="00CF42EA"/>
    <w:rsid w:val="00CF456B"/>
    <w:rsid w:val="00CF50DC"/>
    <w:rsid w:val="00CF5A22"/>
    <w:rsid w:val="00CF5D47"/>
    <w:rsid w:val="00CF6353"/>
    <w:rsid w:val="00CF643A"/>
    <w:rsid w:val="00CF659B"/>
    <w:rsid w:val="00CF783A"/>
    <w:rsid w:val="00D0001F"/>
    <w:rsid w:val="00D020F1"/>
    <w:rsid w:val="00D0251A"/>
    <w:rsid w:val="00D0262E"/>
    <w:rsid w:val="00D02AC3"/>
    <w:rsid w:val="00D02B78"/>
    <w:rsid w:val="00D03679"/>
    <w:rsid w:val="00D04126"/>
    <w:rsid w:val="00D04B99"/>
    <w:rsid w:val="00D04D73"/>
    <w:rsid w:val="00D0535B"/>
    <w:rsid w:val="00D05653"/>
    <w:rsid w:val="00D05735"/>
    <w:rsid w:val="00D059A0"/>
    <w:rsid w:val="00D05E3D"/>
    <w:rsid w:val="00D06139"/>
    <w:rsid w:val="00D06439"/>
    <w:rsid w:val="00D06D59"/>
    <w:rsid w:val="00D06D86"/>
    <w:rsid w:val="00D1014D"/>
    <w:rsid w:val="00D10163"/>
    <w:rsid w:val="00D101C8"/>
    <w:rsid w:val="00D109CF"/>
    <w:rsid w:val="00D1104B"/>
    <w:rsid w:val="00D110BD"/>
    <w:rsid w:val="00D12151"/>
    <w:rsid w:val="00D12B55"/>
    <w:rsid w:val="00D1366A"/>
    <w:rsid w:val="00D13675"/>
    <w:rsid w:val="00D13EEC"/>
    <w:rsid w:val="00D141E1"/>
    <w:rsid w:val="00D14231"/>
    <w:rsid w:val="00D145A9"/>
    <w:rsid w:val="00D15314"/>
    <w:rsid w:val="00D15AC6"/>
    <w:rsid w:val="00D15B48"/>
    <w:rsid w:val="00D161CF"/>
    <w:rsid w:val="00D16400"/>
    <w:rsid w:val="00D16D78"/>
    <w:rsid w:val="00D1754C"/>
    <w:rsid w:val="00D17D6C"/>
    <w:rsid w:val="00D17DEC"/>
    <w:rsid w:val="00D208D4"/>
    <w:rsid w:val="00D20FA9"/>
    <w:rsid w:val="00D2109D"/>
    <w:rsid w:val="00D21428"/>
    <w:rsid w:val="00D214F1"/>
    <w:rsid w:val="00D2155B"/>
    <w:rsid w:val="00D21791"/>
    <w:rsid w:val="00D21AA6"/>
    <w:rsid w:val="00D21E14"/>
    <w:rsid w:val="00D22033"/>
    <w:rsid w:val="00D22C29"/>
    <w:rsid w:val="00D23076"/>
    <w:rsid w:val="00D236D7"/>
    <w:rsid w:val="00D23D11"/>
    <w:rsid w:val="00D244B6"/>
    <w:rsid w:val="00D2476E"/>
    <w:rsid w:val="00D24EC5"/>
    <w:rsid w:val="00D24F1D"/>
    <w:rsid w:val="00D255ED"/>
    <w:rsid w:val="00D2594B"/>
    <w:rsid w:val="00D25BF8"/>
    <w:rsid w:val="00D25C95"/>
    <w:rsid w:val="00D26704"/>
    <w:rsid w:val="00D26CD5"/>
    <w:rsid w:val="00D26EEF"/>
    <w:rsid w:val="00D2753E"/>
    <w:rsid w:val="00D2754D"/>
    <w:rsid w:val="00D27B27"/>
    <w:rsid w:val="00D27F55"/>
    <w:rsid w:val="00D30004"/>
    <w:rsid w:val="00D30623"/>
    <w:rsid w:val="00D30702"/>
    <w:rsid w:val="00D30D5B"/>
    <w:rsid w:val="00D31265"/>
    <w:rsid w:val="00D314EE"/>
    <w:rsid w:val="00D315AD"/>
    <w:rsid w:val="00D31A84"/>
    <w:rsid w:val="00D327C7"/>
    <w:rsid w:val="00D329A9"/>
    <w:rsid w:val="00D32F14"/>
    <w:rsid w:val="00D33776"/>
    <w:rsid w:val="00D33820"/>
    <w:rsid w:val="00D33BE9"/>
    <w:rsid w:val="00D33F93"/>
    <w:rsid w:val="00D34866"/>
    <w:rsid w:val="00D34A85"/>
    <w:rsid w:val="00D357FF"/>
    <w:rsid w:val="00D35875"/>
    <w:rsid w:val="00D35DCC"/>
    <w:rsid w:val="00D3639F"/>
    <w:rsid w:val="00D365B6"/>
    <w:rsid w:val="00D36AD3"/>
    <w:rsid w:val="00D36FC3"/>
    <w:rsid w:val="00D3701A"/>
    <w:rsid w:val="00D374BE"/>
    <w:rsid w:val="00D37906"/>
    <w:rsid w:val="00D37915"/>
    <w:rsid w:val="00D37FEF"/>
    <w:rsid w:val="00D40098"/>
    <w:rsid w:val="00D40230"/>
    <w:rsid w:val="00D40A6C"/>
    <w:rsid w:val="00D40D2C"/>
    <w:rsid w:val="00D40E03"/>
    <w:rsid w:val="00D40FFA"/>
    <w:rsid w:val="00D41473"/>
    <w:rsid w:val="00D424C7"/>
    <w:rsid w:val="00D42E85"/>
    <w:rsid w:val="00D438A6"/>
    <w:rsid w:val="00D43B2A"/>
    <w:rsid w:val="00D43CF1"/>
    <w:rsid w:val="00D43D83"/>
    <w:rsid w:val="00D44047"/>
    <w:rsid w:val="00D44880"/>
    <w:rsid w:val="00D44FF1"/>
    <w:rsid w:val="00D45D71"/>
    <w:rsid w:val="00D4702E"/>
    <w:rsid w:val="00D4732C"/>
    <w:rsid w:val="00D47545"/>
    <w:rsid w:val="00D47575"/>
    <w:rsid w:val="00D50713"/>
    <w:rsid w:val="00D52040"/>
    <w:rsid w:val="00D52111"/>
    <w:rsid w:val="00D5243B"/>
    <w:rsid w:val="00D532D4"/>
    <w:rsid w:val="00D533EC"/>
    <w:rsid w:val="00D53BB5"/>
    <w:rsid w:val="00D55D51"/>
    <w:rsid w:val="00D56A95"/>
    <w:rsid w:val="00D6076E"/>
    <w:rsid w:val="00D607E0"/>
    <w:rsid w:val="00D60AEB"/>
    <w:rsid w:val="00D60D0C"/>
    <w:rsid w:val="00D60DF7"/>
    <w:rsid w:val="00D61421"/>
    <w:rsid w:val="00D615BC"/>
    <w:rsid w:val="00D61B0B"/>
    <w:rsid w:val="00D61EC2"/>
    <w:rsid w:val="00D627FD"/>
    <w:rsid w:val="00D632EE"/>
    <w:rsid w:val="00D63950"/>
    <w:rsid w:val="00D6396D"/>
    <w:rsid w:val="00D64ECD"/>
    <w:rsid w:val="00D65D1D"/>
    <w:rsid w:val="00D66156"/>
    <w:rsid w:val="00D7073C"/>
    <w:rsid w:val="00D7086E"/>
    <w:rsid w:val="00D70D85"/>
    <w:rsid w:val="00D70F16"/>
    <w:rsid w:val="00D71148"/>
    <w:rsid w:val="00D7206C"/>
    <w:rsid w:val="00D72617"/>
    <w:rsid w:val="00D72A4D"/>
    <w:rsid w:val="00D72F57"/>
    <w:rsid w:val="00D73CCF"/>
    <w:rsid w:val="00D741B0"/>
    <w:rsid w:val="00D743F9"/>
    <w:rsid w:val="00D744EE"/>
    <w:rsid w:val="00D74BD4"/>
    <w:rsid w:val="00D758A2"/>
    <w:rsid w:val="00D764A9"/>
    <w:rsid w:val="00D7658C"/>
    <w:rsid w:val="00D76A44"/>
    <w:rsid w:val="00D76ED2"/>
    <w:rsid w:val="00D77C8A"/>
    <w:rsid w:val="00D80865"/>
    <w:rsid w:val="00D815EF"/>
    <w:rsid w:val="00D81949"/>
    <w:rsid w:val="00D81F26"/>
    <w:rsid w:val="00D822E2"/>
    <w:rsid w:val="00D82A9D"/>
    <w:rsid w:val="00D834E9"/>
    <w:rsid w:val="00D835AD"/>
    <w:rsid w:val="00D8415D"/>
    <w:rsid w:val="00D841CE"/>
    <w:rsid w:val="00D843F2"/>
    <w:rsid w:val="00D84825"/>
    <w:rsid w:val="00D84946"/>
    <w:rsid w:val="00D84EFB"/>
    <w:rsid w:val="00D856E3"/>
    <w:rsid w:val="00D857A8"/>
    <w:rsid w:val="00D85B3F"/>
    <w:rsid w:val="00D86231"/>
    <w:rsid w:val="00D867D6"/>
    <w:rsid w:val="00D86A40"/>
    <w:rsid w:val="00D87558"/>
    <w:rsid w:val="00D8755D"/>
    <w:rsid w:val="00D90582"/>
    <w:rsid w:val="00D90B62"/>
    <w:rsid w:val="00D90F8D"/>
    <w:rsid w:val="00D912AB"/>
    <w:rsid w:val="00D91923"/>
    <w:rsid w:val="00D91A7B"/>
    <w:rsid w:val="00D91BAB"/>
    <w:rsid w:val="00D925CA"/>
    <w:rsid w:val="00D9326A"/>
    <w:rsid w:val="00D935E0"/>
    <w:rsid w:val="00D93753"/>
    <w:rsid w:val="00D9387D"/>
    <w:rsid w:val="00D93D03"/>
    <w:rsid w:val="00D9406F"/>
    <w:rsid w:val="00D95247"/>
    <w:rsid w:val="00D96E30"/>
    <w:rsid w:val="00D972DF"/>
    <w:rsid w:val="00D973FC"/>
    <w:rsid w:val="00DA02A6"/>
    <w:rsid w:val="00DA0368"/>
    <w:rsid w:val="00DA10D6"/>
    <w:rsid w:val="00DA1FB8"/>
    <w:rsid w:val="00DA21C4"/>
    <w:rsid w:val="00DA2238"/>
    <w:rsid w:val="00DA2800"/>
    <w:rsid w:val="00DA3167"/>
    <w:rsid w:val="00DA33F3"/>
    <w:rsid w:val="00DA3454"/>
    <w:rsid w:val="00DA34F9"/>
    <w:rsid w:val="00DA40C5"/>
    <w:rsid w:val="00DA421B"/>
    <w:rsid w:val="00DA4470"/>
    <w:rsid w:val="00DA4DC3"/>
    <w:rsid w:val="00DA6A43"/>
    <w:rsid w:val="00DA77A5"/>
    <w:rsid w:val="00DB005A"/>
    <w:rsid w:val="00DB0E36"/>
    <w:rsid w:val="00DB14FB"/>
    <w:rsid w:val="00DB219D"/>
    <w:rsid w:val="00DB23DA"/>
    <w:rsid w:val="00DB2B4A"/>
    <w:rsid w:val="00DB33AC"/>
    <w:rsid w:val="00DB3DBF"/>
    <w:rsid w:val="00DB3FB1"/>
    <w:rsid w:val="00DB47FC"/>
    <w:rsid w:val="00DB484F"/>
    <w:rsid w:val="00DB48DC"/>
    <w:rsid w:val="00DB5010"/>
    <w:rsid w:val="00DB6A6F"/>
    <w:rsid w:val="00DB7509"/>
    <w:rsid w:val="00DC0158"/>
    <w:rsid w:val="00DC04F6"/>
    <w:rsid w:val="00DC059A"/>
    <w:rsid w:val="00DC0690"/>
    <w:rsid w:val="00DC0F2B"/>
    <w:rsid w:val="00DC1811"/>
    <w:rsid w:val="00DC184E"/>
    <w:rsid w:val="00DC1D65"/>
    <w:rsid w:val="00DC2227"/>
    <w:rsid w:val="00DC3BE0"/>
    <w:rsid w:val="00DC3C57"/>
    <w:rsid w:val="00DC4CC6"/>
    <w:rsid w:val="00DC54AC"/>
    <w:rsid w:val="00DC5501"/>
    <w:rsid w:val="00DC5520"/>
    <w:rsid w:val="00DC5DE4"/>
    <w:rsid w:val="00DC60F9"/>
    <w:rsid w:val="00DC619D"/>
    <w:rsid w:val="00DC63CF"/>
    <w:rsid w:val="00DC675B"/>
    <w:rsid w:val="00DC68C0"/>
    <w:rsid w:val="00DC69E1"/>
    <w:rsid w:val="00DC6FA5"/>
    <w:rsid w:val="00DC7154"/>
    <w:rsid w:val="00DC7E8A"/>
    <w:rsid w:val="00DD0035"/>
    <w:rsid w:val="00DD096C"/>
    <w:rsid w:val="00DD0F78"/>
    <w:rsid w:val="00DD1C08"/>
    <w:rsid w:val="00DD2153"/>
    <w:rsid w:val="00DD225E"/>
    <w:rsid w:val="00DD2396"/>
    <w:rsid w:val="00DD26AC"/>
    <w:rsid w:val="00DD273C"/>
    <w:rsid w:val="00DD2B1F"/>
    <w:rsid w:val="00DD344B"/>
    <w:rsid w:val="00DD3917"/>
    <w:rsid w:val="00DD3DD0"/>
    <w:rsid w:val="00DD3EF7"/>
    <w:rsid w:val="00DD3F28"/>
    <w:rsid w:val="00DD4446"/>
    <w:rsid w:val="00DD4537"/>
    <w:rsid w:val="00DD4E15"/>
    <w:rsid w:val="00DD5928"/>
    <w:rsid w:val="00DD7C56"/>
    <w:rsid w:val="00DE10F4"/>
    <w:rsid w:val="00DE22B3"/>
    <w:rsid w:val="00DE2304"/>
    <w:rsid w:val="00DE28E2"/>
    <w:rsid w:val="00DE2C67"/>
    <w:rsid w:val="00DE2ED0"/>
    <w:rsid w:val="00DE3138"/>
    <w:rsid w:val="00DE3729"/>
    <w:rsid w:val="00DE37F8"/>
    <w:rsid w:val="00DE3D09"/>
    <w:rsid w:val="00DE41ED"/>
    <w:rsid w:val="00DE4273"/>
    <w:rsid w:val="00DE4FCB"/>
    <w:rsid w:val="00DE5724"/>
    <w:rsid w:val="00DE5D07"/>
    <w:rsid w:val="00DE5D2E"/>
    <w:rsid w:val="00DE5ECC"/>
    <w:rsid w:val="00DE5F77"/>
    <w:rsid w:val="00DE6B1A"/>
    <w:rsid w:val="00DE72A7"/>
    <w:rsid w:val="00DE72D3"/>
    <w:rsid w:val="00DE7832"/>
    <w:rsid w:val="00DF01CF"/>
    <w:rsid w:val="00DF0464"/>
    <w:rsid w:val="00DF090E"/>
    <w:rsid w:val="00DF0A11"/>
    <w:rsid w:val="00DF1272"/>
    <w:rsid w:val="00DF13EA"/>
    <w:rsid w:val="00DF1449"/>
    <w:rsid w:val="00DF16B9"/>
    <w:rsid w:val="00DF16ED"/>
    <w:rsid w:val="00DF18FC"/>
    <w:rsid w:val="00DF1D74"/>
    <w:rsid w:val="00DF291B"/>
    <w:rsid w:val="00DF2A9E"/>
    <w:rsid w:val="00DF3487"/>
    <w:rsid w:val="00DF3709"/>
    <w:rsid w:val="00DF4B2B"/>
    <w:rsid w:val="00DF5D2B"/>
    <w:rsid w:val="00DF6237"/>
    <w:rsid w:val="00DF6341"/>
    <w:rsid w:val="00DF683B"/>
    <w:rsid w:val="00DF77EE"/>
    <w:rsid w:val="00DF792D"/>
    <w:rsid w:val="00DF79A4"/>
    <w:rsid w:val="00E00E8E"/>
    <w:rsid w:val="00E015D7"/>
    <w:rsid w:val="00E01A78"/>
    <w:rsid w:val="00E02E8C"/>
    <w:rsid w:val="00E03C23"/>
    <w:rsid w:val="00E03CF0"/>
    <w:rsid w:val="00E03DE7"/>
    <w:rsid w:val="00E04B68"/>
    <w:rsid w:val="00E05630"/>
    <w:rsid w:val="00E06689"/>
    <w:rsid w:val="00E06DBB"/>
    <w:rsid w:val="00E07BA5"/>
    <w:rsid w:val="00E10149"/>
    <w:rsid w:val="00E101B0"/>
    <w:rsid w:val="00E10BED"/>
    <w:rsid w:val="00E10F72"/>
    <w:rsid w:val="00E1100E"/>
    <w:rsid w:val="00E11051"/>
    <w:rsid w:val="00E11340"/>
    <w:rsid w:val="00E11D2C"/>
    <w:rsid w:val="00E122A1"/>
    <w:rsid w:val="00E1335C"/>
    <w:rsid w:val="00E138CE"/>
    <w:rsid w:val="00E13CFF"/>
    <w:rsid w:val="00E140C0"/>
    <w:rsid w:val="00E14512"/>
    <w:rsid w:val="00E14B40"/>
    <w:rsid w:val="00E14EE1"/>
    <w:rsid w:val="00E16024"/>
    <w:rsid w:val="00E162B4"/>
    <w:rsid w:val="00E16372"/>
    <w:rsid w:val="00E16AD8"/>
    <w:rsid w:val="00E16E6D"/>
    <w:rsid w:val="00E17D72"/>
    <w:rsid w:val="00E17FFA"/>
    <w:rsid w:val="00E202A5"/>
    <w:rsid w:val="00E20A20"/>
    <w:rsid w:val="00E20AA3"/>
    <w:rsid w:val="00E20B72"/>
    <w:rsid w:val="00E20E4D"/>
    <w:rsid w:val="00E20ED6"/>
    <w:rsid w:val="00E21358"/>
    <w:rsid w:val="00E2181E"/>
    <w:rsid w:val="00E2249B"/>
    <w:rsid w:val="00E22A0D"/>
    <w:rsid w:val="00E22D96"/>
    <w:rsid w:val="00E244F6"/>
    <w:rsid w:val="00E2532A"/>
    <w:rsid w:val="00E258DB"/>
    <w:rsid w:val="00E25CFB"/>
    <w:rsid w:val="00E26D0C"/>
    <w:rsid w:val="00E2771E"/>
    <w:rsid w:val="00E27E74"/>
    <w:rsid w:val="00E3047C"/>
    <w:rsid w:val="00E311EF"/>
    <w:rsid w:val="00E32180"/>
    <w:rsid w:val="00E32213"/>
    <w:rsid w:val="00E32C72"/>
    <w:rsid w:val="00E33073"/>
    <w:rsid w:val="00E337C7"/>
    <w:rsid w:val="00E33C00"/>
    <w:rsid w:val="00E3424C"/>
    <w:rsid w:val="00E34305"/>
    <w:rsid w:val="00E34527"/>
    <w:rsid w:val="00E346A6"/>
    <w:rsid w:val="00E34948"/>
    <w:rsid w:val="00E34C69"/>
    <w:rsid w:val="00E34FD7"/>
    <w:rsid w:val="00E3554B"/>
    <w:rsid w:val="00E35DE7"/>
    <w:rsid w:val="00E3601E"/>
    <w:rsid w:val="00E3719A"/>
    <w:rsid w:val="00E37569"/>
    <w:rsid w:val="00E37B32"/>
    <w:rsid w:val="00E37CB7"/>
    <w:rsid w:val="00E37F68"/>
    <w:rsid w:val="00E401B2"/>
    <w:rsid w:val="00E40CD9"/>
    <w:rsid w:val="00E40E7A"/>
    <w:rsid w:val="00E417A4"/>
    <w:rsid w:val="00E41D7C"/>
    <w:rsid w:val="00E41E30"/>
    <w:rsid w:val="00E4256B"/>
    <w:rsid w:val="00E429BF"/>
    <w:rsid w:val="00E42F73"/>
    <w:rsid w:val="00E42FD7"/>
    <w:rsid w:val="00E43219"/>
    <w:rsid w:val="00E43D70"/>
    <w:rsid w:val="00E44153"/>
    <w:rsid w:val="00E44D1A"/>
    <w:rsid w:val="00E44F89"/>
    <w:rsid w:val="00E4515D"/>
    <w:rsid w:val="00E4528E"/>
    <w:rsid w:val="00E4529D"/>
    <w:rsid w:val="00E454B2"/>
    <w:rsid w:val="00E456A4"/>
    <w:rsid w:val="00E45B84"/>
    <w:rsid w:val="00E466F3"/>
    <w:rsid w:val="00E46C7C"/>
    <w:rsid w:val="00E47B2C"/>
    <w:rsid w:val="00E5025F"/>
    <w:rsid w:val="00E51560"/>
    <w:rsid w:val="00E51685"/>
    <w:rsid w:val="00E51821"/>
    <w:rsid w:val="00E53E8B"/>
    <w:rsid w:val="00E53F61"/>
    <w:rsid w:val="00E53FC8"/>
    <w:rsid w:val="00E5430F"/>
    <w:rsid w:val="00E54347"/>
    <w:rsid w:val="00E54862"/>
    <w:rsid w:val="00E55114"/>
    <w:rsid w:val="00E55424"/>
    <w:rsid w:val="00E55915"/>
    <w:rsid w:val="00E55BB5"/>
    <w:rsid w:val="00E5636F"/>
    <w:rsid w:val="00E565E1"/>
    <w:rsid w:val="00E567A7"/>
    <w:rsid w:val="00E567B9"/>
    <w:rsid w:val="00E57458"/>
    <w:rsid w:val="00E611DF"/>
    <w:rsid w:val="00E613D4"/>
    <w:rsid w:val="00E614B7"/>
    <w:rsid w:val="00E61B71"/>
    <w:rsid w:val="00E61FE8"/>
    <w:rsid w:val="00E620B4"/>
    <w:rsid w:val="00E6244E"/>
    <w:rsid w:val="00E62980"/>
    <w:rsid w:val="00E6301A"/>
    <w:rsid w:val="00E641A2"/>
    <w:rsid w:val="00E65E79"/>
    <w:rsid w:val="00E65F3D"/>
    <w:rsid w:val="00E660E6"/>
    <w:rsid w:val="00E665FD"/>
    <w:rsid w:val="00E66710"/>
    <w:rsid w:val="00E66BA2"/>
    <w:rsid w:val="00E67380"/>
    <w:rsid w:val="00E67416"/>
    <w:rsid w:val="00E67B42"/>
    <w:rsid w:val="00E67E23"/>
    <w:rsid w:val="00E704B9"/>
    <w:rsid w:val="00E71083"/>
    <w:rsid w:val="00E710C1"/>
    <w:rsid w:val="00E718B6"/>
    <w:rsid w:val="00E71BF4"/>
    <w:rsid w:val="00E723BA"/>
    <w:rsid w:val="00E723D4"/>
    <w:rsid w:val="00E7299E"/>
    <w:rsid w:val="00E73581"/>
    <w:rsid w:val="00E739DC"/>
    <w:rsid w:val="00E74548"/>
    <w:rsid w:val="00E746C0"/>
    <w:rsid w:val="00E7588C"/>
    <w:rsid w:val="00E75953"/>
    <w:rsid w:val="00E759CE"/>
    <w:rsid w:val="00E75B2C"/>
    <w:rsid w:val="00E75B68"/>
    <w:rsid w:val="00E75EDB"/>
    <w:rsid w:val="00E75F60"/>
    <w:rsid w:val="00E767E6"/>
    <w:rsid w:val="00E7688C"/>
    <w:rsid w:val="00E76D05"/>
    <w:rsid w:val="00E777EE"/>
    <w:rsid w:val="00E804CE"/>
    <w:rsid w:val="00E80674"/>
    <w:rsid w:val="00E80C1C"/>
    <w:rsid w:val="00E80C86"/>
    <w:rsid w:val="00E80E54"/>
    <w:rsid w:val="00E81B09"/>
    <w:rsid w:val="00E823CA"/>
    <w:rsid w:val="00E82D24"/>
    <w:rsid w:val="00E82F32"/>
    <w:rsid w:val="00E833F7"/>
    <w:rsid w:val="00E839E4"/>
    <w:rsid w:val="00E83BDF"/>
    <w:rsid w:val="00E840ED"/>
    <w:rsid w:val="00E843F6"/>
    <w:rsid w:val="00E847F9"/>
    <w:rsid w:val="00E85EA5"/>
    <w:rsid w:val="00E863E1"/>
    <w:rsid w:val="00E86FCC"/>
    <w:rsid w:val="00E8714E"/>
    <w:rsid w:val="00E87A1D"/>
    <w:rsid w:val="00E87C91"/>
    <w:rsid w:val="00E87CFD"/>
    <w:rsid w:val="00E9060B"/>
    <w:rsid w:val="00E9083B"/>
    <w:rsid w:val="00E9094A"/>
    <w:rsid w:val="00E90F86"/>
    <w:rsid w:val="00E9185B"/>
    <w:rsid w:val="00E91B58"/>
    <w:rsid w:val="00E91D35"/>
    <w:rsid w:val="00E91FFC"/>
    <w:rsid w:val="00E92060"/>
    <w:rsid w:val="00E926A5"/>
    <w:rsid w:val="00E92EDA"/>
    <w:rsid w:val="00E93459"/>
    <w:rsid w:val="00E93621"/>
    <w:rsid w:val="00E937B3"/>
    <w:rsid w:val="00E938DC"/>
    <w:rsid w:val="00E93F2D"/>
    <w:rsid w:val="00E93F32"/>
    <w:rsid w:val="00E941EC"/>
    <w:rsid w:val="00E94327"/>
    <w:rsid w:val="00E945B6"/>
    <w:rsid w:val="00E94B94"/>
    <w:rsid w:val="00E95A1F"/>
    <w:rsid w:val="00E962CC"/>
    <w:rsid w:val="00E966E3"/>
    <w:rsid w:val="00E9779F"/>
    <w:rsid w:val="00EA0275"/>
    <w:rsid w:val="00EA04A1"/>
    <w:rsid w:val="00EA15A3"/>
    <w:rsid w:val="00EA17C3"/>
    <w:rsid w:val="00EA1856"/>
    <w:rsid w:val="00EA1985"/>
    <w:rsid w:val="00EA20BC"/>
    <w:rsid w:val="00EA2CAA"/>
    <w:rsid w:val="00EA2E03"/>
    <w:rsid w:val="00EA3864"/>
    <w:rsid w:val="00EA4423"/>
    <w:rsid w:val="00EA48FF"/>
    <w:rsid w:val="00EA50ED"/>
    <w:rsid w:val="00EA524B"/>
    <w:rsid w:val="00EA572B"/>
    <w:rsid w:val="00EA5A7B"/>
    <w:rsid w:val="00EA5DA6"/>
    <w:rsid w:val="00EA5E7B"/>
    <w:rsid w:val="00EA6F4B"/>
    <w:rsid w:val="00EA7158"/>
    <w:rsid w:val="00EA7CC8"/>
    <w:rsid w:val="00EA7EE7"/>
    <w:rsid w:val="00EA7F1C"/>
    <w:rsid w:val="00EB121F"/>
    <w:rsid w:val="00EB15B6"/>
    <w:rsid w:val="00EB331D"/>
    <w:rsid w:val="00EB3D06"/>
    <w:rsid w:val="00EB48E8"/>
    <w:rsid w:val="00EB4916"/>
    <w:rsid w:val="00EB53AD"/>
    <w:rsid w:val="00EB595F"/>
    <w:rsid w:val="00EB6603"/>
    <w:rsid w:val="00EB6ACB"/>
    <w:rsid w:val="00EB6D21"/>
    <w:rsid w:val="00EB6E3D"/>
    <w:rsid w:val="00EB70BA"/>
    <w:rsid w:val="00EB7AED"/>
    <w:rsid w:val="00EB7F78"/>
    <w:rsid w:val="00EC00C9"/>
    <w:rsid w:val="00EC0462"/>
    <w:rsid w:val="00EC07D5"/>
    <w:rsid w:val="00EC09A9"/>
    <w:rsid w:val="00EC0B0B"/>
    <w:rsid w:val="00EC0DD9"/>
    <w:rsid w:val="00EC0FC3"/>
    <w:rsid w:val="00EC1B3D"/>
    <w:rsid w:val="00EC1FBC"/>
    <w:rsid w:val="00EC2649"/>
    <w:rsid w:val="00EC26E9"/>
    <w:rsid w:val="00EC31ED"/>
    <w:rsid w:val="00EC3F2A"/>
    <w:rsid w:val="00EC4F46"/>
    <w:rsid w:val="00EC52C2"/>
    <w:rsid w:val="00EC5836"/>
    <w:rsid w:val="00EC688C"/>
    <w:rsid w:val="00EC6F28"/>
    <w:rsid w:val="00ED12E3"/>
    <w:rsid w:val="00ED2946"/>
    <w:rsid w:val="00ED2972"/>
    <w:rsid w:val="00ED322D"/>
    <w:rsid w:val="00ED3E99"/>
    <w:rsid w:val="00ED4B04"/>
    <w:rsid w:val="00ED57EA"/>
    <w:rsid w:val="00ED5BD4"/>
    <w:rsid w:val="00ED5CC6"/>
    <w:rsid w:val="00ED6062"/>
    <w:rsid w:val="00ED60A1"/>
    <w:rsid w:val="00ED6170"/>
    <w:rsid w:val="00ED634E"/>
    <w:rsid w:val="00ED64CE"/>
    <w:rsid w:val="00ED7E50"/>
    <w:rsid w:val="00EE07D3"/>
    <w:rsid w:val="00EE0B1F"/>
    <w:rsid w:val="00EE1078"/>
    <w:rsid w:val="00EE1996"/>
    <w:rsid w:val="00EE1C01"/>
    <w:rsid w:val="00EE22AF"/>
    <w:rsid w:val="00EE30A2"/>
    <w:rsid w:val="00EE44B3"/>
    <w:rsid w:val="00EE4616"/>
    <w:rsid w:val="00EE5808"/>
    <w:rsid w:val="00EE5874"/>
    <w:rsid w:val="00EE6AE8"/>
    <w:rsid w:val="00EE6C75"/>
    <w:rsid w:val="00EE6CBD"/>
    <w:rsid w:val="00EE7C71"/>
    <w:rsid w:val="00EF009C"/>
    <w:rsid w:val="00EF0171"/>
    <w:rsid w:val="00EF0B3A"/>
    <w:rsid w:val="00EF0FE0"/>
    <w:rsid w:val="00EF1852"/>
    <w:rsid w:val="00EF1942"/>
    <w:rsid w:val="00EF1B25"/>
    <w:rsid w:val="00EF1DA0"/>
    <w:rsid w:val="00EF1EDD"/>
    <w:rsid w:val="00EF4747"/>
    <w:rsid w:val="00EF4BF8"/>
    <w:rsid w:val="00EF5236"/>
    <w:rsid w:val="00EF69FA"/>
    <w:rsid w:val="00EF6CEF"/>
    <w:rsid w:val="00EF7DBE"/>
    <w:rsid w:val="00EF7FB3"/>
    <w:rsid w:val="00F005CC"/>
    <w:rsid w:val="00F0163D"/>
    <w:rsid w:val="00F01721"/>
    <w:rsid w:val="00F01F32"/>
    <w:rsid w:val="00F02253"/>
    <w:rsid w:val="00F02B4F"/>
    <w:rsid w:val="00F03148"/>
    <w:rsid w:val="00F0324B"/>
    <w:rsid w:val="00F035F4"/>
    <w:rsid w:val="00F03C2E"/>
    <w:rsid w:val="00F03C6F"/>
    <w:rsid w:val="00F04A66"/>
    <w:rsid w:val="00F04B4B"/>
    <w:rsid w:val="00F0516C"/>
    <w:rsid w:val="00F058C8"/>
    <w:rsid w:val="00F05B76"/>
    <w:rsid w:val="00F067A2"/>
    <w:rsid w:val="00F06848"/>
    <w:rsid w:val="00F06F00"/>
    <w:rsid w:val="00F070E1"/>
    <w:rsid w:val="00F07462"/>
    <w:rsid w:val="00F07B9E"/>
    <w:rsid w:val="00F105D3"/>
    <w:rsid w:val="00F1116F"/>
    <w:rsid w:val="00F11516"/>
    <w:rsid w:val="00F11B3D"/>
    <w:rsid w:val="00F1262F"/>
    <w:rsid w:val="00F1263A"/>
    <w:rsid w:val="00F12DD0"/>
    <w:rsid w:val="00F139C5"/>
    <w:rsid w:val="00F13E85"/>
    <w:rsid w:val="00F13EC0"/>
    <w:rsid w:val="00F14085"/>
    <w:rsid w:val="00F1598C"/>
    <w:rsid w:val="00F15B77"/>
    <w:rsid w:val="00F15BC3"/>
    <w:rsid w:val="00F167A4"/>
    <w:rsid w:val="00F17A32"/>
    <w:rsid w:val="00F17E58"/>
    <w:rsid w:val="00F20A4E"/>
    <w:rsid w:val="00F21236"/>
    <w:rsid w:val="00F22A8F"/>
    <w:rsid w:val="00F22C3A"/>
    <w:rsid w:val="00F22CDF"/>
    <w:rsid w:val="00F230A4"/>
    <w:rsid w:val="00F24837"/>
    <w:rsid w:val="00F2575F"/>
    <w:rsid w:val="00F25AC9"/>
    <w:rsid w:val="00F26057"/>
    <w:rsid w:val="00F260D4"/>
    <w:rsid w:val="00F26E72"/>
    <w:rsid w:val="00F273C1"/>
    <w:rsid w:val="00F27565"/>
    <w:rsid w:val="00F303D0"/>
    <w:rsid w:val="00F30E23"/>
    <w:rsid w:val="00F310D4"/>
    <w:rsid w:val="00F31122"/>
    <w:rsid w:val="00F31743"/>
    <w:rsid w:val="00F317E0"/>
    <w:rsid w:val="00F31CDC"/>
    <w:rsid w:val="00F31D5A"/>
    <w:rsid w:val="00F3239B"/>
    <w:rsid w:val="00F323D9"/>
    <w:rsid w:val="00F334EA"/>
    <w:rsid w:val="00F334FE"/>
    <w:rsid w:val="00F33975"/>
    <w:rsid w:val="00F33DE9"/>
    <w:rsid w:val="00F34299"/>
    <w:rsid w:val="00F35AEF"/>
    <w:rsid w:val="00F35E6D"/>
    <w:rsid w:val="00F3619A"/>
    <w:rsid w:val="00F36909"/>
    <w:rsid w:val="00F36A05"/>
    <w:rsid w:val="00F36AB3"/>
    <w:rsid w:val="00F37297"/>
    <w:rsid w:val="00F37D48"/>
    <w:rsid w:val="00F406DF"/>
    <w:rsid w:val="00F40AAA"/>
    <w:rsid w:val="00F40BA7"/>
    <w:rsid w:val="00F40E0C"/>
    <w:rsid w:val="00F40F9D"/>
    <w:rsid w:val="00F41144"/>
    <w:rsid w:val="00F414C5"/>
    <w:rsid w:val="00F4150F"/>
    <w:rsid w:val="00F416BB"/>
    <w:rsid w:val="00F41ACD"/>
    <w:rsid w:val="00F41CA3"/>
    <w:rsid w:val="00F41F45"/>
    <w:rsid w:val="00F4208F"/>
    <w:rsid w:val="00F422BC"/>
    <w:rsid w:val="00F4395A"/>
    <w:rsid w:val="00F44469"/>
    <w:rsid w:val="00F44538"/>
    <w:rsid w:val="00F4495E"/>
    <w:rsid w:val="00F44AB0"/>
    <w:rsid w:val="00F45335"/>
    <w:rsid w:val="00F4643A"/>
    <w:rsid w:val="00F46CB6"/>
    <w:rsid w:val="00F4743E"/>
    <w:rsid w:val="00F4756D"/>
    <w:rsid w:val="00F47DE8"/>
    <w:rsid w:val="00F5058C"/>
    <w:rsid w:val="00F507DE"/>
    <w:rsid w:val="00F509CF"/>
    <w:rsid w:val="00F50F1D"/>
    <w:rsid w:val="00F512AB"/>
    <w:rsid w:val="00F52319"/>
    <w:rsid w:val="00F5284A"/>
    <w:rsid w:val="00F542C1"/>
    <w:rsid w:val="00F543E3"/>
    <w:rsid w:val="00F543E4"/>
    <w:rsid w:val="00F54985"/>
    <w:rsid w:val="00F54A02"/>
    <w:rsid w:val="00F54FE4"/>
    <w:rsid w:val="00F54FE9"/>
    <w:rsid w:val="00F550E3"/>
    <w:rsid w:val="00F5511F"/>
    <w:rsid w:val="00F55ADE"/>
    <w:rsid w:val="00F55BC1"/>
    <w:rsid w:val="00F55CAD"/>
    <w:rsid w:val="00F55E0B"/>
    <w:rsid w:val="00F55E73"/>
    <w:rsid w:val="00F55EDA"/>
    <w:rsid w:val="00F561B4"/>
    <w:rsid w:val="00F568A0"/>
    <w:rsid w:val="00F56C80"/>
    <w:rsid w:val="00F56CF2"/>
    <w:rsid w:val="00F56E5B"/>
    <w:rsid w:val="00F57BCA"/>
    <w:rsid w:val="00F57F7C"/>
    <w:rsid w:val="00F60092"/>
    <w:rsid w:val="00F60468"/>
    <w:rsid w:val="00F618A6"/>
    <w:rsid w:val="00F61C18"/>
    <w:rsid w:val="00F63B8F"/>
    <w:rsid w:val="00F64DFC"/>
    <w:rsid w:val="00F651BC"/>
    <w:rsid w:val="00F657CC"/>
    <w:rsid w:val="00F65816"/>
    <w:rsid w:val="00F65A46"/>
    <w:rsid w:val="00F65C02"/>
    <w:rsid w:val="00F65F4B"/>
    <w:rsid w:val="00F661E0"/>
    <w:rsid w:val="00F66234"/>
    <w:rsid w:val="00F6698E"/>
    <w:rsid w:val="00F66FDB"/>
    <w:rsid w:val="00F67A69"/>
    <w:rsid w:val="00F70BFF"/>
    <w:rsid w:val="00F70C9D"/>
    <w:rsid w:val="00F71B72"/>
    <w:rsid w:val="00F723E9"/>
    <w:rsid w:val="00F73852"/>
    <w:rsid w:val="00F73E08"/>
    <w:rsid w:val="00F744AB"/>
    <w:rsid w:val="00F74CD9"/>
    <w:rsid w:val="00F74FD1"/>
    <w:rsid w:val="00F7595B"/>
    <w:rsid w:val="00F76101"/>
    <w:rsid w:val="00F7656D"/>
    <w:rsid w:val="00F7686A"/>
    <w:rsid w:val="00F776C8"/>
    <w:rsid w:val="00F77742"/>
    <w:rsid w:val="00F8055A"/>
    <w:rsid w:val="00F80A7B"/>
    <w:rsid w:val="00F80E5D"/>
    <w:rsid w:val="00F8184C"/>
    <w:rsid w:val="00F81E78"/>
    <w:rsid w:val="00F824BF"/>
    <w:rsid w:val="00F82DA4"/>
    <w:rsid w:val="00F82F27"/>
    <w:rsid w:val="00F8334C"/>
    <w:rsid w:val="00F835C8"/>
    <w:rsid w:val="00F83916"/>
    <w:rsid w:val="00F83A42"/>
    <w:rsid w:val="00F8442C"/>
    <w:rsid w:val="00F844EE"/>
    <w:rsid w:val="00F84A65"/>
    <w:rsid w:val="00F84C69"/>
    <w:rsid w:val="00F851AF"/>
    <w:rsid w:val="00F851CE"/>
    <w:rsid w:val="00F854EC"/>
    <w:rsid w:val="00F8592F"/>
    <w:rsid w:val="00F86872"/>
    <w:rsid w:val="00F869F2"/>
    <w:rsid w:val="00F875D7"/>
    <w:rsid w:val="00F909E2"/>
    <w:rsid w:val="00F90A08"/>
    <w:rsid w:val="00F91219"/>
    <w:rsid w:val="00F918CE"/>
    <w:rsid w:val="00F91959"/>
    <w:rsid w:val="00F92444"/>
    <w:rsid w:val="00F92BA2"/>
    <w:rsid w:val="00F92E83"/>
    <w:rsid w:val="00F9379A"/>
    <w:rsid w:val="00F9393E"/>
    <w:rsid w:val="00F941C8"/>
    <w:rsid w:val="00F94346"/>
    <w:rsid w:val="00F94FAC"/>
    <w:rsid w:val="00F94FD5"/>
    <w:rsid w:val="00F9517F"/>
    <w:rsid w:val="00F95782"/>
    <w:rsid w:val="00F957B8"/>
    <w:rsid w:val="00F96F2F"/>
    <w:rsid w:val="00F96FD0"/>
    <w:rsid w:val="00F97A78"/>
    <w:rsid w:val="00F97D63"/>
    <w:rsid w:val="00F97EA5"/>
    <w:rsid w:val="00FA02D8"/>
    <w:rsid w:val="00FA0B20"/>
    <w:rsid w:val="00FA0FD6"/>
    <w:rsid w:val="00FA1DE8"/>
    <w:rsid w:val="00FA1FE4"/>
    <w:rsid w:val="00FA2149"/>
    <w:rsid w:val="00FA220E"/>
    <w:rsid w:val="00FA24E7"/>
    <w:rsid w:val="00FA2875"/>
    <w:rsid w:val="00FA2B37"/>
    <w:rsid w:val="00FA301D"/>
    <w:rsid w:val="00FA3383"/>
    <w:rsid w:val="00FA3D0F"/>
    <w:rsid w:val="00FA4290"/>
    <w:rsid w:val="00FA489A"/>
    <w:rsid w:val="00FA4EA4"/>
    <w:rsid w:val="00FA5747"/>
    <w:rsid w:val="00FA5EE6"/>
    <w:rsid w:val="00FA61D4"/>
    <w:rsid w:val="00FA7956"/>
    <w:rsid w:val="00FB0482"/>
    <w:rsid w:val="00FB0824"/>
    <w:rsid w:val="00FB0CE1"/>
    <w:rsid w:val="00FB195A"/>
    <w:rsid w:val="00FB2140"/>
    <w:rsid w:val="00FB2DF5"/>
    <w:rsid w:val="00FB2FCB"/>
    <w:rsid w:val="00FB3F08"/>
    <w:rsid w:val="00FB4646"/>
    <w:rsid w:val="00FB4A4E"/>
    <w:rsid w:val="00FB4C9C"/>
    <w:rsid w:val="00FB5E99"/>
    <w:rsid w:val="00FB62CB"/>
    <w:rsid w:val="00FB67E7"/>
    <w:rsid w:val="00FB6F4E"/>
    <w:rsid w:val="00FB75BB"/>
    <w:rsid w:val="00FB7C55"/>
    <w:rsid w:val="00FB7CF8"/>
    <w:rsid w:val="00FC015C"/>
    <w:rsid w:val="00FC0841"/>
    <w:rsid w:val="00FC104E"/>
    <w:rsid w:val="00FC1074"/>
    <w:rsid w:val="00FC1553"/>
    <w:rsid w:val="00FC1884"/>
    <w:rsid w:val="00FC1A06"/>
    <w:rsid w:val="00FC3256"/>
    <w:rsid w:val="00FC3680"/>
    <w:rsid w:val="00FC371D"/>
    <w:rsid w:val="00FC3B76"/>
    <w:rsid w:val="00FC4615"/>
    <w:rsid w:val="00FC4E61"/>
    <w:rsid w:val="00FC5F0B"/>
    <w:rsid w:val="00FC64AF"/>
    <w:rsid w:val="00FC69A4"/>
    <w:rsid w:val="00FC6FDC"/>
    <w:rsid w:val="00FD1BCC"/>
    <w:rsid w:val="00FD1EEB"/>
    <w:rsid w:val="00FD2100"/>
    <w:rsid w:val="00FD238A"/>
    <w:rsid w:val="00FD2880"/>
    <w:rsid w:val="00FD3071"/>
    <w:rsid w:val="00FD436C"/>
    <w:rsid w:val="00FD446D"/>
    <w:rsid w:val="00FD4908"/>
    <w:rsid w:val="00FD4BE5"/>
    <w:rsid w:val="00FD4F2C"/>
    <w:rsid w:val="00FD5687"/>
    <w:rsid w:val="00FD6394"/>
    <w:rsid w:val="00FD6CDE"/>
    <w:rsid w:val="00FD72EC"/>
    <w:rsid w:val="00FD7634"/>
    <w:rsid w:val="00FE019C"/>
    <w:rsid w:val="00FE05AC"/>
    <w:rsid w:val="00FE0673"/>
    <w:rsid w:val="00FE0E6C"/>
    <w:rsid w:val="00FE1319"/>
    <w:rsid w:val="00FE16EF"/>
    <w:rsid w:val="00FE1CDC"/>
    <w:rsid w:val="00FE1F15"/>
    <w:rsid w:val="00FE3301"/>
    <w:rsid w:val="00FE345C"/>
    <w:rsid w:val="00FE3E27"/>
    <w:rsid w:val="00FE4B14"/>
    <w:rsid w:val="00FE521D"/>
    <w:rsid w:val="00FE5771"/>
    <w:rsid w:val="00FE596D"/>
    <w:rsid w:val="00FE6170"/>
    <w:rsid w:val="00FE63DC"/>
    <w:rsid w:val="00FE6B78"/>
    <w:rsid w:val="00FE70C3"/>
    <w:rsid w:val="00FE77A7"/>
    <w:rsid w:val="00FF026E"/>
    <w:rsid w:val="00FF04A3"/>
    <w:rsid w:val="00FF08C4"/>
    <w:rsid w:val="00FF108F"/>
    <w:rsid w:val="00FF11D4"/>
    <w:rsid w:val="00FF1A8B"/>
    <w:rsid w:val="00FF2AD9"/>
    <w:rsid w:val="00FF359F"/>
    <w:rsid w:val="00FF3B1B"/>
    <w:rsid w:val="00FF3DCF"/>
    <w:rsid w:val="00FF4534"/>
    <w:rsid w:val="00FF46EE"/>
    <w:rsid w:val="00FF492C"/>
    <w:rsid w:val="00FF4A21"/>
    <w:rsid w:val="00FF4DF0"/>
    <w:rsid w:val="00FF5AA3"/>
    <w:rsid w:val="00FF5AD8"/>
    <w:rsid w:val="00FF5CFB"/>
    <w:rsid w:val="00FF627E"/>
    <w:rsid w:val="00FF7666"/>
    <w:rsid w:val="02D4B9DE"/>
    <w:rsid w:val="02E55871"/>
    <w:rsid w:val="0474B2B4"/>
    <w:rsid w:val="048EC3A8"/>
    <w:rsid w:val="04F1C1B9"/>
    <w:rsid w:val="0576665C"/>
    <w:rsid w:val="086E3F62"/>
    <w:rsid w:val="089C5B83"/>
    <w:rsid w:val="09C86E20"/>
    <w:rsid w:val="0AA1DCE7"/>
    <w:rsid w:val="0B8CB613"/>
    <w:rsid w:val="0C169955"/>
    <w:rsid w:val="0C8BB504"/>
    <w:rsid w:val="0D0C0310"/>
    <w:rsid w:val="0DDD68BE"/>
    <w:rsid w:val="0E52FD6A"/>
    <w:rsid w:val="0E5847A1"/>
    <w:rsid w:val="0F7FEBA6"/>
    <w:rsid w:val="0FCD5E39"/>
    <w:rsid w:val="1030EEA6"/>
    <w:rsid w:val="10319C6A"/>
    <w:rsid w:val="10D33B19"/>
    <w:rsid w:val="10DF0B01"/>
    <w:rsid w:val="10F7BEDC"/>
    <w:rsid w:val="113CB58F"/>
    <w:rsid w:val="114E3869"/>
    <w:rsid w:val="11D27423"/>
    <w:rsid w:val="11E1CCB4"/>
    <w:rsid w:val="1247B50D"/>
    <w:rsid w:val="1352A93B"/>
    <w:rsid w:val="139D907A"/>
    <w:rsid w:val="145BF844"/>
    <w:rsid w:val="154BA3B1"/>
    <w:rsid w:val="15FB3609"/>
    <w:rsid w:val="16AD53C7"/>
    <w:rsid w:val="16CE5546"/>
    <w:rsid w:val="18021FAE"/>
    <w:rsid w:val="19619335"/>
    <w:rsid w:val="196A6B15"/>
    <w:rsid w:val="1B4BF865"/>
    <w:rsid w:val="1BC3B31A"/>
    <w:rsid w:val="1C68F60C"/>
    <w:rsid w:val="1C6D1F11"/>
    <w:rsid w:val="1CE8BCA8"/>
    <w:rsid w:val="1D692E55"/>
    <w:rsid w:val="1D69D8E6"/>
    <w:rsid w:val="1E70EF8F"/>
    <w:rsid w:val="1ED47C6C"/>
    <w:rsid w:val="1F0D0916"/>
    <w:rsid w:val="1F758717"/>
    <w:rsid w:val="1FDCA536"/>
    <w:rsid w:val="209AD425"/>
    <w:rsid w:val="20AEAF5C"/>
    <w:rsid w:val="20FCEBCF"/>
    <w:rsid w:val="2164CB81"/>
    <w:rsid w:val="22C56F88"/>
    <w:rsid w:val="2381A7B1"/>
    <w:rsid w:val="24A54643"/>
    <w:rsid w:val="2512FC60"/>
    <w:rsid w:val="255ABA2B"/>
    <w:rsid w:val="2589C9F9"/>
    <w:rsid w:val="25BAA536"/>
    <w:rsid w:val="26312930"/>
    <w:rsid w:val="26BF2DDE"/>
    <w:rsid w:val="26C38435"/>
    <w:rsid w:val="27618E77"/>
    <w:rsid w:val="276831DC"/>
    <w:rsid w:val="27B6C8E5"/>
    <w:rsid w:val="28BC43A6"/>
    <w:rsid w:val="292C49E2"/>
    <w:rsid w:val="2982926F"/>
    <w:rsid w:val="29BD5DED"/>
    <w:rsid w:val="2A0BA748"/>
    <w:rsid w:val="2A557AE5"/>
    <w:rsid w:val="2A96649F"/>
    <w:rsid w:val="2C45A9D2"/>
    <w:rsid w:val="2C5BBC68"/>
    <w:rsid w:val="2C89BEDC"/>
    <w:rsid w:val="2CEFC79B"/>
    <w:rsid w:val="2D42793F"/>
    <w:rsid w:val="2D66CBE5"/>
    <w:rsid w:val="2DCDE895"/>
    <w:rsid w:val="2EAF5A3E"/>
    <w:rsid w:val="2FAF37CF"/>
    <w:rsid w:val="305F9834"/>
    <w:rsid w:val="30B452C7"/>
    <w:rsid w:val="30F9BA11"/>
    <w:rsid w:val="312974A0"/>
    <w:rsid w:val="31CB792C"/>
    <w:rsid w:val="33322D10"/>
    <w:rsid w:val="34C44912"/>
    <w:rsid w:val="35B0F047"/>
    <w:rsid w:val="36AFA17F"/>
    <w:rsid w:val="36C23611"/>
    <w:rsid w:val="36FA2E59"/>
    <w:rsid w:val="37295055"/>
    <w:rsid w:val="38358AF5"/>
    <w:rsid w:val="38720D95"/>
    <w:rsid w:val="3890249E"/>
    <w:rsid w:val="3978B5D9"/>
    <w:rsid w:val="3A6CF73B"/>
    <w:rsid w:val="3A934B75"/>
    <w:rsid w:val="3BCA47D4"/>
    <w:rsid w:val="3C24C305"/>
    <w:rsid w:val="3D0E7A4A"/>
    <w:rsid w:val="3D336D54"/>
    <w:rsid w:val="3D44915A"/>
    <w:rsid w:val="3D6DAF63"/>
    <w:rsid w:val="3DA8F8FD"/>
    <w:rsid w:val="3E3C67E2"/>
    <w:rsid w:val="3EA4CC7D"/>
    <w:rsid w:val="3F3F4E80"/>
    <w:rsid w:val="3F50AE7B"/>
    <w:rsid w:val="40728B58"/>
    <w:rsid w:val="421AB841"/>
    <w:rsid w:val="42E6069A"/>
    <w:rsid w:val="4373C984"/>
    <w:rsid w:val="439DB762"/>
    <w:rsid w:val="43C077B5"/>
    <w:rsid w:val="4437FBF1"/>
    <w:rsid w:val="4454C2B1"/>
    <w:rsid w:val="44C2C50D"/>
    <w:rsid w:val="459F766B"/>
    <w:rsid w:val="45C1C0A3"/>
    <w:rsid w:val="462F7F83"/>
    <w:rsid w:val="4694E241"/>
    <w:rsid w:val="4880D7FF"/>
    <w:rsid w:val="48CDEC4C"/>
    <w:rsid w:val="48DC7BEA"/>
    <w:rsid w:val="4A112F86"/>
    <w:rsid w:val="4B06B967"/>
    <w:rsid w:val="4B3BDA10"/>
    <w:rsid w:val="4BBC2BD6"/>
    <w:rsid w:val="4C694A56"/>
    <w:rsid w:val="4D0C4B63"/>
    <w:rsid w:val="4D7FE6E1"/>
    <w:rsid w:val="4EC1AF0A"/>
    <w:rsid w:val="4EDE95F9"/>
    <w:rsid w:val="4F5C5BF4"/>
    <w:rsid w:val="4FEEFD41"/>
    <w:rsid w:val="50B130C8"/>
    <w:rsid w:val="51ACA2D1"/>
    <w:rsid w:val="51C9308C"/>
    <w:rsid w:val="52230F06"/>
    <w:rsid w:val="525B4E83"/>
    <w:rsid w:val="52978895"/>
    <w:rsid w:val="53395CBD"/>
    <w:rsid w:val="53D2CA6D"/>
    <w:rsid w:val="54291EC0"/>
    <w:rsid w:val="5553B05C"/>
    <w:rsid w:val="55F1BD59"/>
    <w:rsid w:val="56120F89"/>
    <w:rsid w:val="5757D9EB"/>
    <w:rsid w:val="595926E3"/>
    <w:rsid w:val="5A990AAF"/>
    <w:rsid w:val="5BF136C9"/>
    <w:rsid w:val="5C911101"/>
    <w:rsid w:val="5FE8E24B"/>
    <w:rsid w:val="605F959D"/>
    <w:rsid w:val="609E9103"/>
    <w:rsid w:val="6105C617"/>
    <w:rsid w:val="6158F850"/>
    <w:rsid w:val="61E74DDB"/>
    <w:rsid w:val="61F95ACB"/>
    <w:rsid w:val="625B9CA9"/>
    <w:rsid w:val="62639385"/>
    <w:rsid w:val="62D69652"/>
    <w:rsid w:val="62D9A934"/>
    <w:rsid w:val="62E1231E"/>
    <w:rsid w:val="63A581E2"/>
    <w:rsid w:val="644F63F8"/>
    <w:rsid w:val="647A13DC"/>
    <w:rsid w:val="652EAF6E"/>
    <w:rsid w:val="65310E9D"/>
    <w:rsid w:val="65FB690A"/>
    <w:rsid w:val="672395C2"/>
    <w:rsid w:val="67793A96"/>
    <w:rsid w:val="682AB515"/>
    <w:rsid w:val="6A11DC19"/>
    <w:rsid w:val="6B470433"/>
    <w:rsid w:val="6B7B538A"/>
    <w:rsid w:val="6C12A036"/>
    <w:rsid w:val="6F709AB6"/>
    <w:rsid w:val="6FF03CD3"/>
    <w:rsid w:val="70791426"/>
    <w:rsid w:val="7086FC72"/>
    <w:rsid w:val="7175065C"/>
    <w:rsid w:val="720A52C7"/>
    <w:rsid w:val="72496189"/>
    <w:rsid w:val="725183EA"/>
    <w:rsid w:val="725995E3"/>
    <w:rsid w:val="72E7FB42"/>
    <w:rsid w:val="731C778D"/>
    <w:rsid w:val="737CB245"/>
    <w:rsid w:val="738D3E4B"/>
    <w:rsid w:val="7410FFCD"/>
    <w:rsid w:val="7449384B"/>
    <w:rsid w:val="74DF7ABD"/>
    <w:rsid w:val="75C717CB"/>
    <w:rsid w:val="7662EF45"/>
    <w:rsid w:val="7752DFD2"/>
    <w:rsid w:val="77D9AEE1"/>
    <w:rsid w:val="77EDA109"/>
    <w:rsid w:val="7811EE6D"/>
    <w:rsid w:val="78928C53"/>
    <w:rsid w:val="78963D4F"/>
    <w:rsid w:val="78B891DE"/>
    <w:rsid w:val="78F69328"/>
    <w:rsid w:val="79E15BCC"/>
    <w:rsid w:val="7A59D51F"/>
    <w:rsid w:val="7B49E8D5"/>
    <w:rsid w:val="7D102BF7"/>
    <w:rsid w:val="7D7E8232"/>
    <w:rsid w:val="7E6B0DB8"/>
    <w:rsid w:val="7F8576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5"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6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aliases w:val="- H37,ASAPHeading 5,p5,DO NOT USE"/>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BB00B3"/>
    <w:pPr>
      <w:numPr>
        <w:numId w:val="4"/>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Section 3- footnotes,Lash Style Table,HTAtableplain,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3"/>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2"/>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paragraph" w:styleId="FootnoteText">
    <w:name w:val="footnote text"/>
    <w:basedOn w:val="Normal"/>
    <w:link w:val="FootnoteTextChar"/>
    <w:semiHidden/>
    <w:unhideWhenUsed/>
    <w:rsid w:val="00445B3A"/>
    <w:rPr>
      <w:sz w:val="20"/>
      <w:szCs w:val="20"/>
    </w:rPr>
  </w:style>
  <w:style w:type="character" w:customStyle="1" w:styleId="FootnoteTextChar">
    <w:name w:val="Footnote Text Char"/>
    <w:basedOn w:val="DefaultParagraphFont"/>
    <w:link w:val="FootnoteText"/>
    <w:semiHidden/>
    <w:rsid w:val="00445B3A"/>
    <w:rPr>
      <w:rFonts w:ascii="Calibri" w:hAnsi="Calibri" w:cs="Arial"/>
    </w:rPr>
  </w:style>
  <w:style w:type="character" w:styleId="FootnoteReference">
    <w:name w:val="footnote reference"/>
    <w:basedOn w:val="DefaultParagraphFont"/>
    <w:semiHidden/>
    <w:unhideWhenUsed/>
    <w:rsid w:val="00445B3A"/>
    <w:rPr>
      <w:vertAlign w:val="superscript"/>
    </w:rPr>
  </w:style>
  <w:style w:type="paragraph" w:styleId="ListNumber">
    <w:name w:val="List Number"/>
    <w:basedOn w:val="Normal"/>
    <w:uiPriority w:val="16"/>
    <w:qFormat/>
    <w:rsid w:val="00F8055A"/>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aliases w:val="Char1"/>
    <w:basedOn w:val="Normal"/>
    <w:uiPriority w:val="16"/>
    <w:qFormat/>
    <w:rsid w:val="00F8055A"/>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F8055A"/>
    <w:pPr>
      <w:numPr>
        <w:numId w:val="8"/>
      </w:numPr>
    </w:pPr>
  </w:style>
  <w:style w:type="paragraph" w:styleId="ListNumber3">
    <w:name w:val="List Number 3"/>
    <w:aliases w:val="Char"/>
    <w:basedOn w:val="Normal"/>
    <w:uiPriority w:val="16"/>
    <w:qFormat/>
    <w:rsid w:val="00F8055A"/>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F8055A"/>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character" w:customStyle="1" w:styleId="Heading1Char">
    <w:name w:val="Heading 1 Char"/>
    <w:basedOn w:val="DefaultParagraphFont"/>
    <w:link w:val="Heading1"/>
    <w:uiPriority w:val="1"/>
    <w:rsid w:val="00CE3128"/>
    <w:rPr>
      <w:rFonts w:ascii="Calibri" w:hAnsi="Calibri" w:cs="Arial"/>
      <w:b/>
      <w:caps/>
      <w:sz w:val="32"/>
      <w:szCs w:val="24"/>
    </w:rPr>
  </w:style>
  <w:style w:type="character" w:customStyle="1" w:styleId="Heading3Char">
    <w:name w:val="Heading 3 Char"/>
    <w:basedOn w:val="DefaultParagraphFont"/>
    <w:link w:val="Heading3"/>
    <w:rsid w:val="00CE3128"/>
    <w:rPr>
      <w:rFonts w:ascii="Calibri" w:hAnsi="Calibri" w:cs="Arial"/>
      <w:sz w:val="24"/>
      <w:szCs w:val="24"/>
      <w:u w:val="single"/>
    </w:rPr>
  </w:style>
  <w:style w:type="character" w:customStyle="1" w:styleId="Heading4Char">
    <w:name w:val="Heading 4 Char"/>
    <w:basedOn w:val="DefaultParagraphFont"/>
    <w:link w:val="Heading4"/>
    <w:rsid w:val="00CE3128"/>
    <w:rPr>
      <w:rFonts w:ascii="Calibri" w:hAnsi="Calibri" w:cs="Arial"/>
      <w:b/>
      <w:bCs/>
      <w:i/>
      <w:sz w:val="26"/>
      <w:szCs w:val="28"/>
    </w:rPr>
  </w:style>
  <w:style w:type="character" w:customStyle="1" w:styleId="Heading5Char">
    <w:name w:val="Heading 5 Char"/>
    <w:aliases w:val="- H37 Char,ASAPHeading 5 Char,p5 Char,DO NOT USE Char"/>
    <w:basedOn w:val="DefaultParagraphFont"/>
    <w:link w:val="Heading5"/>
    <w:uiPriority w:val="9"/>
    <w:rsid w:val="00CE3128"/>
    <w:rPr>
      <w:rFonts w:ascii="Calibri" w:hAnsi="Calibri" w:cs="Arial"/>
      <w:b/>
      <w:bCs/>
      <w:iCs/>
      <w:sz w:val="26"/>
      <w:szCs w:val="26"/>
    </w:rPr>
  </w:style>
  <w:style w:type="character" w:customStyle="1" w:styleId="Heading6Char">
    <w:name w:val="Heading 6 Char"/>
    <w:basedOn w:val="DefaultParagraphFont"/>
    <w:link w:val="Heading6"/>
    <w:rsid w:val="00CE3128"/>
    <w:rPr>
      <w:rFonts w:ascii="Calibri" w:hAnsi="Calibri" w:cs="Arial"/>
      <w:b/>
      <w:bCs/>
      <w:i/>
      <w:sz w:val="24"/>
      <w:szCs w:val="24"/>
    </w:rPr>
  </w:style>
  <w:style w:type="character" w:styleId="Mention">
    <w:name w:val="Mention"/>
    <w:basedOn w:val="DefaultParagraphFont"/>
    <w:uiPriority w:val="99"/>
    <w:unhideWhenUsed/>
    <w:rsid w:val="00A038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8761641">
      <w:bodyDiv w:val="1"/>
      <w:marLeft w:val="0"/>
      <w:marRight w:val="0"/>
      <w:marTop w:val="0"/>
      <w:marBottom w:val="0"/>
      <w:divBdr>
        <w:top w:val="none" w:sz="0" w:space="0" w:color="auto"/>
        <w:left w:val="none" w:sz="0" w:space="0" w:color="auto"/>
        <w:bottom w:val="none" w:sz="0" w:space="0" w:color="auto"/>
        <w:right w:val="none" w:sz="0" w:space="0" w:color="auto"/>
      </w:divBdr>
    </w:div>
    <w:div w:id="265432234">
      <w:bodyDiv w:val="1"/>
      <w:marLeft w:val="0"/>
      <w:marRight w:val="0"/>
      <w:marTop w:val="0"/>
      <w:marBottom w:val="0"/>
      <w:divBdr>
        <w:top w:val="none" w:sz="0" w:space="0" w:color="auto"/>
        <w:left w:val="none" w:sz="0" w:space="0" w:color="auto"/>
        <w:bottom w:val="none" w:sz="0" w:space="0" w:color="auto"/>
        <w:right w:val="none" w:sz="0" w:space="0" w:color="auto"/>
      </w:divBdr>
    </w:div>
    <w:div w:id="304898949">
      <w:bodyDiv w:val="1"/>
      <w:marLeft w:val="0"/>
      <w:marRight w:val="0"/>
      <w:marTop w:val="0"/>
      <w:marBottom w:val="0"/>
      <w:divBdr>
        <w:top w:val="none" w:sz="0" w:space="0" w:color="auto"/>
        <w:left w:val="none" w:sz="0" w:space="0" w:color="auto"/>
        <w:bottom w:val="none" w:sz="0" w:space="0" w:color="auto"/>
        <w:right w:val="none" w:sz="0" w:space="0" w:color="auto"/>
      </w:divBdr>
      <w:divsChild>
        <w:div w:id="1519194153">
          <w:marLeft w:val="360"/>
          <w:marRight w:val="0"/>
          <w:marTop w:val="0"/>
          <w:marBottom w:val="0"/>
          <w:divBdr>
            <w:top w:val="none" w:sz="0" w:space="0" w:color="auto"/>
            <w:left w:val="none" w:sz="0" w:space="0" w:color="auto"/>
            <w:bottom w:val="none" w:sz="0" w:space="0" w:color="auto"/>
            <w:right w:val="none" w:sz="0" w:space="0" w:color="auto"/>
          </w:divBdr>
        </w:div>
        <w:div w:id="1560282097">
          <w:marLeft w:val="36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6540236">
      <w:bodyDiv w:val="1"/>
      <w:marLeft w:val="0"/>
      <w:marRight w:val="0"/>
      <w:marTop w:val="0"/>
      <w:marBottom w:val="0"/>
      <w:divBdr>
        <w:top w:val="none" w:sz="0" w:space="0" w:color="auto"/>
        <w:left w:val="none" w:sz="0" w:space="0" w:color="auto"/>
        <w:bottom w:val="none" w:sz="0" w:space="0" w:color="auto"/>
        <w:right w:val="none" w:sz="0" w:space="0" w:color="auto"/>
      </w:divBdr>
    </w:div>
    <w:div w:id="514535821">
      <w:bodyDiv w:val="1"/>
      <w:marLeft w:val="0"/>
      <w:marRight w:val="0"/>
      <w:marTop w:val="0"/>
      <w:marBottom w:val="0"/>
      <w:divBdr>
        <w:top w:val="none" w:sz="0" w:space="0" w:color="auto"/>
        <w:left w:val="none" w:sz="0" w:space="0" w:color="auto"/>
        <w:bottom w:val="none" w:sz="0" w:space="0" w:color="auto"/>
        <w:right w:val="none" w:sz="0" w:space="0" w:color="auto"/>
      </w:divBdr>
    </w:div>
    <w:div w:id="527765849">
      <w:bodyDiv w:val="1"/>
      <w:marLeft w:val="0"/>
      <w:marRight w:val="0"/>
      <w:marTop w:val="0"/>
      <w:marBottom w:val="0"/>
      <w:divBdr>
        <w:top w:val="none" w:sz="0" w:space="0" w:color="auto"/>
        <w:left w:val="none" w:sz="0" w:space="0" w:color="auto"/>
        <w:bottom w:val="none" w:sz="0" w:space="0" w:color="auto"/>
        <w:right w:val="none" w:sz="0" w:space="0" w:color="auto"/>
      </w:divBdr>
    </w:div>
    <w:div w:id="675503863">
      <w:bodyDiv w:val="1"/>
      <w:marLeft w:val="0"/>
      <w:marRight w:val="0"/>
      <w:marTop w:val="0"/>
      <w:marBottom w:val="0"/>
      <w:divBdr>
        <w:top w:val="none" w:sz="0" w:space="0" w:color="auto"/>
        <w:left w:val="none" w:sz="0" w:space="0" w:color="auto"/>
        <w:bottom w:val="none" w:sz="0" w:space="0" w:color="auto"/>
        <w:right w:val="none" w:sz="0" w:space="0" w:color="auto"/>
      </w:divBdr>
    </w:div>
    <w:div w:id="73762787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5698657">
      <w:bodyDiv w:val="1"/>
      <w:marLeft w:val="0"/>
      <w:marRight w:val="0"/>
      <w:marTop w:val="0"/>
      <w:marBottom w:val="0"/>
      <w:divBdr>
        <w:top w:val="none" w:sz="0" w:space="0" w:color="auto"/>
        <w:left w:val="none" w:sz="0" w:space="0" w:color="auto"/>
        <w:bottom w:val="none" w:sz="0" w:space="0" w:color="auto"/>
        <w:right w:val="none" w:sz="0" w:space="0" w:color="auto"/>
      </w:divBdr>
    </w:div>
    <w:div w:id="106476413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2182229">
      <w:bodyDiv w:val="1"/>
      <w:marLeft w:val="0"/>
      <w:marRight w:val="0"/>
      <w:marTop w:val="0"/>
      <w:marBottom w:val="0"/>
      <w:divBdr>
        <w:top w:val="none" w:sz="0" w:space="0" w:color="auto"/>
        <w:left w:val="none" w:sz="0" w:space="0" w:color="auto"/>
        <w:bottom w:val="none" w:sz="0" w:space="0" w:color="auto"/>
        <w:right w:val="none" w:sz="0" w:space="0" w:color="auto"/>
      </w:divBdr>
    </w:div>
    <w:div w:id="1264802183">
      <w:bodyDiv w:val="1"/>
      <w:marLeft w:val="0"/>
      <w:marRight w:val="0"/>
      <w:marTop w:val="0"/>
      <w:marBottom w:val="0"/>
      <w:divBdr>
        <w:top w:val="none" w:sz="0" w:space="0" w:color="auto"/>
        <w:left w:val="none" w:sz="0" w:space="0" w:color="auto"/>
        <w:bottom w:val="none" w:sz="0" w:space="0" w:color="auto"/>
        <w:right w:val="none" w:sz="0" w:space="0" w:color="auto"/>
      </w:divBdr>
    </w:div>
    <w:div w:id="1334645490">
      <w:bodyDiv w:val="1"/>
      <w:marLeft w:val="0"/>
      <w:marRight w:val="0"/>
      <w:marTop w:val="0"/>
      <w:marBottom w:val="0"/>
      <w:divBdr>
        <w:top w:val="none" w:sz="0" w:space="0" w:color="auto"/>
        <w:left w:val="none" w:sz="0" w:space="0" w:color="auto"/>
        <w:bottom w:val="none" w:sz="0" w:space="0" w:color="auto"/>
        <w:right w:val="none" w:sz="0" w:space="0" w:color="auto"/>
      </w:divBdr>
    </w:div>
    <w:div w:id="1339233399">
      <w:bodyDiv w:val="1"/>
      <w:marLeft w:val="0"/>
      <w:marRight w:val="0"/>
      <w:marTop w:val="0"/>
      <w:marBottom w:val="0"/>
      <w:divBdr>
        <w:top w:val="none" w:sz="0" w:space="0" w:color="auto"/>
        <w:left w:val="none" w:sz="0" w:space="0" w:color="auto"/>
        <w:bottom w:val="none" w:sz="0" w:space="0" w:color="auto"/>
        <w:right w:val="none" w:sz="0" w:space="0" w:color="auto"/>
      </w:divBdr>
    </w:div>
    <w:div w:id="1498762345">
      <w:bodyDiv w:val="1"/>
      <w:marLeft w:val="0"/>
      <w:marRight w:val="0"/>
      <w:marTop w:val="0"/>
      <w:marBottom w:val="0"/>
      <w:divBdr>
        <w:top w:val="none" w:sz="0" w:space="0" w:color="auto"/>
        <w:left w:val="none" w:sz="0" w:space="0" w:color="auto"/>
        <w:bottom w:val="none" w:sz="0" w:space="0" w:color="auto"/>
        <w:right w:val="none" w:sz="0" w:space="0" w:color="auto"/>
      </w:divBdr>
    </w:div>
    <w:div w:id="1552500414">
      <w:bodyDiv w:val="1"/>
      <w:marLeft w:val="0"/>
      <w:marRight w:val="0"/>
      <w:marTop w:val="0"/>
      <w:marBottom w:val="0"/>
      <w:divBdr>
        <w:top w:val="none" w:sz="0" w:space="0" w:color="auto"/>
        <w:left w:val="none" w:sz="0" w:space="0" w:color="auto"/>
        <w:bottom w:val="none" w:sz="0" w:space="0" w:color="auto"/>
        <w:right w:val="none" w:sz="0" w:space="0" w:color="auto"/>
      </w:divBdr>
    </w:div>
    <w:div w:id="1597785578">
      <w:bodyDiv w:val="1"/>
      <w:marLeft w:val="0"/>
      <w:marRight w:val="0"/>
      <w:marTop w:val="0"/>
      <w:marBottom w:val="0"/>
      <w:divBdr>
        <w:top w:val="none" w:sz="0" w:space="0" w:color="auto"/>
        <w:left w:val="none" w:sz="0" w:space="0" w:color="auto"/>
        <w:bottom w:val="none" w:sz="0" w:space="0" w:color="auto"/>
        <w:right w:val="none" w:sz="0" w:space="0" w:color="auto"/>
      </w:divBdr>
      <w:divsChild>
        <w:div w:id="589966158">
          <w:marLeft w:val="1080"/>
          <w:marRight w:val="0"/>
          <w:marTop w:val="100"/>
          <w:marBottom w:val="0"/>
          <w:divBdr>
            <w:top w:val="none" w:sz="0" w:space="0" w:color="auto"/>
            <w:left w:val="none" w:sz="0" w:space="0" w:color="auto"/>
            <w:bottom w:val="none" w:sz="0" w:space="0" w:color="auto"/>
            <w:right w:val="none" w:sz="0" w:space="0" w:color="auto"/>
          </w:divBdr>
        </w:div>
        <w:div w:id="1238129897">
          <w:marLeft w:val="1080"/>
          <w:marRight w:val="0"/>
          <w:marTop w:val="100"/>
          <w:marBottom w:val="0"/>
          <w:divBdr>
            <w:top w:val="none" w:sz="0" w:space="0" w:color="auto"/>
            <w:left w:val="none" w:sz="0" w:space="0" w:color="auto"/>
            <w:bottom w:val="none" w:sz="0" w:space="0" w:color="auto"/>
            <w:right w:val="none" w:sz="0" w:space="0" w:color="auto"/>
          </w:divBdr>
        </w:div>
        <w:div w:id="1336760198">
          <w:marLeft w:val="1800"/>
          <w:marRight w:val="0"/>
          <w:marTop w:val="100"/>
          <w:marBottom w:val="0"/>
          <w:divBdr>
            <w:top w:val="none" w:sz="0" w:space="0" w:color="auto"/>
            <w:left w:val="none" w:sz="0" w:space="0" w:color="auto"/>
            <w:bottom w:val="none" w:sz="0" w:space="0" w:color="auto"/>
            <w:right w:val="none" w:sz="0" w:space="0" w:color="auto"/>
          </w:divBdr>
        </w:div>
        <w:div w:id="1658342340">
          <w:marLeft w:val="360"/>
          <w:marRight w:val="0"/>
          <w:marTop w:val="200"/>
          <w:marBottom w:val="0"/>
          <w:divBdr>
            <w:top w:val="none" w:sz="0" w:space="0" w:color="auto"/>
            <w:left w:val="none" w:sz="0" w:space="0" w:color="auto"/>
            <w:bottom w:val="none" w:sz="0" w:space="0" w:color="auto"/>
            <w:right w:val="none" w:sz="0" w:space="0" w:color="auto"/>
          </w:divBdr>
        </w:div>
        <w:div w:id="1771662756">
          <w:marLeft w:val="360"/>
          <w:marRight w:val="0"/>
          <w:marTop w:val="200"/>
          <w:marBottom w:val="0"/>
          <w:divBdr>
            <w:top w:val="none" w:sz="0" w:space="0" w:color="auto"/>
            <w:left w:val="none" w:sz="0" w:space="0" w:color="auto"/>
            <w:bottom w:val="none" w:sz="0" w:space="0" w:color="auto"/>
            <w:right w:val="none" w:sz="0" w:space="0" w:color="auto"/>
          </w:divBdr>
        </w:div>
        <w:div w:id="2010789022">
          <w:marLeft w:val="360"/>
          <w:marRight w:val="0"/>
          <w:marTop w:val="200"/>
          <w:marBottom w:val="0"/>
          <w:divBdr>
            <w:top w:val="none" w:sz="0" w:space="0" w:color="auto"/>
            <w:left w:val="none" w:sz="0" w:space="0" w:color="auto"/>
            <w:bottom w:val="none" w:sz="0" w:space="0" w:color="auto"/>
            <w:right w:val="none" w:sz="0" w:space="0" w:color="auto"/>
          </w:divBdr>
        </w:div>
        <w:div w:id="2092966747">
          <w:marLeft w:val="360"/>
          <w:marRight w:val="0"/>
          <w:marTop w:val="200"/>
          <w:marBottom w:val="0"/>
          <w:divBdr>
            <w:top w:val="none" w:sz="0" w:space="0" w:color="auto"/>
            <w:left w:val="none" w:sz="0" w:space="0" w:color="auto"/>
            <w:bottom w:val="none" w:sz="0" w:space="0" w:color="auto"/>
            <w:right w:val="none" w:sz="0" w:space="0" w:color="auto"/>
          </w:divBdr>
        </w:div>
      </w:divsChild>
    </w:div>
    <w:div w:id="1683775190">
      <w:bodyDiv w:val="1"/>
      <w:marLeft w:val="0"/>
      <w:marRight w:val="0"/>
      <w:marTop w:val="0"/>
      <w:marBottom w:val="0"/>
      <w:divBdr>
        <w:top w:val="none" w:sz="0" w:space="0" w:color="auto"/>
        <w:left w:val="none" w:sz="0" w:space="0" w:color="auto"/>
        <w:bottom w:val="none" w:sz="0" w:space="0" w:color="auto"/>
        <w:right w:val="none" w:sz="0" w:space="0" w:color="auto"/>
      </w:divBdr>
    </w:div>
    <w:div w:id="1752502120">
      <w:bodyDiv w:val="1"/>
      <w:marLeft w:val="0"/>
      <w:marRight w:val="0"/>
      <w:marTop w:val="0"/>
      <w:marBottom w:val="0"/>
      <w:divBdr>
        <w:top w:val="none" w:sz="0" w:space="0" w:color="auto"/>
        <w:left w:val="none" w:sz="0" w:space="0" w:color="auto"/>
        <w:bottom w:val="none" w:sz="0" w:space="0" w:color="auto"/>
        <w:right w:val="none" w:sz="0" w:space="0" w:color="auto"/>
      </w:divBdr>
    </w:div>
    <w:div w:id="18388870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00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522AA-2048-4BA4-B641-28C7FC33D0FE}">
  <ds:schemaRefs>
    <ds:schemaRef ds:uri="http://schemas.microsoft.com/sharepoint/v3/contenttype/forms"/>
  </ds:schemaRefs>
</ds:datastoreItem>
</file>

<file path=customXml/itemProps2.xml><?xml version="1.0" encoding="utf-8"?>
<ds:datastoreItem xmlns:ds="http://schemas.openxmlformats.org/officeDocument/2006/customXml" ds:itemID="{BEC7694E-6CDC-489A-8F86-EE122C5B38E1}">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2f95629-adac-4ec1-8738-e1cec852b92b"/>
    <ds:schemaRef ds:uri="7f856f8d-13b3-495a-9a4b-41f8182eda4c"/>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4FF729D1-43DA-4E79-ADC5-D23519EAC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19563</Words>
  <Characters>109021</Characters>
  <Application>Microsoft Office Word</Application>
  <DocSecurity>0</DocSecurity>
  <Lines>3634</Lines>
  <Paragraphs>2472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2025-10-27T22:43:00Z</dcterms:created>
  <dcterms:modified xsi:type="dcterms:W3CDTF">2025-10-27T22:43:00Z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68b7d57e,4f6d0b57,6f82126a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4a926002,62053443,6b455bc4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2025-09-29T23:41:43Z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5cec720f-5b2e-48e6-862f-79a472a2b49c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SIP_Label_2c56a699-e9bd-437a-8412-901342082749_Name">
    <vt:lpwstr>2c56a699-e9bd-437a-8412-901342082749</vt:lpwstr>
  </property>
  <property fmtid="{D5CDD505-2E9C-101B-9397-08002B2CF9AE}" pid="18" name="MSIP_Label_2c56a699-e9bd-437a-8412-901342082749_Enabled">
    <vt:lpwstr>true</vt:lpwstr>
  </property>
  <property fmtid="{D5CDD505-2E9C-101B-9397-08002B2CF9AE}" pid="19" name="MediaServiceImageTags">
    <vt:lpwstr/>
  </property>
  <property fmtid="{D5CDD505-2E9C-101B-9397-08002B2CF9AE}" pid="20" name="ContentTypeId">
    <vt:lpwstr>0x0101007FED174C5281F747A8037A05221D6DBD</vt:lpwstr>
  </property>
  <property fmtid="{D5CDD505-2E9C-101B-9397-08002B2CF9AE}" pid="21" name="MSIP_Label_2c56a699-e9bd-437a-8412-901342082749_ContentBits">
    <vt:lpwstr>1</vt:lpwstr>
  </property>
  <property fmtid="{D5CDD505-2E9C-101B-9397-08002B2CF9AE}" pid="22" name="MSIP_Label_2c56a699-e9bd-437a-8412-901342082749_SetDate">
    <vt:lpwstr>2025-09-19T05:03:19Z</vt:lpwstr>
  </property>
  <property fmtid="{D5CDD505-2E9C-101B-9397-08002B2CF9AE}" pid="23" name="_NewReviewCycle">
    <vt:lpwstr/>
  </property>
  <property fmtid="{D5CDD505-2E9C-101B-9397-08002B2CF9AE}" pid="24" name="MSIP_Label_2c56a699-e9bd-437a-8412-901342082749_ActionId">
    <vt:lpwstr>abb7bdec-ca3b-49a1-99b4-deadb9b99fba</vt:lpwstr>
  </property>
  <property fmtid="{D5CDD505-2E9C-101B-9397-08002B2CF9AE}" pid="25" name="_ReviewingToolsShownOnce">
    <vt:lpwstr/>
  </property>
  <property fmtid="{D5CDD505-2E9C-101B-9397-08002B2CF9AE}" pid="26" name="MSIP_Label_2c56a699-e9bd-437a-8412-901342082749_Tag">
    <vt:lpwstr>10, 0, 1, 1</vt:lpwstr>
  </property>
  <property fmtid="{D5CDD505-2E9C-101B-9397-08002B2CF9AE}" pid="27" name="MSIP_Label_7cd3e8b9-ffed-43a8-b7f4-cc2fa0382d36_Extended_MSFT_Method">
    <vt:lpwstr>Standard</vt:lpwstr>
  </property>
  <property fmtid="{D5CDD505-2E9C-101B-9397-08002B2CF9AE}" pid="28" name="MSIP_Label_2c56a699-e9bd-437a-8412-901342082749_Method">
    <vt:lpwstr>Privileged</vt:lpwstr>
  </property>
  <property fmtid="{D5CDD505-2E9C-101B-9397-08002B2CF9AE}" pid="29" name="MSIP_Label_2c56a699-e9bd-437a-8412-901342082749_SiteId">
    <vt:lpwstr>a00de4ec-48a8-43a6-be74-e31274e2060d</vt:lpwstr>
  </property>
  <property fmtid="{D5CDD505-2E9C-101B-9397-08002B2CF9AE}" pid="30" name="_AdHocReviewCycleID">
    <vt:i4>-1841532529</vt:i4>
  </property>
</Properties>
</file>