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8682679" w:rsidR="00B60939" w:rsidRPr="0098262F" w:rsidRDefault="002A0480" w:rsidP="009D09F4">
      <w:pPr>
        <w:pStyle w:val="1-MainHeading"/>
        <w:keepNext w:val="0"/>
      </w:pPr>
      <w:bookmarkStart w:id="0" w:name="_Toc198734207"/>
      <w:r>
        <w:t>5.10</w:t>
      </w:r>
      <w:r w:rsidR="00163F66" w:rsidRPr="0098262F">
        <w:tab/>
      </w:r>
      <w:r w:rsidR="00055978">
        <w:t>PEGUNIGALSIDASE ALFA</w:t>
      </w:r>
      <w:r w:rsidR="00055978" w:rsidRPr="0098262F">
        <w:t>,</w:t>
      </w:r>
      <w:r w:rsidR="00055978" w:rsidRPr="0098262F">
        <w:br/>
      </w:r>
      <w:r w:rsidR="00055978" w:rsidRPr="001F721D">
        <w:t>Solution for I.V. injection</w:t>
      </w:r>
      <w:r w:rsidR="00055978" w:rsidRPr="0098262F">
        <w:t>,</w:t>
      </w:r>
      <w:r w:rsidR="00055978" w:rsidRPr="0098262F">
        <w:br/>
      </w:r>
      <w:r w:rsidR="00055978" w:rsidRPr="001F721D">
        <w:t>20 mg in 10 mL vial</w:t>
      </w:r>
      <w:r w:rsidR="00055978" w:rsidRPr="0098262F">
        <w:t>,</w:t>
      </w:r>
      <w:r w:rsidR="00055978" w:rsidRPr="0098262F">
        <w:br/>
      </w:r>
      <w:r w:rsidR="00055978" w:rsidRPr="001F721D">
        <w:t>Elfabrio</w:t>
      </w:r>
      <w:r w:rsidR="00055978" w:rsidRPr="0098262F">
        <w:rPr>
          <w:vertAlign w:val="superscript"/>
        </w:rPr>
        <w:t>®</w:t>
      </w:r>
      <w:r w:rsidR="00055978" w:rsidRPr="0098262F">
        <w:t>,</w:t>
      </w:r>
      <w:r w:rsidR="00055978" w:rsidRPr="0098262F">
        <w:br/>
      </w:r>
      <w:r w:rsidR="009B72DF" w:rsidRPr="001F721D">
        <w:t>C</w:t>
      </w:r>
      <w:r w:rsidR="009B72DF">
        <w:t>hiesi</w:t>
      </w:r>
      <w:r w:rsidR="009B72DF" w:rsidRPr="001F721D">
        <w:t xml:space="preserve"> A</w:t>
      </w:r>
      <w:r w:rsidR="009B72DF">
        <w:t>ustralia</w:t>
      </w:r>
      <w:r w:rsidR="009B72DF" w:rsidRPr="001F721D">
        <w:t xml:space="preserve"> </w:t>
      </w:r>
      <w:r w:rsidR="00055978" w:rsidRPr="001F721D">
        <w:t>P</w:t>
      </w:r>
      <w:r w:rsidR="009B72DF">
        <w:t>ty</w:t>
      </w:r>
      <w:r w:rsidR="00055978" w:rsidRPr="001F721D">
        <w:t xml:space="preserve"> L</w:t>
      </w:r>
      <w:r w:rsidR="009B72DF">
        <w:t>td</w:t>
      </w:r>
      <w:bookmarkEnd w:id="0"/>
    </w:p>
    <w:p w14:paraId="11C00795" w14:textId="3DFB6D23" w:rsidR="00B50DB8" w:rsidRPr="0098262F" w:rsidRDefault="00B50DB8" w:rsidP="009D09F4">
      <w:pPr>
        <w:pStyle w:val="2-SectionHeading"/>
        <w:keepNext w:val="0"/>
      </w:pPr>
      <w:bookmarkStart w:id="1" w:name="_Toc198734209"/>
      <w:r w:rsidRPr="0098262F">
        <w:t xml:space="preserve">Purpose of </w:t>
      </w:r>
      <w:r w:rsidR="00CD7193" w:rsidRPr="0098262F">
        <w:t>s</w:t>
      </w:r>
      <w:r w:rsidR="00BB3A45" w:rsidRPr="0098262F">
        <w:t>ubmission</w:t>
      </w:r>
      <w:bookmarkEnd w:id="1"/>
    </w:p>
    <w:p w14:paraId="74B55B46" w14:textId="77777777" w:rsidR="00767EF2" w:rsidRPr="0098262F" w:rsidRDefault="00767EF2" w:rsidP="009D09F4">
      <w:pPr>
        <w:pStyle w:val="3-BodyText"/>
      </w:pPr>
      <w:r>
        <w:t xml:space="preserve">The Category 2 submission requested a Section 100 (Highly Specialised Drugs Program) Authority Required (Written) listing for the treatment of Fabry disease (FD). </w:t>
      </w:r>
    </w:p>
    <w:p w14:paraId="6C7B7FAB" w14:textId="2E63BB54" w:rsidR="00767EF2" w:rsidRPr="003B13EC" w:rsidRDefault="00F64436" w:rsidP="009D09F4">
      <w:pPr>
        <w:pStyle w:val="3-BodyText"/>
      </w:pPr>
      <w:r>
        <w:t>The submission stated that l</w:t>
      </w:r>
      <w:r w:rsidR="00767EF2">
        <w:t>isting was requested on the basis of a cost-minimisation approach versus migalastat</w:t>
      </w:r>
      <w:r w:rsidR="0034224A">
        <w:t xml:space="preserve">, with a request for a price premium of </w:t>
      </w:r>
      <w:r w:rsidR="0067772E" w:rsidRPr="00F3513A">
        <w:rPr>
          <w:color w:val="000000"/>
          <w:w w:val="15"/>
          <w:shd w:val="solid" w:color="000000" w:fill="000000"/>
          <w:fitText w:val="-20" w:id="-628909568"/>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68"/>
          <w14:textFill>
            <w14:solidFill>
              <w14:srgbClr w14:val="000000">
                <w14:alpha w14:val="100000"/>
              </w14:srgbClr>
            </w14:solidFill>
          </w14:textFill>
        </w:rPr>
        <w:t>|</w:t>
      </w:r>
      <w:r w:rsidR="0034224A">
        <w:t>%</w:t>
      </w:r>
      <w:r w:rsidR="00E7462F">
        <w:t xml:space="preserve"> over the estimated annual cost of migalastat</w:t>
      </w:r>
      <w:r w:rsidR="00767EF2">
        <w:t xml:space="preserve">. </w:t>
      </w:r>
      <w:r w:rsidR="00767EF2" w:rsidRPr="003B13EC">
        <w:t>The submission did not present a cost-minimisation approach to the proposed main comparators (agalsidase alfa and agalsidase beta)</w:t>
      </w:r>
      <w:r w:rsidR="004315D1" w:rsidRPr="003B13EC">
        <w:t>,</w:t>
      </w:r>
      <w:r w:rsidR="00767EF2" w:rsidRPr="003B13EC">
        <w:t xml:space="preserve"> claiming that both medications are currently listed on the Life Saving Drugs Program (LSDP) and have not demonstrated cost-effectiveness </w:t>
      </w:r>
      <w:r w:rsidR="00F85CFF" w:rsidRPr="003B13EC">
        <w:t>in past</w:t>
      </w:r>
      <w:r w:rsidR="00F00703" w:rsidRPr="003B13EC">
        <w:t xml:space="preserve"> consideration by the</w:t>
      </w:r>
      <w:r w:rsidR="00767EF2" w:rsidRPr="003B13EC">
        <w:t xml:space="preserve"> Pharmaceutical Benefits Advisory Committee (PBAC).</w:t>
      </w:r>
      <w:r w:rsidR="42BC7927" w:rsidRPr="003B13EC">
        <w:t xml:space="preserve"> This was appropriate.</w:t>
      </w:r>
    </w:p>
    <w:p w14:paraId="58DDAB0C" w14:textId="079C41F8" w:rsidR="00767EF2" w:rsidRPr="0098262F" w:rsidRDefault="00767EF2" w:rsidP="009D09F4">
      <w:pPr>
        <w:pStyle w:val="TableFigureHeading"/>
        <w:rPr>
          <w:rStyle w:val="CommentReference"/>
          <w:b/>
          <w:szCs w:val="24"/>
        </w:rPr>
      </w:pPr>
      <w:r w:rsidRPr="0098262F">
        <w:lastRenderedPageBreak/>
        <w:t xml:space="preserve">Table </w:t>
      </w:r>
      <w:r>
        <w:fldChar w:fldCharType="begin" w:fldLock="1"/>
      </w:r>
      <w:r>
        <w:instrText>SEQ Table \* ARABIC</w:instrText>
      </w:r>
      <w:r>
        <w:fldChar w:fldCharType="separate"/>
      </w:r>
      <w:r w:rsidR="004E7462">
        <w:rPr>
          <w:noProof/>
        </w:rPr>
        <w:t>1</w:t>
      </w:r>
      <w:r>
        <w:fldChar w:fldCharType="end"/>
      </w:r>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767EF2" w:rsidRPr="0098262F" w14:paraId="7634CC6A" w14:textId="77777777" w:rsidTr="00BC70B7">
        <w:trPr>
          <w:cantSplit/>
          <w:tblHeader/>
        </w:trPr>
        <w:tc>
          <w:tcPr>
            <w:tcW w:w="729" w:type="pct"/>
          </w:tcPr>
          <w:p w14:paraId="4AF7C2CD" w14:textId="77777777" w:rsidR="00767EF2" w:rsidRPr="00D2098F" w:rsidRDefault="00767EF2" w:rsidP="009D09F4">
            <w:pPr>
              <w:pStyle w:val="In-tableHeading"/>
              <w:rPr>
                <w:szCs w:val="20"/>
                <w:lang w:val="en-AU"/>
              </w:rPr>
            </w:pPr>
            <w:r w:rsidRPr="00D2098F">
              <w:rPr>
                <w:lang w:val="en-AU"/>
              </w:rPr>
              <w:t>Component</w:t>
            </w:r>
          </w:p>
        </w:tc>
        <w:tc>
          <w:tcPr>
            <w:tcW w:w="4271" w:type="pct"/>
          </w:tcPr>
          <w:p w14:paraId="1DF90B57" w14:textId="77777777" w:rsidR="00767EF2" w:rsidRPr="00D2098F" w:rsidRDefault="00767EF2" w:rsidP="009D09F4">
            <w:pPr>
              <w:pStyle w:val="In-tableHeading"/>
              <w:rPr>
                <w:lang w:val="en-AU"/>
              </w:rPr>
            </w:pPr>
            <w:r w:rsidRPr="00D2098F">
              <w:rPr>
                <w:lang w:val="en-AU"/>
              </w:rPr>
              <w:t>Description</w:t>
            </w:r>
          </w:p>
        </w:tc>
      </w:tr>
      <w:tr w:rsidR="00767EF2" w:rsidRPr="0098262F" w14:paraId="28709C37" w14:textId="77777777" w:rsidTr="00BC70B7">
        <w:trPr>
          <w:cantSplit/>
        </w:trPr>
        <w:tc>
          <w:tcPr>
            <w:tcW w:w="729" w:type="pct"/>
          </w:tcPr>
          <w:p w14:paraId="6292E71B" w14:textId="77777777" w:rsidR="00767EF2" w:rsidRPr="0098262F" w:rsidRDefault="00767EF2" w:rsidP="0009520E">
            <w:pPr>
              <w:pStyle w:val="TableText0"/>
            </w:pPr>
            <w:r w:rsidRPr="0098262F">
              <w:t>Population</w:t>
            </w:r>
          </w:p>
        </w:tc>
        <w:tc>
          <w:tcPr>
            <w:tcW w:w="4271" w:type="pct"/>
            <w:vAlign w:val="center"/>
          </w:tcPr>
          <w:p w14:paraId="38B8E687" w14:textId="77777777" w:rsidR="00767EF2" w:rsidRPr="0098262F" w:rsidRDefault="00767EF2" w:rsidP="0009520E">
            <w:pPr>
              <w:pStyle w:val="TableText0"/>
            </w:pPr>
            <w:r w:rsidRPr="00CB1DE4">
              <w:t>Adults with confirmed Fabry disease</w:t>
            </w:r>
          </w:p>
        </w:tc>
      </w:tr>
      <w:tr w:rsidR="00767EF2" w:rsidRPr="0098262F" w14:paraId="525F17F8" w14:textId="77777777" w:rsidTr="00BC70B7">
        <w:trPr>
          <w:cantSplit/>
        </w:trPr>
        <w:tc>
          <w:tcPr>
            <w:tcW w:w="729" w:type="pct"/>
          </w:tcPr>
          <w:p w14:paraId="0325B54A" w14:textId="77777777" w:rsidR="00767EF2" w:rsidRPr="0098262F" w:rsidRDefault="00767EF2" w:rsidP="0009520E">
            <w:pPr>
              <w:pStyle w:val="TableText0"/>
            </w:pPr>
            <w:r w:rsidRPr="0098262F">
              <w:t>Intervention</w:t>
            </w:r>
          </w:p>
        </w:tc>
        <w:tc>
          <w:tcPr>
            <w:tcW w:w="4271" w:type="pct"/>
            <w:vAlign w:val="center"/>
          </w:tcPr>
          <w:p w14:paraId="58A87A0D" w14:textId="77777777" w:rsidR="00767EF2" w:rsidRPr="0098262F" w:rsidRDefault="00767EF2" w:rsidP="0009520E">
            <w:pPr>
              <w:pStyle w:val="TableText0"/>
            </w:pPr>
            <w:r w:rsidRPr="009441AE">
              <w:t xml:space="preserve">Pegunigalsidase alfa </w:t>
            </w:r>
          </w:p>
        </w:tc>
      </w:tr>
      <w:tr w:rsidR="00767EF2" w:rsidRPr="0098262F" w14:paraId="12889D09" w14:textId="77777777" w:rsidTr="00BC70B7">
        <w:trPr>
          <w:cantSplit/>
        </w:trPr>
        <w:tc>
          <w:tcPr>
            <w:tcW w:w="729" w:type="pct"/>
          </w:tcPr>
          <w:p w14:paraId="25276E5F" w14:textId="77777777" w:rsidR="00767EF2" w:rsidRPr="0098262F" w:rsidRDefault="00767EF2" w:rsidP="0009520E">
            <w:pPr>
              <w:pStyle w:val="TableText0"/>
            </w:pPr>
            <w:r w:rsidRPr="0098262F">
              <w:t>Comparator</w:t>
            </w:r>
          </w:p>
        </w:tc>
        <w:tc>
          <w:tcPr>
            <w:tcW w:w="4271" w:type="pct"/>
            <w:vAlign w:val="center"/>
          </w:tcPr>
          <w:p w14:paraId="74C1EDDA" w14:textId="77777777" w:rsidR="00767EF2" w:rsidRDefault="00767EF2" w:rsidP="0009520E">
            <w:pPr>
              <w:pStyle w:val="TableText0"/>
            </w:pPr>
            <w:r>
              <w:t>Clinical comparator</w:t>
            </w:r>
          </w:p>
          <w:p w14:paraId="4ECEBF01" w14:textId="77777777" w:rsidR="00767EF2" w:rsidRDefault="00767EF2" w:rsidP="00372B81">
            <w:pPr>
              <w:pStyle w:val="TableText0"/>
              <w:numPr>
                <w:ilvl w:val="0"/>
                <w:numId w:val="7"/>
              </w:numPr>
            </w:pPr>
            <w:r>
              <w:t>Current enzyme replacement therapy (ERT), agalsidase alfa and agalsidase beta</w:t>
            </w:r>
          </w:p>
          <w:p w14:paraId="6C82581C" w14:textId="77777777" w:rsidR="00767EF2" w:rsidRDefault="00767EF2" w:rsidP="0009520E">
            <w:pPr>
              <w:pStyle w:val="TableText0"/>
            </w:pPr>
            <w:r>
              <w:t>Secondary comparator</w:t>
            </w:r>
          </w:p>
          <w:p w14:paraId="5F7B26B3" w14:textId="77777777" w:rsidR="00767EF2" w:rsidRPr="0098262F" w:rsidRDefault="00767EF2" w:rsidP="00372B81">
            <w:pPr>
              <w:pStyle w:val="TableText0"/>
              <w:numPr>
                <w:ilvl w:val="0"/>
                <w:numId w:val="7"/>
              </w:numPr>
            </w:pPr>
            <w:r>
              <w:t>Migalastat</w:t>
            </w:r>
          </w:p>
        </w:tc>
      </w:tr>
      <w:tr w:rsidR="00767EF2" w:rsidRPr="0098262F" w14:paraId="55A828E5" w14:textId="77777777" w:rsidTr="00BC70B7">
        <w:trPr>
          <w:cantSplit/>
        </w:trPr>
        <w:tc>
          <w:tcPr>
            <w:tcW w:w="729" w:type="pct"/>
          </w:tcPr>
          <w:p w14:paraId="1DFD2D5A" w14:textId="77777777" w:rsidR="00767EF2" w:rsidRPr="0098262F" w:rsidRDefault="00767EF2" w:rsidP="0009520E">
            <w:pPr>
              <w:pStyle w:val="TableText0"/>
            </w:pPr>
            <w:r w:rsidRPr="0098262F">
              <w:t>Outcomes</w:t>
            </w:r>
          </w:p>
        </w:tc>
        <w:tc>
          <w:tcPr>
            <w:tcW w:w="4271" w:type="pct"/>
            <w:vAlign w:val="center"/>
          </w:tcPr>
          <w:p w14:paraId="14C18953" w14:textId="77777777" w:rsidR="00767EF2" w:rsidRDefault="00767EF2" w:rsidP="0009520E">
            <w:pPr>
              <w:pStyle w:val="TableText0"/>
            </w:pPr>
            <w:r>
              <w:t>Efficacy</w:t>
            </w:r>
          </w:p>
          <w:p w14:paraId="5FBDEE65" w14:textId="0A53A115" w:rsidR="00767EF2" w:rsidRDefault="00767EF2" w:rsidP="00372B81">
            <w:pPr>
              <w:pStyle w:val="TableText0"/>
              <w:numPr>
                <w:ilvl w:val="0"/>
                <w:numId w:val="7"/>
              </w:numPr>
            </w:pPr>
            <w:r>
              <w:t>Mean annuali</w:t>
            </w:r>
            <w:r w:rsidR="00B7543B">
              <w:t>s</w:t>
            </w:r>
            <w:r>
              <w:t xml:space="preserve">ed change in </w:t>
            </w:r>
            <w:proofErr w:type="spellStart"/>
            <w:r>
              <w:t>eGFR</w:t>
            </w:r>
            <w:r w:rsidRPr="00147036">
              <w:rPr>
                <w:vertAlign w:val="subscript"/>
              </w:rPr>
              <w:t>CKD</w:t>
            </w:r>
            <w:proofErr w:type="spellEnd"/>
            <w:r w:rsidRPr="00147036">
              <w:rPr>
                <w:vertAlign w:val="subscript"/>
              </w:rPr>
              <w:t>-EPI</w:t>
            </w:r>
          </w:p>
          <w:p w14:paraId="146F9034" w14:textId="348FE2F3" w:rsidR="00767EF2" w:rsidRDefault="00767EF2" w:rsidP="00372B81">
            <w:pPr>
              <w:pStyle w:val="TableText0"/>
              <w:numPr>
                <w:ilvl w:val="0"/>
                <w:numId w:val="7"/>
              </w:numPr>
            </w:pPr>
            <w:r>
              <w:t>LVM</w:t>
            </w:r>
            <w:r w:rsidR="00996D7C">
              <w:t>I</w:t>
            </w:r>
            <w:r>
              <w:t xml:space="preserve"> (g/m</w:t>
            </w:r>
            <w:r w:rsidRPr="00C01A55">
              <w:rPr>
                <w:vertAlign w:val="superscript"/>
              </w:rPr>
              <w:t>2</w:t>
            </w:r>
            <w:r>
              <w:t>) preferably by MRI (echocardiogram can be used as an alternative)</w:t>
            </w:r>
          </w:p>
          <w:p w14:paraId="16FBE9DE" w14:textId="77777777" w:rsidR="00767EF2" w:rsidRDefault="00767EF2" w:rsidP="00372B81">
            <w:pPr>
              <w:pStyle w:val="TableText0"/>
              <w:numPr>
                <w:ilvl w:val="0"/>
                <w:numId w:val="7"/>
              </w:numPr>
            </w:pPr>
            <w:r>
              <w:t>Plasma lyso-Gb3</w:t>
            </w:r>
          </w:p>
          <w:p w14:paraId="5947AE5B" w14:textId="77777777" w:rsidR="00767EF2" w:rsidRDefault="00767EF2" w:rsidP="00372B81">
            <w:pPr>
              <w:pStyle w:val="TableText0"/>
              <w:numPr>
                <w:ilvl w:val="0"/>
                <w:numId w:val="7"/>
              </w:numPr>
            </w:pPr>
            <w:r>
              <w:t>Plasma Gb3</w:t>
            </w:r>
          </w:p>
          <w:p w14:paraId="2DF8C88E" w14:textId="77777777" w:rsidR="00767EF2" w:rsidRDefault="00767EF2" w:rsidP="00372B81">
            <w:pPr>
              <w:pStyle w:val="TableText0"/>
              <w:numPr>
                <w:ilvl w:val="0"/>
                <w:numId w:val="7"/>
              </w:numPr>
            </w:pPr>
            <w:r>
              <w:t>Urine lyso-Gb3</w:t>
            </w:r>
          </w:p>
          <w:p w14:paraId="3C32ADDA" w14:textId="77777777" w:rsidR="00767EF2" w:rsidRDefault="00767EF2" w:rsidP="00372B81">
            <w:pPr>
              <w:pStyle w:val="TableText0"/>
              <w:numPr>
                <w:ilvl w:val="0"/>
                <w:numId w:val="7"/>
              </w:numPr>
            </w:pPr>
            <w:r>
              <w:t>UPCR (spot urine test)</w:t>
            </w:r>
          </w:p>
          <w:p w14:paraId="7F445BDC" w14:textId="77777777" w:rsidR="00767EF2" w:rsidRDefault="00767EF2" w:rsidP="00372B81">
            <w:pPr>
              <w:pStyle w:val="TableText0"/>
              <w:numPr>
                <w:ilvl w:val="0"/>
                <w:numId w:val="7"/>
              </w:numPr>
            </w:pPr>
            <w:r>
              <w:t>Frequency of pain medication use</w:t>
            </w:r>
          </w:p>
          <w:p w14:paraId="7C84F4B0" w14:textId="77777777" w:rsidR="00767EF2" w:rsidRDefault="00767EF2" w:rsidP="00372B81">
            <w:pPr>
              <w:pStyle w:val="TableText0"/>
              <w:numPr>
                <w:ilvl w:val="0"/>
                <w:numId w:val="7"/>
              </w:numPr>
            </w:pPr>
            <w:r>
              <w:t>Exercise tolerance (stress test)</w:t>
            </w:r>
          </w:p>
          <w:p w14:paraId="13AC0830" w14:textId="77777777" w:rsidR="00767EF2" w:rsidRDefault="00767EF2" w:rsidP="0009520E">
            <w:pPr>
              <w:pStyle w:val="TableText0"/>
            </w:pPr>
            <w:r>
              <w:t>Safety</w:t>
            </w:r>
          </w:p>
          <w:p w14:paraId="49C2E3D7" w14:textId="77777777" w:rsidR="00767EF2" w:rsidRDefault="00767EF2" w:rsidP="00372B81">
            <w:pPr>
              <w:pStyle w:val="TableText0"/>
              <w:numPr>
                <w:ilvl w:val="0"/>
                <w:numId w:val="8"/>
              </w:numPr>
            </w:pPr>
            <w:r>
              <w:t>Frequency, severity, and duration of TEAEs</w:t>
            </w:r>
          </w:p>
          <w:p w14:paraId="54AB971B" w14:textId="77777777" w:rsidR="00767EF2" w:rsidRDefault="00767EF2" w:rsidP="00372B81">
            <w:pPr>
              <w:pStyle w:val="TableText0"/>
              <w:numPr>
                <w:ilvl w:val="0"/>
                <w:numId w:val="8"/>
              </w:numPr>
            </w:pPr>
            <w:r>
              <w:t>Clinically significant laboratory abnormalities</w:t>
            </w:r>
          </w:p>
          <w:p w14:paraId="55D0C524" w14:textId="77777777" w:rsidR="00767EF2" w:rsidRDefault="00767EF2" w:rsidP="00372B81">
            <w:pPr>
              <w:pStyle w:val="TableText0"/>
              <w:numPr>
                <w:ilvl w:val="0"/>
                <w:numId w:val="8"/>
              </w:numPr>
            </w:pPr>
            <w:r>
              <w:t>ECG changes from baseline</w:t>
            </w:r>
          </w:p>
          <w:p w14:paraId="4527EA38" w14:textId="77777777" w:rsidR="00767EF2" w:rsidRDefault="00767EF2" w:rsidP="00372B81">
            <w:pPr>
              <w:pStyle w:val="TableText0"/>
              <w:numPr>
                <w:ilvl w:val="0"/>
                <w:numId w:val="8"/>
              </w:numPr>
            </w:pPr>
            <w:r>
              <w:t>Physical examination findings</w:t>
            </w:r>
          </w:p>
          <w:p w14:paraId="27512EA7" w14:textId="77777777" w:rsidR="00767EF2" w:rsidRDefault="00767EF2" w:rsidP="00372B81">
            <w:pPr>
              <w:pStyle w:val="TableText0"/>
              <w:numPr>
                <w:ilvl w:val="0"/>
                <w:numId w:val="8"/>
              </w:numPr>
            </w:pPr>
            <w:r>
              <w:t>Injection site reactions following study drug administration</w:t>
            </w:r>
          </w:p>
          <w:p w14:paraId="70777B01" w14:textId="77777777" w:rsidR="00767EF2" w:rsidRDefault="00767EF2" w:rsidP="00372B81">
            <w:pPr>
              <w:pStyle w:val="TableText0"/>
              <w:numPr>
                <w:ilvl w:val="0"/>
                <w:numId w:val="8"/>
              </w:numPr>
            </w:pPr>
            <w:r>
              <w:t>Anti-pegunigalsidase alfa antibodies</w:t>
            </w:r>
          </w:p>
          <w:p w14:paraId="32B6DA5D" w14:textId="77777777" w:rsidR="00767EF2" w:rsidRDefault="00767EF2" w:rsidP="0009520E">
            <w:pPr>
              <w:pStyle w:val="TableText0"/>
            </w:pPr>
            <w:r>
              <w:t>Humanistic</w:t>
            </w:r>
          </w:p>
          <w:p w14:paraId="2BE3E526" w14:textId="1923C686" w:rsidR="00767EF2" w:rsidRDefault="00767EF2" w:rsidP="00372B81">
            <w:pPr>
              <w:pStyle w:val="TableText0"/>
              <w:numPr>
                <w:ilvl w:val="0"/>
                <w:numId w:val="9"/>
              </w:numPr>
            </w:pPr>
            <w:proofErr w:type="spellStart"/>
            <w:r>
              <w:t>EuroQol</w:t>
            </w:r>
            <w:proofErr w:type="spellEnd"/>
            <w:r>
              <w:t xml:space="preserve"> 5 Dimension 5 Level (EQ-5D-5L)</w:t>
            </w:r>
            <w:r w:rsidR="00821206">
              <w:t>,</w:t>
            </w:r>
            <w:r>
              <w:t xml:space="preserve"> a generic questionnaire for measuring quality of life in the categories of mobility, self-care, usual activities, pain/discomfort, and anxiety/depression.</w:t>
            </w:r>
          </w:p>
          <w:p w14:paraId="60DAA198" w14:textId="77777777" w:rsidR="00767EF2" w:rsidRDefault="00767EF2" w:rsidP="00372B81">
            <w:pPr>
              <w:pStyle w:val="TableText0"/>
              <w:numPr>
                <w:ilvl w:val="0"/>
                <w:numId w:val="9"/>
              </w:numPr>
            </w:pPr>
            <w:r>
              <w:t xml:space="preserve">Mainz Severity Score Index (MSSI) provides scores for general, neurological, cardiovascular, kidney, and overall assessments of symptom severity. </w:t>
            </w:r>
          </w:p>
          <w:p w14:paraId="3E76264D" w14:textId="77777777" w:rsidR="00767EF2" w:rsidRPr="0098262F" w:rsidRDefault="00767EF2" w:rsidP="00372B81">
            <w:pPr>
              <w:pStyle w:val="TableText0"/>
              <w:numPr>
                <w:ilvl w:val="0"/>
                <w:numId w:val="9"/>
              </w:numPr>
              <w:rPr>
                <w:rFonts w:eastAsia="Times New Roman" w:cs="Arial"/>
                <w:snapToGrid w:val="0"/>
                <w:color w:val="0066FF"/>
              </w:rPr>
            </w:pPr>
            <w:r>
              <w:t>Short Form Brief Pain Inventory (BPI) questionnaire.</w:t>
            </w:r>
          </w:p>
        </w:tc>
      </w:tr>
      <w:tr w:rsidR="00767EF2" w:rsidRPr="0098262F" w14:paraId="2F576C89" w14:textId="77777777" w:rsidTr="00BC70B7">
        <w:trPr>
          <w:cantSplit/>
        </w:trPr>
        <w:tc>
          <w:tcPr>
            <w:tcW w:w="729" w:type="pct"/>
          </w:tcPr>
          <w:p w14:paraId="2F35B9A0" w14:textId="77777777" w:rsidR="00767EF2" w:rsidRPr="0098262F" w:rsidRDefault="00767EF2" w:rsidP="0009520E">
            <w:pPr>
              <w:pStyle w:val="TableText0"/>
            </w:pPr>
            <w:r w:rsidRPr="0098262F">
              <w:t>Clinical claim</w:t>
            </w:r>
          </w:p>
        </w:tc>
        <w:tc>
          <w:tcPr>
            <w:tcW w:w="4271" w:type="pct"/>
            <w:vAlign w:val="center"/>
          </w:tcPr>
          <w:p w14:paraId="3B1F0033" w14:textId="5B058FD8" w:rsidR="00767EF2" w:rsidRPr="0098262F" w:rsidRDefault="00767EF2" w:rsidP="0009520E">
            <w:pPr>
              <w:pStyle w:val="TableText0"/>
              <w:rPr>
                <w:rFonts w:eastAsia="Times New Roman" w:cs="Arial"/>
                <w:snapToGrid w:val="0"/>
                <w:color w:val="0066FF"/>
              </w:rPr>
            </w:pPr>
            <w:r w:rsidRPr="003D2CF6">
              <w:t xml:space="preserve">Pegunigalsidase alfa is </w:t>
            </w:r>
            <w:r w:rsidR="00043974" w:rsidRPr="003D2CF6">
              <w:t>non</w:t>
            </w:r>
            <w:r w:rsidR="00043974">
              <w:t>-</w:t>
            </w:r>
            <w:r w:rsidRPr="003D2CF6">
              <w:t>inferior to agalsidase alfa and agalsidase beta providing an alternative option for both ERT-naïve and ERT-experienced patients with an improved tolerability profile and reduced immunogenicity compared to agalsidase beta while maintaining the renal and cardiac functions.</w:t>
            </w:r>
          </w:p>
        </w:tc>
      </w:tr>
    </w:tbl>
    <w:p w14:paraId="47EB8C9A" w14:textId="77777777" w:rsidR="00767EF2" w:rsidRDefault="00767EF2" w:rsidP="009D09F4">
      <w:pPr>
        <w:pStyle w:val="FooterTableFigure"/>
      </w:pPr>
      <w:r>
        <w:t>Source: Table 1.1-2, p6 of the submission.</w:t>
      </w:r>
    </w:p>
    <w:p w14:paraId="327DB8B4" w14:textId="04064FBD" w:rsidR="00767EF2" w:rsidRDefault="00767EF2" w:rsidP="009D09F4">
      <w:pPr>
        <w:pStyle w:val="FooterTableFigure"/>
      </w:pPr>
      <w:r>
        <w:t xml:space="preserve">Abbreviations: ECG, electrocardiograph; eGFR, </w:t>
      </w:r>
      <w:r w:rsidR="00754078">
        <w:t>e</w:t>
      </w:r>
      <w:r>
        <w:t xml:space="preserve">stimated Glomerular Filtration Rate; </w:t>
      </w:r>
      <w:proofErr w:type="spellStart"/>
      <w:r>
        <w:t>eGFR</w:t>
      </w:r>
      <w:r w:rsidRPr="00DC7A91">
        <w:rPr>
          <w:vertAlign w:val="subscript"/>
        </w:rPr>
        <w:t>CKD</w:t>
      </w:r>
      <w:proofErr w:type="spellEnd"/>
      <w:r w:rsidRPr="00DC7A91">
        <w:rPr>
          <w:vertAlign w:val="subscript"/>
        </w:rPr>
        <w:t>-EPI</w:t>
      </w:r>
      <w:r>
        <w:t>, estimated GFR using the Chronic Kidney Disease Epidemiology Collaboration equation; Gb3, globotriaosylsphingosine; LVMI, Left Ventricular Mass Index; MRI, magnetic resonance imaging; TEAE, treatment emergent adverse event; UPCR, Urine Protein/Creatinine Ratio.</w:t>
      </w:r>
    </w:p>
    <w:p w14:paraId="1C23932E" w14:textId="77777777" w:rsidR="00767EF2" w:rsidRPr="003B13EC" w:rsidRDefault="00767EF2" w:rsidP="009D09F4">
      <w:pPr>
        <w:pStyle w:val="3-BodyText"/>
        <w:keepLines/>
      </w:pPr>
      <w:r w:rsidRPr="003B13EC">
        <w:t xml:space="preserve">The proposed population presented in the PICO is broader than the proposed Pharmaceutical Benefits Scheme (PBS) population described in the submission. It is also broader than the eligible population accessing FD treatments on the LSDP which is restricted to patients presenting with end-organ damage. </w:t>
      </w:r>
    </w:p>
    <w:p w14:paraId="6B4AB6C2" w14:textId="7F01D731" w:rsidR="005C25FF" w:rsidRPr="0098262F" w:rsidRDefault="005C25FF" w:rsidP="009D09F4">
      <w:pPr>
        <w:pStyle w:val="2-SectionHeading"/>
        <w:keepNext w:val="0"/>
      </w:pPr>
      <w:bookmarkStart w:id="2" w:name="_Toc198734210"/>
      <w:r w:rsidRPr="0098262F">
        <w:t>Background</w:t>
      </w:r>
      <w:bookmarkEnd w:id="2"/>
    </w:p>
    <w:p w14:paraId="2C521D6D" w14:textId="78CF03EE" w:rsidR="005C25FF" w:rsidRPr="0098262F" w:rsidRDefault="005C25FF" w:rsidP="009D09F4">
      <w:pPr>
        <w:pStyle w:val="4-SubsectionHeading"/>
        <w:keepNext w:val="0"/>
      </w:pPr>
      <w:bookmarkStart w:id="3" w:name="_Toc22897638"/>
      <w:bookmarkStart w:id="4" w:name="_Toc198734211"/>
      <w:r w:rsidRPr="0098262F">
        <w:t>Registration status</w:t>
      </w:r>
      <w:bookmarkEnd w:id="3"/>
      <w:bookmarkEnd w:id="4"/>
    </w:p>
    <w:p w14:paraId="28E1ECBB" w14:textId="3CCF9709" w:rsidR="0018440D" w:rsidRPr="004206D7" w:rsidRDefault="663AC545" w:rsidP="009D09F4">
      <w:pPr>
        <w:pStyle w:val="3-BodyText"/>
      </w:pPr>
      <w:bookmarkStart w:id="5" w:name="_Toc22897639"/>
      <w:r w:rsidRPr="00AC5133">
        <w:t>Pegunigalsidase</w:t>
      </w:r>
      <w:r>
        <w:t xml:space="preserve"> alfa </w:t>
      </w:r>
      <w:r w:rsidR="0F66592A">
        <w:t>was</w:t>
      </w:r>
      <w:r w:rsidR="2831FAA6">
        <w:t xml:space="preserve"> </w:t>
      </w:r>
      <w:r>
        <w:t xml:space="preserve">Therapeutic Goods Administration (TGA) </w:t>
      </w:r>
      <w:r w:rsidR="2831FAA6">
        <w:t xml:space="preserve">registered on 26 May 2025 for </w:t>
      </w:r>
      <w:r>
        <w:t xml:space="preserve">“long-term </w:t>
      </w:r>
      <w:r w:rsidR="3FFE4695">
        <w:t xml:space="preserve">enzyme replacement therapy </w:t>
      </w:r>
      <w:r>
        <w:t>in adult patients with a confirmed diagnosis of F</w:t>
      </w:r>
      <w:r w:rsidR="307F0766">
        <w:t>abry disease</w:t>
      </w:r>
      <w:r>
        <w:t>”</w:t>
      </w:r>
      <w:r w:rsidR="307F0766">
        <w:t xml:space="preserve"> (Product Information (PI))</w:t>
      </w:r>
      <w:r>
        <w:t xml:space="preserve">. The clinical </w:t>
      </w:r>
      <w:r>
        <w:lastRenderedPageBreak/>
        <w:t xml:space="preserve">indication </w:t>
      </w:r>
      <w:r w:rsidR="0A60B71C">
        <w:t xml:space="preserve">in the PI </w:t>
      </w:r>
      <w:r>
        <w:t>is broader than the population proposed in the submission, which is restricted to FD patients with end-organ damage.</w:t>
      </w:r>
    </w:p>
    <w:p w14:paraId="3E2A6EAB" w14:textId="469C8C0C" w:rsidR="005C25FF" w:rsidRPr="0098262F" w:rsidRDefault="005C25FF" w:rsidP="009D09F4">
      <w:pPr>
        <w:pStyle w:val="4-SubsectionHeading"/>
        <w:keepNext w:val="0"/>
      </w:pPr>
      <w:bookmarkStart w:id="6" w:name="_Toc198734212"/>
      <w:r w:rsidRPr="0098262F">
        <w:t>Previous PBAC consideration</w:t>
      </w:r>
      <w:bookmarkEnd w:id="5"/>
      <w:bookmarkEnd w:id="6"/>
    </w:p>
    <w:p w14:paraId="0244651D" w14:textId="23BDCCE6" w:rsidR="00A8096D" w:rsidRDefault="00A8096D" w:rsidP="009D09F4">
      <w:pPr>
        <w:pStyle w:val="3-BodyText"/>
      </w:pPr>
      <w:bookmarkStart w:id="7" w:name="_Toc107902078"/>
      <w:bookmarkEnd w:id="7"/>
      <w:r>
        <w:t>This is the first consideration of pegunigalsidase alfa by the PBAC.</w:t>
      </w:r>
    </w:p>
    <w:p w14:paraId="1815E9CC" w14:textId="1E0D60B9" w:rsidR="001B10E7" w:rsidRPr="00AB14A6" w:rsidRDefault="001B10E7" w:rsidP="009D09F4">
      <w:pPr>
        <w:pStyle w:val="3-BodyText"/>
      </w:pPr>
      <w:r w:rsidRPr="00AB14A6">
        <w:t xml:space="preserve">Medicines for the treatment of </w:t>
      </w:r>
      <w:r>
        <w:t>FD</w:t>
      </w:r>
      <w:r w:rsidRPr="00AB14A6">
        <w:t xml:space="preserve"> have been included under the </w:t>
      </w:r>
      <w:r>
        <w:t>LSDP</w:t>
      </w:r>
      <w:r w:rsidRPr="00AB14A6">
        <w:t xml:space="preserve"> since 2004, with the listing of </w:t>
      </w:r>
      <w:r>
        <w:t>ERTs,</w:t>
      </w:r>
      <w:r w:rsidRPr="00AB14A6">
        <w:t xml:space="preserve"> agalsidase alfa and agalsidase beta. Migalastat was listed on the LSDP for treatment of FD in 2018.</w:t>
      </w:r>
      <w:r>
        <w:t xml:space="preserve"> </w:t>
      </w:r>
    </w:p>
    <w:p w14:paraId="1BB6E472" w14:textId="5D803B61" w:rsidR="001B10E7" w:rsidRPr="00134AD9" w:rsidRDefault="001B10E7" w:rsidP="009D09F4">
      <w:pPr>
        <w:pStyle w:val="3-BodyText"/>
        <w:rPr>
          <w:color w:val="0066FF"/>
        </w:rPr>
      </w:pPr>
      <w:r>
        <w:t xml:space="preserve">The PBAC has previously considered migalastat in March 2017, July 2017, </w:t>
      </w:r>
      <w:r w:rsidR="001F6075">
        <w:t>November </w:t>
      </w:r>
      <w:r>
        <w:t>2017</w:t>
      </w:r>
      <w:r w:rsidR="00FF4E18">
        <w:t>,</w:t>
      </w:r>
      <w:r>
        <w:t xml:space="preserve"> December 2022</w:t>
      </w:r>
      <w:r w:rsidR="002D7B1A">
        <w:t>, March 2024 and May 2024</w:t>
      </w:r>
      <w:r>
        <w:t xml:space="preserve">. Subsequent to the November 2017 consideration, migalastat was included on the LSDP. </w:t>
      </w:r>
    </w:p>
    <w:p w14:paraId="526698C5" w14:textId="05B3DDAB" w:rsidR="001B10E7" w:rsidRPr="008A18C9" w:rsidRDefault="001B10E7" w:rsidP="009D09F4">
      <w:pPr>
        <w:pStyle w:val="3-BodyText"/>
        <w:rPr>
          <w:color w:val="0066FF"/>
        </w:rPr>
      </w:pPr>
      <w:r>
        <w:t xml:space="preserve">In December 2022, the PBAC recommended the PBS listing of migalastat for the treatment of FD in patients 16 years of age and older who have an amenable mutation in response to a referral from the LSDP Expert Panel (EP). The PBAC considered that the cost-effectiveness of migalastat would be acceptable if the cost </w:t>
      </w:r>
      <w:r w:rsidR="00AC0CD4">
        <w:t>per</w:t>
      </w:r>
      <w:r>
        <w:t xml:space="preserve"> patient per year was</w:t>
      </w:r>
      <w:r w:rsidR="00CA64CF">
        <w:t xml:space="preserve"> no</w:t>
      </w:r>
      <w:r>
        <w:t xml:space="preserve"> higher than the cost of ERT for a patient weighing 45 kg (para</w:t>
      </w:r>
      <w:r w:rsidR="00A8096D">
        <w:t>graph</w:t>
      </w:r>
      <w:r>
        <w:t xml:space="preserve"> 5.1, migalastat, Public Summary Document [PSD], December 2022 PBAC meeting).</w:t>
      </w:r>
    </w:p>
    <w:p w14:paraId="44FF8F9D" w14:textId="4333809D" w:rsidR="001B10E7" w:rsidRPr="00B17BA5" w:rsidRDefault="001B10E7" w:rsidP="009D09F4">
      <w:pPr>
        <w:pStyle w:val="3-BodyText"/>
        <w:rPr>
          <w:color w:val="0066FF"/>
        </w:rPr>
      </w:pPr>
      <w:r>
        <w:t xml:space="preserve">In March 2024, a request was made to the PBAC to reconsider migalastat’s listing and to </w:t>
      </w:r>
      <w:r w:rsidRPr="000C1A25">
        <w:t>amend restriction criteria to be consistent with international clinical guidelines for FD</w:t>
      </w:r>
      <w:r>
        <w:t xml:space="preserve">. </w:t>
      </w:r>
      <w:r w:rsidRPr="004537FA">
        <w:t xml:space="preserve">The PBAC recommended the listing of migalastat for the treatment of FD in patients aged 12 years of age and older who have an amenable mutation and evidence of organ involvement/injury (including severe gastrointestinal symptoms, and uncontrolled chronic pain, renal disease, cardiac disease, ischaemic and cerebrovascular disease). The PBAC noted the proposed cost of migalastat was substantially higher than </w:t>
      </w:r>
      <w:r w:rsidR="00D14AA7">
        <w:t xml:space="preserve">that </w:t>
      </w:r>
      <w:r w:rsidRPr="004537FA">
        <w:t>recommended in December 2022</w:t>
      </w:r>
      <w:r w:rsidR="00043974">
        <w:t>,</w:t>
      </w:r>
      <w:r w:rsidRPr="004537FA">
        <w:t xml:space="preserve"> but considered that, on balance, noting the high clinical need for ongoing access to funded treatments for FD, migalastat was likely to be of high</w:t>
      </w:r>
      <w:r w:rsidR="00043974">
        <w:t>,</w:t>
      </w:r>
      <w:r w:rsidRPr="004537FA">
        <w:t xml:space="preserve"> but acceptable cost effectiveness in the recommended population at the cost per patient per year proposed in the resubmission (para</w:t>
      </w:r>
      <w:r w:rsidR="00C30F74">
        <w:t>graph</w:t>
      </w:r>
      <w:r w:rsidRPr="004537FA">
        <w:t xml:space="preserve"> 7.1, migalastat PSD, March 2024 PBAC meeting with May 2024 addendum).</w:t>
      </w:r>
      <w:r>
        <w:t xml:space="preserve"> The PBAC acknowledged the importance of treating some patients at an earlier stage of disease but considered the clinical effectiveness and cost-effectiveness of this was unknown, and therefore did not recommend extending the listing to patients with classical FD without evidence of organ involvement/injury (para</w:t>
      </w:r>
      <w:r w:rsidR="00C30F74">
        <w:t>graph</w:t>
      </w:r>
      <w:r>
        <w:t xml:space="preserve"> 7.11, migalastat PSD, March 2024 PBAC meeting with May 2024 addendum).</w:t>
      </w:r>
    </w:p>
    <w:p w14:paraId="085BA335" w14:textId="17D4EB25" w:rsidR="00B17BA5" w:rsidRPr="007D0851" w:rsidRDefault="00B17BA5" w:rsidP="00B17BA5">
      <w:pPr>
        <w:pStyle w:val="3-BodyText"/>
        <w:numPr>
          <w:ilvl w:val="0"/>
          <w:numId w:val="0"/>
        </w:numPr>
        <w:ind w:left="720"/>
        <w:rPr>
          <w:i/>
          <w:iCs/>
        </w:rPr>
      </w:pPr>
      <w:r w:rsidRPr="007D0851">
        <w:rPr>
          <w:i/>
          <w:iCs/>
        </w:rPr>
        <w:t>For more detail on PBAC’s view, see section 7 PBAC outcome.</w:t>
      </w:r>
    </w:p>
    <w:p w14:paraId="76E4EF3C" w14:textId="13040F70" w:rsidR="00B60939" w:rsidRDefault="00B50DB8" w:rsidP="00BC70B7">
      <w:pPr>
        <w:pStyle w:val="2-SectionHeading"/>
        <w:keepLines/>
      </w:pPr>
      <w:bookmarkStart w:id="8" w:name="_Toc198734213"/>
      <w:r w:rsidRPr="0098262F">
        <w:t>Requested listing</w:t>
      </w:r>
      <w:bookmarkEnd w:id="8"/>
    </w:p>
    <w:p w14:paraId="159A5A85" w14:textId="77777777" w:rsidR="00D14F23" w:rsidRPr="003D47CA" w:rsidRDefault="00D14F23" w:rsidP="00D14F23">
      <w:pPr>
        <w:pStyle w:val="3-BodyText"/>
      </w:pPr>
      <w:r w:rsidRPr="003D47CA">
        <w:t>Suggestions and additions proposed by the Secretariat are added in italics and suggested deletions are crossed out with strikethrough.</w:t>
      </w:r>
    </w:p>
    <w:p w14:paraId="259D8006" w14:textId="77777777" w:rsidR="00D14F23" w:rsidRPr="00AD0449" w:rsidRDefault="00D14F23" w:rsidP="00D14F23">
      <w:pPr>
        <w:pStyle w:val="3-BodyText"/>
        <w:numPr>
          <w:ilvl w:val="0"/>
          <w:numId w:val="0"/>
        </w:numPr>
        <w:ind w:left="720"/>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7E47BA" w:rsidRPr="0098262F" w14:paraId="1391C377" w14:textId="77777777">
        <w:trPr>
          <w:cantSplit/>
          <w:trHeight w:val="20"/>
        </w:trPr>
        <w:tc>
          <w:tcPr>
            <w:tcW w:w="2972" w:type="dxa"/>
            <w:vAlign w:val="center"/>
          </w:tcPr>
          <w:p w14:paraId="59BC46FF" w14:textId="77777777" w:rsidR="007E47BA" w:rsidRPr="0098262F" w:rsidRDefault="007E47BA" w:rsidP="00BC70B7">
            <w:pPr>
              <w:keepNext/>
              <w:keepLines/>
              <w:rPr>
                <w:rFonts w:ascii="Arial Narrow" w:hAnsi="Arial Narrow"/>
                <w:b/>
                <w:bCs/>
                <w:sz w:val="20"/>
                <w:szCs w:val="20"/>
              </w:rPr>
            </w:pPr>
            <w:bookmarkStart w:id="9" w:name="_Hlk104809055"/>
            <w:r w:rsidRPr="0098262F">
              <w:rPr>
                <w:rFonts w:ascii="Arial Narrow" w:hAnsi="Arial Narrow"/>
                <w:b/>
                <w:bCs/>
                <w:sz w:val="20"/>
                <w:szCs w:val="20"/>
              </w:rPr>
              <w:lastRenderedPageBreak/>
              <w:t>MEDICINAL PRODUCT</w:t>
            </w:r>
          </w:p>
          <w:p w14:paraId="26FC8DEA" w14:textId="77777777" w:rsidR="007E47BA" w:rsidRPr="0098262F" w:rsidRDefault="007E47BA" w:rsidP="00BC70B7">
            <w:pPr>
              <w:keepNext/>
              <w:keepLines/>
              <w:rPr>
                <w:rFonts w:ascii="Arial Narrow" w:hAnsi="Arial Narrow"/>
                <w:b/>
                <w:sz w:val="20"/>
                <w:szCs w:val="20"/>
              </w:rPr>
            </w:pPr>
            <w:r w:rsidRPr="0098262F">
              <w:rPr>
                <w:rFonts w:ascii="Arial Narrow" w:hAnsi="Arial Narrow"/>
                <w:b/>
                <w:bCs/>
                <w:sz w:val="20"/>
                <w:szCs w:val="20"/>
              </w:rPr>
              <w:t>medicinal product pack</w:t>
            </w:r>
          </w:p>
        </w:tc>
        <w:tc>
          <w:tcPr>
            <w:tcW w:w="1779" w:type="dxa"/>
            <w:vAlign w:val="center"/>
          </w:tcPr>
          <w:p w14:paraId="41DD055A" w14:textId="77777777" w:rsidR="007E47BA" w:rsidRPr="0098262F" w:rsidRDefault="007E47BA" w:rsidP="00BC70B7">
            <w:pPr>
              <w:pStyle w:val="TableText0"/>
            </w:pPr>
            <w:r w:rsidRPr="0098262F">
              <w:rPr>
                <w:snapToGrid w:val="0"/>
              </w:rPr>
              <w:t xml:space="preserve">Dispensed Price for Max. Qty </w:t>
            </w:r>
          </w:p>
        </w:tc>
        <w:tc>
          <w:tcPr>
            <w:tcW w:w="812" w:type="dxa"/>
            <w:vAlign w:val="center"/>
          </w:tcPr>
          <w:p w14:paraId="57232223" w14:textId="77777777" w:rsidR="007E47BA" w:rsidRPr="0098262F" w:rsidRDefault="007E47BA" w:rsidP="00BC70B7">
            <w:pPr>
              <w:keepNext/>
              <w:keepLines/>
              <w:jc w:val="center"/>
              <w:rPr>
                <w:rFonts w:ascii="Arial Narrow" w:hAnsi="Arial Narrow"/>
                <w:b/>
                <w:sz w:val="20"/>
                <w:szCs w:val="20"/>
              </w:rPr>
            </w:pPr>
            <w:r w:rsidRPr="0098262F">
              <w:rPr>
                <w:rFonts w:ascii="Arial Narrow" w:hAnsi="Arial Narrow"/>
                <w:b/>
                <w:sz w:val="20"/>
                <w:szCs w:val="20"/>
              </w:rPr>
              <w:t>Max. qty packs</w:t>
            </w:r>
          </w:p>
        </w:tc>
        <w:tc>
          <w:tcPr>
            <w:tcW w:w="811" w:type="dxa"/>
            <w:vAlign w:val="center"/>
          </w:tcPr>
          <w:p w14:paraId="79E18DC0" w14:textId="77777777" w:rsidR="007E47BA" w:rsidRPr="0098262F" w:rsidRDefault="007E47BA" w:rsidP="00BC70B7">
            <w:pPr>
              <w:keepNext/>
              <w:keepLines/>
              <w:jc w:val="center"/>
              <w:rPr>
                <w:rFonts w:ascii="Arial Narrow" w:hAnsi="Arial Narrow"/>
                <w:b/>
                <w:sz w:val="20"/>
                <w:szCs w:val="20"/>
              </w:rPr>
            </w:pPr>
            <w:r w:rsidRPr="0098262F">
              <w:rPr>
                <w:rFonts w:ascii="Arial Narrow" w:hAnsi="Arial Narrow"/>
                <w:b/>
                <w:sz w:val="20"/>
                <w:szCs w:val="20"/>
              </w:rPr>
              <w:t>Max. qty units</w:t>
            </w:r>
          </w:p>
        </w:tc>
        <w:tc>
          <w:tcPr>
            <w:tcW w:w="812" w:type="dxa"/>
            <w:vAlign w:val="center"/>
          </w:tcPr>
          <w:p w14:paraId="5D07F450" w14:textId="77777777" w:rsidR="007E47BA" w:rsidRPr="0098262F" w:rsidRDefault="007E47BA" w:rsidP="00BC70B7">
            <w:pPr>
              <w:keepNext/>
              <w:keepLines/>
              <w:jc w:val="center"/>
              <w:rPr>
                <w:rFonts w:ascii="Arial Narrow" w:hAnsi="Arial Narrow"/>
                <w:b/>
                <w:sz w:val="20"/>
                <w:szCs w:val="20"/>
              </w:rPr>
            </w:pPr>
            <w:r w:rsidRPr="0098262F">
              <w:rPr>
                <w:rFonts w:ascii="Arial Narrow" w:hAnsi="Arial Narrow"/>
                <w:b/>
                <w:sz w:val="20"/>
                <w:szCs w:val="20"/>
              </w:rPr>
              <w:t>№.of</w:t>
            </w:r>
          </w:p>
          <w:p w14:paraId="15347AC1" w14:textId="77777777" w:rsidR="007E47BA" w:rsidRPr="0098262F" w:rsidRDefault="007E47BA" w:rsidP="00BC70B7">
            <w:pPr>
              <w:keepNext/>
              <w:keepLines/>
              <w:jc w:val="center"/>
              <w:rPr>
                <w:rFonts w:ascii="Arial Narrow" w:hAnsi="Arial Narrow"/>
                <w:b/>
                <w:sz w:val="20"/>
                <w:szCs w:val="20"/>
              </w:rPr>
            </w:pPr>
            <w:r w:rsidRPr="0098262F">
              <w:rPr>
                <w:rFonts w:ascii="Arial Narrow" w:hAnsi="Arial Narrow"/>
                <w:b/>
                <w:sz w:val="20"/>
                <w:szCs w:val="20"/>
              </w:rPr>
              <w:t>Rpts</w:t>
            </w:r>
          </w:p>
        </w:tc>
        <w:tc>
          <w:tcPr>
            <w:tcW w:w="1831" w:type="dxa"/>
            <w:vAlign w:val="center"/>
          </w:tcPr>
          <w:p w14:paraId="195601DA" w14:textId="77777777" w:rsidR="007E47BA" w:rsidRPr="0098262F" w:rsidRDefault="007E47BA" w:rsidP="00BC70B7">
            <w:pPr>
              <w:keepNext/>
              <w:keepLines/>
              <w:rPr>
                <w:rFonts w:ascii="Arial Narrow" w:hAnsi="Arial Narrow"/>
                <w:b/>
                <w:sz w:val="20"/>
                <w:szCs w:val="20"/>
              </w:rPr>
            </w:pPr>
            <w:r w:rsidRPr="0098262F">
              <w:rPr>
                <w:rFonts w:ascii="Arial Narrow" w:hAnsi="Arial Narrow"/>
                <w:b/>
                <w:sz w:val="20"/>
                <w:szCs w:val="20"/>
              </w:rPr>
              <w:t>Available brands</w:t>
            </w:r>
          </w:p>
        </w:tc>
      </w:tr>
      <w:tr w:rsidR="007E47BA" w:rsidRPr="0098262F" w14:paraId="78BDE78C" w14:textId="77777777">
        <w:trPr>
          <w:cantSplit/>
          <w:trHeight w:val="20"/>
        </w:trPr>
        <w:tc>
          <w:tcPr>
            <w:tcW w:w="9017" w:type="dxa"/>
            <w:gridSpan w:val="6"/>
            <w:vAlign w:val="center"/>
          </w:tcPr>
          <w:p w14:paraId="5A0479B4" w14:textId="77777777" w:rsidR="007E47BA" w:rsidRPr="0098262F" w:rsidRDefault="007E47BA" w:rsidP="0009520E">
            <w:pPr>
              <w:pStyle w:val="TableText0"/>
              <w:rPr>
                <w:rFonts w:cs="Arial"/>
              </w:rPr>
            </w:pPr>
            <w:r>
              <w:t>PEGUNIGALSIDASE ALFA</w:t>
            </w:r>
            <w:r w:rsidRPr="0098262F">
              <w:rPr>
                <w:rFonts w:cs="Arial"/>
                <w:color w:val="0066FF"/>
              </w:rPr>
              <w:t xml:space="preserve"> </w:t>
            </w:r>
          </w:p>
        </w:tc>
      </w:tr>
      <w:tr w:rsidR="007E47BA" w:rsidRPr="0098262F" w14:paraId="48590048" w14:textId="77777777">
        <w:trPr>
          <w:cantSplit/>
          <w:trHeight w:val="20"/>
        </w:trPr>
        <w:tc>
          <w:tcPr>
            <w:tcW w:w="2972" w:type="dxa"/>
            <w:vAlign w:val="center"/>
          </w:tcPr>
          <w:p w14:paraId="2868DB0D" w14:textId="33AC3C39" w:rsidR="007E47BA" w:rsidRPr="0098262F" w:rsidRDefault="007E47BA" w:rsidP="009D09F4">
            <w:pPr>
              <w:keepNext/>
              <w:keepLines/>
              <w:rPr>
                <w:rFonts w:ascii="Arial Narrow" w:hAnsi="Arial Narrow"/>
                <w:color w:val="0066FF"/>
                <w:sz w:val="20"/>
                <w:szCs w:val="20"/>
              </w:rPr>
            </w:pPr>
            <w:r w:rsidRPr="00A26F90">
              <w:rPr>
                <w:rFonts w:ascii="Arial Narrow" w:hAnsi="Arial Narrow"/>
                <w:sz w:val="20"/>
                <w:szCs w:val="20"/>
              </w:rPr>
              <w:t>pegunigalsidase alfa 20 mg/10 mL (2</w:t>
            </w:r>
            <w:r w:rsidR="00987CFA">
              <w:rPr>
                <w:rFonts w:ascii="Arial Narrow" w:hAnsi="Arial Narrow"/>
                <w:sz w:val="20"/>
                <w:szCs w:val="20"/>
              </w:rPr>
              <w:t> </w:t>
            </w:r>
            <w:r w:rsidRPr="00A26F90">
              <w:rPr>
                <w:rFonts w:ascii="Arial Narrow" w:hAnsi="Arial Narrow"/>
                <w:sz w:val="20"/>
                <w:szCs w:val="20"/>
              </w:rPr>
              <w:t>mg/mL) solution in a single-dose vial</w:t>
            </w:r>
          </w:p>
        </w:tc>
        <w:tc>
          <w:tcPr>
            <w:tcW w:w="1779" w:type="dxa"/>
          </w:tcPr>
          <w:p w14:paraId="59A8387E" w14:textId="77777777" w:rsidR="007E47BA" w:rsidRPr="00A26F90" w:rsidRDefault="007E47BA" w:rsidP="0009520E">
            <w:pPr>
              <w:pStyle w:val="TableText0"/>
            </w:pPr>
            <w:r w:rsidRPr="00A26F90">
              <w:t>Published price</w:t>
            </w:r>
          </w:p>
          <w:p w14:paraId="258C3183" w14:textId="65969BE4" w:rsidR="007E47BA" w:rsidRDefault="007E47BA" w:rsidP="0009520E">
            <w:pPr>
              <w:pStyle w:val="TableText0"/>
            </w:pPr>
            <w:r>
              <w:t xml:space="preserve">Public: </w:t>
            </w:r>
            <w:r w:rsidR="0067772E" w:rsidRPr="0067772E">
              <w:rPr>
                <w:color w:val="000000"/>
                <w:spacing w:val="51"/>
                <w:shd w:val="solid" w:color="000000" w:fill="000000"/>
                <w:fitText w:val="326" w:id="-628909567"/>
                <w14:textFill>
                  <w14:solidFill>
                    <w14:srgbClr w14:val="000000">
                      <w14:alpha w14:val="100000"/>
                    </w14:srgbClr>
                  </w14:solidFill>
                </w14:textFill>
              </w:rPr>
              <w:t>|||</w:t>
            </w:r>
            <w:r w:rsidR="0067772E" w:rsidRPr="0067772E">
              <w:rPr>
                <w:color w:val="000000"/>
                <w:spacing w:val="3"/>
                <w:shd w:val="solid" w:color="000000" w:fill="000000"/>
                <w:fitText w:val="326" w:id="-628909567"/>
                <w14:textFill>
                  <w14:solidFill>
                    <w14:srgbClr w14:val="000000">
                      <w14:alpha w14:val="100000"/>
                    </w14:srgbClr>
                  </w14:solidFill>
                </w14:textFill>
              </w:rPr>
              <w:t>|</w:t>
            </w:r>
          </w:p>
          <w:p w14:paraId="0E542C1C" w14:textId="4F06663F" w:rsidR="007E47BA" w:rsidRPr="0098262F" w:rsidRDefault="007E47BA" w:rsidP="0009520E">
            <w:pPr>
              <w:pStyle w:val="TableText0"/>
            </w:pPr>
            <w:r>
              <w:t xml:space="preserve">Private: </w:t>
            </w:r>
            <w:r w:rsidR="0067772E">
              <w:rPr>
                <w:color w:val="000000"/>
                <w:spacing w:val="51"/>
                <w:shd w:val="solid" w:color="000000" w:fill="000000"/>
                <w:fitText w:val="326" w:id="-628909566"/>
                <w14:textFill>
                  <w14:solidFill>
                    <w14:srgbClr w14:val="000000">
                      <w14:alpha w14:val="100000"/>
                    </w14:srgbClr>
                  </w14:solidFill>
                </w14:textFill>
              </w:rPr>
              <w:t>|||</w:t>
            </w:r>
            <w:r w:rsidR="0067772E">
              <w:rPr>
                <w:color w:val="000000"/>
                <w:spacing w:val="1"/>
                <w:shd w:val="solid" w:color="000000" w:fill="000000"/>
                <w:fitText w:val="326" w:id="-628909566"/>
                <w14:textFill>
                  <w14:solidFill>
                    <w14:srgbClr w14:val="000000">
                      <w14:alpha w14:val="100000"/>
                    </w14:srgbClr>
                  </w14:solidFill>
                </w14:textFill>
              </w:rPr>
              <w:t>|</w:t>
            </w:r>
          </w:p>
        </w:tc>
        <w:tc>
          <w:tcPr>
            <w:tcW w:w="812" w:type="dxa"/>
            <w:vAlign w:val="center"/>
          </w:tcPr>
          <w:p w14:paraId="4E2CE684" w14:textId="77777777" w:rsidR="007E47BA" w:rsidRPr="0098262F" w:rsidRDefault="007E47BA" w:rsidP="009D09F4">
            <w:pPr>
              <w:keepNext/>
              <w:keepLines/>
              <w:jc w:val="center"/>
              <w:rPr>
                <w:rFonts w:ascii="Arial Narrow" w:hAnsi="Arial Narrow"/>
                <w:sz w:val="20"/>
                <w:szCs w:val="20"/>
              </w:rPr>
            </w:pPr>
            <w:r>
              <w:rPr>
                <w:rFonts w:ascii="Arial Narrow" w:hAnsi="Arial Narrow"/>
                <w:sz w:val="20"/>
              </w:rPr>
              <w:t>12</w:t>
            </w:r>
          </w:p>
        </w:tc>
        <w:tc>
          <w:tcPr>
            <w:tcW w:w="811" w:type="dxa"/>
            <w:vAlign w:val="center"/>
          </w:tcPr>
          <w:p w14:paraId="2B944692" w14:textId="77777777" w:rsidR="007E47BA" w:rsidRPr="0098262F" w:rsidRDefault="007E47BA" w:rsidP="009D09F4">
            <w:pPr>
              <w:keepNext/>
              <w:keepLines/>
              <w:jc w:val="center"/>
              <w:rPr>
                <w:rFonts w:ascii="Arial Narrow" w:hAnsi="Arial Narrow"/>
                <w:sz w:val="20"/>
                <w:szCs w:val="20"/>
              </w:rPr>
            </w:pPr>
            <w:r>
              <w:rPr>
                <w:rFonts w:ascii="Arial Narrow" w:hAnsi="Arial Narrow"/>
                <w:sz w:val="20"/>
              </w:rPr>
              <w:t>1</w:t>
            </w:r>
          </w:p>
        </w:tc>
        <w:tc>
          <w:tcPr>
            <w:tcW w:w="812" w:type="dxa"/>
            <w:vAlign w:val="center"/>
          </w:tcPr>
          <w:p w14:paraId="7264291A" w14:textId="77777777" w:rsidR="007E47BA" w:rsidRPr="0098262F" w:rsidRDefault="007E47BA" w:rsidP="009D09F4">
            <w:pPr>
              <w:keepNext/>
              <w:keepLines/>
              <w:jc w:val="center"/>
              <w:rPr>
                <w:rFonts w:ascii="Arial Narrow" w:hAnsi="Arial Narrow"/>
                <w:sz w:val="20"/>
                <w:szCs w:val="20"/>
              </w:rPr>
            </w:pPr>
            <w:r>
              <w:rPr>
                <w:rFonts w:ascii="Arial Narrow" w:hAnsi="Arial Narrow"/>
                <w:sz w:val="20"/>
              </w:rPr>
              <w:t>5</w:t>
            </w:r>
          </w:p>
        </w:tc>
        <w:tc>
          <w:tcPr>
            <w:tcW w:w="1831" w:type="dxa"/>
            <w:vAlign w:val="center"/>
          </w:tcPr>
          <w:p w14:paraId="0789B107" w14:textId="77A987DA" w:rsidR="007E47BA" w:rsidRPr="0098262F" w:rsidRDefault="0025570A" w:rsidP="009D09F4">
            <w:pPr>
              <w:keepNext/>
              <w:keepLines/>
              <w:jc w:val="left"/>
              <w:rPr>
                <w:rFonts w:ascii="Arial Narrow" w:hAnsi="Arial Narrow"/>
                <w:color w:val="0066FF"/>
                <w:sz w:val="20"/>
                <w:szCs w:val="20"/>
              </w:rPr>
            </w:pPr>
            <w:r>
              <w:rPr>
                <w:rFonts w:ascii="Arial Narrow" w:hAnsi="Arial Narrow"/>
                <w:sz w:val="20"/>
                <w:szCs w:val="20"/>
              </w:rPr>
              <w:t>Elfabrio</w:t>
            </w:r>
          </w:p>
        </w:tc>
      </w:tr>
    </w:tbl>
    <w:p w14:paraId="196CA07A" w14:textId="77777777" w:rsidR="007E47BA" w:rsidRDefault="007E47BA" w:rsidP="009D09F4">
      <w:bookmarkStart w:id="10" w:name="_Hlk104809082"/>
      <w:bookmarkEnd w:id="9"/>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850"/>
        <w:gridCol w:w="2663"/>
        <w:gridCol w:w="811"/>
        <w:gridCol w:w="812"/>
        <w:gridCol w:w="811"/>
        <w:gridCol w:w="812"/>
        <w:gridCol w:w="1836"/>
      </w:tblGrid>
      <w:tr w:rsidR="00D508F9" w:rsidRPr="00AD0449" w14:paraId="182A2142" w14:textId="77777777">
        <w:trPr>
          <w:cantSplit/>
          <w:trHeight w:val="20"/>
        </w:trPr>
        <w:tc>
          <w:tcPr>
            <w:tcW w:w="3939" w:type="dxa"/>
            <w:gridSpan w:val="3"/>
            <w:vAlign w:val="center"/>
          </w:tcPr>
          <w:p w14:paraId="0B5D3957" w14:textId="77777777" w:rsidR="00D508F9" w:rsidRPr="00A05716" w:rsidRDefault="00D508F9">
            <w:pPr>
              <w:keepLines/>
              <w:rPr>
                <w:rFonts w:ascii="Arial Narrow" w:hAnsi="Arial Narrow"/>
                <w:b/>
                <w:bCs/>
                <w:sz w:val="20"/>
                <w:szCs w:val="20"/>
              </w:rPr>
            </w:pPr>
            <w:r w:rsidRPr="00A05716">
              <w:rPr>
                <w:rFonts w:ascii="Arial Narrow" w:hAnsi="Arial Narrow"/>
                <w:b/>
                <w:bCs/>
                <w:sz w:val="20"/>
                <w:szCs w:val="20"/>
              </w:rPr>
              <w:t>MEDICINAL PRODUCT</w:t>
            </w:r>
          </w:p>
          <w:p w14:paraId="126D760E" w14:textId="77777777" w:rsidR="00D508F9" w:rsidRPr="00A05716" w:rsidRDefault="00D508F9">
            <w:pPr>
              <w:keepLines/>
              <w:rPr>
                <w:rFonts w:ascii="Arial Narrow" w:hAnsi="Arial Narrow"/>
                <w:b/>
                <w:sz w:val="20"/>
                <w:szCs w:val="20"/>
              </w:rPr>
            </w:pPr>
            <w:r w:rsidRPr="00A05716">
              <w:rPr>
                <w:rFonts w:ascii="Arial Narrow" w:hAnsi="Arial Narrow"/>
                <w:b/>
                <w:bCs/>
                <w:sz w:val="20"/>
                <w:szCs w:val="20"/>
              </w:rPr>
              <w:t>medicinal product pack</w:t>
            </w:r>
          </w:p>
        </w:tc>
        <w:tc>
          <w:tcPr>
            <w:tcW w:w="811" w:type="dxa"/>
            <w:vAlign w:val="center"/>
          </w:tcPr>
          <w:p w14:paraId="0C56BA73" w14:textId="77777777" w:rsidR="00D508F9" w:rsidRPr="00A05716" w:rsidRDefault="00D508F9">
            <w:pPr>
              <w:keepLines/>
              <w:jc w:val="center"/>
              <w:rPr>
                <w:rFonts w:ascii="Arial Narrow" w:hAnsi="Arial Narrow"/>
                <w:b/>
                <w:sz w:val="20"/>
                <w:szCs w:val="20"/>
              </w:rPr>
            </w:pPr>
            <w:r w:rsidRPr="00A05716">
              <w:rPr>
                <w:rFonts w:ascii="Arial Narrow" w:hAnsi="Arial Narrow"/>
                <w:b/>
                <w:sz w:val="20"/>
                <w:szCs w:val="20"/>
              </w:rPr>
              <w:t>PBS item code</w:t>
            </w:r>
          </w:p>
        </w:tc>
        <w:tc>
          <w:tcPr>
            <w:tcW w:w="812" w:type="dxa"/>
            <w:vAlign w:val="center"/>
          </w:tcPr>
          <w:p w14:paraId="763B8C90" w14:textId="77777777" w:rsidR="00D508F9" w:rsidRPr="00A05716" w:rsidRDefault="00D508F9">
            <w:pPr>
              <w:keepLines/>
              <w:jc w:val="center"/>
              <w:rPr>
                <w:rFonts w:ascii="Arial Narrow" w:hAnsi="Arial Narrow"/>
                <w:b/>
                <w:sz w:val="20"/>
                <w:szCs w:val="20"/>
              </w:rPr>
            </w:pPr>
            <w:r w:rsidRPr="00A05716">
              <w:rPr>
                <w:rFonts w:ascii="Arial Narrow" w:hAnsi="Arial Narrow"/>
                <w:b/>
                <w:sz w:val="20"/>
                <w:szCs w:val="20"/>
              </w:rPr>
              <w:t>Max. qty packs</w:t>
            </w:r>
          </w:p>
        </w:tc>
        <w:tc>
          <w:tcPr>
            <w:tcW w:w="811" w:type="dxa"/>
            <w:vAlign w:val="center"/>
          </w:tcPr>
          <w:p w14:paraId="658C78C1" w14:textId="77777777" w:rsidR="00D508F9" w:rsidRPr="00A05716" w:rsidRDefault="00D508F9">
            <w:pPr>
              <w:keepLines/>
              <w:jc w:val="center"/>
              <w:rPr>
                <w:rFonts w:ascii="Arial Narrow" w:hAnsi="Arial Narrow"/>
                <w:b/>
                <w:sz w:val="20"/>
                <w:szCs w:val="20"/>
              </w:rPr>
            </w:pPr>
            <w:r w:rsidRPr="00A05716">
              <w:rPr>
                <w:rFonts w:ascii="Arial Narrow" w:hAnsi="Arial Narrow"/>
                <w:b/>
                <w:sz w:val="20"/>
                <w:szCs w:val="20"/>
              </w:rPr>
              <w:t>Max. qty units</w:t>
            </w:r>
          </w:p>
        </w:tc>
        <w:tc>
          <w:tcPr>
            <w:tcW w:w="812" w:type="dxa"/>
            <w:vAlign w:val="center"/>
          </w:tcPr>
          <w:p w14:paraId="59017B79" w14:textId="77777777" w:rsidR="00D508F9" w:rsidRPr="00A05716" w:rsidRDefault="00D508F9">
            <w:pPr>
              <w:keepLines/>
              <w:jc w:val="center"/>
              <w:rPr>
                <w:rFonts w:ascii="Arial Narrow" w:hAnsi="Arial Narrow"/>
                <w:b/>
                <w:sz w:val="20"/>
                <w:szCs w:val="20"/>
              </w:rPr>
            </w:pPr>
            <w:r w:rsidRPr="00A05716">
              <w:rPr>
                <w:rFonts w:ascii="Arial Narrow" w:hAnsi="Arial Narrow"/>
                <w:b/>
                <w:sz w:val="20"/>
                <w:szCs w:val="20"/>
              </w:rPr>
              <w:t>№.of</w:t>
            </w:r>
          </w:p>
          <w:p w14:paraId="28EAB85C" w14:textId="77777777" w:rsidR="00D508F9" w:rsidRPr="00A05716" w:rsidRDefault="00D508F9">
            <w:pPr>
              <w:keepLines/>
              <w:jc w:val="center"/>
              <w:rPr>
                <w:rFonts w:ascii="Arial Narrow" w:hAnsi="Arial Narrow"/>
                <w:b/>
                <w:sz w:val="20"/>
                <w:szCs w:val="20"/>
              </w:rPr>
            </w:pPr>
            <w:r w:rsidRPr="00A05716">
              <w:rPr>
                <w:rFonts w:ascii="Arial Narrow" w:hAnsi="Arial Narrow"/>
                <w:b/>
                <w:sz w:val="20"/>
                <w:szCs w:val="20"/>
              </w:rPr>
              <w:t>Rpts</w:t>
            </w:r>
          </w:p>
        </w:tc>
        <w:tc>
          <w:tcPr>
            <w:tcW w:w="1836" w:type="dxa"/>
            <w:vAlign w:val="center"/>
          </w:tcPr>
          <w:p w14:paraId="4FAF6E5F" w14:textId="77777777" w:rsidR="00D508F9" w:rsidRPr="00D2098F" w:rsidRDefault="00D508F9">
            <w:pPr>
              <w:keepLines/>
              <w:rPr>
                <w:rFonts w:ascii="Arial Narrow" w:hAnsi="Arial Narrow"/>
                <w:b/>
                <w:sz w:val="20"/>
                <w:szCs w:val="20"/>
              </w:rPr>
            </w:pPr>
            <w:r w:rsidRPr="00A05716">
              <w:rPr>
                <w:rFonts w:ascii="Arial Narrow" w:hAnsi="Arial Narrow"/>
                <w:b/>
                <w:sz w:val="20"/>
                <w:szCs w:val="20"/>
              </w:rPr>
              <w:t>Available brands</w:t>
            </w:r>
          </w:p>
        </w:tc>
      </w:tr>
      <w:tr w:rsidR="00D508F9" w:rsidRPr="00AD0449" w14:paraId="01DA1909" w14:textId="77777777">
        <w:trPr>
          <w:cantSplit/>
          <w:trHeight w:val="20"/>
        </w:trPr>
        <w:tc>
          <w:tcPr>
            <w:tcW w:w="9021" w:type="dxa"/>
            <w:gridSpan w:val="8"/>
            <w:vAlign w:val="center"/>
          </w:tcPr>
          <w:p w14:paraId="234AA64A" w14:textId="77777777" w:rsidR="00D508F9" w:rsidRPr="00A05716" w:rsidRDefault="00D508F9">
            <w:pPr>
              <w:keepLines/>
              <w:rPr>
                <w:rFonts w:ascii="Arial Narrow" w:hAnsi="Arial Narrow"/>
                <w:sz w:val="20"/>
                <w:szCs w:val="20"/>
              </w:rPr>
            </w:pPr>
            <w:r w:rsidRPr="00A05716">
              <w:rPr>
                <w:rFonts w:ascii="Arial Narrow" w:hAnsi="Arial Narrow"/>
                <w:sz w:val="20"/>
                <w:szCs w:val="20"/>
              </w:rPr>
              <w:t>PEGUNIGALSIDASE ALFA</w:t>
            </w:r>
          </w:p>
        </w:tc>
      </w:tr>
      <w:tr w:rsidR="00D508F9" w:rsidRPr="00AD0449" w14:paraId="4ECDAB5C" w14:textId="77777777">
        <w:trPr>
          <w:cantSplit/>
          <w:trHeight w:val="20"/>
        </w:trPr>
        <w:tc>
          <w:tcPr>
            <w:tcW w:w="3939" w:type="dxa"/>
            <w:gridSpan w:val="3"/>
            <w:vAlign w:val="center"/>
          </w:tcPr>
          <w:p w14:paraId="26FF31EE" w14:textId="4FF4490E" w:rsidR="00D508F9" w:rsidRPr="00A05716" w:rsidRDefault="00D508F9">
            <w:pPr>
              <w:keepLines/>
              <w:rPr>
                <w:rFonts w:ascii="Arial Narrow" w:hAnsi="Arial Narrow"/>
                <w:sz w:val="20"/>
                <w:szCs w:val="20"/>
              </w:rPr>
            </w:pPr>
            <w:r w:rsidRPr="00A05716">
              <w:rPr>
                <w:rFonts w:ascii="Arial Narrow" w:hAnsi="Arial Narrow"/>
                <w:sz w:val="20"/>
                <w:szCs w:val="20"/>
              </w:rPr>
              <w:t xml:space="preserve">pegunigalsidase alfa 20 mg/10 mL injection, 10 mL vial </w:t>
            </w:r>
          </w:p>
        </w:tc>
        <w:tc>
          <w:tcPr>
            <w:tcW w:w="811" w:type="dxa"/>
            <w:vAlign w:val="center"/>
          </w:tcPr>
          <w:p w14:paraId="272B5221" w14:textId="77777777" w:rsidR="00D508F9" w:rsidRPr="00A05716" w:rsidRDefault="00D508F9">
            <w:pPr>
              <w:keepLines/>
              <w:jc w:val="center"/>
              <w:rPr>
                <w:rFonts w:ascii="Arial Narrow" w:hAnsi="Arial Narrow"/>
                <w:sz w:val="20"/>
                <w:szCs w:val="20"/>
              </w:rPr>
            </w:pPr>
            <w:r w:rsidRPr="00A05716">
              <w:rPr>
                <w:rFonts w:ascii="Arial Narrow" w:hAnsi="Arial Narrow"/>
                <w:sz w:val="20"/>
                <w:szCs w:val="20"/>
              </w:rPr>
              <w:t>NEW</w:t>
            </w:r>
          </w:p>
        </w:tc>
        <w:tc>
          <w:tcPr>
            <w:tcW w:w="812" w:type="dxa"/>
            <w:vAlign w:val="center"/>
          </w:tcPr>
          <w:p w14:paraId="43FA7E3A" w14:textId="77777777" w:rsidR="00D508F9" w:rsidRPr="00A05716" w:rsidRDefault="00D508F9">
            <w:pPr>
              <w:keepLines/>
              <w:jc w:val="center"/>
              <w:rPr>
                <w:rFonts w:ascii="Arial Narrow" w:hAnsi="Arial Narrow"/>
                <w:i/>
                <w:iCs/>
                <w:strike/>
                <w:sz w:val="20"/>
                <w:szCs w:val="20"/>
              </w:rPr>
            </w:pPr>
            <w:r w:rsidRPr="00A05716">
              <w:rPr>
                <w:rFonts w:ascii="Arial Narrow" w:hAnsi="Arial Narrow"/>
                <w:sz w:val="20"/>
                <w:szCs w:val="20"/>
              </w:rPr>
              <w:t>1</w:t>
            </w:r>
          </w:p>
        </w:tc>
        <w:tc>
          <w:tcPr>
            <w:tcW w:w="811" w:type="dxa"/>
            <w:vAlign w:val="center"/>
          </w:tcPr>
          <w:p w14:paraId="7BC9406C" w14:textId="77777777" w:rsidR="00D508F9" w:rsidRPr="00A05716" w:rsidRDefault="00D508F9">
            <w:pPr>
              <w:keepLines/>
              <w:jc w:val="center"/>
              <w:rPr>
                <w:rFonts w:ascii="Arial Narrow" w:hAnsi="Arial Narrow"/>
                <w:i/>
                <w:iCs/>
                <w:sz w:val="20"/>
                <w:szCs w:val="20"/>
              </w:rPr>
            </w:pPr>
            <w:r w:rsidRPr="00A05716">
              <w:rPr>
                <w:rFonts w:ascii="Arial Narrow" w:hAnsi="Arial Narrow"/>
                <w:strike/>
                <w:sz w:val="20"/>
                <w:szCs w:val="20"/>
              </w:rPr>
              <w:t>12</w:t>
            </w:r>
            <w:r w:rsidRPr="00A05716">
              <w:rPr>
                <w:rFonts w:ascii="Arial Narrow" w:hAnsi="Arial Narrow"/>
                <w:i/>
                <w:iCs/>
                <w:sz w:val="20"/>
                <w:szCs w:val="20"/>
              </w:rPr>
              <w:t xml:space="preserve"> 1 </w:t>
            </w:r>
          </w:p>
        </w:tc>
        <w:tc>
          <w:tcPr>
            <w:tcW w:w="812" w:type="dxa"/>
            <w:vAlign w:val="center"/>
          </w:tcPr>
          <w:p w14:paraId="72B968C4" w14:textId="77777777" w:rsidR="00D508F9" w:rsidRPr="00A05716" w:rsidRDefault="00D508F9">
            <w:pPr>
              <w:keepLines/>
              <w:jc w:val="center"/>
              <w:rPr>
                <w:rFonts w:ascii="Arial Narrow" w:hAnsi="Arial Narrow"/>
                <w:sz w:val="20"/>
                <w:szCs w:val="20"/>
              </w:rPr>
            </w:pPr>
            <w:r w:rsidRPr="00A05716">
              <w:rPr>
                <w:rFonts w:ascii="Arial Narrow" w:hAnsi="Arial Narrow"/>
                <w:sz w:val="20"/>
                <w:szCs w:val="20"/>
              </w:rPr>
              <w:t>5</w:t>
            </w:r>
          </w:p>
        </w:tc>
        <w:tc>
          <w:tcPr>
            <w:tcW w:w="1836" w:type="dxa"/>
            <w:vAlign w:val="center"/>
          </w:tcPr>
          <w:p w14:paraId="4DF51905" w14:textId="77777777" w:rsidR="00D508F9" w:rsidRPr="00A05716" w:rsidRDefault="00D508F9">
            <w:pPr>
              <w:keepLines/>
              <w:rPr>
                <w:rFonts w:ascii="Arial Narrow" w:hAnsi="Arial Narrow"/>
                <w:sz w:val="20"/>
                <w:szCs w:val="20"/>
              </w:rPr>
            </w:pPr>
            <w:r w:rsidRPr="00A05716">
              <w:rPr>
                <w:rFonts w:ascii="Arial Narrow" w:hAnsi="Arial Narrow"/>
                <w:sz w:val="20"/>
                <w:szCs w:val="20"/>
              </w:rPr>
              <w:t>Elfabrio</w:t>
            </w:r>
          </w:p>
        </w:tc>
      </w:tr>
      <w:tr w:rsidR="00D508F9" w:rsidRPr="00AD0449" w14:paraId="32828398" w14:textId="77777777">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4333BA65" w14:textId="77777777" w:rsidR="00D508F9" w:rsidRPr="00A05716" w:rsidRDefault="00D508F9">
            <w:pPr>
              <w:rPr>
                <w:rFonts w:ascii="Arial Narrow" w:hAnsi="Arial Narrow"/>
                <w:sz w:val="20"/>
                <w:szCs w:val="20"/>
              </w:rPr>
            </w:pPr>
          </w:p>
        </w:tc>
      </w:tr>
      <w:tr w:rsidR="00D508F9" w:rsidRPr="00AD0449" w14:paraId="7CE0799D" w14:textId="77777777">
        <w:tblPrEx>
          <w:tblCellMar>
            <w:top w:w="15" w:type="dxa"/>
            <w:bottom w:w="15" w:type="dxa"/>
          </w:tblCellMar>
          <w:tblLook w:val="04A0" w:firstRow="1" w:lastRow="0" w:firstColumn="1" w:lastColumn="0" w:noHBand="0" w:noVBand="1"/>
        </w:tblPrEx>
        <w:trPr>
          <w:trHeight w:val="20"/>
        </w:trPr>
        <w:tc>
          <w:tcPr>
            <w:tcW w:w="9021" w:type="dxa"/>
            <w:gridSpan w:val="8"/>
            <w:tcBorders>
              <w:top w:val="single" w:sz="4" w:space="0" w:color="auto"/>
              <w:left w:val="single" w:sz="4" w:space="0" w:color="auto"/>
              <w:right w:val="single" w:sz="4" w:space="0" w:color="auto"/>
            </w:tcBorders>
            <w:vAlign w:val="center"/>
          </w:tcPr>
          <w:p w14:paraId="53FF1BF5" w14:textId="77777777" w:rsidR="00D508F9" w:rsidRPr="00A05716" w:rsidRDefault="00D508F9">
            <w:pPr>
              <w:rPr>
                <w:rFonts w:ascii="Arial Narrow" w:hAnsi="Arial Narrow"/>
                <w:sz w:val="20"/>
                <w:szCs w:val="20"/>
              </w:rPr>
            </w:pPr>
            <w:r w:rsidRPr="00A05716">
              <w:rPr>
                <w:rFonts w:ascii="Arial Narrow" w:hAnsi="Arial Narrow"/>
                <w:b/>
                <w:sz w:val="20"/>
                <w:szCs w:val="20"/>
              </w:rPr>
              <w:t>Restriction Summary [new]</w:t>
            </w:r>
            <w:r w:rsidRPr="00A05716">
              <w:rPr>
                <w:rFonts w:ascii="Arial Narrow" w:hAnsi="Arial Narrow"/>
                <w:b/>
                <w:color w:val="FF0000"/>
                <w:sz w:val="20"/>
                <w:szCs w:val="20"/>
              </w:rPr>
              <w:t xml:space="preserve"> </w:t>
            </w:r>
            <w:r w:rsidRPr="00A05716">
              <w:rPr>
                <w:rFonts w:ascii="Arial Narrow" w:hAnsi="Arial Narrow"/>
                <w:b/>
                <w:sz w:val="20"/>
                <w:szCs w:val="20"/>
              </w:rPr>
              <w:t xml:space="preserve">/ Treatment of Concept: [new] </w:t>
            </w:r>
          </w:p>
        </w:tc>
      </w:tr>
      <w:tr w:rsidR="00D508F9" w:rsidRPr="00AD0449" w14:paraId="64849BFD" w14:textId="77777777">
        <w:tblPrEx>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4AA686A7" w14:textId="77777777" w:rsidR="00D508F9" w:rsidRPr="00A05716" w:rsidRDefault="00D508F9">
            <w:pPr>
              <w:jc w:val="left"/>
              <w:rPr>
                <w:rFonts w:ascii="Arial Narrow" w:hAnsi="Arial Narrow"/>
                <w:sz w:val="20"/>
                <w:szCs w:val="20"/>
              </w:rPr>
            </w:pPr>
            <w:r w:rsidRPr="00A05716">
              <w:rPr>
                <w:rFonts w:ascii="Arial Narrow" w:hAnsi="Arial Narrow"/>
                <w:b/>
                <w:sz w:val="20"/>
                <w:szCs w:val="20"/>
              </w:rPr>
              <w:t>Concept ID</w:t>
            </w:r>
          </w:p>
          <w:p w14:paraId="71889001" w14:textId="77777777" w:rsidR="00D508F9" w:rsidRPr="00A05716" w:rsidRDefault="00D508F9">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096050" w14:textId="77777777" w:rsidR="00D508F9" w:rsidRPr="00A05716" w:rsidRDefault="00D508F9">
            <w:pPr>
              <w:keepLines/>
              <w:jc w:val="left"/>
              <w:rPr>
                <w:rFonts w:ascii="Arial Narrow" w:hAnsi="Arial Narrow"/>
                <w:sz w:val="20"/>
                <w:szCs w:val="20"/>
              </w:rPr>
            </w:pPr>
            <w:r w:rsidRPr="00A05716">
              <w:rPr>
                <w:rFonts w:ascii="Arial Narrow" w:hAnsi="Arial Narrow"/>
                <w:b/>
                <w:sz w:val="20"/>
                <w:szCs w:val="20"/>
              </w:rPr>
              <w:t>Category / Program:</w:t>
            </w:r>
            <w:r w:rsidRPr="00A05716">
              <w:rPr>
                <w:rFonts w:ascii="Arial Narrow" w:hAnsi="Arial Narrow"/>
                <w:sz w:val="20"/>
                <w:szCs w:val="20"/>
              </w:rPr>
              <w:t xml:space="preserve"> </w:t>
            </w:r>
          </w:p>
          <w:p w14:paraId="45C0B0E8" w14:textId="77777777" w:rsidR="00D508F9" w:rsidRPr="00A05716" w:rsidRDefault="00D508F9">
            <w:pPr>
              <w:keepLines/>
              <w:jc w:val="left"/>
              <w:rPr>
                <w:rFonts w:ascii="Arial Narrow" w:eastAsia="Calibri" w:hAnsi="Arial Narrow"/>
                <w:sz w:val="20"/>
                <w:szCs w:val="20"/>
              </w:rPr>
            </w:pPr>
            <w:r w:rsidRPr="00A05716">
              <w:rPr>
                <w:rFonts w:ascii="Arial Narrow" w:hAnsi="Arial Narrow"/>
                <w:sz w:val="20"/>
                <w:szCs w:val="20"/>
              </w:rPr>
              <w:fldChar w:fldCharType="begin" w:fldLock="1">
                <w:ffData>
                  <w:name w:val=""/>
                  <w:enabled/>
                  <w:calcOnExit w:val="0"/>
                  <w:checkBox>
                    <w:sizeAuto/>
                    <w:default w:val="1"/>
                  </w:checkBox>
                </w:ffData>
              </w:fldChar>
            </w:r>
            <w:r w:rsidRPr="00A05716">
              <w:rPr>
                <w:rFonts w:ascii="Arial Narrow" w:hAnsi="Arial Narrow"/>
                <w:sz w:val="20"/>
                <w:szCs w:val="20"/>
              </w:rPr>
              <w:instrText xml:space="preserve"> FORMCHECKBOX </w:instrText>
            </w:r>
            <w:r w:rsidRPr="00A05716">
              <w:rPr>
                <w:rFonts w:ascii="Arial Narrow" w:hAnsi="Arial Narrow"/>
                <w:sz w:val="20"/>
                <w:szCs w:val="20"/>
              </w:rPr>
            </w:r>
            <w:r w:rsidRPr="00A05716">
              <w:rPr>
                <w:rFonts w:ascii="Arial Narrow" w:hAnsi="Arial Narrow"/>
                <w:sz w:val="20"/>
                <w:szCs w:val="20"/>
              </w:rPr>
              <w:fldChar w:fldCharType="separate"/>
            </w:r>
            <w:r w:rsidRPr="00A05716">
              <w:rPr>
                <w:rFonts w:ascii="Arial Narrow" w:hAnsi="Arial Narrow"/>
                <w:sz w:val="20"/>
                <w:szCs w:val="20"/>
              </w:rPr>
              <w:fldChar w:fldCharType="end"/>
            </w:r>
            <w:r w:rsidRPr="00A05716">
              <w:rPr>
                <w:rFonts w:ascii="Arial Narrow" w:hAnsi="Arial Narrow"/>
                <w:sz w:val="20"/>
                <w:szCs w:val="20"/>
              </w:rPr>
              <w:t xml:space="preserve"> </w:t>
            </w:r>
            <w:r w:rsidRPr="00A05716">
              <w:rPr>
                <w:rFonts w:ascii="Arial Narrow" w:eastAsia="Calibri" w:hAnsi="Arial Narrow"/>
                <w:sz w:val="20"/>
                <w:szCs w:val="20"/>
              </w:rPr>
              <w:t>Section 100 – Highly Specialised Drugs Program – Public (Code HB) / Private (Code HS)</w:t>
            </w:r>
          </w:p>
          <w:p w14:paraId="0C4F97F0" w14:textId="77777777" w:rsidR="00D508F9" w:rsidRPr="00A05716" w:rsidRDefault="00D508F9">
            <w:pPr>
              <w:keepLines/>
              <w:jc w:val="left"/>
              <w:rPr>
                <w:rFonts w:ascii="Arial Narrow" w:hAnsi="Arial Narrow"/>
                <w:strike/>
                <w:sz w:val="20"/>
                <w:szCs w:val="20"/>
              </w:rPr>
            </w:pPr>
            <w:r w:rsidRPr="00A05716">
              <w:rPr>
                <w:rFonts w:ascii="Arial Narrow" w:hAnsi="Arial Narrow"/>
                <w:strike/>
                <w:sz w:val="20"/>
                <w:szCs w:val="20"/>
              </w:rPr>
              <w:fldChar w:fldCharType="begin" w:fldLock="1">
                <w:ffData>
                  <w:name w:val=""/>
                  <w:enabled/>
                  <w:calcOnExit w:val="0"/>
                  <w:checkBox>
                    <w:sizeAuto/>
                    <w:default w:val="1"/>
                  </w:checkBox>
                </w:ffData>
              </w:fldChar>
            </w:r>
            <w:r w:rsidRPr="00A05716">
              <w:rPr>
                <w:rFonts w:ascii="Arial Narrow" w:hAnsi="Arial Narrow"/>
                <w:strike/>
                <w:sz w:val="20"/>
                <w:szCs w:val="20"/>
              </w:rPr>
              <w:instrText xml:space="preserve"> FORMCHECKBOX </w:instrText>
            </w:r>
            <w:r w:rsidRPr="00A05716">
              <w:rPr>
                <w:rFonts w:ascii="Arial Narrow" w:hAnsi="Arial Narrow"/>
                <w:strike/>
                <w:sz w:val="20"/>
                <w:szCs w:val="20"/>
              </w:rPr>
            </w:r>
            <w:r w:rsidRPr="00A05716">
              <w:rPr>
                <w:rFonts w:ascii="Arial Narrow" w:hAnsi="Arial Narrow"/>
                <w:strike/>
                <w:sz w:val="20"/>
                <w:szCs w:val="20"/>
              </w:rPr>
              <w:fldChar w:fldCharType="separate"/>
            </w:r>
            <w:r w:rsidRPr="00A05716">
              <w:rPr>
                <w:rFonts w:ascii="Arial Narrow" w:hAnsi="Arial Narrow"/>
                <w:strike/>
                <w:sz w:val="20"/>
                <w:szCs w:val="20"/>
              </w:rPr>
              <w:fldChar w:fldCharType="end"/>
            </w:r>
            <w:r w:rsidRPr="00A05716">
              <w:rPr>
                <w:rFonts w:ascii="Arial Narrow" w:hAnsi="Arial Narrow"/>
                <w:strike/>
                <w:sz w:val="20"/>
                <w:szCs w:val="20"/>
              </w:rPr>
              <w:t xml:space="preserve"> Section 100 – Highly Specialised Drugs Program - Community Access (Code CA)</w:t>
            </w:r>
          </w:p>
        </w:tc>
      </w:tr>
      <w:tr w:rsidR="00D508F9" w:rsidRPr="00AD0449" w14:paraId="4F240458" w14:textId="77777777">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4E6135E4" w14:textId="77777777" w:rsidR="00D508F9" w:rsidRPr="00A05716" w:rsidRDefault="00D508F9">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5D44C6" w14:textId="77777777" w:rsidR="00D508F9" w:rsidRPr="00A05716" w:rsidRDefault="00D508F9">
            <w:pPr>
              <w:keepLines/>
              <w:jc w:val="left"/>
              <w:rPr>
                <w:rFonts w:ascii="Arial Narrow" w:hAnsi="Arial Narrow"/>
                <w:b/>
                <w:sz w:val="20"/>
                <w:szCs w:val="20"/>
              </w:rPr>
            </w:pPr>
            <w:r w:rsidRPr="00A05716">
              <w:rPr>
                <w:rFonts w:ascii="Arial Narrow" w:hAnsi="Arial Narrow"/>
                <w:b/>
                <w:sz w:val="20"/>
                <w:szCs w:val="20"/>
              </w:rPr>
              <w:t xml:space="preserve">Prescriber type: </w:t>
            </w:r>
            <w:r w:rsidRPr="00A05716">
              <w:rPr>
                <w:rFonts w:ascii="Arial Narrow" w:hAnsi="Arial Narrow"/>
                <w:sz w:val="20"/>
                <w:szCs w:val="20"/>
              </w:rPr>
              <w:fldChar w:fldCharType="begin" w:fldLock="1">
                <w:ffData>
                  <w:name w:val=""/>
                  <w:enabled/>
                  <w:calcOnExit w:val="0"/>
                  <w:checkBox>
                    <w:sizeAuto/>
                    <w:default w:val="1"/>
                  </w:checkBox>
                </w:ffData>
              </w:fldChar>
            </w:r>
            <w:r w:rsidRPr="00A05716">
              <w:rPr>
                <w:rFonts w:ascii="Arial Narrow" w:hAnsi="Arial Narrow"/>
                <w:sz w:val="20"/>
                <w:szCs w:val="20"/>
              </w:rPr>
              <w:instrText xml:space="preserve"> FORMCHECKBOX </w:instrText>
            </w:r>
            <w:r w:rsidRPr="00A05716">
              <w:rPr>
                <w:rFonts w:ascii="Arial Narrow" w:hAnsi="Arial Narrow"/>
                <w:sz w:val="20"/>
                <w:szCs w:val="20"/>
              </w:rPr>
            </w:r>
            <w:r w:rsidRPr="00A05716">
              <w:rPr>
                <w:rFonts w:ascii="Arial Narrow" w:hAnsi="Arial Narrow"/>
                <w:sz w:val="20"/>
                <w:szCs w:val="20"/>
              </w:rPr>
              <w:fldChar w:fldCharType="separate"/>
            </w:r>
            <w:r w:rsidRPr="00A05716">
              <w:rPr>
                <w:rFonts w:ascii="Arial Narrow" w:hAnsi="Arial Narrow"/>
                <w:sz w:val="20"/>
                <w:szCs w:val="20"/>
              </w:rPr>
              <w:fldChar w:fldCharType="end"/>
            </w:r>
            <w:r w:rsidRPr="00A05716">
              <w:rPr>
                <w:rFonts w:ascii="Arial Narrow" w:hAnsi="Arial Narrow"/>
                <w:sz w:val="20"/>
                <w:szCs w:val="20"/>
              </w:rPr>
              <w:t xml:space="preserve"> Medical Practitioners </w:t>
            </w:r>
          </w:p>
        </w:tc>
      </w:tr>
      <w:tr w:rsidR="00D508F9" w:rsidRPr="00AD0449" w14:paraId="5C4A5C2C" w14:textId="77777777">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33C78873" w14:textId="77777777" w:rsidR="00D508F9" w:rsidRPr="00A05716" w:rsidRDefault="00D508F9">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CA8483" w14:textId="402B2609" w:rsidR="00D508F9" w:rsidRPr="00A05716" w:rsidRDefault="00D508F9">
            <w:pPr>
              <w:keepLines/>
              <w:jc w:val="left"/>
              <w:rPr>
                <w:rFonts w:ascii="Arial Narrow" w:eastAsia="Calibri" w:hAnsi="Arial Narrow"/>
                <w:sz w:val="20"/>
                <w:szCs w:val="20"/>
              </w:rPr>
            </w:pPr>
            <w:r w:rsidRPr="00A05716">
              <w:rPr>
                <w:rFonts w:ascii="Arial Narrow" w:hAnsi="Arial Narrow"/>
                <w:b/>
                <w:sz w:val="20"/>
                <w:szCs w:val="20"/>
              </w:rPr>
              <w:t>Benefit type:</w:t>
            </w:r>
            <w:r w:rsidRPr="00A05716">
              <w:rPr>
                <w:rFonts w:ascii="Arial Narrow" w:hAnsi="Arial Narrow"/>
                <w:sz w:val="20"/>
                <w:szCs w:val="20"/>
              </w:rPr>
              <w:fldChar w:fldCharType="begin" w:fldLock="1">
                <w:ffData>
                  <w:name w:val=""/>
                  <w:enabled/>
                  <w:calcOnExit w:val="0"/>
                  <w:checkBox>
                    <w:sizeAuto/>
                    <w:default w:val="1"/>
                  </w:checkBox>
                </w:ffData>
              </w:fldChar>
            </w:r>
            <w:r w:rsidRPr="00A05716">
              <w:rPr>
                <w:rFonts w:ascii="Arial Narrow" w:hAnsi="Arial Narrow"/>
                <w:sz w:val="20"/>
                <w:szCs w:val="20"/>
              </w:rPr>
              <w:instrText xml:space="preserve"> FORMCHECKBOX </w:instrText>
            </w:r>
            <w:r w:rsidRPr="00A05716">
              <w:rPr>
                <w:rFonts w:ascii="Arial Narrow" w:hAnsi="Arial Narrow"/>
                <w:sz w:val="20"/>
                <w:szCs w:val="20"/>
              </w:rPr>
            </w:r>
            <w:r w:rsidRPr="00A05716">
              <w:rPr>
                <w:rFonts w:ascii="Arial Narrow" w:hAnsi="Arial Narrow"/>
                <w:sz w:val="20"/>
                <w:szCs w:val="20"/>
              </w:rPr>
              <w:fldChar w:fldCharType="separate"/>
            </w:r>
            <w:r w:rsidRPr="00A05716">
              <w:rPr>
                <w:rFonts w:ascii="Arial Narrow" w:hAnsi="Arial Narrow"/>
                <w:sz w:val="20"/>
                <w:szCs w:val="20"/>
              </w:rPr>
              <w:fldChar w:fldCharType="end"/>
            </w:r>
            <w:r w:rsidRPr="00A05716">
              <w:rPr>
                <w:rFonts w:ascii="Arial Narrow" w:hAnsi="Arial Narrow"/>
                <w:sz w:val="20"/>
                <w:szCs w:val="20"/>
              </w:rPr>
              <w:t xml:space="preserve"> </w:t>
            </w:r>
            <w:r w:rsidRPr="00A05716">
              <w:rPr>
                <w:rFonts w:ascii="Arial Narrow" w:eastAsia="Calibri" w:hAnsi="Arial Narrow"/>
                <w:sz w:val="20"/>
                <w:szCs w:val="20"/>
              </w:rPr>
              <w:t xml:space="preserve">Authority Required (FULL assessment) in writing via OPA/post/HPOS upload) </w:t>
            </w:r>
          </w:p>
        </w:tc>
      </w:tr>
      <w:tr w:rsidR="00D508F9" w:rsidRPr="00AD0449" w14:paraId="7ABCD4A2" w14:textId="77777777">
        <w:tblPrEx>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bottom w:val="single" w:sz="4" w:space="0" w:color="auto"/>
              <w:right w:val="single" w:sz="4" w:space="0" w:color="auto"/>
            </w:tcBorders>
          </w:tcPr>
          <w:p w14:paraId="2BBEE1DF" w14:textId="77777777" w:rsidR="00D508F9" w:rsidRPr="00A05716" w:rsidRDefault="00D508F9">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EBF257" w14:textId="77777777" w:rsidR="00D508F9" w:rsidRPr="00A05716" w:rsidRDefault="00D508F9">
            <w:pPr>
              <w:keepLines/>
              <w:jc w:val="left"/>
              <w:rPr>
                <w:rFonts w:ascii="Arial Narrow" w:eastAsia="Calibri" w:hAnsi="Arial Narrow"/>
                <w:i/>
                <w:iCs/>
                <w:color w:val="FF0000"/>
                <w:sz w:val="20"/>
                <w:szCs w:val="20"/>
              </w:rPr>
            </w:pPr>
            <w:r w:rsidRPr="00A05716">
              <w:rPr>
                <w:rFonts w:ascii="Arial Narrow" w:hAnsi="Arial Narrow"/>
                <w:b/>
                <w:i/>
                <w:iCs/>
                <w:sz w:val="20"/>
                <w:szCs w:val="20"/>
              </w:rPr>
              <w:t xml:space="preserve">Authority type: </w:t>
            </w:r>
            <w:r w:rsidRPr="00A05716">
              <w:rPr>
                <w:rFonts w:ascii="Arial Narrow" w:hAnsi="Arial Narrow"/>
                <w:i/>
                <w:iCs/>
                <w:sz w:val="20"/>
                <w:szCs w:val="20"/>
              </w:rPr>
              <w:fldChar w:fldCharType="begin" w:fldLock="1">
                <w:ffData>
                  <w:name w:val=""/>
                  <w:enabled/>
                  <w:calcOnExit w:val="0"/>
                  <w:checkBox>
                    <w:sizeAuto/>
                    <w:default w:val="1"/>
                  </w:checkBox>
                </w:ffData>
              </w:fldChar>
            </w:r>
            <w:r w:rsidRPr="00A05716">
              <w:rPr>
                <w:rFonts w:ascii="Arial Narrow" w:hAnsi="Arial Narrow"/>
                <w:i/>
                <w:iCs/>
                <w:sz w:val="20"/>
                <w:szCs w:val="20"/>
              </w:rPr>
              <w:instrText xml:space="preserve"> FORMCHECKBOX </w:instrText>
            </w:r>
            <w:r w:rsidRPr="00A05716">
              <w:rPr>
                <w:rFonts w:ascii="Arial Narrow" w:hAnsi="Arial Narrow"/>
                <w:i/>
                <w:iCs/>
                <w:sz w:val="20"/>
                <w:szCs w:val="20"/>
              </w:rPr>
            </w:r>
            <w:r w:rsidRPr="00A05716">
              <w:rPr>
                <w:rFonts w:ascii="Arial Narrow" w:hAnsi="Arial Narrow"/>
                <w:i/>
                <w:iCs/>
                <w:sz w:val="20"/>
                <w:szCs w:val="20"/>
              </w:rPr>
              <w:fldChar w:fldCharType="separate"/>
            </w:r>
            <w:r w:rsidRPr="00A05716">
              <w:rPr>
                <w:rFonts w:ascii="Arial Narrow" w:hAnsi="Arial Narrow"/>
                <w:i/>
                <w:iCs/>
                <w:sz w:val="20"/>
                <w:szCs w:val="20"/>
              </w:rPr>
              <w:fldChar w:fldCharType="end"/>
            </w:r>
            <w:r w:rsidRPr="00A05716">
              <w:rPr>
                <w:rFonts w:ascii="Arial Narrow" w:hAnsi="Arial Narrow"/>
                <w:i/>
                <w:iCs/>
                <w:sz w:val="20"/>
                <w:szCs w:val="20"/>
              </w:rPr>
              <w:t xml:space="preserve"> </w:t>
            </w:r>
            <w:r w:rsidRPr="00A05716">
              <w:rPr>
                <w:rFonts w:ascii="Arial Narrow" w:eastAsia="Calibri" w:hAnsi="Arial Narrow"/>
                <w:i/>
                <w:iCs/>
                <w:sz w:val="20"/>
                <w:szCs w:val="20"/>
              </w:rPr>
              <w:t>Complex Authority Required (CAR)</w:t>
            </w:r>
          </w:p>
        </w:tc>
      </w:tr>
      <w:tr w:rsidR="00D508F9" w:rsidRPr="00AD0449" w14:paraId="677956B5" w14:textId="77777777">
        <w:tblPrEx>
          <w:tblCellMar>
            <w:top w:w="15" w:type="dxa"/>
            <w:bottom w:w="15" w:type="dxa"/>
          </w:tblCellMar>
          <w:tblLook w:val="04A0" w:firstRow="1" w:lastRow="0" w:firstColumn="1" w:lastColumn="0" w:noHBand="0" w:noVBand="1"/>
        </w:tblPrEx>
        <w:trPr>
          <w:trHeight w:val="20"/>
        </w:trPr>
        <w:tc>
          <w:tcPr>
            <w:tcW w:w="426" w:type="dxa"/>
            <w:vMerge w:val="restart"/>
            <w:tcBorders>
              <w:left w:val="single" w:sz="4" w:space="0" w:color="auto"/>
              <w:right w:val="single" w:sz="4" w:space="0" w:color="auto"/>
            </w:tcBorders>
            <w:textDirection w:val="btLr"/>
          </w:tcPr>
          <w:p w14:paraId="393653AC" w14:textId="77777777" w:rsidR="00D508F9" w:rsidRPr="00A05716" w:rsidRDefault="00D508F9">
            <w:pPr>
              <w:ind w:left="113" w:right="113"/>
              <w:jc w:val="center"/>
              <w:rPr>
                <w:rFonts w:ascii="Arial Narrow" w:hAnsi="Arial Narrow"/>
                <w:color w:val="FF0000"/>
                <w:sz w:val="20"/>
                <w:szCs w:val="20"/>
              </w:rPr>
            </w:pPr>
            <w:r w:rsidRPr="00A05716">
              <w:rPr>
                <w:rFonts w:ascii="Arial Narrow" w:hAnsi="Arial Narrow"/>
                <w:sz w:val="20"/>
                <w:szCs w:val="20"/>
              </w:rPr>
              <w:t>Prescribing rule level</w:t>
            </w:r>
          </w:p>
        </w:tc>
        <w:tc>
          <w:tcPr>
            <w:tcW w:w="850" w:type="dxa"/>
            <w:tcBorders>
              <w:left w:val="single" w:sz="4" w:space="0" w:color="auto"/>
              <w:bottom w:val="single" w:sz="4" w:space="0" w:color="auto"/>
              <w:right w:val="single" w:sz="4" w:space="0" w:color="auto"/>
            </w:tcBorders>
          </w:tcPr>
          <w:p w14:paraId="7434BB08" w14:textId="39DE407B" w:rsidR="00D508F9" w:rsidRPr="00A05716" w:rsidRDefault="00D508F9">
            <w:pPr>
              <w:jc w:val="center"/>
              <w:rPr>
                <w:rFonts w:ascii="Arial Narrow" w:hAnsi="Arial Narrow"/>
                <w:color w:val="FF0000"/>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F82209"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Administrative Advice:</w:t>
            </w:r>
          </w:p>
          <w:p w14:paraId="3B3E7E20" w14:textId="77777777" w:rsidR="00D508F9" w:rsidRPr="00A05716" w:rsidRDefault="00D508F9">
            <w:pPr>
              <w:rPr>
                <w:rFonts w:ascii="Arial Narrow" w:hAnsi="Arial Narrow"/>
                <w:color w:val="333333"/>
                <w:sz w:val="20"/>
                <w:szCs w:val="20"/>
              </w:rPr>
            </w:pPr>
            <w:r w:rsidRPr="00A05716">
              <w:rPr>
                <w:rFonts w:ascii="Arial Narrow" w:hAnsi="Arial Narrow"/>
                <w:color w:val="333333"/>
                <w:sz w:val="20"/>
                <w:szCs w:val="20"/>
              </w:rPr>
              <w:t xml:space="preserve">No increase in the maximum number of repeats may be authorised. </w:t>
            </w:r>
          </w:p>
        </w:tc>
      </w:tr>
      <w:tr w:rsidR="00D508F9" w:rsidRPr="00AD0449" w14:paraId="3EEB7117" w14:textId="77777777">
        <w:tblPrEx>
          <w:tblCellMar>
            <w:top w:w="15" w:type="dxa"/>
            <w:bottom w:w="15" w:type="dxa"/>
          </w:tblCellMar>
          <w:tblLook w:val="04A0" w:firstRow="1" w:lastRow="0" w:firstColumn="1" w:lastColumn="0" w:noHBand="0" w:noVBand="1"/>
        </w:tblPrEx>
        <w:trPr>
          <w:trHeight w:val="20"/>
        </w:trPr>
        <w:tc>
          <w:tcPr>
            <w:tcW w:w="426" w:type="dxa"/>
            <w:vMerge/>
            <w:tcBorders>
              <w:left w:val="single" w:sz="4" w:space="0" w:color="auto"/>
              <w:right w:val="single" w:sz="4" w:space="0" w:color="auto"/>
            </w:tcBorders>
          </w:tcPr>
          <w:p w14:paraId="350049BA" w14:textId="77777777" w:rsidR="00D508F9" w:rsidRPr="00A05716" w:rsidRDefault="00D508F9">
            <w:pPr>
              <w:jc w:val="center"/>
              <w:rPr>
                <w:rFonts w:ascii="Arial Narrow" w:hAnsi="Arial Narrow"/>
                <w:sz w:val="20"/>
                <w:szCs w:val="20"/>
              </w:rPr>
            </w:pPr>
          </w:p>
        </w:tc>
        <w:tc>
          <w:tcPr>
            <w:tcW w:w="850" w:type="dxa"/>
            <w:tcBorders>
              <w:left w:val="single" w:sz="4" w:space="0" w:color="auto"/>
              <w:bottom w:val="single" w:sz="4" w:space="0" w:color="auto"/>
              <w:right w:val="single" w:sz="4" w:space="0" w:color="auto"/>
            </w:tcBorders>
          </w:tcPr>
          <w:p w14:paraId="67193497" w14:textId="1E5C82AE" w:rsidR="00D508F9" w:rsidRPr="00A05716" w:rsidRDefault="00D508F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0384C2" w14:textId="77777777" w:rsidR="00D508F9" w:rsidRPr="00A05716" w:rsidRDefault="00D508F9">
            <w:pPr>
              <w:keepLines/>
              <w:rPr>
                <w:rFonts w:ascii="Arial Narrow" w:hAnsi="Arial Narrow"/>
                <w:b/>
                <w:bCs/>
                <w:color w:val="333333"/>
                <w:sz w:val="20"/>
                <w:szCs w:val="20"/>
              </w:rPr>
            </w:pPr>
            <w:r w:rsidRPr="00A05716">
              <w:rPr>
                <w:rFonts w:ascii="Arial Narrow" w:hAnsi="Arial Narrow"/>
                <w:b/>
                <w:bCs/>
                <w:color w:val="333333"/>
                <w:sz w:val="20"/>
                <w:szCs w:val="20"/>
              </w:rPr>
              <w:t>Administrative Advice:</w:t>
            </w:r>
          </w:p>
          <w:p w14:paraId="1B08E2A4" w14:textId="77777777" w:rsidR="00D508F9" w:rsidRPr="00A05716" w:rsidRDefault="00D508F9">
            <w:pPr>
              <w:keepLines/>
              <w:rPr>
                <w:rFonts w:ascii="Arial Narrow" w:hAnsi="Arial Narrow"/>
                <w:sz w:val="20"/>
                <w:szCs w:val="20"/>
              </w:rPr>
            </w:pPr>
            <w:r w:rsidRPr="00A05716">
              <w:rPr>
                <w:rFonts w:ascii="Arial Narrow" w:hAnsi="Arial Narrow"/>
                <w:sz w:val="20"/>
                <w:szCs w:val="20"/>
              </w:rPr>
              <w:t>Special Pricing Arrangements apply.</w:t>
            </w:r>
          </w:p>
        </w:tc>
      </w:tr>
      <w:tr w:rsidR="00D508F9" w:rsidRPr="00AD0449" w14:paraId="2CE8A5AC" w14:textId="77777777">
        <w:tblPrEx>
          <w:tblCellMar>
            <w:top w:w="15" w:type="dxa"/>
            <w:bottom w:w="15" w:type="dxa"/>
          </w:tblCellMar>
          <w:tblLook w:val="04A0" w:firstRow="1" w:lastRow="0" w:firstColumn="1" w:lastColumn="0" w:noHBand="0" w:noVBand="1"/>
        </w:tblPrEx>
        <w:trPr>
          <w:trHeight w:val="20"/>
        </w:trPr>
        <w:tc>
          <w:tcPr>
            <w:tcW w:w="426" w:type="dxa"/>
            <w:vMerge/>
            <w:tcBorders>
              <w:left w:val="single" w:sz="4" w:space="0" w:color="auto"/>
              <w:bottom w:val="single" w:sz="4" w:space="0" w:color="auto"/>
              <w:right w:val="single" w:sz="4" w:space="0" w:color="auto"/>
            </w:tcBorders>
          </w:tcPr>
          <w:p w14:paraId="695E4C14" w14:textId="77777777" w:rsidR="00D508F9" w:rsidRPr="00A05716" w:rsidRDefault="00D508F9">
            <w:pPr>
              <w:jc w:val="center"/>
              <w:rPr>
                <w:rFonts w:ascii="Arial Narrow" w:hAnsi="Arial Narrow"/>
                <w:i/>
                <w:iCs/>
                <w:color w:val="333333"/>
                <w:sz w:val="20"/>
                <w:szCs w:val="20"/>
              </w:rPr>
            </w:pPr>
          </w:p>
        </w:tc>
        <w:tc>
          <w:tcPr>
            <w:tcW w:w="850" w:type="dxa"/>
            <w:tcBorders>
              <w:left w:val="single" w:sz="4" w:space="0" w:color="auto"/>
              <w:bottom w:val="single" w:sz="4" w:space="0" w:color="auto"/>
              <w:right w:val="single" w:sz="4" w:space="0" w:color="auto"/>
            </w:tcBorders>
          </w:tcPr>
          <w:p w14:paraId="5CEE1C44" w14:textId="2F345E5C" w:rsidR="00D508F9" w:rsidRPr="00A05716" w:rsidRDefault="00D508F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BF3618" w14:textId="77777777" w:rsidR="00D508F9" w:rsidRPr="00A05716" w:rsidRDefault="00D508F9">
            <w:pPr>
              <w:rPr>
                <w:rFonts w:ascii="Arial Narrow" w:hAnsi="Arial Narrow"/>
                <w:b/>
                <w:bCs/>
                <w:i/>
                <w:iCs/>
                <w:sz w:val="20"/>
                <w:szCs w:val="20"/>
              </w:rPr>
            </w:pPr>
            <w:r w:rsidRPr="00A05716">
              <w:rPr>
                <w:rFonts w:ascii="Arial Narrow" w:hAnsi="Arial Narrow"/>
                <w:b/>
                <w:bCs/>
                <w:i/>
                <w:iCs/>
                <w:sz w:val="20"/>
                <w:szCs w:val="20"/>
              </w:rPr>
              <w:t>Administrative Advice:</w:t>
            </w:r>
          </w:p>
          <w:p w14:paraId="038B04F3"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Any queries concerning the arrangements to prescribe may be directed to Services Australia on 1800 700 270 (hours of operation 8 a.m. to 5 p.m. Monday to Friday).</w:t>
            </w:r>
          </w:p>
          <w:p w14:paraId="074983AC" w14:textId="77777777" w:rsidR="00D508F9" w:rsidRPr="00A05716" w:rsidRDefault="00D508F9">
            <w:pPr>
              <w:rPr>
                <w:rFonts w:ascii="Arial Narrow" w:hAnsi="Arial Narrow"/>
                <w:i/>
                <w:iCs/>
                <w:sz w:val="20"/>
                <w:szCs w:val="20"/>
              </w:rPr>
            </w:pPr>
          </w:p>
          <w:p w14:paraId="2A4D031A"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1" w:history="1">
              <w:r w:rsidRPr="00A05716">
                <w:rPr>
                  <w:rStyle w:val="Hyperlink"/>
                  <w:rFonts w:ascii="Arial Narrow" w:hAnsi="Arial Narrow"/>
                  <w:i/>
                  <w:iCs/>
                  <w:sz w:val="20"/>
                  <w:szCs w:val="20"/>
                </w:rPr>
                <w:t>www.servicesaustralia.gov.au</w:t>
              </w:r>
            </w:hyperlink>
          </w:p>
          <w:p w14:paraId="677CB6F6" w14:textId="77777777" w:rsidR="00D508F9" w:rsidRPr="00A05716" w:rsidRDefault="00D508F9">
            <w:pPr>
              <w:rPr>
                <w:rFonts w:ascii="Arial Narrow" w:hAnsi="Arial Narrow"/>
                <w:i/>
                <w:iCs/>
                <w:sz w:val="20"/>
                <w:szCs w:val="20"/>
              </w:rPr>
            </w:pPr>
          </w:p>
          <w:p w14:paraId="3683F640"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Applications for authorisation under this restriction should be made using the Online PBS Authorities system (see www.serviceaustralia.gov.au/hpos)</w:t>
            </w:r>
          </w:p>
          <w:p w14:paraId="7F8ACAE4" w14:textId="77777777" w:rsidR="00D508F9" w:rsidRPr="00A05716" w:rsidRDefault="00D508F9">
            <w:pPr>
              <w:rPr>
                <w:rFonts w:ascii="Arial Narrow" w:hAnsi="Arial Narrow"/>
                <w:i/>
                <w:iCs/>
                <w:sz w:val="20"/>
                <w:szCs w:val="20"/>
              </w:rPr>
            </w:pPr>
          </w:p>
          <w:p w14:paraId="0A967E46"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2" w:history="1">
              <w:r w:rsidRPr="00A05716">
                <w:rPr>
                  <w:rStyle w:val="Hyperlink"/>
                  <w:rFonts w:ascii="Arial Narrow" w:hAnsi="Arial Narrow"/>
                  <w:i/>
                  <w:iCs/>
                  <w:sz w:val="20"/>
                  <w:szCs w:val="20"/>
                </w:rPr>
                <w:t>www.servicesaustralia.gov.au/hpos</w:t>
              </w:r>
            </w:hyperlink>
          </w:p>
          <w:p w14:paraId="4A76F734" w14:textId="77777777" w:rsidR="00D508F9" w:rsidRPr="00A05716" w:rsidRDefault="00D508F9">
            <w:pPr>
              <w:rPr>
                <w:rFonts w:ascii="Arial Narrow" w:hAnsi="Arial Narrow"/>
                <w:i/>
                <w:iCs/>
                <w:sz w:val="20"/>
                <w:szCs w:val="20"/>
              </w:rPr>
            </w:pPr>
          </w:p>
          <w:p w14:paraId="50F6736F"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Or mailed to:</w:t>
            </w:r>
          </w:p>
          <w:p w14:paraId="19B75898"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Services Australia</w:t>
            </w:r>
          </w:p>
          <w:p w14:paraId="29CE8EF2"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Complex Drugs</w:t>
            </w:r>
          </w:p>
          <w:p w14:paraId="744E9794"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Reply Paid 9826</w:t>
            </w:r>
          </w:p>
          <w:p w14:paraId="0619F56A" w14:textId="77777777" w:rsidR="00D508F9" w:rsidRPr="00A05716" w:rsidRDefault="00D508F9">
            <w:pPr>
              <w:keepLines/>
              <w:rPr>
                <w:rFonts w:ascii="Arial Narrow" w:hAnsi="Arial Narrow"/>
                <w:b/>
                <w:bCs/>
                <w:color w:val="333333"/>
                <w:sz w:val="20"/>
                <w:szCs w:val="20"/>
              </w:rPr>
            </w:pPr>
            <w:r w:rsidRPr="00A05716">
              <w:rPr>
                <w:rFonts w:ascii="Arial Narrow" w:hAnsi="Arial Narrow"/>
                <w:i/>
                <w:iCs/>
                <w:sz w:val="20"/>
                <w:szCs w:val="20"/>
              </w:rPr>
              <w:t>HOBART TAS 7001</w:t>
            </w:r>
          </w:p>
        </w:tc>
      </w:tr>
      <w:tr w:rsidR="00D508F9" w:rsidRPr="00AD0449" w14:paraId="4FD8374D" w14:textId="77777777">
        <w:tblPrEx>
          <w:tblCellMar>
            <w:top w:w="15" w:type="dxa"/>
            <w:bottom w:w="15" w:type="dxa"/>
          </w:tblCellMar>
          <w:tblLook w:val="04A0" w:firstRow="1" w:lastRow="0" w:firstColumn="1" w:lastColumn="0" w:noHBand="0" w:noVBand="1"/>
        </w:tblPrEx>
        <w:trPr>
          <w:trHeight w:val="20"/>
        </w:trPr>
        <w:tc>
          <w:tcPr>
            <w:tcW w:w="9021" w:type="dxa"/>
            <w:gridSpan w:val="8"/>
            <w:tcBorders>
              <w:left w:val="single" w:sz="4" w:space="0" w:color="auto"/>
              <w:bottom w:val="single" w:sz="4" w:space="0" w:color="auto"/>
              <w:right w:val="single" w:sz="4" w:space="0" w:color="auto"/>
            </w:tcBorders>
          </w:tcPr>
          <w:p w14:paraId="742879DE" w14:textId="77777777" w:rsidR="00D508F9" w:rsidRPr="00A05716" w:rsidRDefault="00D508F9">
            <w:pPr>
              <w:keepLines/>
              <w:rPr>
                <w:rFonts w:ascii="Arial Narrow" w:hAnsi="Arial Narrow"/>
                <w:b/>
                <w:bCs/>
                <w:color w:val="333333"/>
                <w:sz w:val="20"/>
                <w:szCs w:val="20"/>
              </w:rPr>
            </w:pPr>
          </w:p>
        </w:tc>
      </w:tr>
      <w:tr w:rsidR="00D508F9" w:rsidRPr="00AD0449" w14:paraId="376A6FDB" w14:textId="77777777" w:rsidTr="0042608C">
        <w:tblPrEx>
          <w:tblCellMar>
            <w:top w:w="15" w:type="dxa"/>
            <w:bottom w:w="15" w:type="dxa"/>
          </w:tblCellMar>
          <w:tblLook w:val="04A0" w:firstRow="1" w:lastRow="0" w:firstColumn="1" w:lastColumn="0" w:noHBand="0" w:noVBand="1"/>
        </w:tblPrEx>
        <w:trPr>
          <w:cantSplit/>
          <w:trHeight w:val="20"/>
        </w:trPr>
        <w:tc>
          <w:tcPr>
            <w:tcW w:w="1276" w:type="dxa"/>
            <w:gridSpan w:val="2"/>
          </w:tcPr>
          <w:p w14:paraId="34CE7657" w14:textId="0714B14A" w:rsidR="00D508F9" w:rsidRPr="00A05716" w:rsidRDefault="00D508F9">
            <w:pPr>
              <w:keepLines/>
              <w:jc w:val="center"/>
              <w:rPr>
                <w:rFonts w:ascii="Arial Narrow" w:hAnsi="Arial Narrow"/>
                <w:sz w:val="20"/>
                <w:szCs w:val="20"/>
              </w:rPr>
            </w:pPr>
          </w:p>
        </w:tc>
        <w:tc>
          <w:tcPr>
            <w:tcW w:w="7745" w:type="dxa"/>
            <w:gridSpan w:val="6"/>
            <w:vAlign w:val="center"/>
            <w:hideMark/>
          </w:tcPr>
          <w:p w14:paraId="6F9EBAA0" w14:textId="77777777" w:rsidR="00D508F9" w:rsidRPr="00A05716" w:rsidRDefault="00D508F9">
            <w:pPr>
              <w:keepLines/>
              <w:rPr>
                <w:rFonts w:ascii="Arial Narrow" w:hAnsi="Arial Narrow"/>
                <w:sz w:val="20"/>
                <w:szCs w:val="20"/>
              </w:rPr>
            </w:pPr>
            <w:r w:rsidRPr="00A05716">
              <w:rPr>
                <w:rFonts w:ascii="Arial Narrow" w:hAnsi="Arial Narrow"/>
                <w:b/>
                <w:bCs/>
                <w:sz w:val="20"/>
                <w:szCs w:val="20"/>
              </w:rPr>
              <w:t>Indication:</w:t>
            </w:r>
            <w:r w:rsidRPr="00A05716">
              <w:rPr>
                <w:rFonts w:ascii="Arial Narrow" w:hAnsi="Arial Narrow"/>
                <w:sz w:val="20"/>
                <w:szCs w:val="20"/>
              </w:rPr>
              <w:t xml:space="preserve"> Fabry disease </w:t>
            </w:r>
          </w:p>
        </w:tc>
      </w:tr>
      <w:tr w:rsidR="00D508F9" w:rsidRPr="00AD0449" w14:paraId="4B1EF614" w14:textId="77777777" w:rsidTr="0042608C">
        <w:tblPrEx>
          <w:tblCellMar>
            <w:top w:w="15" w:type="dxa"/>
            <w:bottom w:w="15" w:type="dxa"/>
          </w:tblCellMar>
          <w:tblLook w:val="04A0" w:firstRow="1" w:lastRow="0" w:firstColumn="1" w:lastColumn="0" w:noHBand="0" w:noVBand="1"/>
        </w:tblPrEx>
        <w:trPr>
          <w:cantSplit/>
          <w:trHeight w:val="20"/>
        </w:trPr>
        <w:tc>
          <w:tcPr>
            <w:tcW w:w="1276" w:type="dxa"/>
            <w:gridSpan w:val="2"/>
          </w:tcPr>
          <w:p w14:paraId="0951F569" w14:textId="77777777" w:rsidR="00D508F9" w:rsidRPr="00A05716" w:rsidRDefault="00D508F9">
            <w:pPr>
              <w:jc w:val="center"/>
              <w:rPr>
                <w:rFonts w:ascii="Arial Narrow" w:hAnsi="Arial Narrow"/>
                <w:sz w:val="20"/>
                <w:szCs w:val="20"/>
              </w:rPr>
            </w:pPr>
          </w:p>
        </w:tc>
        <w:tc>
          <w:tcPr>
            <w:tcW w:w="7745" w:type="dxa"/>
            <w:gridSpan w:val="6"/>
            <w:vAlign w:val="center"/>
            <w:hideMark/>
          </w:tcPr>
          <w:p w14:paraId="2840703F" w14:textId="77777777" w:rsidR="00D508F9" w:rsidRPr="00A05716" w:rsidRDefault="00D508F9">
            <w:pPr>
              <w:rPr>
                <w:rFonts w:ascii="Arial Narrow" w:hAnsi="Arial Narrow"/>
                <w:sz w:val="20"/>
                <w:szCs w:val="20"/>
              </w:rPr>
            </w:pPr>
            <w:r w:rsidRPr="00A05716">
              <w:rPr>
                <w:rFonts w:ascii="Arial Narrow" w:hAnsi="Arial Narrow"/>
                <w:b/>
                <w:bCs/>
                <w:sz w:val="20"/>
                <w:szCs w:val="20"/>
              </w:rPr>
              <w:t>Treatment Phase:</w:t>
            </w:r>
            <w:r w:rsidRPr="00A05716">
              <w:rPr>
                <w:rFonts w:ascii="Arial Narrow" w:hAnsi="Arial Narrow"/>
                <w:sz w:val="20"/>
                <w:szCs w:val="20"/>
              </w:rPr>
              <w:t xml:space="preserve"> Initial treatment </w:t>
            </w:r>
          </w:p>
        </w:tc>
      </w:tr>
      <w:tr w:rsidR="00D508F9" w:rsidRPr="00AD0449" w14:paraId="147C04B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DD34B42" w14:textId="3FE20A65" w:rsidR="00D508F9" w:rsidRPr="00A05716" w:rsidRDefault="00D508F9">
            <w:pPr>
              <w:jc w:val="center"/>
              <w:rPr>
                <w:rFonts w:ascii="Arial Narrow" w:hAnsi="Arial Narrow"/>
                <w:i/>
                <w:iCs/>
                <w:sz w:val="20"/>
                <w:szCs w:val="20"/>
              </w:rPr>
            </w:pPr>
          </w:p>
        </w:tc>
        <w:tc>
          <w:tcPr>
            <w:tcW w:w="7745" w:type="dxa"/>
            <w:gridSpan w:val="6"/>
            <w:vAlign w:val="center"/>
            <w:hideMark/>
          </w:tcPr>
          <w:p w14:paraId="2DFB15B1" w14:textId="77777777" w:rsidR="00D508F9" w:rsidRPr="00A05716" w:rsidRDefault="00D508F9">
            <w:pPr>
              <w:rPr>
                <w:rFonts w:ascii="Arial Narrow" w:hAnsi="Arial Narrow"/>
                <w:sz w:val="20"/>
                <w:szCs w:val="20"/>
              </w:rPr>
            </w:pPr>
            <w:r w:rsidRPr="00A05716">
              <w:rPr>
                <w:rFonts w:ascii="Arial Narrow" w:hAnsi="Arial Narrow"/>
                <w:b/>
                <w:bCs/>
                <w:color w:val="333333"/>
                <w:sz w:val="20"/>
                <w:szCs w:val="20"/>
              </w:rPr>
              <w:t xml:space="preserve">Clinical criteria: </w:t>
            </w:r>
          </w:p>
        </w:tc>
      </w:tr>
      <w:tr w:rsidR="00D508F9" w:rsidRPr="00AD0449" w14:paraId="12B1FAA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4CE8D8A" w14:textId="5DB5AC77" w:rsidR="00D508F9" w:rsidRPr="00A05716" w:rsidRDefault="00D508F9">
            <w:pPr>
              <w:jc w:val="center"/>
              <w:rPr>
                <w:rFonts w:ascii="Arial Narrow" w:hAnsi="Arial Narrow"/>
                <w:i/>
                <w:iCs/>
                <w:sz w:val="20"/>
                <w:szCs w:val="20"/>
              </w:rPr>
            </w:pPr>
          </w:p>
        </w:tc>
        <w:tc>
          <w:tcPr>
            <w:tcW w:w="7745" w:type="dxa"/>
            <w:gridSpan w:val="6"/>
            <w:vAlign w:val="center"/>
            <w:hideMark/>
          </w:tcPr>
          <w:p w14:paraId="3318E0E4" w14:textId="77777777" w:rsidR="00D508F9" w:rsidRPr="00A05716" w:rsidRDefault="00D508F9">
            <w:pPr>
              <w:rPr>
                <w:rFonts w:ascii="Arial Narrow" w:hAnsi="Arial Narrow"/>
                <w:strike/>
                <w:color w:val="333333"/>
                <w:sz w:val="20"/>
                <w:szCs w:val="20"/>
              </w:rPr>
            </w:pPr>
            <w:r w:rsidRPr="00A05716">
              <w:rPr>
                <w:rFonts w:ascii="Arial Narrow" w:hAnsi="Arial Narrow"/>
                <w:strike/>
                <w:color w:val="333333"/>
                <w:sz w:val="20"/>
                <w:szCs w:val="20"/>
              </w:rPr>
              <w:t>Patient must have at least one of documented deficiency of alpha-galactosidase enzyme activity in blood</w:t>
            </w:r>
          </w:p>
          <w:p w14:paraId="5C786B1C" w14:textId="77777777" w:rsidR="00D508F9" w:rsidRPr="00A05716" w:rsidRDefault="00D508F9">
            <w:pPr>
              <w:rPr>
                <w:rFonts w:ascii="Arial Narrow" w:hAnsi="Arial Narrow"/>
                <w:i/>
                <w:iCs/>
                <w:color w:val="333333"/>
                <w:sz w:val="20"/>
                <w:szCs w:val="20"/>
              </w:rPr>
            </w:pPr>
            <w:r w:rsidRPr="00A05716">
              <w:rPr>
                <w:rFonts w:ascii="Arial Narrow" w:hAnsi="Arial Narrow"/>
                <w:i/>
                <w:iCs/>
                <w:sz w:val="20"/>
                <w:szCs w:val="20"/>
              </w:rPr>
              <w:t>Patient must have at least one of: (i) documented deficiency of alpha-galactosidase enzyme activity in blood, (ii) presence of genetic mutations known to result in deficiency of alpha-galactosidase enzyme activity.</w:t>
            </w:r>
          </w:p>
        </w:tc>
      </w:tr>
      <w:tr w:rsidR="00D508F9" w:rsidRPr="00AD0449" w14:paraId="3C07A50A" w14:textId="77777777" w:rsidTr="0042608C">
        <w:tblPrEx>
          <w:tblCellMar>
            <w:top w:w="15" w:type="dxa"/>
            <w:bottom w:w="15" w:type="dxa"/>
          </w:tblCellMar>
          <w:tblLook w:val="04A0" w:firstRow="1" w:lastRow="0" w:firstColumn="1" w:lastColumn="0" w:noHBand="0" w:noVBand="1"/>
        </w:tblPrEx>
        <w:trPr>
          <w:cantSplit/>
          <w:trHeight w:val="20"/>
        </w:trPr>
        <w:tc>
          <w:tcPr>
            <w:tcW w:w="1276" w:type="dxa"/>
            <w:gridSpan w:val="2"/>
          </w:tcPr>
          <w:p w14:paraId="50EA68BB" w14:textId="77777777" w:rsidR="00D508F9" w:rsidRPr="00A05716" w:rsidRDefault="00D508F9">
            <w:pPr>
              <w:jc w:val="center"/>
              <w:rPr>
                <w:rFonts w:ascii="Arial Narrow" w:hAnsi="Arial Narrow"/>
                <w:strike/>
                <w:color w:val="333333"/>
                <w:sz w:val="20"/>
                <w:szCs w:val="20"/>
              </w:rPr>
            </w:pPr>
          </w:p>
        </w:tc>
        <w:tc>
          <w:tcPr>
            <w:tcW w:w="7745" w:type="dxa"/>
            <w:gridSpan w:val="6"/>
            <w:vAlign w:val="center"/>
            <w:hideMark/>
          </w:tcPr>
          <w:p w14:paraId="4BC0BC61" w14:textId="77777777" w:rsidR="00D508F9" w:rsidRPr="00A05716" w:rsidRDefault="00D508F9">
            <w:pPr>
              <w:rPr>
                <w:rFonts w:ascii="Arial Narrow" w:hAnsi="Arial Narrow"/>
                <w:strike/>
                <w:color w:val="333333"/>
                <w:sz w:val="20"/>
                <w:szCs w:val="20"/>
              </w:rPr>
            </w:pPr>
            <w:r w:rsidRPr="00A05716">
              <w:rPr>
                <w:rFonts w:ascii="Arial Narrow" w:hAnsi="Arial Narrow"/>
                <w:b/>
                <w:bCs/>
                <w:strike/>
                <w:color w:val="333333"/>
                <w:sz w:val="20"/>
                <w:szCs w:val="20"/>
              </w:rPr>
              <w:t>AND</w:t>
            </w:r>
          </w:p>
        </w:tc>
      </w:tr>
      <w:tr w:rsidR="00D508F9" w:rsidRPr="00AD0449" w14:paraId="06A54BD3"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0C533545" w14:textId="1DA64107" w:rsidR="00D508F9" w:rsidRPr="00A05716" w:rsidRDefault="00D508F9">
            <w:pPr>
              <w:jc w:val="center"/>
              <w:rPr>
                <w:rFonts w:ascii="Arial Narrow" w:hAnsi="Arial Narrow"/>
                <w:strike/>
                <w:color w:val="333333"/>
                <w:sz w:val="20"/>
                <w:szCs w:val="20"/>
              </w:rPr>
            </w:pPr>
          </w:p>
        </w:tc>
        <w:tc>
          <w:tcPr>
            <w:tcW w:w="7745" w:type="dxa"/>
            <w:gridSpan w:val="6"/>
            <w:vAlign w:val="center"/>
            <w:hideMark/>
          </w:tcPr>
          <w:p w14:paraId="6F2F5A3A" w14:textId="77777777" w:rsidR="00D508F9" w:rsidRPr="00A05716" w:rsidRDefault="00D508F9">
            <w:pPr>
              <w:rPr>
                <w:rFonts w:ascii="Arial Narrow" w:hAnsi="Arial Narrow"/>
                <w:strike/>
                <w:color w:val="333333"/>
                <w:sz w:val="20"/>
                <w:szCs w:val="20"/>
              </w:rPr>
            </w:pPr>
            <w:r w:rsidRPr="00A05716">
              <w:rPr>
                <w:rFonts w:ascii="Arial Narrow" w:hAnsi="Arial Narrow"/>
                <w:b/>
                <w:bCs/>
                <w:strike/>
                <w:color w:val="333333"/>
                <w:sz w:val="20"/>
                <w:szCs w:val="20"/>
              </w:rPr>
              <w:t>Clinical criteria:</w:t>
            </w:r>
          </w:p>
        </w:tc>
      </w:tr>
      <w:tr w:rsidR="00D508F9" w:rsidRPr="00AD0449" w14:paraId="1BE7A049"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0E5A8EBC" w14:textId="0E195D52" w:rsidR="00D508F9" w:rsidRPr="00A05716" w:rsidRDefault="00D508F9">
            <w:pPr>
              <w:jc w:val="center"/>
              <w:rPr>
                <w:rFonts w:ascii="Arial Narrow" w:hAnsi="Arial Narrow"/>
                <w:strike/>
                <w:color w:val="333333"/>
                <w:sz w:val="20"/>
                <w:szCs w:val="20"/>
              </w:rPr>
            </w:pPr>
          </w:p>
        </w:tc>
        <w:tc>
          <w:tcPr>
            <w:tcW w:w="7745" w:type="dxa"/>
            <w:gridSpan w:val="6"/>
            <w:vAlign w:val="center"/>
          </w:tcPr>
          <w:p w14:paraId="432274CC" w14:textId="77777777" w:rsidR="00D508F9" w:rsidRPr="00A05716" w:rsidRDefault="00D508F9">
            <w:pPr>
              <w:rPr>
                <w:rFonts w:ascii="Arial Narrow" w:hAnsi="Arial Narrow"/>
                <w:strike/>
                <w:sz w:val="20"/>
                <w:szCs w:val="20"/>
              </w:rPr>
            </w:pPr>
            <w:r w:rsidRPr="00A05716">
              <w:rPr>
                <w:rFonts w:ascii="Arial Narrow" w:hAnsi="Arial Narrow" w:cs="Arial Narrow"/>
                <w:iCs/>
                <w:strike/>
                <w:sz w:val="20"/>
                <w:szCs w:val="20"/>
              </w:rPr>
              <w:t xml:space="preserve">Presence of genetic mutations known to result in deficiency of </w:t>
            </w:r>
            <w:r w:rsidRPr="00A05716">
              <w:rPr>
                <w:rFonts w:ascii="Arial Narrow" w:hAnsi="Arial Narrow"/>
                <w:strike/>
                <w:sz w:val="20"/>
                <w:szCs w:val="20"/>
              </w:rPr>
              <w:t xml:space="preserve">alpha-galactosidase enzyme activity. </w:t>
            </w:r>
          </w:p>
        </w:tc>
      </w:tr>
      <w:tr w:rsidR="00D508F9" w:rsidRPr="00AD0449" w14:paraId="226E2F8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1FFCD2C2" w14:textId="77777777" w:rsidR="00D508F9" w:rsidRPr="00A05716" w:rsidRDefault="00D508F9">
            <w:pPr>
              <w:jc w:val="center"/>
              <w:rPr>
                <w:rFonts w:ascii="Arial Narrow" w:hAnsi="Arial Narrow"/>
                <w:strike/>
                <w:color w:val="333333"/>
                <w:sz w:val="20"/>
                <w:szCs w:val="20"/>
              </w:rPr>
            </w:pPr>
          </w:p>
        </w:tc>
        <w:tc>
          <w:tcPr>
            <w:tcW w:w="7745" w:type="dxa"/>
            <w:gridSpan w:val="6"/>
            <w:vAlign w:val="center"/>
            <w:hideMark/>
          </w:tcPr>
          <w:p w14:paraId="412E25D5" w14:textId="77777777" w:rsidR="00D508F9" w:rsidRPr="00A05716" w:rsidRDefault="00D508F9">
            <w:pPr>
              <w:rPr>
                <w:rFonts w:ascii="Arial Narrow" w:hAnsi="Arial Narrow"/>
                <w:strike/>
                <w:color w:val="333333"/>
                <w:sz w:val="20"/>
                <w:szCs w:val="20"/>
              </w:rPr>
            </w:pPr>
            <w:r w:rsidRPr="00A05716">
              <w:rPr>
                <w:rFonts w:ascii="Arial Narrow" w:hAnsi="Arial Narrow"/>
                <w:b/>
                <w:bCs/>
                <w:strike/>
                <w:color w:val="333333"/>
                <w:sz w:val="20"/>
                <w:szCs w:val="20"/>
              </w:rPr>
              <w:t>AND</w:t>
            </w:r>
          </w:p>
        </w:tc>
      </w:tr>
      <w:tr w:rsidR="00D508F9" w:rsidRPr="00AD0449" w14:paraId="475028A6"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822FF86" w14:textId="7E1DD9F8" w:rsidR="00D508F9" w:rsidRPr="00A05716" w:rsidRDefault="00D508F9">
            <w:pPr>
              <w:jc w:val="center"/>
              <w:rPr>
                <w:rFonts w:ascii="Arial Narrow" w:hAnsi="Arial Narrow"/>
                <w:strike/>
                <w:sz w:val="20"/>
                <w:szCs w:val="20"/>
              </w:rPr>
            </w:pPr>
          </w:p>
        </w:tc>
        <w:tc>
          <w:tcPr>
            <w:tcW w:w="7745" w:type="dxa"/>
            <w:gridSpan w:val="6"/>
            <w:vAlign w:val="center"/>
            <w:hideMark/>
          </w:tcPr>
          <w:p w14:paraId="71B1A692" w14:textId="77777777" w:rsidR="00D508F9" w:rsidRPr="00A05716" w:rsidRDefault="00D508F9">
            <w:pPr>
              <w:rPr>
                <w:rFonts w:ascii="Arial Narrow" w:hAnsi="Arial Narrow"/>
                <w:strike/>
                <w:color w:val="333333"/>
                <w:sz w:val="20"/>
                <w:szCs w:val="20"/>
              </w:rPr>
            </w:pPr>
            <w:r w:rsidRPr="00A05716">
              <w:rPr>
                <w:rFonts w:ascii="Arial Narrow" w:hAnsi="Arial Narrow"/>
                <w:b/>
                <w:bCs/>
                <w:strike/>
                <w:color w:val="333333"/>
                <w:sz w:val="20"/>
                <w:szCs w:val="20"/>
              </w:rPr>
              <w:t>Clinical criteria:</w:t>
            </w:r>
          </w:p>
        </w:tc>
      </w:tr>
      <w:tr w:rsidR="00D508F9" w:rsidRPr="00AD0449" w14:paraId="03CB6FD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9343AA6" w14:textId="5A3FEE5C" w:rsidR="00D508F9" w:rsidRPr="00A05716" w:rsidRDefault="00D508F9">
            <w:pPr>
              <w:jc w:val="center"/>
              <w:rPr>
                <w:rFonts w:ascii="Arial Narrow" w:hAnsi="Arial Narrow"/>
                <w:strike/>
                <w:sz w:val="20"/>
                <w:szCs w:val="20"/>
              </w:rPr>
            </w:pPr>
          </w:p>
        </w:tc>
        <w:tc>
          <w:tcPr>
            <w:tcW w:w="7745" w:type="dxa"/>
            <w:gridSpan w:val="6"/>
            <w:vAlign w:val="center"/>
            <w:hideMark/>
          </w:tcPr>
          <w:p w14:paraId="13BAE40D" w14:textId="77777777" w:rsidR="00D508F9" w:rsidRPr="00A05716" w:rsidRDefault="00D508F9">
            <w:pPr>
              <w:rPr>
                <w:rFonts w:ascii="Arial Narrow" w:hAnsi="Arial Narrow"/>
                <w:strike/>
                <w:sz w:val="20"/>
                <w:szCs w:val="20"/>
              </w:rPr>
            </w:pPr>
            <w:r w:rsidRPr="00A05716">
              <w:rPr>
                <w:rFonts w:ascii="Arial Narrow" w:hAnsi="Arial Narrow"/>
                <w:strike/>
                <w:sz w:val="20"/>
                <w:szCs w:val="20"/>
              </w:rPr>
              <w:t>Patient must have an estimated glomerular filtration rate (eGFR) of at least 30 mL/min/1.73 m</w:t>
            </w:r>
            <w:r w:rsidRPr="00A05716">
              <w:rPr>
                <w:rFonts w:ascii="Arial Narrow" w:hAnsi="Arial Narrow"/>
                <w:strike/>
                <w:sz w:val="20"/>
                <w:szCs w:val="20"/>
                <w:vertAlign w:val="superscript"/>
              </w:rPr>
              <w:t>2</w:t>
            </w:r>
            <w:r w:rsidRPr="00A05716">
              <w:rPr>
                <w:rFonts w:ascii="Arial Narrow" w:hAnsi="Arial Narrow"/>
                <w:strike/>
                <w:sz w:val="20"/>
                <w:szCs w:val="20"/>
              </w:rPr>
              <w:t>.</w:t>
            </w:r>
          </w:p>
        </w:tc>
      </w:tr>
      <w:tr w:rsidR="00D508F9" w:rsidRPr="00AD0449" w14:paraId="35843A9E"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E8F1A0C" w14:textId="77777777" w:rsidR="00D508F9" w:rsidRPr="00A05716" w:rsidRDefault="00D508F9">
            <w:pPr>
              <w:jc w:val="center"/>
              <w:rPr>
                <w:rFonts w:ascii="Arial Narrow" w:hAnsi="Arial Narrow"/>
                <w:color w:val="FF0000"/>
                <w:sz w:val="20"/>
                <w:szCs w:val="20"/>
              </w:rPr>
            </w:pPr>
          </w:p>
        </w:tc>
        <w:tc>
          <w:tcPr>
            <w:tcW w:w="7745" w:type="dxa"/>
            <w:gridSpan w:val="6"/>
            <w:vAlign w:val="center"/>
          </w:tcPr>
          <w:p w14:paraId="42E71101" w14:textId="77777777" w:rsidR="00D508F9" w:rsidRPr="00A05716" w:rsidRDefault="00D508F9">
            <w:pPr>
              <w:rPr>
                <w:rFonts w:ascii="Arial Narrow" w:hAnsi="Arial Narrow"/>
                <w:color w:val="FF0000"/>
                <w:sz w:val="20"/>
                <w:szCs w:val="20"/>
              </w:rPr>
            </w:pPr>
            <w:r w:rsidRPr="00A05716">
              <w:rPr>
                <w:rFonts w:ascii="Arial Narrow" w:hAnsi="Arial Narrow" w:cs="Arial Narrow"/>
                <w:b/>
                <w:bCs/>
                <w:iCs/>
                <w:sz w:val="20"/>
                <w:szCs w:val="20"/>
              </w:rPr>
              <w:t>AND</w:t>
            </w:r>
          </w:p>
        </w:tc>
      </w:tr>
      <w:tr w:rsidR="00D508F9" w:rsidRPr="00AD0449" w14:paraId="254AD1EA"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CC97E6A" w14:textId="61A83595" w:rsidR="00D508F9" w:rsidRPr="00A05716" w:rsidRDefault="00D508F9">
            <w:pPr>
              <w:keepNext/>
              <w:jc w:val="center"/>
              <w:rPr>
                <w:rFonts w:ascii="Arial Narrow" w:hAnsi="Arial Narrow"/>
                <w:sz w:val="20"/>
                <w:szCs w:val="20"/>
              </w:rPr>
            </w:pPr>
          </w:p>
        </w:tc>
        <w:tc>
          <w:tcPr>
            <w:tcW w:w="7745" w:type="dxa"/>
            <w:gridSpan w:val="6"/>
            <w:vAlign w:val="center"/>
            <w:hideMark/>
          </w:tcPr>
          <w:p w14:paraId="49037921" w14:textId="77777777" w:rsidR="00D508F9" w:rsidRPr="00A05716" w:rsidRDefault="00D508F9">
            <w:pPr>
              <w:keepNext/>
              <w:rPr>
                <w:rFonts w:ascii="Arial Narrow" w:hAnsi="Arial Narrow"/>
                <w:sz w:val="20"/>
                <w:szCs w:val="20"/>
              </w:rPr>
            </w:pPr>
            <w:r w:rsidRPr="00A05716">
              <w:rPr>
                <w:rFonts w:ascii="Arial Narrow" w:hAnsi="Arial Narrow"/>
                <w:b/>
                <w:bCs/>
                <w:color w:val="333333"/>
                <w:sz w:val="20"/>
                <w:szCs w:val="20"/>
              </w:rPr>
              <w:t>Clinical criteria:</w:t>
            </w:r>
          </w:p>
        </w:tc>
      </w:tr>
      <w:tr w:rsidR="00D508F9" w:rsidRPr="00AD0449" w14:paraId="45FC0DF9"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263B934" w14:textId="0D1C8021" w:rsidR="00D508F9" w:rsidRPr="00A05716" w:rsidRDefault="00D508F9">
            <w:pPr>
              <w:jc w:val="center"/>
              <w:rPr>
                <w:rFonts w:ascii="Arial Narrow" w:hAnsi="Arial Narrow"/>
                <w:sz w:val="20"/>
                <w:szCs w:val="20"/>
              </w:rPr>
            </w:pPr>
          </w:p>
        </w:tc>
        <w:tc>
          <w:tcPr>
            <w:tcW w:w="7745" w:type="dxa"/>
            <w:gridSpan w:val="6"/>
            <w:vAlign w:val="center"/>
          </w:tcPr>
          <w:p w14:paraId="06C4C667" w14:textId="77777777" w:rsidR="00D508F9" w:rsidRPr="00A05716" w:rsidRDefault="00D508F9">
            <w:pPr>
              <w:autoSpaceDE w:val="0"/>
              <w:autoSpaceDN w:val="0"/>
              <w:adjustRightInd w:val="0"/>
              <w:jc w:val="left"/>
              <w:rPr>
                <w:rFonts w:ascii="Arial Narrow" w:hAnsi="Arial Narrow" w:cs="Arial Narrow"/>
                <w:sz w:val="20"/>
                <w:szCs w:val="20"/>
              </w:rPr>
            </w:pPr>
            <w:r w:rsidRPr="00A05716">
              <w:rPr>
                <w:rFonts w:ascii="Arial Narrow" w:hAnsi="Arial Narrow"/>
                <w:sz w:val="20"/>
                <w:szCs w:val="20"/>
              </w:rPr>
              <w:t xml:space="preserve">Patient must be male with Fabry-related renal disease confirmed by at least one of the following: (i) abnormal albuminuria of more than 20 mcg/min, as determined by 2 separate samples at least 24 hours apart, (ii) abnormal proteinuria of more than 150 mg/24 hours, (iii) albumin: creatinine ratio greater than upper limit of normal in 2 separate samples at least 24 hours apart, (iv) renal disease due to long-term accumulation of glycosphingolipids in the kidneys; OR </w:t>
            </w:r>
          </w:p>
        </w:tc>
      </w:tr>
      <w:tr w:rsidR="00D508F9" w:rsidRPr="00AD0449" w14:paraId="496B4051"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1B0D7E7" w14:textId="196C3427" w:rsidR="00D508F9" w:rsidRPr="00A05716" w:rsidRDefault="00D508F9">
            <w:pPr>
              <w:jc w:val="center"/>
              <w:rPr>
                <w:rFonts w:ascii="Arial Narrow" w:hAnsi="Arial Narrow"/>
                <w:sz w:val="20"/>
                <w:szCs w:val="20"/>
              </w:rPr>
            </w:pPr>
          </w:p>
        </w:tc>
        <w:tc>
          <w:tcPr>
            <w:tcW w:w="7745" w:type="dxa"/>
            <w:gridSpan w:val="6"/>
            <w:vAlign w:val="center"/>
          </w:tcPr>
          <w:p w14:paraId="2857BFF1" w14:textId="77777777" w:rsidR="00D508F9" w:rsidRPr="00A05716" w:rsidRDefault="00D508F9">
            <w:pPr>
              <w:autoSpaceDE w:val="0"/>
              <w:autoSpaceDN w:val="0"/>
              <w:adjustRightInd w:val="0"/>
              <w:rPr>
                <w:rFonts w:ascii="Arial Narrow" w:hAnsi="Arial Narrow" w:cs="Arial Narrow"/>
                <w:iCs/>
                <w:color w:val="FF0000"/>
                <w:sz w:val="20"/>
                <w:szCs w:val="20"/>
              </w:rPr>
            </w:pPr>
            <w:r w:rsidRPr="00A05716">
              <w:rPr>
                <w:rFonts w:ascii="Arial Narrow" w:hAnsi="Arial Narrow"/>
                <w:sz w:val="20"/>
                <w:szCs w:val="20"/>
              </w:rPr>
              <w:t>Patient must be female with Fabry-related renal disease confirmed by at least one of the following: (i) proteinuria of more than 300 mg/24 hours with clinical evidence of progression, (ii) renal disease due to long-term accumulation of glycosphingolipids in the kidneys; OR</w:t>
            </w:r>
          </w:p>
        </w:tc>
      </w:tr>
      <w:tr w:rsidR="00D508F9" w:rsidRPr="00AD0449" w14:paraId="589318F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28F2D02" w14:textId="67197E8D" w:rsidR="00D508F9" w:rsidRPr="00A05716" w:rsidRDefault="00D508F9">
            <w:pPr>
              <w:jc w:val="center"/>
              <w:rPr>
                <w:rFonts w:ascii="Arial Narrow" w:hAnsi="Arial Narrow"/>
                <w:sz w:val="20"/>
                <w:szCs w:val="20"/>
              </w:rPr>
            </w:pPr>
          </w:p>
        </w:tc>
        <w:tc>
          <w:tcPr>
            <w:tcW w:w="7745" w:type="dxa"/>
            <w:gridSpan w:val="6"/>
            <w:vAlign w:val="center"/>
          </w:tcPr>
          <w:p w14:paraId="39BE6770" w14:textId="77777777" w:rsidR="00D508F9" w:rsidRPr="00A05716" w:rsidRDefault="00D508F9">
            <w:pPr>
              <w:autoSpaceDE w:val="0"/>
              <w:autoSpaceDN w:val="0"/>
              <w:adjustRightInd w:val="0"/>
              <w:rPr>
                <w:rFonts w:ascii="Arial Narrow" w:hAnsi="Arial Narrow" w:cs="Arial Narrow"/>
                <w:iCs/>
                <w:color w:val="FF0000"/>
                <w:sz w:val="20"/>
                <w:szCs w:val="20"/>
              </w:rPr>
            </w:pPr>
            <w:r w:rsidRPr="00A05716">
              <w:rPr>
                <w:rFonts w:ascii="Arial Narrow" w:hAnsi="Arial Narrow"/>
                <w:sz w:val="20"/>
                <w:szCs w:val="20"/>
              </w:rPr>
              <w:t>Patient must have Fabry-related cardiac disease confirmed by at least one of the following: (i) left ventricular hypertrophy, as evidenced by cardiac magnetic resonance imaging (MRI) or echocardiogram data, in the absence of hypertension, (ii) significant life-threatening arrhythmia or conduction defect</w:t>
            </w:r>
            <w:r w:rsidRPr="00A05716">
              <w:rPr>
                <w:rFonts w:ascii="Arial Narrow" w:hAnsi="Arial Narrow"/>
                <w:i/>
                <w:iCs/>
                <w:sz w:val="20"/>
                <w:szCs w:val="20"/>
              </w:rPr>
              <w:t>, (iii) late gadolinium enhancement or a low T1 on cardiac MRI</w:t>
            </w:r>
            <w:r w:rsidRPr="00A05716">
              <w:rPr>
                <w:rFonts w:ascii="Arial Narrow" w:hAnsi="Arial Narrow"/>
                <w:sz w:val="20"/>
                <w:szCs w:val="20"/>
              </w:rPr>
              <w:t>; OR</w:t>
            </w:r>
          </w:p>
        </w:tc>
      </w:tr>
      <w:tr w:rsidR="00D508F9" w:rsidRPr="00AD0449" w14:paraId="667EE642"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1E3291EE" w14:textId="5818E4E0" w:rsidR="00D508F9" w:rsidRPr="00A05716" w:rsidRDefault="00D508F9">
            <w:pPr>
              <w:jc w:val="center"/>
              <w:rPr>
                <w:rFonts w:ascii="Arial Narrow" w:hAnsi="Arial Narrow"/>
                <w:sz w:val="20"/>
                <w:szCs w:val="20"/>
              </w:rPr>
            </w:pPr>
          </w:p>
        </w:tc>
        <w:tc>
          <w:tcPr>
            <w:tcW w:w="7745" w:type="dxa"/>
            <w:gridSpan w:val="6"/>
            <w:vAlign w:val="center"/>
          </w:tcPr>
          <w:p w14:paraId="15152025" w14:textId="77777777" w:rsidR="00D508F9" w:rsidRPr="00A05716" w:rsidRDefault="00D508F9">
            <w:pPr>
              <w:autoSpaceDE w:val="0"/>
              <w:autoSpaceDN w:val="0"/>
              <w:adjustRightInd w:val="0"/>
              <w:rPr>
                <w:rFonts w:ascii="Arial Narrow" w:hAnsi="Arial Narrow"/>
                <w:sz w:val="20"/>
                <w:szCs w:val="20"/>
              </w:rPr>
            </w:pPr>
            <w:r w:rsidRPr="00A05716">
              <w:rPr>
                <w:rFonts w:ascii="Arial Narrow" w:hAnsi="Arial Narrow"/>
                <w:sz w:val="20"/>
                <w:szCs w:val="20"/>
              </w:rPr>
              <w:t>Patient must have Fabry-related either (i) ischaemic disease, (ii) cerebrovascular disease as shown on objective testing with no other cause or risk factors identified; OR</w:t>
            </w:r>
          </w:p>
        </w:tc>
      </w:tr>
      <w:tr w:rsidR="00D508F9" w:rsidRPr="00AD0449" w14:paraId="77B6E20F"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D54625F" w14:textId="4E1156AB" w:rsidR="00D508F9" w:rsidRPr="00A05716" w:rsidRDefault="00D508F9">
            <w:pPr>
              <w:jc w:val="center"/>
              <w:rPr>
                <w:rFonts w:ascii="Arial Narrow" w:hAnsi="Arial Narrow"/>
                <w:sz w:val="20"/>
                <w:szCs w:val="20"/>
              </w:rPr>
            </w:pPr>
          </w:p>
        </w:tc>
        <w:tc>
          <w:tcPr>
            <w:tcW w:w="7745" w:type="dxa"/>
            <w:gridSpan w:val="6"/>
            <w:vAlign w:val="center"/>
          </w:tcPr>
          <w:p w14:paraId="194E9BAC" w14:textId="77777777" w:rsidR="00D508F9" w:rsidRPr="00A05716" w:rsidRDefault="00D508F9">
            <w:pPr>
              <w:autoSpaceDE w:val="0"/>
              <w:autoSpaceDN w:val="0"/>
              <w:adjustRightInd w:val="0"/>
              <w:rPr>
                <w:rFonts w:ascii="Arial Narrow" w:hAnsi="Arial Narrow"/>
                <w:sz w:val="20"/>
                <w:szCs w:val="20"/>
              </w:rPr>
            </w:pPr>
            <w:r w:rsidRPr="00A05716">
              <w:rPr>
                <w:rFonts w:ascii="Arial Narrow" w:hAnsi="Arial Narrow"/>
                <w:sz w:val="20"/>
                <w:szCs w:val="20"/>
              </w:rPr>
              <w:t>Patient must have Fabry-related uncontrolled chronic pain despite the use of recommended doses of appropriate analgesia and antiepileptic medications for peripheral neuropathy; OR</w:t>
            </w:r>
          </w:p>
        </w:tc>
      </w:tr>
      <w:tr w:rsidR="00D508F9" w:rsidRPr="00AD0449" w14:paraId="75612C33"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E0B4BB7" w14:textId="0A36AA2D" w:rsidR="00D508F9" w:rsidRPr="00A05716" w:rsidRDefault="00D508F9">
            <w:pPr>
              <w:jc w:val="center"/>
              <w:rPr>
                <w:rFonts w:ascii="Arial Narrow" w:hAnsi="Arial Narrow"/>
                <w:sz w:val="20"/>
                <w:szCs w:val="20"/>
              </w:rPr>
            </w:pPr>
          </w:p>
        </w:tc>
        <w:tc>
          <w:tcPr>
            <w:tcW w:w="7745" w:type="dxa"/>
            <w:gridSpan w:val="6"/>
            <w:vAlign w:val="center"/>
          </w:tcPr>
          <w:p w14:paraId="52648578" w14:textId="77777777" w:rsidR="00D508F9" w:rsidRPr="00A05716" w:rsidRDefault="00D508F9">
            <w:pPr>
              <w:autoSpaceDE w:val="0"/>
              <w:autoSpaceDN w:val="0"/>
              <w:adjustRightInd w:val="0"/>
              <w:rPr>
                <w:rFonts w:ascii="Arial Narrow" w:hAnsi="Arial Narrow"/>
                <w:sz w:val="20"/>
                <w:szCs w:val="20"/>
              </w:rPr>
            </w:pPr>
            <w:r w:rsidRPr="00A05716">
              <w:rPr>
                <w:rFonts w:ascii="Arial Narrow" w:hAnsi="Arial Narrow"/>
                <w:sz w:val="20"/>
                <w:szCs w:val="20"/>
              </w:rPr>
              <w:t>Patient must have significant Fabry-related gastrointestinal symptoms despite the use of the recommended doses of appropriate pharmacological therapies.</w:t>
            </w:r>
          </w:p>
        </w:tc>
      </w:tr>
      <w:tr w:rsidR="00D508F9" w:rsidRPr="00AD0449" w14:paraId="668DB340"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BE9980A" w14:textId="77777777" w:rsidR="00D508F9" w:rsidRPr="00A05716" w:rsidRDefault="00D508F9">
            <w:pPr>
              <w:jc w:val="center"/>
              <w:rPr>
                <w:rFonts w:ascii="Arial Narrow" w:hAnsi="Arial Narrow"/>
                <w:i/>
                <w:color w:val="FF0000"/>
                <w:sz w:val="20"/>
                <w:szCs w:val="20"/>
              </w:rPr>
            </w:pPr>
          </w:p>
        </w:tc>
        <w:tc>
          <w:tcPr>
            <w:tcW w:w="7745" w:type="dxa"/>
            <w:gridSpan w:val="6"/>
            <w:vAlign w:val="center"/>
          </w:tcPr>
          <w:p w14:paraId="3B7A86AF" w14:textId="77777777" w:rsidR="00D508F9" w:rsidRPr="00A05716" w:rsidRDefault="00D508F9">
            <w:pPr>
              <w:autoSpaceDE w:val="0"/>
              <w:autoSpaceDN w:val="0"/>
              <w:adjustRightInd w:val="0"/>
              <w:rPr>
                <w:rFonts w:ascii="Arial Narrow" w:hAnsi="Arial Narrow" w:cs="Arial Narrow"/>
                <w:b/>
                <w:bCs/>
                <w:i/>
                <w:color w:val="FF0000"/>
                <w:sz w:val="20"/>
                <w:szCs w:val="20"/>
              </w:rPr>
            </w:pPr>
            <w:r w:rsidRPr="00A05716">
              <w:rPr>
                <w:rFonts w:ascii="Arial Narrow" w:hAnsi="Arial Narrow" w:cs="Arial Narrow"/>
                <w:b/>
                <w:bCs/>
                <w:i/>
                <w:sz w:val="20"/>
                <w:szCs w:val="20"/>
              </w:rPr>
              <w:t>AND</w:t>
            </w:r>
          </w:p>
        </w:tc>
      </w:tr>
      <w:tr w:rsidR="00D508F9" w:rsidRPr="00AD0449" w14:paraId="09139C5A"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522899F" w14:textId="6E2B41D5" w:rsidR="00D508F9" w:rsidRPr="00A05716" w:rsidRDefault="00D508F9">
            <w:pPr>
              <w:jc w:val="center"/>
              <w:rPr>
                <w:rFonts w:ascii="Arial Narrow" w:hAnsi="Arial Narrow"/>
                <w:i/>
                <w:iCs/>
                <w:sz w:val="20"/>
                <w:szCs w:val="20"/>
              </w:rPr>
            </w:pPr>
          </w:p>
        </w:tc>
        <w:tc>
          <w:tcPr>
            <w:tcW w:w="7745" w:type="dxa"/>
            <w:gridSpan w:val="6"/>
            <w:vAlign w:val="center"/>
          </w:tcPr>
          <w:p w14:paraId="79067DC3" w14:textId="77777777" w:rsidR="00D508F9" w:rsidRPr="00A05716" w:rsidRDefault="00D508F9">
            <w:pPr>
              <w:autoSpaceDE w:val="0"/>
              <w:autoSpaceDN w:val="0"/>
              <w:adjustRightInd w:val="0"/>
              <w:rPr>
                <w:rFonts w:ascii="Arial Narrow" w:hAnsi="Arial Narrow" w:cs="Arial Narrow"/>
                <w:b/>
                <w:bCs/>
                <w:i/>
                <w:iCs/>
                <w:sz w:val="20"/>
                <w:szCs w:val="20"/>
              </w:rPr>
            </w:pPr>
            <w:r w:rsidRPr="00A05716">
              <w:rPr>
                <w:rFonts w:ascii="Arial Narrow" w:hAnsi="Arial Narrow" w:cs="Arial Narrow"/>
                <w:b/>
                <w:bCs/>
                <w:i/>
                <w:iCs/>
                <w:sz w:val="20"/>
                <w:szCs w:val="20"/>
              </w:rPr>
              <w:t>Clinical criteria:</w:t>
            </w:r>
          </w:p>
        </w:tc>
      </w:tr>
      <w:tr w:rsidR="00D508F9" w:rsidRPr="00AD0449" w14:paraId="60D7984B"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5061DB92" w14:textId="0C897F25" w:rsidR="00D508F9" w:rsidRPr="00A05716" w:rsidRDefault="00D508F9">
            <w:pPr>
              <w:jc w:val="center"/>
              <w:rPr>
                <w:rFonts w:ascii="Arial Narrow" w:hAnsi="Arial Narrow"/>
                <w:i/>
                <w:iCs/>
                <w:sz w:val="20"/>
                <w:szCs w:val="20"/>
              </w:rPr>
            </w:pPr>
          </w:p>
        </w:tc>
        <w:tc>
          <w:tcPr>
            <w:tcW w:w="7745" w:type="dxa"/>
            <w:gridSpan w:val="6"/>
            <w:vAlign w:val="center"/>
          </w:tcPr>
          <w:p w14:paraId="553156B1" w14:textId="77777777" w:rsidR="00D508F9" w:rsidRPr="00A05716" w:rsidRDefault="00D508F9">
            <w:pPr>
              <w:autoSpaceDE w:val="0"/>
              <w:autoSpaceDN w:val="0"/>
              <w:adjustRightInd w:val="0"/>
              <w:rPr>
                <w:rFonts w:ascii="Arial Narrow" w:hAnsi="Arial Narrow" w:cs="Arial Narrow"/>
                <w:i/>
                <w:iCs/>
                <w:sz w:val="20"/>
                <w:szCs w:val="20"/>
              </w:rPr>
            </w:pPr>
            <w:r w:rsidRPr="00A05716">
              <w:rPr>
                <w:rFonts w:ascii="Arial Narrow" w:hAnsi="Arial Narrow" w:cs="Arial Narrow"/>
                <w:i/>
                <w:iCs/>
                <w:sz w:val="20"/>
                <w:szCs w:val="20"/>
              </w:rPr>
              <w:t>The treatment must be the sole PBS-subsidised therapy for this condition.</w:t>
            </w:r>
          </w:p>
        </w:tc>
      </w:tr>
      <w:tr w:rsidR="00D508F9" w:rsidRPr="00AD0449" w14:paraId="345B027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9FA66D6" w14:textId="11DF5E2D" w:rsidR="00D508F9" w:rsidRPr="00A05716" w:rsidRDefault="00D508F9">
            <w:pPr>
              <w:jc w:val="center"/>
              <w:rPr>
                <w:rFonts w:ascii="Arial Narrow" w:hAnsi="Arial Narrow"/>
                <w:sz w:val="20"/>
                <w:szCs w:val="20"/>
              </w:rPr>
            </w:pPr>
          </w:p>
        </w:tc>
        <w:tc>
          <w:tcPr>
            <w:tcW w:w="7745" w:type="dxa"/>
            <w:gridSpan w:val="6"/>
            <w:vAlign w:val="center"/>
          </w:tcPr>
          <w:p w14:paraId="264807AB" w14:textId="77777777" w:rsidR="00D508F9" w:rsidRPr="00A05716" w:rsidRDefault="00D508F9">
            <w:pPr>
              <w:autoSpaceDE w:val="0"/>
              <w:autoSpaceDN w:val="0"/>
              <w:adjustRightInd w:val="0"/>
              <w:rPr>
                <w:rFonts w:ascii="Arial Narrow" w:hAnsi="Arial Narrow" w:cs="Arial Narrow"/>
                <w:iCs/>
                <w:color w:val="FF0000"/>
                <w:sz w:val="20"/>
                <w:szCs w:val="20"/>
              </w:rPr>
            </w:pPr>
            <w:r w:rsidRPr="00A05716">
              <w:rPr>
                <w:rFonts w:ascii="Arial Narrow" w:hAnsi="Arial Narrow"/>
                <w:b/>
                <w:bCs/>
                <w:color w:val="333333"/>
                <w:sz w:val="20"/>
                <w:szCs w:val="20"/>
              </w:rPr>
              <w:t>Treatment criteria:</w:t>
            </w:r>
          </w:p>
        </w:tc>
      </w:tr>
      <w:tr w:rsidR="00D508F9" w:rsidRPr="00AD0449" w14:paraId="29C02DB7"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27B474F" w14:textId="412C8C82" w:rsidR="00D508F9" w:rsidRPr="00A05716" w:rsidRDefault="00D508F9">
            <w:pPr>
              <w:jc w:val="center"/>
              <w:rPr>
                <w:rFonts w:ascii="Arial Narrow" w:hAnsi="Arial Narrow"/>
                <w:sz w:val="20"/>
                <w:szCs w:val="20"/>
              </w:rPr>
            </w:pPr>
          </w:p>
        </w:tc>
        <w:tc>
          <w:tcPr>
            <w:tcW w:w="7745" w:type="dxa"/>
            <w:gridSpan w:val="6"/>
            <w:vAlign w:val="center"/>
          </w:tcPr>
          <w:p w14:paraId="6E6B69A1" w14:textId="77777777" w:rsidR="00D508F9" w:rsidRPr="00A05716" w:rsidRDefault="00D508F9">
            <w:pPr>
              <w:autoSpaceDE w:val="0"/>
              <w:autoSpaceDN w:val="0"/>
              <w:adjustRightInd w:val="0"/>
              <w:rPr>
                <w:rFonts w:ascii="Arial Narrow" w:hAnsi="Arial Narrow"/>
                <w:sz w:val="20"/>
                <w:szCs w:val="20"/>
              </w:rPr>
            </w:pPr>
            <w:r w:rsidRPr="00A05716">
              <w:rPr>
                <w:rFonts w:ascii="Arial Narrow" w:hAnsi="Arial Narrow"/>
                <w:sz w:val="20"/>
                <w:szCs w:val="20"/>
              </w:rPr>
              <w:t>Must be treated by a physician with expertise in the management of Fabry disease.</w:t>
            </w:r>
          </w:p>
        </w:tc>
      </w:tr>
      <w:tr w:rsidR="00D508F9" w:rsidRPr="00AD0449" w14:paraId="6926090F"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CA6926E" w14:textId="65173EDA" w:rsidR="00D508F9" w:rsidRPr="00A05716" w:rsidRDefault="00D508F9">
            <w:pPr>
              <w:jc w:val="center"/>
              <w:rPr>
                <w:rFonts w:ascii="Arial Narrow" w:hAnsi="Arial Narrow"/>
                <w:color w:val="333333"/>
                <w:sz w:val="20"/>
                <w:szCs w:val="20"/>
              </w:rPr>
            </w:pPr>
          </w:p>
        </w:tc>
        <w:tc>
          <w:tcPr>
            <w:tcW w:w="7745" w:type="dxa"/>
            <w:gridSpan w:val="6"/>
            <w:vAlign w:val="center"/>
            <w:hideMark/>
          </w:tcPr>
          <w:p w14:paraId="2D4C74B5" w14:textId="77777777" w:rsidR="00D508F9" w:rsidRPr="00A05716" w:rsidRDefault="00D508F9">
            <w:pPr>
              <w:rPr>
                <w:rFonts w:ascii="Arial Narrow" w:hAnsi="Arial Narrow"/>
                <w:color w:val="333333"/>
                <w:sz w:val="20"/>
                <w:szCs w:val="20"/>
              </w:rPr>
            </w:pPr>
            <w:r w:rsidRPr="00A05716">
              <w:rPr>
                <w:rFonts w:ascii="Arial Narrow" w:hAnsi="Arial Narrow"/>
                <w:b/>
                <w:bCs/>
                <w:color w:val="333333"/>
                <w:sz w:val="20"/>
                <w:szCs w:val="20"/>
              </w:rPr>
              <w:t>Population criteria:</w:t>
            </w:r>
          </w:p>
        </w:tc>
      </w:tr>
      <w:tr w:rsidR="00D508F9" w:rsidRPr="00AD0449" w14:paraId="27A4B816"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3368553" w14:textId="47D3130D" w:rsidR="00D508F9" w:rsidRPr="00A05716" w:rsidRDefault="00D508F9">
            <w:pPr>
              <w:jc w:val="center"/>
              <w:rPr>
                <w:rFonts w:ascii="Arial Narrow" w:hAnsi="Arial Narrow"/>
                <w:color w:val="333333"/>
                <w:sz w:val="20"/>
                <w:szCs w:val="20"/>
              </w:rPr>
            </w:pPr>
          </w:p>
        </w:tc>
        <w:tc>
          <w:tcPr>
            <w:tcW w:w="7745" w:type="dxa"/>
            <w:gridSpan w:val="6"/>
            <w:vAlign w:val="center"/>
            <w:hideMark/>
          </w:tcPr>
          <w:p w14:paraId="0DA5AB2E" w14:textId="61D7FCBA" w:rsidR="00D508F9" w:rsidRPr="00A05716" w:rsidRDefault="00D508F9">
            <w:pPr>
              <w:rPr>
                <w:rFonts w:ascii="Arial Narrow" w:hAnsi="Arial Narrow"/>
                <w:color w:val="333333"/>
                <w:sz w:val="20"/>
                <w:szCs w:val="20"/>
              </w:rPr>
            </w:pPr>
            <w:r w:rsidRPr="00A05716">
              <w:rPr>
                <w:rFonts w:ascii="Arial Narrow" w:hAnsi="Arial Narrow"/>
                <w:sz w:val="20"/>
                <w:szCs w:val="20"/>
              </w:rPr>
              <w:t>Patient must be at least 18 years of age.</w:t>
            </w:r>
          </w:p>
        </w:tc>
      </w:tr>
      <w:tr w:rsidR="00D508F9" w:rsidRPr="00AD0449" w14:paraId="110F2530"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536FC8E" w14:textId="078EBC1B" w:rsidR="00D508F9" w:rsidRPr="00A05716" w:rsidRDefault="00D508F9">
            <w:pPr>
              <w:jc w:val="center"/>
              <w:rPr>
                <w:rFonts w:ascii="Arial Narrow" w:hAnsi="Arial Narrow"/>
                <w:color w:val="333333"/>
                <w:sz w:val="20"/>
                <w:szCs w:val="20"/>
              </w:rPr>
            </w:pPr>
          </w:p>
        </w:tc>
        <w:tc>
          <w:tcPr>
            <w:tcW w:w="7745" w:type="dxa"/>
            <w:gridSpan w:val="6"/>
            <w:vAlign w:val="center"/>
          </w:tcPr>
          <w:p w14:paraId="5983C840"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Prescribing Instructions:</w:t>
            </w:r>
          </w:p>
          <w:p w14:paraId="2FA6120C" w14:textId="77777777" w:rsidR="00D508F9" w:rsidRPr="00A05716" w:rsidRDefault="00D508F9">
            <w:pPr>
              <w:rPr>
                <w:rFonts w:ascii="Arial Narrow" w:hAnsi="Arial Narrow"/>
                <w:sz w:val="20"/>
                <w:szCs w:val="20"/>
              </w:rPr>
            </w:pPr>
            <w:r w:rsidRPr="00A05716">
              <w:rPr>
                <w:rFonts w:ascii="Arial Narrow" w:hAnsi="Arial Narrow"/>
                <w:sz w:val="20"/>
                <w:szCs w:val="20"/>
              </w:rPr>
              <w:t>If hypertension is present in patients relying their eligibility on Fabry-related cardiac disease, the prescriber must treat it optimally for at least 6 months prior to submitting the first PBS authority application.</w:t>
            </w:r>
          </w:p>
        </w:tc>
      </w:tr>
      <w:tr w:rsidR="00D508F9" w:rsidRPr="00AD0449" w14:paraId="43A38218"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0D125937" w14:textId="09D31E3F" w:rsidR="00D508F9" w:rsidRPr="00A05716" w:rsidRDefault="00D508F9">
            <w:pPr>
              <w:jc w:val="center"/>
              <w:rPr>
                <w:rFonts w:ascii="Arial Narrow" w:hAnsi="Arial Narrow"/>
                <w:color w:val="333333"/>
                <w:sz w:val="20"/>
                <w:szCs w:val="20"/>
              </w:rPr>
            </w:pPr>
          </w:p>
        </w:tc>
        <w:tc>
          <w:tcPr>
            <w:tcW w:w="7745" w:type="dxa"/>
            <w:gridSpan w:val="6"/>
            <w:vAlign w:val="center"/>
          </w:tcPr>
          <w:p w14:paraId="13F53DFE"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Prescribing Instructions:</w:t>
            </w:r>
          </w:p>
          <w:p w14:paraId="4257F6CA" w14:textId="77777777" w:rsidR="00D508F9" w:rsidRPr="00A05716" w:rsidRDefault="00D508F9">
            <w:pPr>
              <w:rPr>
                <w:rFonts w:ascii="Arial Narrow" w:hAnsi="Arial Narrow"/>
                <w:b/>
                <w:bCs/>
                <w:color w:val="333333"/>
                <w:sz w:val="20"/>
                <w:szCs w:val="20"/>
              </w:rPr>
            </w:pPr>
            <w:r w:rsidRPr="00A05716">
              <w:rPr>
                <w:rFonts w:ascii="Arial Narrow" w:hAnsi="Arial Narrow"/>
                <w:sz w:val="20"/>
                <w:szCs w:val="20"/>
              </w:rPr>
              <w:t>Confirmation of eligibility for treatment with diagnostic reports including the confirmed mutations must be documented in the patient's medical records.</w:t>
            </w:r>
          </w:p>
        </w:tc>
      </w:tr>
      <w:tr w:rsidR="00D508F9" w:rsidRPr="00AD0449" w14:paraId="33BAA0D3"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F0CD686" w14:textId="01BFD3A9" w:rsidR="00D508F9" w:rsidRPr="00A05716" w:rsidRDefault="00D508F9">
            <w:pPr>
              <w:jc w:val="center"/>
              <w:rPr>
                <w:rFonts w:ascii="Arial Narrow" w:hAnsi="Arial Narrow"/>
                <w:i/>
                <w:iCs/>
                <w:color w:val="333333"/>
                <w:sz w:val="20"/>
                <w:szCs w:val="20"/>
              </w:rPr>
            </w:pPr>
          </w:p>
        </w:tc>
        <w:tc>
          <w:tcPr>
            <w:tcW w:w="7745" w:type="dxa"/>
            <w:gridSpan w:val="6"/>
            <w:vAlign w:val="center"/>
          </w:tcPr>
          <w:p w14:paraId="1A8E930C" w14:textId="77777777" w:rsidR="00D508F9" w:rsidRPr="00A05716" w:rsidRDefault="00D508F9">
            <w:pPr>
              <w:rPr>
                <w:rFonts w:ascii="Arial Narrow" w:hAnsi="Arial Narrow"/>
                <w:b/>
                <w:bCs/>
                <w:i/>
                <w:iCs/>
                <w:color w:val="333333"/>
                <w:sz w:val="20"/>
                <w:szCs w:val="20"/>
              </w:rPr>
            </w:pPr>
            <w:r w:rsidRPr="00A05716">
              <w:rPr>
                <w:rFonts w:ascii="Arial Narrow" w:hAnsi="Arial Narrow"/>
                <w:b/>
                <w:bCs/>
                <w:i/>
                <w:iCs/>
                <w:color w:val="333333"/>
                <w:sz w:val="20"/>
                <w:szCs w:val="20"/>
              </w:rPr>
              <w:t>Prescribing Instructions:</w:t>
            </w:r>
          </w:p>
          <w:p w14:paraId="6AABE7F5" w14:textId="77777777" w:rsidR="00D508F9" w:rsidRPr="00A05716" w:rsidRDefault="00D508F9">
            <w:pPr>
              <w:rPr>
                <w:rFonts w:ascii="Arial Narrow" w:hAnsi="Arial Narrow"/>
                <w:color w:val="333333"/>
                <w:sz w:val="20"/>
                <w:szCs w:val="20"/>
              </w:rPr>
            </w:pPr>
            <w:r w:rsidRPr="00A05716">
              <w:rPr>
                <w:rFonts w:ascii="Arial Narrow" w:hAnsi="Arial Narrow"/>
                <w:color w:val="333333"/>
                <w:sz w:val="20"/>
                <w:szCs w:val="20"/>
              </w:rPr>
              <w:t>The authority application must be made in writing and must include:</w:t>
            </w:r>
          </w:p>
          <w:p w14:paraId="5FEE8F79" w14:textId="77777777" w:rsidR="00D508F9" w:rsidRPr="00A05716" w:rsidRDefault="00D508F9">
            <w:pPr>
              <w:rPr>
                <w:rFonts w:ascii="Arial Narrow" w:hAnsi="Arial Narrow"/>
                <w:color w:val="333333"/>
                <w:sz w:val="20"/>
                <w:szCs w:val="20"/>
              </w:rPr>
            </w:pPr>
            <w:r w:rsidRPr="00A05716">
              <w:rPr>
                <w:rFonts w:ascii="Arial Narrow" w:hAnsi="Arial Narrow"/>
                <w:color w:val="333333"/>
                <w:sz w:val="20"/>
                <w:szCs w:val="20"/>
              </w:rPr>
              <w:t>(1) details of the proposed prescription; and</w:t>
            </w:r>
          </w:p>
          <w:p w14:paraId="5E02FD41" w14:textId="77777777" w:rsidR="00D508F9" w:rsidRPr="00A05716" w:rsidRDefault="00D508F9">
            <w:pPr>
              <w:rPr>
                <w:rFonts w:ascii="Arial Narrow" w:hAnsi="Arial Narrow"/>
                <w:b/>
                <w:bCs/>
                <w:i/>
                <w:iCs/>
                <w:color w:val="333333"/>
                <w:sz w:val="20"/>
                <w:szCs w:val="20"/>
              </w:rPr>
            </w:pPr>
            <w:r w:rsidRPr="00A05716">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D508F9" w:rsidRPr="00AD0449" w14:paraId="6292B954" w14:textId="77777777">
        <w:tblPrEx>
          <w:tblCellMar>
            <w:top w:w="15" w:type="dxa"/>
            <w:bottom w:w="15" w:type="dxa"/>
          </w:tblCellMar>
          <w:tblLook w:val="04A0" w:firstRow="1" w:lastRow="0" w:firstColumn="1" w:lastColumn="0" w:noHBand="0" w:noVBand="1"/>
        </w:tblPrEx>
        <w:trPr>
          <w:cantSplit/>
          <w:trHeight w:val="20"/>
        </w:trPr>
        <w:tc>
          <w:tcPr>
            <w:tcW w:w="1276" w:type="dxa"/>
            <w:gridSpan w:val="2"/>
            <w:hideMark/>
          </w:tcPr>
          <w:p w14:paraId="3D3148CF" w14:textId="77777777" w:rsidR="00D508F9" w:rsidRPr="00A05716" w:rsidRDefault="00D508F9" w:rsidP="0042608C">
            <w:pPr>
              <w:jc w:val="center"/>
              <w:rPr>
                <w:rFonts w:ascii="Arial Narrow" w:hAnsi="Arial Narrow"/>
                <w:color w:val="333333"/>
                <w:sz w:val="20"/>
                <w:szCs w:val="20"/>
              </w:rPr>
            </w:pPr>
          </w:p>
        </w:tc>
        <w:tc>
          <w:tcPr>
            <w:tcW w:w="7745" w:type="dxa"/>
            <w:gridSpan w:val="6"/>
            <w:vAlign w:val="center"/>
            <w:hideMark/>
          </w:tcPr>
          <w:p w14:paraId="26C2F80E" w14:textId="77777777" w:rsidR="00D508F9" w:rsidRPr="00A05716" w:rsidRDefault="00D508F9">
            <w:pPr>
              <w:rPr>
                <w:rFonts w:ascii="Arial Narrow" w:hAnsi="Arial Narrow"/>
                <w:b/>
                <w:bCs/>
                <w:strike/>
                <w:color w:val="333333"/>
                <w:sz w:val="20"/>
                <w:szCs w:val="20"/>
              </w:rPr>
            </w:pPr>
            <w:r w:rsidRPr="00A05716">
              <w:rPr>
                <w:rFonts w:ascii="Arial Narrow" w:hAnsi="Arial Narrow"/>
                <w:b/>
                <w:bCs/>
                <w:strike/>
                <w:color w:val="333333"/>
                <w:sz w:val="20"/>
                <w:szCs w:val="20"/>
              </w:rPr>
              <w:t xml:space="preserve">Administrative Advice: </w:t>
            </w:r>
          </w:p>
          <w:p w14:paraId="20B2F62C" w14:textId="77777777" w:rsidR="00D508F9" w:rsidRPr="00A05716" w:rsidRDefault="00D508F9">
            <w:pPr>
              <w:rPr>
                <w:rFonts w:ascii="Arial Narrow" w:hAnsi="Arial Narrow"/>
                <w:strike/>
                <w:sz w:val="20"/>
                <w:szCs w:val="20"/>
              </w:rPr>
            </w:pPr>
            <w:r w:rsidRPr="00A05716">
              <w:rPr>
                <w:rFonts w:ascii="Arial Narrow" w:hAnsi="Arial Narrow"/>
                <w:strike/>
                <w:sz w:val="20"/>
                <w:szCs w:val="20"/>
              </w:rPr>
              <w:t xml:space="preserve">Clinicians should request the number of vials applicable to the patient weight for 1 month of therapy and 1 patient co-payment per month. </w:t>
            </w:r>
          </w:p>
          <w:p w14:paraId="0C9ABB99" w14:textId="77777777" w:rsidR="00D508F9" w:rsidRPr="00A05716" w:rsidRDefault="00D508F9">
            <w:pPr>
              <w:rPr>
                <w:rFonts w:ascii="Arial Narrow" w:hAnsi="Arial Narrow"/>
                <w:sz w:val="20"/>
                <w:szCs w:val="20"/>
              </w:rPr>
            </w:pPr>
          </w:p>
          <w:p w14:paraId="271B863E" w14:textId="77777777" w:rsidR="00D508F9" w:rsidRPr="00A05716" w:rsidRDefault="00D508F9">
            <w:pPr>
              <w:rPr>
                <w:rFonts w:ascii="Arial Narrow" w:hAnsi="Arial Narrow"/>
                <w:b/>
                <w:bCs/>
                <w:i/>
                <w:iCs/>
                <w:sz w:val="20"/>
                <w:szCs w:val="20"/>
              </w:rPr>
            </w:pPr>
            <w:r w:rsidRPr="00A05716">
              <w:rPr>
                <w:rFonts w:ascii="Arial Narrow" w:hAnsi="Arial Narrow"/>
                <w:b/>
                <w:bCs/>
                <w:i/>
                <w:iCs/>
                <w:sz w:val="20"/>
                <w:szCs w:val="20"/>
              </w:rPr>
              <w:t>Prescribing Instructions:</w:t>
            </w:r>
          </w:p>
          <w:p w14:paraId="65F9D210" w14:textId="77777777" w:rsidR="00D508F9" w:rsidRPr="00A05716" w:rsidRDefault="00D508F9">
            <w:pPr>
              <w:rPr>
                <w:rFonts w:ascii="Arial Narrow" w:hAnsi="Arial Narrow"/>
                <w:i/>
                <w:iCs/>
                <w:sz w:val="20"/>
                <w:szCs w:val="20"/>
              </w:rPr>
            </w:pPr>
            <w:r w:rsidRPr="00A05716">
              <w:rPr>
                <w:rFonts w:ascii="Arial Narrow" w:hAnsi="Arial Narrow"/>
                <w:i/>
                <w:iCs/>
                <w:sz w:val="20"/>
                <w:szCs w:val="20"/>
              </w:rPr>
              <w:t xml:space="preserve">At the time of authority application, prescribers must request the appropriate number of vials, based on the weight of the patient, to provide sufficient drug for 4 weeks of treatment at the dosage regimen specified in the approved Therapeutic Goods Administration (TGA) Product Information (PI). </w:t>
            </w:r>
          </w:p>
          <w:p w14:paraId="3BFC8BFA" w14:textId="77777777" w:rsidR="00D508F9" w:rsidRPr="00A05716" w:rsidRDefault="00D508F9">
            <w:pPr>
              <w:rPr>
                <w:rFonts w:ascii="Arial Narrow" w:hAnsi="Arial Narrow"/>
                <w:sz w:val="20"/>
                <w:szCs w:val="20"/>
              </w:rPr>
            </w:pPr>
          </w:p>
        </w:tc>
      </w:tr>
      <w:tr w:rsidR="00D508F9" w:rsidRPr="00AD0449" w14:paraId="32BCF57A" w14:textId="77777777">
        <w:tblPrEx>
          <w:tblCellMar>
            <w:top w:w="15" w:type="dxa"/>
            <w:bottom w:w="15" w:type="dxa"/>
          </w:tblCellMar>
          <w:tblLook w:val="04A0" w:firstRow="1" w:lastRow="0" w:firstColumn="1" w:lastColumn="0" w:noHBand="0" w:noVBand="1"/>
        </w:tblPrEx>
        <w:trPr>
          <w:cantSplit/>
          <w:trHeight w:val="20"/>
        </w:trPr>
        <w:tc>
          <w:tcPr>
            <w:tcW w:w="9021" w:type="dxa"/>
            <w:gridSpan w:val="8"/>
            <w:vAlign w:val="center"/>
          </w:tcPr>
          <w:p w14:paraId="31DCBE9B" w14:textId="77777777" w:rsidR="00D508F9" w:rsidRPr="00A05716" w:rsidRDefault="00D508F9">
            <w:pPr>
              <w:rPr>
                <w:rFonts w:ascii="Arial Narrow" w:hAnsi="Arial Narrow"/>
                <w:bCs/>
                <w:color w:val="FF0000"/>
                <w:sz w:val="20"/>
                <w:szCs w:val="20"/>
              </w:rPr>
            </w:pPr>
          </w:p>
          <w:p w14:paraId="7C891A25" w14:textId="77777777" w:rsidR="00D508F9" w:rsidRPr="00A05716" w:rsidRDefault="00D508F9">
            <w:pPr>
              <w:rPr>
                <w:rFonts w:ascii="Arial Narrow" w:hAnsi="Arial Narrow"/>
                <w:bCs/>
                <w:color w:val="FF0000"/>
                <w:sz w:val="20"/>
                <w:szCs w:val="20"/>
              </w:rPr>
            </w:pPr>
          </w:p>
        </w:tc>
      </w:tr>
      <w:tr w:rsidR="00D508F9" w:rsidRPr="00AD0449" w14:paraId="36A02E16" w14:textId="77777777">
        <w:tblPrEx>
          <w:tblCellMar>
            <w:top w:w="15" w:type="dxa"/>
            <w:bottom w:w="15" w:type="dxa"/>
          </w:tblCellMar>
          <w:tblLook w:val="04A0" w:firstRow="1" w:lastRow="0" w:firstColumn="1" w:lastColumn="0" w:noHBand="0" w:noVBand="1"/>
        </w:tblPrEx>
        <w:trPr>
          <w:cantSplit/>
          <w:trHeight w:val="20"/>
        </w:trPr>
        <w:tc>
          <w:tcPr>
            <w:tcW w:w="9021" w:type="dxa"/>
            <w:gridSpan w:val="8"/>
          </w:tcPr>
          <w:p w14:paraId="162222DD" w14:textId="77777777" w:rsidR="00D508F9" w:rsidRPr="00A05716" w:rsidRDefault="00D508F9">
            <w:pPr>
              <w:keepNext/>
              <w:keepLines/>
              <w:rPr>
                <w:rFonts w:ascii="Arial Narrow" w:hAnsi="Arial Narrow"/>
                <w:b/>
                <w:bCs/>
                <w:color w:val="FF0000"/>
                <w:sz w:val="20"/>
                <w:szCs w:val="20"/>
              </w:rPr>
            </w:pPr>
            <w:r w:rsidRPr="00A05716">
              <w:rPr>
                <w:rFonts w:ascii="Arial Narrow" w:hAnsi="Arial Narrow"/>
                <w:b/>
                <w:bCs/>
                <w:color w:val="333333"/>
                <w:sz w:val="20"/>
                <w:szCs w:val="20"/>
              </w:rPr>
              <w:t>Restriction Summary [new2] / Treatment of Concept: [new2A]</w:t>
            </w:r>
          </w:p>
        </w:tc>
      </w:tr>
      <w:tr w:rsidR="00D508F9" w:rsidRPr="00AD0449" w14:paraId="257524B2" w14:textId="77777777" w:rsidTr="0042608C">
        <w:tblPrEx>
          <w:tblCellMar>
            <w:top w:w="15" w:type="dxa"/>
            <w:bottom w:w="15" w:type="dxa"/>
          </w:tblCellMar>
          <w:tblLook w:val="04A0" w:firstRow="1" w:lastRow="0" w:firstColumn="1" w:lastColumn="0" w:noHBand="0" w:noVBand="1"/>
        </w:tblPrEx>
        <w:trPr>
          <w:cantSplit/>
          <w:trHeight w:val="20"/>
        </w:trPr>
        <w:tc>
          <w:tcPr>
            <w:tcW w:w="1276" w:type="dxa"/>
            <w:gridSpan w:val="2"/>
          </w:tcPr>
          <w:p w14:paraId="3A14C581" w14:textId="5F7F4726" w:rsidR="00D508F9" w:rsidRPr="00A05716" w:rsidRDefault="00D508F9">
            <w:pPr>
              <w:jc w:val="center"/>
              <w:rPr>
                <w:rFonts w:ascii="Arial Narrow" w:hAnsi="Arial Narrow"/>
                <w:color w:val="333333"/>
                <w:sz w:val="20"/>
                <w:szCs w:val="20"/>
              </w:rPr>
            </w:pPr>
          </w:p>
        </w:tc>
        <w:tc>
          <w:tcPr>
            <w:tcW w:w="7745" w:type="dxa"/>
            <w:gridSpan w:val="6"/>
            <w:vAlign w:val="center"/>
            <w:hideMark/>
          </w:tcPr>
          <w:p w14:paraId="49E9B297" w14:textId="77777777" w:rsidR="00D508F9" w:rsidRPr="00A05716" w:rsidRDefault="00D508F9">
            <w:pPr>
              <w:rPr>
                <w:rFonts w:ascii="Arial Narrow" w:hAnsi="Arial Narrow"/>
                <w:color w:val="333333"/>
                <w:sz w:val="20"/>
                <w:szCs w:val="20"/>
              </w:rPr>
            </w:pPr>
            <w:r w:rsidRPr="00A05716">
              <w:rPr>
                <w:rFonts w:ascii="Arial Narrow" w:hAnsi="Arial Narrow"/>
                <w:b/>
                <w:bCs/>
                <w:color w:val="333333"/>
                <w:sz w:val="20"/>
                <w:szCs w:val="20"/>
              </w:rPr>
              <w:t>Indication:</w:t>
            </w:r>
            <w:r w:rsidRPr="00A05716">
              <w:rPr>
                <w:rFonts w:ascii="Arial Narrow" w:hAnsi="Arial Narrow"/>
                <w:color w:val="333333"/>
                <w:sz w:val="20"/>
                <w:szCs w:val="20"/>
              </w:rPr>
              <w:t xml:space="preserve"> Fabry disease </w:t>
            </w:r>
          </w:p>
        </w:tc>
      </w:tr>
      <w:tr w:rsidR="00D508F9" w:rsidRPr="00AD0449" w14:paraId="2CD80314" w14:textId="77777777" w:rsidTr="0042608C">
        <w:tblPrEx>
          <w:tblCellMar>
            <w:top w:w="15" w:type="dxa"/>
            <w:bottom w:w="15" w:type="dxa"/>
          </w:tblCellMar>
          <w:tblLook w:val="04A0" w:firstRow="1" w:lastRow="0" w:firstColumn="1" w:lastColumn="0" w:noHBand="0" w:noVBand="1"/>
        </w:tblPrEx>
        <w:trPr>
          <w:cantSplit/>
          <w:trHeight w:val="20"/>
        </w:trPr>
        <w:tc>
          <w:tcPr>
            <w:tcW w:w="1276" w:type="dxa"/>
            <w:gridSpan w:val="2"/>
          </w:tcPr>
          <w:p w14:paraId="1A0D9257" w14:textId="77777777" w:rsidR="00D508F9" w:rsidRPr="00A05716" w:rsidRDefault="00D508F9">
            <w:pPr>
              <w:jc w:val="center"/>
              <w:rPr>
                <w:rFonts w:ascii="Arial Narrow" w:hAnsi="Arial Narrow"/>
                <w:color w:val="333333"/>
                <w:sz w:val="20"/>
                <w:szCs w:val="20"/>
              </w:rPr>
            </w:pPr>
          </w:p>
        </w:tc>
        <w:tc>
          <w:tcPr>
            <w:tcW w:w="7745" w:type="dxa"/>
            <w:gridSpan w:val="6"/>
            <w:vAlign w:val="center"/>
            <w:hideMark/>
          </w:tcPr>
          <w:p w14:paraId="15B3C6A2" w14:textId="77777777" w:rsidR="00D508F9" w:rsidRPr="00A05716" w:rsidRDefault="00D508F9">
            <w:pPr>
              <w:rPr>
                <w:rFonts w:ascii="Arial Narrow" w:hAnsi="Arial Narrow"/>
                <w:sz w:val="20"/>
                <w:szCs w:val="20"/>
              </w:rPr>
            </w:pPr>
            <w:r w:rsidRPr="00A05716">
              <w:rPr>
                <w:rFonts w:ascii="Arial Narrow" w:hAnsi="Arial Narrow"/>
                <w:b/>
                <w:bCs/>
                <w:color w:val="333333"/>
                <w:sz w:val="20"/>
                <w:szCs w:val="20"/>
              </w:rPr>
              <w:t>Treatment Phase:</w:t>
            </w:r>
            <w:r w:rsidRPr="00A05716">
              <w:rPr>
                <w:rFonts w:ascii="Arial Narrow" w:hAnsi="Arial Narrow"/>
                <w:color w:val="FF0000"/>
                <w:sz w:val="20"/>
                <w:szCs w:val="20"/>
              </w:rPr>
              <w:t xml:space="preserve"> </w:t>
            </w:r>
            <w:r w:rsidRPr="00A05716">
              <w:rPr>
                <w:rFonts w:ascii="Arial Narrow" w:hAnsi="Arial Narrow"/>
                <w:sz w:val="20"/>
                <w:szCs w:val="20"/>
              </w:rPr>
              <w:t xml:space="preserve">Continuing treatment </w:t>
            </w:r>
          </w:p>
        </w:tc>
      </w:tr>
      <w:tr w:rsidR="00D508F9" w:rsidRPr="00AD0449" w14:paraId="6A8E3DC7"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5FAE204" w14:textId="30D963FB" w:rsidR="00D508F9" w:rsidRPr="00A05716" w:rsidRDefault="00D508F9">
            <w:pPr>
              <w:jc w:val="center"/>
              <w:rPr>
                <w:rFonts w:ascii="Arial Narrow" w:hAnsi="Arial Narrow"/>
                <w:sz w:val="20"/>
                <w:szCs w:val="20"/>
              </w:rPr>
            </w:pPr>
          </w:p>
        </w:tc>
        <w:tc>
          <w:tcPr>
            <w:tcW w:w="7745" w:type="dxa"/>
            <w:gridSpan w:val="6"/>
            <w:vAlign w:val="center"/>
          </w:tcPr>
          <w:p w14:paraId="34BDA5CB"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 xml:space="preserve">Clinical criteria: </w:t>
            </w:r>
          </w:p>
        </w:tc>
      </w:tr>
      <w:tr w:rsidR="00D508F9" w:rsidRPr="00AD0449" w14:paraId="47D99012"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DE4DDBF" w14:textId="1EDD7298" w:rsidR="00D508F9" w:rsidRPr="00A05716" w:rsidRDefault="00D508F9">
            <w:pPr>
              <w:jc w:val="center"/>
              <w:rPr>
                <w:rFonts w:ascii="Arial Narrow" w:hAnsi="Arial Narrow"/>
                <w:sz w:val="20"/>
                <w:szCs w:val="20"/>
              </w:rPr>
            </w:pPr>
          </w:p>
        </w:tc>
        <w:tc>
          <w:tcPr>
            <w:tcW w:w="7745" w:type="dxa"/>
            <w:gridSpan w:val="6"/>
            <w:vAlign w:val="center"/>
          </w:tcPr>
          <w:p w14:paraId="001BDC28" w14:textId="77777777" w:rsidR="00D508F9" w:rsidRPr="00A05716" w:rsidRDefault="00D508F9">
            <w:pPr>
              <w:rPr>
                <w:rFonts w:ascii="Arial Narrow" w:hAnsi="Arial Narrow"/>
                <w:color w:val="333333"/>
                <w:sz w:val="20"/>
                <w:szCs w:val="20"/>
              </w:rPr>
            </w:pPr>
            <w:r w:rsidRPr="00A05716">
              <w:rPr>
                <w:rFonts w:ascii="Arial Narrow" w:hAnsi="Arial Narrow"/>
                <w:color w:val="333333"/>
                <w:sz w:val="20"/>
                <w:szCs w:val="20"/>
              </w:rPr>
              <w:t xml:space="preserve">Patient must have received prior PBS-subsidised treatment with this drug for this condition </w:t>
            </w:r>
          </w:p>
        </w:tc>
      </w:tr>
      <w:tr w:rsidR="00D508F9" w:rsidRPr="00AD0449" w14:paraId="313A8319"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0078DC75" w14:textId="77777777" w:rsidR="00D508F9" w:rsidRPr="00A05716" w:rsidRDefault="00D508F9">
            <w:pPr>
              <w:jc w:val="center"/>
              <w:rPr>
                <w:rFonts w:ascii="Arial Narrow" w:hAnsi="Arial Narrow"/>
                <w:color w:val="333333"/>
                <w:sz w:val="20"/>
                <w:szCs w:val="20"/>
              </w:rPr>
            </w:pPr>
          </w:p>
        </w:tc>
        <w:tc>
          <w:tcPr>
            <w:tcW w:w="7745" w:type="dxa"/>
            <w:gridSpan w:val="6"/>
            <w:vAlign w:val="center"/>
          </w:tcPr>
          <w:p w14:paraId="37AE352B"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AND</w:t>
            </w:r>
          </w:p>
        </w:tc>
      </w:tr>
      <w:tr w:rsidR="00D508F9" w:rsidRPr="00AD0449" w14:paraId="232249D5"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CC4182C" w14:textId="308205F7" w:rsidR="00D508F9" w:rsidRPr="00A05716" w:rsidRDefault="00D508F9">
            <w:pPr>
              <w:jc w:val="center"/>
              <w:rPr>
                <w:rFonts w:ascii="Arial Narrow" w:hAnsi="Arial Narrow"/>
                <w:color w:val="333333"/>
                <w:sz w:val="20"/>
                <w:szCs w:val="20"/>
              </w:rPr>
            </w:pPr>
          </w:p>
        </w:tc>
        <w:tc>
          <w:tcPr>
            <w:tcW w:w="7745" w:type="dxa"/>
            <w:gridSpan w:val="6"/>
            <w:vAlign w:val="center"/>
          </w:tcPr>
          <w:p w14:paraId="79E00B66"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 xml:space="preserve">Clinical criteria: </w:t>
            </w:r>
          </w:p>
        </w:tc>
      </w:tr>
      <w:tr w:rsidR="00D508F9" w:rsidRPr="00AD0449" w14:paraId="39F4C94C"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5773AEE" w14:textId="072B98EB" w:rsidR="00D508F9" w:rsidRPr="00A05716" w:rsidRDefault="00D508F9">
            <w:pPr>
              <w:jc w:val="center"/>
              <w:rPr>
                <w:rFonts w:ascii="Arial Narrow" w:hAnsi="Arial Narrow"/>
                <w:color w:val="333333"/>
                <w:sz w:val="20"/>
                <w:szCs w:val="20"/>
              </w:rPr>
            </w:pPr>
          </w:p>
        </w:tc>
        <w:tc>
          <w:tcPr>
            <w:tcW w:w="7745" w:type="dxa"/>
            <w:gridSpan w:val="6"/>
            <w:vAlign w:val="center"/>
          </w:tcPr>
          <w:p w14:paraId="7A1CB265" w14:textId="77777777" w:rsidR="00D508F9" w:rsidRPr="00A05716" w:rsidRDefault="00D508F9">
            <w:pPr>
              <w:rPr>
                <w:rFonts w:ascii="Arial Narrow" w:hAnsi="Arial Narrow"/>
                <w:b/>
                <w:bCs/>
                <w:color w:val="333333"/>
                <w:sz w:val="20"/>
                <w:szCs w:val="20"/>
              </w:rPr>
            </w:pPr>
            <w:r w:rsidRPr="00A05716">
              <w:rPr>
                <w:rFonts w:ascii="Arial Narrow" w:hAnsi="Arial Narrow"/>
                <w:color w:val="333333"/>
                <w:sz w:val="20"/>
                <w:szCs w:val="20"/>
              </w:rPr>
              <w:t>Patient must have demonstrated clinical improvement or stabilisation of condition, the details of which must be kept with the patient’s record</w:t>
            </w:r>
          </w:p>
        </w:tc>
      </w:tr>
      <w:tr w:rsidR="00D508F9" w:rsidRPr="00AD0449" w14:paraId="24BE8462"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7EDB4524" w14:textId="77777777" w:rsidR="00D508F9" w:rsidRPr="00A05716" w:rsidRDefault="00D508F9">
            <w:pPr>
              <w:jc w:val="center"/>
              <w:rPr>
                <w:rFonts w:ascii="Arial Narrow" w:hAnsi="Arial Narrow"/>
                <w:color w:val="333333"/>
                <w:sz w:val="20"/>
                <w:szCs w:val="20"/>
              </w:rPr>
            </w:pPr>
          </w:p>
        </w:tc>
        <w:tc>
          <w:tcPr>
            <w:tcW w:w="7745" w:type="dxa"/>
            <w:gridSpan w:val="6"/>
            <w:vAlign w:val="center"/>
          </w:tcPr>
          <w:p w14:paraId="3CF882CB"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AND</w:t>
            </w:r>
          </w:p>
        </w:tc>
      </w:tr>
      <w:tr w:rsidR="00D508F9" w:rsidRPr="00AD0449" w14:paraId="6548F681"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BE966E3" w14:textId="2E962E16" w:rsidR="00D508F9" w:rsidRPr="00A05716" w:rsidRDefault="00D508F9">
            <w:pPr>
              <w:jc w:val="center"/>
              <w:rPr>
                <w:rFonts w:ascii="Arial Narrow" w:hAnsi="Arial Narrow"/>
                <w:color w:val="333333"/>
                <w:sz w:val="20"/>
                <w:szCs w:val="20"/>
              </w:rPr>
            </w:pPr>
          </w:p>
        </w:tc>
        <w:tc>
          <w:tcPr>
            <w:tcW w:w="7745" w:type="dxa"/>
            <w:gridSpan w:val="6"/>
            <w:vAlign w:val="center"/>
          </w:tcPr>
          <w:p w14:paraId="041CF0A7"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 xml:space="preserve">Clinical criteria: </w:t>
            </w:r>
          </w:p>
        </w:tc>
      </w:tr>
      <w:tr w:rsidR="00D508F9" w:rsidRPr="00AD0449" w14:paraId="203567C8"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B25A9C6" w14:textId="5272DD1B" w:rsidR="00D508F9" w:rsidRPr="00A05716" w:rsidRDefault="00D508F9">
            <w:pPr>
              <w:jc w:val="center"/>
              <w:rPr>
                <w:rFonts w:ascii="Arial Narrow" w:hAnsi="Arial Narrow"/>
                <w:color w:val="333333"/>
                <w:sz w:val="20"/>
                <w:szCs w:val="20"/>
              </w:rPr>
            </w:pPr>
          </w:p>
        </w:tc>
        <w:tc>
          <w:tcPr>
            <w:tcW w:w="7745" w:type="dxa"/>
            <w:gridSpan w:val="6"/>
            <w:vAlign w:val="center"/>
          </w:tcPr>
          <w:p w14:paraId="2EEEF4E3" w14:textId="784781CC" w:rsidR="00D508F9" w:rsidRPr="00A05716" w:rsidRDefault="00D508F9">
            <w:pPr>
              <w:rPr>
                <w:rFonts w:ascii="Arial Narrow" w:hAnsi="Arial Narrow"/>
                <w:b/>
                <w:bCs/>
                <w:i/>
                <w:iCs/>
                <w:color w:val="333333"/>
                <w:sz w:val="20"/>
                <w:szCs w:val="20"/>
              </w:rPr>
            </w:pPr>
            <w:r w:rsidRPr="00A05716">
              <w:rPr>
                <w:rFonts w:ascii="Arial Narrow" w:hAnsi="Arial Narrow"/>
                <w:color w:val="333333"/>
                <w:sz w:val="20"/>
                <w:szCs w:val="20"/>
              </w:rPr>
              <w:t xml:space="preserve">Patient must not have developed another life threatening/severe disease where </w:t>
            </w:r>
            <w:r w:rsidR="00043974" w:rsidRPr="00A05716">
              <w:rPr>
                <w:rFonts w:ascii="Arial Narrow" w:hAnsi="Arial Narrow"/>
                <w:color w:val="333333"/>
                <w:sz w:val="20"/>
                <w:szCs w:val="20"/>
              </w:rPr>
              <w:t>long</w:t>
            </w:r>
            <w:r w:rsidR="00043974">
              <w:rPr>
                <w:rFonts w:ascii="Arial Narrow" w:hAnsi="Arial Narrow"/>
                <w:color w:val="333333"/>
                <w:sz w:val="20"/>
                <w:szCs w:val="20"/>
              </w:rPr>
              <w:t>-</w:t>
            </w:r>
            <w:r w:rsidRPr="00A05716">
              <w:rPr>
                <w:rFonts w:ascii="Arial Narrow" w:hAnsi="Arial Narrow"/>
                <w:color w:val="333333"/>
                <w:sz w:val="20"/>
                <w:szCs w:val="20"/>
              </w:rPr>
              <w:t xml:space="preserve">term prognosis is unlikely to be influenced by </w:t>
            </w:r>
            <w:r w:rsidRPr="00A05716">
              <w:rPr>
                <w:rFonts w:ascii="Arial Narrow" w:hAnsi="Arial Narrow"/>
                <w:strike/>
                <w:color w:val="333333"/>
                <w:sz w:val="20"/>
                <w:szCs w:val="20"/>
              </w:rPr>
              <w:t xml:space="preserve">pegunigalsidase alfa </w:t>
            </w:r>
            <w:r w:rsidRPr="00A05716">
              <w:rPr>
                <w:rFonts w:ascii="Arial Narrow" w:hAnsi="Arial Narrow"/>
                <w:i/>
                <w:iCs/>
                <w:color w:val="333333"/>
                <w:sz w:val="20"/>
                <w:szCs w:val="20"/>
              </w:rPr>
              <w:t>this drug</w:t>
            </w:r>
          </w:p>
        </w:tc>
      </w:tr>
      <w:tr w:rsidR="00D508F9" w:rsidRPr="00AD0449" w14:paraId="43C8CF58"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BDB29CA" w14:textId="77777777" w:rsidR="00D508F9" w:rsidRPr="00A05716" w:rsidRDefault="00D508F9">
            <w:pPr>
              <w:jc w:val="center"/>
              <w:rPr>
                <w:rFonts w:ascii="Arial Narrow" w:hAnsi="Arial Narrow"/>
                <w:sz w:val="20"/>
                <w:szCs w:val="20"/>
              </w:rPr>
            </w:pPr>
          </w:p>
        </w:tc>
        <w:tc>
          <w:tcPr>
            <w:tcW w:w="7745" w:type="dxa"/>
            <w:gridSpan w:val="6"/>
            <w:vAlign w:val="center"/>
          </w:tcPr>
          <w:p w14:paraId="61DF04D2" w14:textId="77777777" w:rsidR="00D508F9" w:rsidRPr="00A05716" w:rsidRDefault="00D508F9">
            <w:pPr>
              <w:rPr>
                <w:rFonts w:ascii="Arial Narrow" w:hAnsi="Arial Narrow"/>
                <w:color w:val="333333"/>
                <w:sz w:val="20"/>
                <w:szCs w:val="20"/>
              </w:rPr>
            </w:pPr>
            <w:r w:rsidRPr="00A05716">
              <w:rPr>
                <w:rFonts w:ascii="Arial Narrow" w:hAnsi="Arial Narrow" w:cs="Arial Narrow"/>
                <w:b/>
                <w:bCs/>
                <w:i/>
                <w:sz w:val="20"/>
                <w:szCs w:val="20"/>
              </w:rPr>
              <w:t>AND</w:t>
            </w:r>
          </w:p>
        </w:tc>
      </w:tr>
      <w:tr w:rsidR="00D508F9" w:rsidRPr="00AD0449" w14:paraId="72C06B2F"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09C741C2" w14:textId="6A4B5649" w:rsidR="00D508F9" w:rsidRPr="00A05716" w:rsidRDefault="00D508F9">
            <w:pPr>
              <w:jc w:val="center"/>
              <w:rPr>
                <w:rFonts w:ascii="Arial Narrow" w:hAnsi="Arial Narrow"/>
                <w:sz w:val="20"/>
                <w:szCs w:val="20"/>
              </w:rPr>
            </w:pPr>
          </w:p>
        </w:tc>
        <w:tc>
          <w:tcPr>
            <w:tcW w:w="7745" w:type="dxa"/>
            <w:gridSpan w:val="6"/>
            <w:vAlign w:val="center"/>
          </w:tcPr>
          <w:p w14:paraId="3C325A56" w14:textId="77777777" w:rsidR="00D508F9" w:rsidRPr="00A05716" w:rsidRDefault="00D508F9">
            <w:pPr>
              <w:rPr>
                <w:rFonts w:ascii="Arial Narrow" w:hAnsi="Arial Narrow"/>
                <w:color w:val="333333"/>
                <w:sz w:val="20"/>
                <w:szCs w:val="20"/>
              </w:rPr>
            </w:pPr>
            <w:r w:rsidRPr="00A05716">
              <w:rPr>
                <w:rFonts w:ascii="Arial Narrow" w:hAnsi="Arial Narrow" w:cs="Arial Narrow"/>
                <w:b/>
                <w:bCs/>
                <w:i/>
                <w:iCs/>
                <w:sz w:val="20"/>
                <w:szCs w:val="20"/>
              </w:rPr>
              <w:t>Clinical criteria:</w:t>
            </w:r>
          </w:p>
        </w:tc>
      </w:tr>
      <w:tr w:rsidR="00D508F9" w:rsidRPr="00AD0449" w14:paraId="498C4435"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5ADCD106" w14:textId="673A0D01" w:rsidR="00D508F9" w:rsidRPr="00A05716" w:rsidRDefault="00D508F9">
            <w:pPr>
              <w:jc w:val="center"/>
              <w:rPr>
                <w:rFonts w:ascii="Arial Narrow" w:hAnsi="Arial Narrow"/>
                <w:sz w:val="20"/>
                <w:szCs w:val="20"/>
              </w:rPr>
            </w:pPr>
          </w:p>
        </w:tc>
        <w:tc>
          <w:tcPr>
            <w:tcW w:w="7745" w:type="dxa"/>
            <w:gridSpan w:val="6"/>
            <w:vAlign w:val="center"/>
          </w:tcPr>
          <w:p w14:paraId="644BC332" w14:textId="77777777" w:rsidR="00D508F9" w:rsidRPr="00A05716" w:rsidRDefault="00D508F9">
            <w:pPr>
              <w:rPr>
                <w:rFonts w:ascii="Arial Narrow" w:hAnsi="Arial Narrow"/>
                <w:color w:val="333333"/>
                <w:sz w:val="20"/>
                <w:szCs w:val="20"/>
              </w:rPr>
            </w:pPr>
            <w:r w:rsidRPr="00A05716">
              <w:rPr>
                <w:rFonts w:ascii="Arial Narrow" w:hAnsi="Arial Narrow" w:cs="Arial Narrow"/>
                <w:i/>
                <w:iCs/>
                <w:sz w:val="20"/>
                <w:szCs w:val="20"/>
              </w:rPr>
              <w:t>The treatment must be the sole PBS-subsidised therapy for this condition.</w:t>
            </w:r>
          </w:p>
        </w:tc>
      </w:tr>
      <w:tr w:rsidR="00D508F9" w:rsidRPr="00AD0449" w14:paraId="39D29801"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5218670" w14:textId="3911BB14" w:rsidR="00D508F9" w:rsidRPr="00A05716" w:rsidRDefault="00D508F9">
            <w:pPr>
              <w:jc w:val="center"/>
              <w:rPr>
                <w:rFonts w:ascii="Arial Narrow" w:hAnsi="Arial Narrow"/>
                <w:sz w:val="20"/>
                <w:szCs w:val="20"/>
              </w:rPr>
            </w:pPr>
          </w:p>
        </w:tc>
        <w:tc>
          <w:tcPr>
            <w:tcW w:w="7745" w:type="dxa"/>
            <w:gridSpan w:val="6"/>
            <w:vAlign w:val="center"/>
          </w:tcPr>
          <w:p w14:paraId="122F40B8" w14:textId="77777777" w:rsidR="00D508F9" w:rsidRPr="00A05716" w:rsidRDefault="00D508F9">
            <w:pPr>
              <w:rPr>
                <w:rFonts w:ascii="Arial Narrow" w:hAnsi="Arial Narrow"/>
                <w:b/>
                <w:bCs/>
                <w:color w:val="333333"/>
                <w:sz w:val="20"/>
                <w:szCs w:val="20"/>
              </w:rPr>
            </w:pPr>
            <w:r w:rsidRPr="00A05716">
              <w:rPr>
                <w:rFonts w:ascii="Arial Narrow" w:hAnsi="Arial Narrow"/>
                <w:b/>
                <w:bCs/>
                <w:color w:val="333333"/>
                <w:sz w:val="20"/>
                <w:szCs w:val="20"/>
              </w:rPr>
              <w:t>Treatment criteria:</w:t>
            </w:r>
          </w:p>
        </w:tc>
      </w:tr>
      <w:tr w:rsidR="00D508F9" w:rsidRPr="00AD0449" w14:paraId="0829DB0F"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5F1E2AF0" w14:textId="7842AE54" w:rsidR="00D508F9" w:rsidRPr="00A05716" w:rsidRDefault="00D508F9">
            <w:pPr>
              <w:jc w:val="center"/>
              <w:rPr>
                <w:rFonts w:ascii="Arial Narrow" w:hAnsi="Arial Narrow"/>
                <w:sz w:val="20"/>
                <w:szCs w:val="20"/>
              </w:rPr>
            </w:pPr>
          </w:p>
        </w:tc>
        <w:tc>
          <w:tcPr>
            <w:tcW w:w="7745" w:type="dxa"/>
            <w:gridSpan w:val="6"/>
            <w:vAlign w:val="center"/>
          </w:tcPr>
          <w:p w14:paraId="23622B75" w14:textId="77777777" w:rsidR="00D508F9" w:rsidRPr="00A05716" w:rsidRDefault="00D508F9">
            <w:pPr>
              <w:jc w:val="left"/>
              <w:rPr>
                <w:rFonts w:ascii="Arial Narrow" w:hAnsi="Arial Narrow"/>
                <w:b/>
                <w:bCs/>
                <w:sz w:val="20"/>
                <w:szCs w:val="20"/>
              </w:rPr>
            </w:pPr>
            <w:r w:rsidRPr="00A05716">
              <w:rPr>
                <w:rFonts w:ascii="Arial Narrow" w:hAnsi="Arial Narrow" w:cs="Arial Narrow"/>
                <w:iCs/>
                <w:sz w:val="20"/>
                <w:szCs w:val="20"/>
              </w:rPr>
              <w:t>Must be treated by a physician with expertise in the management of Fabry disease.</w:t>
            </w:r>
          </w:p>
        </w:tc>
      </w:tr>
      <w:tr w:rsidR="00D508F9" w:rsidRPr="00AD0449" w14:paraId="763FEAB4" w14:textId="77777777">
        <w:tblPrEx>
          <w:tblCellMar>
            <w:top w:w="15" w:type="dxa"/>
            <w:bottom w:w="15" w:type="dxa"/>
          </w:tblCellMar>
          <w:tblLook w:val="04A0" w:firstRow="1" w:lastRow="0" w:firstColumn="1" w:lastColumn="0" w:noHBand="0" w:noVBand="1"/>
        </w:tblPrEx>
        <w:trPr>
          <w:cantSplit/>
          <w:trHeight w:val="20"/>
        </w:trPr>
        <w:tc>
          <w:tcPr>
            <w:tcW w:w="9021" w:type="dxa"/>
            <w:gridSpan w:val="8"/>
          </w:tcPr>
          <w:p w14:paraId="48C580BA" w14:textId="77777777" w:rsidR="00D508F9" w:rsidRPr="00A05716" w:rsidRDefault="00D508F9">
            <w:pPr>
              <w:jc w:val="left"/>
              <w:rPr>
                <w:rFonts w:ascii="Arial Narrow" w:hAnsi="Arial Narrow" w:cs="Arial Narrow"/>
                <w:iCs/>
                <w:sz w:val="20"/>
                <w:szCs w:val="20"/>
              </w:rPr>
            </w:pPr>
          </w:p>
          <w:p w14:paraId="5BE834D6" w14:textId="77777777" w:rsidR="00D508F9" w:rsidRPr="00A05716" w:rsidRDefault="00D508F9">
            <w:pPr>
              <w:jc w:val="left"/>
              <w:rPr>
                <w:rFonts w:ascii="Arial Narrow" w:hAnsi="Arial Narrow" w:cs="Arial Narrow"/>
                <w:iCs/>
                <w:sz w:val="20"/>
                <w:szCs w:val="20"/>
              </w:rPr>
            </w:pPr>
          </w:p>
        </w:tc>
      </w:tr>
      <w:tr w:rsidR="00D508F9" w:rsidRPr="00AD0449" w14:paraId="02EC4649" w14:textId="77777777">
        <w:tblPrEx>
          <w:tblCellMar>
            <w:top w:w="15" w:type="dxa"/>
            <w:bottom w:w="15" w:type="dxa"/>
          </w:tblCellMar>
          <w:tblLook w:val="04A0" w:firstRow="1" w:lastRow="0" w:firstColumn="1" w:lastColumn="0" w:noHBand="0" w:noVBand="1"/>
        </w:tblPrEx>
        <w:trPr>
          <w:cantSplit/>
          <w:trHeight w:val="20"/>
        </w:trPr>
        <w:tc>
          <w:tcPr>
            <w:tcW w:w="9021" w:type="dxa"/>
            <w:gridSpan w:val="8"/>
          </w:tcPr>
          <w:p w14:paraId="0D1BE9FD" w14:textId="77777777" w:rsidR="00D508F9" w:rsidRPr="00A05716" w:rsidRDefault="00D508F9">
            <w:pPr>
              <w:jc w:val="left"/>
              <w:rPr>
                <w:rFonts w:ascii="Arial Narrow" w:hAnsi="Arial Narrow" w:cs="Arial Narrow"/>
                <w:iCs/>
                <w:sz w:val="20"/>
                <w:szCs w:val="20"/>
              </w:rPr>
            </w:pPr>
            <w:r w:rsidRPr="00A05716">
              <w:rPr>
                <w:rFonts w:ascii="Arial Narrow" w:hAnsi="Arial Narrow"/>
                <w:b/>
                <w:bCs/>
                <w:color w:val="333333"/>
                <w:sz w:val="20"/>
                <w:szCs w:val="20"/>
              </w:rPr>
              <w:t>Restriction Summary [new3] / Treatment of Concept: [new3A]</w:t>
            </w:r>
          </w:p>
        </w:tc>
      </w:tr>
      <w:tr w:rsidR="00D508F9" w:rsidRPr="00AD0449" w14:paraId="7FC14114"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D511AEA" w14:textId="3126B1F8" w:rsidR="00D508F9" w:rsidRPr="00A05716" w:rsidRDefault="00D508F9">
            <w:pPr>
              <w:jc w:val="center"/>
              <w:rPr>
                <w:rFonts w:ascii="Arial Narrow" w:hAnsi="Arial Narrow"/>
                <w:sz w:val="20"/>
                <w:szCs w:val="20"/>
              </w:rPr>
            </w:pPr>
          </w:p>
        </w:tc>
        <w:tc>
          <w:tcPr>
            <w:tcW w:w="7745" w:type="dxa"/>
            <w:gridSpan w:val="6"/>
            <w:vAlign w:val="center"/>
          </w:tcPr>
          <w:p w14:paraId="6B8245EB" w14:textId="77777777" w:rsidR="00D508F9" w:rsidRPr="00A05716" w:rsidRDefault="00D508F9">
            <w:pPr>
              <w:jc w:val="left"/>
              <w:rPr>
                <w:rFonts w:ascii="Arial Narrow" w:hAnsi="Arial Narrow" w:cs="Arial Narrow"/>
                <w:iCs/>
                <w:sz w:val="20"/>
                <w:szCs w:val="20"/>
              </w:rPr>
            </w:pPr>
            <w:r w:rsidRPr="00A05716">
              <w:rPr>
                <w:rFonts w:ascii="Arial Narrow" w:hAnsi="Arial Narrow"/>
                <w:b/>
                <w:bCs/>
                <w:color w:val="333333"/>
                <w:sz w:val="20"/>
                <w:szCs w:val="20"/>
              </w:rPr>
              <w:t>Indication:</w:t>
            </w:r>
            <w:r w:rsidRPr="00A05716">
              <w:rPr>
                <w:rFonts w:ascii="Arial Narrow" w:hAnsi="Arial Narrow"/>
                <w:color w:val="333333"/>
                <w:sz w:val="20"/>
                <w:szCs w:val="20"/>
              </w:rPr>
              <w:t xml:space="preserve"> Fabry disease </w:t>
            </w:r>
          </w:p>
        </w:tc>
      </w:tr>
      <w:tr w:rsidR="00D508F9" w:rsidRPr="00AD0449" w14:paraId="2F4973F5"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3EA8E15" w14:textId="77777777" w:rsidR="00D508F9" w:rsidRPr="00A05716" w:rsidRDefault="00D508F9">
            <w:pPr>
              <w:jc w:val="center"/>
              <w:rPr>
                <w:rFonts w:ascii="Arial Narrow" w:hAnsi="Arial Narrow"/>
                <w:sz w:val="20"/>
                <w:szCs w:val="20"/>
              </w:rPr>
            </w:pPr>
          </w:p>
        </w:tc>
        <w:tc>
          <w:tcPr>
            <w:tcW w:w="7745" w:type="dxa"/>
            <w:gridSpan w:val="6"/>
            <w:vAlign w:val="center"/>
          </w:tcPr>
          <w:p w14:paraId="4859922C" w14:textId="36074D5A" w:rsidR="00D508F9" w:rsidRPr="00A05716" w:rsidRDefault="00D508F9">
            <w:pPr>
              <w:jc w:val="left"/>
              <w:rPr>
                <w:rFonts w:ascii="Arial Narrow" w:hAnsi="Arial Narrow" w:cs="Arial Narrow"/>
                <w:iCs/>
                <w:sz w:val="20"/>
                <w:szCs w:val="20"/>
              </w:rPr>
            </w:pPr>
            <w:r w:rsidRPr="00A05716">
              <w:rPr>
                <w:rFonts w:ascii="Arial Narrow" w:hAnsi="Arial Narrow"/>
                <w:b/>
                <w:bCs/>
                <w:color w:val="333333"/>
                <w:sz w:val="20"/>
                <w:szCs w:val="20"/>
              </w:rPr>
              <w:t>Treatment Phase:</w:t>
            </w:r>
            <w:r w:rsidRPr="00A05716">
              <w:rPr>
                <w:rFonts w:ascii="Arial Narrow" w:hAnsi="Arial Narrow"/>
                <w:color w:val="FF0000"/>
                <w:sz w:val="20"/>
                <w:szCs w:val="20"/>
              </w:rPr>
              <w:t xml:space="preserve"> </w:t>
            </w:r>
            <w:r w:rsidRPr="00A05716">
              <w:rPr>
                <w:rFonts w:ascii="Arial Narrow" w:hAnsi="Arial Narrow"/>
                <w:sz w:val="20"/>
                <w:szCs w:val="20"/>
              </w:rPr>
              <w:t>Grandfather arrangement (transition from LSDP-funded Fabry disease therapy)</w:t>
            </w:r>
          </w:p>
        </w:tc>
      </w:tr>
      <w:tr w:rsidR="00D508F9" w:rsidRPr="00AD0449" w14:paraId="43F5996E"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FF24CE8" w14:textId="34864ED6" w:rsidR="00D508F9" w:rsidRPr="00A05716" w:rsidRDefault="00D508F9">
            <w:pPr>
              <w:jc w:val="center"/>
              <w:rPr>
                <w:rFonts w:ascii="Arial Narrow" w:hAnsi="Arial Narrow"/>
                <w:sz w:val="20"/>
                <w:szCs w:val="20"/>
              </w:rPr>
            </w:pPr>
          </w:p>
        </w:tc>
        <w:tc>
          <w:tcPr>
            <w:tcW w:w="7745" w:type="dxa"/>
            <w:gridSpan w:val="6"/>
            <w:vAlign w:val="center"/>
          </w:tcPr>
          <w:p w14:paraId="7D7D1E05" w14:textId="77777777" w:rsidR="00D508F9" w:rsidRPr="00A05716" w:rsidRDefault="00D508F9">
            <w:pPr>
              <w:jc w:val="left"/>
              <w:rPr>
                <w:rFonts w:ascii="Arial Narrow" w:hAnsi="Arial Narrow" w:cs="Arial Narrow"/>
                <w:iCs/>
                <w:sz w:val="20"/>
                <w:szCs w:val="20"/>
              </w:rPr>
            </w:pPr>
            <w:r w:rsidRPr="00A05716">
              <w:rPr>
                <w:rFonts w:ascii="Arial Narrow" w:hAnsi="Arial Narrow"/>
                <w:b/>
                <w:bCs/>
                <w:color w:val="333333"/>
                <w:sz w:val="20"/>
                <w:szCs w:val="20"/>
              </w:rPr>
              <w:t xml:space="preserve">Clinical criteria: </w:t>
            </w:r>
          </w:p>
        </w:tc>
      </w:tr>
      <w:tr w:rsidR="00D508F9" w:rsidRPr="00AD0449" w14:paraId="568BD5FE"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00BF54A" w14:textId="1F8B361F" w:rsidR="00D508F9" w:rsidRPr="00A05716" w:rsidRDefault="00D508F9">
            <w:pPr>
              <w:jc w:val="center"/>
              <w:rPr>
                <w:rFonts w:ascii="Arial Narrow" w:hAnsi="Arial Narrow"/>
                <w:sz w:val="20"/>
                <w:szCs w:val="20"/>
              </w:rPr>
            </w:pPr>
          </w:p>
        </w:tc>
        <w:tc>
          <w:tcPr>
            <w:tcW w:w="7745" w:type="dxa"/>
            <w:gridSpan w:val="6"/>
            <w:vAlign w:val="center"/>
          </w:tcPr>
          <w:p w14:paraId="25CDFA0A" w14:textId="77777777" w:rsidR="00D508F9" w:rsidRPr="00A05716" w:rsidRDefault="00D508F9">
            <w:pPr>
              <w:jc w:val="left"/>
              <w:rPr>
                <w:rFonts w:ascii="Arial Narrow" w:hAnsi="Arial Narrow"/>
                <w:strike/>
                <w:color w:val="333333"/>
                <w:sz w:val="20"/>
                <w:szCs w:val="20"/>
              </w:rPr>
            </w:pPr>
            <w:r w:rsidRPr="00A05716">
              <w:rPr>
                <w:rFonts w:ascii="Arial Narrow" w:hAnsi="Arial Narrow"/>
                <w:strike/>
                <w:color w:val="333333"/>
                <w:sz w:val="20"/>
                <w:szCs w:val="20"/>
              </w:rPr>
              <w:t xml:space="preserve">Patient must have received prior PBS-subsidised treatment with this drug for this condition </w:t>
            </w:r>
          </w:p>
          <w:p w14:paraId="69FE2985" w14:textId="77777777" w:rsidR="00D508F9" w:rsidRPr="00A05716" w:rsidRDefault="00D508F9">
            <w:pPr>
              <w:jc w:val="left"/>
              <w:rPr>
                <w:rFonts w:ascii="Arial Narrow" w:hAnsi="Arial Narrow" w:cs="Arial Narrow"/>
                <w:i/>
                <w:iCs/>
                <w:sz w:val="20"/>
                <w:szCs w:val="20"/>
              </w:rPr>
            </w:pPr>
            <w:r w:rsidRPr="00A05716">
              <w:rPr>
                <w:rFonts w:ascii="Arial Narrow" w:hAnsi="Arial Narrow"/>
                <w:i/>
                <w:iCs/>
                <w:color w:val="333333"/>
                <w:sz w:val="20"/>
                <w:szCs w:val="20"/>
              </w:rPr>
              <w:t>Patient must have previously received treatment with enzyme replacement therapy for this condition funded under the Australian Government’s Life Saving Drugs Program (LSDP) prior to [PBS listing date].</w:t>
            </w:r>
          </w:p>
        </w:tc>
      </w:tr>
      <w:tr w:rsidR="00D508F9" w:rsidRPr="00AD0449" w14:paraId="439D9BE4"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D9D42B8" w14:textId="77777777" w:rsidR="00D508F9" w:rsidRPr="00A05716" w:rsidRDefault="00D508F9">
            <w:pPr>
              <w:jc w:val="center"/>
              <w:rPr>
                <w:rFonts w:ascii="Arial Narrow" w:hAnsi="Arial Narrow"/>
                <w:sz w:val="20"/>
                <w:szCs w:val="20"/>
              </w:rPr>
            </w:pPr>
          </w:p>
        </w:tc>
        <w:tc>
          <w:tcPr>
            <w:tcW w:w="7745" w:type="dxa"/>
            <w:gridSpan w:val="6"/>
            <w:vAlign w:val="center"/>
          </w:tcPr>
          <w:p w14:paraId="251577B2" w14:textId="77777777" w:rsidR="00D508F9" w:rsidRPr="00A05716" w:rsidRDefault="00D508F9">
            <w:pPr>
              <w:jc w:val="left"/>
              <w:rPr>
                <w:rFonts w:ascii="Arial Narrow" w:hAnsi="Arial Narrow" w:cs="Arial Narrow"/>
                <w:iCs/>
                <w:sz w:val="20"/>
                <w:szCs w:val="20"/>
              </w:rPr>
            </w:pPr>
            <w:r w:rsidRPr="00A05716">
              <w:rPr>
                <w:rFonts w:ascii="Arial Narrow" w:hAnsi="Arial Narrow"/>
                <w:b/>
                <w:bCs/>
                <w:color w:val="333333"/>
                <w:sz w:val="20"/>
                <w:szCs w:val="20"/>
              </w:rPr>
              <w:t>AND</w:t>
            </w:r>
          </w:p>
        </w:tc>
      </w:tr>
      <w:tr w:rsidR="00D508F9" w:rsidRPr="00AD0449" w14:paraId="791C8554"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10724476" w14:textId="3AA7F697" w:rsidR="00D508F9" w:rsidRPr="00A05716" w:rsidRDefault="00D508F9">
            <w:pPr>
              <w:jc w:val="center"/>
              <w:rPr>
                <w:rFonts w:ascii="Arial Narrow" w:hAnsi="Arial Narrow"/>
                <w:sz w:val="20"/>
                <w:szCs w:val="20"/>
              </w:rPr>
            </w:pPr>
          </w:p>
        </w:tc>
        <w:tc>
          <w:tcPr>
            <w:tcW w:w="7745" w:type="dxa"/>
            <w:gridSpan w:val="6"/>
            <w:vAlign w:val="center"/>
          </w:tcPr>
          <w:p w14:paraId="0AB9130D" w14:textId="77777777" w:rsidR="00D508F9" w:rsidRPr="00A05716" w:rsidRDefault="00D508F9">
            <w:pPr>
              <w:jc w:val="left"/>
              <w:rPr>
                <w:rFonts w:ascii="Arial Narrow" w:hAnsi="Arial Narrow" w:cs="Arial Narrow"/>
                <w:sz w:val="20"/>
                <w:szCs w:val="20"/>
              </w:rPr>
            </w:pPr>
            <w:r w:rsidRPr="00A05716">
              <w:rPr>
                <w:rFonts w:ascii="Arial Narrow" w:hAnsi="Arial Narrow"/>
                <w:b/>
                <w:bCs/>
                <w:color w:val="333333"/>
                <w:sz w:val="20"/>
                <w:szCs w:val="20"/>
              </w:rPr>
              <w:t xml:space="preserve">Clinical criteria: </w:t>
            </w:r>
          </w:p>
        </w:tc>
      </w:tr>
      <w:tr w:rsidR="00D508F9" w:rsidRPr="00AD0449" w14:paraId="6CCAD02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5633DCC7" w14:textId="58ABC297" w:rsidR="00D508F9" w:rsidRPr="00A05716" w:rsidRDefault="00D508F9">
            <w:pPr>
              <w:jc w:val="center"/>
              <w:rPr>
                <w:rFonts w:ascii="Arial Narrow" w:hAnsi="Arial Narrow"/>
                <w:sz w:val="20"/>
                <w:szCs w:val="20"/>
              </w:rPr>
            </w:pPr>
          </w:p>
        </w:tc>
        <w:tc>
          <w:tcPr>
            <w:tcW w:w="7745" w:type="dxa"/>
            <w:gridSpan w:val="6"/>
            <w:vAlign w:val="center"/>
          </w:tcPr>
          <w:p w14:paraId="1EA9A279" w14:textId="77777777" w:rsidR="00D508F9" w:rsidRPr="00A05716" w:rsidRDefault="00D508F9">
            <w:pPr>
              <w:jc w:val="left"/>
              <w:rPr>
                <w:rFonts w:ascii="Arial Narrow" w:hAnsi="Arial Narrow"/>
                <w:color w:val="333333"/>
                <w:sz w:val="20"/>
                <w:szCs w:val="20"/>
              </w:rPr>
            </w:pPr>
            <w:r w:rsidRPr="00A05716">
              <w:rPr>
                <w:rFonts w:ascii="Arial Narrow" w:hAnsi="Arial Narrow"/>
                <w:color w:val="333333"/>
                <w:sz w:val="20"/>
                <w:szCs w:val="20"/>
              </w:rPr>
              <w:t>Patient must have demonstrated clinical improvement or stabilisation of condition, the details of which must be kept with the patient’s record</w:t>
            </w:r>
          </w:p>
        </w:tc>
      </w:tr>
      <w:tr w:rsidR="00D508F9" w:rsidRPr="00AD0449" w14:paraId="3CF62940"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BA12E7B" w14:textId="77777777" w:rsidR="00D508F9" w:rsidRPr="00A05716" w:rsidRDefault="00D508F9">
            <w:pPr>
              <w:jc w:val="center"/>
              <w:rPr>
                <w:rFonts w:ascii="Arial Narrow" w:hAnsi="Arial Narrow"/>
                <w:sz w:val="20"/>
                <w:szCs w:val="20"/>
              </w:rPr>
            </w:pPr>
          </w:p>
        </w:tc>
        <w:tc>
          <w:tcPr>
            <w:tcW w:w="7745" w:type="dxa"/>
            <w:gridSpan w:val="6"/>
            <w:vAlign w:val="center"/>
          </w:tcPr>
          <w:p w14:paraId="31810052" w14:textId="77777777" w:rsidR="00D508F9" w:rsidRPr="00A05716" w:rsidRDefault="00D508F9">
            <w:pPr>
              <w:jc w:val="left"/>
              <w:rPr>
                <w:rFonts w:ascii="Arial Narrow" w:hAnsi="Arial Narrow"/>
                <w:color w:val="333333"/>
                <w:sz w:val="20"/>
                <w:szCs w:val="20"/>
              </w:rPr>
            </w:pPr>
            <w:r w:rsidRPr="00A05716">
              <w:rPr>
                <w:rFonts w:ascii="Arial Narrow" w:hAnsi="Arial Narrow"/>
                <w:b/>
                <w:bCs/>
                <w:color w:val="333333"/>
                <w:sz w:val="20"/>
                <w:szCs w:val="20"/>
              </w:rPr>
              <w:t>AND</w:t>
            </w:r>
          </w:p>
        </w:tc>
      </w:tr>
      <w:tr w:rsidR="00D508F9" w:rsidRPr="00AD0449" w14:paraId="33E034F4"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A993F76" w14:textId="5054FC7D" w:rsidR="00D508F9" w:rsidRPr="00A05716" w:rsidRDefault="00D508F9">
            <w:pPr>
              <w:jc w:val="center"/>
              <w:rPr>
                <w:rFonts w:ascii="Arial Narrow" w:hAnsi="Arial Narrow"/>
                <w:sz w:val="20"/>
                <w:szCs w:val="20"/>
              </w:rPr>
            </w:pPr>
          </w:p>
        </w:tc>
        <w:tc>
          <w:tcPr>
            <w:tcW w:w="7745" w:type="dxa"/>
            <w:gridSpan w:val="6"/>
            <w:vAlign w:val="center"/>
          </w:tcPr>
          <w:p w14:paraId="74246915" w14:textId="77777777" w:rsidR="00D508F9" w:rsidRPr="00A05716" w:rsidRDefault="00D508F9">
            <w:pPr>
              <w:jc w:val="left"/>
              <w:rPr>
                <w:rFonts w:ascii="Arial Narrow" w:hAnsi="Arial Narrow"/>
                <w:color w:val="333333"/>
                <w:sz w:val="20"/>
                <w:szCs w:val="20"/>
              </w:rPr>
            </w:pPr>
            <w:r w:rsidRPr="00A05716">
              <w:rPr>
                <w:rFonts w:ascii="Arial Narrow" w:hAnsi="Arial Narrow"/>
                <w:b/>
                <w:bCs/>
                <w:color w:val="333333"/>
                <w:sz w:val="20"/>
                <w:szCs w:val="20"/>
              </w:rPr>
              <w:t xml:space="preserve">Clinical criteria: </w:t>
            </w:r>
          </w:p>
        </w:tc>
      </w:tr>
      <w:tr w:rsidR="00D508F9" w:rsidRPr="00AD0449" w14:paraId="68CF0871"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B5C44E4" w14:textId="676714E2" w:rsidR="00D508F9" w:rsidRPr="00A05716" w:rsidRDefault="00D508F9">
            <w:pPr>
              <w:jc w:val="center"/>
              <w:rPr>
                <w:rFonts w:ascii="Arial Narrow" w:hAnsi="Arial Narrow"/>
                <w:sz w:val="20"/>
                <w:szCs w:val="20"/>
              </w:rPr>
            </w:pPr>
          </w:p>
        </w:tc>
        <w:tc>
          <w:tcPr>
            <w:tcW w:w="7745" w:type="dxa"/>
            <w:gridSpan w:val="6"/>
            <w:vAlign w:val="center"/>
          </w:tcPr>
          <w:p w14:paraId="5DCBA6E8" w14:textId="78991B42" w:rsidR="00D508F9" w:rsidRPr="00A05716" w:rsidRDefault="00D508F9">
            <w:pPr>
              <w:jc w:val="left"/>
              <w:rPr>
                <w:rFonts w:ascii="Arial Narrow" w:hAnsi="Arial Narrow" w:cs="Arial Narrow"/>
                <w:i/>
                <w:iCs/>
                <w:sz w:val="20"/>
                <w:szCs w:val="20"/>
              </w:rPr>
            </w:pPr>
            <w:r w:rsidRPr="00A05716">
              <w:rPr>
                <w:rFonts w:ascii="Arial Narrow" w:hAnsi="Arial Narrow"/>
                <w:color w:val="333333"/>
                <w:sz w:val="20"/>
                <w:szCs w:val="20"/>
              </w:rPr>
              <w:t xml:space="preserve">Patient must not have developed another life threatening/severe disease where </w:t>
            </w:r>
            <w:r w:rsidR="00043974" w:rsidRPr="00A05716">
              <w:rPr>
                <w:rFonts w:ascii="Arial Narrow" w:hAnsi="Arial Narrow"/>
                <w:color w:val="333333"/>
                <w:sz w:val="20"/>
                <w:szCs w:val="20"/>
              </w:rPr>
              <w:t>long</w:t>
            </w:r>
            <w:r w:rsidR="00043974">
              <w:rPr>
                <w:rFonts w:ascii="Arial Narrow" w:hAnsi="Arial Narrow"/>
                <w:color w:val="333333"/>
                <w:sz w:val="20"/>
                <w:szCs w:val="20"/>
              </w:rPr>
              <w:t>-</w:t>
            </w:r>
            <w:r w:rsidRPr="00A05716">
              <w:rPr>
                <w:rFonts w:ascii="Arial Narrow" w:hAnsi="Arial Narrow"/>
                <w:color w:val="333333"/>
                <w:sz w:val="20"/>
                <w:szCs w:val="20"/>
              </w:rPr>
              <w:t xml:space="preserve">term prognosis is unlikely to be influenced by </w:t>
            </w:r>
            <w:r w:rsidRPr="00A05716">
              <w:rPr>
                <w:rFonts w:ascii="Arial Narrow" w:hAnsi="Arial Narrow"/>
                <w:strike/>
                <w:color w:val="333333"/>
                <w:sz w:val="20"/>
                <w:szCs w:val="20"/>
              </w:rPr>
              <w:t>pegunigalsidase alfa</w:t>
            </w:r>
            <w:r w:rsidRPr="00A05716">
              <w:rPr>
                <w:rFonts w:ascii="Arial Narrow" w:hAnsi="Arial Narrow"/>
                <w:color w:val="333333"/>
                <w:sz w:val="20"/>
                <w:szCs w:val="20"/>
              </w:rPr>
              <w:t xml:space="preserve"> </w:t>
            </w:r>
            <w:r w:rsidRPr="00A05716">
              <w:rPr>
                <w:rFonts w:ascii="Arial Narrow" w:hAnsi="Arial Narrow"/>
                <w:i/>
                <w:iCs/>
                <w:color w:val="333333"/>
                <w:sz w:val="20"/>
                <w:szCs w:val="20"/>
              </w:rPr>
              <w:t xml:space="preserve">this drug </w:t>
            </w:r>
          </w:p>
        </w:tc>
      </w:tr>
      <w:tr w:rsidR="00D508F9" w:rsidRPr="00AD0449" w14:paraId="7AEB7CD9"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983C20C" w14:textId="77777777" w:rsidR="00D508F9" w:rsidRPr="00A05716" w:rsidRDefault="00D508F9">
            <w:pPr>
              <w:jc w:val="center"/>
              <w:rPr>
                <w:rFonts w:ascii="Arial Narrow" w:hAnsi="Arial Narrow"/>
                <w:i/>
                <w:iCs/>
                <w:sz w:val="20"/>
                <w:szCs w:val="20"/>
              </w:rPr>
            </w:pPr>
          </w:p>
        </w:tc>
        <w:tc>
          <w:tcPr>
            <w:tcW w:w="7745" w:type="dxa"/>
            <w:gridSpan w:val="6"/>
            <w:vAlign w:val="center"/>
          </w:tcPr>
          <w:p w14:paraId="7EB82EE1" w14:textId="77777777" w:rsidR="00D508F9" w:rsidRPr="00A05716" w:rsidRDefault="00D508F9">
            <w:pPr>
              <w:jc w:val="left"/>
              <w:rPr>
                <w:rFonts w:ascii="Arial Narrow" w:hAnsi="Arial Narrow"/>
                <w:i/>
                <w:iCs/>
                <w:color w:val="333333"/>
                <w:sz w:val="20"/>
                <w:szCs w:val="20"/>
              </w:rPr>
            </w:pPr>
            <w:r w:rsidRPr="00A05716">
              <w:rPr>
                <w:rFonts w:ascii="Arial Narrow" w:hAnsi="Arial Narrow" w:cs="Arial Narrow"/>
                <w:b/>
                <w:bCs/>
                <w:i/>
                <w:sz w:val="20"/>
                <w:szCs w:val="20"/>
              </w:rPr>
              <w:t>AND</w:t>
            </w:r>
          </w:p>
        </w:tc>
      </w:tr>
      <w:tr w:rsidR="00D508F9" w:rsidRPr="00AD0449" w14:paraId="012FB550"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37218EA3" w14:textId="24B7A82B" w:rsidR="00D508F9" w:rsidRPr="00A05716" w:rsidRDefault="00D508F9">
            <w:pPr>
              <w:jc w:val="center"/>
              <w:rPr>
                <w:rFonts w:ascii="Arial Narrow" w:hAnsi="Arial Narrow"/>
                <w:i/>
                <w:iCs/>
                <w:sz w:val="20"/>
                <w:szCs w:val="20"/>
              </w:rPr>
            </w:pPr>
          </w:p>
        </w:tc>
        <w:tc>
          <w:tcPr>
            <w:tcW w:w="7745" w:type="dxa"/>
            <w:gridSpan w:val="6"/>
            <w:vAlign w:val="center"/>
          </w:tcPr>
          <w:p w14:paraId="1D69DC28" w14:textId="77777777" w:rsidR="00D508F9" w:rsidRPr="00A05716" w:rsidRDefault="00D508F9">
            <w:pPr>
              <w:jc w:val="left"/>
              <w:rPr>
                <w:rFonts w:ascii="Arial Narrow" w:hAnsi="Arial Narrow"/>
                <w:i/>
                <w:iCs/>
                <w:color w:val="333333"/>
                <w:sz w:val="20"/>
                <w:szCs w:val="20"/>
              </w:rPr>
            </w:pPr>
            <w:r w:rsidRPr="00A05716">
              <w:rPr>
                <w:rFonts w:ascii="Arial Narrow" w:hAnsi="Arial Narrow" w:cs="Arial Narrow"/>
                <w:b/>
                <w:bCs/>
                <w:i/>
                <w:iCs/>
                <w:sz w:val="20"/>
                <w:szCs w:val="20"/>
              </w:rPr>
              <w:t>Clinical criteria:</w:t>
            </w:r>
          </w:p>
        </w:tc>
      </w:tr>
      <w:tr w:rsidR="00D508F9" w:rsidRPr="00AD0449" w14:paraId="64E85C33"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1E4B7C2E" w14:textId="34BB3065" w:rsidR="00D508F9" w:rsidRPr="00A05716" w:rsidRDefault="00D508F9">
            <w:pPr>
              <w:jc w:val="center"/>
              <w:rPr>
                <w:rFonts w:ascii="Arial Narrow" w:hAnsi="Arial Narrow"/>
                <w:i/>
                <w:iCs/>
                <w:sz w:val="20"/>
                <w:szCs w:val="20"/>
              </w:rPr>
            </w:pPr>
          </w:p>
        </w:tc>
        <w:tc>
          <w:tcPr>
            <w:tcW w:w="7745" w:type="dxa"/>
            <w:gridSpan w:val="6"/>
            <w:vAlign w:val="center"/>
          </w:tcPr>
          <w:p w14:paraId="50E7BA71" w14:textId="77777777" w:rsidR="00D508F9" w:rsidRPr="00A05716" w:rsidRDefault="00D508F9">
            <w:pPr>
              <w:jc w:val="left"/>
              <w:rPr>
                <w:rFonts w:ascii="Arial Narrow" w:hAnsi="Arial Narrow"/>
                <w:i/>
                <w:iCs/>
                <w:color w:val="333333"/>
                <w:sz w:val="20"/>
                <w:szCs w:val="20"/>
              </w:rPr>
            </w:pPr>
            <w:r w:rsidRPr="00A05716">
              <w:rPr>
                <w:rFonts w:ascii="Arial Narrow" w:hAnsi="Arial Narrow" w:cs="Arial Narrow"/>
                <w:i/>
                <w:iCs/>
                <w:sz w:val="20"/>
                <w:szCs w:val="20"/>
              </w:rPr>
              <w:t>The treatment must be the sole PBS-subsidised therapy for this condition.</w:t>
            </w:r>
          </w:p>
        </w:tc>
      </w:tr>
      <w:tr w:rsidR="00D508F9" w:rsidRPr="00AD0449" w14:paraId="207FD28D"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125FC46" w14:textId="0C3C6411" w:rsidR="00D508F9" w:rsidRPr="00A05716" w:rsidRDefault="00D508F9">
            <w:pPr>
              <w:jc w:val="center"/>
              <w:rPr>
                <w:rFonts w:ascii="Arial Narrow" w:hAnsi="Arial Narrow"/>
                <w:i/>
                <w:iCs/>
                <w:sz w:val="20"/>
                <w:szCs w:val="20"/>
              </w:rPr>
            </w:pPr>
          </w:p>
        </w:tc>
        <w:tc>
          <w:tcPr>
            <w:tcW w:w="7745" w:type="dxa"/>
            <w:gridSpan w:val="6"/>
            <w:vAlign w:val="center"/>
          </w:tcPr>
          <w:p w14:paraId="694BEAE9" w14:textId="77777777" w:rsidR="00D508F9" w:rsidRPr="00A05716" w:rsidRDefault="00D508F9">
            <w:pPr>
              <w:jc w:val="left"/>
              <w:rPr>
                <w:rFonts w:ascii="Arial Narrow" w:hAnsi="Arial Narrow"/>
                <w:i/>
                <w:iCs/>
                <w:color w:val="333333"/>
                <w:sz w:val="20"/>
                <w:szCs w:val="20"/>
              </w:rPr>
            </w:pPr>
            <w:r w:rsidRPr="00A05716">
              <w:rPr>
                <w:rFonts w:ascii="Arial Narrow" w:hAnsi="Arial Narrow"/>
                <w:b/>
                <w:bCs/>
                <w:i/>
                <w:iCs/>
                <w:color w:val="333333"/>
                <w:sz w:val="20"/>
                <w:szCs w:val="20"/>
              </w:rPr>
              <w:t>Population criteria:</w:t>
            </w:r>
          </w:p>
        </w:tc>
      </w:tr>
      <w:tr w:rsidR="00D508F9" w:rsidRPr="00AD0449" w14:paraId="46EF6CAB"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2BD1FE5" w14:textId="03D79DB2" w:rsidR="00D508F9" w:rsidRPr="00A05716" w:rsidRDefault="00D508F9">
            <w:pPr>
              <w:jc w:val="center"/>
              <w:rPr>
                <w:rFonts w:ascii="Arial Narrow" w:hAnsi="Arial Narrow"/>
                <w:i/>
                <w:iCs/>
                <w:sz w:val="20"/>
                <w:szCs w:val="20"/>
              </w:rPr>
            </w:pPr>
          </w:p>
        </w:tc>
        <w:tc>
          <w:tcPr>
            <w:tcW w:w="7745" w:type="dxa"/>
            <w:gridSpan w:val="6"/>
            <w:vAlign w:val="center"/>
          </w:tcPr>
          <w:p w14:paraId="0C7D88A2" w14:textId="77777777" w:rsidR="00D508F9" w:rsidRPr="00A05716" w:rsidRDefault="00D508F9">
            <w:pPr>
              <w:jc w:val="left"/>
              <w:rPr>
                <w:rFonts w:ascii="Arial Narrow" w:hAnsi="Arial Narrow"/>
                <w:i/>
                <w:iCs/>
                <w:color w:val="333333"/>
                <w:sz w:val="20"/>
                <w:szCs w:val="20"/>
              </w:rPr>
            </w:pPr>
            <w:r w:rsidRPr="00A05716">
              <w:rPr>
                <w:rFonts w:ascii="Arial Narrow" w:hAnsi="Arial Narrow"/>
                <w:i/>
                <w:iCs/>
                <w:sz w:val="20"/>
                <w:szCs w:val="20"/>
              </w:rPr>
              <w:t>Patient must be at least 18 years of age.</w:t>
            </w:r>
          </w:p>
        </w:tc>
      </w:tr>
      <w:tr w:rsidR="00D508F9" w:rsidRPr="00AD0449" w14:paraId="000B033A"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A28B057" w14:textId="01C96E04" w:rsidR="00D508F9" w:rsidRPr="00A05716" w:rsidRDefault="00D508F9">
            <w:pPr>
              <w:jc w:val="center"/>
              <w:rPr>
                <w:rFonts w:ascii="Arial Narrow" w:hAnsi="Arial Narrow"/>
                <w:sz w:val="20"/>
                <w:szCs w:val="20"/>
              </w:rPr>
            </w:pPr>
          </w:p>
        </w:tc>
        <w:tc>
          <w:tcPr>
            <w:tcW w:w="7745" w:type="dxa"/>
            <w:gridSpan w:val="6"/>
            <w:vAlign w:val="center"/>
          </w:tcPr>
          <w:p w14:paraId="3601D9BD" w14:textId="77777777" w:rsidR="00D508F9" w:rsidRPr="00A05716" w:rsidRDefault="00D508F9">
            <w:pPr>
              <w:jc w:val="left"/>
              <w:rPr>
                <w:rFonts w:ascii="Arial Narrow" w:hAnsi="Arial Narrow"/>
                <w:color w:val="333333"/>
                <w:sz w:val="20"/>
                <w:szCs w:val="20"/>
              </w:rPr>
            </w:pPr>
            <w:r w:rsidRPr="00A05716">
              <w:rPr>
                <w:rFonts w:ascii="Arial Narrow" w:hAnsi="Arial Narrow"/>
                <w:b/>
                <w:bCs/>
                <w:color w:val="333333"/>
                <w:sz w:val="20"/>
                <w:szCs w:val="20"/>
              </w:rPr>
              <w:t>Treatment criteria:</w:t>
            </w:r>
          </w:p>
        </w:tc>
      </w:tr>
      <w:tr w:rsidR="00D508F9" w:rsidRPr="00AD0449" w14:paraId="77EB8566"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41877A33" w14:textId="278E3358" w:rsidR="00D508F9" w:rsidRPr="00A05716" w:rsidRDefault="00D508F9">
            <w:pPr>
              <w:jc w:val="center"/>
              <w:rPr>
                <w:rFonts w:ascii="Arial Narrow" w:hAnsi="Arial Narrow"/>
                <w:sz w:val="20"/>
                <w:szCs w:val="20"/>
              </w:rPr>
            </w:pPr>
          </w:p>
        </w:tc>
        <w:tc>
          <w:tcPr>
            <w:tcW w:w="7745" w:type="dxa"/>
            <w:gridSpan w:val="6"/>
            <w:vAlign w:val="center"/>
          </w:tcPr>
          <w:p w14:paraId="0567BDDD" w14:textId="77777777" w:rsidR="00D508F9" w:rsidRPr="00A05716" w:rsidRDefault="00D508F9">
            <w:pPr>
              <w:jc w:val="left"/>
              <w:rPr>
                <w:rFonts w:ascii="Arial Narrow" w:hAnsi="Arial Narrow"/>
                <w:color w:val="333333"/>
                <w:sz w:val="20"/>
                <w:szCs w:val="20"/>
              </w:rPr>
            </w:pPr>
            <w:r w:rsidRPr="00A05716">
              <w:rPr>
                <w:rFonts w:ascii="Arial Narrow" w:hAnsi="Arial Narrow" w:cs="Arial Narrow"/>
                <w:iCs/>
                <w:sz w:val="20"/>
                <w:szCs w:val="20"/>
              </w:rPr>
              <w:t>Must be treated by a physician with expertise in the management of Fabry disease</w:t>
            </w:r>
          </w:p>
        </w:tc>
      </w:tr>
      <w:tr w:rsidR="00D508F9" w:rsidRPr="00AD0449" w14:paraId="750F734B"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21698A26" w14:textId="1554910A" w:rsidR="00D508F9" w:rsidRPr="00A05716" w:rsidRDefault="00D508F9">
            <w:pPr>
              <w:jc w:val="center"/>
              <w:rPr>
                <w:rFonts w:ascii="Arial Narrow" w:hAnsi="Arial Narrow"/>
                <w:i/>
                <w:iCs/>
                <w:sz w:val="20"/>
                <w:szCs w:val="20"/>
              </w:rPr>
            </w:pPr>
          </w:p>
        </w:tc>
        <w:tc>
          <w:tcPr>
            <w:tcW w:w="7745" w:type="dxa"/>
            <w:gridSpan w:val="6"/>
            <w:vAlign w:val="center"/>
          </w:tcPr>
          <w:p w14:paraId="68E5A374" w14:textId="77777777" w:rsidR="00D508F9" w:rsidRPr="00A05716" w:rsidRDefault="00D508F9">
            <w:pPr>
              <w:jc w:val="left"/>
              <w:rPr>
                <w:rFonts w:ascii="Arial Narrow" w:hAnsi="Arial Narrow" w:cs="Arial Narrow"/>
                <w:i/>
                <w:iCs/>
                <w:sz w:val="20"/>
                <w:szCs w:val="20"/>
              </w:rPr>
            </w:pPr>
            <w:r w:rsidRPr="00A05716">
              <w:rPr>
                <w:rFonts w:ascii="Arial Narrow" w:hAnsi="Arial Narrow" w:cs="Arial Narrow"/>
                <w:b/>
                <w:bCs/>
                <w:i/>
                <w:iCs/>
                <w:sz w:val="20"/>
                <w:szCs w:val="20"/>
              </w:rPr>
              <w:t>Prescribing Instructions:</w:t>
            </w:r>
          </w:p>
          <w:p w14:paraId="4CBC7633" w14:textId="77777777" w:rsidR="00D508F9" w:rsidRPr="00A05716" w:rsidRDefault="00D508F9">
            <w:pPr>
              <w:jc w:val="left"/>
              <w:rPr>
                <w:rFonts w:ascii="Arial Narrow" w:hAnsi="Arial Narrow" w:cs="Arial Narrow"/>
                <w:i/>
                <w:iCs/>
                <w:sz w:val="20"/>
                <w:szCs w:val="20"/>
              </w:rPr>
            </w:pPr>
            <w:r w:rsidRPr="00A05716">
              <w:rPr>
                <w:rFonts w:ascii="Arial Narrow" w:hAnsi="Arial Narrow" w:cs="Arial Narrow"/>
                <w:i/>
                <w:iCs/>
                <w:sz w:val="20"/>
                <w:szCs w:val="20"/>
              </w:rPr>
              <w:t>A patient may qualify for PBS-subsidised treatment under this restriction once only. For continuing PBS-subsidised treatment, a Grandfathered patient must qualify under the Continuing treatment criteria.</w:t>
            </w:r>
          </w:p>
        </w:tc>
      </w:tr>
      <w:tr w:rsidR="00D508F9" w:rsidRPr="00AD0449" w14:paraId="570CD839"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6CC6EC3F" w14:textId="684CDD7C" w:rsidR="00D508F9" w:rsidRPr="00A05716" w:rsidRDefault="00D508F9">
            <w:pPr>
              <w:jc w:val="center"/>
              <w:rPr>
                <w:rFonts w:ascii="Arial Narrow" w:hAnsi="Arial Narrow"/>
                <w:i/>
                <w:iCs/>
                <w:sz w:val="20"/>
                <w:szCs w:val="20"/>
              </w:rPr>
            </w:pPr>
          </w:p>
        </w:tc>
        <w:tc>
          <w:tcPr>
            <w:tcW w:w="7745" w:type="dxa"/>
            <w:gridSpan w:val="6"/>
            <w:vAlign w:val="center"/>
          </w:tcPr>
          <w:p w14:paraId="26620B39" w14:textId="77777777" w:rsidR="00D508F9" w:rsidRPr="00A05716" w:rsidRDefault="00D508F9">
            <w:pPr>
              <w:rPr>
                <w:rFonts w:ascii="Arial Narrow" w:hAnsi="Arial Narrow"/>
                <w:b/>
                <w:bCs/>
                <w:i/>
                <w:iCs/>
                <w:color w:val="333333"/>
                <w:sz w:val="20"/>
                <w:szCs w:val="20"/>
              </w:rPr>
            </w:pPr>
            <w:r w:rsidRPr="00A05716">
              <w:rPr>
                <w:rFonts w:ascii="Arial Narrow" w:hAnsi="Arial Narrow"/>
                <w:b/>
                <w:bCs/>
                <w:i/>
                <w:iCs/>
                <w:color w:val="333333"/>
                <w:sz w:val="20"/>
                <w:szCs w:val="20"/>
              </w:rPr>
              <w:t>Prescribing Instructions:</w:t>
            </w:r>
          </w:p>
          <w:p w14:paraId="1A55578F" w14:textId="77777777" w:rsidR="00D508F9" w:rsidRPr="00A05716" w:rsidRDefault="00D508F9">
            <w:pPr>
              <w:jc w:val="left"/>
              <w:rPr>
                <w:rFonts w:ascii="Arial Narrow" w:hAnsi="Arial Narrow" w:cs="Arial Narrow"/>
                <w:i/>
                <w:iCs/>
                <w:sz w:val="20"/>
                <w:szCs w:val="20"/>
              </w:rPr>
            </w:pPr>
            <w:r w:rsidRPr="00A05716">
              <w:rPr>
                <w:rFonts w:ascii="Arial Narrow" w:hAnsi="Arial Narrow"/>
                <w:i/>
                <w:iCs/>
                <w:sz w:val="20"/>
                <w:szCs w:val="20"/>
              </w:rPr>
              <w:t>Confirmation of eligibility for treatment with diagnostic reports including the confirmed mutations must be documented in the patient's medical records.</w:t>
            </w:r>
          </w:p>
        </w:tc>
      </w:tr>
      <w:tr w:rsidR="00D508F9" w:rsidRPr="00446E53" w14:paraId="5F58DFD1" w14:textId="77777777">
        <w:tblPrEx>
          <w:tblCellMar>
            <w:top w:w="15" w:type="dxa"/>
            <w:bottom w:w="15" w:type="dxa"/>
          </w:tblCellMar>
          <w:tblLook w:val="04A0" w:firstRow="1" w:lastRow="0" w:firstColumn="1" w:lastColumn="0" w:noHBand="0" w:noVBand="1"/>
        </w:tblPrEx>
        <w:trPr>
          <w:cantSplit/>
          <w:trHeight w:val="20"/>
        </w:trPr>
        <w:tc>
          <w:tcPr>
            <w:tcW w:w="1276" w:type="dxa"/>
            <w:gridSpan w:val="2"/>
          </w:tcPr>
          <w:p w14:paraId="1C4F6CE5" w14:textId="77777777" w:rsidR="00D508F9" w:rsidRPr="00A05716" w:rsidRDefault="00D508F9">
            <w:pPr>
              <w:jc w:val="center"/>
              <w:rPr>
                <w:rFonts w:ascii="Arial Narrow" w:hAnsi="Arial Narrow"/>
                <w:sz w:val="20"/>
                <w:szCs w:val="20"/>
              </w:rPr>
            </w:pPr>
            <w:r w:rsidRPr="00A05716">
              <w:rPr>
                <w:noProof/>
              </w:rPr>
              <w:drawing>
                <wp:inline distT="0" distB="0" distL="0" distR="0" wp14:anchorId="2C9ED808" wp14:editId="64D2772E">
                  <wp:extent cx="380365" cy="190500"/>
                  <wp:effectExtent l="0" t="0" r="635" b="0"/>
                  <wp:docPr id="720531518" name="Picture 1" descr="Full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9" descr="Full Assess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190500"/>
                          </a:xfrm>
                          <a:prstGeom prst="rect">
                            <a:avLst/>
                          </a:prstGeom>
                          <a:noFill/>
                          <a:ln>
                            <a:noFill/>
                          </a:ln>
                        </pic:spPr>
                      </pic:pic>
                    </a:graphicData>
                  </a:graphic>
                </wp:inline>
              </w:drawing>
            </w:r>
          </w:p>
        </w:tc>
        <w:tc>
          <w:tcPr>
            <w:tcW w:w="7745" w:type="dxa"/>
            <w:gridSpan w:val="6"/>
            <w:vAlign w:val="center"/>
          </w:tcPr>
          <w:p w14:paraId="2E114CF5" w14:textId="77777777" w:rsidR="00D508F9" w:rsidRPr="00A05716" w:rsidRDefault="00D508F9">
            <w:pPr>
              <w:rPr>
                <w:rFonts w:ascii="Arial Narrow" w:hAnsi="Arial Narrow"/>
                <w:b/>
                <w:bCs/>
                <w:i/>
                <w:iCs/>
                <w:color w:val="333333"/>
                <w:sz w:val="20"/>
                <w:szCs w:val="20"/>
              </w:rPr>
            </w:pPr>
            <w:r w:rsidRPr="00A05716">
              <w:rPr>
                <w:rFonts w:ascii="Arial Narrow" w:hAnsi="Arial Narrow"/>
                <w:b/>
                <w:bCs/>
                <w:i/>
                <w:iCs/>
                <w:color w:val="333333"/>
                <w:sz w:val="20"/>
                <w:szCs w:val="20"/>
              </w:rPr>
              <w:t>Prescribing Instructions:</w:t>
            </w:r>
          </w:p>
          <w:p w14:paraId="68C21C95" w14:textId="77777777" w:rsidR="00D508F9" w:rsidRPr="00A05716" w:rsidRDefault="00D508F9">
            <w:pPr>
              <w:rPr>
                <w:rFonts w:ascii="Arial Narrow" w:hAnsi="Arial Narrow"/>
                <w:i/>
                <w:iCs/>
                <w:color w:val="333333"/>
                <w:sz w:val="20"/>
                <w:szCs w:val="20"/>
              </w:rPr>
            </w:pPr>
            <w:r w:rsidRPr="00A05716">
              <w:rPr>
                <w:rFonts w:ascii="Arial Narrow" w:hAnsi="Arial Narrow"/>
                <w:i/>
                <w:iCs/>
                <w:color w:val="333333"/>
                <w:sz w:val="20"/>
                <w:szCs w:val="20"/>
              </w:rPr>
              <w:t>The authority application must be made in writing and must include:</w:t>
            </w:r>
          </w:p>
          <w:p w14:paraId="79CF6833" w14:textId="77777777" w:rsidR="00D508F9" w:rsidRPr="00A05716" w:rsidRDefault="00D508F9">
            <w:pPr>
              <w:rPr>
                <w:rFonts w:ascii="Arial Narrow" w:hAnsi="Arial Narrow"/>
                <w:i/>
                <w:iCs/>
                <w:color w:val="333333"/>
                <w:sz w:val="20"/>
                <w:szCs w:val="20"/>
              </w:rPr>
            </w:pPr>
            <w:r w:rsidRPr="00A05716">
              <w:rPr>
                <w:rFonts w:ascii="Arial Narrow" w:hAnsi="Arial Narrow"/>
                <w:i/>
                <w:iCs/>
                <w:color w:val="333333"/>
                <w:sz w:val="20"/>
                <w:szCs w:val="20"/>
              </w:rPr>
              <w:t>(1) details of the proposed prescription; and</w:t>
            </w:r>
          </w:p>
          <w:p w14:paraId="24DD7832" w14:textId="77777777" w:rsidR="00D508F9" w:rsidRPr="00A05716" w:rsidRDefault="00D508F9">
            <w:pPr>
              <w:jc w:val="left"/>
              <w:rPr>
                <w:rFonts w:ascii="Arial Narrow" w:hAnsi="Arial Narrow" w:cs="Arial Narrow"/>
                <w:iCs/>
                <w:sz w:val="20"/>
                <w:szCs w:val="20"/>
              </w:rPr>
            </w:pPr>
            <w:r w:rsidRPr="00A05716">
              <w:rPr>
                <w:rFonts w:ascii="Arial Narrow" w:hAnsi="Arial Narrow"/>
                <w:i/>
                <w:iCs/>
                <w:color w:val="333333"/>
                <w:sz w:val="20"/>
                <w:szCs w:val="20"/>
              </w:rPr>
              <w:t>(2) a completed authority application form relevant to the indication and treatment phase (the latest version is located on the website specified in the Administrative Advice).</w:t>
            </w:r>
          </w:p>
        </w:tc>
      </w:tr>
      <w:bookmarkEnd w:id="10"/>
    </w:tbl>
    <w:p w14:paraId="6A5CD68B" w14:textId="12161302" w:rsidR="00D10910" w:rsidRDefault="00D10910" w:rsidP="00D10910">
      <w:pPr>
        <w:pStyle w:val="FooterTableFigure"/>
        <w:keepNext/>
      </w:pPr>
    </w:p>
    <w:p w14:paraId="25D30DB8" w14:textId="1CD3D640" w:rsidR="007E47BA" w:rsidRDefault="007E47BA" w:rsidP="009D09F4">
      <w:pPr>
        <w:pStyle w:val="ExecSumBodyText"/>
        <w:numPr>
          <w:ilvl w:val="1"/>
          <w:numId w:val="1"/>
        </w:numPr>
      </w:pPr>
      <w:r w:rsidRPr="00791A9A">
        <w:t>The submission proposed a published approved ex-manufacturer price (AEMP) of $</w:t>
      </w:r>
      <w:r w:rsidR="0067772E" w:rsidRPr="00D947EA">
        <w:rPr>
          <w:color w:val="000000"/>
          <w:w w:val="15"/>
          <w:shd w:val="solid" w:color="000000" w:fill="000000"/>
          <w:fitText w:val="-20" w:id="-628909565"/>
          <w14:textFill>
            <w14:solidFill>
              <w14:srgbClr w14:val="000000">
                <w14:alpha w14:val="100000"/>
              </w14:srgbClr>
            </w14:solidFill>
          </w14:textFill>
        </w:rPr>
        <w:t xml:space="preserve">|  </w:t>
      </w:r>
      <w:r w:rsidR="0067772E" w:rsidRPr="00D947EA">
        <w:rPr>
          <w:color w:val="000000"/>
          <w:spacing w:val="-69"/>
          <w:w w:val="15"/>
          <w:shd w:val="solid" w:color="000000" w:fill="000000"/>
          <w:fitText w:val="-20" w:id="-628909565"/>
          <w14:textFill>
            <w14:solidFill>
              <w14:srgbClr w14:val="000000">
                <w14:alpha w14:val="100000"/>
              </w14:srgbClr>
            </w14:solidFill>
          </w14:textFill>
        </w:rPr>
        <w:t>|</w:t>
      </w:r>
      <w:r w:rsidRPr="00791A9A">
        <w:t xml:space="preserve"> per 20 mg vial, based on a </w:t>
      </w:r>
      <w:r w:rsidR="0067772E" w:rsidRPr="00D947EA">
        <w:rPr>
          <w:color w:val="000000"/>
          <w:w w:val="15"/>
          <w:shd w:val="solid" w:color="000000" w:fill="000000"/>
          <w:fitText w:val="-20" w:id="-628909564"/>
          <w14:textFill>
            <w14:solidFill>
              <w14:srgbClr w14:val="000000">
                <w14:alpha w14:val="100000"/>
              </w14:srgbClr>
            </w14:solidFill>
          </w14:textFill>
        </w:rPr>
        <w:t xml:space="preserve">|  </w:t>
      </w:r>
      <w:r w:rsidR="0067772E" w:rsidRPr="00D947EA">
        <w:rPr>
          <w:color w:val="000000"/>
          <w:spacing w:val="-69"/>
          <w:w w:val="15"/>
          <w:shd w:val="solid" w:color="000000" w:fill="000000"/>
          <w:fitText w:val="-20" w:id="-628909564"/>
          <w14:textFill>
            <w14:solidFill>
              <w14:srgbClr w14:val="000000">
                <w14:alpha w14:val="100000"/>
              </w14:srgbClr>
            </w14:solidFill>
          </w14:textFill>
        </w:rPr>
        <w:t>|</w:t>
      </w:r>
      <w:r w:rsidRPr="00791A9A">
        <w:t>% premium on the annual cost of migalastat (see para</w:t>
      </w:r>
      <w:r w:rsidR="00DD1291">
        <w:t>graph</w:t>
      </w:r>
      <w:r w:rsidRPr="00791A9A">
        <w:t xml:space="preserve"> </w:t>
      </w:r>
      <w:r w:rsidR="00B46AE7">
        <w:fldChar w:fldCharType="begin" w:fldLock="1"/>
      </w:r>
      <w:r w:rsidR="00B46AE7">
        <w:instrText xml:space="preserve"> REF _Ref195630537 \r \h </w:instrText>
      </w:r>
      <w:r w:rsidR="00B46AE7">
        <w:fldChar w:fldCharType="separate"/>
      </w:r>
      <w:r w:rsidR="00881387">
        <w:t>6.63</w:t>
      </w:r>
      <w:r w:rsidR="00B46AE7">
        <w:fldChar w:fldCharType="end"/>
      </w:r>
      <w:r w:rsidRPr="00791A9A">
        <w:fldChar w:fldCharType="begin" w:fldLock="1"/>
      </w:r>
      <w:r w:rsidRPr="00791A9A">
        <w:instrText xml:space="preserve"> REF _Ref195177890 \n \h </w:instrText>
      </w:r>
      <w:r>
        <w:instrText xml:space="preserve"> \* MERGEFORMAT </w:instrText>
      </w:r>
      <w:r w:rsidRPr="00791A9A">
        <w:fldChar w:fldCharType="separate"/>
      </w:r>
      <w:r w:rsidRPr="00791A9A">
        <w:fldChar w:fldCharType="end"/>
      </w:r>
      <w:r w:rsidRPr="00791A9A">
        <w:t xml:space="preserve">). </w:t>
      </w:r>
      <w:r w:rsidR="003C1365">
        <w:t xml:space="preserve">The submission </w:t>
      </w:r>
      <w:r w:rsidR="003C1365" w:rsidRPr="003C1365">
        <w:t>request</w:t>
      </w:r>
      <w:r w:rsidR="00FD6E63">
        <w:t>ed</w:t>
      </w:r>
      <w:r w:rsidR="003C1365" w:rsidRPr="003C1365">
        <w:t xml:space="preserve"> </w:t>
      </w:r>
      <w:r w:rsidR="004640FF">
        <w:t xml:space="preserve">a </w:t>
      </w:r>
      <w:r w:rsidR="003C1365" w:rsidRPr="003C1365">
        <w:t>S</w:t>
      </w:r>
      <w:r w:rsidR="003C1365">
        <w:t xml:space="preserve">pecial </w:t>
      </w:r>
      <w:r w:rsidR="003C1365" w:rsidRPr="003C1365">
        <w:t>P</w:t>
      </w:r>
      <w:r w:rsidR="003C1365">
        <w:t>ricing Arrangement (SPA)</w:t>
      </w:r>
      <w:r w:rsidR="003C1365" w:rsidRPr="003C1365">
        <w:t xml:space="preserve"> for pegunigalsidase alfa </w:t>
      </w:r>
      <w:r w:rsidR="003C1365">
        <w:t>but did</w:t>
      </w:r>
      <w:r w:rsidR="003C1365" w:rsidRPr="003C1365">
        <w:t xml:space="preserve"> not propose an effective price as the effective price for migalastat is not known</w:t>
      </w:r>
      <w:r w:rsidR="003C1365" w:rsidRPr="003B13EC">
        <w:t>.</w:t>
      </w:r>
      <w:r w:rsidRPr="003B13EC">
        <w:t xml:space="preserve"> The rationale provided for the price premium is not well justified given the evidence presented (see para</w:t>
      </w:r>
      <w:r w:rsidR="00DD1291" w:rsidRPr="003B13EC">
        <w:t>graph</w:t>
      </w:r>
      <w:r w:rsidRPr="003B13EC">
        <w:t xml:space="preserve"> </w:t>
      </w:r>
      <w:r w:rsidR="00BB209B" w:rsidRPr="003B13EC">
        <w:fldChar w:fldCharType="begin" w:fldLock="1"/>
      </w:r>
      <w:r w:rsidR="00BB209B" w:rsidRPr="003B13EC">
        <w:instrText xml:space="preserve"> REF _Ref195513129 \r \h </w:instrText>
      </w:r>
      <w:r w:rsidR="003B13EC" w:rsidRPr="003B13EC">
        <w:instrText xml:space="preserve"> \* MERGEFORMAT </w:instrText>
      </w:r>
      <w:r w:rsidR="00BB209B" w:rsidRPr="003B13EC">
        <w:fldChar w:fldCharType="separate"/>
      </w:r>
      <w:r w:rsidR="00881387">
        <w:t>6.58</w:t>
      </w:r>
      <w:r w:rsidR="00BB209B" w:rsidRPr="003B13EC">
        <w:fldChar w:fldCharType="end"/>
      </w:r>
      <w:r w:rsidRPr="003B13EC">
        <w:fldChar w:fldCharType="begin" w:fldLock="1"/>
      </w:r>
      <w:r w:rsidRPr="003B13EC">
        <w:instrText xml:space="preserve"> REF _Ref195629892 \n \h  \* MERGEFORMAT </w:instrText>
      </w:r>
      <w:r w:rsidRPr="003B13EC">
        <w:fldChar w:fldCharType="separate"/>
      </w:r>
      <w:r w:rsidRPr="003B13EC">
        <w:fldChar w:fldCharType="end"/>
      </w:r>
      <w:r w:rsidRPr="003B13EC">
        <w:t xml:space="preserve">). </w:t>
      </w:r>
    </w:p>
    <w:p w14:paraId="362FD4F4" w14:textId="54A62265" w:rsidR="00113142" w:rsidRPr="00D50325" w:rsidRDefault="00D50325">
      <w:pPr>
        <w:pStyle w:val="ExecSumBodyText"/>
        <w:numPr>
          <w:ilvl w:val="1"/>
          <w:numId w:val="1"/>
        </w:numPr>
      </w:pPr>
      <w:r w:rsidRPr="00D2098F">
        <w:rPr>
          <w:rFonts w:cs="Calibri"/>
          <w:lang w:eastAsia="en-GB"/>
        </w:rPr>
        <w:t xml:space="preserve">The Fabry disease therapy migalastat is listed on the PBS as General Schedule (Authority Required (written)) for initial treatment and Grandfather arrangement listings, and Authority Required (telephone/electronic) for continuing treatment. </w:t>
      </w:r>
    </w:p>
    <w:p w14:paraId="28D286D1" w14:textId="77777777" w:rsidR="00D50325" w:rsidRPr="00D833BC" w:rsidRDefault="00D50325">
      <w:pPr>
        <w:pStyle w:val="ExecSumBodyText"/>
        <w:numPr>
          <w:ilvl w:val="1"/>
          <w:numId w:val="1"/>
        </w:numPr>
      </w:pPr>
      <w:r w:rsidRPr="00D833BC">
        <w:t>The submission stated that as part of its requested S100 listing, it is seeking public/private hospital and community access. If pegunigalsidase alfa is listed under S100 HSD as a Complex Authority Required (CAR) (written) listing, this would allow dispensing in public/private hospitals and community pharmacies.</w:t>
      </w:r>
    </w:p>
    <w:p w14:paraId="4DF7955E" w14:textId="193D22D9" w:rsidR="00271870" w:rsidRDefault="00271870" w:rsidP="00271870">
      <w:pPr>
        <w:pStyle w:val="3-BodyText"/>
        <w:rPr>
          <w:rFonts w:eastAsia="Times New Roman" w:cs="Arial"/>
          <w:snapToGrid w:val="0"/>
          <w:szCs w:val="24"/>
        </w:rPr>
      </w:pPr>
      <w:r w:rsidRPr="00271870">
        <w:rPr>
          <w:rFonts w:eastAsia="Times New Roman" w:cs="Arial"/>
          <w:snapToGrid w:val="0"/>
          <w:szCs w:val="24"/>
        </w:rPr>
        <w:t>The submission requested medical practitioners as the sole prescriber type for this listing, consistent with the migalastat</w:t>
      </w:r>
      <w:r w:rsidR="00ED7EB9">
        <w:rPr>
          <w:rFonts w:eastAsia="Times New Roman" w:cs="Arial"/>
          <w:snapToGrid w:val="0"/>
          <w:szCs w:val="24"/>
        </w:rPr>
        <w:t xml:space="preserve"> listing</w:t>
      </w:r>
      <w:r w:rsidRPr="00271870">
        <w:rPr>
          <w:rFonts w:eastAsia="Times New Roman" w:cs="Arial"/>
          <w:snapToGrid w:val="0"/>
          <w:szCs w:val="24"/>
        </w:rPr>
        <w:t xml:space="preserve">. As such, a treatment criterion stating that patients ‘must be treated by a physician with expertise in the management of Fabry disease’ was requested. </w:t>
      </w:r>
    </w:p>
    <w:p w14:paraId="6B23298C" w14:textId="0D30C388" w:rsidR="00A84009" w:rsidRPr="00BC46FE" w:rsidRDefault="00A84009" w:rsidP="00BC46FE">
      <w:pPr>
        <w:pStyle w:val="3-BodyText"/>
        <w:rPr>
          <w:rFonts w:eastAsia="Times New Roman" w:cs="Arial"/>
          <w:snapToGrid w:val="0"/>
          <w:szCs w:val="24"/>
        </w:rPr>
      </w:pPr>
      <w:r w:rsidRPr="00A84009">
        <w:rPr>
          <w:rFonts w:eastAsia="Times New Roman" w:cs="Arial"/>
          <w:snapToGrid w:val="0"/>
          <w:szCs w:val="24"/>
        </w:rPr>
        <w:t xml:space="preserve">The submission included the Population Criterion ‘Patient must be at least 18 years of age’ in the requested listing. The PI states that the safety and efficacy of pegunigalsidase alfa has not been established in children and adolescents aged </w:t>
      </w:r>
      <w:r w:rsidR="007902B5">
        <w:rPr>
          <w:rFonts w:eastAsia="Times New Roman" w:cs="Arial"/>
          <w:snapToGrid w:val="0"/>
          <w:szCs w:val="24"/>
        </w:rPr>
        <w:br/>
      </w:r>
      <w:r w:rsidRPr="00A84009">
        <w:rPr>
          <w:rFonts w:eastAsia="Times New Roman" w:cs="Arial"/>
          <w:snapToGrid w:val="0"/>
          <w:szCs w:val="24"/>
        </w:rPr>
        <w:t>0-17</w:t>
      </w:r>
      <w:r w:rsidR="00BC46FE">
        <w:rPr>
          <w:rFonts w:eastAsia="Times New Roman" w:cs="Arial"/>
          <w:snapToGrid w:val="0"/>
          <w:szCs w:val="24"/>
        </w:rPr>
        <w:t> </w:t>
      </w:r>
      <w:r w:rsidRPr="00A84009">
        <w:rPr>
          <w:rFonts w:eastAsia="Times New Roman" w:cs="Arial"/>
          <w:snapToGrid w:val="0"/>
          <w:szCs w:val="24"/>
        </w:rPr>
        <w:t>years (or in patients older than 65 years</w:t>
      </w:r>
      <w:r w:rsidR="00BC46FE">
        <w:rPr>
          <w:rFonts w:eastAsia="Times New Roman" w:cs="Arial"/>
          <w:snapToGrid w:val="0"/>
          <w:szCs w:val="24"/>
        </w:rPr>
        <w:t>)</w:t>
      </w:r>
      <w:r w:rsidRPr="00A84009">
        <w:rPr>
          <w:rFonts w:eastAsia="Times New Roman" w:cs="Arial"/>
          <w:snapToGrid w:val="0"/>
          <w:szCs w:val="24"/>
        </w:rPr>
        <w:t xml:space="preserve">. </w:t>
      </w:r>
    </w:p>
    <w:p w14:paraId="0434A280" w14:textId="37F31756" w:rsidR="00D72FE0" w:rsidRPr="00D72FE0" w:rsidRDefault="00D72FE0" w:rsidP="00D72FE0">
      <w:pPr>
        <w:pStyle w:val="3-BodyText"/>
        <w:rPr>
          <w:rFonts w:eastAsia="Times New Roman" w:cs="Arial"/>
          <w:snapToGrid w:val="0"/>
          <w:szCs w:val="24"/>
        </w:rPr>
      </w:pPr>
      <w:r w:rsidRPr="00D72FE0">
        <w:rPr>
          <w:rFonts w:eastAsia="Times New Roman" w:cs="Arial"/>
          <w:snapToGrid w:val="0"/>
          <w:szCs w:val="24"/>
        </w:rPr>
        <w:t xml:space="preserve">The submission requested a maximum quantity of 1 pack of 12 x 20 mg/10 mL single-dose vials with 5 repeats. The recommended dose for pegunigalsidase alfa in the PI is 1 mg/kg of body weight every 2 weeks. The submission stated that the requested maximum quantity was based on a person with body weight of 120 kg (i.e., requiring 120 mg dose (6 single-dose vials) fortnightly, or 12 single-dose vials per month). The </w:t>
      </w:r>
      <w:r w:rsidRPr="00D72FE0">
        <w:rPr>
          <w:rFonts w:eastAsia="Times New Roman" w:cs="Arial"/>
          <w:snapToGrid w:val="0"/>
          <w:szCs w:val="24"/>
        </w:rPr>
        <w:lastRenderedPageBreak/>
        <w:t xml:space="preserve">submission also stated that in the BALANCE trial the average weight of participants was 78.9 kg (i.e., requiring 4 single-dose vials fortnightly, or 8 single-dose vials per month). Dose adjustments were also conducted in the BALANCE trial when a patient’s body weight changed by at least 25% from baseline at months 6, 12 or 18. The PI also states that pegunigalsidase alfa comes in packs sizes of 1, 5 or 10 vials per carton (i.e., there is no pack of 12 vials). </w:t>
      </w:r>
    </w:p>
    <w:p w14:paraId="099F0890" w14:textId="04826140" w:rsidR="00D72FE0" w:rsidRDefault="00D72FE0" w:rsidP="00113142">
      <w:pPr>
        <w:pStyle w:val="3-BodyText"/>
      </w:pPr>
      <w:r w:rsidRPr="00D72FE0">
        <w:rPr>
          <w:rFonts w:eastAsia="Times New Roman" w:cs="Arial"/>
          <w:snapToGrid w:val="0"/>
          <w:szCs w:val="24"/>
        </w:rPr>
        <w:t>Considering that pegunigalsidase alfa is administered at a variable dose (i.e., a weight-based dosing regimen), amend</w:t>
      </w:r>
      <w:r w:rsidR="00C96199">
        <w:rPr>
          <w:rFonts w:eastAsia="Times New Roman" w:cs="Arial"/>
          <w:snapToGrid w:val="0"/>
          <w:szCs w:val="24"/>
        </w:rPr>
        <w:t>ing</w:t>
      </w:r>
      <w:r w:rsidRPr="00D72FE0">
        <w:rPr>
          <w:rFonts w:eastAsia="Times New Roman" w:cs="Arial"/>
          <w:snapToGrid w:val="0"/>
          <w:szCs w:val="24"/>
        </w:rPr>
        <w:t xml:space="preserve"> the maximum quantity to 1 and includ</w:t>
      </w:r>
      <w:r w:rsidR="00C96199">
        <w:rPr>
          <w:rFonts w:eastAsia="Times New Roman" w:cs="Arial"/>
          <w:snapToGrid w:val="0"/>
          <w:szCs w:val="24"/>
        </w:rPr>
        <w:t>ing</w:t>
      </w:r>
      <w:r w:rsidRPr="00D72FE0">
        <w:rPr>
          <w:rFonts w:eastAsia="Times New Roman" w:cs="Arial"/>
          <w:snapToGrid w:val="0"/>
          <w:szCs w:val="24"/>
        </w:rPr>
        <w:t xml:space="preserve"> a Prescriber Instruction that instructs prescribers to request the appropriate quantity </w:t>
      </w:r>
      <w:r w:rsidR="003D6B40">
        <w:rPr>
          <w:rFonts w:eastAsia="Times New Roman" w:cs="Arial"/>
          <w:snapToGrid w:val="0"/>
          <w:szCs w:val="24"/>
        </w:rPr>
        <w:t>sufficient for 4 weeks</w:t>
      </w:r>
      <w:r w:rsidRPr="00D72FE0">
        <w:rPr>
          <w:rFonts w:eastAsia="Times New Roman" w:cs="Arial"/>
          <w:snapToGrid w:val="0"/>
          <w:szCs w:val="24"/>
        </w:rPr>
        <w:t xml:space="preserve"> based on the patient’s weight</w:t>
      </w:r>
      <w:r w:rsidR="00C96199">
        <w:rPr>
          <w:rFonts w:eastAsia="Times New Roman" w:cs="Arial"/>
          <w:snapToGrid w:val="0"/>
          <w:szCs w:val="24"/>
        </w:rPr>
        <w:t xml:space="preserve"> </w:t>
      </w:r>
      <w:r w:rsidR="00807FBF">
        <w:rPr>
          <w:rFonts w:eastAsia="Times New Roman" w:cs="Arial"/>
          <w:snapToGrid w:val="0"/>
          <w:szCs w:val="24"/>
        </w:rPr>
        <w:t xml:space="preserve">was </w:t>
      </w:r>
      <w:r w:rsidR="00C96199">
        <w:rPr>
          <w:rFonts w:eastAsia="Times New Roman" w:cs="Arial"/>
          <w:snapToGrid w:val="0"/>
          <w:szCs w:val="24"/>
        </w:rPr>
        <w:t>suggested</w:t>
      </w:r>
      <w:r w:rsidR="0002199E">
        <w:rPr>
          <w:rFonts w:eastAsia="Times New Roman" w:cs="Arial"/>
          <w:snapToGrid w:val="0"/>
          <w:szCs w:val="24"/>
        </w:rPr>
        <w:t xml:space="preserve"> (as shown in the proposed listing)</w:t>
      </w:r>
      <w:r w:rsidRPr="00D72FE0">
        <w:rPr>
          <w:rFonts w:eastAsia="Times New Roman" w:cs="Arial"/>
          <w:snapToGrid w:val="0"/>
          <w:szCs w:val="24"/>
        </w:rPr>
        <w:t xml:space="preserve">. </w:t>
      </w:r>
    </w:p>
    <w:p w14:paraId="2CC205D7" w14:textId="0F5A1052" w:rsidR="007E47BA" w:rsidRPr="002B71AB" w:rsidRDefault="007E47BA" w:rsidP="009D09F4">
      <w:pPr>
        <w:pStyle w:val="ExecSumBodyText"/>
        <w:numPr>
          <w:ilvl w:val="1"/>
          <w:numId w:val="1"/>
        </w:numPr>
      </w:pPr>
      <w:r w:rsidRPr="008E5EB5">
        <w:t xml:space="preserve">The submission stated that </w:t>
      </w:r>
      <w:r w:rsidRPr="002B71AB">
        <w:t xml:space="preserve">pegunigalsidase alfa is not interchangeable with other </w:t>
      </w:r>
      <w:r w:rsidR="007902B5">
        <w:br/>
      </w:r>
      <w:r w:rsidRPr="002B71AB">
        <w:t>PBS-listed or LSDP-listed medicines. This appears to contradict the rationale provided to justify the nomination of</w:t>
      </w:r>
      <w:r w:rsidR="4C31F3B4" w:rsidRPr="002B71AB">
        <w:t xml:space="preserve"> the LSDP listed medicines,</w:t>
      </w:r>
      <w:r w:rsidRPr="002B71AB">
        <w:t xml:space="preserve"> agalsidase alfa and agalsidase beta</w:t>
      </w:r>
      <w:r w:rsidR="266231B3" w:rsidRPr="002B71AB">
        <w:t>,</w:t>
      </w:r>
      <w:r w:rsidRPr="002B71AB">
        <w:t xml:space="preserve"> as comparators (see para</w:t>
      </w:r>
      <w:r w:rsidR="00DD1291" w:rsidRPr="002B71AB">
        <w:t>graph</w:t>
      </w:r>
      <w:r w:rsidRPr="002B71AB">
        <w:t xml:space="preserve"> </w:t>
      </w:r>
      <w:r w:rsidRPr="002B71AB">
        <w:fldChar w:fldCharType="begin" w:fldLock="1"/>
      </w:r>
      <w:r w:rsidRPr="002B71AB">
        <w:instrText xml:space="preserve"> REF _Ref195515515 \n \h  \* MERGEFORMAT </w:instrText>
      </w:r>
      <w:r w:rsidRPr="002B71AB">
        <w:fldChar w:fldCharType="separate"/>
      </w:r>
      <w:r w:rsidR="00881387">
        <w:t>5.1</w:t>
      </w:r>
      <w:r w:rsidRPr="002B71AB">
        <w:fldChar w:fldCharType="end"/>
      </w:r>
      <w:r w:rsidRPr="002B71AB">
        <w:t xml:space="preserve">). </w:t>
      </w:r>
      <w:r w:rsidR="00DD1291" w:rsidRPr="002B71AB">
        <w:t>ERTs have a similar pharmacological action</w:t>
      </w:r>
      <w:r w:rsidRPr="002B71AB">
        <w:t xml:space="preserve">. </w:t>
      </w:r>
    </w:p>
    <w:p w14:paraId="2A66D336" w14:textId="2D39923B" w:rsidR="007E47BA" w:rsidRPr="003B13EC" w:rsidRDefault="007E47BA" w:rsidP="009D09F4">
      <w:pPr>
        <w:pStyle w:val="3-BodyText"/>
        <w:rPr>
          <w:rFonts w:eastAsia="Times New Roman" w:cs="Arial"/>
          <w:snapToGrid w:val="0"/>
          <w:szCs w:val="24"/>
        </w:rPr>
      </w:pPr>
      <w:r w:rsidRPr="003B13EC">
        <w:rPr>
          <w:rFonts w:eastAsia="Times New Roman" w:cs="Arial"/>
          <w:snapToGrid w:val="0"/>
          <w:szCs w:val="24"/>
        </w:rPr>
        <w:t>The proposed PBS restrictions for pegunigalsidase alfa are broadly in line with the patient eligibility criteria detailed in the LSDP treatment guideline for FD</w:t>
      </w:r>
      <w:r w:rsidR="00226139" w:rsidRPr="003B13EC">
        <w:rPr>
          <w:rFonts w:eastAsia="Times New Roman" w:cs="Arial"/>
          <w:snapToGrid w:val="0"/>
          <w:szCs w:val="24"/>
        </w:rPr>
        <w:t>.</w:t>
      </w:r>
      <w:r w:rsidRPr="003B13EC">
        <w:rPr>
          <w:rStyle w:val="FootnoteReference"/>
          <w:rFonts w:eastAsia="Times New Roman" w:cs="Arial"/>
          <w:snapToGrid w:val="0"/>
          <w:szCs w:val="24"/>
        </w:rPr>
        <w:footnoteReference w:id="2"/>
      </w:r>
      <w:r w:rsidRPr="003B13EC">
        <w:rPr>
          <w:rFonts w:eastAsia="Times New Roman" w:cs="Arial"/>
          <w:snapToGrid w:val="0"/>
          <w:szCs w:val="24"/>
        </w:rPr>
        <w:t xml:space="preserve"> Three of the</w:t>
      </w:r>
      <w:r w:rsidRPr="00FB7FE2">
        <w:rPr>
          <w:rFonts w:eastAsia="Times New Roman" w:cs="Arial"/>
          <w:i/>
          <w:iCs/>
          <w:snapToGrid w:val="0"/>
          <w:szCs w:val="24"/>
        </w:rPr>
        <w:t xml:space="preserve"> </w:t>
      </w:r>
      <w:r w:rsidRPr="003B13EC">
        <w:rPr>
          <w:rFonts w:eastAsia="Times New Roman" w:cs="Arial"/>
          <w:snapToGrid w:val="0"/>
          <w:szCs w:val="24"/>
        </w:rPr>
        <w:t>clinical criteria included in the proposed PBS restriction for initiating treatment are not included in the eligibility requirements of the LSDP guideline but are consistent with the migalastat PBS restriction:</w:t>
      </w:r>
    </w:p>
    <w:p w14:paraId="45C18ABF" w14:textId="17B8F6C9" w:rsidR="007E47BA" w:rsidRPr="003B13EC" w:rsidRDefault="007E47BA" w:rsidP="00BC70B7">
      <w:pPr>
        <w:pStyle w:val="ListParagraph"/>
        <w:ind w:left="1080"/>
        <w:jc w:val="both"/>
      </w:pPr>
      <w:r w:rsidRPr="003B13EC">
        <w:t>Patient must have an estimated glomerular filtration rate (eGFR) of at least 30</w:t>
      </w:r>
      <w:r w:rsidR="004D1B12" w:rsidRPr="003B13EC">
        <w:t> </w:t>
      </w:r>
      <w:r w:rsidRPr="003B13EC">
        <w:t>mL/min/1.73 m²</w:t>
      </w:r>
      <w:r w:rsidR="00904A85">
        <w:t xml:space="preserve"> (t</w:t>
      </w:r>
      <w:r w:rsidR="00904A85" w:rsidRPr="00904A85">
        <w:t>he PI for pegunigalsidase alfa states that no dose adjustment is needed in patients with renal or hepatic impairment</w:t>
      </w:r>
      <w:r w:rsidR="00904A85">
        <w:t>)</w:t>
      </w:r>
      <w:r w:rsidRPr="003B13EC">
        <w:t>.</w:t>
      </w:r>
    </w:p>
    <w:p w14:paraId="2CF489D8" w14:textId="77777777" w:rsidR="007E47BA" w:rsidRPr="003B13EC" w:rsidRDefault="007E47BA" w:rsidP="00BC70B7">
      <w:pPr>
        <w:pStyle w:val="ListParagraph"/>
        <w:ind w:left="1080"/>
        <w:jc w:val="both"/>
      </w:pPr>
      <w:r w:rsidRPr="003B13EC">
        <w:t>Patient must have Fabry-related cerebrovascular disease as shown on objective testing with no other cause or risk factors identified.</w:t>
      </w:r>
    </w:p>
    <w:p w14:paraId="3C58EFBF" w14:textId="77777777" w:rsidR="007E47BA" w:rsidRDefault="007E47BA" w:rsidP="00BC70B7">
      <w:pPr>
        <w:pStyle w:val="ListParagraph"/>
        <w:ind w:left="1080"/>
        <w:jc w:val="both"/>
      </w:pPr>
      <w:r w:rsidRPr="003B13EC">
        <w:t>Patient must have significant Fabry-related gastrointestinal symptoms despite the use of the recommended doses of appropriate pharmacological therapies.</w:t>
      </w:r>
    </w:p>
    <w:p w14:paraId="2C96D177" w14:textId="1E617BDF" w:rsidR="0002199E" w:rsidRDefault="0002199E" w:rsidP="00BC70B7">
      <w:pPr>
        <w:pStyle w:val="ListParagraph"/>
        <w:ind w:left="1080"/>
        <w:jc w:val="both"/>
      </w:pPr>
      <w:r w:rsidRPr="0002199E">
        <w:t>Patient must have Fabry-related cardiac disease confirmed by at least one of the following: (i) left ventricular hypertrophy, as evidenced by cardiac magnetic resonance imaging (MRI) or echocardiogram data, in the absence of hypertension, (ii) significant life-threatening arrhythmia or conduction defect’</w:t>
      </w:r>
      <w:r w:rsidR="00497462">
        <w:t xml:space="preserve">. </w:t>
      </w:r>
      <w:r w:rsidR="005A46A1">
        <w:t>The current PBS listing for migalastat includes also include the third option</w:t>
      </w:r>
      <w:r>
        <w:t xml:space="preserve"> </w:t>
      </w:r>
      <w:r w:rsidR="005A46A1">
        <w:t>‘</w:t>
      </w:r>
      <w:r>
        <w:t>(iii)</w:t>
      </w:r>
      <w:r w:rsidRPr="0002199E">
        <w:t xml:space="preserve"> late gadolinium enhancement or a low T1 on cardiac MRI’.</w:t>
      </w:r>
    </w:p>
    <w:p w14:paraId="3AF248C8" w14:textId="22C9E331" w:rsidR="007E47BA" w:rsidRPr="003B13EC" w:rsidRDefault="007E47BA" w:rsidP="009D09F4">
      <w:pPr>
        <w:pStyle w:val="ExecSumBodyText"/>
        <w:numPr>
          <w:ilvl w:val="1"/>
          <w:numId w:val="1"/>
        </w:numPr>
      </w:pPr>
      <w:r w:rsidRPr="003B13EC">
        <w:t xml:space="preserve">The requested restrictions are narrower than the indication in </w:t>
      </w:r>
      <w:r w:rsidR="00D72FE0">
        <w:t>the TGA-approved</w:t>
      </w:r>
      <w:r w:rsidR="00470591">
        <w:t xml:space="preserve"> </w:t>
      </w:r>
      <w:r w:rsidRPr="003B13EC">
        <w:t xml:space="preserve">PI, which does not restrict to patients with end-organ damage. The targeted patient population is not consistent with the patient population of the BALANCE trial which </w:t>
      </w:r>
      <w:r w:rsidR="007902B5">
        <w:br/>
      </w:r>
      <w:r w:rsidRPr="003B13EC">
        <w:t xml:space="preserve">(i) did not restrict eligibility to patients with end-organ damage as is proposed for </w:t>
      </w:r>
      <w:r w:rsidRPr="003B13EC">
        <w:lastRenderedPageBreak/>
        <w:t>pegunigalsidase alfa, and (ii) included treatment experienced patients (see para</w:t>
      </w:r>
      <w:r w:rsidR="000A38C0" w:rsidRPr="003B13EC">
        <w:t>graph</w:t>
      </w:r>
      <w:r w:rsidR="008F3B22" w:rsidRPr="003B13EC">
        <w:t> </w:t>
      </w:r>
      <w:r w:rsidR="008D1496" w:rsidRPr="003B13EC">
        <w:fldChar w:fldCharType="begin" w:fldLock="1"/>
      </w:r>
      <w:r w:rsidR="008D1496" w:rsidRPr="003B13EC">
        <w:instrText xml:space="preserve"> REF _Ref197015822 \n \h </w:instrText>
      </w:r>
      <w:r w:rsidR="003B13EC">
        <w:instrText xml:space="preserve"> \* MERGEFORMAT </w:instrText>
      </w:r>
      <w:r w:rsidR="008D1496" w:rsidRPr="003B13EC">
        <w:fldChar w:fldCharType="separate"/>
      </w:r>
      <w:r w:rsidR="00881387">
        <w:t>6.10</w:t>
      </w:r>
      <w:r w:rsidR="008D1496" w:rsidRPr="003B13EC">
        <w:fldChar w:fldCharType="end"/>
      </w:r>
      <w:r w:rsidRPr="003B13EC">
        <w:t>).</w:t>
      </w:r>
      <w:r w:rsidR="0082311D" w:rsidRPr="003B13EC">
        <w:t xml:space="preserve"> The submission stated that the sponsor does not propose to extend the listing to patients with classical FD without evidence of end organ involvement/inju</w:t>
      </w:r>
      <w:r w:rsidR="00A1118D" w:rsidRPr="003B13EC">
        <w:t>r</w:t>
      </w:r>
      <w:r w:rsidR="0082311D" w:rsidRPr="003B13EC">
        <w:t>y.</w:t>
      </w:r>
    </w:p>
    <w:p w14:paraId="7BDEE4B0" w14:textId="7EC517A4" w:rsidR="007E47BA" w:rsidRDefault="007E47BA" w:rsidP="009D09F4">
      <w:pPr>
        <w:pStyle w:val="ExecSumBodyText"/>
        <w:numPr>
          <w:ilvl w:val="1"/>
          <w:numId w:val="1"/>
        </w:numPr>
      </w:pPr>
      <w:r>
        <w:t xml:space="preserve">The submission also requested a PBS restriction for </w:t>
      </w:r>
      <w:r w:rsidR="001737FB">
        <w:t>G</w:t>
      </w:r>
      <w:r>
        <w:t xml:space="preserve">randfathered patients who are electing treatment with pegunigalsidase alfa and are currently on or transitioned to a different drug through the LSDP. These patients are required to remain on the same drug for a period of at least 12 months, unless there is objective clinical evidence of ongoing clinical deterioration or significant adverse reactions (submission). </w:t>
      </w:r>
      <w:r w:rsidRPr="003B13EC">
        <w:t xml:space="preserve">The requested </w:t>
      </w:r>
      <w:r w:rsidR="00030764" w:rsidRPr="003B13EC">
        <w:t>G</w:t>
      </w:r>
      <w:r w:rsidR="005E1C7B" w:rsidRPr="003B13EC">
        <w:t xml:space="preserve">randfather </w:t>
      </w:r>
      <w:r w:rsidRPr="003B13EC">
        <w:t>restriction did not stipulate the 12-month criterion</w:t>
      </w:r>
      <w:r w:rsidR="00C64DA4" w:rsidRPr="003B13EC">
        <w:t>.</w:t>
      </w:r>
      <w:r w:rsidRPr="003B13EC">
        <w:t xml:space="preserve"> Given the claim of non-inferiority and that there is no evidence to support a clinical advantage of treatment with pegunigalsidase alfa over </w:t>
      </w:r>
      <w:r w:rsidR="00C64DA4" w:rsidRPr="003B13EC">
        <w:t xml:space="preserve">other </w:t>
      </w:r>
      <w:r w:rsidRPr="003B13EC">
        <w:t>ERTs, it is unclear how many patients would be electing to switch over from ERTs, with the switch being based on patient and/or clinician preference.</w:t>
      </w:r>
      <w:r w:rsidR="00F47EE9" w:rsidRPr="00F47EE9">
        <w:t xml:space="preserve"> The Secretariat has suggested the inclusion of a Population Criterion and Prescriber Instruction that limits access to the GF treatment phase to once only, in line with the GF listing on the PBS for migalastat.</w:t>
      </w:r>
    </w:p>
    <w:p w14:paraId="401E9EF4" w14:textId="4A0BF940" w:rsidR="008228D5" w:rsidRDefault="00480AA7" w:rsidP="009D09F4">
      <w:pPr>
        <w:pStyle w:val="ExecSumBodyText"/>
        <w:numPr>
          <w:ilvl w:val="1"/>
          <w:numId w:val="1"/>
        </w:numPr>
      </w:pPr>
      <w:r>
        <w:t>In</w:t>
      </w:r>
      <w:r w:rsidR="008228D5" w:rsidRPr="008228D5">
        <w:t xml:space="preserve"> its March 2024 consideration of migalastat, the PBAC noted the grandfathering restriction may need to be retained for longer than the standard timeframe of 12</w:t>
      </w:r>
      <w:r w:rsidR="006150BC">
        <w:t> </w:t>
      </w:r>
      <w:r w:rsidR="008228D5" w:rsidRPr="008228D5">
        <w:t xml:space="preserve">months, depending on the transition of other treatments for FD to the PBS (paragraph 7.4 migalastat public summary document, May 2024 PBAC meeting). </w:t>
      </w:r>
    </w:p>
    <w:p w14:paraId="1CCEC8D6" w14:textId="50AE108A" w:rsidR="00F358F5" w:rsidRPr="00C6691D" w:rsidRDefault="00F358F5" w:rsidP="009D09F4">
      <w:pPr>
        <w:pStyle w:val="ExecSumBodyText"/>
        <w:numPr>
          <w:ilvl w:val="1"/>
          <w:numId w:val="1"/>
        </w:numPr>
      </w:pPr>
      <w:r w:rsidRPr="00D2098F">
        <w:rPr>
          <w:rFonts w:cs="Calibri"/>
          <w:iCs/>
          <w:lang w:eastAsia="en-GB"/>
        </w:rPr>
        <w:t>The submission requested the following clinical criterion in the GF restriction: ‘Patient must have demonstrated clinical improvement or stabilisation of condition, the details of which must be kept with the patient’s record’. This criterion is not included in the GF restriction for migalastat. The intent of the pegunigalsidase alfa GF restriction is to allow patients who are using LSDP funded ERT therapies (i.e., agalsidase alfa and agalsidase beta) to access pegunigalsidase alfa through the PBS.</w:t>
      </w:r>
    </w:p>
    <w:p w14:paraId="37F4F9B3" w14:textId="07E4A0A6" w:rsidR="00E7106F" w:rsidRDefault="00E7106F" w:rsidP="00E7106F">
      <w:pPr>
        <w:pStyle w:val="3-BodyText"/>
        <w:rPr>
          <w:rFonts w:eastAsia="Times New Roman" w:cs="Arial"/>
          <w:snapToGrid w:val="0"/>
          <w:szCs w:val="24"/>
        </w:rPr>
      </w:pPr>
      <w:r w:rsidRPr="00E7106F">
        <w:rPr>
          <w:rFonts w:eastAsia="Times New Roman" w:cs="Arial"/>
          <w:snapToGrid w:val="0"/>
          <w:szCs w:val="24"/>
        </w:rPr>
        <w:t xml:space="preserve">The submission did not propose any flow-on changes to PBS-listed medicines. </w:t>
      </w:r>
      <w:r w:rsidR="00AC6061">
        <w:rPr>
          <w:rFonts w:eastAsia="Times New Roman" w:cs="Arial"/>
          <w:snapToGrid w:val="0"/>
          <w:szCs w:val="24"/>
        </w:rPr>
        <w:t>T</w:t>
      </w:r>
      <w:r w:rsidRPr="00E7106F">
        <w:rPr>
          <w:rFonts w:eastAsia="Times New Roman" w:cs="Arial"/>
          <w:snapToGrid w:val="0"/>
          <w:szCs w:val="24"/>
        </w:rPr>
        <w:t xml:space="preserve">he following changes to the migalastat PBS-listing and requested listing for pegunigalsidase alfa </w:t>
      </w:r>
      <w:r w:rsidR="005E7100">
        <w:rPr>
          <w:rFonts w:eastAsia="Times New Roman" w:cs="Arial"/>
          <w:snapToGrid w:val="0"/>
          <w:szCs w:val="24"/>
        </w:rPr>
        <w:t>were proposed:</w:t>
      </w:r>
    </w:p>
    <w:p w14:paraId="5E20D00B" w14:textId="49FF4970" w:rsidR="00E7106F" w:rsidRPr="00E7106F" w:rsidRDefault="00E7106F" w:rsidP="00372B81">
      <w:pPr>
        <w:pStyle w:val="3-BodyText"/>
        <w:numPr>
          <w:ilvl w:val="0"/>
          <w:numId w:val="11"/>
        </w:numPr>
        <w:rPr>
          <w:rFonts w:eastAsia="Times New Roman" w:cs="Arial"/>
          <w:snapToGrid w:val="0"/>
          <w:szCs w:val="24"/>
        </w:rPr>
      </w:pPr>
      <w:r w:rsidRPr="00E7106F">
        <w:rPr>
          <w:snapToGrid w:val="0"/>
        </w:rPr>
        <w:t xml:space="preserve">Addition of the clinical criterion ‘the treatment must be the sole PBS subsidised therapy for this condition’ (to prevent concomitant use of FD therapies). </w:t>
      </w:r>
    </w:p>
    <w:p w14:paraId="046BAC59" w14:textId="70358E4E" w:rsidR="00C6691D" w:rsidRPr="00AC6061" w:rsidRDefault="00F15ADA" w:rsidP="00372B81">
      <w:pPr>
        <w:pStyle w:val="3-BodyText"/>
        <w:numPr>
          <w:ilvl w:val="0"/>
          <w:numId w:val="11"/>
        </w:numPr>
        <w:rPr>
          <w:rFonts w:eastAsia="Times New Roman" w:cs="Arial"/>
          <w:snapToGrid w:val="0"/>
          <w:szCs w:val="24"/>
        </w:rPr>
      </w:pPr>
      <w:r>
        <w:rPr>
          <w:snapToGrid w:val="0"/>
        </w:rPr>
        <w:t>A</w:t>
      </w:r>
      <w:r w:rsidR="00E7106F" w:rsidRPr="00E7106F">
        <w:rPr>
          <w:snapToGrid w:val="0"/>
        </w:rPr>
        <w:t>ddition of a new treatment phase with specific criteria that allows switching from pegunigalsidase alfa to migalastat and vice versa.</w:t>
      </w:r>
    </w:p>
    <w:p w14:paraId="6A7B55CA" w14:textId="7F1B70D4" w:rsidR="00B17BA5" w:rsidRPr="00B17BA5" w:rsidRDefault="00B17BA5" w:rsidP="00B17BA5">
      <w:pPr>
        <w:pStyle w:val="ExecSumBodyText"/>
        <w:ind w:firstLine="0"/>
        <w:rPr>
          <w:i/>
          <w:iCs/>
        </w:rPr>
      </w:pPr>
      <w:r w:rsidRPr="00B17BA5">
        <w:rPr>
          <w:i/>
          <w:iCs/>
        </w:rPr>
        <w:t>For more detail on PBAC’s view, see section 7 PBAC outcome.</w:t>
      </w:r>
    </w:p>
    <w:p w14:paraId="61743967" w14:textId="77777777" w:rsidR="007902B5" w:rsidRDefault="007902B5">
      <w:pPr>
        <w:jc w:val="left"/>
        <w:rPr>
          <w:rFonts w:asciiTheme="minorHAnsi" w:hAnsiTheme="minorHAnsi"/>
          <w:i/>
          <w:iCs/>
          <w:snapToGrid w:val="0"/>
        </w:rPr>
      </w:pPr>
      <w:r>
        <w:rPr>
          <w:i/>
          <w:iCs/>
        </w:rPr>
        <w:br w:type="page"/>
      </w:r>
    </w:p>
    <w:p w14:paraId="7075B85C" w14:textId="62A47B7B" w:rsidR="00B50DB8" w:rsidRPr="0098262F" w:rsidDel="00195452" w:rsidRDefault="00203181" w:rsidP="009D09F4">
      <w:pPr>
        <w:pStyle w:val="2-SectionHeading"/>
        <w:keepNext w:val="0"/>
      </w:pPr>
      <w:bookmarkStart w:id="11" w:name="_Toc198734214"/>
      <w:r w:rsidRPr="0098262F" w:rsidDel="00195452">
        <w:lastRenderedPageBreak/>
        <w:t xml:space="preserve">Population and </w:t>
      </w:r>
      <w:r w:rsidR="008E0D3C" w:rsidRPr="0098262F" w:rsidDel="00195452">
        <w:t>d</w:t>
      </w:r>
      <w:r w:rsidRPr="0098262F" w:rsidDel="00195452">
        <w:t>isease</w:t>
      </w:r>
      <w:bookmarkEnd w:id="11"/>
    </w:p>
    <w:p w14:paraId="0E71700D" w14:textId="5A9C2F24" w:rsidR="003C0A32" w:rsidRDefault="003C0A32" w:rsidP="009D09F4">
      <w:pPr>
        <w:pStyle w:val="3-BodyText"/>
      </w:pPr>
      <w:r w:rsidRPr="003D60A0">
        <w:t xml:space="preserve">FD is a progressive, X-linked lysosomal storage disorder caused by a deficiency of the lysosomal enzyme α-galactosidase A (α-GAL A), due to a mutation in the galactosidase alpha (α-GAL) gene. This deficiency leads to progressive accumulation of glycolipids (mainly </w:t>
      </w:r>
      <w:proofErr w:type="spellStart"/>
      <w:r w:rsidRPr="003D60A0">
        <w:t>globotriaosylceramide</w:t>
      </w:r>
      <w:proofErr w:type="spellEnd"/>
      <w:r w:rsidRPr="003D60A0">
        <w:t xml:space="preserve"> [Gb3] and globotriaosylsphingosine [lyso-Gb3]) in the plasma and lysosomes of cells</w:t>
      </w:r>
      <w:r>
        <w:rPr>
          <w:rStyle w:val="FootnoteReference"/>
        </w:rPr>
        <w:footnoteReference w:id="3"/>
      </w:r>
      <w:r>
        <w:rPr>
          <w:vertAlign w:val="superscript"/>
        </w:rPr>
        <w:t>,</w:t>
      </w:r>
      <w:r>
        <w:rPr>
          <w:rStyle w:val="FootnoteReference"/>
        </w:rPr>
        <w:footnoteReference w:id="4"/>
      </w:r>
      <w:r>
        <w:rPr>
          <w:vertAlign w:val="superscript"/>
        </w:rPr>
        <w:t>,</w:t>
      </w:r>
      <w:r>
        <w:rPr>
          <w:rStyle w:val="FootnoteReference"/>
        </w:rPr>
        <w:footnoteReference w:id="5"/>
      </w:r>
      <w:r>
        <w:rPr>
          <w:vertAlign w:val="superscript"/>
        </w:rPr>
        <w:t>,</w:t>
      </w:r>
      <w:r>
        <w:rPr>
          <w:rStyle w:val="FootnoteReference"/>
        </w:rPr>
        <w:footnoteReference w:id="6"/>
      </w:r>
      <w:r w:rsidRPr="003D60A0">
        <w:t>, disrupting metabolic processes and inducing cell death</w:t>
      </w:r>
      <w:r w:rsidR="002F65BA">
        <w:t>,</w:t>
      </w:r>
      <w:r w:rsidRPr="003D60A0">
        <w:t xml:space="preserve"> ultimately resulting in progressive vital organ dysfunction and a reduced life expectancy.</w:t>
      </w:r>
    </w:p>
    <w:p w14:paraId="30E45DFE" w14:textId="545DD492" w:rsidR="003C0A32" w:rsidRDefault="003C0A32" w:rsidP="009D09F4">
      <w:pPr>
        <w:pStyle w:val="3-BodyText"/>
      </w:pPr>
      <w:r w:rsidRPr="007D1C60">
        <w:t>The clinical manifestations of FD are diverse, encompassing renal dysfunction, cardiovascular issues, neuropathic pain, cerebrovascular disease, gastrointestinal issues, angiokeratomas and hypohidrosis</w:t>
      </w:r>
      <w:r w:rsidR="007A5ABB">
        <w:t>.</w:t>
      </w:r>
      <w:r>
        <w:rPr>
          <w:vertAlign w:val="superscript"/>
        </w:rPr>
        <w:t>3,4,5,6</w:t>
      </w:r>
      <w:r w:rsidR="007A5ABB">
        <w:t xml:space="preserve"> </w:t>
      </w:r>
      <w:r w:rsidRPr="007D1C60">
        <w:t xml:space="preserve">Given the multisystemic nature of the disease, symptoms can be diverse and vary in severity with a number of symptoms, such as neuropathic pain and gastrointestinal issues, significantly impacting patients’ </w:t>
      </w:r>
      <w:r>
        <w:t>quality of life (</w:t>
      </w:r>
      <w:r w:rsidRPr="007D1C60">
        <w:t>QoL</w:t>
      </w:r>
      <w:r>
        <w:t>)</w:t>
      </w:r>
      <w:r w:rsidR="00CD10C8">
        <w:t>.</w:t>
      </w:r>
      <w:r>
        <w:rPr>
          <w:rStyle w:val="FootnoteReference"/>
        </w:rPr>
        <w:footnoteReference w:id="7"/>
      </w:r>
      <w:r>
        <w:rPr>
          <w:vertAlign w:val="superscript"/>
        </w:rPr>
        <w:t>,</w:t>
      </w:r>
      <w:r>
        <w:rPr>
          <w:rStyle w:val="FootnoteReference"/>
        </w:rPr>
        <w:footnoteReference w:id="8"/>
      </w:r>
      <w:r>
        <w:rPr>
          <w:vertAlign w:val="superscript"/>
        </w:rPr>
        <w:t>,</w:t>
      </w:r>
      <w:r>
        <w:rPr>
          <w:rStyle w:val="FootnoteReference"/>
        </w:rPr>
        <w:footnoteReference w:id="9"/>
      </w:r>
      <w:r>
        <w:rPr>
          <w:vertAlign w:val="superscript"/>
        </w:rPr>
        <w:t>,</w:t>
      </w:r>
      <w:r>
        <w:rPr>
          <w:rStyle w:val="FootnoteReference"/>
        </w:rPr>
        <w:footnoteReference w:id="10"/>
      </w:r>
      <w:r>
        <w:rPr>
          <w:vertAlign w:val="superscript"/>
        </w:rPr>
        <w:t>,</w:t>
      </w:r>
      <w:r>
        <w:rPr>
          <w:rStyle w:val="FootnoteReference"/>
        </w:rPr>
        <w:footnoteReference w:id="11"/>
      </w:r>
    </w:p>
    <w:p w14:paraId="43F6A6C0" w14:textId="41455914" w:rsidR="003C0A32" w:rsidRDefault="003C0A32" w:rsidP="009D09F4">
      <w:pPr>
        <w:pStyle w:val="3-BodyText"/>
      </w:pPr>
      <w:r w:rsidRPr="004B2AB2">
        <w:t xml:space="preserve">The severity of FD is dependent on the extent of α-GAL A deficiency, with FD classified into two subtypes defined by α-GAL </w:t>
      </w:r>
      <w:proofErr w:type="spellStart"/>
      <w:r w:rsidRPr="004B2AB2">
        <w:t>A</w:t>
      </w:r>
      <w:proofErr w:type="spellEnd"/>
      <w:r w:rsidRPr="004B2AB2">
        <w:t xml:space="preserve"> enzyme levels – classic FD</w:t>
      </w:r>
      <w:r>
        <w:t xml:space="preserve"> </w:t>
      </w:r>
      <w:r w:rsidRPr="004B2AB2">
        <w:t xml:space="preserve">and late onset FD. Classic FD is characterised by complete (or near-complete) absence of α-GAL </w:t>
      </w:r>
      <w:proofErr w:type="spellStart"/>
      <w:r w:rsidRPr="004B2AB2">
        <w:t>A</w:t>
      </w:r>
      <w:proofErr w:type="spellEnd"/>
      <w:r w:rsidRPr="004B2AB2">
        <w:t xml:space="preserve"> enzyme levels and early multisystem involve</w:t>
      </w:r>
      <w:r>
        <w:t>ment</w:t>
      </w:r>
      <w:r w:rsidRPr="004B2AB2">
        <w:t>, with patients typically presenting with early-onset pain and rash. Late onset FD is associated with residual α-GAL A activity and exhibits slower progression, delayed symptom onset and more limited organ involvement</w:t>
      </w:r>
      <w:r w:rsidR="00FD01C3">
        <w:t>.</w:t>
      </w:r>
      <w:r>
        <w:rPr>
          <w:rStyle w:val="FootnoteReference"/>
        </w:rPr>
        <w:footnoteReference w:id="12"/>
      </w:r>
      <w:r>
        <w:t xml:space="preserve"> Approximately 30% of FD patients in Australia present with </w:t>
      </w:r>
      <w:r>
        <w:lastRenderedPageBreak/>
        <w:t>symptoms of end-organ damage, with the majority (approximately 85%) of these eligible patients accessing treatment through the LSDP.</w:t>
      </w:r>
      <w:r w:rsidR="00136B45">
        <w:rPr>
          <w:rStyle w:val="FootnoteReference"/>
        </w:rPr>
        <w:footnoteReference w:id="13"/>
      </w:r>
    </w:p>
    <w:p w14:paraId="6867E68B" w14:textId="14F81AD8" w:rsidR="003C0A32" w:rsidRDefault="003C0A32" w:rsidP="009D09F4">
      <w:pPr>
        <w:pStyle w:val="3-BodyText"/>
      </w:pPr>
      <w:r w:rsidRPr="00827BE1">
        <w:t>In the absence of a cure, treatment of FD is centred around symptom management and halting disease progression.</w:t>
      </w:r>
      <w:r w:rsidR="00DC33C7">
        <w:rPr>
          <w:rStyle w:val="FootnoteReference"/>
        </w:rPr>
        <w:footnoteReference w:id="14"/>
      </w:r>
      <w:r w:rsidRPr="00827BE1">
        <w:t xml:space="preserve"> ERTs (agalsidase alfa and agalsidase beta) and oral chaperone therapies (OCTs) (migalastat) are currently available </w:t>
      </w:r>
      <w:r>
        <w:t>treatment</w:t>
      </w:r>
      <w:r w:rsidR="00BA098B">
        <w:t>s</w:t>
      </w:r>
      <w:r>
        <w:t xml:space="preserve"> </w:t>
      </w:r>
      <w:r w:rsidRPr="00827BE1">
        <w:t>in Australia, with migalastat indicated for FD patients with an amenable mutation.</w:t>
      </w:r>
      <w:r>
        <w:t xml:space="preserve"> </w:t>
      </w:r>
    </w:p>
    <w:p w14:paraId="528A39E5" w14:textId="7838E965" w:rsidR="00B17BA5" w:rsidRPr="00B17BA5" w:rsidRDefault="00B17BA5" w:rsidP="00B17BA5">
      <w:pPr>
        <w:pStyle w:val="3-BodyText"/>
        <w:numPr>
          <w:ilvl w:val="0"/>
          <w:numId w:val="0"/>
        </w:numPr>
        <w:ind w:left="720"/>
        <w:rPr>
          <w:i/>
          <w:iCs/>
        </w:rPr>
      </w:pPr>
      <w:r w:rsidRPr="00B17BA5">
        <w:rPr>
          <w:i/>
          <w:iCs/>
        </w:rPr>
        <w:t>For more detail on PBAC’s view, see section 7 PBAC outcome.</w:t>
      </w:r>
    </w:p>
    <w:p w14:paraId="51E5AE96" w14:textId="136A63B1" w:rsidR="00B50DB8" w:rsidRPr="0098262F" w:rsidRDefault="00B50DB8" w:rsidP="00BC70B7">
      <w:pPr>
        <w:pStyle w:val="2-SectionHeading"/>
        <w:keepLines/>
      </w:pPr>
      <w:bookmarkStart w:id="12" w:name="_Toc198734215"/>
      <w:r w:rsidRPr="0098262F">
        <w:t>Comparator</w:t>
      </w:r>
      <w:bookmarkEnd w:id="12"/>
    </w:p>
    <w:p w14:paraId="22C95EFF" w14:textId="51F9FC23" w:rsidR="003C7007" w:rsidRPr="003B012E" w:rsidRDefault="003C7007" w:rsidP="00BC70B7">
      <w:pPr>
        <w:pStyle w:val="3-BodyText"/>
        <w:keepNext/>
        <w:keepLines/>
      </w:pPr>
      <w:bookmarkStart w:id="13" w:name="_Ref195515515"/>
      <w:bookmarkStart w:id="14" w:name="_Toc22897640"/>
      <w:r>
        <w:rPr>
          <w:bCs/>
          <w:iCs/>
        </w:rPr>
        <w:t xml:space="preserve">The submission nominated agalsidase alfa and agalsidase beta as the main comparators as they are (i) of the same pharmacological class, </w:t>
      </w:r>
      <w:r w:rsidR="00BE0F3B">
        <w:rPr>
          <w:bCs/>
          <w:iCs/>
        </w:rPr>
        <w:t>which the submission claimed</w:t>
      </w:r>
      <w:r w:rsidR="00835498">
        <w:rPr>
          <w:bCs/>
          <w:iCs/>
        </w:rPr>
        <w:t xml:space="preserve"> pegunigalsidase alfa</w:t>
      </w:r>
      <w:r w:rsidR="00BE0F3B">
        <w:rPr>
          <w:bCs/>
          <w:iCs/>
        </w:rPr>
        <w:t xml:space="preserve"> </w:t>
      </w:r>
      <w:r>
        <w:rPr>
          <w:bCs/>
          <w:iCs/>
        </w:rPr>
        <w:t xml:space="preserve">would be a direct replacement </w:t>
      </w:r>
      <w:r w:rsidR="00592A7E">
        <w:rPr>
          <w:bCs/>
          <w:iCs/>
        </w:rPr>
        <w:t>to</w:t>
      </w:r>
      <w:r>
        <w:rPr>
          <w:bCs/>
          <w:iCs/>
        </w:rPr>
        <w:t xml:space="preserve">, and (ii) are the only ERT treatments currently available for patients with FD (with or without amendable </w:t>
      </w:r>
      <w:r w:rsidRPr="003B13EC">
        <w:rPr>
          <w:bCs/>
          <w:iCs/>
        </w:rPr>
        <w:t xml:space="preserve">mutation). </w:t>
      </w:r>
      <w:bookmarkEnd w:id="13"/>
      <w:r w:rsidRPr="003B13EC">
        <w:rPr>
          <w:bCs/>
          <w:iCs/>
        </w:rPr>
        <w:t>The choice of comparators was appropriate</w:t>
      </w:r>
      <w:r w:rsidR="006B0799" w:rsidRPr="003B13EC">
        <w:rPr>
          <w:bCs/>
          <w:iCs/>
        </w:rPr>
        <w:t xml:space="preserve">, however migalastat should also be considered </w:t>
      </w:r>
      <w:r w:rsidR="00DA4AE0" w:rsidRPr="003B13EC">
        <w:rPr>
          <w:bCs/>
          <w:iCs/>
        </w:rPr>
        <w:t xml:space="preserve">an equally relevant comparator (paragraph </w:t>
      </w:r>
      <w:r w:rsidR="00195E7D" w:rsidRPr="003B13EC">
        <w:rPr>
          <w:bCs/>
          <w:iCs/>
        </w:rPr>
        <w:fldChar w:fldCharType="begin" w:fldLock="1"/>
      </w:r>
      <w:r w:rsidR="00195E7D" w:rsidRPr="003B13EC">
        <w:rPr>
          <w:bCs/>
          <w:iCs/>
        </w:rPr>
        <w:instrText xml:space="preserve"> REF _Ref198041928 \r \h </w:instrText>
      </w:r>
      <w:r w:rsidR="003B13EC" w:rsidRPr="003B13EC">
        <w:rPr>
          <w:bCs/>
          <w:iCs/>
        </w:rPr>
        <w:instrText xml:space="preserve"> \* MERGEFORMAT </w:instrText>
      </w:r>
      <w:r w:rsidR="00195E7D" w:rsidRPr="003B13EC">
        <w:rPr>
          <w:bCs/>
          <w:iCs/>
        </w:rPr>
      </w:r>
      <w:r w:rsidR="00195E7D" w:rsidRPr="003B13EC">
        <w:rPr>
          <w:bCs/>
          <w:iCs/>
        </w:rPr>
        <w:fldChar w:fldCharType="separate"/>
      </w:r>
      <w:r w:rsidR="00881387">
        <w:rPr>
          <w:bCs/>
          <w:iCs/>
        </w:rPr>
        <w:t>5.3</w:t>
      </w:r>
      <w:r w:rsidR="00195E7D" w:rsidRPr="003B13EC">
        <w:rPr>
          <w:bCs/>
          <w:iCs/>
        </w:rPr>
        <w:fldChar w:fldCharType="end"/>
      </w:r>
      <w:r w:rsidR="00195E7D" w:rsidRPr="003B13EC">
        <w:rPr>
          <w:bCs/>
          <w:iCs/>
        </w:rPr>
        <w:t>)</w:t>
      </w:r>
      <w:r w:rsidRPr="003B13EC">
        <w:rPr>
          <w:bCs/>
          <w:iCs/>
        </w:rPr>
        <w:t>.</w:t>
      </w:r>
    </w:p>
    <w:p w14:paraId="224E2864" w14:textId="58077016" w:rsidR="003C7007" w:rsidRDefault="003C7007" w:rsidP="009D09F4">
      <w:pPr>
        <w:pStyle w:val="3-BodyText"/>
      </w:pPr>
      <w:r w:rsidRPr="009B4435">
        <w:t>Agalsidase alfa and agalsidase beta are indicated as ERTs for the treatment of FD in paediatric (≥6.5 years old for agalsidase alfa</w:t>
      </w:r>
      <w:r w:rsidR="00627249">
        <w:t>)</w:t>
      </w:r>
      <w:r w:rsidR="00BD2C50">
        <w:t xml:space="preserve"> </w:t>
      </w:r>
      <w:r w:rsidRPr="009B4435">
        <w:t>and adult patients and have been listed on the LSDP since 2004. The treatments target and catalyse the accumulation of Gb3 to improve or stabilise renal function, reduce pain, improve pain-related QoL, and improve cardiac function</w:t>
      </w:r>
      <w:r w:rsidR="001E26A2">
        <w:t>.</w:t>
      </w:r>
      <w:r>
        <w:rPr>
          <w:rStyle w:val="FootnoteReference"/>
        </w:rPr>
        <w:footnoteReference w:id="15"/>
      </w:r>
      <w:r>
        <w:rPr>
          <w:vertAlign w:val="superscript"/>
        </w:rPr>
        <w:t>,</w:t>
      </w:r>
      <w:r>
        <w:rPr>
          <w:rStyle w:val="FootnoteReference"/>
        </w:rPr>
        <w:footnoteReference w:id="16"/>
      </w:r>
    </w:p>
    <w:p w14:paraId="02282D3A" w14:textId="77777777" w:rsidR="00E62F50" w:rsidRDefault="447AC75F" w:rsidP="009D09F4">
      <w:pPr>
        <w:pStyle w:val="3-BodyText"/>
      </w:pPr>
      <w:bookmarkStart w:id="15" w:name="_Ref198041928"/>
      <w:r>
        <w:t>The submission also nominated migalastat as a secondary comparator for patients with an amenable mutation as it is likely to be offered as first choice of treatment given that it can be taken orally (compared to intravenous [IV] infusions for ERTs). Migalastat is equally a relevant comparator given its place in therapy alongside other ERTs (as indicated by the proposed treatment algorithm).</w:t>
      </w:r>
      <w:bookmarkEnd w:id="15"/>
      <w:r w:rsidR="7CC96AAD">
        <w:t xml:space="preserve"> </w:t>
      </w:r>
    </w:p>
    <w:p w14:paraId="1A6AF900" w14:textId="3C217C94" w:rsidR="00D76F96" w:rsidRPr="00AC5133" w:rsidRDefault="7CC96AAD" w:rsidP="009D09F4">
      <w:pPr>
        <w:pStyle w:val="3-BodyText"/>
      </w:pPr>
      <w:r w:rsidRPr="00AC5133">
        <w:t>The</w:t>
      </w:r>
      <w:r w:rsidR="3943D6AF" w:rsidRPr="00AC5133">
        <w:t xml:space="preserve"> Pre-Sub-Committee Response</w:t>
      </w:r>
      <w:r w:rsidRPr="00AC5133">
        <w:t xml:space="preserve"> </w:t>
      </w:r>
      <w:r w:rsidR="3943D6AF" w:rsidRPr="00AC5133">
        <w:t>(</w:t>
      </w:r>
      <w:r w:rsidRPr="00AC5133">
        <w:t>PSCR</w:t>
      </w:r>
      <w:r w:rsidR="3943D6AF" w:rsidRPr="00AC5133">
        <w:t>)</w:t>
      </w:r>
      <w:r w:rsidR="09B67F35" w:rsidRPr="00AC5133">
        <w:t xml:space="preserve"> </w:t>
      </w:r>
      <w:r w:rsidR="76FFE88F" w:rsidRPr="00AC5133">
        <w:t>stated that migalastat is an additional comparator for ERTs in patients with an amenable muta</w:t>
      </w:r>
      <w:r w:rsidR="64613DC0" w:rsidRPr="00AC5133">
        <w:t xml:space="preserve">tion and is anticipated to have the predominant market share for this sub-group population. </w:t>
      </w:r>
      <w:r w:rsidR="26AEC1A8" w:rsidRPr="00AC5133">
        <w:t>The PSCR claimed that patient and clinical preference might support the use of ERT for some patient</w:t>
      </w:r>
      <w:r w:rsidR="27494545" w:rsidRPr="00AC5133">
        <w:t>s</w:t>
      </w:r>
      <w:r w:rsidR="78AC470A" w:rsidRPr="00AC5133">
        <w:t>. The PSCR further</w:t>
      </w:r>
      <w:r w:rsidR="429848C1" w:rsidRPr="00AC5133">
        <w:t xml:space="preserve"> </w:t>
      </w:r>
      <w:r w:rsidR="4BFD7DEA" w:rsidRPr="00AC5133">
        <w:t>stated that pegunigalsidase alfa</w:t>
      </w:r>
      <w:r w:rsidR="09B67F35" w:rsidRPr="00AC5133">
        <w:t>, if listed on the PBS,</w:t>
      </w:r>
      <w:r w:rsidR="4BFD7DEA" w:rsidRPr="00AC5133">
        <w:t xml:space="preserve"> would be an alternative to </w:t>
      </w:r>
      <w:r w:rsidR="09B67F35" w:rsidRPr="00AC5133">
        <w:t xml:space="preserve">ERTs currently on the LSDP. The PSCR stated </w:t>
      </w:r>
      <w:r w:rsidR="0125B4AB" w:rsidRPr="00AC5133">
        <w:t xml:space="preserve">that pegunigalsidase alfa is </w:t>
      </w:r>
      <w:r w:rsidR="0125B4AB" w:rsidRPr="00AC5133">
        <w:lastRenderedPageBreak/>
        <w:t xml:space="preserve">not expected to increase the overall ERT </w:t>
      </w:r>
      <w:r w:rsidR="002B42A1" w:rsidRPr="00AC5133">
        <w:t>market but</w:t>
      </w:r>
      <w:r w:rsidR="0125B4AB" w:rsidRPr="00AC5133">
        <w:t xml:space="preserve"> will be a substitute for existing ERTs in patients newly diagnosed with FD who would have other</w:t>
      </w:r>
      <w:r w:rsidR="7E232514" w:rsidRPr="00AC5133">
        <w:t>wise started treatment with agalsidase alfa or agalsidase beta. The PSCR maintained that migalastat should be a secondary comparator.</w:t>
      </w:r>
      <w:r w:rsidR="447AC75F" w:rsidRPr="00AC5133">
        <w:t xml:space="preserve"> </w:t>
      </w:r>
    </w:p>
    <w:p w14:paraId="2B70504F" w14:textId="3DC86D44" w:rsidR="003C7007" w:rsidRPr="00AC5133" w:rsidRDefault="69980B69" w:rsidP="009D09F4">
      <w:pPr>
        <w:pStyle w:val="3-BodyText"/>
      </w:pPr>
      <w:r w:rsidRPr="00AC5133">
        <w:t xml:space="preserve">The ESC </w:t>
      </w:r>
      <w:r w:rsidR="137087F4" w:rsidRPr="00AC5133">
        <w:t>considered</w:t>
      </w:r>
      <w:r w:rsidRPr="00AC5133">
        <w:t xml:space="preserve"> that</w:t>
      </w:r>
      <w:r w:rsidR="6319E4A5" w:rsidRPr="00AC5133">
        <w:t xml:space="preserve"> </w:t>
      </w:r>
      <w:r w:rsidR="2E31FA3A" w:rsidRPr="00AC5133">
        <w:t>in practice pegunigalsidase alfa is most likely to replace other ERTs (agalsidase alfa and agal</w:t>
      </w:r>
      <w:r w:rsidR="5830697E" w:rsidRPr="00AC5133">
        <w:t xml:space="preserve">sidase beta) which are on the </w:t>
      </w:r>
      <w:r w:rsidR="003923FD" w:rsidRPr="00AC5133">
        <w:t>LSDP and</w:t>
      </w:r>
      <w:r w:rsidR="1CA73D29" w:rsidRPr="00AC5133">
        <w:t xml:space="preserve"> considered</w:t>
      </w:r>
      <w:r w:rsidRPr="00AC5133">
        <w:t xml:space="preserve"> </w:t>
      </w:r>
      <w:r w:rsidR="1CA73D29" w:rsidRPr="00AC5133">
        <w:t>m</w:t>
      </w:r>
      <w:r w:rsidRPr="00AC5133">
        <w:t>igalastat is only a comparator for patients with an amenable mutation.</w:t>
      </w:r>
      <w:r w:rsidR="09C2A1C3" w:rsidRPr="00AC5133">
        <w:t xml:space="preserve"> The ESC noted </w:t>
      </w:r>
      <w:r w:rsidR="47A0531F" w:rsidRPr="00AC5133">
        <w:t xml:space="preserve">that choice of first-line therapy </w:t>
      </w:r>
      <w:r w:rsidR="5F24A2FE" w:rsidRPr="00AC5133">
        <w:t xml:space="preserve">is a clinical decision and individualised for the patient, and all three medicines </w:t>
      </w:r>
      <w:r w:rsidR="36B631DD" w:rsidRPr="00AC5133">
        <w:t xml:space="preserve">are clinical comparators for first-line treatment. As migalastat is the only medicine for FD listed on the PBS, </w:t>
      </w:r>
      <w:r w:rsidR="746FC44E" w:rsidRPr="00AC5133">
        <w:t xml:space="preserve">the ESC considered it was reasonable to include migalastat as a comparator for the </w:t>
      </w:r>
      <w:r w:rsidR="56C3176D" w:rsidRPr="00AC5133">
        <w:t>cost-minimisation approach</w:t>
      </w:r>
      <w:r w:rsidR="6ACCB60E" w:rsidRPr="00AC5133">
        <w:t xml:space="preserve"> (CMA)</w:t>
      </w:r>
      <w:r w:rsidR="56C3176D" w:rsidRPr="00AC5133">
        <w:t>.</w:t>
      </w:r>
    </w:p>
    <w:p w14:paraId="0EC5A139" w14:textId="01611425" w:rsidR="003C7007" w:rsidRPr="009A3B64" w:rsidRDefault="003C7007" w:rsidP="009D09F4">
      <w:pPr>
        <w:pStyle w:val="3-BodyText"/>
      </w:pPr>
      <w:r w:rsidRPr="00B971B6">
        <w:t xml:space="preserve">Migalastat is an OCT that selectively and reversibly binds to the active sites of certain mutant forms of α-GAL A (i.e., amenable mutations) to stabilise and restore α-GAL A activity. </w:t>
      </w:r>
      <w:r>
        <w:t>It</w:t>
      </w:r>
      <w:r w:rsidRPr="00B971B6">
        <w:t xml:space="preserve"> is currently listed on the PBS for treatment of FD in patients aged 12 years of age and older who have an amenable mutation and evidence of organ involvement/injury</w:t>
      </w:r>
      <w:r w:rsidR="00AF4D5C">
        <w:t>.</w:t>
      </w:r>
      <w:r w:rsidR="00F50042">
        <w:t xml:space="preserve"> </w:t>
      </w:r>
      <w:r w:rsidR="00AF4D5C">
        <w:t>Migalastat</w:t>
      </w:r>
      <w:r w:rsidRPr="00B971B6">
        <w:t xml:space="preserve"> was initially listed on the LSDP in 2018, before transitioning to the PBS in </w:t>
      </w:r>
      <w:r w:rsidR="00AF4D5C">
        <w:t xml:space="preserve">September </w:t>
      </w:r>
      <w:r w:rsidRPr="00B971B6">
        <w:t>202</w:t>
      </w:r>
      <w:r w:rsidR="00AF4D5C">
        <w:t>4</w:t>
      </w:r>
      <w:r w:rsidRPr="00B971B6">
        <w:t xml:space="preserve">. </w:t>
      </w:r>
    </w:p>
    <w:p w14:paraId="4EC6B5DD" w14:textId="2E5A93B9" w:rsidR="003C7007" w:rsidRPr="00080021" w:rsidRDefault="447AC75F" w:rsidP="5396A253">
      <w:pPr>
        <w:pStyle w:val="3-BodyText"/>
        <w:rPr>
          <w:i/>
          <w:iCs/>
        </w:rPr>
      </w:pPr>
      <w:r>
        <w:t>There were inconsistencies in the comparators that were used throughout the submission. There was limited clinical evidence presented for the comparison of pegunigalsidase alfa against migalastat</w:t>
      </w:r>
      <w:r w:rsidR="43BCDB32">
        <w:t>.</w:t>
      </w:r>
      <w:r>
        <w:t xml:space="preserve"> For the cost-minimisation approach, migalastat was used as the comparator and in the financial</w:t>
      </w:r>
      <w:r w:rsidRPr="5396A253">
        <w:rPr>
          <w:i/>
          <w:iCs/>
        </w:rPr>
        <w:t xml:space="preserve"> </w:t>
      </w:r>
      <w:r>
        <w:t>impact analysis, agalsidase alfa and agalsidase beta were considered as the main treatments that would be replaced</w:t>
      </w:r>
      <w:r w:rsidRPr="5396A253">
        <w:rPr>
          <w:i/>
          <w:iCs/>
        </w:rPr>
        <w:t>.</w:t>
      </w:r>
      <w:r w:rsidR="0C9C44FF" w:rsidRPr="5396A253">
        <w:rPr>
          <w:i/>
          <w:iCs/>
        </w:rPr>
        <w:t xml:space="preserve"> </w:t>
      </w:r>
      <w:r w:rsidR="0C9C44FF" w:rsidRPr="00AC5133">
        <w:t xml:space="preserve">The ESC considered that all three medicines </w:t>
      </w:r>
      <w:r w:rsidR="6D8E7528" w:rsidRPr="00AC5133">
        <w:t xml:space="preserve">are first-line comparators as they are all used in practice, however as migalastat is the only medicine for FD on the PBS it is the most appropriate </w:t>
      </w:r>
      <w:r w:rsidR="6ACCB60E" w:rsidRPr="00AC5133">
        <w:t>comparator for the CMA.</w:t>
      </w:r>
    </w:p>
    <w:p w14:paraId="11432869" w14:textId="70BD4A15" w:rsidR="00080021" w:rsidRPr="00B17BA5" w:rsidRDefault="00080021" w:rsidP="5396A253">
      <w:pPr>
        <w:pStyle w:val="3-BodyText"/>
        <w:rPr>
          <w:i/>
          <w:iCs/>
        </w:rPr>
      </w:pPr>
      <w:r>
        <w:t xml:space="preserve">The pre-PBAC response agreed that </w:t>
      </w:r>
      <w:r w:rsidR="00D44601">
        <w:t>migalastat is a relevant comparator, but only for patients with an amenable mutation</w:t>
      </w:r>
      <w:r w:rsidR="006B0198">
        <w:t xml:space="preserve">, and claimed that migalastat was likely to </w:t>
      </w:r>
      <w:r w:rsidR="00356DCD">
        <w:t>retain</w:t>
      </w:r>
      <w:r w:rsidR="006B0198">
        <w:t xml:space="preserve"> a predominant market share in this patient group, although there may be situations where </w:t>
      </w:r>
      <w:r w:rsidR="00356DCD">
        <w:t>ERTs</w:t>
      </w:r>
      <w:r w:rsidR="006B0198">
        <w:t xml:space="preserve"> would be the preferred treatment. </w:t>
      </w:r>
      <w:r w:rsidR="00F63A44">
        <w:t xml:space="preserve">The pre-PBAC response maintained that pegunigalsidase alfa would be a direct </w:t>
      </w:r>
      <w:r w:rsidR="0065012C">
        <w:t>alternative to other ERTs (agalsidase alfa and agalsidase beta)</w:t>
      </w:r>
      <w:r w:rsidR="00F94A16">
        <w:t xml:space="preserve">, and that pegunigalsidase alfa would not be expected to grow the market, but act as a substitute to other ERTs for patients newly diagnosed with FD. The pre-PBAC response maintained that </w:t>
      </w:r>
      <w:r w:rsidR="00DC5AB0">
        <w:t>ERTs currently on the LSDP should be primary comparators</w:t>
      </w:r>
      <w:r w:rsidR="009B19F4">
        <w:t>, and m</w:t>
      </w:r>
      <w:r w:rsidR="00DC5AB0">
        <w:t xml:space="preserve">igalastat </w:t>
      </w:r>
      <w:r w:rsidR="006D5FC1">
        <w:t xml:space="preserve">should be </w:t>
      </w:r>
      <w:r w:rsidR="00DC5AB0">
        <w:t>a secondary comparator</w:t>
      </w:r>
      <w:r w:rsidR="00B739A4">
        <w:t xml:space="preserve"> for </w:t>
      </w:r>
      <w:r w:rsidR="006D5FC1">
        <w:t>patients with an amenable mutation</w:t>
      </w:r>
      <w:r w:rsidR="009B19F4">
        <w:t xml:space="preserve"> and used as a pricing comparator as it is the only medicine for FD listed on the PBS</w:t>
      </w:r>
      <w:r w:rsidR="00DC5AB0">
        <w:t>.</w:t>
      </w:r>
    </w:p>
    <w:p w14:paraId="0DA2F0BD" w14:textId="7BB22809" w:rsidR="00B17BA5" w:rsidRPr="00CE337A" w:rsidRDefault="00B17BA5" w:rsidP="00B17BA5">
      <w:pPr>
        <w:pStyle w:val="3-BodyText"/>
        <w:numPr>
          <w:ilvl w:val="0"/>
          <w:numId w:val="0"/>
        </w:numPr>
        <w:ind w:left="720"/>
        <w:rPr>
          <w:i/>
          <w:iCs/>
        </w:rPr>
      </w:pPr>
      <w:r w:rsidRPr="00B17BA5">
        <w:rPr>
          <w:i/>
          <w:iCs/>
        </w:rPr>
        <w:t>For more detail on PBAC’s view, see section 7 PBAC outcome.</w:t>
      </w:r>
    </w:p>
    <w:p w14:paraId="5F55AF27" w14:textId="77777777" w:rsidR="007902B5" w:rsidRDefault="007902B5">
      <w:pPr>
        <w:jc w:val="left"/>
        <w:rPr>
          <w:rFonts w:asciiTheme="minorHAnsi" w:eastAsiaTheme="minorHAnsi" w:hAnsiTheme="minorHAnsi" w:cstheme="minorBidi"/>
          <w:i/>
          <w:iCs/>
          <w:szCs w:val="22"/>
        </w:rPr>
      </w:pPr>
      <w:r>
        <w:rPr>
          <w:i/>
          <w:iCs/>
        </w:rPr>
        <w:br w:type="page"/>
      </w:r>
    </w:p>
    <w:p w14:paraId="7F9C27C8" w14:textId="77777777" w:rsidR="00223D5A" w:rsidRPr="0098262F" w:rsidRDefault="00223D5A" w:rsidP="009D09F4">
      <w:pPr>
        <w:pStyle w:val="2-SectionHeading"/>
        <w:keepNext w:val="0"/>
        <w:numPr>
          <w:ilvl w:val="0"/>
          <w:numId w:val="1"/>
        </w:numPr>
      </w:pPr>
      <w:bookmarkStart w:id="16" w:name="_Toc198734216"/>
      <w:r w:rsidRPr="0098262F">
        <w:lastRenderedPageBreak/>
        <w:t>Consideration of the evidence</w:t>
      </w:r>
      <w:bookmarkEnd w:id="16"/>
    </w:p>
    <w:p w14:paraId="093A0632" w14:textId="77777777" w:rsidR="00C3125C" w:rsidRPr="006E1229" w:rsidRDefault="00C3125C" w:rsidP="00C3125C">
      <w:pPr>
        <w:pStyle w:val="4-SubsectionHeading"/>
      </w:pPr>
      <w:bookmarkStart w:id="17" w:name="_Hlk76375935"/>
      <w:bookmarkStart w:id="18" w:name="_Toc198734217"/>
      <w:r w:rsidRPr="006E1229">
        <w:t>Sponsor hearing</w:t>
      </w:r>
    </w:p>
    <w:p w14:paraId="7ED232DA" w14:textId="7E87467D" w:rsidR="00C3125C" w:rsidRPr="00F91542" w:rsidRDefault="00C3125C" w:rsidP="00807648">
      <w:pPr>
        <w:numPr>
          <w:ilvl w:val="1"/>
          <w:numId w:val="1"/>
        </w:numPr>
        <w:spacing w:after="120"/>
        <w:rPr>
          <w:rFonts w:cs="Calibri"/>
          <w:bCs/>
          <w:snapToGrid w:val="0"/>
        </w:rPr>
      </w:pPr>
      <w:r w:rsidRPr="00F91542">
        <w:rPr>
          <w:rFonts w:cs="Calibri"/>
          <w:bCs/>
          <w:snapToGrid w:val="0"/>
        </w:rPr>
        <w:t>There was no hearing for this item.</w:t>
      </w:r>
    </w:p>
    <w:p w14:paraId="50DD8940" w14:textId="77777777" w:rsidR="00C3125C" w:rsidRPr="006E1229" w:rsidRDefault="00C3125C" w:rsidP="00C3125C">
      <w:pPr>
        <w:pStyle w:val="4-SubsectionHeading"/>
      </w:pPr>
      <w:r w:rsidRPr="006E1229">
        <w:t>Consumer comments</w:t>
      </w:r>
    </w:p>
    <w:p w14:paraId="5DE74333" w14:textId="53A3370F" w:rsidR="00C3125C" w:rsidRPr="00836F75" w:rsidRDefault="00C3125C" w:rsidP="00807648">
      <w:pPr>
        <w:numPr>
          <w:ilvl w:val="1"/>
          <w:numId w:val="1"/>
        </w:numPr>
        <w:spacing w:after="120"/>
        <w:rPr>
          <w:rFonts w:asciiTheme="minorHAnsi" w:hAnsiTheme="minorHAnsi"/>
          <w:bCs/>
          <w:snapToGrid w:val="0"/>
        </w:rPr>
      </w:pPr>
      <w:bookmarkStart w:id="19" w:name="_Hlk76382618"/>
      <w:r w:rsidRPr="00836F75">
        <w:rPr>
          <w:rFonts w:asciiTheme="minorHAnsi" w:hAnsiTheme="minorHAnsi"/>
          <w:bCs/>
          <w:snapToGrid w:val="0"/>
        </w:rPr>
        <w:t>The PBAC noted and welcomed the input from individuals (4), health care professionals (1) and organisations (</w:t>
      </w:r>
      <w:r w:rsidR="00C91EE3">
        <w:rPr>
          <w:rFonts w:asciiTheme="minorHAnsi" w:hAnsiTheme="minorHAnsi"/>
          <w:bCs/>
          <w:snapToGrid w:val="0"/>
        </w:rPr>
        <w:t>2</w:t>
      </w:r>
      <w:r w:rsidRPr="00836F75">
        <w:rPr>
          <w:rFonts w:asciiTheme="minorHAnsi" w:hAnsiTheme="minorHAnsi"/>
          <w:bCs/>
          <w:snapToGrid w:val="0"/>
        </w:rPr>
        <w:t>) via the Consumer Comments facility on the PBS website. The comments described</w:t>
      </w:r>
      <w:r w:rsidR="004A6741">
        <w:rPr>
          <w:rFonts w:asciiTheme="minorHAnsi" w:hAnsiTheme="minorHAnsi"/>
          <w:bCs/>
          <w:snapToGrid w:val="0"/>
        </w:rPr>
        <w:t xml:space="preserve"> the challenges with living with FD, including </w:t>
      </w:r>
      <w:r w:rsidR="000128B2">
        <w:rPr>
          <w:rFonts w:asciiTheme="minorHAnsi" w:hAnsiTheme="minorHAnsi"/>
          <w:bCs/>
          <w:snapToGrid w:val="0"/>
        </w:rPr>
        <w:t xml:space="preserve">disruption to daily life and reduced ability to participate in physical activity, work, </w:t>
      </w:r>
      <w:r w:rsidR="00D936F3">
        <w:rPr>
          <w:rFonts w:asciiTheme="minorHAnsi" w:hAnsiTheme="minorHAnsi"/>
          <w:bCs/>
          <w:snapToGrid w:val="0"/>
        </w:rPr>
        <w:t xml:space="preserve">social activities and education due to symptoms, as well as the emotional impact of </w:t>
      </w:r>
      <w:r w:rsidR="008A4820">
        <w:rPr>
          <w:rFonts w:asciiTheme="minorHAnsi" w:hAnsiTheme="minorHAnsi"/>
          <w:bCs/>
          <w:snapToGrid w:val="0"/>
        </w:rPr>
        <w:t xml:space="preserve">managing a chronic condition. </w:t>
      </w:r>
      <w:r w:rsidR="0072603E">
        <w:rPr>
          <w:rFonts w:asciiTheme="minorHAnsi" w:hAnsiTheme="minorHAnsi"/>
          <w:bCs/>
          <w:snapToGrid w:val="0"/>
        </w:rPr>
        <w:t xml:space="preserve">Input described challenges with </w:t>
      </w:r>
      <w:r w:rsidR="0015600A">
        <w:rPr>
          <w:rFonts w:asciiTheme="minorHAnsi" w:hAnsiTheme="minorHAnsi"/>
          <w:bCs/>
          <w:snapToGrid w:val="0"/>
        </w:rPr>
        <w:t>using</w:t>
      </w:r>
      <w:r w:rsidR="0072603E">
        <w:rPr>
          <w:rFonts w:asciiTheme="minorHAnsi" w:hAnsiTheme="minorHAnsi"/>
          <w:bCs/>
          <w:snapToGrid w:val="0"/>
        </w:rPr>
        <w:t xml:space="preserve"> current </w:t>
      </w:r>
      <w:r w:rsidR="0015600A">
        <w:rPr>
          <w:rFonts w:asciiTheme="minorHAnsi" w:hAnsiTheme="minorHAnsi"/>
          <w:bCs/>
          <w:snapToGrid w:val="0"/>
        </w:rPr>
        <w:t>ERT options</w:t>
      </w:r>
      <w:r w:rsidR="0072603E">
        <w:rPr>
          <w:rFonts w:asciiTheme="minorHAnsi" w:hAnsiTheme="minorHAnsi"/>
          <w:bCs/>
          <w:snapToGrid w:val="0"/>
        </w:rPr>
        <w:t xml:space="preserve">, including </w:t>
      </w:r>
      <w:r w:rsidR="00D42A2D">
        <w:rPr>
          <w:rFonts w:asciiTheme="minorHAnsi" w:hAnsiTheme="minorHAnsi"/>
          <w:bCs/>
          <w:snapToGrid w:val="0"/>
        </w:rPr>
        <w:t xml:space="preserve">limited efficacy and suitability, </w:t>
      </w:r>
      <w:r w:rsidR="0015600A">
        <w:rPr>
          <w:rFonts w:asciiTheme="minorHAnsi" w:hAnsiTheme="minorHAnsi"/>
          <w:bCs/>
          <w:snapToGrid w:val="0"/>
        </w:rPr>
        <w:t xml:space="preserve">treatment burden </w:t>
      </w:r>
      <w:r w:rsidR="008A6033">
        <w:rPr>
          <w:rFonts w:asciiTheme="minorHAnsi" w:hAnsiTheme="minorHAnsi"/>
          <w:bCs/>
          <w:snapToGrid w:val="0"/>
        </w:rPr>
        <w:t>and lack of accessibility due to fortnightly administration with agalsidase alfa and restricted eligibility</w:t>
      </w:r>
      <w:r w:rsidR="00B2009A">
        <w:rPr>
          <w:rFonts w:asciiTheme="minorHAnsi" w:hAnsiTheme="minorHAnsi"/>
          <w:bCs/>
          <w:snapToGrid w:val="0"/>
        </w:rPr>
        <w:t>.</w:t>
      </w:r>
      <w:r w:rsidRPr="00836F75">
        <w:rPr>
          <w:rFonts w:asciiTheme="minorHAnsi" w:hAnsiTheme="minorHAnsi"/>
          <w:bCs/>
          <w:snapToGrid w:val="0"/>
        </w:rPr>
        <w:t xml:space="preserve"> </w:t>
      </w:r>
      <w:r w:rsidR="00B2009A">
        <w:rPr>
          <w:rFonts w:asciiTheme="minorHAnsi" w:hAnsiTheme="minorHAnsi"/>
          <w:bCs/>
          <w:snapToGrid w:val="0"/>
        </w:rPr>
        <w:t>B</w:t>
      </w:r>
      <w:r w:rsidRPr="00836F75">
        <w:rPr>
          <w:rFonts w:asciiTheme="minorHAnsi" w:hAnsiTheme="minorHAnsi"/>
          <w:bCs/>
          <w:snapToGrid w:val="0"/>
        </w:rPr>
        <w:t xml:space="preserve">enefits of treatment with </w:t>
      </w:r>
      <w:r w:rsidR="00C91EE3">
        <w:rPr>
          <w:rFonts w:asciiTheme="minorHAnsi" w:hAnsiTheme="minorHAnsi"/>
          <w:bCs/>
          <w:snapToGrid w:val="0"/>
        </w:rPr>
        <w:t>pegunigalsidase alfa</w:t>
      </w:r>
      <w:r w:rsidR="00B2009A">
        <w:rPr>
          <w:rFonts w:asciiTheme="minorHAnsi" w:hAnsiTheme="minorHAnsi"/>
          <w:bCs/>
          <w:snapToGrid w:val="0"/>
        </w:rPr>
        <w:t xml:space="preserve"> described</w:t>
      </w:r>
      <w:r w:rsidRPr="00836F75">
        <w:rPr>
          <w:rFonts w:asciiTheme="minorHAnsi" w:hAnsiTheme="minorHAnsi"/>
          <w:bCs/>
          <w:snapToGrid w:val="0"/>
        </w:rPr>
        <w:t xml:space="preserve"> includ</w:t>
      </w:r>
      <w:r w:rsidR="00B2009A">
        <w:rPr>
          <w:rFonts w:asciiTheme="minorHAnsi" w:hAnsiTheme="minorHAnsi"/>
          <w:bCs/>
          <w:snapToGrid w:val="0"/>
        </w:rPr>
        <w:t>ed</w:t>
      </w:r>
      <w:r w:rsidR="00725AAF">
        <w:rPr>
          <w:rFonts w:asciiTheme="minorHAnsi" w:hAnsiTheme="minorHAnsi"/>
          <w:bCs/>
          <w:snapToGrid w:val="0"/>
        </w:rPr>
        <w:t xml:space="preserve"> its efficacy in </w:t>
      </w:r>
      <w:r w:rsidR="00807B63">
        <w:rPr>
          <w:rFonts w:asciiTheme="minorHAnsi" w:hAnsiTheme="minorHAnsi"/>
          <w:bCs/>
          <w:snapToGrid w:val="0"/>
        </w:rPr>
        <w:t>stabilising the condition</w:t>
      </w:r>
      <w:r w:rsidR="009D58E9">
        <w:rPr>
          <w:rFonts w:asciiTheme="minorHAnsi" w:hAnsiTheme="minorHAnsi"/>
          <w:bCs/>
          <w:snapToGrid w:val="0"/>
        </w:rPr>
        <w:t xml:space="preserve"> and improving signs and symptoms</w:t>
      </w:r>
      <w:r w:rsidR="00A50005">
        <w:rPr>
          <w:rFonts w:asciiTheme="minorHAnsi" w:hAnsiTheme="minorHAnsi"/>
          <w:bCs/>
          <w:snapToGrid w:val="0"/>
        </w:rPr>
        <w:t>, fewer disruptions to daily life</w:t>
      </w:r>
      <w:r w:rsidR="00295924">
        <w:rPr>
          <w:rFonts w:asciiTheme="minorHAnsi" w:hAnsiTheme="minorHAnsi"/>
          <w:bCs/>
          <w:snapToGrid w:val="0"/>
        </w:rPr>
        <w:t xml:space="preserve"> from treatment administration</w:t>
      </w:r>
      <w:r w:rsidR="00282994">
        <w:rPr>
          <w:rFonts w:asciiTheme="minorHAnsi" w:hAnsiTheme="minorHAnsi"/>
          <w:bCs/>
          <w:snapToGrid w:val="0"/>
        </w:rPr>
        <w:t>, improved quality of life</w:t>
      </w:r>
      <w:r w:rsidR="00235DE8">
        <w:rPr>
          <w:rFonts w:asciiTheme="minorHAnsi" w:hAnsiTheme="minorHAnsi"/>
          <w:bCs/>
          <w:snapToGrid w:val="0"/>
        </w:rPr>
        <w:t xml:space="preserve">, and the provision of another treatment option </w:t>
      </w:r>
      <w:r w:rsidR="0062254E">
        <w:rPr>
          <w:rFonts w:asciiTheme="minorHAnsi" w:hAnsiTheme="minorHAnsi"/>
          <w:bCs/>
          <w:snapToGrid w:val="0"/>
        </w:rPr>
        <w:t>where current treatments are not viable</w:t>
      </w:r>
      <w:r w:rsidR="00295924">
        <w:rPr>
          <w:rFonts w:asciiTheme="minorHAnsi" w:hAnsiTheme="minorHAnsi"/>
          <w:bCs/>
          <w:snapToGrid w:val="0"/>
        </w:rPr>
        <w:t>. Comments also stated that</w:t>
      </w:r>
      <w:r w:rsidR="007943BD">
        <w:rPr>
          <w:rFonts w:asciiTheme="minorHAnsi" w:hAnsiTheme="minorHAnsi"/>
          <w:bCs/>
          <w:snapToGrid w:val="0"/>
        </w:rPr>
        <w:t xml:space="preserve"> current LSDP criteria prevent access to effective treatment in early stages of diseas</w:t>
      </w:r>
      <w:r w:rsidR="000D1E92">
        <w:rPr>
          <w:rFonts w:asciiTheme="minorHAnsi" w:hAnsiTheme="minorHAnsi"/>
          <w:bCs/>
          <w:snapToGrid w:val="0"/>
        </w:rPr>
        <w:t xml:space="preserve">e which could potentially prevent permanent impairment, </w:t>
      </w:r>
      <w:r w:rsidR="001C2A22">
        <w:rPr>
          <w:rFonts w:asciiTheme="minorHAnsi" w:hAnsiTheme="minorHAnsi"/>
          <w:bCs/>
          <w:snapToGrid w:val="0"/>
        </w:rPr>
        <w:t>and</w:t>
      </w:r>
      <w:r w:rsidR="00295924">
        <w:rPr>
          <w:rFonts w:asciiTheme="minorHAnsi" w:hAnsiTheme="minorHAnsi"/>
          <w:bCs/>
          <w:snapToGrid w:val="0"/>
        </w:rPr>
        <w:t xml:space="preserve"> </w:t>
      </w:r>
      <w:r w:rsidR="00955A7B">
        <w:rPr>
          <w:rFonts w:asciiTheme="minorHAnsi" w:hAnsiTheme="minorHAnsi"/>
          <w:bCs/>
          <w:snapToGrid w:val="0"/>
        </w:rPr>
        <w:t xml:space="preserve">broader eligibility criteria would improve access to individuals, particularly for those without the </w:t>
      </w:r>
      <w:r w:rsidR="00A9294F">
        <w:rPr>
          <w:rFonts w:asciiTheme="minorHAnsi" w:hAnsiTheme="minorHAnsi"/>
          <w:bCs/>
          <w:snapToGrid w:val="0"/>
        </w:rPr>
        <w:t>migalastat-amenable mutation.</w:t>
      </w:r>
      <w:r w:rsidR="009D58E9">
        <w:rPr>
          <w:rFonts w:asciiTheme="minorHAnsi" w:hAnsiTheme="minorHAnsi"/>
          <w:bCs/>
          <w:snapToGrid w:val="0"/>
        </w:rPr>
        <w:t xml:space="preserve"> Health professional input stated that pegunigalsidase alfa was well tolerated, </w:t>
      </w:r>
      <w:r w:rsidR="00282994">
        <w:rPr>
          <w:rFonts w:asciiTheme="minorHAnsi" w:hAnsiTheme="minorHAnsi"/>
          <w:bCs/>
          <w:snapToGrid w:val="0"/>
        </w:rPr>
        <w:t>however there is a risk of hypersensitivity reactions in some individuals.</w:t>
      </w:r>
      <w:r w:rsidR="00A9294F">
        <w:rPr>
          <w:rFonts w:asciiTheme="minorHAnsi" w:hAnsiTheme="minorHAnsi"/>
          <w:bCs/>
          <w:snapToGrid w:val="0"/>
        </w:rPr>
        <w:t xml:space="preserve"> </w:t>
      </w:r>
      <w:r w:rsidR="006077C6">
        <w:rPr>
          <w:rFonts w:asciiTheme="minorHAnsi" w:hAnsiTheme="minorHAnsi"/>
          <w:bCs/>
          <w:snapToGrid w:val="0"/>
        </w:rPr>
        <w:t>Health professional input also</w:t>
      </w:r>
      <w:r w:rsidR="00F05D29">
        <w:rPr>
          <w:rFonts w:asciiTheme="minorHAnsi" w:hAnsiTheme="minorHAnsi"/>
          <w:bCs/>
          <w:snapToGrid w:val="0"/>
        </w:rPr>
        <w:t xml:space="preserve"> </w:t>
      </w:r>
      <w:r w:rsidR="00971D3D">
        <w:rPr>
          <w:rFonts w:asciiTheme="minorHAnsi" w:hAnsiTheme="minorHAnsi"/>
          <w:bCs/>
          <w:snapToGrid w:val="0"/>
        </w:rPr>
        <w:t xml:space="preserve">stated that there are limited treatment options for FD, and current treatment option available </w:t>
      </w:r>
      <w:r w:rsidR="006077C6">
        <w:rPr>
          <w:rFonts w:asciiTheme="minorHAnsi" w:hAnsiTheme="minorHAnsi"/>
          <w:bCs/>
          <w:snapToGrid w:val="0"/>
        </w:rPr>
        <w:t xml:space="preserve">are unsuitable in some situations due to </w:t>
      </w:r>
      <w:r w:rsidR="00235DE8">
        <w:rPr>
          <w:rFonts w:asciiTheme="minorHAnsi" w:hAnsiTheme="minorHAnsi"/>
          <w:bCs/>
          <w:snapToGrid w:val="0"/>
        </w:rPr>
        <w:t>risk of infusion complications, eligibility and reduced efficacy.</w:t>
      </w:r>
      <w:r w:rsidRPr="00836F75">
        <w:rPr>
          <w:rFonts w:asciiTheme="minorHAnsi" w:hAnsiTheme="minorHAnsi"/>
          <w:bCs/>
          <w:snapToGrid w:val="0"/>
        </w:rPr>
        <w:t xml:space="preserve"> </w:t>
      </w:r>
    </w:p>
    <w:p w14:paraId="66774775" w14:textId="5C98B150" w:rsidR="00F84A7C" w:rsidRDefault="00E60E76" w:rsidP="00807648">
      <w:pPr>
        <w:numPr>
          <w:ilvl w:val="1"/>
          <w:numId w:val="1"/>
        </w:numPr>
        <w:spacing w:after="120"/>
        <w:rPr>
          <w:rFonts w:asciiTheme="minorHAnsi" w:hAnsiTheme="minorHAnsi"/>
          <w:bCs/>
          <w:snapToGrid w:val="0"/>
        </w:rPr>
      </w:pPr>
      <w:bookmarkStart w:id="20" w:name="_Hlk97141415"/>
      <w:r>
        <w:rPr>
          <w:rFonts w:asciiTheme="minorHAnsi" w:hAnsiTheme="minorHAnsi"/>
          <w:bCs/>
          <w:snapToGrid w:val="0"/>
        </w:rPr>
        <w:t>The PBAC noted the advice received from Fabry Australia</w:t>
      </w:r>
      <w:r w:rsidR="00B62A7D">
        <w:rPr>
          <w:rFonts w:asciiTheme="minorHAnsi" w:hAnsiTheme="minorHAnsi"/>
          <w:bCs/>
          <w:snapToGrid w:val="0"/>
        </w:rPr>
        <w:t xml:space="preserve"> and Fabry Australia Medical Advisory Committee</w:t>
      </w:r>
      <w:r>
        <w:rPr>
          <w:rFonts w:asciiTheme="minorHAnsi" w:hAnsiTheme="minorHAnsi"/>
          <w:bCs/>
          <w:snapToGrid w:val="0"/>
        </w:rPr>
        <w:t>, who were supportive of listing pegunigalsidase alfa on the PBS</w:t>
      </w:r>
      <w:r w:rsidR="006F36DF">
        <w:rPr>
          <w:rFonts w:asciiTheme="minorHAnsi" w:hAnsiTheme="minorHAnsi"/>
          <w:bCs/>
          <w:snapToGrid w:val="0"/>
        </w:rPr>
        <w:t xml:space="preserve"> and the availability of </w:t>
      </w:r>
      <w:r w:rsidR="00EB253F">
        <w:rPr>
          <w:rFonts w:asciiTheme="minorHAnsi" w:hAnsiTheme="minorHAnsi"/>
          <w:bCs/>
          <w:snapToGrid w:val="0"/>
        </w:rPr>
        <w:t xml:space="preserve">different treatment options so the most appropriate therapy could be used by an individual. </w:t>
      </w:r>
      <w:r w:rsidR="00E6109A">
        <w:rPr>
          <w:rFonts w:asciiTheme="minorHAnsi" w:hAnsiTheme="minorHAnsi"/>
          <w:bCs/>
          <w:snapToGrid w:val="0"/>
        </w:rPr>
        <w:t xml:space="preserve">Fabry Australia </w:t>
      </w:r>
      <w:r w:rsidR="00B3218A">
        <w:rPr>
          <w:rFonts w:asciiTheme="minorHAnsi" w:hAnsiTheme="minorHAnsi"/>
          <w:bCs/>
          <w:snapToGrid w:val="0"/>
        </w:rPr>
        <w:t>commented that</w:t>
      </w:r>
      <w:r w:rsidR="006F40E0">
        <w:rPr>
          <w:rFonts w:asciiTheme="minorHAnsi" w:hAnsiTheme="minorHAnsi"/>
          <w:bCs/>
          <w:snapToGrid w:val="0"/>
        </w:rPr>
        <w:t xml:space="preserve"> FD </w:t>
      </w:r>
      <w:r w:rsidR="007F2C49">
        <w:rPr>
          <w:rFonts w:asciiTheme="minorHAnsi" w:hAnsiTheme="minorHAnsi"/>
          <w:bCs/>
          <w:snapToGrid w:val="0"/>
        </w:rPr>
        <w:t>has a severe impact on the everyday lives of individuals, and</w:t>
      </w:r>
      <w:r w:rsidR="00B3218A">
        <w:rPr>
          <w:rFonts w:asciiTheme="minorHAnsi" w:hAnsiTheme="minorHAnsi"/>
          <w:bCs/>
          <w:snapToGrid w:val="0"/>
        </w:rPr>
        <w:t xml:space="preserve"> </w:t>
      </w:r>
      <w:r w:rsidR="00B54B85">
        <w:rPr>
          <w:rFonts w:asciiTheme="minorHAnsi" w:hAnsiTheme="minorHAnsi"/>
          <w:bCs/>
          <w:snapToGrid w:val="0"/>
        </w:rPr>
        <w:t xml:space="preserve">there is currently a gap in treatment access for patients with FD, with some patients ineligible under the LSDP criteria and </w:t>
      </w:r>
      <w:r w:rsidR="006F40E0">
        <w:rPr>
          <w:rFonts w:asciiTheme="minorHAnsi" w:hAnsiTheme="minorHAnsi"/>
          <w:bCs/>
          <w:snapToGrid w:val="0"/>
        </w:rPr>
        <w:t>not having the mutation that is amenable to migalastat</w:t>
      </w:r>
      <w:r>
        <w:rPr>
          <w:rFonts w:asciiTheme="minorHAnsi" w:hAnsiTheme="minorHAnsi"/>
          <w:bCs/>
          <w:snapToGrid w:val="0"/>
        </w:rPr>
        <w:t xml:space="preserve">. </w:t>
      </w:r>
    </w:p>
    <w:bookmarkEnd w:id="17"/>
    <w:bookmarkEnd w:id="19"/>
    <w:bookmarkEnd w:id="20"/>
    <w:p w14:paraId="609C0765" w14:textId="4059AD44" w:rsidR="00B60939" w:rsidRPr="0098262F" w:rsidRDefault="00B60939" w:rsidP="009D09F4">
      <w:pPr>
        <w:pStyle w:val="4-SubsectionHeading"/>
        <w:keepNext w:val="0"/>
      </w:pPr>
      <w:r w:rsidRPr="0098262F">
        <w:t xml:space="preserve">Clinical </w:t>
      </w:r>
      <w:r w:rsidR="00D5243B" w:rsidRPr="0098262F">
        <w:t>stud</w:t>
      </w:r>
      <w:r w:rsidR="001D3AAE">
        <w:t>ies</w:t>
      </w:r>
      <w:bookmarkEnd w:id="14"/>
      <w:bookmarkEnd w:id="18"/>
    </w:p>
    <w:p w14:paraId="3FC5B8B6" w14:textId="6A0425B0" w:rsidR="006E09FB" w:rsidRPr="0098262F" w:rsidRDefault="006E09FB" w:rsidP="009D09F4">
      <w:pPr>
        <w:pStyle w:val="3-BodyText"/>
        <w:rPr>
          <w:color w:val="0066FF"/>
        </w:rPr>
      </w:pPr>
      <w:bookmarkStart w:id="21" w:name="_Toc22897641"/>
      <w:r w:rsidRPr="00BB6CD4">
        <w:rPr>
          <w:rStyle w:val="3-BodyTextChar"/>
        </w:rPr>
        <w:t>The submission was based on one head-to-head, multicentre, double-blind, Phase III randomised controlled trial (RCT) comparing pegunigalsidase alpha (1</w:t>
      </w:r>
      <w:r>
        <w:rPr>
          <w:rStyle w:val="3-BodyTextChar"/>
        </w:rPr>
        <w:t xml:space="preserve"> </w:t>
      </w:r>
      <w:r w:rsidRPr="00BB6CD4">
        <w:rPr>
          <w:rStyle w:val="3-BodyTextChar"/>
        </w:rPr>
        <w:t>mg/kg every 2</w:t>
      </w:r>
      <w:r w:rsidR="00E13BDC">
        <w:rPr>
          <w:rStyle w:val="3-BodyTextChar"/>
        </w:rPr>
        <w:t> </w:t>
      </w:r>
      <w:r w:rsidRPr="00BB6CD4">
        <w:rPr>
          <w:rStyle w:val="3-BodyTextChar"/>
        </w:rPr>
        <w:t>weeks [</w:t>
      </w:r>
      <w:r w:rsidR="00C56AD6">
        <w:rPr>
          <w:rStyle w:val="3-BodyTextChar"/>
        </w:rPr>
        <w:t>Q</w:t>
      </w:r>
      <w:r w:rsidRPr="00BB6CD4">
        <w:rPr>
          <w:rStyle w:val="3-BodyTextChar"/>
        </w:rPr>
        <w:t>2W]) versus agalsidase beta (1</w:t>
      </w:r>
      <w:r>
        <w:rPr>
          <w:rStyle w:val="3-BodyTextChar"/>
        </w:rPr>
        <w:t xml:space="preserve"> </w:t>
      </w:r>
      <w:r w:rsidRPr="00BB6CD4">
        <w:rPr>
          <w:rStyle w:val="3-BodyTextChar"/>
        </w:rPr>
        <w:t xml:space="preserve">mg/kg </w:t>
      </w:r>
      <w:r w:rsidR="002943CE">
        <w:rPr>
          <w:rStyle w:val="3-BodyTextChar"/>
        </w:rPr>
        <w:t>Q</w:t>
      </w:r>
      <w:r w:rsidRPr="00BB6CD4">
        <w:rPr>
          <w:rStyle w:val="3-BodyTextChar"/>
        </w:rPr>
        <w:t>2W) over 24 months in symptomatic FD patients with deteriorating renal function</w:t>
      </w:r>
      <w:r>
        <w:rPr>
          <w:rStyle w:val="3-BodyTextChar"/>
        </w:rPr>
        <w:t xml:space="preserve"> who</w:t>
      </w:r>
      <w:r w:rsidRPr="00BB6CD4">
        <w:rPr>
          <w:rStyle w:val="3-BodyTextChar"/>
        </w:rPr>
        <w:t xml:space="preserve"> had received agalsidase beta for at least 1 year: BALANCE (N=77). A claim of non-inferiority was made on the outcome of annualised change in eGFR; change from baseline in: Urine </w:t>
      </w:r>
      <w:r w:rsidRPr="00BB6CD4">
        <w:rPr>
          <w:rStyle w:val="3-BodyTextChar"/>
        </w:rPr>
        <w:lastRenderedPageBreak/>
        <w:t xml:space="preserve">Protein/Creatinine Ratio (UPCR), Left Ventricular Mass Index (LVMI), stress test, plasma </w:t>
      </w:r>
      <w:r>
        <w:rPr>
          <w:rStyle w:val="3-BodyTextChar"/>
        </w:rPr>
        <w:t>l</w:t>
      </w:r>
      <w:r w:rsidRPr="00BB6CD4">
        <w:rPr>
          <w:rStyle w:val="3-BodyTextChar"/>
        </w:rPr>
        <w:t xml:space="preserve">yso-Gb3, plasma Gb3, urine </w:t>
      </w:r>
      <w:r>
        <w:rPr>
          <w:rStyle w:val="3-BodyTextChar"/>
        </w:rPr>
        <w:t>l</w:t>
      </w:r>
      <w:r w:rsidRPr="00BB6CD4">
        <w:rPr>
          <w:rStyle w:val="3-BodyTextChar"/>
        </w:rPr>
        <w:t xml:space="preserve">yso-Gb3, Brief Pain Inventory (BPI) pain severity and Mainz Severity Score Index (MSSI); </w:t>
      </w:r>
      <w:r>
        <w:rPr>
          <w:rStyle w:val="3-BodyTextChar"/>
        </w:rPr>
        <w:t xml:space="preserve">Fabry </w:t>
      </w:r>
      <w:r w:rsidRPr="00BB6CD4">
        <w:rPr>
          <w:rStyle w:val="3-BodyTextChar"/>
        </w:rPr>
        <w:t>clinical events</w:t>
      </w:r>
      <w:r>
        <w:rPr>
          <w:rStyle w:val="3-BodyTextChar"/>
        </w:rPr>
        <w:t xml:space="preserve"> (FCE)</w:t>
      </w:r>
      <w:r w:rsidRPr="00BB6CD4">
        <w:rPr>
          <w:rStyle w:val="3-BodyTextChar"/>
        </w:rPr>
        <w:t>; change in QoL: EuroQoL-5 Dimension-5 Level (EQ-5D-5L), and adverse events (AEs).</w:t>
      </w:r>
    </w:p>
    <w:p w14:paraId="1F4BECA5" w14:textId="2F667D71" w:rsidR="006E09FB" w:rsidRPr="006D5FB1" w:rsidRDefault="006E09FB" w:rsidP="009D09F4">
      <w:pPr>
        <w:pStyle w:val="3-BodyText"/>
      </w:pPr>
      <w:r w:rsidRPr="006D5FB1">
        <w:t xml:space="preserve">The submission used the study results of the following </w:t>
      </w:r>
      <w:r>
        <w:t xml:space="preserve">five </w:t>
      </w:r>
      <w:r w:rsidRPr="006D5FB1">
        <w:t>non-comparative studies</w:t>
      </w:r>
      <w:r>
        <w:t xml:space="preserve">: </w:t>
      </w:r>
      <w:r w:rsidRPr="00125651">
        <w:t>BRIDGE</w:t>
      </w:r>
      <w:r>
        <w:t xml:space="preserve">, </w:t>
      </w:r>
      <w:r w:rsidRPr="00125651">
        <w:t>BRIGHT</w:t>
      </w:r>
      <w:r>
        <w:t xml:space="preserve">, </w:t>
      </w:r>
      <w:r w:rsidRPr="00125651">
        <w:t>PB-102-F01</w:t>
      </w:r>
      <w:r>
        <w:t xml:space="preserve">, </w:t>
      </w:r>
      <w:r w:rsidRPr="00125651">
        <w:t>PB-102-F02</w:t>
      </w:r>
      <w:r>
        <w:t xml:space="preserve"> and </w:t>
      </w:r>
      <w:r w:rsidRPr="00125651">
        <w:t>PB-102-F03</w:t>
      </w:r>
      <w:r w:rsidRPr="006D5FB1">
        <w:t xml:space="preserve"> as additional evidence to support the clinical claims presented in the BALANCE trial</w:t>
      </w:r>
      <w:r>
        <w:t xml:space="preserve">. </w:t>
      </w:r>
      <w:r w:rsidRPr="003B13EC">
        <w:t>While these studies were not the primary focus of the evidence base, their results are summarised in para</w:t>
      </w:r>
      <w:r w:rsidR="00CC78DA" w:rsidRPr="003B13EC">
        <w:t>graphs</w:t>
      </w:r>
      <w:r w:rsidRPr="003B13EC">
        <w:t xml:space="preserve"> </w:t>
      </w:r>
      <w:r w:rsidRPr="003B13EC">
        <w:fldChar w:fldCharType="begin" w:fldLock="1"/>
      </w:r>
      <w:r w:rsidRPr="003B13EC">
        <w:instrText xml:space="preserve"> REF _Ref195477392 \r \h </w:instrText>
      </w:r>
      <w:r w:rsidR="003B13EC">
        <w:instrText xml:space="preserve"> \* MERGEFORMAT </w:instrText>
      </w:r>
      <w:r w:rsidRPr="003B13EC">
        <w:fldChar w:fldCharType="separate"/>
      </w:r>
      <w:r w:rsidR="00881387">
        <w:t>6.29</w:t>
      </w:r>
      <w:r w:rsidRPr="003B13EC">
        <w:fldChar w:fldCharType="end"/>
      </w:r>
      <w:r w:rsidRPr="003B13EC">
        <w:t xml:space="preserve">, </w:t>
      </w:r>
      <w:r w:rsidRPr="003B13EC">
        <w:fldChar w:fldCharType="begin" w:fldLock="1"/>
      </w:r>
      <w:r w:rsidRPr="003B13EC">
        <w:instrText xml:space="preserve"> REF _Ref195477402 \r \h </w:instrText>
      </w:r>
      <w:r w:rsidR="003B13EC">
        <w:instrText xml:space="preserve"> \* MERGEFORMAT </w:instrText>
      </w:r>
      <w:r w:rsidRPr="003B13EC">
        <w:fldChar w:fldCharType="separate"/>
      </w:r>
      <w:r w:rsidR="00881387">
        <w:t>6.30</w:t>
      </w:r>
      <w:r w:rsidRPr="003B13EC">
        <w:fldChar w:fldCharType="end"/>
      </w:r>
      <w:r w:rsidRPr="003B13EC">
        <w:t xml:space="preserve"> and </w:t>
      </w:r>
      <w:r w:rsidRPr="003B13EC">
        <w:fldChar w:fldCharType="begin" w:fldLock="1"/>
      </w:r>
      <w:r w:rsidRPr="003B13EC">
        <w:instrText xml:space="preserve"> REF _Ref195477416 \r \h </w:instrText>
      </w:r>
      <w:r w:rsidR="003B13EC">
        <w:instrText xml:space="preserve"> \* MERGEFORMAT </w:instrText>
      </w:r>
      <w:r w:rsidRPr="003B13EC">
        <w:fldChar w:fldCharType="separate"/>
      </w:r>
      <w:r w:rsidR="00881387">
        <w:t>6.48</w:t>
      </w:r>
      <w:r w:rsidRPr="003B13EC">
        <w:fldChar w:fldCharType="end"/>
      </w:r>
      <w:r w:rsidRPr="003B13EC">
        <w:t xml:space="preserve"> for consideration:</w:t>
      </w:r>
    </w:p>
    <w:p w14:paraId="3EC23734" w14:textId="13A1742B" w:rsidR="006E09FB" w:rsidRPr="00DE4D7D" w:rsidRDefault="006E09FB" w:rsidP="00BC70B7">
      <w:pPr>
        <w:pStyle w:val="ListParagraph"/>
        <w:ind w:left="1080"/>
        <w:jc w:val="both"/>
      </w:pPr>
      <w:r w:rsidRPr="00DE4D7D">
        <w:t>BRIDGE (N=22) was a Phase III, open-label, single arm, switch-over study designed to evaluate the safety and efficacy of 12 months of pegunigalsidase alfa (1</w:t>
      </w:r>
      <w:r>
        <w:t xml:space="preserve"> </w:t>
      </w:r>
      <w:r w:rsidRPr="00DE4D7D">
        <w:t xml:space="preserve">mg/kg </w:t>
      </w:r>
      <w:r w:rsidR="002943CE">
        <w:t>Q</w:t>
      </w:r>
      <w:r w:rsidRPr="00DE4D7D">
        <w:t xml:space="preserve">2W) in adult patients with FD who have been previously treated with agalsidase alfa for ≥2 years. </w:t>
      </w:r>
    </w:p>
    <w:p w14:paraId="3BCCA7BF" w14:textId="5E37A862" w:rsidR="006E09FB" w:rsidRPr="00DE4D7D" w:rsidRDefault="006E09FB" w:rsidP="00BC70B7">
      <w:pPr>
        <w:pStyle w:val="ListParagraph"/>
        <w:ind w:left="1080"/>
        <w:jc w:val="both"/>
      </w:pPr>
      <w:r w:rsidRPr="00DE4D7D">
        <w:t>BRIGHT (N=30) was a Phase III, open-label, single arm, switch-over study evaluating the efficacy and safety of pegunigalsidase alfa (2</w:t>
      </w:r>
      <w:r>
        <w:t xml:space="preserve"> </w:t>
      </w:r>
      <w:r w:rsidRPr="00DE4D7D">
        <w:t>mg/kg every 4</w:t>
      </w:r>
      <w:r w:rsidR="00BE37FB">
        <w:t> </w:t>
      </w:r>
      <w:r w:rsidRPr="00DE4D7D">
        <w:t>weeks [</w:t>
      </w:r>
      <w:r w:rsidR="00C56AD6">
        <w:t>Q</w:t>
      </w:r>
      <w:r w:rsidRPr="00DE4D7D">
        <w:t xml:space="preserve">4W]) over a period of 52 weeks in patients with FD who were previously treated with ERT: agalsidase alfa or agalsidase </w:t>
      </w:r>
      <w:r w:rsidRPr="004258C8">
        <w:t xml:space="preserve">beta, for ≥3 years. The recommended dosing as per the draft PI for pegunigalsidase alfa is 1 mg/kg </w:t>
      </w:r>
      <w:r w:rsidR="002943CE" w:rsidRPr="004258C8">
        <w:t>Q</w:t>
      </w:r>
      <w:r w:rsidRPr="004258C8">
        <w:t>2W.</w:t>
      </w:r>
    </w:p>
    <w:p w14:paraId="354C2CC5" w14:textId="4AA68B77" w:rsidR="006E09FB" w:rsidRPr="00DE4D7D" w:rsidRDefault="006E09FB" w:rsidP="00BC70B7">
      <w:pPr>
        <w:pStyle w:val="ListParagraph"/>
        <w:ind w:left="1080"/>
        <w:jc w:val="both"/>
      </w:pPr>
      <w:r w:rsidRPr="00DE4D7D">
        <w:t>PB-102-F01 (N=18) and its extension studies PB-102-F02 (N=</w:t>
      </w:r>
      <w:r w:rsidR="007E4D00">
        <w:t>16</w:t>
      </w:r>
      <w:r w:rsidRPr="00DE4D7D">
        <w:t xml:space="preserve">) and PB-102-F03 (N=15) were three Phase I/II, open-label, single-arm studies assessing pegunigalsidase alfa in treatment naive patients or those not receiving treatment in the last </w:t>
      </w:r>
      <w:r>
        <w:t>six</w:t>
      </w:r>
      <w:r w:rsidRPr="00DE4D7D">
        <w:t xml:space="preserve"> months. Patients were enrolled into one of three dosing groups (0.2 mg/kg, 1.0 mg/kg, 2.0 mg/kg </w:t>
      </w:r>
      <w:r w:rsidR="002943CE">
        <w:t>Q</w:t>
      </w:r>
      <w:r w:rsidRPr="00DE4D7D">
        <w:t xml:space="preserve">2W) and assessed over a </w:t>
      </w:r>
      <w:r>
        <w:t>three</w:t>
      </w:r>
      <w:r w:rsidRPr="00DE4D7D">
        <w:t xml:space="preserve">-month period in </w:t>
      </w:r>
      <w:r w:rsidR="007902B5">
        <w:br/>
      </w:r>
      <w:r w:rsidRPr="00DE4D7D">
        <w:t xml:space="preserve">PB-102-F01, followed by an additional </w:t>
      </w:r>
      <w:r>
        <w:t>nine</w:t>
      </w:r>
      <w:r w:rsidRPr="00DE4D7D">
        <w:t xml:space="preserve">-month period in PB-102-F02. </w:t>
      </w:r>
      <w:r w:rsidR="007902B5">
        <w:br/>
      </w:r>
      <w:r w:rsidRPr="00DE4D7D">
        <w:t xml:space="preserve">PB-102-F03 evaluated 1.0 mg/kg </w:t>
      </w:r>
      <w:r w:rsidR="002943CE">
        <w:t>Q</w:t>
      </w:r>
      <w:r w:rsidRPr="00DE4D7D">
        <w:t>2W of pegunigalsidase alfa for up to 60 months with no less than 36 months in patients who successfully completed treatment in studies PB-102-F01 and PB-102-F02.</w:t>
      </w:r>
    </w:p>
    <w:p w14:paraId="465E4800" w14:textId="58F4C86E" w:rsidR="006E09FB" w:rsidRDefault="006E09FB" w:rsidP="009D09F4">
      <w:pPr>
        <w:pStyle w:val="3-BodyText"/>
      </w:pPr>
      <w:r>
        <w:t>The submission also identified two RCTs for migalastat, which have been previously considered by PBAC (para</w:t>
      </w:r>
      <w:r w:rsidR="00AA0809">
        <w:t>graph</w:t>
      </w:r>
      <w:r>
        <w:t xml:space="preserve"> 6.7, migalastat, PSD, March 2024 PBAC meeting): </w:t>
      </w:r>
    </w:p>
    <w:p w14:paraId="29FCF7F3" w14:textId="77777777" w:rsidR="006E09FB" w:rsidRDefault="006E09FB" w:rsidP="00BC70B7">
      <w:pPr>
        <w:pStyle w:val="ListParagraph"/>
        <w:ind w:left="1080"/>
        <w:jc w:val="both"/>
      </w:pPr>
      <w:r>
        <w:t>ATTRACT (intention to treat [ITT), N=60; modified ITT [</w:t>
      </w:r>
      <w:proofErr w:type="spellStart"/>
      <w:r>
        <w:t>mITT</w:t>
      </w:r>
      <w:proofErr w:type="spellEnd"/>
      <w:r>
        <w:t xml:space="preserve">] amenable, N=52) was a Phase III, open label, RCT comparing migalastat versus ERT in treatment-experienced FD patients (ERT: agalsidase alfa and agalsidase beta). </w:t>
      </w:r>
    </w:p>
    <w:p w14:paraId="68C0F7D9" w14:textId="77777777" w:rsidR="006E09FB" w:rsidRDefault="006E09FB" w:rsidP="00BC70B7">
      <w:pPr>
        <w:pStyle w:val="ListParagraph"/>
        <w:ind w:left="1080"/>
        <w:jc w:val="both"/>
      </w:pPr>
      <w:r>
        <w:t xml:space="preserve">FACETS (ITT, N=67; </w:t>
      </w:r>
      <w:proofErr w:type="spellStart"/>
      <w:r>
        <w:t>mITT</w:t>
      </w:r>
      <w:proofErr w:type="spellEnd"/>
      <w:r>
        <w:t xml:space="preserve"> amenable, N=50) was a Phase III RCT comparing migalastat versus placebo in patients who were ERT treatment-naïve or had not received ERT for six months prior to trial entry.</w:t>
      </w:r>
    </w:p>
    <w:p w14:paraId="4DF1201D" w14:textId="55FD25E5" w:rsidR="006E09FB" w:rsidRPr="003D116F" w:rsidRDefault="006E09FB" w:rsidP="009D09F4">
      <w:pPr>
        <w:pStyle w:val="3-BodyText"/>
        <w:rPr>
          <w:i/>
          <w:iCs/>
        </w:rPr>
      </w:pPr>
      <w:r>
        <w:t xml:space="preserve">There are no head-to-head trials comparing pegunigalsidase alfa and migalastat and the submission did not present an indirect treatment comparison (ITC) to support the clinical claim. </w:t>
      </w:r>
      <w:r w:rsidRPr="00417943">
        <w:t xml:space="preserve">The submission instead presented limited evidence on baseline characteristics, data on eGFR and a summary of </w:t>
      </w:r>
      <w:r>
        <w:t>AEs</w:t>
      </w:r>
      <w:r w:rsidRPr="00417943">
        <w:t xml:space="preserve"> for ATTRACT</w:t>
      </w:r>
      <w:r w:rsidR="00293CC8">
        <w:t>,</w:t>
      </w:r>
      <w:r w:rsidRPr="00417943">
        <w:t xml:space="preserve"> and brief results for FACETS</w:t>
      </w:r>
      <w:r w:rsidR="00293CC8">
        <w:t>,</w:t>
      </w:r>
      <w:r w:rsidRPr="00417943">
        <w:t xml:space="preserve"> to support the clinical claim against migalastat</w:t>
      </w:r>
      <w:r>
        <w:t>.</w:t>
      </w:r>
      <w:r w:rsidRPr="004258C8">
        <w:t xml:space="preserve"> Given that migalastat is also </w:t>
      </w:r>
      <w:r w:rsidRPr="004258C8">
        <w:lastRenderedPageBreak/>
        <w:t>a relevant comparator (among FD patients with amenable disease) and it was used as the comparator in the cost-minimisation approach, it is important to present the key evidence base for consideration.</w:t>
      </w:r>
    </w:p>
    <w:p w14:paraId="3669E209" w14:textId="675A6EB6" w:rsidR="006E09FB" w:rsidRPr="004258C8" w:rsidRDefault="006E09FB" w:rsidP="009D09F4">
      <w:pPr>
        <w:pStyle w:val="3-BodyText"/>
      </w:pPr>
      <w:r w:rsidRPr="004258C8">
        <w:t xml:space="preserve">The evidence base for ATTRACT was included across the </w:t>
      </w:r>
      <w:r w:rsidR="000E106C" w:rsidRPr="004258C8">
        <w:t xml:space="preserve">evaluation </w:t>
      </w:r>
      <w:r w:rsidRPr="004258C8">
        <w:t>as this would be a relevant trial for an ITC comparing pegunigalsidase and migalastat (using ERT as common comparator). FACETS is unlikely to be relevant to the ITC.</w:t>
      </w:r>
    </w:p>
    <w:p w14:paraId="17114385" w14:textId="44EF21A3" w:rsidR="008A4EDF" w:rsidRDefault="006E09FB" w:rsidP="009D09F4">
      <w:pPr>
        <w:pStyle w:val="3-BodyText"/>
      </w:pPr>
      <w:r w:rsidRPr="0098262F">
        <w:t xml:space="preserve">Details of the studies presented in the submission </w:t>
      </w:r>
      <w:r>
        <w:t xml:space="preserve">to support the claim </w:t>
      </w:r>
      <w:r w:rsidRPr="0098262F">
        <w:t xml:space="preserve">are provided in </w:t>
      </w:r>
      <w:r w:rsidRPr="0098262F">
        <w:fldChar w:fldCharType="begin" w:fldLock="1"/>
      </w:r>
      <w:r w:rsidRPr="0098262F">
        <w:instrText xml:space="preserve"> REF _Ref104803956 \h </w:instrText>
      </w:r>
      <w:r w:rsidRPr="0098262F">
        <w:fldChar w:fldCharType="separate"/>
      </w:r>
      <w:r w:rsidR="008D674F" w:rsidRPr="0098262F">
        <w:t xml:space="preserve">Table </w:t>
      </w:r>
      <w:r w:rsidR="008D674F">
        <w:rPr>
          <w:noProof/>
        </w:rPr>
        <w:t>2</w:t>
      </w:r>
      <w:r w:rsidRPr="0098262F">
        <w:fldChar w:fldCharType="end"/>
      </w:r>
      <w:r w:rsidRPr="0098262F">
        <w:t>.</w:t>
      </w:r>
    </w:p>
    <w:p w14:paraId="0C580D67" w14:textId="4DC4CEA3" w:rsidR="006E09FB" w:rsidRPr="0098262F" w:rsidRDefault="006E09FB" w:rsidP="00DF00F0">
      <w:pPr>
        <w:pStyle w:val="TableFigureHeading"/>
        <w:keepLines/>
        <w:rPr>
          <w:rStyle w:val="CommentReference"/>
          <w:b/>
          <w:szCs w:val="24"/>
        </w:rPr>
      </w:pPr>
      <w:bookmarkStart w:id="22" w:name="_Ref104803956"/>
      <w:r w:rsidRPr="0098262F">
        <w:t xml:space="preserve">Table </w:t>
      </w:r>
      <w:r>
        <w:fldChar w:fldCharType="begin" w:fldLock="1"/>
      </w:r>
      <w:r>
        <w:instrText>SEQ Table \* ARABIC</w:instrText>
      </w:r>
      <w:r>
        <w:fldChar w:fldCharType="separate"/>
      </w:r>
      <w:r w:rsidR="004E7462">
        <w:rPr>
          <w:noProof/>
        </w:rPr>
        <w:t>2</w:t>
      </w:r>
      <w:r>
        <w:fldChar w:fldCharType="end"/>
      </w:r>
      <w:bookmarkEnd w:id="22"/>
      <w:r w:rsidRPr="0098262F">
        <w:t>:</w:t>
      </w:r>
      <w:r w:rsidRPr="0098262F">
        <w:rPr>
          <w:rStyle w:val="CommentReference"/>
          <w:b/>
          <w:szCs w:val="24"/>
        </w:rPr>
        <w:t xml:space="preserve"> </w:t>
      </w:r>
      <w:r>
        <w:rPr>
          <w:rStyle w:val="CommentReference"/>
          <w:b/>
          <w:szCs w:val="24"/>
        </w:rPr>
        <w:t>Studies</w:t>
      </w:r>
      <w:r w:rsidRPr="0098262F">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6E09FB" w:rsidRPr="0098262F" w14:paraId="3EE773E7" w14:textId="77777777" w:rsidTr="001E144A">
        <w:trPr>
          <w:tblHeader/>
        </w:trPr>
        <w:tc>
          <w:tcPr>
            <w:tcW w:w="796" w:type="pct"/>
          </w:tcPr>
          <w:p w14:paraId="2906D1DB" w14:textId="77777777" w:rsidR="006E09FB" w:rsidRPr="00755463" w:rsidRDefault="006E09FB" w:rsidP="00DF00F0">
            <w:pPr>
              <w:pStyle w:val="TableText0"/>
              <w:rPr>
                <w:b/>
                <w:bCs w:val="0"/>
              </w:rPr>
            </w:pPr>
            <w:r w:rsidRPr="00755463">
              <w:rPr>
                <w:b/>
                <w:bCs w:val="0"/>
              </w:rPr>
              <w:t>Trial ID</w:t>
            </w:r>
          </w:p>
        </w:tc>
        <w:tc>
          <w:tcPr>
            <w:tcW w:w="3027" w:type="pct"/>
            <w:tcBorders>
              <w:bottom w:val="single" w:sz="4" w:space="0" w:color="auto"/>
            </w:tcBorders>
          </w:tcPr>
          <w:p w14:paraId="05AD8332" w14:textId="77777777" w:rsidR="006E09FB" w:rsidRPr="00755463" w:rsidRDefault="006E09FB" w:rsidP="00DF00F0">
            <w:pPr>
              <w:pStyle w:val="TableText0"/>
              <w:rPr>
                <w:b/>
                <w:bCs w:val="0"/>
              </w:rPr>
            </w:pPr>
            <w:r w:rsidRPr="00755463">
              <w:rPr>
                <w:b/>
                <w:bCs w:val="0"/>
              </w:rPr>
              <w:t>Protocol title/ Publication title</w:t>
            </w:r>
          </w:p>
        </w:tc>
        <w:tc>
          <w:tcPr>
            <w:tcW w:w="1177" w:type="pct"/>
            <w:tcBorders>
              <w:bottom w:val="single" w:sz="4" w:space="0" w:color="auto"/>
            </w:tcBorders>
          </w:tcPr>
          <w:p w14:paraId="6C8ED753" w14:textId="77777777" w:rsidR="006E09FB" w:rsidRPr="00755463" w:rsidRDefault="006E09FB" w:rsidP="00DF00F0">
            <w:pPr>
              <w:pStyle w:val="TableText0"/>
              <w:rPr>
                <w:b/>
                <w:bCs w:val="0"/>
              </w:rPr>
            </w:pPr>
            <w:r w:rsidRPr="00755463">
              <w:rPr>
                <w:b/>
                <w:bCs w:val="0"/>
              </w:rPr>
              <w:t>Publication citation</w:t>
            </w:r>
          </w:p>
        </w:tc>
      </w:tr>
      <w:tr w:rsidR="006E09FB" w:rsidRPr="0098262F" w14:paraId="7F22AD45" w14:textId="77777777" w:rsidTr="001E144A">
        <w:tc>
          <w:tcPr>
            <w:tcW w:w="796" w:type="pct"/>
            <w:vMerge w:val="restart"/>
          </w:tcPr>
          <w:p w14:paraId="50563C5C" w14:textId="77777777" w:rsidR="006E09FB" w:rsidRDefault="006E09FB" w:rsidP="00DF00F0">
            <w:pPr>
              <w:pStyle w:val="TableText0"/>
            </w:pPr>
            <w:r>
              <w:t>BALANCE</w:t>
            </w:r>
          </w:p>
          <w:p w14:paraId="17566E4A" w14:textId="77777777" w:rsidR="006E09FB" w:rsidRPr="0098262F" w:rsidRDefault="006E09FB" w:rsidP="00DF00F0">
            <w:pPr>
              <w:pStyle w:val="TableText0"/>
            </w:pPr>
            <w:r w:rsidRPr="00DE20F5">
              <w:t>NCT02795676</w:t>
            </w:r>
          </w:p>
        </w:tc>
        <w:tc>
          <w:tcPr>
            <w:tcW w:w="3027" w:type="pct"/>
            <w:tcBorders>
              <w:bottom w:val="single" w:sz="4" w:space="0" w:color="auto"/>
            </w:tcBorders>
          </w:tcPr>
          <w:p w14:paraId="69D1D0B1" w14:textId="77777777" w:rsidR="006E09FB" w:rsidRPr="0098262F" w:rsidRDefault="006E09FB" w:rsidP="00DF00F0">
            <w:pPr>
              <w:pStyle w:val="TableText0"/>
            </w:pPr>
            <w:r w:rsidRPr="00F16CD5">
              <w:t>A Randomized, Double-blind, Active Control Study of the Safety and Efficacy of pegunigalsidase alfa Compared to Agalsidase Beta on Renal Function in Patients with Fabry Disease Previously Treated with Agalsidase Beta (The BALANCE Study).</w:t>
            </w:r>
          </w:p>
        </w:tc>
        <w:tc>
          <w:tcPr>
            <w:tcW w:w="1177" w:type="pct"/>
            <w:tcBorders>
              <w:bottom w:val="single" w:sz="4" w:space="0" w:color="auto"/>
            </w:tcBorders>
          </w:tcPr>
          <w:p w14:paraId="313FFEE7" w14:textId="77777777" w:rsidR="006E09FB" w:rsidRPr="0098262F" w:rsidRDefault="006E09FB" w:rsidP="00DF00F0">
            <w:pPr>
              <w:pStyle w:val="TableText0"/>
            </w:pPr>
            <w:r>
              <w:t>CSR July 2022</w:t>
            </w:r>
          </w:p>
        </w:tc>
      </w:tr>
      <w:tr w:rsidR="006E09FB" w:rsidRPr="0098262F" w14:paraId="59A0E68D" w14:textId="77777777" w:rsidTr="001E144A">
        <w:tc>
          <w:tcPr>
            <w:tcW w:w="796" w:type="pct"/>
            <w:vMerge/>
          </w:tcPr>
          <w:p w14:paraId="705E2999" w14:textId="77777777" w:rsidR="006E09FB" w:rsidRPr="0098262F" w:rsidRDefault="006E09FB" w:rsidP="00DF00F0">
            <w:pPr>
              <w:pStyle w:val="TableText0"/>
            </w:pPr>
          </w:p>
        </w:tc>
        <w:tc>
          <w:tcPr>
            <w:tcW w:w="3027" w:type="pct"/>
            <w:tcBorders>
              <w:top w:val="single" w:sz="4" w:space="0" w:color="auto"/>
              <w:bottom w:val="single" w:sz="4" w:space="0" w:color="auto"/>
            </w:tcBorders>
          </w:tcPr>
          <w:p w14:paraId="676EC465" w14:textId="77777777" w:rsidR="006E09FB" w:rsidRPr="001F2385" w:rsidRDefault="006E09FB" w:rsidP="00DF00F0">
            <w:pPr>
              <w:pStyle w:val="TableText0"/>
            </w:pPr>
            <w:r w:rsidRPr="001F2385">
              <w:t xml:space="preserve">Wallace et al . Head-to-head trial of pegunigalsidase alfa versus agalsidase beta in patients with Fabry disease and deteriorating renal function: results from the 2-year randomised phase III BALANCE study. </w:t>
            </w:r>
          </w:p>
        </w:tc>
        <w:tc>
          <w:tcPr>
            <w:tcW w:w="1177" w:type="pct"/>
            <w:tcBorders>
              <w:top w:val="single" w:sz="4" w:space="0" w:color="auto"/>
              <w:bottom w:val="single" w:sz="4" w:space="0" w:color="auto"/>
            </w:tcBorders>
          </w:tcPr>
          <w:p w14:paraId="1F715399" w14:textId="77777777" w:rsidR="006E09FB" w:rsidRPr="001F2385" w:rsidRDefault="006E09FB" w:rsidP="00DF00F0">
            <w:pPr>
              <w:pStyle w:val="TableText0"/>
            </w:pPr>
            <w:r w:rsidRPr="001F2385">
              <w:t>Journal of medical genetics. 2024 Jun 1;61(6):520-30.</w:t>
            </w:r>
          </w:p>
        </w:tc>
      </w:tr>
      <w:tr w:rsidR="006E09FB" w:rsidRPr="0098262F" w14:paraId="782C131F" w14:textId="77777777" w:rsidTr="001E144A">
        <w:tc>
          <w:tcPr>
            <w:tcW w:w="796" w:type="pct"/>
            <w:vMerge/>
          </w:tcPr>
          <w:p w14:paraId="0CB9A47D" w14:textId="77777777" w:rsidR="006E09FB" w:rsidRPr="0098262F" w:rsidRDefault="006E09FB" w:rsidP="00DF00F0">
            <w:pPr>
              <w:pStyle w:val="TableText0"/>
            </w:pPr>
          </w:p>
        </w:tc>
        <w:tc>
          <w:tcPr>
            <w:tcW w:w="3027" w:type="pct"/>
            <w:tcBorders>
              <w:top w:val="single" w:sz="4" w:space="0" w:color="auto"/>
              <w:bottom w:val="single" w:sz="4" w:space="0" w:color="auto"/>
            </w:tcBorders>
          </w:tcPr>
          <w:p w14:paraId="48E80D27" w14:textId="77777777" w:rsidR="006E09FB" w:rsidRPr="001F2385" w:rsidRDefault="006E09FB" w:rsidP="00DF00F0">
            <w:pPr>
              <w:pStyle w:val="TableText0"/>
            </w:pPr>
            <w:r w:rsidRPr="001F2385">
              <w:t xml:space="preserve">Lee et al. PCR86 Estimating Health-Related Quality of Life in Fabry Disease for Patients Treated with Enzyme-Replacement Therapy in the BALANCE Randomized Controlled Trial. </w:t>
            </w:r>
          </w:p>
        </w:tc>
        <w:tc>
          <w:tcPr>
            <w:tcW w:w="1177" w:type="pct"/>
            <w:tcBorders>
              <w:top w:val="single" w:sz="4" w:space="0" w:color="auto"/>
              <w:bottom w:val="single" w:sz="4" w:space="0" w:color="auto"/>
            </w:tcBorders>
          </w:tcPr>
          <w:p w14:paraId="094D5E6C" w14:textId="143A321F" w:rsidR="006E09FB" w:rsidRPr="0098262F" w:rsidRDefault="006E09FB" w:rsidP="00DF00F0">
            <w:pPr>
              <w:pStyle w:val="TableText0"/>
              <w:rPr>
                <w:i/>
              </w:rPr>
            </w:pPr>
            <w:r w:rsidRPr="001F2385">
              <w:t>Value in Health. 2023 Dec</w:t>
            </w:r>
            <w:r w:rsidR="009D3147">
              <w:t> </w:t>
            </w:r>
            <w:r w:rsidRPr="001F2385">
              <w:t>1;26(12):S465.</w:t>
            </w:r>
          </w:p>
        </w:tc>
      </w:tr>
      <w:tr w:rsidR="006E09FB" w:rsidRPr="0098262F" w14:paraId="7D23FF76" w14:textId="77777777" w:rsidTr="001E144A">
        <w:tc>
          <w:tcPr>
            <w:tcW w:w="796" w:type="pct"/>
            <w:vMerge/>
            <w:tcBorders>
              <w:bottom w:val="nil"/>
            </w:tcBorders>
          </w:tcPr>
          <w:p w14:paraId="4DE68DD0"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20DB40A7" w14:textId="77777777" w:rsidR="006E09FB" w:rsidRPr="001F2385" w:rsidRDefault="006E09FB" w:rsidP="00755463">
            <w:pPr>
              <w:pStyle w:val="TableText0"/>
              <w:keepNext w:val="0"/>
              <w:keepLines w:val="0"/>
            </w:pPr>
            <w:r w:rsidRPr="001F2385">
              <w:t xml:space="preserve">Wallace et al. First results of a head-to-head trial of pegunigalsidase alfa vs. agalsidase beta in Fabry disease: 2-year results of the phase 3 randomized, double-blind, BALANCE study. </w:t>
            </w:r>
          </w:p>
        </w:tc>
        <w:tc>
          <w:tcPr>
            <w:tcW w:w="1177" w:type="pct"/>
            <w:tcBorders>
              <w:top w:val="single" w:sz="4" w:space="0" w:color="auto"/>
              <w:bottom w:val="single" w:sz="4" w:space="0" w:color="auto"/>
            </w:tcBorders>
          </w:tcPr>
          <w:p w14:paraId="164C0337" w14:textId="6F246FDC" w:rsidR="006E09FB" w:rsidRPr="0098262F" w:rsidRDefault="006E09FB" w:rsidP="00755463">
            <w:pPr>
              <w:pStyle w:val="TableText0"/>
              <w:keepNext w:val="0"/>
              <w:keepLines w:val="0"/>
              <w:rPr>
                <w:i/>
              </w:rPr>
            </w:pPr>
            <w:r w:rsidRPr="001F2385">
              <w:t>Molecular Genetics and Metabolism. 2023 Feb</w:t>
            </w:r>
            <w:r w:rsidR="00393626">
              <w:t> </w:t>
            </w:r>
            <w:r w:rsidRPr="001F2385">
              <w:t>1;138(2):107351.</w:t>
            </w:r>
          </w:p>
        </w:tc>
      </w:tr>
      <w:tr w:rsidR="006E09FB" w:rsidRPr="0098262F" w14:paraId="391CF8F4" w14:textId="77777777" w:rsidTr="009E2121">
        <w:tc>
          <w:tcPr>
            <w:tcW w:w="796" w:type="pct"/>
            <w:vMerge w:val="restart"/>
          </w:tcPr>
          <w:p w14:paraId="690C51B1" w14:textId="77777777" w:rsidR="006E09FB" w:rsidRDefault="006E09FB" w:rsidP="00755463">
            <w:pPr>
              <w:pStyle w:val="TableText0"/>
              <w:keepNext w:val="0"/>
              <w:keepLines w:val="0"/>
            </w:pPr>
            <w:r w:rsidRPr="00F56CA3">
              <w:t>BRIDGE</w:t>
            </w:r>
          </w:p>
          <w:p w14:paraId="18A6EF03" w14:textId="77777777" w:rsidR="006E09FB" w:rsidRPr="0098262F" w:rsidRDefault="006E09FB" w:rsidP="00755463">
            <w:pPr>
              <w:pStyle w:val="TableText0"/>
              <w:keepNext w:val="0"/>
              <w:keepLines w:val="0"/>
            </w:pPr>
            <w:r w:rsidRPr="00E4466B">
              <w:t>NCT03018730</w:t>
            </w:r>
          </w:p>
        </w:tc>
        <w:tc>
          <w:tcPr>
            <w:tcW w:w="3027" w:type="pct"/>
            <w:tcBorders>
              <w:top w:val="single" w:sz="4" w:space="0" w:color="auto"/>
              <w:bottom w:val="single" w:sz="4" w:space="0" w:color="auto"/>
            </w:tcBorders>
          </w:tcPr>
          <w:p w14:paraId="572BF54B" w14:textId="77777777" w:rsidR="006E09FB" w:rsidRPr="0098262F" w:rsidRDefault="006E09FB" w:rsidP="00755463">
            <w:pPr>
              <w:pStyle w:val="TableText0"/>
              <w:keepNext w:val="0"/>
              <w:keepLines w:val="0"/>
            </w:pPr>
            <w:r w:rsidRPr="0060335A">
              <w:t>An Open Label Study to Assess the Safety and Efficacy of pegunigalsidase alfa in Patients with Fabry Disease Currently Treated With REPLAGAL</w:t>
            </w:r>
            <w:r w:rsidRPr="00A57333">
              <w:rPr>
                <w:vertAlign w:val="superscript"/>
              </w:rPr>
              <w:t>®</w:t>
            </w:r>
            <w:r w:rsidRPr="0060335A">
              <w:t xml:space="preserve"> (Agalsidase Alfa).</w:t>
            </w:r>
          </w:p>
        </w:tc>
        <w:tc>
          <w:tcPr>
            <w:tcW w:w="1177" w:type="pct"/>
            <w:tcBorders>
              <w:top w:val="single" w:sz="4" w:space="0" w:color="auto"/>
              <w:bottom w:val="single" w:sz="4" w:space="0" w:color="auto"/>
            </w:tcBorders>
          </w:tcPr>
          <w:p w14:paraId="4C6E28B8" w14:textId="77777777" w:rsidR="006E09FB" w:rsidRPr="0098262F" w:rsidRDefault="006E09FB" w:rsidP="00755463">
            <w:pPr>
              <w:pStyle w:val="TableText0"/>
              <w:keepNext w:val="0"/>
              <w:keepLines w:val="0"/>
            </w:pPr>
            <w:r>
              <w:t>CSR November 2020</w:t>
            </w:r>
          </w:p>
        </w:tc>
      </w:tr>
      <w:tr w:rsidR="006E09FB" w:rsidRPr="0098262F" w14:paraId="369A6E9A" w14:textId="77777777" w:rsidTr="009E2121">
        <w:tc>
          <w:tcPr>
            <w:tcW w:w="796" w:type="pct"/>
            <w:vMerge/>
            <w:tcBorders>
              <w:bottom w:val="nil"/>
            </w:tcBorders>
          </w:tcPr>
          <w:p w14:paraId="278787E0"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1574710C" w14:textId="77777777" w:rsidR="006E09FB" w:rsidRPr="0098262F" w:rsidRDefault="006E09FB" w:rsidP="00755463">
            <w:pPr>
              <w:pStyle w:val="TableText0"/>
              <w:keepNext w:val="0"/>
              <w:keepLines w:val="0"/>
            </w:pPr>
            <w:r w:rsidRPr="001F2385">
              <w:t xml:space="preserve">Linhart et al. Safety and efficacy of pegunigalsidase alfa in patients with Fabry disease who were previously treated with agalsidase alfa: results from BRIDGE, a phase 3 open-label study. </w:t>
            </w:r>
          </w:p>
        </w:tc>
        <w:tc>
          <w:tcPr>
            <w:tcW w:w="1177" w:type="pct"/>
            <w:tcBorders>
              <w:top w:val="single" w:sz="4" w:space="0" w:color="auto"/>
              <w:bottom w:val="single" w:sz="4" w:space="0" w:color="auto"/>
            </w:tcBorders>
          </w:tcPr>
          <w:p w14:paraId="2F219694" w14:textId="645B1310" w:rsidR="006E09FB" w:rsidRPr="0098262F" w:rsidRDefault="006E09FB" w:rsidP="00755463">
            <w:pPr>
              <w:pStyle w:val="TableText0"/>
              <w:keepNext w:val="0"/>
              <w:keepLines w:val="0"/>
              <w:rPr>
                <w:i/>
              </w:rPr>
            </w:pPr>
            <w:proofErr w:type="spellStart"/>
            <w:r w:rsidRPr="001F2385">
              <w:t>Orphanet</w:t>
            </w:r>
            <w:proofErr w:type="spellEnd"/>
            <w:r w:rsidRPr="001F2385">
              <w:t xml:space="preserve"> Journal of Rare Diseases 2023 Oct</w:t>
            </w:r>
            <w:r w:rsidR="000C50BB">
              <w:t> </w:t>
            </w:r>
            <w:r w:rsidRPr="001F2385">
              <w:t>21;18(1):332.</w:t>
            </w:r>
          </w:p>
        </w:tc>
      </w:tr>
      <w:tr w:rsidR="006E09FB" w:rsidRPr="0098262F" w14:paraId="3C3F3D39" w14:textId="77777777" w:rsidTr="00B9250C">
        <w:tc>
          <w:tcPr>
            <w:tcW w:w="796" w:type="pct"/>
            <w:vMerge w:val="restart"/>
          </w:tcPr>
          <w:p w14:paraId="5D91E4AF" w14:textId="77777777" w:rsidR="006E09FB" w:rsidRDefault="006E09FB" w:rsidP="00755463">
            <w:pPr>
              <w:pStyle w:val="TableText0"/>
              <w:keepNext w:val="0"/>
              <w:keepLines w:val="0"/>
            </w:pPr>
            <w:r w:rsidRPr="0069110F">
              <w:t>BRIGHT</w:t>
            </w:r>
          </w:p>
          <w:p w14:paraId="40FEE624" w14:textId="77777777" w:rsidR="006E09FB" w:rsidRPr="0098262F" w:rsidRDefault="006E09FB" w:rsidP="00755463">
            <w:pPr>
              <w:pStyle w:val="TableText0"/>
              <w:keepNext w:val="0"/>
              <w:keepLines w:val="0"/>
            </w:pPr>
            <w:r w:rsidRPr="00D84C27">
              <w:t>NCT03180840</w:t>
            </w:r>
          </w:p>
        </w:tc>
        <w:tc>
          <w:tcPr>
            <w:tcW w:w="3027" w:type="pct"/>
            <w:tcBorders>
              <w:top w:val="single" w:sz="4" w:space="0" w:color="auto"/>
              <w:bottom w:val="single" w:sz="4" w:space="0" w:color="auto"/>
            </w:tcBorders>
          </w:tcPr>
          <w:p w14:paraId="0DCFC162" w14:textId="77777777" w:rsidR="006E09FB" w:rsidRPr="0098262F" w:rsidRDefault="006E09FB" w:rsidP="00755463">
            <w:pPr>
              <w:pStyle w:val="TableText0"/>
              <w:keepNext w:val="0"/>
              <w:keepLines w:val="0"/>
            </w:pPr>
            <w:r w:rsidRPr="000622B5">
              <w:t>A Phase 3, Open Label, Switch Over Study to Assess the Safety, Efficacy and Pharmacokinetics of Pegunigalsidase alfa (PEGUNIGALSIDASE ALFA) 2.0 mg/kg Administered by Intravenous Infusion Every 4 Weeks for 52 Weeks in Patients with Fabry Disease Currently Treated With Enzyme Replacement Therapy: Fabrazyme® (</w:t>
            </w:r>
            <w:proofErr w:type="spellStart"/>
            <w:r w:rsidRPr="000622B5">
              <w:t>Agalsidase</w:t>
            </w:r>
            <w:proofErr w:type="spellEnd"/>
            <w:r w:rsidRPr="000622B5">
              <w:t xml:space="preserve"> Beta) or </w:t>
            </w:r>
            <w:proofErr w:type="spellStart"/>
            <w:r w:rsidRPr="000622B5">
              <w:t>Replagal</w:t>
            </w:r>
            <w:proofErr w:type="spellEnd"/>
            <w:r w:rsidRPr="000622B5">
              <w:t>™ (</w:t>
            </w:r>
            <w:proofErr w:type="spellStart"/>
            <w:r w:rsidRPr="000622B5">
              <w:t>Agalsidase</w:t>
            </w:r>
            <w:proofErr w:type="spellEnd"/>
            <w:r w:rsidRPr="000622B5">
              <w:t xml:space="preserve"> Alfa).</w:t>
            </w:r>
          </w:p>
        </w:tc>
        <w:tc>
          <w:tcPr>
            <w:tcW w:w="1177" w:type="pct"/>
            <w:tcBorders>
              <w:top w:val="single" w:sz="4" w:space="0" w:color="auto"/>
              <w:bottom w:val="single" w:sz="4" w:space="0" w:color="auto"/>
            </w:tcBorders>
          </w:tcPr>
          <w:p w14:paraId="763A78F5" w14:textId="77777777" w:rsidR="006E09FB" w:rsidRPr="0098262F" w:rsidRDefault="006E09FB" w:rsidP="00755463">
            <w:pPr>
              <w:pStyle w:val="TableText0"/>
              <w:keepNext w:val="0"/>
              <w:keepLines w:val="0"/>
            </w:pPr>
            <w:r>
              <w:t>CSR November 2021</w:t>
            </w:r>
          </w:p>
        </w:tc>
      </w:tr>
      <w:tr w:rsidR="006E09FB" w:rsidRPr="0098262F" w14:paraId="0E84B39D" w14:textId="77777777" w:rsidTr="00B9250C">
        <w:tc>
          <w:tcPr>
            <w:tcW w:w="796" w:type="pct"/>
            <w:vMerge/>
          </w:tcPr>
          <w:p w14:paraId="611C950A"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208E789A" w14:textId="77777777" w:rsidR="006E09FB" w:rsidRPr="001F2385" w:rsidRDefault="006E09FB" w:rsidP="00755463">
            <w:pPr>
              <w:pStyle w:val="TableText0"/>
              <w:keepNext w:val="0"/>
              <w:keepLines w:val="0"/>
            </w:pPr>
            <w:proofErr w:type="spellStart"/>
            <w:r w:rsidRPr="001F2385">
              <w:t>Holida</w:t>
            </w:r>
            <w:proofErr w:type="spellEnd"/>
            <w:r w:rsidRPr="001F2385">
              <w:t xml:space="preserve"> et al. A phase III, open</w:t>
            </w:r>
            <w:r w:rsidRPr="001F2385">
              <w:rPr>
                <w:rFonts w:ascii="Cambria Math" w:hAnsi="Cambria Math" w:cs="Cambria Math"/>
              </w:rPr>
              <w:t>‐</w:t>
            </w:r>
            <w:r w:rsidRPr="001F2385">
              <w:t xml:space="preserve">label clinical trial evaluating pegunigalsidase alfa administered every 4 weeks in adults with Fabry disease previously treated with other enzyme replacement therapies. </w:t>
            </w:r>
          </w:p>
        </w:tc>
        <w:tc>
          <w:tcPr>
            <w:tcW w:w="1177" w:type="pct"/>
            <w:tcBorders>
              <w:top w:val="single" w:sz="4" w:space="0" w:color="auto"/>
              <w:bottom w:val="single" w:sz="4" w:space="0" w:color="auto"/>
            </w:tcBorders>
          </w:tcPr>
          <w:p w14:paraId="14B568DD" w14:textId="77777777" w:rsidR="006E09FB" w:rsidRPr="0098262F" w:rsidRDefault="006E09FB" w:rsidP="00755463">
            <w:pPr>
              <w:pStyle w:val="TableText0"/>
              <w:keepNext w:val="0"/>
              <w:keepLines w:val="0"/>
            </w:pPr>
            <w:r w:rsidRPr="001F2385">
              <w:t xml:space="preserve">Journal of inherited metabolic disease. </w:t>
            </w:r>
            <w:r w:rsidRPr="00D2098F">
              <w:t>2025 Jan;48(1):e12795.</w:t>
            </w:r>
          </w:p>
        </w:tc>
      </w:tr>
      <w:tr w:rsidR="006E09FB" w:rsidRPr="0098262F" w14:paraId="25158A34" w14:textId="77777777" w:rsidTr="00B9250C">
        <w:tc>
          <w:tcPr>
            <w:tcW w:w="796" w:type="pct"/>
            <w:vMerge/>
            <w:tcBorders>
              <w:bottom w:val="single" w:sz="4" w:space="0" w:color="auto"/>
            </w:tcBorders>
          </w:tcPr>
          <w:p w14:paraId="13EB52E6" w14:textId="77777777" w:rsidR="006E09FB" w:rsidRPr="0069110F" w:rsidRDefault="006E09FB" w:rsidP="00755463">
            <w:pPr>
              <w:pStyle w:val="TableText0"/>
              <w:keepNext w:val="0"/>
              <w:keepLines w:val="0"/>
            </w:pPr>
          </w:p>
        </w:tc>
        <w:tc>
          <w:tcPr>
            <w:tcW w:w="3027" w:type="pct"/>
            <w:tcBorders>
              <w:top w:val="single" w:sz="4" w:space="0" w:color="auto"/>
              <w:bottom w:val="single" w:sz="4" w:space="0" w:color="auto"/>
              <w:right w:val="single" w:sz="4" w:space="0" w:color="auto"/>
            </w:tcBorders>
          </w:tcPr>
          <w:p w14:paraId="45D7F242" w14:textId="77777777" w:rsidR="006E09FB" w:rsidRPr="001F2385" w:rsidRDefault="006E09FB" w:rsidP="00755463">
            <w:pPr>
              <w:pStyle w:val="TableText0"/>
              <w:keepNext w:val="0"/>
              <w:keepLines w:val="0"/>
            </w:pPr>
            <w:r w:rsidRPr="001F2385">
              <w:t xml:space="preserve">Bernat et al. eP149: Safety and efficacy of pegunigalsidase alfa, every 4 weeks, in Fabry disease: Results from the phase 3, open-label, BRIGHT study. </w:t>
            </w:r>
          </w:p>
        </w:tc>
        <w:tc>
          <w:tcPr>
            <w:tcW w:w="1177" w:type="pct"/>
            <w:tcBorders>
              <w:top w:val="single" w:sz="4" w:space="0" w:color="auto"/>
              <w:left w:val="single" w:sz="4" w:space="0" w:color="auto"/>
              <w:bottom w:val="single" w:sz="4" w:space="0" w:color="auto"/>
              <w:right w:val="single" w:sz="4" w:space="0" w:color="auto"/>
            </w:tcBorders>
          </w:tcPr>
          <w:p w14:paraId="0875AA5E" w14:textId="77777777" w:rsidR="006E09FB" w:rsidRPr="0098262F" w:rsidRDefault="006E09FB" w:rsidP="00755463">
            <w:pPr>
              <w:pStyle w:val="TableText0"/>
              <w:keepNext w:val="0"/>
              <w:keepLines w:val="0"/>
              <w:rPr>
                <w:i/>
              </w:rPr>
            </w:pPr>
            <w:r w:rsidRPr="001F2385">
              <w:t>Genetics in Medicine. 2022 Mar 1;24(3): S91-2.</w:t>
            </w:r>
          </w:p>
        </w:tc>
      </w:tr>
      <w:tr w:rsidR="006E09FB" w:rsidRPr="0098262F" w14:paraId="223BD1D4" w14:textId="77777777" w:rsidTr="001B7636">
        <w:tc>
          <w:tcPr>
            <w:tcW w:w="796" w:type="pct"/>
            <w:tcBorders>
              <w:top w:val="single" w:sz="4" w:space="0" w:color="auto"/>
              <w:bottom w:val="nil"/>
            </w:tcBorders>
          </w:tcPr>
          <w:p w14:paraId="4663AD41" w14:textId="77777777" w:rsidR="006E09FB" w:rsidRDefault="006E09FB" w:rsidP="00755463">
            <w:pPr>
              <w:pStyle w:val="TableText0"/>
              <w:keepNext w:val="0"/>
              <w:keepLines w:val="0"/>
            </w:pPr>
            <w:r>
              <w:t xml:space="preserve">PB-102-F01 &amp; </w:t>
            </w:r>
          </w:p>
          <w:p w14:paraId="78FA7193" w14:textId="77777777" w:rsidR="006E09FB" w:rsidRDefault="006E09FB" w:rsidP="00755463">
            <w:pPr>
              <w:pStyle w:val="TableText0"/>
              <w:keepNext w:val="0"/>
              <w:keepLines w:val="0"/>
            </w:pPr>
            <w:r>
              <w:t>PB-102-F02</w:t>
            </w:r>
          </w:p>
          <w:p w14:paraId="3AE401E0" w14:textId="77777777" w:rsidR="006E09FB" w:rsidRPr="0098262F" w:rsidRDefault="006E09FB" w:rsidP="00755463">
            <w:pPr>
              <w:pStyle w:val="TableText0"/>
              <w:keepNext w:val="0"/>
              <w:keepLines w:val="0"/>
            </w:pPr>
            <w:r>
              <w:t xml:space="preserve">NCT01678898/ </w:t>
            </w:r>
            <w:r w:rsidRPr="00151C85">
              <w:t>NCT01769001</w:t>
            </w:r>
          </w:p>
        </w:tc>
        <w:tc>
          <w:tcPr>
            <w:tcW w:w="3027" w:type="pct"/>
            <w:tcBorders>
              <w:top w:val="single" w:sz="4" w:space="0" w:color="auto"/>
              <w:bottom w:val="single" w:sz="4" w:space="0" w:color="auto"/>
            </w:tcBorders>
          </w:tcPr>
          <w:p w14:paraId="5828B063" w14:textId="77777777" w:rsidR="006E09FB" w:rsidRPr="001F2385" w:rsidRDefault="006E09FB" w:rsidP="00755463">
            <w:pPr>
              <w:pStyle w:val="TableText0"/>
              <w:keepNext w:val="0"/>
              <w:keepLines w:val="0"/>
            </w:pPr>
            <w:r w:rsidRPr="001F2385">
              <w:t>PB-102-F01: A Phase 1/2, Open Label, Dose Ranging Study to Evaluate the Safety, Tolerability, Pharmacokinetics and Exploratory Efficacy Parameters of pegunigalsidase alfa Administered by Intravenous Infusion Every 2 Weeks for 12 Weeks to Adult Fabry Patients.</w:t>
            </w:r>
          </w:p>
        </w:tc>
        <w:tc>
          <w:tcPr>
            <w:tcW w:w="1177" w:type="pct"/>
            <w:tcBorders>
              <w:top w:val="single" w:sz="4" w:space="0" w:color="auto"/>
              <w:bottom w:val="single" w:sz="4" w:space="0" w:color="auto"/>
            </w:tcBorders>
          </w:tcPr>
          <w:p w14:paraId="2C03A0C8" w14:textId="77777777" w:rsidR="006E09FB" w:rsidRPr="00A547A4" w:rsidRDefault="006E09FB" w:rsidP="00755463">
            <w:pPr>
              <w:pStyle w:val="TableText0"/>
              <w:keepNext w:val="0"/>
              <w:keepLines w:val="0"/>
            </w:pPr>
            <w:r w:rsidRPr="00A547A4">
              <w:t>CSR June 2017</w:t>
            </w:r>
          </w:p>
        </w:tc>
      </w:tr>
      <w:tr w:rsidR="006E09FB" w:rsidRPr="0098262F" w14:paraId="5F4A745E" w14:textId="77777777" w:rsidTr="001B7636">
        <w:tc>
          <w:tcPr>
            <w:tcW w:w="796" w:type="pct"/>
            <w:tcBorders>
              <w:top w:val="nil"/>
              <w:bottom w:val="nil"/>
            </w:tcBorders>
          </w:tcPr>
          <w:p w14:paraId="6BED7C31"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10C25D43" w14:textId="77777777" w:rsidR="006E09FB" w:rsidRPr="001F2385" w:rsidRDefault="006E09FB" w:rsidP="00755463">
            <w:pPr>
              <w:pStyle w:val="TableText0"/>
              <w:keepNext w:val="0"/>
              <w:keepLines w:val="0"/>
            </w:pPr>
            <w:r w:rsidRPr="001F2385">
              <w:t>PB-102-F02: An Extension of Phase 1/2, Open Label, Dose Ranging Study to Evaluate the Safety, Tolerability, Pharmacokinetics and Exploratory Efficacy Parameters of pegunigalsidase alfa Administered by Intravenous Infusion Every 2 Weeks for 38 Weeks (9 Months) to Adult Fabry Patients.</w:t>
            </w:r>
          </w:p>
        </w:tc>
        <w:tc>
          <w:tcPr>
            <w:tcW w:w="1177" w:type="pct"/>
            <w:tcBorders>
              <w:top w:val="single" w:sz="4" w:space="0" w:color="auto"/>
              <w:bottom w:val="single" w:sz="4" w:space="0" w:color="auto"/>
            </w:tcBorders>
          </w:tcPr>
          <w:p w14:paraId="0B8097C1" w14:textId="77777777" w:rsidR="006E09FB" w:rsidRPr="0098262F" w:rsidRDefault="006E09FB" w:rsidP="00755463">
            <w:pPr>
              <w:pStyle w:val="TableText0"/>
              <w:keepNext w:val="0"/>
              <w:keepLines w:val="0"/>
              <w:rPr>
                <w:i/>
              </w:rPr>
            </w:pPr>
            <w:r w:rsidRPr="00A547A4">
              <w:t>CSR June 2017</w:t>
            </w:r>
          </w:p>
        </w:tc>
      </w:tr>
      <w:tr w:rsidR="006E09FB" w:rsidRPr="0098262F" w14:paraId="03AF515A" w14:textId="77777777" w:rsidTr="001B7636">
        <w:tc>
          <w:tcPr>
            <w:tcW w:w="796" w:type="pct"/>
            <w:tcBorders>
              <w:top w:val="nil"/>
              <w:bottom w:val="nil"/>
            </w:tcBorders>
          </w:tcPr>
          <w:p w14:paraId="465F2F43"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4CA4F382" w14:textId="3E20CFE9" w:rsidR="006E09FB" w:rsidRPr="001F2385" w:rsidRDefault="006E09FB" w:rsidP="00755463">
            <w:pPr>
              <w:pStyle w:val="TableText0"/>
              <w:keepNext w:val="0"/>
              <w:keepLines w:val="0"/>
            </w:pPr>
            <w:r w:rsidRPr="001F2385">
              <w:t xml:space="preserve">Schiffmann et al. Pegunigalsidase alfa, a novel PEGylated enzyme replacement therapy for Fabry disease, provides sustained plasma concentrations and </w:t>
            </w:r>
            <w:r w:rsidR="00C56E59" w:rsidRPr="001F2385">
              <w:t>favourable</w:t>
            </w:r>
            <w:r w:rsidRPr="001F2385">
              <w:t xml:space="preserve"> pharmacodynamics: a 1</w:t>
            </w:r>
            <w:r w:rsidRPr="001F2385">
              <w:rPr>
                <w:rFonts w:ascii="Cambria Math" w:hAnsi="Cambria Math" w:cs="Cambria Math"/>
              </w:rPr>
              <w:t>‐</w:t>
            </w:r>
            <w:r w:rsidRPr="001F2385">
              <w:t xml:space="preserve">year phase 1/2 clinical trial. </w:t>
            </w:r>
          </w:p>
        </w:tc>
        <w:tc>
          <w:tcPr>
            <w:tcW w:w="1177" w:type="pct"/>
            <w:tcBorders>
              <w:top w:val="single" w:sz="4" w:space="0" w:color="auto"/>
              <w:bottom w:val="single" w:sz="4" w:space="0" w:color="auto"/>
            </w:tcBorders>
          </w:tcPr>
          <w:p w14:paraId="6F1E97B8" w14:textId="77777777" w:rsidR="006E09FB" w:rsidRPr="0098262F" w:rsidRDefault="006E09FB" w:rsidP="00755463">
            <w:pPr>
              <w:pStyle w:val="TableText0"/>
              <w:keepNext w:val="0"/>
              <w:keepLines w:val="0"/>
              <w:rPr>
                <w:i/>
              </w:rPr>
            </w:pPr>
            <w:r w:rsidRPr="001F2385">
              <w:t xml:space="preserve">Journal of inherited metabolic disease. </w:t>
            </w:r>
            <w:r w:rsidRPr="00D2098F">
              <w:t>2019 May;42(3):534-44.</w:t>
            </w:r>
          </w:p>
        </w:tc>
      </w:tr>
      <w:tr w:rsidR="006E09FB" w:rsidRPr="0098262F" w14:paraId="34B783E9" w14:textId="77777777" w:rsidTr="001B7636">
        <w:tc>
          <w:tcPr>
            <w:tcW w:w="796" w:type="pct"/>
            <w:tcBorders>
              <w:top w:val="nil"/>
              <w:bottom w:val="single" w:sz="4" w:space="0" w:color="auto"/>
            </w:tcBorders>
          </w:tcPr>
          <w:p w14:paraId="77D0A58F"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1A6C642D" w14:textId="77777777" w:rsidR="006E09FB" w:rsidRPr="001F2385" w:rsidRDefault="006E09FB" w:rsidP="00755463">
            <w:pPr>
              <w:pStyle w:val="TableText0"/>
              <w:keepNext w:val="0"/>
              <w:keepLines w:val="0"/>
            </w:pPr>
            <w:r w:rsidRPr="001F2385">
              <w:t xml:space="preserve">Warnock et al. PRX-102 for treating Fabry disease: immunogenicity and PK results from a phase 1-2 study. </w:t>
            </w:r>
          </w:p>
        </w:tc>
        <w:tc>
          <w:tcPr>
            <w:tcW w:w="1177" w:type="pct"/>
            <w:tcBorders>
              <w:top w:val="single" w:sz="4" w:space="0" w:color="auto"/>
              <w:bottom w:val="single" w:sz="4" w:space="0" w:color="auto"/>
            </w:tcBorders>
          </w:tcPr>
          <w:p w14:paraId="4B4BC453" w14:textId="77777777" w:rsidR="006E09FB" w:rsidRPr="0098262F" w:rsidRDefault="006E09FB" w:rsidP="00755463">
            <w:pPr>
              <w:pStyle w:val="TableText0"/>
              <w:keepNext w:val="0"/>
              <w:keepLines w:val="0"/>
              <w:rPr>
                <w:i/>
              </w:rPr>
            </w:pPr>
            <w:r w:rsidRPr="001F2385">
              <w:t>Molecular Genetics and Metabolism. 2017;1(120): S137-8.</w:t>
            </w:r>
          </w:p>
        </w:tc>
      </w:tr>
      <w:tr w:rsidR="006E09FB" w:rsidRPr="0098262F" w14:paraId="63F4C6E9" w14:textId="77777777" w:rsidTr="00365882">
        <w:tc>
          <w:tcPr>
            <w:tcW w:w="796" w:type="pct"/>
            <w:tcBorders>
              <w:top w:val="single" w:sz="4" w:space="0" w:color="auto"/>
              <w:bottom w:val="nil"/>
            </w:tcBorders>
          </w:tcPr>
          <w:p w14:paraId="7F4C60BA" w14:textId="77777777" w:rsidR="006E09FB" w:rsidRDefault="006E09FB" w:rsidP="00755463">
            <w:pPr>
              <w:pStyle w:val="TableText0"/>
              <w:keepNext w:val="0"/>
              <w:keepLines w:val="0"/>
            </w:pPr>
            <w:r>
              <w:t>PB-102-F03</w:t>
            </w:r>
          </w:p>
          <w:p w14:paraId="3027ACAB" w14:textId="77777777" w:rsidR="006E09FB" w:rsidRPr="0098262F" w:rsidRDefault="006E09FB" w:rsidP="00755463">
            <w:pPr>
              <w:pStyle w:val="TableText0"/>
              <w:keepNext w:val="0"/>
              <w:keepLines w:val="0"/>
            </w:pPr>
            <w:r>
              <w:t>NCT01981720</w:t>
            </w:r>
          </w:p>
        </w:tc>
        <w:tc>
          <w:tcPr>
            <w:tcW w:w="3027" w:type="pct"/>
            <w:tcBorders>
              <w:top w:val="single" w:sz="4" w:space="0" w:color="auto"/>
              <w:bottom w:val="single" w:sz="4" w:space="0" w:color="auto"/>
            </w:tcBorders>
          </w:tcPr>
          <w:p w14:paraId="7D17E194" w14:textId="77777777" w:rsidR="006E09FB" w:rsidRPr="001F2385" w:rsidRDefault="006E09FB" w:rsidP="00755463">
            <w:pPr>
              <w:pStyle w:val="TableText0"/>
              <w:keepNext w:val="0"/>
              <w:keepLines w:val="0"/>
            </w:pPr>
            <w:r w:rsidRPr="001F2385">
              <w:t xml:space="preserve">A Multi </w:t>
            </w:r>
            <w:proofErr w:type="spellStart"/>
            <w:r w:rsidRPr="001F2385">
              <w:t>Center</w:t>
            </w:r>
            <w:proofErr w:type="spellEnd"/>
            <w:r w:rsidRPr="001F2385">
              <w:t xml:space="preserve"> Extension Study of pegunigalsidase alfa Administered by Intravenous Infusions Every 2 Weeks for up to 60 Months to Adult Fabry Patients.</w:t>
            </w:r>
          </w:p>
        </w:tc>
        <w:tc>
          <w:tcPr>
            <w:tcW w:w="1177" w:type="pct"/>
            <w:tcBorders>
              <w:top w:val="single" w:sz="4" w:space="0" w:color="auto"/>
              <w:bottom w:val="single" w:sz="4" w:space="0" w:color="auto"/>
            </w:tcBorders>
          </w:tcPr>
          <w:p w14:paraId="1835D338" w14:textId="77777777" w:rsidR="006E09FB" w:rsidRPr="003B7ADD" w:rsidRDefault="006E09FB" w:rsidP="00755463">
            <w:pPr>
              <w:pStyle w:val="TableText0"/>
              <w:keepNext w:val="0"/>
              <w:keepLines w:val="0"/>
            </w:pPr>
            <w:r w:rsidRPr="003B7ADD">
              <w:t>CSR November 2021</w:t>
            </w:r>
          </w:p>
        </w:tc>
      </w:tr>
      <w:tr w:rsidR="006E09FB" w:rsidRPr="0098262F" w14:paraId="730571FE" w14:textId="77777777" w:rsidTr="00365882">
        <w:tc>
          <w:tcPr>
            <w:tcW w:w="796" w:type="pct"/>
            <w:tcBorders>
              <w:top w:val="nil"/>
              <w:bottom w:val="single" w:sz="4" w:space="0" w:color="auto"/>
            </w:tcBorders>
          </w:tcPr>
          <w:p w14:paraId="407FC1FE" w14:textId="77777777" w:rsidR="006E09FB" w:rsidRPr="0098262F" w:rsidRDefault="006E09FB" w:rsidP="00755463">
            <w:pPr>
              <w:pStyle w:val="TableText0"/>
              <w:keepNext w:val="0"/>
              <w:keepLines w:val="0"/>
            </w:pPr>
          </w:p>
        </w:tc>
        <w:tc>
          <w:tcPr>
            <w:tcW w:w="3027" w:type="pct"/>
            <w:tcBorders>
              <w:top w:val="single" w:sz="4" w:space="0" w:color="auto"/>
              <w:bottom w:val="single" w:sz="4" w:space="0" w:color="auto"/>
            </w:tcBorders>
          </w:tcPr>
          <w:p w14:paraId="004215F4" w14:textId="36589F91" w:rsidR="006E09FB" w:rsidRPr="001F2385" w:rsidRDefault="006E09FB" w:rsidP="00755463">
            <w:pPr>
              <w:pStyle w:val="TableText0"/>
              <w:keepNext w:val="0"/>
              <w:keepLines w:val="0"/>
            </w:pPr>
            <w:r w:rsidRPr="001F2385">
              <w:t xml:space="preserve">Hughes D, </w:t>
            </w:r>
            <w:r w:rsidR="005C5CA7">
              <w:t>et al</w:t>
            </w:r>
            <w:r w:rsidRPr="001F2385">
              <w:t xml:space="preserve">. Long-term safety and efficacy of </w:t>
            </w:r>
            <w:proofErr w:type="spellStart"/>
            <w:r w:rsidRPr="001F2385">
              <w:t>pegunigalsidase</w:t>
            </w:r>
            <w:proofErr w:type="spellEnd"/>
            <w:r w:rsidRPr="001F2385">
              <w:t xml:space="preserve"> alfa: a </w:t>
            </w:r>
            <w:proofErr w:type="spellStart"/>
            <w:r w:rsidRPr="001F2385">
              <w:t>multicenter</w:t>
            </w:r>
            <w:proofErr w:type="spellEnd"/>
            <w:r w:rsidRPr="001F2385">
              <w:t xml:space="preserve"> 6-year study in adult patients with Fabry disease. </w:t>
            </w:r>
          </w:p>
        </w:tc>
        <w:tc>
          <w:tcPr>
            <w:tcW w:w="1177" w:type="pct"/>
            <w:tcBorders>
              <w:top w:val="single" w:sz="4" w:space="0" w:color="auto"/>
              <w:bottom w:val="single" w:sz="4" w:space="0" w:color="auto"/>
            </w:tcBorders>
          </w:tcPr>
          <w:p w14:paraId="0250DB9B" w14:textId="77777777" w:rsidR="006E09FB" w:rsidRPr="0098262F" w:rsidRDefault="006E09FB" w:rsidP="00755463">
            <w:pPr>
              <w:pStyle w:val="TableText0"/>
              <w:keepNext w:val="0"/>
              <w:keepLines w:val="0"/>
              <w:rPr>
                <w:i/>
              </w:rPr>
            </w:pPr>
            <w:r w:rsidRPr="00D2098F">
              <w:t>Genetics in Medicine. 2023 Dec 1;25(12):100968.</w:t>
            </w:r>
          </w:p>
        </w:tc>
      </w:tr>
      <w:tr w:rsidR="006E09FB" w:rsidRPr="0098262F" w14:paraId="36856470" w14:textId="77777777" w:rsidTr="00A62FD0">
        <w:tc>
          <w:tcPr>
            <w:tcW w:w="796" w:type="pct"/>
            <w:tcBorders>
              <w:top w:val="single" w:sz="4" w:space="0" w:color="auto"/>
              <w:left w:val="single" w:sz="4" w:space="0" w:color="auto"/>
              <w:bottom w:val="nil"/>
              <w:right w:val="single" w:sz="4" w:space="0" w:color="auto"/>
            </w:tcBorders>
          </w:tcPr>
          <w:p w14:paraId="32F31DB1" w14:textId="77777777" w:rsidR="006E09FB" w:rsidRDefault="006E09FB" w:rsidP="00755463">
            <w:pPr>
              <w:pStyle w:val="TableText0"/>
              <w:keepNext w:val="0"/>
              <w:keepLines w:val="0"/>
            </w:pPr>
            <w:r>
              <w:t>ATTRACT</w:t>
            </w:r>
          </w:p>
          <w:p w14:paraId="33C6CFAA" w14:textId="77777777" w:rsidR="006E09FB" w:rsidRPr="0098262F" w:rsidRDefault="006E09FB" w:rsidP="00755463">
            <w:pPr>
              <w:pStyle w:val="TableText0"/>
              <w:keepNext w:val="0"/>
              <w:keepLines w:val="0"/>
            </w:pPr>
            <w:r w:rsidRPr="00006F36">
              <w:t>NCT01218659</w:t>
            </w:r>
          </w:p>
        </w:tc>
        <w:tc>
          <w:tcPr>
            <w:tcW w:w="3027" w:type="pct"/>
            <w:tcBorders>
              <w:top w:val="single" w:sz="4" w:space="0" w:color="auto"/>
              <w:left w:val="single" w:sz="4" w:space="0" w:color="auto"/>
              <w:bottom w:val="single" w:sz="4" w:space="0" w:color="auto"/>
              <w:right w:val="single" w:sz="4" w:space="0" w:color="auto"/>
            </w:tcBorders>
          </w:tcPr>
          <w:p w14:paraId="6D1987B8" w14:textId="15DE7915" w:rsidR="006E09FB" w:rsidRPr="00D2098F" w:rsidRDefault="006E09FB" w:rsidP="00755463">
            <w:pPr>
              <w:pStyle w:val="TableText0"/>
              <w:keepNext w:val="0"/>
              <w:keepLines w:val="0"/>
            </w:pPr>
            <w:r>
              <w:t>M</w:t>
            </w:r>
            <w:r w:rsidR="00A62FD0">
              <w:t>i</w:t>
            </w:r>
            <w:r>
              <w:t>gal</w:t>
            </w:r>
            <w:r w:rsidR="00A62FD0">
              <w:t>a</w:t>
            </w:r>
            <w:r>
              <w:t>stat</w:t>
            </w:r>
            <w:r w:rsidRPr="2BCE08C6">
              <w:t xml:space="preserve"> for the treatment of </w:t>
            </w:r>
            <w:r w:rsidRPr="00006F36">
              <w:t>Fabry disease</w:t>
            </w:r>
            <w:r w:rsidRPr="2BCE08C6">
              <w:t>. Public Summary Document.</w:t>
            </w:r>
          </w:p>
        </w:tc>
        <w:tc>
          <w:tcPr>
            <w:tcW w:w="1177" w:type="pct"/>
            <w:tcBorders>
              <w:top w:val="single" w:sz="4" w:space="0" w:color="auto"/>
              <w:left w:val="single" w:sz="4" w:space="0" w:color="auto"/>
              <w:bottom w:val="single" w:sz="4" w:space="0" w:color="auto"/>
              <w:right w:val="single" w:sz="4" w:space="0" w:color="auto"/>
            </w:tcBorders>
          </w:tcPr>
          <w:p w14:paraId="07788B51" w14:textId="77777777" w:rsidR="006E09FB" w:rsidRPr="00E50DFD" w:rsidRDefault="006E09FB" w:rsidP="00755463">
            <w:pPr>
              <w:pStyle w:val="TableText0"/>
              <w:keepNext w:val="0"/>
              <w:keepLines w:val="0"/>
            </w:pPr>
            <w:r>
              <w:t>March 2024 PBAC Meeting</w:t>
            </w:r>
          </w:p>
        </w:tc>
      </w:tr>
      <w:tr w:rsidR="006E09FB" w:rsidRPr="0098262F" w14:paraId="270296E0" w14:textId="77777777" w:rsidTr="00A62FD0">
        <w:tc>
          <w:tcPr>
            <w:tcW w:w="796" w:type="pct"/>
            <w:tcBorders>
              <w:top w:val="nil"/>
              <w:left w:val="single" w:sz="4" w:space="0" w:color="auto"/>
              <w:bottom w:val="single" w:sz="4" w:space="0" w:color="auto"/>
              <w:right w:val="single" w:sz="4" w:space="0" w:color="auto"/>
            </w:tcBorders>
          </w:tcPr>
          <w:p w14:paraId="366AF780" w14:textId="77777777" w:rsidR="006E09FB" w:rsidRDefault="006E09FB" w:rsidP="00755463">
            <w:pPr>
              <w:pStyle w:val="TableText0"/>
              <w:keepNext w:val="0"/>
              <w:keepLines w:val="0"/>
            </w:pPr>
          </w:p>
        </w:tc>
        <w:tc>
          <w:tcPr>
            <w:tcW w:w="3027" w:type="pct"/>
            <w:tcBorders>
              <w:top w:val="single" w:sz="4" w:space="0" w:color="auto"/>
              <w:left w:val="single" w:sz="4" w:space="0" w:color="auto"/>
              <w:bottom w:val="single" w:sz="4" w:space="0" w:color="auto"/>
              <w:right w:val="single" w:sz="4" w:space="0" w:color="auto"/>
            </w:tcBorders>
          </w:tcPr>
          <w:p w14:paraId="40A5C909" w14:textId="1F32841A" w:rsidR="006E09FB" w:rsidRDefault="006E09FB" w:rsidP="00755463">
            <w:pPr>
              <w:pStyle w:val="TableText0"/>
              <w:keepNext w:val="0"/>
              <w:keepLines w:val="0"/>
            </w:pPr>
            <w:r w:rsidRPr="00006F36">
              <w:t>Hughes D, et al. Oral pharmacological chaperone migalastat compared with enzyme replacement therapy in Fabry disease: 18-month results from the randomise</w:t>
            </w:r>
            <w:r w:rsidR="008B4D42">
              <w:t>d</w:t>
            </w:r>
            <w:r w:rsidRPr="00006F36">
              <w:t xml:space="preserve"> phase III ATTRACT study</w:t>
            </w:r>
            <w:r w:rsidR="00535D05">
              <w:t>.</w:t>
            </w:r>
          </w:p>
        </w:tc>
        <w:tc>
          <w:tcPr>
            <w:tcW w:w="1177" w:type="pct"/>
            <w:tcBorders>
              <w:top w:val="single" w:sz="4" w:space="0" w:color="auto"/>
              <w:left w:val="single" w:sz="4" w:space="0" w:color="auto"/>
              <w:bottom w:val="single" w:sz="4" w:space="0" w:color="auto"/>
              <w:right w:val="single" w:sz="4" w:space="0" w:color="auto"/>
            </w:tcBorders>
          </w:tcPr>
          <w:p w14:paraId="331E2873" w14:textId="607820D7" w:rsidR="006E09FB" w:rsidRDefault="006E09FB" w:rsidP="00755463">
            <w:pPr>
              <w:pStyle w:val="TableText0"/>
              <w:keepNext w:val="0"/>
              <w:keepLines w:val="0"/>
            </w:pPr>
            <w:r w:rsidRPr="00006F36">
              <w:t>Journal of Medical</w:t>
            </w:r>
            <w:r>
              <w:t xml:space="preserve"> </w:t>
            </w:r>
            <w:r w:rsidRPr="00006F36">
              <w:t>Genetics; 2017; 54(4): 288-296</w:t>
            </w:r>
            <w:r w:rsidR="002234F2">
              <w:t>.</w:t>
            </w:r>
            <w:r w:rsidRPr="00006F36">
              <w:t xml:space="preserve"> </w:t>
            </w:r>
          </w:p>
        </w:tc>
      </w:tr>
    </w:tbl>
    <w:p w14:paraId="2962D3B6" w14:textId="77777777" w:rsidR="006E09FB" w:rsidRPr="00A44E0E" w:rsidRDefault="006E09FB" w:rsidP="005A2403">
      <w:pPr>
        <w:pStyle w:val="TableFigureFooter"/>
      </w:pPr>
      <w:r w:rsidRPr="0098262F">
        <w:t>Source: Table</w:t>
      </w:r>
      <w:r w:rsidRPr="00A44E0E">
        <w:t xml:space="preserve"> 2.</w:t>
      </w:r>
      <w:r>
        <w:t xml:space="preserve">2-1 and </w:t>
      </w:r>
      <w:r w:rsidRPr="00A44E0E">
        <w:t>Table 2.</w:t>
      </w:r>
      <w:r>
        <w:t>2-2</w:t>
      </w:r>
      <w:r w:rsidRPr="00A44E0E">
        <w:t>, pp</w:t>
      </w:r>
      <w:r>
        <w:t>33-35</w:t>
      </w:r>
      <w:r w:rsidRPr="0098262F">
        <w:t xml:space="preserve"> of the submission</w:t>
      </w:r>
      <w:r w:rsidRPr="00A44E0E">
        <w:t>.</w:t>
      </w:r>
    </w:p>
    <w:p w14:paraId="4F60B9C5" w14:textId="77777777" w:rsidR="006E09FB" w:rsidRPr="00A44E0E" w:rsidRDefault="006E09FB" w:rsidP="005A2403">
      <w:pPr>
        <w:pStyle w:val="TableFigureFooter"/>
      </w:pPr>
      <w:r>
        <w:t xml:space="preserve">Abbreviations: </w:t>
      </w:r>
      <w:r w:rsidRPr="00A44E0E">
        <w:t>CSR, clinical study report; PBAC, Pharmaceutical Benefits Advisory Committee.</w:t>
      </w:r>
    </w:p>
    <w:p w14:paraId="4CC38D70" w14:textId="77777777" w:rsidR="006E09FB" w:rsidRPr="00A44E0E" w:rsidRDefault="006E09FB" w:rsidP="005A2403">
      <w:pPr>
        <w:pStyle w:val="TableFigureFooter"/>
      </w:pPr>
      <w:r w:rsidRPr="00A44E0E">
        <w:t>Note: Only the main sources of evidence included in the submission were listed in this table. Conference abstracts presented in the submission were excluded given the availability of full-text publications, from which outcomes were extracted and presented in the submission.</w:t>
      </w:r>
    </w:p>
    <w:p w14:paraId="494F1D2F" w14:textId="77777777" w:rsidR="007902B5" w:rsidRDefault="007902B5">
      <w:pPr>
        <w:jc w:val="left"/>
        <w:rPr>
          <w:rFonts w:asciiTheme="minorHAnsi" w:eastAsiaTheme="minorHAnsi" w:hAnsiTheme="minorHAnsi" w:cstheme="minorBidi"/>
          <w:szCs w:val="22"/>
        </w:rPr>
      </w:pPr>
      <w:r>
        <w:br w:type="page"/>
      </w:r>
    </w:p>
    <w:p w14:paraId="0515D77C" w14:textId="5ADC320B" w:rsidR="006E09FB" w:rsidRPr="0098262F" w:rsidRDefault="006E09FB" w:rsidP="009D09F4">
      <w:pPr>
        <w:pStyle w:val="3-BodyText"/>
        <w:rPr>
          <w:color w:val="0066FF"/>
        </w:rPr>
      </w:pPr>
      <w:r w:rsidRPr="0098262F">
        <w:lastRenderedPageBreak/>
        <w:t xml:space="preserve">The key features of the studies are summarised in </w:t>
      </w:r>
      <w:r w:rsidRPr="0098262F">
        <w:fldChar w:fldCharType="begin" w:fldLock="1"/>
      </w:r>
      <w:r w:rsidRPr="0098262F">
        <w:instrText xml:space="preserve"> REF _Ref104804098 \h  \* MERGEFORMAT </w:instrText>
      </w:r>
      <w:r w:rsidRPr="0098262F">
        <w:fldChar w:fldCharType="separate"/>
      </w:r>
      <w:r w:rsidR="004E7462" w:rsidRPr="004E7462">
        <w:t>Table 3</w:t>
      </w:r>
      <w:r w:rsidRPr="0098262F">
        <w:fldChar w:fldCharType="end"/>
      </w:r>
      <w:r w:rsidRPr="0098262F">
        <w:t>.</w:t>
      </w:r>
    </w:p>
    <w:p w14:paraId="31F862B3" w14:textId="0BE150C5" w:rsidR="006E09FB" w:rsidRPr="0098262F" w:rsidRDefault="006E09FB" w:rsidP="009D09F4">
      <w:pPr>
        <w:pStyle w:val="Caption"/>
        <w:rPr>
          <w:rStyle w:val="CommentReference"/>
          <w:rFonts w:eastAsiaTheme="majorEastAsia" w:cstheme="majorBidi"/>
          <w:b/>
          <w:szCs w:val="24"/>
        </w:rPr>
      </w:pPr>
      <w:bookmarkStart w:id="23"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4E7462">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3"/>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054"/>
        <w:gridCol w:w="777"/>
        <w:gridCol w:w="1306"/>
        <w:gridCol w:w="938"/>
        <w:gridCol w:w="2040"/>
        <w:gridCol w:w="2902"/>
      </w:tblGrid>
      <w:tr w:rsidR="006E09FB" w:rsidRPr="0098262F" w14:paraId="195A433F" w14:textId="77777777" w:rsidTr="00310FDC">
        <w:trPr>
          <w:cantSplit/>
          <w:tblHeader/>
        </w:trPr>
        <w:tc>
          <w:tcPr>
            <w:tcW w:w="584" w:type="pct"/>
          </w:tcPr>
          <w:p w14:paraId="20EF3EC7" w14:textId="77777777" w:rsidR="006E09FB" w:rsidRPr="00D2098F" w:rsidRDefault="006E09FB" w:rsidP="009D09F4">
            <w:pPr>
              <w:pStyle w:val="In-tableHeading"/>
              <w:rPr>
                <w:lang w:val="en-AU"/>
              </w:rPr>
            </w:pPr>
            <w:r w:rsidRPr="00D2098F">
              <w:rPr>
                <w:lang w:val="en-AU"/>
              </w:rPr>
              <w:t>Trial</w:t>
            </w:r>
          </w:p>
        </w:tc>
        <w:tc>
          <w:tcPr>
            <w:tcW w:w="431" w:type="pct"/>
          </w:tcPr>
          <w:p w14:paraId="1548124A" w14:textId="77777777" w:rsidR="006E09FB" w:rsidRPr="00D2098F" w:rsidRDefault="006E09FB" w:rsidP="009D09F4">
            <w:pPr>
              <w:pStyle w:val="In-tableHeading"/>
              <w:rPr>
                <w:lang w:val="en-AU"/>
              </w:rPr>
            </w:pPr>
            <w:r w:rsidRPr="00D2098F">
              <w:rPr>
                <w:lang w:val="en-AU"/>
              </w:rPr>
              <w:t>N</w:t>
            </w:r>
          </w:p>
        </w:tc>
        <w:tc>
          <w:tcPr>
            <w:tcW w:w="724" w:type="pct"/>
          </w:tcPr>
          <w:p w14:paraId="08F26AFE" w14:textId="2171628A" w:rsidR="006E09FB" w:rsidRPr="00D2098F" w:rsidRDefault="006E09FB" w:rsidP="009D09F4">
            <w:pPr>
              <w:pStyle w:val="In-tableHeading"/>
              <w:rPr>
                <w:lang w:val="en-AU"/>
              </w:rPr>
            </w:pPr>
            <w:r w:rsidRPr="00D2098F">
              <w:rPr>
                <w:lang w:val="en-AU"/>
              </w:rPr>
              <w:t>Design/duration</w:t>
            </w:r>
          </w:p>
        </w:tc>
        <w:tc>
          <w:tcPr>
            <w:tcW w:w="520" w:type="pct"/>
          </w:tcPr>
          <w:p w14:paraId="56FF3809" w14:textId="77777777" w:rsidR="006E09FB" w:rsidRPr="00D2098F" w:rsidRDefault="006E09FB" w:rsidP="009D09F4">
            <w:pPr>
              <w:pStyle w:val="In-tableHeading"/>
              <w:rPr>
                <w:lang w:val="en-AU"/>
              </w:rPr>
            </w:pPr>
            <w:r w:rsidRPr="00D2098F">
              <w:rPr>
                <w:lang w:val="en-AU"/>
              </w:rPr>
              <w:t>Risk of bias</w:t>
            </w:r>
          </w:p>
        </w:tc>
        <w:tc>
          <w:tcPr>
            <w:tcW w:w="1131" w:type="pct"/>
          </w:tcPr>
          <w:p w14:paraId="1815A017" w14:textId="77777777" w:rsidR="006E09FB" w:rsidRPr="00D2098F" w:rsidRDefault="006E09FB" w:rsidP="009D09F4">
            <w:pPr>
              <w:pStyle w:val="In-tableHeading"/>
              <w:rPr>
                <w:lang w:val="en-AU"/>
              </w:rPr>
            </w:pPr>
            <w:r w:rsidRPr="00D2098F">
              <w:rPr>
                <w:lang w:val="en-AU"/>
              </w:rPr>
              <w:t>Patient population</w:t>
            </w:r>
          </w:p>
        </w:tc>
        <w:tc>
          <w:tcPr>
            <w:tcW w:w="1609" w:type="pct"/>
          </w:tcPr>
          <w:p w14:paraId="10AB5EA3" w14:textId="77777777" w:rsidR="006E09FB" w:rsidRPr="00D2098F" w:rsidRDefault="006E09FB" w:rsidP="009D09F4">
            <w:pPr>
              <w:pStyle w:val="In-tableHeading"/>
              <w:rPr>
                <w:lang w:val="en-AU"/>
              </w:rPr>
            </w:pPr>
            <w:r w:rsidRPr="00D2098F">
              <w:rPr>
                <w:lang w:val="en-AU"/>
              </w:rPr>
              <w:t>Outcome(s)</w:t>
            </w:r>
          </w:p>
        </w:tc>
      </w:tr>
      <w:tr w:rsidR="006E09FB" w:rsidRPr="0098262F" w14:paraId="2F08334F" w14:textId="77777777" w:rsidTr="00310FDC">
        <w:trPr>
          <w:cantSplit/>
        </w:trPr>
        <w:tc>
          <w:tcPr>
            <w:tcW w:w="584" w:type="pct"/>
          </w:tcPr>
          <w:p w14:paraId="36D28BEC" w14:textId="77777777" w:rsidR="006E09FB" w:rsidRPr="0098262F" w:rsidRDefault="006E09FB" w:rsidP="0009520E">
            <w:pPr>
              <w:pStyle w:val="TableText0"/>
            </w:pPr>
            <w:r>
              <w:t>BALANCE</w:t>
            </w:r>
          </w:p>
        </w:tc>
        <w:tc>
          <w:tcPr>
            <w:tcW w:w="431" w:type="pct"/>
          </w:tcPr>
          <w:p w14:paraId="464EB3E0" w14:textId="77777777" w:rsidR="006E09FB" w:rsidRPr="0098262F" w:rsidRDefault="006E09FB" w:rsidP="0009520E">
            <w:pPr>
              <w:pStyle w:val="TableText0"/>
            </w:pPr>
            <w:r>
              <w:t>77</w:t>
            </w:r>
          </w:p>
        </w:tc>
        <w:tc>
          <w:tcPr>
            <w:tcW w:w="724" w:type="pct"/>
          </w:tcPr>
          <w:p w14:paraId="54577BBB" w14:textId="77777777" w:rsidR="006E09FB" w:rsidRPr="0098262F" w:rsidRDefault="006E09FB" w:rsidP="0009520E">
            <w:pPr>
              <w:pStyle w:val="TableText0"/>
            </w:pPr>
            <w:r w:rsidRPr="009A77FE">
              <w:t>Phase III</w:t>
            </w:r>
            <w:r>
              <w:t xml:space="preserve">, </w:t>
            </w:r>
            <w:r w:rsidRPr="0098262F">
              <w:t>R, DB</w:t>
            </w:r>
            <w:r>
              <w:t>, MC</w:t>
            </w:r>
          </w:p>
          <w:p w14:paraId="3B32893B" w14:textId="77777777" w:rsidR="006E09FB" w:rsidRPr="0098262F" w:rsidRDefault="006E09FB" w:rsidP="0009520E">
            <w:pPr>
              <w:pStyle w:val="TableText0"/>
            </w:pPr>
            <w:r>
              <w:t>24 months</w:t>
            </w:r>
          </w:p>
        </w:tc>
        <w:tc>
          <w:tcPr>
            <w:tcW w:w="520" w:type="pct"/>
          </w:tcPr>
          <w:p w14:paraId="1CC75D2D" w14:textId="403E0489" w:rsidR="006E09FB" w:rsidRPr="0098262F" w:rsidRDefault="006E09FB" w:rsidP="0009520E">
            <w:pPr>
              <w:pStyle w:val="TableText0"/>
            </w:pPr>
            <w:r>
              <w:t xml:space="preserve">Some </w:t>
            </w:r>
            <w:proofErr w:type="spellStart"/>
            <w:r>
              <w:t>concerns</w:t>
            </w:r>
            <w:r w:rsidR="008E324A" w:rsidRPr="008919A0">
              <w:rPr>
                <w:i/>
                <w:iCs/>
                <w:vertAlign w:val="superscript"/>
              </w:rPr>
              <w:t>a</w:t>
            </w:r>
            <w:proofErr w:type="spellEnd"/>
          </w:p>
        </w:tc>
        <w:tc>
          <w:tcPr>
            <w:tcW w:w="1131" w:type="pct"/>
          </w:tcPr>
          <w:p w14:paraId="274E386D" w14:textId="77777777" w:rsidR="006E09FB" w:rsidRPr="0098262F" w:rsidRDefault="006E09FB" w:rsidP="0009520E">
            <w:pPr>
              <w:pStyle w:val="TableText0"/>
            </w:pPr>
            <w:r>
              <w:t xml:space="preserve">ERT </w:t>
            </w:r>
            <w:r w:rsidRPr="0098262F">
              <w:t>Treatment</w:t>
            </w:r>
            <w:r>
              <w:t>-experienced</w:t>
            </w:r>
            <w:r w:rsidRPr="003F55F8">
              <w:t xml:space="preserve"> FD patients with deteriorating renal function</w:t>
            </w:r>
          </w:p>
        </w:tc>
        <w:tc>
          <w:tcPr>
            <w:tcW w:w="1609" w:type="pct"/>
          </w:tcPr>
          <w:p w14:paraId="7ED78676" w14:textId="77777777" w:rsidR="006E09FB" w:rsidRDefault="006E09FB" w:rsidP="0009520E">
            <w:pPr>
              <w:pStyle w:val="TableText0"/>
            </w:pPr>
            <w:r>
              <w:t xml:space="preserve">Primary: </w:t>
            </w:r>
            <w:r w:rsidRPr="00F25B56">
              <w:t>annualised change in eGFR</w:t>
            </w:r>
            <w:r>
              <w:t xml:space="preserve"> (slope)</w:t>
            </w:r>
          </w:p>
          <w:p w14:paraId="2D4E470B" w14:textId="77777777" w:rsidR="006E09FB" w:rsidRPr="0098262F" w:rsidRDefault="006E09FB" w:rsidP="0009520E">
            <w:pPr>
              <w:pStyle w:val="TableText0"/>
            </w:pPr>
            <w:r>
              <w:t>Secondary:</w:t>
            </w:r>
            <w:r w:rsidRPr="00F25B56">
              <w:t xml:space="preserve"> change from baseline in: UPCR, LVMI, plasma </w:t>
            </w:r>
            <w:r>
              <w:t>l</w:t>
            </w:r>
            <w:r w:rsidRPr="00F25B56">
              <w:t>yso-Gb3</w:t>
            </w:r>
            <w:r>
              <w:t>,</w:t>
            </w:r>
            <w:r w:rsidRPr="00F25B56">
              <w:t xml:space="preserve"> plasma Gb3, urine </w:t>
            </w:r>
            <w:r>
              <w:t>l</w:t>
            </w:r>
            <w:r w:rsidRPr="00F25B56">
              <w:t>yso-Gb3, BPI pain severity</w:t>
            </w:r>
            <w:r>
              <w:t>,</w:t>
            </w:r>
            <w:r w:rsidRPr="00F25B56">
              <w:t xml:space="preserve"> MSSI</w:t>
            </w:r>
            <w:r>
              <w:t>,</w:t>
            </w:r>
            <w:r w:rsidRPr="00F25B56">
              <w:t xml:space="preserve"> and EQ-5D-5L</w:t>
            </w:r>
            <w:r>
              <w:t xml:space="preserve">; </w:t>
            </w:r>
            <w:r w:rsidRPr="00F25B56">
              <w:t>FCE and AEs.</w:t>
            </w:r>
          </w:p>
        </w:tc>
      </w:tr>
      <w:tr w:rsidR="00B349AC" w:rsidRPr="0098262F" w14:paraId="0DDA88A5" w14:textId="77777777" w:rsidTr="00310FDC">
        <w:trPr>
          <w:cantSplit/>
        </w:trPr>
        <w:tc>
          <w:tcPr>
            <w:tcW w:w="584" w:type="pct"/>
          </w:tcPr>
          <w:p w14:paraId="68A52E05" w14:textId="77777777" w:rsidR="00B349AC" w:rsidRPr="0098262F" w:rsidRDefault="00B349AC" w:rsidP="00B349AC">
            <w:pPr>
              <w:pStyle w:val="TableText0"/>
            </w:pPr>
            <w:r w:rsidRPr="00F56CA3">
              <w:t>BRIDGE</w:t>
            </w:r>
          </w:p>
        </w:tc>
        <w:tc>
          <w:tcPr>
            <w:tcW w:w="431" w:type="pct"/>
          </w:tcPr>
          <w:p w14:paraId="23E36B3B" w14:textId="77777777" w:rsidR="00B349AC" w:rsidRPr="0098262F" w:rsidRDefault="00B349AC" w:rsidP="00B349AC">
            <w:pPr>
              <w:pStyle w:val="TableText0"/>
            </w:pPr>
            <w:r>
              <w:t>22</w:t>
            </w:r>
          </w:p>
        </w:tc>
        <w:tc>
          <w:tcPr>
            <w:tcW w:w="724" w:type="pct"/>
          </w:tcPr>
          <w:p w14:paraId="6695821C" w14:textId="77777777" w:rsidR="00B349AC" w:rsidRPr="0098262F" w:rsidRDefault="00B349AC" w:rsidP="00B349AC">
            <w:pPr>
              <w:pStyle w:val="TableText0"/>
            </w:pPr>
            <w:r w:rsidRPr="009A77FE">
              <w:t>Phase III</w:t>
            </w:r>
            <w:r>
              <w:t>, OL</w:t>
            </w:r>
            <w:r w:rsidRPr="0098262F">
              <w:t>,</w:t>
            </w:r>
            <w:r>
              <w:t xml:space="preserve"> single arm</w:t>
            </w:r>
          </w:p>
          <w:p w14:paraId="10AD578C" w14:textId="77777777" w:rsidR="00B349AC" w:rsidRPr="0098262F" w:rsidRDefault="00B349AC" w:rsidP="00B349AC">
            <w:pPr>
              <w:pStyle w:val="TableText0"/>
            </w:pPr>
            <w:r>
              <w:t>12 months</w:t>
            </w:r>
          </w:p>
        </w:tc>
        <w:tc>
          <w:tcPr>
            <w:tcW w:w="520" w:type="pct"/>
          </w:tcPr>
          <w:p w14:paraId="6504547F" w14:textId="5A54C033" w:rsidR="00B349AC" w:rsidRPr="00767517" w:rsidRDefault="00B349AC" w:rsidP="00B349AC">
            <w:pPr>
              <w:pStyle w:val="TableText0"/>
            </w:pPr>
            <w:proofErr w:type="spellStart"/>
            <w:r w:rsidRPr="00767517">
              <w:t>NA</w:t>
            </w:r>
            <w:r w:rsidR="00BA246D">
              <w:rPr>
                <w:vertAlign w:val="superscript"/>
              </w:rPr>
              <w:t>b</w:t>
            </w:r>
            <w:proofErr w:type="spellEnd"/>
          </w:p>
        </w:tc>
        <w:tc>
          <w:tcPr>
            <w:tcW w:w="1131" w:type="pct"/>
          </w:tcPr>
          <w:p w14:paraId="722A86A4" w14:textId="77777777" w:rsidR="00B349AC" w:rsidRPr="0098262F" w:rsidRDefault="00B349AC" w:rsidP="00B349AC">
            <w:pPr>
              <w:pStyle w:val="TableText0"/>
            </w:pPr>
            <w:r>
              <w:t xml:space="preserve">ERT </w:t>
            </w:r>
            <w:r w:rsidRPr="0098262F">
              <w:t>Treatment</w:t>
            </w:r>
            <w:r>
              <w:t>-experienced FD patients</w:t>
            </w:r>
          </w:p>
        </w:tc>
        <w:tc>
          <w:tcPr>
            <w:tcW w:w="1609" w:type="pct"/>
          </w:tcPr>
          <w:p w14:paraId="647C411B" w14:textId="77777777" w:rsidR="00B349AC" w:rsidRPr="0098262F" w:rsidRDefault="00B349AC" w:rsidP="00B349AC">
            <w:pPr>
              <w:pStyle w:val="TableText0"/>
            </w:pPr>
            <w:r>
              <w:t>A</w:t>
            </w:r>
            <w:r w:rsidRPr="00F25B56">
              <w:t>nnualised change in eGFR</w:t>
            </w:r>
            <w:r>
              <w:t xml:space="preserve"> (slope)</w:t>
            </w:r>
            <w:r w:rsidRPr="00F25B56">
              <w:t>; change from baseline in:</w:t>
            </w:r>
            <w:r>
              <w:t xml:space="preserve"> </w:t>
            </w:r>
            <w:r w:rsidRPr="00F25B56">
              <w:t xml:space="preserve">LVMI, plasma </w:t>
            </w:r>
            <w:r>
              <w:t>l</w:t>
            </w:r>
            <w:r w:rsidRPr="00F25B56">
              <w:t>yso-Gb3</w:t>
            </w:r>
            <w:r>
              <w:t>,</w:t>
            </w:r>
            <w:r w:rsidRPr="00F25B56">
              <w:t xml:space="preserve"> plasma Gb3, urine </w:t>
            </w:r>
            <w:r>
              <w:t>l</w:t>
            </w:r>
            <w:r w:rsidRPr="00F25B56">
              <w:t>yso-Gb3, MSSI</w:t>
            </w:r>
            <w:r>
              <w:t xml:space="preserve">, and </w:t>
            </w:r>
            <w:r w:rsidRPr="00F25B56">
              <w:t>EQ-5D-5L</w:t>
            </w:r>
            <w:r>
              <w:t xml:space="preserve">; </w:t>
            </w:r>
            <w:r w:rsidRPr="00F25B56">
              <w:t>FCE and AEs.</w:t>
            </w:r>
          </w:p>
        </w:tc>
      </w:tr>
      <w:tr w:rsidR="00B349AC" w:rsidRPr="0098262F" w14:paraId="2570CEA7" w14:textId="77777777" w:rsidTr="00310FDC">
        <w:trPr>
          <w:cantSplit/>
        </w:trPr>
        <w:tc>
          <w:tcPr>
            <w:tcW w:w="584" w:type="pct"/>
          </w:tcPr>
          <w:p w14:paraId="13B8E1A2" w14:textId="77777777" w:rsidR="00B349AC" w:rsidRPr="0098262F" w:rsidRDefault="00B349AC" w:rsidP="00B349AC">
            <w:pPr>
              <w:pStyle w:val="TableText0"/>
            </w:pPr>
            <w:r w:rsidRPr="0069110F">
              <w:t>BRIGHT</w:t>
            </w:r>
          </w:p>
        </w:tc>
        <w:tc>
          <w:tcPr>
            <w:tcW w:w="431" w:type="pct"/>
          </w:tcPr>
          <w:p w14:paraId="36B4C677" w14:textId="77777777" w:rsidR="00B349AC" w:rsidRPr="0098262F" w:rsidRDefault="00B349AC" w:rsidP="00B349AC">
            <w:pPr>
              <w:pStyle w:val="TableText0"/>
            </w:pPr>
            <w:r>
              <w:t>30</w:t>
            </w:r>
          </w:p>
        </w:tc>
        <w:tc>
          <w:tcPr>
            <w:tcW w:w="724" w:type="pct"/>
          </w:tcPr>
          <w:p w14:paraId="502E8910" w14:textId="77777777" w:rsidR="00B349AC" w:rsidRPr="0098262F" w:rsidRDefault="00B349AC" w:rsidP="00B349AC">
            <w:pPr>
              <w:pStyle w:val="TableText0"/>
            </w:pPr>
            <w:r w:rsidRPr="009A77FE">
              <w:t>Phase III</w:t>
            </w:r>
            <w:r>
              <w:t>, OL</w:t>
            </w:r>
            <w:r w:rsidRPr="0098262F">
              <w:t>,</w:t>
            </w:r>
            <w:r>
              <w:t xml:space="preserve"> single arm</w:t>
            </w:r>
          </w:p>
          <w:p w14:paraId="244D0FBE" w14:textId="77777777" w:rsidR="00B349AC" w:rsidRPr="0098262F" w:rsidRDefault="00B349AC" w:rsidP="00B349AC">
            <w:pPr>
              <w:pStyle w:val="TableText0"/>
            </w:pPr>
            <w:r>
              <w:t>52 weeks</w:t>
            </w:r>
          </w:p>
        </w:tc>
        <w:tc>
          <w:tcPr>
            <w:tcW w:w="520" w:type="pct"/>
          </w:tcPr>
          <w:p w14:paraId="3B61B933" w14:textId="005E384D" w:rsidR="00B349AC" w:rsidRPr="00767517" w:rsidRDefault="00B349AC" w:rsidP="00B349AC">
            <w:pPr>
              <w:pStyle w:val="TableText0"/>
            </w:pPr>
            <w:proofErr w:type="spellStart"/>
            <w:r w:rsidRPr="00767517">
              <w:t>NA</w:t>
            </w:r>
            <w:r w:rsidR="00BA246D">
              <w:rPr>
                <w:vertAlign w:val="superscript"/>
              </w:rPr>
              <w:t>b</w:t>
            </w:r>
            <w:proofErr w:type="spellEnd"/>
          </w:p>
        </w:tc>
        <w:tc>
          <w:tcPr>
            <w:tcW w:w="1131" w:type="pct"/>
          </w:tcPr>
          <w:p w14:paraId="2F0AB6D0" w14:textId="77777777" w:rsidR="00B349AC" w:rsidRPr="0098262F" w:rsidRDefault="00B349AC" w:rsidP="00B349AC">
            <w:pPr>
              <w:pStyle w:val="TableText0"/>
            </w:pPr>
            <w:r>
              <w:t xml:space="preserve">ERT </w:t>
            </w:r>
            <w:r w:rsidRPr="0098262F">
              <w:t>Treatment</w:t>
            </w:r>
            <w:r>
              <w:t>-experienced FD patients</w:t>
            </w:r>
          </w:p>
        </w:tc>
        <w:tc>
          <w:tcPr>
            <w:tcW w:w="1609" w:type="pct"/>
          </w:tcPr>
          <w:p w14:paraId="491428DF" w14:textId="77777777" w:rsidR="00B349AC" w:rsidRPr="0098262F" w:rsidRDefault="00B349AC" w:rsidP="00B349AC">
            <w:pPr>
              <w:pStyle w:val="TableText0"/>
            </w:pPr>
            <w:r>
              <w:t>A</w:t>
            </w:r>
            <w:r w:rsidRPr="00F25B56">
              <w:t>nnualised</w:t>
            </w:r>
            <w:r>
              <w:t xml:space="preserve"> c</w:t>
            </w:r>
            <w:r w:rsidRPr="00F25B56">
              <w:t>hange in eGFR</w:t>
            </w:r>
            <w:r>
              <w:t xml:space="preserve"> (slope)</w:t>
            </w:r>
            <w:r w:rsidRPr="00F25B56">
              <w:t xml:space="preserve">; change from baseline </w:t>
            </w:r>
            <w:proofErr w:type="gramStart"/>
            <w:r w:rsidRPr="00F25B56">
              <w:t>in:</w:t>
            </w:r>
            <w:proofErr w:type="gramEnd"/>
            <w:r w:rsidRPr="00F25B56">
              <w:t xml:space="preserve"> plasma </w:t>
            </w:r>
            <w:r>
              <w:t>l</w:t>
            </w:r>
            <w:r w:rsidRPr="00F25B56">
              <w:t>yso-Gb3</w:t>
            </w:r>
            <w:r>
              <w:t>,</w:t>
            </w:r>
            <w:r w:rsidRPr="00F25B56">
              <w:t xml:space="preserve"> plasma Gb3, urine </w:t>
            </w:r>
            <w:r>
              <w:t>l</w:t>
            </w:r>
            <w:r w:rsidRPr="00F25B56">
              <w:t>yso-Gb3, MSSI</w:t>
            </w:r>
            <w:r>
              <w:t xml:space="preserve">, and </w:t>
            </w:r>
            <w:r w:rsidRPr="00F25B56">
              <w:t>EQ-5D-5L</w:t>
            </w:r>
            <w:r>
              <w:t xml:space="preserve">; </w:t>
            </w:r>
            <w:r w:rsidRPr="00F25B56">
              <w:t>and AEs.</w:t>
            </w:r>
          </w:p>
        </w:tc>
      </w:tr>
      <w:tr w:rsidR="00B349AC" w:rsidRPr="0098262F" w14:paraId="0AC7F998" w14:textId="77777777" w:rsidTr="00310FDC">
        <w:trPr>
          <w:cantSplit/>
        </w:trPr>
        <w:tc>
          <w:tcPr>
            <w:tcW w:w="584" w:type="pct"/>
          </w:tcPr>
          <w:p w14:paraId="73B495C3" w14:textId="77777777" w:rsidR="00B349AC" w:rsidRDefault="00B349AC" w:rsidP="00B349AC">
            <w:pPr>
              <w:pStyle w:val="TableText0"/>
            </w:pPr>
            <w:r>
              <w:t>PB-102-F01 &amp;</w:t>
            </w:r>
          </w:p>
          <w:p w14:paraId="71E24369" w14:textId="14F72852" w:rsidR="00B349AC" w:rsidRPr="0098262F" w:rsidRDefault="00B349AC" w:rsidP="00B349AC">
            <w:pPr>
              <w:pStyle w:val="TableText0"/>
            </w:pPr>
            <w:r>
              <w:t>PB-102-F02</w:t>
            </w:r>
            <w:r w:rsidR="00BA246D">
              <w:rPr>
                <w:vertAlign w:val="superscript"/>
              </w:rPr>
              <w:t>c</w:t>
            </w:r>
          </w:p>
        </w:tc>
        <w:tc>
          <w:tcPr>
            <w:tcW w:w="431" w:type="pct"/>
          </w:tcPr>
          <w:p w14:paraId="104110CD" w14:textId="77777777" w:rsidR="00B349AC" w:rsidRPr="0098262F" w:rsidRDefault="00B349AC" w:rsidP="00B349AC">
            <w:pPr>
              <w:pStyle w:val="TableText0"/>
            </w:pPr>
            <w:r>
              <w:t>18</w:t>
            </w:r>
          </w:p>
        </w:tc>
        <w:tc>
          <w:tcPr>
            <w:tcW w:w="724" w:type="pct"/>
          </w:tcPr>
          <w:p w14:paraId="2B2E537A" w14:textId="77777777" w:rsidR="00B349AC" w:rsidRPr="0098262F" w:rsidRDefault="00B349AC" w:rsidP="00B349AC">
            <w:pPr>
              <w:pStyle w:val="TableText0"/>
            </w:pPr>
            <w:r w:rsidRPr="009A77FE">
              <w:t>Phase I/II</w:t>
            </w:r>
            <w:r>
              <w:t>, OL</w:t>
            </w:r>
            <w:r w:rsidRPr="0098262F">
              <w:t>,</w:t>
            </w:r>
            <w:r>
              <w:t xml:space="preserve"> single arm</w:t>
            </w:r>
          </w:p>
          <w:p w14:paraId="2B454258" w14:textId="77777777" w:rsidR="00B349AC" w:rsidRPr="0098262F" w:rsidRDefault="00B349AC" w:rsidP="00B349AC">
            <w:pPr>
              <w:pStyle w:val="TableText0"/>
            </w:pPr>
            <w:r>
              <w:t>12 months</w:t>
            </w:r>
          </w:p>
        </w:tc>
        <w:tc>
          <w:tcPr>
            <w:tcW w:w="520" w:type="pct"/>
          </w:tcPr>
          <w:p w14:paraId="1B0EE756" w14:textId="68D27BD2" w:rsidR="00B349AC" w:rsidRPr="0098262F" w:rsidRDefault="00B349AC" w:rsidP="00B349AC">
            <w:pPr>
              <w:pStyle w:val="TableText0"/>
            </w:pPr>
            <w:proofErr w:type="spellStart"/>
            <w:r w:rsidRPr="00767517">
              <w:t>NA</w:t>
            </w:r>
            <w:r w:rsidR="00BA246D">
              <w:rPr>
                <w:vertAlign w:val="superscript"/>
              </w:rPr>
              <w:t>b</w:t>
            </w:r>
            <w:proofErr w:type="spellEnd"/>
          </w:p>
        </w:tc>
        <w:tc>
          <w:tcPr>
            <w:tcW w:w="1131" w:type="pct"/>
          </w:tcPr>
          <w:p w14:paraId="25CD9F04" w14:textId="77777777" w:rsidR="00B349AC" w:rsidRPr="0098262F" w:rsidRDefault="00B349AC" w:rsidP="00B349AC">
            <w:pPr>
              <w:pStyle w:val="TableText0"/>
            </w:pPr>
            <w:r w:rsidRPr="0098262F">
              <w:t>Treatment</w:t>
            </w:r>
            <w:r>
              <w:t>-</w:t>
            </w:r>
            <w:r w:rsidRPr="0098262F">
              <w:t>naïve</w:t>
            </w:r>
            <w:r>
              <w:t xml:space="preserve"> FD patients</w:t>
            </w:r>
          </w:p>
        </w:tc>
        <w:tc>
          <w:tcPr>
            <w:tcW w:w="1609" w:type="pct"/>
          </w:tcPr>
          <w:p w14:paraId="5C5A2EF3" w14:textId="77777777" w:rsidR="00B349AC" w:rsidRPr="0098262F" w:rsidRDefault="00B349AC" w:rsidP="00B349AC">
            <w:pPr>
              <w:pStyle w:val="TableText0"/>
            </w:pPr>
            <w:r>
              <w:t>A</w:t>
            </w:r>
            <w:r w:rsidRPr="00F25B56">
              <w:t>nnualised</w:t>
            </w:r>
            <w:r>
              <w:t xml:space="preserve"> c</w:t>
            </w:r>
            <w:r w:rsidRPr="00F25B56">
              <w:t>hange in eGFR</w:t>
            </w:r>
            <w:r>
              <w:t xml:space="preserve"> (slope)</w:t>
            </w:r>
            <w:r w:rsidRPr="00F25B56">
              <w:t>; change from baseline in</w:t>
            </w:r>
            <w:r>
              <w:t xml:space="preserve"> </w:t>
            </w:r>
            <w:r w:rsidRPr="00F25B56">
              <w:t xml:space="preserve">plasma </w:t>
            </w:r>
            <w:r>
              <w:t>l</w:t>
            </w:r>
            <w:r w:rsidRPr="00F25B56">
              <w:t>yso-Gb3</w:t>
            </w:r>
            <w:r>
              <w:t xml:space="preserve"> and</w:t>
            </w:r>
            <w:r w:rsidRPr="00F25B56">
              <w:t xml:space="preserve"> plasma Gb3.</w:t>
            </w:r>
          </w:p>
        </w:tc>
      </w:tr>
      <w:tr w:rsidR="00B349AC" w:rsidRPr="0098262F" w14:paraId="5CBC18B5" w14:textId="77777777" w:rsidTr="00310FDC">
        <w:trPr>
          <w:cantSplit/>
        </w:trPr>
        <w:tc>
          <w:tcPr>
            <w:tcW w:w="584" w:type="pct"/>
          </w:tcPr>
          <w:p w14:paraId="34BF037A" w14:textId="77777777" w:rsidR="00B349AC" w:rsidRPr="0098262F" w:rsidRDefault="00B349AC" w:rsidP="00B349AC">
            <w:pPr>
              <w:pStyle w:val="TableText0"/>
            </w:pPr>
            <w:r>
              <w:t>PB-102-F03</w:t>
            </w:r>
          </w:p>
        </w:tc>
        <w:tc>
          <w:tcPr>
            <w:tcW w:w="431" w:type="pct"/>
          </w:tcPr>
          <w:p w14:paraId="1EF52F32" w14:textId="77777777" w:rsidR="00B349AC" w:rsidRPr="0098262F" w:rsidRDefault="00B349AC" w:rsidP="00B349AC">
            <w:pPr>
              <w:pStyle w:val="TableText0"/>
            </w:pPr>
            <w:r>
              <w:t>15</w:t>
            </w:r>
          </w:p>
        </w:tc>
        <w:tc>
          <w:tcPr>
            <w:tcW w:w="724" w:type="pct"/>
          </w:tcPr>
          <w:p w14:paraId="3F205CC4" w14:textId="77777777" w:rsidR="00B349AC" w:rsidRPr="0098262F" w:rsidRDefault="00B349AC" w:rsidP="00B349AC">
            <w:pPr>
              <w:pStyle w:val="TableText0"/>
            </w:pPr>
            <w:r w:rsidRPr="009A77FE">
              <w:t>Phase I/II</w:t>
            </w:r>
            <w:r>
              <w:t>, OL</w:t>
            </w:r>
            <w:r w:rsidRPr="0098262F">
              <w:t>,</w:t>
            </w:r>
            <w:r>
              <w:t xml:space="preserve"> single arm</w:t>
            </w:r>
          </w:p>
          <w:p w14:paraId="5793AF9B" w14:textId="77777777" w:rsidR="00B349AC" w:rsidRPr="0098262F" w:rsidRDefault="00B349AC" w:rsidP="00B349AC">
            <w:pPr>
              <w:pStyle w:val="TableText0"/>
            </w:pPr>
            <w:r>
              <w:t>Up to 60 months</w:t>
            </w:r>
          </w:p>
        </w:tc>
        <w:tc>
          <w:tcPr>
            <w:tcW w:w="520" w:type="pct"/>
          </w:tcPr>
          <w:p w14:paraId="57C4B66F" w14:textId="6DE523AB" w:rsidR="00B349AC" w:rsidRPr="00767517" w:rsidRDefault="00B349AC" w:rsidP="00B349AC">
            <w:pPr>
              <w:pStyle w:val="TableText0"/>
            </w:pPr>
            <w:proofErr w:type="spellStart"/>
            <w:r w:rsidRPr="00767517">
              <w:t>NA</w:t>
            </w:r>
            <w:r w:rsidR="00BA246D">
              <w:rPr>
                <w:vertAlign w:val="superscript"/>
              </w:rPr>
              <w:t>b</w:t>
            </w:r>
            <w:proofErr w:type="spellEnd"/>
          </w:p>
        </w:tc>
        <w:tc>
          <w:tcPr>
            <w:tcW w:w="1131" w:type="pct"/>
          </w:tcPr>
          <w:p w14:paraId="30979418" w14:textId="77777777" w:rsidR="00B349AC" w:rsidRPr="0098262F" w:rsidRDefault="00B349AC" w:rsidP="00B349AC">
            <w:pPr>
              <w:pStyle w:val="TableText0"/>
            </w:pPr>
            <w:r w:rsidRPr="0098262F">
              <w:t>Treatment</w:t>
            </w:r>
            <w:r>
              <w:t>-</w:t>
            </w:r>
            <w:r w:rsidRPr="0098262F">
              <w:t>naïve</w:t>
            </w:r>
            <w:r>
              <w:t xml:space="preserve"> FD patients</w:t>
            </w:r>
          </w:p>
        </w:tc>
        <w:tc>
          <w:tcPr>
            <w:tcW w:w="1609" w:type="pct"/>
          </w:tcPr>
          <w:p w14:paraId="42193968" w14:textId="77777777" w:rsidR="00B349AC" w:rsidRPr="0098262F" w:rsidRDefault="00B349AC" w:rsidP="00B349AC">
            <w:pPr>
              <w:pStyle w:val="TableText0"/>
            </w:pPr>
            <w:r>
              <w:t>A</w:t>
            </w:r>
            <w:r w:rsidRPr="00F25B56">
              <w:t>nnualised</w:t>
            </w:r>
            <w:r>
              <w:t xml:space="preserve"> c</w:t>
            </w:r>
            <w:r w:rsidRPr="00F25B56">
              <w:t>hange in eGFR</w:t>
            </w:r>
            <w:r>
              <w:t xml:space="preserve"> (slope)</w:t>
            </w:r>
            <w:r w:rsidRPr="00F25B56">
              <w:t>; change from baseline in</w:t>
            </w:r>
            <w:r>
              <w:t xml:space="preserve"> </w:t>
            </w:r>
            <w:r w:rsidRPr="00F25B56">
              <w:t xml:space="preserve">plasma </w:t>
            </w:r>
            <w:r>
              <w:t>l</w:t>
            </w:r>
            <w:r w:rsidRPr="00F25B56">
              <w:t>yso-Gb3</w:t>
            </w:r>
            <w:r>
              <w:t xml:space="preserve"> and</w:t>
            </w:r>
            <w:r w:rsidRPr="00F25B56">
              <w:t xml:space="preserve"> plasma Gb3</w:t>
            </w:r>
            <w:r>
              <w:t>.</w:t>
            </w:r>
          </w:p>
        </w:tc>
      </w:tr>
      <w:tr w:rsidR="00B349AC" w:rsidRPr="0098262F" w14:paraId="0629B53C" w14:textId="09F1F6A1" w:rsidTr="00310FDC">
        <w:trPr>
          <w:cantSplit/>
        </w:trPr>
        <w:tc>
          <w:tcPr>
            <w:tcW w:w="584" w:type="pct"/>
          </w:tcPr>
          <w:p w14:paraId="370CADFF" w14:textId="5176CB10" w:rsidR="00B349AC" w:rsidRPr="0098262F" w:rsidRDefault="00B349AC" w:rsidP="00B349AC">
            <w:pPr>
              <w:pStyle w:val="TableText0"/>
            </w:pPr>
            <w:r>
              <w:t>ATTRACT</w:t>
            </w:r>
          </w:p>
        </w:tc>
        <w:tc>
          <w:tcPr>
            <w:tcW w:w="431" w:type="pct"/>
          </w:tcPr>
          <w:p w14:paraId="7C7BEC18" w14:textId="79807C8E" w:rsidR="00B349AC" w:rsidRDefault="00B349AC" w:rsidP="00B349AC">
            <w:pPr>
              <w:pStyle w:val="TableText0"/>
            </w:pPr>
            <w:r>
              <w:t>60 ITT</w:t>
            </w:r>
          </w:p>
          <w:p w14:paraId="391D5A77" w14:textId="51374C4B" w:rsidR="00B349AC" w:rsidRPr="0098262F" w:rsidRDefault="00B349AC" w:rsidP="00B349AC">
            <w:pPr>
              <w:pStyle w:val="TableText0"/>
            </w:pPr>
            <w:r>
              <w:t xml:space="preserve">52 </w:t>
            </w:r>
            <w:proofErr w:type="spellStart"/>
            <w:r>
              <w:t>mTT</w:t>
            </w:r>
            <w:proofErr w:type="spellEnd"/>
            <w:r>
              <w:t xml:space="preserve"> amenable</w:t>
            </w:r>
          </w:p>
        </w:tc>
        <w:tc>
          <w:tcPr>
            <w:tcW w:w="724" w:type="pct"/>
          </w:tcPr>
          <w:p w14:paraId="362469E9" w14:textId="518C7C99" w:rsidR="00B349AC" w:rsidRDefault="00B349AC" w:rsidP="00B349AC">
            <w:pPr>
              <w:pStyle w:val="TableText0"/>
            </w:pPr>
            <w:r>
              <w:t xml:space="preserve">Phase III, OL, </w:t>
            </w:r>
          </w:p>
          <w:p w14:paraId="2DFFF1F4" w14:textId="5D88C521" w:rsidR="00B349AC" w:rsidRDefault="00B349AC" w:rsidP="00B349AC">
            <w:pPr>
              <w:pStyle w:val="TableText0"/>
            </w:pPr>
            <w:r>
              <w:t xml:space="preserve">MC, </w:t>
            </w:r>
            <w:r w:rsidRPr="0098262F">
              <w:t>R,</w:t>
            </w:r>
          </w:p>
          <w:p w14:paraId="4EF1DD1B" w14:textId="62FF74A7" w:rsidR="00B349AC" w:rsidRPr="0098262F" w:rsidRDefault="00B349AC" w:rsidP="00B349AC">
            <w:pPr>
              <w:pStyle w:val="TableText0"/>
            </w:pPr>
            <w:r>
              <w:t>18 months</w:t>
            </w:r>
          </w:p>
        </w:tc>
        <w:tc>
          <w:tcPr>
            <w:tcW w:w="520" w:type="pct"/>
          </w:tcPr>
          <w:p w14:paraId="2FBC28E1" w14:textId="3B9B5D04" w:rsidR="00B349AC" w:rsidRPr="007352EA" w:rsidRDefault="00B349AC" w:rsidP="00B349AC">
            <w:pPr>
              <w:pStyle w:val="TableText0"/>
            </w:pPr>
            <w:r w:rsidRPr="007352EA">
              <w:t>High</w:t>
            </w:r>
          </w:p>
        </w:tc>
        <w:tc>
          <w:tcPr>
            <w:tcW w:w="1131" w:type="pct"/>
          </w:tcPr>
          <w:p w14:paraId="607911EF" w14:textId="40E8BCAF" w:rsidR="00B349AC" w:rsidRPr="0098262F" w:rsidRDefault="00B349AC" w:rsidP="00B349AC">
            <w:pPr>
              <w:pStyle w:val="TableText0"/>
            </w:pPr>
            <w:r>
              <w:t xml:space="preserve">ERT </w:t>
            </w:r>
            <w:r w:rsidRPr="0098262F">
              <w:t>Treatment</w:t>
            </w:r>
            <w:r>
              <w:t>-experienced FD patients with</w:t>
            </w:r>
            <w:r w:rsidRPr="00D2098F">
              <w:t xml:space="preserve"> an amenable mutation</w:t>
            </w:r>
          </w:p>
        </w:tc>
        <w:tc>
          <w:tcPr>
            <w:tcW w:w="1609" w:type="pct"/>
          </w:tcPr>
          <w:p w14:paraId="1FB1E1A2" w14:textId="3993B989" w:rsidR="00B349AC" w:rsidRPr="0098262F" w:rsidRDefault="00B349AC" w:rsidP="00B349AC">
            <w:pPr>
              <w:pStyle w:val="TableText0"/>
            </w:pPr>
            <w:r>
              <w:t>A</w:t>
            </w:r>
            <w:r w:rsidRPr="00F25B56">
              <w:t>nnualised change in eGFR</w:t>
            </w:r>
            <w:r>
              <w:t xml:space="preserve"> (slope)</w:t>
            </w:r>
            <w:r w:rsidRPr="00F25B56">
              <w:t>; change from baseline in</w:t>
            </w:r>
            <w:r>
              <w:t xml:space="preserve"> </w:t>
            </w:r>
            <w:r w:rsidRPr="00F25B56">
              <w:t>LVMI and AEs.</w:t>
            </w:r>
          </w:p>
        </w:tc>
      </w:tr>
    </w:tbl>
    <w:p w14:paraId="091A66D0" w14:textId="495117E6" w:rsidR="006E09FB" w:rsidRPr="0098262F" w:rsidRDefault="006E09FB" w:rsidP="009D09F4">
      <w:pPr>
        <w:pStyle w:val="FooterTableFigure"/>
      </w:pPr>
      <w:r w:rsidRPr="0098262F">
        <w:t>Source: Table</w:t>
      </w:r>
      <w:r w:rsidR="008E314F">
        <w:t xml:space="preserve"> 2.2-3</w:t>
      </w:r>
      <w:r>
        <w:t>, pp38-39</w:t>
      </w:r>
      <w:r w:rsidRPr="0098262F">
        <w:t xml:space="preserve"> of the submission</w:t>
      </w:r>
      <w:r>
        <w:t xml:space="preserve"> and Section 2, pp24-106 of the submission.</w:t>
      </w:r>
    </w:p>
    <w:p w14:paraId="54E6ECE3" w14:textId="0A96450B" w:rsidR="006E09FB" w:rsidRDefault="006E09FB" w:rsidP="009D09F4">
      <w:pPr>
        <w:pStyle w:val="FooterTableFigure"/>
      </w:pPr>
      <w:r>
        <w:t xml:space="preserve">Abbreviations: AEs, </w:t>
      </w:r>
      <w:r w:rsidRPr="00F25B56">
        <w:t>adverse events</w:t>
      </w:r>
      <w:r>
        <w:t xml:space="preserve">; </w:t>
      </w:r>
      <w:r w:rsidRPr="00F25B56">
        <w:t>BPI</w:t>
      </w:r>
      <w:r>
        <w:t xml:space="preserve">, </w:t>
      </w:r>
      <w:r w:rsidRPr="00F25B56">
        <w:t>Brief Pain Inventory</w:t>
      </w:r>
      <w:r>
        <w:t xml:space="preserve">; </w:t>
      </w:r>
      <w:r w:rsidRPr="0098262F">
        <w:t>DB</w:t>
      </w:r>
      <w:r>
        <w:t xml:space="preserve">, </w:t>
      </w:r>
      <w:r w:rsidRPr="0098262F">
        <w:t>double blind;</w:t>
      </w:r>
      <w:r>
        <w:t xml:space="preserve"> </w:t>
      </w:r>
      <w:r w:rsidRPr="00F25B56">
        <w:t>eGFR</w:t>
      </w:r>
      <w:r>
        <w:t xml:space="preserve">, </w:t>
      </w:r>
      <w:r w:rsidRPr="00F25B56">
        <w:t>estimated glomerular filtration rate</w:t>
      </w:r>
      <w:r>
        <w:t xml:space="preserve">; </w:t>
      </w:r>
      <w:r w:rsidRPr="00F25B56">
        <w:t>EQ-5D-5L</w:t>
      </w:r>
      <w:r>
        <w:t xml:space="preserve">, </w:t>
      </w:r>
      <w:r w:rsidRPr="00F25B56">
        <w:t>EuroQoL-5 Dimension-5 Level</w:t>
      </w:r>
      <w:r>
        <w:t xml:space="preserve">; ERT, enzyme replacement therapy; FCE, </w:t>
      </w:r>
      <w:r w:rsidRPr="00F25B56">
        <w:t>Fabry clinical events</w:t>
      </w:r>
      <w:r>
        <w:t>;</w:t>
      </w:r>
      <w:r w:rsidRPr="00F25B56">
        <w:t xml:space="preserve"> </w:t>
      </w:r>
      <w:r>
        <w:t xml:space="preserve">FD, Fabry disease; </w:t>
      </w:r>
      <w:r w:rsidRPr="00F25B56">
        <w:t>Gb3</w:t>
      </w:r>
      <w:r>
        <w:t xml:space="preserve">, </w:t>
      </w:r>
      <w:r w:rsidRPr="00F25B56">
        <w:t>Globotriaosylsphingosine</w:t>
      </w:r>
      <w:r>
        <w:t>;</w:t>
      </w:r>
      <w:r w:rsidRPr="0098262F">
        <w:t xml:space="preserve"> </w:t>
      </w:r>
      <w:r>
        <w:t xml:space="preserve">ITT, intention to treat; </w:t>
      </w:r>
      <w:r w:rsidRPr="0098262F">
        <w:t>MC</w:t>
      </w:r>
      <w:r>
        <w:t>,</w:t>
      </w:r>
      <w:r w:rsidRPr="0098262F">
        <w:t xml:space="preserve"> multi-centre; </w:t>
      </w:r>
      <w:r w:rsidRPr="00F25B56">
        <w:t>LVMI</w:t>
      </w:r>
      <w:r>
        <w:t xml:space="preserve">, </w:t>
      </w:r>
      <w:r w:rsidRPr="00F25B56">
        <w:t>Left Ventricular Mass Index</w:t>
      </w:r>
      <w:r>
        <w:t xml:space="preserve">; </w:t>
      </w:r>
      <w:proofErr w:type="spellStart"/>
      <w:r>
        <w:t>mITT</w:t>
      </w:r>
      <w:proofErr w:type="spellEnd"/>
      <w:r>
        <w:t xml:space="preserve">, modified intention to treat; </w:t>
      </w:r>
      <w:r w:rsidRPr="00F25B56">
        <w:t>MSSI</w:t>
      </w:r>
      <w:r>
        <w:t xml:space="preserve">, </w:t>
      </w:r>
      <w:r w:rsidRPr="00F25B56">
        <w:t>Mainz Severity Score Index</w:t>
      </w:r>
      <w:r>
        <w:t xml:space="preserve">; NA, not assessed; </w:t>
      </w:r>
      <w:r w:rsidRPr="0098262F">
        <w:t>OL</w:t>
      </w:r>
      <w:r>
        <w:t>,</w:t>
      </w:r>
      <w:r w:rsidRPr="0098262F">
        <w:t xml:space="preserve"> open label; R</w:t>
      </w:r>
      <w:r>
        <w:t>,</w:t>
      </w:r>
      <w:r w:rsidRPr="0098262F">
        <w:t xml:space="preserve"> randomised</w:t>
      </w:r>
      <w:r>
        <w:t xml:space="preserve">; </w:t>
      </w:r>
      <w:r w:rsidRPr="00F25B56">
        <w:t>UPCR</w:t>
      </w:r>
      <w:r>
        <w:t xml:space="preserve">, </w:t>
      </w:r>
      <w:r w:rsidRPr="00F25B56">
        <w:t>Urine Protein/Creatinine Ratio</w:t>
      </w:r>
      <w:r w:rsidR="00E53095">
        <w:t>.</w:t>
      </w:r>
    </w:p>
    <w:p w14:paraId="204389A6" w14:textId="41E37C74" w:rsidR="00861355" w:rsidRPr="00086184" w:rsidRDefault="006E09FB" w:rsidP="009D09F4">
      <w:pPr>
        <w:pStyle w:val="FooterTableFigure"/>
      </w:pPr>
      <w:proofErr w:type="spellStart"/>
      <w:r w:rsidRPr="00086184">
        <w:rPr>
          <w:vertAlign w:val="superscript"/>
        </w:rPr>
        <w:t>a</w:t>
      </w:r>
      <w:proofErr w:type="spellEnd"/>
      <w:r w:rsidRPr="00086184">
        <w:rPr>
          <w:vertAlign w:val="superscript"/>
        </w:rPr>
        <w:t xml:space="preserve"> </w:t>
      </w:r>
      <w:r w:rsidR="005D7E0B" w:rsidRPr="00086184">
        <w:t>T</w:t>
      </w:r>
      <w:r w:rsidR="00BA246D" w:rsidRPr="00086184">
        <w:t>here were some concerns regarding attrition bias with more patients discontinuing in the pegunigalsidase alfa arm (5/52=9.6%) compared to</w:t>
      </w:r>
      <w:r w:rsidR="002E3EC3" w:rsidRPr="00086184">
        <w:t xml:space="preserve"> the</w:t>
      </w:r>
      <w:r w:rsidR="00BA246D" w:rsidRPr="00086184">
        <w:t xml:space="preserve"> agalsidase beta arm (1/25=4.0%) due to AEs (3.9% vs 0%) and withdrawal of consent (5.8% vs 4.0%), noting the small sample size in each arm (n=52 pegunigalsidase alfa and n=25 agalsidase beta). This leads to an overall risk of bias of some concern.</w:t>
      </w:r>
    </w:p>
    <w:p w14:paraId="3A1AAA90" w14:textId="205E3F85" w:rsidR="006E09FB" w:rsidRDefault="00861355" w:rsidP="009D09F4">
      <w:pPr>
        <w:pStyle w:val="FooterTableFigure"/>
      </w:pPr>
      <w:r>
        <w:rPr>
          <w:vertAlign w:val="superscript"/>
        </w:rPr>
        <w:t xml:space="preserve">b </w:t>
      </w:r>
      <w:r w:rsidR="006E09FB">
        <w:t>Risk of bias was not assessed and reported in the submission. It is likely these studies will be with an overall high risk of bias, given the open label nature, single arm and small sample size.</w:t>
      </w:r>
    </w:p>
    <w:p w14:paraId="2C0E37F2" w14:textId="5B13966D" w:rsidR="006E09FB" w:rsidRPr="0098262F" w:rsidRDefault="00BA246D" w:rsidP="009D09F4">
      <w:pPr>
        <w:pStyle w:val="FooterTableFigure"/>
        <w:rPr>
          <w:sz w:val="20"/>
        </w:rPr>
      </w:pPr>
      <w:r>
        <w:rPr>
          <w:vertAlign w:val="superscript"/>
        </w:rPr>
        <w:t>c</w:t>
      </w:r>
      <w:r w:rsidR="006E09FB" w:rsidRPr="00C7209A">
        <w:rPr>
          <w:vertAlign w:val="superscript"/>
        </w:rPr>
        <w:t xml:space="preserve"> </w:t>
      </w:r>
      <w:r w:rsidR="006E09FB">
        <w:t>Results of PB-102-F01 &amp; PB-102-F02 were presented together at 12 months. Patients in PB-102-F01 were assessed over three months, followed by an additional nine months in PB-102-F02.</w:t>
      </w:r>
    </w:p>
    <w:p w14:paraId="38850C64" w14:textId="77777777" w:rsidR="006E09FB" w:rsidRPr="004258C8" w:rsidRDefault="006E09FB" w:rsidP="009D09F4">
      <w:pPr>
        <w:pStyle w:val="3-BodyText"/>
      </w:pPr>
      <w:r w:rsidRPr="004258C8">
        <w:t xml:space="preserve">While the BALANCE trial was assessed with a low risk of selection, performance, detection and reporting bias, there were some concerns regarding attrition bias with more patients discontinuing in the pegunigalsidase alfa arm (5/52=9.6%) compared to agalsidase beta arm (1/25=4.0%) due to AEs (3.9% vs 0%) and withdrawal of consent (5.8% vs 4.0%), noting the small sample size in each arm (n=52 pegunigalsidase alfa and n=25 agalsidase beta). This leads to an overall risk of bias of some concerns. </w:t>
      </w:r>
    </w:p>
    <w:p w14:paraId="63392B1F" w14:textId="66550B19" w:rsidR="006E09FB" w:rsidRPr="004258C8" w:rsidRDefault="006E09FB" w:rsidP="009D09F4">
      <w:pPr>
        <w:pStyle w:val="3-BodyText"/>
      </w:pPr>
      <w:r w:rsidRPr="004258C8">
        <w:t xml:space="preserve">The ATTRACT trial was an open label trial assessed with an overall high risk of bias. This is consistent with a prior assessment of migalastat, in which it was determined that due to the small sample size (reduced due to the reclassification of galactosidase alpha gene (GLA) mutations for amenable patients) and variability in the characteristics of the patient population, there was an increased risk of type II errors </w:t>
      </w:r>
      <w:r w:rsidRPr="004258C8">
        <w:lastRenderedPageBreak/>
        <w:t>(such as would occur if the studies failed to detect an effect for migalastat even where one actually existed) (para</w:t>
      </w:r>
      <w:r w:rsidR="00BE5627" w:rsidRPr="004258C8">
        <w:t>graph</w:t>
      </w:r>
      <w:r w:rsidRPr="004258C8">
        <w:t xml:space="preserve"> 6.6, migalastat, PSD, March 2017 PBAC meeting).</w:t>
      </w:r>
    </w:p>
    <w:p w14:paraId="23383974" w14:textId="77777777" w:rsidR="006E09FB" w:rsidRPr="004258C8" w:rsidRDefault="006E09FB" w:rsidP="009D09F4">
      <w:pPr>
        <w:pStyle w:val="3-BodyText"/>
      </w:pPr>
      <w:bookmarkStart w:id="24" w:name="_Ref197015822"/>
      <w:r w:rsidRPr="004258C8">
        <w:t>The key differences between the trial eligibility criteria and proposed PBS listing included:</w:t>
      </w:r>
      <w:bookmarkEnd w:id="24"/>
    </w:p>
    <w:p w14:paraId="3F00CDEA" w14:textId="77777777" w:rsidR="006E09FB" w:rsidRPr="004258C8" w:rsidRDefault="006E09FB" w:rsidP="00310FDC">
      <w:pPr>
        <w:pStyle w:val="ListParagraph"/>
        <w:ind w:left="1080"/>
        <w:jc w:val="both"/>
      </w:pPr>
      <w:r w:rsidRPr="004258C8">
        <w:t>The trial allowed patients up to 60 years old, while the proposed listing does not have an upper age limit.</w:t>
      </w:r>
    </w:p>
    <w:p w14:paraId="1CE85B62" w14:textId="3AAD6751" w:rsidR="006E09FB" w:rsidRPr="004258C8" w:rsidRDefault="006E09FB" w:rsidP="00310FDC">
      <w:pPr>
        <w:pStyle w:val="ListParagraph"/>
        <w:ind w:left="1080"/>
        <w:jc w:val="both"/>
      </w:pPr>
      <w:r w:rsidRPr="004258C8">
        <w:t>Patients in the trial required a more specific eGFR range (40-120</w:t>
      </w:r>
      <w:r w:rsidR="00AE31F8" w:rsidRPr="004258C8">
        <w:t> </w:t>
      </w:r>
      <w:r w:rsidRPr="004258C8">
        <w:t>mL/min/1.73</w:t>
      </w:r>
      <w:r w:rsidR="00AE31F8" w:rsidRPr="004258C8">
        <w:t> </w:t>
      </w:r>
      <w:r w:rsidRPr="004258C8">
        <w:t>m²) with a measurable decline over time (eGFR of ≥2</w:t>
      </w:r>
      <w:r w:rsidR="002F7062" w:rsidRPr="004258C8">
        <w:t> </w:t>
      </w:r>
      <w:r w:rsidRPr="004258C8">
        <w:t>mL/min/1.73 m²/year), while the proposed listing may include patients with poorer renal function, i.e., requiring a minimum eGFR of 30 mL/min/1.73 m² without considering the slope of decline (based on the migalastat PBS listing).</w:t>
      </w:r>
    </w:p>
    <w:p w14:paraId="19067C1F" w14:textId="77777777" w:rsidR="006E09FB" w:rsidRPr="004258C8" w:rsidRDefault="006E09FB" w:rsidP="00310FDC">
      <w:pPr>
        <w:pStyle w:val="ListParagraph"/>
        <w:ind w:left="1080"/>
        <w:jc w:val="both"/>
      </w:pPr>
      <w:r w:rsidRPr="004258C8">
        <w:t>Patients in the trial were treatment-experienced (with agalsidase beta) while the proposed listing is for treatment-naïve and treatment-experienced patients (i.e., first- and second-line treatment).</w:t>
      </w:r>
    </w:p>
    <w:p w14:paraId="28D4699C" w14:textId="77777777" w:rsidR="006E09FB" w:rsidRDefault="006E09FB" w:rsidP="009D09F4">
      <w:pPr>
        <w:pStyle w:val="3-BodyText"/>
        <w:rPr>
          <w:i/>
          <w:iCs/>
        </w:rPr>
      </w:pPr>
      <w:r w:rsidRPr="004258C8">
        <w:t>The treatments arms in the BALANCE trial were balanced across most baseline characteristics. The main differences were</w:t>
      </w:r>
      <w:r w:rsidRPr="00830DC1">
        <w:rPr>
          <w:i/>
          <w:iCs/>
        </w:rPr>
        <w:t>:</w:t>
      </w:r>
      <w:r>
        <w:rPr>
          <w:i/>
          <w:iCs/>
        </w:rPr>
        <w:t xml:space="preserve"> </w:t>
      </w:r>
    </w:p>
    <w:p w14:paraId="77E44FEC" w14:textId="7B1F7F98" w:rsidR="006E09FB" w:rsidRPr="005B2E2A" w:rsidRDefault="006E09FB" w:rsidP="00310FDC">
      <w:pPr>
        <w:pStyle w:val="ListParagraph"/>
        <w:ind w:left="1080"/>
        <w:jc w:val="both"/>
      </w:pPr>
      <w:r w:rsidRPr="00251C70">
        <w:t xml:space="preserve">Agalsidase beta arm had a higher proportion of males (72% vs 55.8%), higher use of </w:t>
      </w:r>
      <w:r w:rsidRPr="007C2B22">
        <w:t>angiotensin-converting enzyme inhibitors (</w:t>
      </w:r>
      <w:proofErr w:type="spellStart"/>
      <w:r w:rsidRPr="00251C70">
        <w:t>ACEi</w:t>
      </w:r>
      <w:proofErr w:type="spellEnd"/>
      <w:r w:rsidRPr="007C2B22">
        <w:t>)</w:t>
      </w:r>
      <w:r w:rsidRPr="00251C70">
        <w:t xml:space="preserve"> or </w:t>
      </w:r>
      <w:r w:rsidRPr="007C2B22">
        <w:t>angiotensin receptor blockers (</w:t>
      </w:r>
      <w:r w:rsidRPr="00251C70">
        <w:t>ARBs</w:t>
      </w:r>
      <w:r w:rsidRPr="007C2B22">
        <w:t>)</w:t>
      </w:r>
      <w:r w:rsidRPr="00251C70">
        <w:t xml:space="preserve"> (64% vs 50%), higher proportion of patients with </w:t>
      </w:r>
      <w:r w:rsidR="007902B5">
        <w:br/>
      </w:r>
      <w:r w:rsidRPr="00251C70">
        <w:t xml:space="preserve">UPCR </w:t>
      </w:r>
      <w:r w:rsidRPr="00D2098F">
        <w:t>≤</w:t>
      </w:r>
      <w:r w:rsidRPr="00251C70">
        <w:t xml:space="preserve"> 0.5</w:t>
      </w:r>
      <w:r w:rsidR="00487EAF">
        <w:t> </w:t>
      </w:r>
      <w:r w:rsidRPr="00251C70">
        <w:t>gr</w:t>
      </w:r>
      <w:r w:rsidR="001174A9">
        <w:t>am</w:t>
      </w:r>
      <w:r w:rsidRPr="00251C70">
        <w:t>/gr</w:t>
      </w:r>
      <w:r w:rsidR="001174A9">
        <w:t>am</w:t>
      </w:r>
      <w:r w:rsidRPr="00251C70">
        <w:t xml:space="preserve"> at baseline</w:t>
      </w:r>
      <w:r>
        <w:t xml:space="preserve"> (80% vs 69.2%)</w:t>
      </w:r>
      <w:r w:rsidRPr="00251C70">
        <w:t xml:space="preserve">, longer duration of previous ERT use (77.3 months vs 65 months) and higher use of premedication for agalsidase beta infusion (60% vs 38.5%) compared to </w:t>
      </w:r>
      <w:r w:rsidR="0003230D">
        <w:t>the</w:t>
      </w:r>
      <w:r w:rsidRPr="00251C70">
        <w:t xml:space="preserve"> pegunigalsidase alfa arm.</w:t>
      </w:r>
      <w:r>
        <w:t xml:space="preserve"> </w:t>
      </w:r>
      <w:r w:rsidRPr="005B2E2A">
        <w:t xml:space="preserve">Compared to patients in the pegunigalsidase arm, patients in the agalsidase beta arm had a higher proportion of males (typically have more severe disease manifestations), reported higher use of </w:t>
      </w:r>
      <w:proofErr w:type="spellStart"/>
      <w:r w:rsidRPr="005B2E2A">
        <w:t>ACEi</w:t>
      </w:r>
      <w:proofErr w:type="spellEnd"/>
      <w:r w:rsidRPr="005B2E2A">
        <w:t xml:space="preserve"> or ARBs used to manage cardiovascular conditions, had longer exposure to ERTs and were more heavily premedicated. </w:t>
      </w:r>
    </w:p>
    <w:p w14:paraId="0CDB112A" w14:textId="26B9C174" w:rsidR="006E09FB" w:rsidRPr="003967D8" w:rsidRDefault="006E09FB" w:rsidP="009D09F4">
      <w:pPr>
        <w:pStyle w:val="3-BodyText"/>
        <w:rPr>
          <w:i/>
          <w:iCs/>
        </w:rPr>
      </w:pPr>
      <w:bookmarkStart w:id="25" w:name="_Ref195460965"/>
      <w:r w:rsidRPr="005B2E2A">
        <w:t>The key differences in the eligibility criteria between BALANCE and ATTRACT trials are as follows</w:t>
      </w:r>
      <w:r w:rsidRPr="003967D8">
        <w:rPr>
          <w:i/>
          <w:iCs/>
        </w:rPr>
        <w:t>:</w:t>
      </w:r>
      <w:bookmarkEnd w:id="25"/>
    </w:p>
    <w:p w14:paraId="4B2E389F" w14:textId="77777777" w:rsidR="006E09FB" w:rsidRPr="00251C70" w:rsidRDefault="006E09FB" w:rsidP="00310FDC">
      <w:pPr>
        <w:pStyle w:val="ListParagraph"/>
        <w:ind w:left="1080"/>
        <w:jc w:val="both"/>
      </w:pPr>
      <w:r w:rsidRPr="00251C70">
        <w:t>ATTRACT trial included a broader age range (16-74 years), while BALANCE was restricted to adults between 18 and 60 years.</w:t>
      </w:r>
    </w:p>
    <w:p w14:paraId="473F06B9" w14:textId="77777777" w:rsidR="006E09FB" w:rsidRPr="00251C70" w:rsidRDefault="006E09FB" w:rsidP="00310FDC">
      <w:pPr>
        <w:pStyle w:val="ListParagraph"/>
        <w:ind w:left="1080"/>
        <w:jc w:val="both"/>
      </w:pPr>
      <w:r w:rsidRPr="00251C70">
        <w:t>ATTRACT trial included patients with an amenable mutation while BALANCE included a broader FD population, those with and without amenable mutations.</w:t>
      </w:r>
    </w:p>
    <w:p w14:paraId="57F1D4AD" w14:textId="77777777" w:rsidR="006E09FB" w:rsidRPr="00251C70" w:rsidRDefault="006E09FB" w:rsidP="00310FDC">
      <w:pPr>
        <w:pStyle w:val="ListParagraph"/>
        <w:ind w:left="1080"/>
        <w:jc w:val="both"/>
      </w:pPr>
      <w:r w:rsidRPr="00251C70">
        <w:t>ATTRACT trial included a wider range of eGFR values (≥ 30 mL/min/1.73 m²) compared to BALANCE, which is more specific (40-120 mL/min/1.73 m²).</w:t>
      </w:r>
    </w:p>
    <w:p w14:paraId="7378D925" w14:textId="77777777" w:rsidR="006E09FB" w:rsidRPr="00BF7AB8" w:rsidRDefault="006E09FB" w:rsidP="009D09F4">
      <w:pPr>
        <w:pStyle w:val="3-BodyText"/>
        <w:rPr>
          <w:rFonts w:eastAsia="Times New Roman" w:cs="Arial"/>
          <w:snapToGrid w:val="0"/>
          <w:szCs w:val="24"/>
        </w:rPr>
      </w:pPr>
      <w:bookmarkStart w:id="26" w:name="_Ref195460968"/>
      <w:r w:rsidRPr="00BF7AB8">
        <w:t>There are several differences in patient characteristics that may indicate more severe FD disease in patients enrolled in the BALANCE trial compared to ATTRACT as follows, which pose transitivity issues that could confound the results of an ITC:</w:t>
      </w:r>
      <w:bookmarkEnd w:id="26"/>
      <w:r w:rsidRPr="00BF7AB8">
        <w:rPr>
          <w:rFonts w:eastAsia="Times New Roman" w:cs="Arial"/>
          <w:snapToGrid w:val="0"/>
          <w:szCs w:val="24"/>
        </w:rPr>
        <w:t xml:space="preserve"> </w:t>
      </w:r>
    </w:p>
    <w:p w14:paraId="7E2F5AA5" w14:textId="77777777" w:rsidR="006E09FB" w:rsidRPr="00BF7AB8" w:rsidRDefault="006E09FB" w:rsidP="00310FDC">
      <w:pPr>
        <w:pStyle w:val="ListParagraph"/>
        <w:ind w:left="1080"/>
        <w:jc w:val="both"/>
      </w:pPr>
      <w:r>
        <w:t xml:space="preserve">Patients in the ATTRACT trial were older on average (46.3-50.5 years) compared to the BALANCE trial (45.2-43.9 years). </w:t>
      </w:r>
      <w:r w:rsidRPr="00BF7AB8">
        <w:t xml:space="preserve">Older patients have been associated with </w:t>
      </w:r>
      <w:r w:rsidRPr="00BF7AB8">
        <w:lastRenderedPageBreak/>
        <w:t>more advanced/progressive FD disease,</w:t>
      </w:r>
      <w:r w:rsidRPr="00BF7AB8">
        <w:rPr>
          <w:rStyle w:val="FootnoteReference"/>
        </w:rPr>
        <w:footnoteReference w:id="17"/>
      </w:r>
      <w:r w:rsidRPr="00BF7AB8">
        <w:t xml:space="preserve"> which could result in a slow/limited response to therapy.</w:t>
      </w:r>
    </w:p>
    <w:p w14:paraId="79B57608" w14:textId="026EDD2A" w:rsidR="006E09FB" w:rsidRPr="00B11E48" w:rsidRDefault="006E09FB" w:rsidP="00310FDC">
      <w:pPr>
        <w:pStyle w:val="ListParagraph"/>
        <w:ind w:left="1080"/>
        <w:jc w:val="both"/>
        <w:rPr>
          <w:i/>
          <w:iCs/>
        </w:rPr>
      </w:pPr>
      <w:r>
        <w:t xml:space="preserve">BALANCE trial had a higher proportion of males, especially in the agalsidase beta group (72% male), while ATTRACT trial had a higher proportion of females </w:t>
      </w:r>
      <w:r w:rsidR="007902B5">
        <w:br/>
      </w:r>
      <w:r>
        <w:t xml:space="preserve">(56-57%). </w:t>
      </w:r>
      <w:r w:rsidRPr="00BF7AB8">
        <w:t>FD has a</w:t>
      </w:r>
      <w:r w:rsidR="00583F80" w:rsidRPr="00BF7AB8">
        <w:t>n</w:t>
      </w:r>
      <w:r w:rsidRPr="00BF7AB8">
        <w:t xml:space="preserve"> X-linked inheritance pattern, which means that males typically have more severe manifestations of the disease compared to females</w:t>
      </w:r>
      <w:r w:rsidR="00175A57" w:rsidRPr="00BF7AB8">
        <w:t>.</w:t>
      </w:r>
      <w:r w:rsidR="008417C7" w:rsidRPr="00BF7AB8">
        <w:rPr>
          <w:vertAlign w:val="superscript"/>
        </w:rPr>
        <w:t>4</w:t>
      </w:r>
      <w:r w:rsidRPr="00BF7AB8">
        <w:t xml:space="preserve"> This could potentially lead to a greater observed benefit from treatment in males, favouring BALANCE (pegunigalsidase alfa).</w:t>
      </w:r>
    </w:p>
    <w:p w14:paraId="417E081E" w14:textId="65E6E0C4" w:rsidR="006E09FB" w:rsidRDefault="006E09FB" w:rsidP="00310FDC">
      <w:pPr>
        <w:pStyle w:val="ListParagraph"/>
        <w:ind w:left="1080"/>
        <w:jc w:val="both"/>
      </w:pPr>
      <w:r>
        <w:t xml:space="preserve">The mean eGFR at baseline was lower in the BALANCE trial </w:t>
      </w:r>
      <w:r w:rsidR="007902B5">
        <w:br/>
      </w:r>
      <w:r>
        <w:t>(73.5-74.2</w:t>
      </w:r>
      <w:r w:rsidR="00783325">
        <w:t> </w:t>
      </w:r>
      <w:r>
        <w:t>mL/min/1.73</w:t>
      </w:r>
      <w:r w:rsidR="00783325">
        <w:t> </w:t>
      </w:r>
      <w:r>
        <w:t xml:space="preserve">m²) compared to the ATTRACT trial </w:t>
      </w:r>
      <w:r w:rsidR="007902B5">
        <w:br/>
      </w:r>
      <w:r>
        <w:t>(89.6-95.8</w:t>
      </w:r>
      <w:r w:rsidR="00783325">
        <w:t> </w:t>
      </w:r>
      <w:r>
        <w:t>mL/min/1.73</w:t>
      </w:r>
      <w:r w:rsidR="00783325">
        <w:t> </w:t>
      </w:r>
      <w:r>
        <w:t xml:space="preserve">m²). </w:t>
      </w:r>
      <w:r w:rsidRPr="00BF7AB8">
        <w:t>This suggests that BALANCE patients had more compromised kidney function at the start of the study, which may lead to increased improvements in kidney function or higher reductions in the eGFR.</w:t>
      </w:r>
    </w:p>
    <w:p w14:paraId="1B0A4071" w14:textId="77777777" w:rsidR="006E09FB" w:rsidRDefault="006E09FB" w:rsidP="00310FDC">
      <w:pPr>
        <w:pStyle w:val="ListParagraph"/>
        <w:ind w:left="1080"/>
        <w:jc w:val="both"/>
      </w:pPr>
      <w:r>
        <w:t xml:space="preserve">The proportion of participants using </w:t>
      </w:r>
      <w:proofErr w:type="spellStart"/>
      <w:r>
        <w:t>ACEi</w:t>
      </w:r>
      <w:proofErr w:type="spellEnd"/>
      <w:r>
        <w:t xml:space="preserve"> or ARBs was higher in the BALANCE trial (50-64%) compared to the ATTRACT trial (44-52%). </w:t>
      </w:r>
      <w:proofErr w:type="spellStart"/>
      <w:r w:rsidRPr="00BF7AB8">
        <w:t>ACEi</w:t>
      </w:r>
      <w:proofErr w:type="spellEnd"/>
      <w:r w:rsidRPr="00BF7AB8">
        <w:t xml:space="preserve"> and ARBs are commonly used in FD to manage hypertension and kidney dysfunction, particularly to slow the progression of kidney damage.</w:t>
      </w:r>
      <w:r w:rsidRPr="00BF7AB8">
        <w:rPr>
          <w:rStyle w:val="FootnoteReference"/>
        </w:rPr>
        <w:footnoteReference w:id="18"/>
      </w:r>
      <w:r w:rsidRPr="00BF7AB8">
        <w:t xml:space="preserve"> This can confound the assessment of efficacy of treatment against ATTRACT (migalastat). </w:t>
      </w:r>
    </w:p>
    <w:p w14:paraId="7356E4D9" w14:textId="77777777" w:rsidR="006E09FB" w:rsidRPr="00BF7AB8" w:rsidRDefault="006E09FB" w:rsidP="00310FDC">
      <w:pPr>
        <w:pStyle w:val="ListParagraph"/>
        <w:ind w:left="1080"/>
        <w:jc w:val="both"/>
      </w:pPr>
      <w:r>
        <w:t xml:space="preserve">Patients in the BALANCE trial had previously been on ERT for a longer duration (5.4-6.4 years) compared to those in the ATTRACT trial (3.1-3.8 years). </w:t>
      </w:r>
      <w:r w:rsidRPr="00BF7AB8">
        <w:t xml:space="preserve">This suggests that the BALANCE population may have already experienced some degree of stabilisation or improvement in disease symptoms due to prior ERT, which could show less dramatic effects with the study drug compared to those in ATTRACT. </w:t>
      </w:r>
    </w:p>
    <w:p w14:paraId="679642B4" w14:textId="6A1370D6" w:rsidR="006E09FB" w:rsidRPr="00BF7AB8" w:rsidRDefault="006E09FB" w:rsidP="009D09F4">
      <w:pPr>
        <w:pStyle w:val="3-BodyText"/>
      </w:pPr>
      <w:bookmarkStart w:id="27" w:name="_Ref195460970"/>
      <w:r w:rsidRPr="00BF7AB8">
        <w:t>The duration of follow up was longer in the BALANCE trial compared to the ATTRACT trial (24 months vs 18 months). The different follow up duration</w:t>
      </w:r>
      <w:r w:rsidR="00DB7979" w:rsidRPr="00BF7AB8">
        <w:t>s</w:t>
      </w:r>
      <w:r w:rsidRPr="00BF7AB8">
        <w:t xml:space="preserve"> of the trials may bias the comparability of pegunigalsidase alfa versus migalastat in favour of pegunigalsidase alfa given greater data maturity.</w:t>
      </w:r>
      <w:bookmarkEnd w:id="27"/>
    </w:p>
    <w:p w14:paraId="0A89E68F" w14:textId="6DBE10B7" w:rsidR="006E09FB" w:rsidRPr="00423BAC" w:rsidRDefault="006E09FB" w:rsidP="009D09F4">
      <w:pPr>
        <w:pStyle w:val="3-BodyText"/>
      </w:pPr>
      <w:r>
        <w:t xml:space="preserve">The submission proposed a </w:t>
      </w:r>
      <w:r w:rsidRPr="00755391">
        <w:t>noninferiority margin</w:t>
      </w:r>
      <w:r>
        <w:t xml:space="preserve"> of </w:t>
      </w:r>
      <w:r w:rsidRPr="00755391">
        <w:t>-3</w:t>
      </w:r>
      <w:r>
        <w:t xml:space="preserve">.0 </w:t>
      </w:r>
      <w:r w:rsidRPr="00755391">
        <w:t>mL/min/1.73</w:t>
      </w:r>
      <w:r w:rsidR="004858F8">
        <w:t> </w:t>
      </w:r>
      <w:r w:rsidRPr="00755391">
        <w:t>m</w:t>
      </w:r>
      <w:r w:rsidRPr="00755391">
        <w:rPr>
          <w:vertAlign w:val="superscript"/>
        </w:rPr>
        <w:t>2</w:t>
      </w:r>
      <w:r w:rsidRPr="00755391">
        <w:t>/year</w:t>
      </w:r>
      <w:r>
        <w:t xml:space="preserve"> </w:t>
      </w:r>
      <w:r w:rsidRPr="00755391">
        <w:t xml:space="preserve">as the lower boundary of the confidence interval </w:t>
      </w:r>
      <w:r>
        <w:t>(CI)</w:t>
      </w:r>
      <w:r w:rsidRPr="00755391">
        <w:t xml:space="preserve"> </w:t>
      </w:r>
      <w:r>
        <w:t xml:space="preserve">for the treatment difference of the </w:t>
      </w:r>
      <w:r w:rsidRPr="00755391">
        <w:t>annuali</w:t>
      </w:r>
      <w:r w:rsidR="00360DF9">
        <w:t>s</w:t>
      </w:r>
      <w:r w:rsidRPr="00755391">
        <w:t>ed eGFR slope</w:t>
      </w:r>
      <w:r>
        <w:t xml:space="preserve">, which was the margin established in the BALANCE trial. This was based </w:t>
      </w:r>
      <w:r w:rsidRPr="00755391">
        <w:t>on a combination of the natural history of F</w:t>
      </w:r>
      <w:r>
        <w:t>D</w:t>
      </w:r>
      <w:r w:rsidRPr="00755391">
        <w:t xml:space="preserve"> and published data</w:t>
      </w:r>
      <w:r w:rsidR="000C66C0">
        <w:rPr>
          <w:vertAlign w:val="superscript"/>
        </w:rPr>
        <w:t>5,</w:t>
      </w:r>
      <w:r>
        <w:rPr>
          <w:rStyle w:val="FootnoteReference"/>
        </w:rPr>
        <w:footnoteReference w:id="19"/>
      </w:r>
      <w:r>
        <w:t xml:space="preserve"> </w:t>
      </w:r>
      <w:r w:rsidRPr="00755391">
        <w:t xml:space="preserve">on the </w:t>
      </w:r>
      <w:r w:rsidRPr="00755391">
        <w:lastRenderedPageBreak/>
        <w:t>impact of available treatments on renal function deterioration in F</w:t>
      </w:r>
      <w:r>
        <w:t>D</w:t>
      </w:r>
      <w:r w:rsidRPr="00755391">
        <w:t xml:space="preserve"> patients</w:t>
      </w:r>
      <w:r w:rsidRPr="00BF7AB8">
        <w:rPr>
          <w:i/>
          <w:iCs/>
        </w:rPr>
        <w:t xml:space="preserve">. </w:t>
      </w:r>
      <w:r w:rsidRPr="00423BAC">
        <w:t xml:space="preserve">While the proposed non-inferiority margin may be reasonable, this has not yet been validated. </w:t>
      </w:r>
    </w:p>
    <w:p w14:paraId="675EB664" w14:textId="40639C08" w:rsidR="006E09FB" w:rsidRPr="00BF7AB8" w:rsidRDefault="006E09FB" w:rsidP="009D09F4">
      <w:pPr>
        <w:pStyle w:val="3-BodyText"/>
      </w:pPr>
      <w:r w:rsidRPr="00BF7AB8">
        <w:t xml:space="preserve">The TGA Delegate's Overview </w:t>
      </w:r>
      <w:r w:rsidR="00CC3B7A" w:rsidRPr="00BF7AB8">
        <w:t>for</w:t>
      </w:r>
      <w:r w:rsidRPr="00BF7AB8">
        <w:t xml:space="preserve"> pegunigalsidase alfa noted that the primary efficacy endpoint in the main efficacy study (BALANCE) was annualised change (slope) in eGFR, with a pre-specified non-inferiority margin of -3.0 mL/min/1.73</w:t>
      </w:r>
      <w:r w:rsidR="00871F14" w:rsidRPr="00BF7AB8">
        <w:t> </w:t>
      </w:r>
      <w:r w:rsidRPr="00BF7AB8">
        <w:t>m</w:t>
      </w:r>
      <w:r w:rsidRPr="00BF7AB8">
        <w:rPr>
          <w:vertAlign w:val="superscript"/>
        </w:rPr>
        <w:t>2</w:t>
      </w:r>
      <w:r w:rsidRPr="00BF7AB8">
        <w:t>/year. The Delegate's Overview stated that there remains some uncertainty regarding the validity of the non-inferiority margin in this small study population with large variability in clinical phenotype and severity of disease manifestations (TGA Delegate's Overview).</w:t>
      </w:r>
    </w:p>
    <w:p w14:paraId="37880E3E" w14:textId="2B445A6F" w:rsidR="006E09FB" w:rsidRPr="00BF7AB8" w:rsidRDefault="006E09FB" w:rsidP="009D09F4">
      <w:pPr>
        <w:pStyle w:val="3-BodyText"/>
      </w:pPr>
      <w:r w:rsidRPr="00BF7AB8">
        <w:t>In March 2017, the PBAC noted that the proposed criterion for migalastat to be considered non-inferior to ERT was that the least squares (LS) mean annualised change in glomerular filtration rate (GFR) for migalastat was no lower than 2.2</w:t>
      </w:r>
      <w:r w:rsidR="003D6AA2" w:rsidRPr="00BF7AB8">
        <w:t> </w:t>
      </w:r>
      <w:r w:rsidRPr="00BF7AB8">
        <w:t>mL/min/1.73m</w:t>
      </w:r>
      <w:r w:rsidRPr="00BF7AB8">
        <w:rPr>
          <w:vertAlign w:val="superscript"/>
        </w:rPr>
        <w:t>2</w:t>
      </w:r>
      <w:r w:rsidRPr="00BF7AB8">
        <w:t>/year below the mean annualised rate of change for the ERT group, and the overlap in the 95% CIs was more than 50%. The PBAC considered that the non-inferiority criterion had not been fully justified (para</w:t>
      </w:r>
      <w:r w:rsidR="00D0526F" w:rsidRPr="00BF7AB8">
        <w:t>graph</w:t>
      </w:r>
      <w:r w:rsidRPr="00BF7AB8">
        <w:t xml:space="preserve"> 7.4, migalastat, PSD, March 2017 PBAC meeting).</w:t>
      </w:r>
    </w:p>
    <w:p w14:paraId="79973A49" w14:textId="5D1CCE93" w:rsidR="006E09FB" w:rsidRPr="00BF7AB8" w:rsidRDefault="006E09FB" w:rsidP="009D09F4">
      <w:pPr>
        <w:pStyle w:val="3-BodyText"/>
        <w:rPr>
          <w:rStyle w:val="Heading8Char"/>
          <w:b w:val="0"/>
          <w:snapToGrid/>
          <w:lang w:eastAsia="en-AU"/>
        </w:rPr>
      </w:pPr>
      <w:r>
        <w:t>The submission stated that an ITC comparing pegunigalsidase alfa with migalastat was not presented due to exchangeability issues between the relevant studies: BALANCE and ATTRACT, including differences in trial populations, follow-up time (24 vs 18</w:t>
      </w:r>
      <w:r w:rsidR="007838D9">
        <w:t> </w:t>
      </w:r>
      <w:r>
        <w:t xml:space="preserve">months), and limited covariate data, which made it difficult to conduct a robust ITC. The submission stated that the National Institute for Health and Care Excellence (NICE) appraisal report for pegunigalsidase alfa highlighted that while an ITC is feasible as there is a connected network, significant limitations and heterogeneity in the evidence base would render any statistical analysis unreliable. </w:t>
      </w:r>
      <w:r w:rsidRPr="00BF7AB8">
        <w:t>The NICE committee noted that the company had not presented a comparison of pegunigalsidase alfa with migalastat and had stated in response to technical engagement that an indirect comparison was unfeasible.</w:t>
      </w:r>
      <w:r w:rsidRPr="00BF7AB8">
        <w:rPr>
          <w:rStyle w:val="FootnoteReference"/>
        </w:rPr>
        <w:footnoteReference w:id="20"/>
      </w:r>
    </w:p>
    <w:p w14:paraId="39A3F396" w14:textId="231E0B72" w:rsidR="006E09FB" w:rsidRPr="00BF7AB8" w:rsidRDefault="006E09FB" w:rsidP="009D09F4">
      <w:pPr>
        <w:pStyle w:val="3-BodyText"/>
      </w:pPr>
      <w:r w:rsidRPr="00BF7AB8">
        <w:t>While conducting an ITC through the common comparator</w:t>
      </w:r>
      <w:r w:rsidR="009E64F6" w:rsidRPr="00BF7AB8">
        <w:t>,</w:t>
      </w:r>
      <w:r w:rsidRPr="00BF7AB8">
        <w:t xml:space="preserve"> ERT</w:t>
      </w:r>
      <w:r w:rsidR="009E64F6" w:rsidRPr="00BF7AB8">
        <w:t>,</w:t>
      </w:r>
      <w:r w:rsidRPr="00BF7AB8">
        <w:t xml:space="preserve"> is methodologically feasible, the studies differ in terms of study design, baseline characteristics and follow</w:t>
      </w:r>
      <w:r w:rsidR="00E21E7D" w:rsidRPr="00BF7AB8">
        <w:t>-</w:t>
      </w:r>
      <w:r w:rsidRPr="00BF7AB8">
        <w:t>up times as described in para</w:t>
      </w:r>
      <w:r w:rsidR="00E21E7D" w:rsidRPr="00BF7AB8">
        <w:t>graphs</w:t>
      </w:r>
      <w:r w:rsidRPr="00BF7AB8">
        <w:t xml:space="preserve"> </w:t>
      </w:r>
      <w:r w:rsidRPr="00BF7AB8">
        <w:fldChar w:fldCharType="begin" w:fldLock="1"/>
      </w:r>
      <w:r w:rsidRPr="00BF7AB8">
        <w:instrText xml:space="preserve"> REF _Ref195460965 \r \h </w:instrText>
      </w:r>
      <w:r w:rsidR="00BF7AB8">
        <w:instrText xml:space="preserve"> \* MERGEFORMAT </w:instrText>
      </w:r>
      <w:r w:rsidRPr="00BF7AB8">
        <w:fldChar w:fldCharType="separate"/>
      </w:r>
      <w:r w:rsidR="00881387">
        <w:t>6.12</w:t>
      </w:r>
      <w:r w:rsidRPr="00BF7AB8">
        <w:fldChar w:fldCharType="end"/>
      </w:r>
      <w:r w:rsidRPr="00BF7AB8">
        <w:t xml:space="preserve">, </w:t>
      </w:r>
      <w:r w:rsidRPr="00BF7AB8">
        <w:fldChar w:fldCharType="begin" w:fldLock="1"/>
      </w:r>
      <w:r w:rsidRPr="00BF7AB8">
        <w:instrText xml:space="preserve"> REF _Ref195460968 \r \h </w:instrText>
      </w:r>
      <w:r w:rsidR="00BF7AB8">
        <w:instrText xml:space="preserve"> \* MERGEFORMAT </w:instrText>
      </w:r>
      <w:r w:rsidRPr="00BF7AB8">
        <w:fldChar w:fldCharType="separate"/>
      </w:r>
      <w:r w:rsidR="00881387">
        <w:t>6.13</w:t>
      </w:r>
      <w:r w:rsidRPr="00BF7AB8">
        <w:fldChar w:fldCharType="end"/>
      </w:r>
      <w:r w:rsidRPr="00BF7AB8">
        <w:t xml:space="preserve"> and </w:t>
      </w:r>
      <w:r w:rsidRPr="00BF7AB8">
        <w:fldChar w:fldCharType="begin" w:fldLock="1"/>
      </w:r>
      <w:r w:rsidRPr="00BF7AB8">
        <w:instrText xml:space="preserve"> REF _Ref195460970 \r \h </w:instrText>
      </w:r>
      <w:r w:rsidR="00BF7AB8">
        <w:instrText xml:space="preserve"> \* MERGEFORMAT </w:instrText>
      </w:r>
      <w:r w:rsidRPr="00BF7AB8">
        <w:fldChar w:fldCharType="separate"/>
      </w:r>
      <w:r w:rsidR="00881387">
        <w:t>6.14</w:t>
      </w:r>
      <w:r w:rsidRPr="00BF7AB8">
        <w:fldChar w:fldCharType="end"/>
      </w:r>
      <w:r w:rsidRPr="00BF7AB8">
        <w:t xml:space="preserve">. These differences raise concerns regarding the assumption of transitivity. Additionally, the small sample sizes across the trials may further limit the potential for a robust and reliable analysis. </w:t>
      </w:r>
    </w:p>
    <w:p w14:paraId="61C49F13" w14:textId="56C2435C" w:rsidR="006E09FB" w:rsidRPr="00A51797" w:rsidRDefault="0826BCB0" w:rsidP="009D09F4">
      <w:pPr>
        <w:pStyle w:val="3-BodyText"/>
      </w:pPr>
      <w:r>
        <w:t xml:space="preserve">The results of ATTRACT and BALANCE are presented </w:t>
      </w:r>
      <w:r w:rsidR="67C5D046">
        <w:t xml:space="preserve">side-by-side </w:t>
      </w:r>
      <w:r>
        <w:t>for consideration</w:t>
      </w:r>
      <w:r w:rsidR="2EF57873">
        <w:t xml:space="preserve"> (</w:t>
      </w:r>
      <w:r w:rsidR="006E09FB">
        <w:fldChar w:fldCharType="begin" w:fldLock="1"/>
      </w:r>
      <w:r w:rsidR="006E09FB">
        <w:instrText xml:space="preserve"> REF _Ref195463870 \h  \* MERGEFORMAT </w:instrText>
      </w:r>
      <w:r w:rsidR="006E09FB">
        <w:fldChar w:fldCharType="separate"/>
      </w:r>
      <w:r w:rsidR="2EF57873">
        <w:t xml:space="preserve">Table </w:t>
      </w:r>
      <w:r w:rsidR="2EF57873" w:rsidRPr="5396A253">
        <w:rPr>
          <w:noProof/>
        </w:rPr>
        <w:t>4</w:t>
      </w:r>
      <w:r w:rsidR="006E09FB">
        <w:fldChar w:fldCharType="end"/>
      </w:r>
      <w:r w:rsidR="2EF57873">
        <w:t>)</w:t>
      </w:r>
      <w:r>
        <w:t xml:space="preserve">, noting </w:t>
      </w:r>
      <w:r w:rsidR="2F11A6B9">
        <w:t xml:space="preserve">the results of these studies are not comparable and </w:t>
      </w:r>
      <w:r>
        <w:t>should be interpreted with caution given the transitivity issues identified</w:t>
      </w:r>
      <w:r w:rsidR="27BFEAE0">
        <w:t xml:space="preserve"> (paragraph</w:t>
      </w:r>
      <w:r w:rsidR="0154B8AF">
        <w:t xml:space="preserve"> </w:t>
      </w:r>
      <w:r w:rsidR="006E09FB">
        <w:fldChar w:fldCharType="begin" w:fldLock="1"/>
      </w:r>
      <w:r w:rsidR="006E09FB">
        <w:instrText xml:space="preserve"> REF _Ref195460968 \r \h  \* MERGEFORMAT </w:instrText>
      </w:r>
      <w:r w:rsidR="006E09FB">
        <w:fldChar w:fldCharType="separate"/>
      </w:r>
      <w:r w:rsidR="00881387">
        <w:t>6.13</w:t>
      </w:r>
      <w:r w:rsidR="006E09FB">
        <w:fldChar w:fldCharType="end"/>
      </w:r>
      <w:r w:rsidR="27BFEAE0">
        <w:t>)</w:t>
      </w:r>
      <w:r>
        <w:t>. Information about these trials were extracted from the migalastat PSDs (March</w:t>
      </w:r>
      <w:r w:rsidR="78A74247">
        <w:t> </w:t>
      </w:r>
      <w:r>
        <w:t>2017 and March 2024</w:t>
      </w:r>
      <w:r w:rsidR="129E76F8">
        <w:t xml:space="preserve"> PBAC meetings</w:t>
      </w:r>
      <w:r>
        <w:t xml:space="preserve">), the literature and </w:t>
      </w:r>
      <w:r w:rsidR="129E76F8">
        <w:t>the</w:t>
      </w:r>
      <w:r>
        <w:t xml:space="preserve"> submission where available.</w:t>
      </w:r>
    </w:p>
    <w:p w14:paraId="4A4FE085" w14:textId="1C5613CC" w:rsidR="00B60939" w:rsidRPr="0098262F" w:rsidRDefault="00B60939" w:rsidP="009D09F4">
      <w:pPr>
        <w:pStyle w:val="4-SubsectionHeading"/>
        <w:keepNext w:val="0"/>
      </w:pPr>
      <w:bookmarkStart w:id="28" w:name="_Toc198734218"/>
      <w:r w:rsidRPr="0098262F">
        <w:lastRenderedPageBreak/>
        <w:t>Comparative effectiveness</w:t>
      </w:r>
      <w:bookmarkEnd w:id="21"/>
      <w:bookmarkEnd w:id="28"/>
    </w:p>
    <w:p w14:paraId="48098E9E" w14:textId="77777777" w:rsidR="00415AC5" w:rsidRPr="001B05A3" w:rsidRDefault="00415AC5" w:rsidP="009D09F4">
      <w:pPr>
        <w:pStyle w:val="5-SubsectionSubheading"/>
        <w:keepNext w:val="0"/>
      </w:pPr>
      <w:bookmarkStart w:id="29" w:name="_Hlk195469662"/>
      <w:bookmarkStart w:id="30" w:name="_Toc193290744"/>
      <w:bookmarkStart w:id="31" w:name="_Toc197013312"/>
      <w:bookmarkStart w:id="32" w:name="_Toc198734219"/>
      <w:r>
        <w:t xml:space="preserve">Direct comparison of </w:t>
      </w:r>
      <w:r w:rsidRPr="00722DCA">
        <w:t xml:space="preserve">pegunigalsidase </w:t>
      </w:r>
      <w:bookmarkEnd w:id="29"/>
      <w:r w:rsidRPr="00722DCA">
        <w:t>alfa</w:t>
      </w:r>
      <w:r>
        <w:t xml:space="preserve"> versus</w:t>
      </w:r>
      <w:bookmarkEnd w:id="30"/>
      <w:r>
        <w:t xml:space="preserve"> </w:t>
      </w:r>
      <w:r w:rsidRPr="00755391">
        <w:rPr>
          <w:szCs w:val="22"/>
        </w:rPr>
        <w:t>agalsidase beta</w:t>
      </w:r>
      <w:bookmarkEnd w:id="31"/>
      <w:bookmarkEnd w:id="32"/>
      <w:r w:rsidRPr="00456281">
        <w:t xml:space="preserve"> </w:t>
      </w:r>
    </w:p>
    <w:p w14:paraId="31B11213" w14:textId="04345185" w:rsidR="00415AC5" w:rsidRPr="00E729BD" w:rsidRDefault="00415AC5" w:rsidP="009D09F4">
      <w:pPr>
        <w:pStyle w:val="3-BodyText"/>
      </w:pPr>
      <w:r w:rsidRPr="00DB6913">
        <w:t xml:space="preserve">The results of key primary and secondary outcomes </w:t>
      </w:r>
      <w:r w:rsidR="00E93F24">
        <w:t>in the</w:t>
      </w:r>
      <w:r w:rsidR="00E93F24" w:rsidRPr="00DB6913">
        <w:t xml:space="preserve"> </w:t>
      </w:r>
      <w:r w:rsidRPr="00DB6913">
        <w:t>BALANCE trial at Week</w:t>
      </w:r>
      <w:r w:rsidR="00E93F24">
        <w:t> </w:t>
      </w:r>
      <w:r w:rsidRPr="00DB6913">
        <w:t xml:space="preserve">104 (24 months) are presented in </w:t>
      </w:r>
      <w:r>
        <w:fldChar w:fldCharType="begin" w:fldLock="1"/>
      </w:r>
      <w:r>
        <w:instrText xml:space="preserve"> REF _Ref195463870 \h </w:instrText>
      </w:r>
      <w:r>
        <w:fldChar w:fldCharType="separate"/>
      </w:r>
      <w:r w:rsidR="004E7462">
        <w:t xml:space="preserve">Table </w:t>
      </w:r>
      <w:r w:rsidR="004E7462">
        <w:rPr>
          <w:noProof/>
        </w:rPr>
        <w:t>4</w:t>
      </w:r>
      <w:r>
        <w:fldChar w:fldCharType="end"/>
      </w:r>
      <w:r w:rsidRPr="00DB6913">
        <w:t>. The secondary outcomes of change from baseline in UPCR categories and change from baseline in LVMI by gender and hypertrophy status are presented in</w:t>
      </w:r>
      <w:r>
        <w:t xml:space="preserve"> </w:t>
      </w:r>
      <w:r>
        <w:fldChar w:fldCharType="begin" w:fldLock="1"/>
      </w:r>
      <w:r>
        <w:instrText xml:space="preserve"> REF _Ref195464339 \h </w:instrText>
      </w:r>
      <w:r>
        <w:fldChar w:fldCharType="separate"/>
      </w:r>
      <w:r w:rsidR="004E7462">
        <w:t xml:space="preserve">Table </w:t>
      </w:r>
      <w:r w:rsidR="004E7462">
        <w:rPr>
          <w:noProof/>
        </w:rPr>
        <w:t>5</w:t>
      </w:r>
      <w:r>
        <w:fldChar w:fldCharType="end"/>
      </w:r>
      <w:r>
        <w:t xml:space="preserve"> </w:t>
      </w:r>
      <w:r w:rsidRPr="00DB6913">
        <w:t>and</w:t>
      </w:r>
      <w:r>
        <w:t xml:space="preserve"> </w:t>
      </w:r>
      <w:r>
        <w:fldChar w:fldCharType="begin" w:fldLock="1"/>
      </w:r>
      <w:r>
        <w:instrText xml:space="preserve"> REF _Ref195464348 \h </w:instrText>
      </w:r>
      <w:r>
        <w:fldChar w:fldCharType="separate"/>
      </w:r>
      <w:r w:rsidR="004E7462">
        <w:t xml:space="preserve">Table </w:t>
      </w:r>
      <w:r w:rsidR="004E7462">
        <w:rPr>
          <w:noProof/>
        </w:rPr>
        <w:t>6</w:t>
      </w:r>
      <w:r>
        <w:fldChar w:fldCharType="end"/>
      </w:r>
      <w:r w:rsidRPr="00DB6913">
        <w:t>, respectively.</w:t>
      </w:r>
    </w:p>
    <w:p w14:paraId="710F3219" w14:textId="0849FDF7" w:rsidR="00415AC5" w:rsidRDefault="00415AC5" w:rsidP="009D09F4">
      <w:pPr>
        <w:pStyle w:val="Caption"/>
      </w:pPr>
      <w:bookmarkStart w:id="33" w:name="_Ref195463870"/>
      <w:r>
        <w:t xml:space="preserve">Table </w:t>
      </w:r>
      <w:r w:rsidR="004E7462">
        <w:fldChar w:fldCharType="begin" w:fldLock="1"/>
      </w:r>
      <w:r w:rsidR="004E7462">
        <w:instrText xml:space="preserve"> SEQ Table \* ARABIC </w:instrText>
      </w:r>
      <w:r w:rsidR="004E7462">
        <w:fldChar w:fldCharType="separate"/>
      </w:r>
      <w:r w:rsidR="004E7462">
        <w:rPr>
          <w:noProof/>
        </w:rPr>
        <w:t>4</w:t>
      </w:r>
      <w:r w:rsidR="004E7462">
        <w:rPr>
          <w:noProof/>
        </w:rPr>
        <w:fldChar w:fldCharType="end"/>
      </w:r>
      <w:bookmarkEnd w:id="33"/>
      <w:r>
        <w:t xml:space="preserve">: </w:t>
      </w:r>
      <w:r w:rsidRPr="00E15D8C">
        <w:t>Results of key primary and secondary outcomes of BALANCE trial (ITT population) at Week 104</w:t>
      </w:r>
    </w:p>
    <w:tbl>
      <w:tblPr>
        <w:tblStyle w:val="TableGrid"/>
        <w:tblW w:w="5000" w:type="pct"/>
        <w:tblLook w:val="04A0" w:firstRow="1" w:lastRow="0" w:firstColumn="1" w:lastColumn="0" w:noHBand="0" w:noVBand="1"/>
        <w:tblCaption w:val="Table 4: Results of key primary and secondary outcomes of BALANCE trial (ITT population) at Week 104"/>
      </w:tblPr>
      <w:tblGrid>
        <w:gridCol w:w="2975"/>
        <w:gridCol w:w="2014"/>
        <w:gridCol w:w="2014"/>
        <w:gridCol w:w="2014"/>
      </w:tblGrid>
      <w:tr w:rsidR="00415AC5" w:rsidRPr="00204BA2" w14:paraId="4C2A1112" w14:textId="77777777" w:rsidTr="002021A9">
        <w:tc>
          <w:tcPr>
            <w:tcW w:w="1649" w:type="pct"/>
          </w:tcPr>
          <w:p w14:paraId="6F01E90F" w14:textId="77777777" w:rsidR="00415AC5" w:rsidRPr="00D2098F" w:rsidRDefault="00415AC5" w:rsidP="009D09F4">
            <w:pPr>
              <w:pStyle w:val="In-tableHeading"/>
              <w:rPr>
                <w:lang w:val="en-AU"/>
              </w:rPr>
            </w:pPr>
            <w:r w:rsidRPr="00D2098F">
              <w:rPr>
                <w:lang w:val="en-AU"/>
              </w:rPr>
              <w:t>Efficacy endpoint</w:t>
            </w:r>
          </w:p>
        </w:tc>
        <w:tc>
          <w:tcPr>
            <w:tcW w:w="1117" w:type="pct"/>
          </w:tcPr>
          <w:p w14:paraId="3756C795" w14:textId="77777777" w:rsidR="00415AC5" w:rsidRPr="00D2098F" w:rsidRDefault="00415AC5" w:rsidP="00B02D75">
            <w:pPr>
              <w:pStyle w:val="In-tableHeading"/>
              <w:jc w:val="center"/>
              <w:rPr>
                <w:lang w:val="en-AU" w:eastAsia="en-IN"/>
              </w:rPr>
            </w:pPr>
            <w:r w:rsidRPr="00D2098F">
              <w:rPr>
                <w:lang w:val="en-AU" w:eastAsia="en-IN"/>
              </w:rPr>
              <w:t>Pegunigalsidase alfa</w:t>
            </w:r>
          </w:p>
          <w:p w14:paraId="17335E99" w14:textId="77777777" w:rsidR="00415AC5" w:rsidRPr="00D2098F" w:rsidRDefault="00415AC5" w:rsidP="00B02D75">
            <w:pPr>
              <w:pStyle w:val="In-tableHeading"/>
              <w:jc w:val="center"/>
              <w:rPr>
                <w:lang w:val="en-AU"/>
              </w:rPr>
            </w:pPr>
            <w:r w:rsidRPr="00D2098F">
              <w:rPr>
                <w:lang w:val="en-AU" w:eastAsia="en-IN"/>
              </w:rPr>
              <w:t>(N = 52)</w:t>
            </w:r>
          </w:p>
        </w:tc>
        <w:tc>
          <w:tcPr>
            <w:tcW w:w="1117" w:type="pct"/>
          </w:tcPr>
          <w:p w14:paraId="28C0C14A" w14:textId="77777777" w:rsidR="00415AC5" w:rsidRPr="00D2098F" w:rsidRDefault="00415AC5" w:rsidP="00B02D75">
            <w:pPr>
              <w:pStyle w:val="In-tableHeading"/>
              <w:jc w:val="center"/>
              <w:rPr>
                <w:lang w:val="en-AU"/>
              </w:rPr>
            </w:pPr>
            <w:r w:rsidRPr="00D2098F">
              <w:rPr>
                <w:lang w:val="en-AU" w:eastAsia="en-IN"/>
              </w:rPr>
              <w:t xml:space="preserve">Agalsidase beta </w:t>
            </w:r>
            <w:r w:rsidRPr="00D2098F">
              <w:rPr>
                <w:lang w:val="en-AU" w:eastAsia="en-IN"/>
              </w:rPr>
              <w:br/>
              <w:t>(N = 25)</w:t>
            </w:r>
          </w:p>
        </w:tc>
        <w:tc>
          <w:tcPr>
            <w:tcW w:w="1118" w:type="pct"/>
          </w:tcPr>
          <w:p w14:paraId="05C40615" w14:textId="77777777" w:rsidR="00415AC5" w:rsidRPr="00D2098F" w:rsidRDefault="00415AC5" w:rsidP="00B02D75">
            <w:pPr>
              <w:pStyle w:val="In-tableHeading"/>
              <w:jc w:val="center"/>
              <w:rPr>
                <w:lang w:val="en-AU"/>
              </w:rPr>
            </w:pPr>
            <w:r w:rsidRPr="00D2098F">
              <w:rPr>
                <w:lang w:val="en-AU" w:eastAsia="en-IN"/>
              </w:rPr>
              <w:t>Mean Difference (95% CI)</w:t>
            </w:r>
            <w:r w:rsidRPr="00D2098F">
              <w:rPr>
                <w:vertAlign w:val="superscript"/>
                <w:lang w:val="en-AU" w:eastAsia="en-IN"/>
              </w:rPr>
              <w:t>a</w:t>
            </w:r>
          </w:p>
        </w:tc>
      </w:tr>
      <w:tr w:rsidR="00415AC5" w:rsidRPr="00204BA2" w14:paraId="09F71F90" w14:textId="77777777" w:rsidTr="002021A9">
        <w:tc>
          <w:tcPr>
            <w:tcW w:w="1649" w:type="pct"/>
          </w:tcPr>
          <w:p w14:paraId="04DDB749" w14:textId="77777777" w:rsidR="00415AC5" w:rsidRPr="00D2098F" w:rsidRDefault="00415AC5" w:rsidP="009D09F4">
            <w:pPr>
              <w:pStyle w:val="In-tableHeading"/>
              <w:rPr>
                <w:lang w:val="en-AU"/>
              </w:rPr>
            </w:pPr>
            <w:r w:rsidRPr="00D2098F">
              <w:rPr>
                <w:lang w:val="en-AU"/>
              </w:rPr>
              <w:t>PRIMARY OUTCOME</w:t>
            </w:r>
          </w:p>
        </w:tc>
        <w:tc>
          <w:tcPr>
            <w:tcW w:w="1117" w:type="pct"/>
          </w:tcPr>
          <w:p w14:paraId="48CD1388" w14:textId="77777777" w:rsidR="00415AC5" w:rsidRPr="00204BA2" w:rsidRDefault="00415AC5" w:rsidP="00807648">
            <w:pPr>
              <w:keepNext/>
              <w:keepLines/>
              <w:jc w:val="center"/>
              <w:rPr>
                <w:rFonts w:ascii="Arial Narrow" w:hAnsi="Arial Narrow" w:cs="Times New Roman"/>
                <w:bCs/>
                <w:sz w:val="20"/>
                <w:szCs w:val="20"/>
                <w:lang w:eastAsia="en-IN"/>
              </w:rPr>
            </w:pPr>
          </w:p>
        </w:tc>
        <w:tc>
          <w:tcPr>
            <w:tcW w:w="1117" w:type="pct"/>
          </w:tcPr>
          <w:p w14:paraId="7E732218" w14:textId="77777777" w:rsidR="00415AC5" w:rsidRPr="00204BA2" w:rsidRDefault="00415AC5" w:rsidP="00807648">
            <w:pPr>
              <w:keepNext/>
              <w:keepLines/>
              <w:jc w:val="center"/>
              <w:rPr>
                <w:rFonts w:ascii="Arial Narrow" w:hAnsi="Arial Narrow" w:cs="Times New Roman"/>
                <w:bCs/>
                <w:sz w:val="20"/>
                <w:szCs w:val="20"/>
              </w:rPr>
            </w:pPr>
          </w:p>
        </w:tc>
        <w:tc>
          <w:tcPr>
            <w:tcW w:w="1118" w:type="pct"/>
          </w:tcPr>
          <w:p w14:paraId="21EFDCD2" w14:textId="77777777" w:rsidR="00415AC5" w:rsidRPr="00204BA2" w:rsidRDefault="00415AC5" w:rsidP="00807648">
            <w:pPr>
              <w:keepNext/>
              <w:keepLines/>
              <w:jc w:val="center"/>
              <w:rPr>
                <w:rFonts w:ascii="Arial Narrow" w:hAnsi="Arial Narrow" w:cs="Times New Roman"/>
                <w:bCs/>
                <w:sz w:val="20"/>
                <w:szCs w:val="20"/>
                <w:lang w:eastAsia="en-IN"/>
              </w:rPr>
            </w:pPr>
          </w:p>
        </w:tc>
      </w:tr>
      <w:tr w:rsidR="00415AC5" w:rsidRPr="00204BA2" w14:paraId="615413BA" w14:textId="77777777" w:rsidTr="002021A9">
        <w:tc>
          <w:tcPr>
            <w:tcW w:w="1649" w:type="pct"/>
          </w:tcPr>
          <w:p w14:paraId="68827E6C" w14:textId="77777777" w:rsidR="00415AC5" w:rsidRPr="00204BA2" w:rsidRDefault="00415AC5" w:rsidP="0009520E">
            <w:pPr>
              <w:pStyle w:val="TableText0"/>
            </w:pPr>
            <w:r>
              <w:t>A</w:t>
            </w:r>
            <w:r w:rsidRPr="00204BA2">
              <w:t>nnual</w:t>
            </w:r>
            <w:r>
              <w:t>ised</w:t>
            </w:r>
            <w:r w:rsidRPr="00204BA2">
              <w:t xml:space="preserve"> </w:t>
            </w:r>
            <w:r>
              <w:t>change in</w:t>
            </w:r>
            <w:r w:rsidRPr="00204BA2">
              <w:t xml:space="preserve"> eGFR slopes (mL/min/1.73 m</w:t>
            </w:r>
            <w:r w:rsidRPr="00204BA2">
              <w:rPr>
                <w:vertAlign w:val="superscript"/>
              </w:rPr>
              <w:t>2</w:t>
            </w:r>
            <w:r w:rsidRPr="00204BA2">
              <w:t>/year)</w:t>
            </w:r>
            <w:r>
              <w:t>, Median</w:t>
            </w:r>
            <w:r w:rsidRPr="00204BA2">
              <w:rPr>
                <w:lang w:eastAsia="en-IN"/>
              </w:rPr>
              <w:t xml:space="preserve"> (95% CI)</w:t>
            </w:r>
          </w:p>
        </w:tc>
        <w:tc>
          <w:tcPr>
            <w:tcW w:w="1117" w:type="pct"/>
          </w:tcPr>
          <w:p w14:paraId="7138EE64"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lang w:eastAsia="en-IN"/>
              </w:rPr>
              <w:t>-2.51 (-3.7</w:t>
            </w:r>
            <w:r>
              <w:rPr>
                <w:rFonts w:ascii="Arial Narrow" w:hAnsi="Arial Narrow" w:cs="Times New Roman"/>
                <w:bCs/>
                <w:sz w:val="20"/>
                <w:szCs w:val="20"/>
                <w:lang w:eastAsia="en-IN"/>
              </w:rPr>
              <w:t>9</w:t>
            </w:r>
            <w:r w:rsidRPr="00204BA2">
              <w:rPr>
                <w:rFonts w:ascii="Arial Narrow" w:hAnsi="Arial Narrow" w:cs="Times New Roman"/>
                <w:bCs/>
                <w:sz w:val="20"/>
                <w:szCs w:val="20"/>
                <w:lang w:eastAsia="en-IN"/>
              </w:rPr>
              <w:t>; -1.24)</w:t>
            </w:r>
          </w:p>
        </w:tc>
        <w:tc>
          <w:tcPr>
            <w:tcW w:w="1117" w:type="pct"/>
          </w:tcPr>
          <w:p w14:paraId="301E6784"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-2.1</w:t>
            </w:r>
            <w:r>
              <w:rPr>
                <w:rFonts w:ascii="Arial Narrow" w:hAnsi="Arial Narrow" w:cs="Times New Roman"/>
                <w:bCs/>
                <w:sz w:val="20"/>
                <w:szCs w:val="20"/>
              </w:rPr>
              <w:t>6</w:t>
            </w:r>
            <w:r w:rsidRPr="00204BA2">
              <w:rPr>
                <w:rFonts w:ascii="Arial Narrow" w:hAnsi="Arial Narrow" w:cs="Times New Roman"/>
                <w:bCs/>
                <w:sz w:val="20"/>
                <w:szCs w:val="20"/>
              </w:rPr>
              <w:t xml:space="preserve"> (-3.8</w:t>
            </w:r>
            <w:r>
              <w:rPr>
                <w:rFonts w:ascii="Arial Narrow" w:hAnsi="Arial Narrow" w:cs="Times New Roman"/>
                <w:bCs/>
                <w:sz w:val="20"/>
                <w:szCs w:val="20"/>
              </w:rPr>
              <w:t>1</w:t>
            </w:r>
            <w:r w:rsidRPr="00204BA2">
              <w:rPr>
                <w:rFonts w:ascii="Arial Narrow" w:hAnsi="Arial Narrow" w:cs="Times New Roman"/>
                <w:bCs/>
                <w:sz w:val="20"/>
                <w:szCs w:val="20"/>
              </w:rPr>
              <w:t>; -0.5</w:t>
            </w:r>
            <w:r>
              <w:rPr>
                <w:rFonts w:ascii="Arial Narrow" w:hAnsi="Arial Narrow" w:cs="Times New Roman"/>
                <w:bCs/>
                <w:sz w:val="20"/>
                <w:szCs w:val="20"/>
              </w:rPr>
              <w:t>1</w:t>
            </w:r>
            <w:r w:rsidRPr="00204BA2">
              <w:rPr>
                <w:rFonts w:ascii="Arial Narrow" w:hAnsi="Arial Narrow" w:cs="Times New Roman"/>
                <w:bCs/>
                <w:sz w:val="20"/>
                <w:szCs w:val="20"/>
              </w:rPr>
              <w:t>)</w:t>
            </w:r>
          </w:p>
        </w:tc>
        <w:tc>
          <w:tcPr>
            <w:tcW w:w="1118" w:type="pct"/>
          </w:tcPr>
          <w:p w14:paraId="19761017"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lang w:eastAsia="en-IN"/>
              </w:rPr>
              <w:t>-0.3</w:t>
            </w:r>
            <w:r>
              <w:rPr>
                <w:rFonts w:ascii="Arial Narrow" w:hAnsi="Arial Narrow" w:cs="Times New Roman"/>
                <w:bCs/>
                <w:sz w:val="20"/>
                <w:szCs w:val="20"/>
                <w:lang w:eastAsia="en-IN"/>
              </w:rPr>
              <w:t>6</w:t>
            </w:r>
            <w:r w:rsidRPr="00204BA2">
              <w:rPr>
                <w:rFonts w:ascii="Arial Narrow" w:hAnsi="Arial Narrow" w:cs="Times New Roman"/>
                <w:bCs/>
                <w:sz w:val="20"/>
                <w:szCs w:val="20"/>
                <w:lang w:eastAsia="en-IN"/>
              </w:rPr>
              <w:t xml:space="preserve"> (-2.44; 1.7</w:t>
            </w:r>
            <w:r>
              <w:rPr>
                <w:rFonts w:ascii="Arial Narrow" w:hAnsi="Arial Narrow" w:cs="Times New Roman"/>
                <w:bCs/>
                <w:sz w:val="20"/>
                <w:szCs w:val="20"/>
                <w:lang w:eastAsia="en-IN"/>
              </w:rPr>
              <w:t>3</w:t>
            </w:r>
            <w:r w:rsidRPr="00204BA2">
              <w:rPr>
                <w:rFonts w:ascii="Arial Narrow" w:hAnsi="Arial Narrow" w:cs="Times New Roman"/>
                <w:bCs/>
                <w:sz w:val="20"/>
                <w:szCs w:val="20"/>
                <w:lang w:eastAsia="en-IN"/>
              </w:rPr>
              <w:t>)</w:t>
            </w:r>
            <w:r>
              <w:rPr>
                <w:rFonts w:ascii="Arial Narrow" w:hAnsi="Arial Narrow" w:cs="Times New Roman"/>
                <w:bCs/>
                <w:sz w:val="20"/>
                <w:szCs w:val="20"/>
                <w:vertAlign w:val="superscript"/>
                <w:lang w:eastAsia="en-IN"/>
              </w:rPr>
              <w:t>b</w:t>
            </w:r>
          </w:p>
        </w:tc>
      </w:tr>
      <w:tr w:rsidR="00415AC5" w:rsidRPr="00204BA2" w14:paraId="2FE8DC7D" w14:textId="77777777" w:rsidTr="002021A9">
        <w:tc>
          <w:tcPr>
            <w:tcW w:w="5000" w:type="pct"/>
            <w:gridSpan w:val="4"/>
          </w:tcPr>
          <w:p w14:paraId="7185AA72" w14:textId="77777777" w:rsidR="00415AC5" w:rsidRPr="00D2098F" w:rsidRDefault="00415AC5" w:rsidP="009D09F4">
            <w:pPr>
              <w:pStyle w:val="In-tableHeading"/>
              <w:rPr>
                <w:lang w:val="en-AU"/>
              </w:rPr>
            </w:pPr>
            <w:r w:rsidRPr="00D2098F">
              <w:rPr>
                <w:lang w:val="en-AU"/>
              </w:rPr>
              <w:t>SECONDARY OUTCOMES</w:t>
            </w:r>
          </w:p>
        </w:tc>
      </w:tr>
      <w:tr w:rsidR="00415AC5" w:rsidRPr="00204BA2" w14:paraId="4F9860D2" w14:textId="77777777" w:rsidTr="002021A9">
        <w:tc>
          <w:tcPr>
            <w:tcW w:w="5000" w:type="pct"/>
            <w:gridSpan w:val="4"/>
          </w:tcPr>
          <w:p w14:paraId="135F71AB" w14:textId="77777777" w:rsidR="00415AC5" w:rsidRPr="00D2098F" w:rsidRDefault="00415AC5" w:rsidP="009D09F4">
            <w:pPr>
              <w:pStyle w:val="In-tableHeading"/>
              <w:rPr>
                <w:lang w:val="en-AU" w:eastAsia="en-IN"/>
              </w:rPr>
            </w:pPr>
            <w:r w:rsidRPr="00D2098F">
              <w:rPr>
                <w:iCs/>
                <w:lang w:val="en-AU"/>
              </w:rPr>
              <w:t>Change from baseline</w:t>
            </w:r>
            <w:r w:rsidRPr="00D2098F">
              <w:rPr>
                <w:lang w:val="en-AU"/>
              </w:rPr>
              <w:t xml:space="preserve"> in Plasma Lyso-Gb3 (</w:t>
            </w:r>
            <w:proofErr w:type="spellStart"/>
            <w:r w:rsidRPr="00D2098F">
              <w:rPr>
                <w:lang w:val="en-AU"/>
              </w:rPr>
              <w:t>nM</w:t>
            </w:r>
            <w:proofErr w:type="spellEnd"/>
            <w:r w:rsidRPr="00D2098F">
              <w:rPr>
                <w:lang w:val="en-AU"/>
              </w:rPr>
              <w:t>)</w:t>
            </w:r>
          </w:p>
        </w:tc>
      </w:tr>
      <w:tr w:rsidR="00415AC5" w:rsidRPr="00204BA2" w14:paraId="4E8E875E" w14:textId="77777777" w:rsidTr="002021A9">
        <w:tc>
          <w:tcPr>
            <w:tcW w:w="1649" w:type="pct"/>
          </w:tcPr>
          <w:p w14:paraId="23C73EDE" w14:textId="77777777" w:rsidR="00415AC5" w:rsidRPr="00204BA2" w:rsidRDefault="00415AC5" w:rsidP="0009520E">
            <w:pPr>
              <w:pStyle w:val="TableText0"/>
            </w:pPr>
            <w:r w:rsidRPr="00204BA2">
              <w:t>n</w:t>
            </w:r>
          </w:p>
        </w:tc>
        <w:tc>
          <w:tcPr>
            <w:tcW w:w="1117" w:type="pct"/>
          </w:tcPr>
          <w:p w14:paraId="2DC397AD"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46</w:t>
            </w:r>
          </w:p>
        </w:tc>
        <w:tc>
          <w:tcPr>
            <w:tcW w:w="1117" w:type="pct"/>
          </w:tcPr>
          <w:p w14:paraId="439E9732"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22</w:t>
            </w:r>
          </w:p>
        </w:tc>
        <w:tc>
          <w:tcPr>
            <w:tcW w:w="1118" w:type="pct"/>
          </w:tcPr>
          <w:p w14:paraId="361B40B7" w14:textId="77777777" w:rsidR="00415AC5" w:rsidRPr="00204BA2" w:rsidRDefault="00415AC5" w:rsidP="00807648">
            <w:pPr>
              <w:keepNext/>
              <w:keepLines/>
              <w:jc w:val="center"/>
              <w:rPr>
                <w:rFonts w:ascii="Arial Narrow" w:hAnsi="Arial Narrow" w:cs="Times New Roman"/>
                <w:bCs/>
                <w:sz w:val="20"/>
                <w:szCs w:val="20"/>
                <w:lang w:eastAsia="en-IN"/>
              </w:rPr>
            </w:pPr>
            <w:r>
              <w:rPr>
                <w:rFonts w:ascii="Arial Narrow" w:hAnsi="Arial Narrow" w:cs="Times New Roman"/>
                <w:bCs/>
                <w:sz w:val="20"/>
                <w:szCs w:val="20"/>
                <w:lang w:eastAsia="en-IN"/>
              </w:rPr>
              <w:t>-</w:t>
            </w:r>
          </w:p>
        </w:tc>
      </w:tr>
      <w:tr w:rsidR="00415AC5" w:rsidRPr="00204BA2" w14:paraId="55462FAF" w14:textId="77777777" w:rsidTr="002021A9">
        <w:tc>
          <w:tcPr>
            <w:tcW w:w="1649" w:type="pct"/>
          </w:tcPr>
          <w:p w14:paraId="4CEC07A6" w14:textId="77777777" w:rsidR="00415AC5" w:rsidRPr="00204BA2" w:rsidRDefault="00415AC5" w:rsidP="0009520E">
            <w:pPr>
              <w:pStyle w:val="TableText0"/>
            </w:pPr>
            <w:r>
              <w:rPr>
                <w:iCs/>
              </w:rPr>
              <w:t>m</w:t>
            </w:r>
            <w:r w:rsidRPr="00204BA2">
              <w:t>ean (SE)</w:t>
            </w:r>
          </w:p>
        </w:tc>
        <w:tc>
          <w:tcPr>
            <w:tcW w:w="1117" w:type="pct"/>
          </w:tcPr>
          <w:p w14:paraId="15EE57BB"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3.30 (1.38)</w:t>
            </w:r>
          </w:p>
        </w:tc>
        <w:tc>
          <w:tcPr>
            <w:tcW w:w="1117" w:type="pct"/>
          </w:tcPr>
          <w:p w14:paraId="73A84E0A"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-8.74 (4.85)</w:t>
            </w:r>
          </w:p>
        </w:tc>
        <w:tc>
          <w:tcPr>
            <w:tcW w:w="1118" w:type="pct"/>
          </w:tcPr>
          <w:p w14:paraId="1AC6BCD0" w14:textId="77777777" w:rsidR="00415AC5" w:rsidRPr="00204BA2" w:rsidRDefault="00415AC5" w:rsidP="00807648">
            <w:pPr>
              <w:keepNext/>
              <w:keepLines/>
              <w:jc w:val="center"/>
              <w:rPr>
                <w:rFonts w:ascii="Arial Narrow" w:hAnsi="Arial Narrow" w:cs="Times New Roman"/>
                <w:bCs/>
                <w:sz w:val="20"/>
                <w:szCs w:val="20"/>
                <w:lang w:eastAsia="en-IN"/>
              </w:rPr>
            </w:pPr>
            <w:r>
              <w:rPr>
                <w:rFonts w:ascii="Arial Narrow" w:hAnsi="Arial Narrow" w:cs="Times New Roman"/>
                <w:bCs/>
                <w:sz w:val="20"/>
                <w:szCs w:val="20"/>
                <w:lang w:eastAsia="en-IN"/>
              </w:rPr>
              <w:t>NR</w:t>
            </w:r>
          </w:p>
        </w:tc>
      </w:tr>
      <w:tr w:rsidR="00415AC5" w:rsidRPr="00204BA2" w14:paraId="2C36959D" w14:textId="77777777" w:rsidTr="002021A9">
        <w:tc>
          <w:tcPr>
            <w:tcW w:w="1649" w:type="pct"/>
          </w:tcPr>
          <w:p w14:paraId="00A0284A" w14:textId="77777777" w:rsidR="00415AC5" w:rsidRPr="00204BA2" w:rsidRDefault="00415AC5" w:rsidP="0009520E">
            <w:pPr>
              <w:pStyle w:val="TableText0"/>
            </w:pPr>
            <w:r w:rsidRPr="00204BA2">
              <w:t>Percent (%)</w:t>
            </w:r>
            <w:r>
              <w:t xml:space="preserve"> m</w:t>
            </w:r>
            <w:r w:rsidRPr="00204BA2">
              <w:t>ean (SE)</w:t>
            </w:r>
          </w:p>
        </w:tc>
        <w:tc>
          <w:tcPr>
            <w:tcW w:w="1117" w:type="pct"/>
          </w:tcPr>
          <w:p w14:paraId="1B365EF3"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10.34 (3.80)</w:t>
            </w:r>
          </w:p>
        </w:tc>
        <w:tc>
          <w:tcPr>
            <w:tcW w:w="1117" w:type="pct"/>
          </w:tcPr>
          <w:p w14:paraId="0FE54F5F"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-12.69 (4.60)</w:t>
            </w:r>
          </w:p>
        </w:tc>
        <w:tc>
          <w:tcPr>
            <w:tcW w:w="1118" w:type="pct"/>
          </w:tcPr>
          <w:p w14:paraId="6B22AC3D" w14:textId="77777777" w:rsidR="00415AC5" w:rsidRPr="00204BA2" w:rsidRDefault="00415AC5" w:rsidP="00807648">
            <w:pPr>
              <w:keepNext/>
              <w:keepLines/>
              <w:jc w:val="center"/>
              <w:rPr>
                <w:rFonts w:ascii="Arial Narrow" w:hAnsi="Arial Narrow" w:cs="Times New Roman"/>
                <w:bCs/>
                <w:sz w:val="20"/>
                <w:szCs w:val="20"/>
                <w:lang w:eastAsia="en-IN"/>
              </w:rPr>
            </w:pPr>
            <w:r>
              <w:rPr>
                <w:rFonts w:ascii="Arial Narrow" w:hAnsi="Arial Narrow" w:cs="Times New Roman"/>
                <w:bCs/>
                <w:sz w:val="20"/>
                <w:szCs w:val="20"/>
                <w:lang w:eastAsia="en-IN"/>
              </w:rPr>
              <w:t>NR</w:t>
            </w:r>
          </w:p>
        </w:tc>
      </w:tr>
      <w:tr w:rsidR="00415AC5" w:rsidRPr="00204BA2" w14:paraId="07093386" w14:textId="77777777" w:rsidTr="002021A9">
        <w:tc>
          <w:tcPr>
            <w:tcW w:w="5000" w:type="pct"/>
            <w:gridSpan w:val="4"/>
          </w:tcPr>
          <w:p w14:paraId="4516640E" w14:textId="77777777" w:rsidR="00415AC5" w:rsidRPr="00D2098F" w:rsidRDefault="00415AC5" w:rsidP="009D09F4">
            <w:pPr>
              <w:pStyle w:val="In-tableHeading"/>
              <w:rPr>
                <w:lang w:val="en-AU" w:eastAsia="en-IN"/>
              </w:rPr>
            </w:pPr>
            <w:r w:rsidRPr="00D2098F">
              <w:rPr>
                <w:iCs/>
                <w:lang w:val="en-AU"/>
              </w:rPr>
              <w:t xml:space="preserve">Change from baseline in </w:t>
            </w:r>
            <w:r w:rsidRPr="00D2098F">
              <w:rPr>
                <w:lang w:val="en-AU" w:eastAsia="en-IN"/>
              </w:rPr>
              <w:t>Urine Lyso-Gb3 (</w:t>
            </w:r>
            <w:proofErr w:type="spellStart"/>
            <w:r w:rsidRPr="00D2098F">
              <w:rPr>
                <w:lang w:val="en-AU" w:eastAsia="en-IN"/>
              </w:rPr>
              <w:t>pM</w:t>
            </w:r>
            <w:proofErr w:type="spellEnd"/>
            <w:r w:rsidRPr="00D2098F">
              <w:rPr>
                <w:lang w:val="en-AU" w:eastAsia="en-IN"/>
              </w:rPr>
              <w:t>/mM creatinine)</w:t>
            </w:r>
          </w:p>
        </w:tc>
      </w:tr>
      <w:tr w:rsidR="00415AC5" w:rsidRPr="00204BA2" w14:paraId="53A8F9A5" w14:textId="77777777" w:rsidTr="002021A9">
        <w:tc>
          <w:tcPr>
            <w:tcW w:w="1649" w:type="pct"/>
          </w:tcPr>
          <w:p w14:paraId="070A4545" w14:textId="77777777" w:rsidR="00415AC5" w:rsidRPr="00204BA2" w:rsidRDefault="00415AC5" w:rsidP="0009520E">
            <w:pPr>
              <w:pStyle w:val="TableText0"/>
              <w:rPr>
                <w:rFonts w:cs="Aptos"/>
              </w:rPr>
            </w:pPr>
            <w:r w:rsidRPr="00204BA2">
              <w:t>n</w:t>
            </w:r>
          </w:p>
        </w:tc>
        <w:tc>
          <w:tcPr>
            <w:tcW w:w="1117" w:type="pct"/>
          </w:tcPr>
          <w:p w14:paraId="30101447"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37</w:t>
            </w:r>
          </w:p>
        </w:tc>
        <w:tc>
          <w:tcPr>
            <w:tcW w:w="1117" w:type="pct"/>
          </w:tcPr>
          <w:p w14:paraId="73E6A1B6"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19</w:t>
            </w:r>
          </w:p>
        </w:tc>
        <w:tc>
          <w:tcPr>
            <w:tcW w:w="1118" w:type="pct"/>
          </w:tcPr>
          <w:p w14:paraId="71D6AC9D" w14:textId="77777777" w:rsidR="00415AC5" w:rsidRPr="00204BA2" w:rsidRDefault="00415AC5" w:rsidP="00807648">
            <w:pPr>
              <w:keepNext/>
              <w:keepLines/>
              <w:jc w:val="center"/>
              <w:rPr>
                <w:rFonts w:ascii="Arial Narrow" w:hAnsi="Arial Narrow" w:cs="Times New Roman"/>
                <w:bCs/>
                <w:sz w:val="20"/>
                <w:szCs w:val="20"/>
                <w:lang w:eastAsia="en-IN"/>
              </w:rPr>
            </w:pPr>
            <w:r>
              <w:rPr>
                <w:rFonts w:ascii="Arial Narrow" w:hAnsi="Arial Narrow" w:cs="Times New Roman"/>
                <w:bCs/>
                <w:sz w:val="20"/>
                <w:szCs w:val="20"/>
                <w:lang w:eastAsia="en-IN"/>
              </w:rPr>
              <w:t>-</w:t>
            </w:r>
          </w:p>
        </w:tc>
      </w:tr>
      <w:tr w:rsidR="00415AC5" w:rsidRPr="00204BA2" w14:paraId="732A23D2" w14:textId="77777777" w:rsidTr="002021A9">
        <w:tc>
          <w:tcPr>
            <w:tcW w:w="1649" w:type="pct"/>
          </w:tcPr>
          <w:p w14:paraId="147E1D77" w14:textId="77777777" w:rsidR="00415AC5" w:rsidRPr="00204BA2" w:rsidRDefault="00415AC5" w:rsidP="0009520E">
            <w:pPr>
              <w:pStyle w:val="TableText0"/>
              <w:rPr>
                <w:rFonts w:cs="Aptos"/>
              </w:rPr>
            </w:pPr>
            <w:r w:rsidRPr="00204BA2">
              <w:t>Mean (SE)</w:t>
            </w:r>
          </w:p>
        </w:tc>
        <w:tc>
          <w:tcPr>
            <w:tcW w:w="1117" w:type="pct"/>
          </w:tcPr>
          <w:p w14:paraId="453D0EA2"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7.0 (7.7)</w:t>
            </w:r>
          </w:p>
        </w:tc>
        <w:tc>
          <w:tcPr>
            <w:tcW w:w="1117" w:type="pct"/>
          </w:tcPr>
          <w:p w14:paraId="526743BA"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-11.2 (4.7)</w:t>
            </w:r>
          </w:p>
        </w:tc>
        <w:tc>
          <w:tcPr>
            <w:tcW w:w="1118" w:type="pct"/>
          </w:tcPr>
          <w:p w14:paraId="5E9E1F78" w14:textId="77777777" w:rsidR="00415AC5" w:rsidRPr="00976B7E" w:rsidRDefault="00415AC5" w:rsidP="00807648">
            <w:pPr>
              <w:keepNext/>
              <w:keepLines/>
              <w:jc w:val="center"/>
              <w:rPr>
                <w:rFonts w:ascii="Arial Narrow" w:hAnsi="Arial Narrow" w:cs="Times New Roman"/>
                <w:b/>
                <w:sz w:val="20"/>
                <w:szCs w:val="20"/>
                <w:lang w:eastAsia="en-IN"/>
              </w:rPr>
            </w:pPr>
            <w:r w:rsidRPr="00976B7E">
              <w:rPr>
                <w:rFonts w:ascii="Arial Narrow" w:hAnsi="Arial Narrow" w:cs="Aptos"/>
                <w:b/>
                <w:sz w:val="20"/>
                <w:szCs w:val="20"/>
              </w:rPr>
              <w:t>18.1 (0.1, 36.1)</w:t>
            </w:r>
          </w:p>
        </w:tc>
      </w:tr>
      <w:tr w:rsidR="00415AC5" w:rsidRPr="00204BA2" w14:paraId="330871F4" w14:textId="77777777" w:rsidTr="002021A9">
        <w:tc>
          <w:tcPr>
            <w:tcW w:w="1649" w:type="pct"/>
          </w:tcPr>
          <w:p w14:paraId="32AD1857" w14:textId="77777777" w:rsidR="00415AC5" w:rsidRPr="00204BA2" w:rsidRDefault="00415AC5" w:rsidP="0009520E">
            <w:pPr>
              <w:pStyle w:val="TableText0"/>
              <w:rPr>
                <w:rFonts w:cs="Aptos"/>
              </w:rPr>
            </w:pPr>
            <w:r w:rsidRPr="00204BA2">
              <w:t>Percent (%) Mean (SE)</w:t>
            </w:r>
          </w:p>
        </w:tc>
        <w:tc>
          <w:tcPr>
            <w:tcW w:w="1117" w:type="pct"/>
          </w:tcPr>
          <w:p w14:paraId="358B8E8F"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33.00 (13.19)</w:t>
            </w:r>
          </w:p>
        </w:tc>
        <w:tc>
          <w:tcPr>
            <w:tcW w:w="1117" w:type="pct"/>
          </w:tcPr>
          <w:p w14:paraId="45E8CC54"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-16.14 (9.72)</w:t>
            </w:r>
          </w:p>
        </w:tc>
        <w:tc>
          <w:tcPr>
            <w:tcW w:w="1118" w:type="pct"/>
          </w:tcPr>
          <w:p w14:paraId="0EF39E31" w14:textId="77777777" w:rsidR="00415AC5" w:rsidRPr="00976B7E" w:rsidRDefault="00415AC5" w:rsidP="00807648">
            <w:pPr>
              <w:keepNext/>
              <w:keepLines/>
              <w:jc w:val="center"/>
              <w:rPr>
                <w:rFonts w:ascii="Arial Narrow" w:hAnsi="Arial Narrow" w:cs="Times New Roman"/>
                <w:b/>
                <w:sz w:val="20"/>
                <w:szCs w:val="20"/>
                <w:lang w:eastAsia="en-IN"/>
              </w:rPr>
            </w:pPr>
            <w:r w:rsidRPr="00976B7E">
              <w:rPr>
                <w:rFonts w:ascii="Arial Narrow" w:hAnsi="Arial Narrow" w:cs="Aptos"/>
                <w:b/>
                <w:sz w:val="20"/>
                <w:szCs w:val="20"/>
              </w:rPr>
              <w:t>49.1 (16.3, 82.0)</w:t>
            </w:r>
          </w:p>
        </w:tc>
      </w:tr>
      <w:tr w:rsidR="00415AC5" w:rsidRPr="00204BA2" w14:paraId="6A89A1A2" w14:textId="77777777" w:rsidTr="002021A9">
        <w:tc>
          <w:tcPr>
            <w:tcW w:w="5000" w:type="pct"/>
            <w:gridSpan w:val="4"/>
          </w:tcPr>
          <w:p w14:paraId="6608614D" w14:textId="77777777" w:rsidR="00415AC5" w:rsidRPr="00D2098F" w:rsidRDefault="00415AC5" w:rsidP="009D09F4">
            <w:pPr>
              <w:pStyle w:val="In-tableHeading"/>
              <w:rPr>
                <w:lang w:val="en-AU" w:eastAsia="en-IN"/>
              </w:rPr>
            </w:pPr>
            <w:r w:rsidRPr="00D2098F">
              <w:rPr>
                <w:lang w:val="en-AU" w:eastAsia="en-IN"/>
              </w:rPr>
              <w:t>Change from baseline in Plasma Gb3 (</w:t>
            </w:r>
            <w:proofErr w:type="spellStart"/>
            <w:r w:rsidRPr="00D2098F">
              <w:rPr>
                <w:lang w:val="en-AU" w:eastAsia="en-IN"/>
              </w:rPr>
              <w:t>nM</w:t>
            </w:r>
            <w:proofErr w:type="spellEnd"/>
            <w:r w:rsidRPr="00D2098F">
              <w:rPr>
                <w:lang w:val="en-AU" w:eastAsia="en-IN"/>
              </w:rPr>
              <w:t>)</w:t>
            </w:r>
          </w:p>
        </w:tc>
      </w:tr>
      <w:tr w:rsidR="00415AC5" w:rsidRPr="00204BA2" w14:paraId="4AA3758A" w14:textId="77777777" w:rsidTr="002021A9">
        <w:tc>
          <w:tcPr>
            <w:tcW w:w="1649" w:type="pct"/>
          </w:tcPr>
          <w:p w14:paraId="3D0ABBD0" w14:textId="77777777" w:rsidR="00415AC5" w:rsidRPr="00204BA2" w:rsidRDefault="00415AC5" w:rsidP="0009520E">
            <w:pPr>
              <w:pStyle w:val="TableText0"/>
              <w:rPr>
                <w:rFonts w:cs="Aptos"/>
              </w:rPr>
            </w:pPr>
            <w:r w:rsidRPr="00204BA2">
              <w:t>n</w:t>
            </w:r>
          </w:p>
        </w:tc>
        <w:tc>
          <w:tcPr>
            <w:tcW w:w="1117" w:type="pct"/>
          </w:tcPr>
          <w:p w14:paraId="5FD3ECFB"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46</w:t>
            </w:r>
          </w:p>
        </w:tc>
        <w:tc>
          <w:tcPr>
            <w:tcW w:w="1117" w:type="pct"/>
          </w:tcPr>
          <w:p w14:paraId="603751E4"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22</w:t>
            </w:r>
          </w:p>
        </w:tc>
        <w:tc>
          <w:tcPr>
            <w:tcW w:w="1118" w:type="pct"/>
          </w:tcPr>
          <w:p w14:paraId="454D8992" w14:textId="77777777" w:rsidR="00415AC5" w:rsidRPr="00204BA2" w:rsidRDefault="00415AC5" w:rsidP="00807648">
            <w:pPr>
              <w:keepNext/>
              <w:keepLines/>
              <w:jc w:val="center"/>
              <w:rPr>
                <w:rFonts w:ascii="Arial Narrow" w:hAnsi="Arial Narrow" w:cs="Times New Roman"/>
                <w:bCs/>
                <w:sz w:val="20"/>
                <w:szCs w:val="20"/>
                <w:lang w:eastAsia="en-IN"/>
              </w:rPr>
            </w:pPr>
            <w:r>
              <w:rPr>
                <w:rFonts w:ascii="Arial Narrow" w:hAnsi="Arial Narrow" w:cs="Times New Roman"/>
                <w:bCs/>
                <w:sz w:val="20"/>
                <w:szCs w:val="20"/>
                <w:lang w:eastAsia="en-IN"/>
              </w:rPr>
              <w:t>-</w:t>
            </w:r>
          </w:p>
        </w:tc>
      </w:tr>
      <w:tr w:rsidR="00415AC5" w:rsidRPr="00204BA2" w14:paraId="7BB6F89B" w14:textId="77777777" w:rsidTr="002021A9">
        <w:tc>
          <w:tcPr>
            <w:tcW w:w="1649" w:type="pct"/>
          </w:tcPr>
          <w:p w14:paraId="7BE0FE41" w14:textId="77777777" w:rsidR="00415AC5" w:rsidRPr="00204BA2" w:rsidRDefault="00415AC5" w:rsidP="0009520E">
            <w:pPr>
              <w:pStyle w:val="TableText0"/>
              <w:rPr>
                <w:rFonts w:cs="Aptos"/>
              </w:rPr>
            </w:pPr>
            <w:r w:rsidRPr="00204BA2">
              <w:t>Mean (SE)</w:t>
            </w:r>
          </w:p>
        </w:tc>
        <w:tc>
          <w:tcPr>
            <w:tcW w:w="1117" w:type="pct"/>
          </w:tcPr>
          <w:p w14:paraId="0186FCA0"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Times New Roman"/>
                <w:bCs/>
                <w:sz w:val="20"/>
                <w:szCs w:val="20"/>
              </w:rPr>
              <w:t>138.0 (214.4)</w:t>
            </w:r>
          </w:p>
        </w:tc>
        <w:tc>
          <w:tcPr>
            <w:tcW w:w="1117" w:type="pct"/>
          </w:tcPr>
          <w:p w14:paraId="32964717"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Aptos"/>
                <w:bCs/>
                <w:sz w:val="20"/>
                <w:szCs w:val="20"/>
              </w:rPr>
              <w:t>-81.8 (314.7)</w:t>
            </w:r>
          </w:p>
        </w:tc>
        <w:tc>
          <w:tcPr>
            <w:tcW w:w="1118" w:type="pct"/>
          </w:tcPr>
          <w:p w14:paraId="4A320357" w14:textId="77777777" w:rsidR="00415AC5" w:rsidRPr="00204BA2" w:rsidRDefault="00415AC5" w:rsidP="00807648">
            <w:pPr>
              <w:keepNext/>
              <w:keepLines/>
              <w:jc w:val="center"/>
              <w:rPr>
                <w:rFonts w:ascii="Arial Narrow" w:hAnsi="Arial Narrow" w:cs="Times New Roman"/>
                <w:bCs/>
                <w:sz w:val="20"/>
                <w:szCs w:val="20"/>
                <w:lang w:eastAsia="en-IN"/>
              </w:rPr>
            </w:pPr>
            <w:r w:rsidRPr="00204BA2">
              <w:rPr>
                <w:rFonts w:ascii="Arial Narrow" w:hAnsi="Arial Narrow" w:cs="Aptos"/>
                <w:bCs/>
                <w:sz w:val="20"/>
                <w:szCs w:val="20"/>
              </w:rPr>
              <w:t>219.8 (-549.3</w:t>
            </w:r>
            <w:r>
              <w:rPr>
                <w:rFonts w:ascii="Arial Narrow" w:hAnsi="Arial Narrow" w:cs="Aptos"/>
                <w:bCs/>
                <w:sz w:val="20"/>
                <w:szCs w:val="20"/>
              </w:rPr>
              <w:t>,</w:t>
            </w:r>
            <w:r w:rsidRPr="00204BA2">
              <w:rPr>
                <w:rFonts w:ascii="Arial Narrow" w:hAnsi="Arial Narrow" w:cs="Aptos"/>
                <w:bCs/>
                <w:sz w:val="20"/>
                <w:szCs w:val="20"/>
              </w:rPr>
              <w:t xml:space="preserve"> 988.9)</w:t>
            </w:r>
          </w:p>
        </w:tc>
      </w:tr>
      <w:tr w:rsidR="00415AC5" w:rsidRPr="00204BA2" w14:paraId="06B08D06" w14:textId="77777777" w:rsidTr="002021A9">
        <w:tc>
          <w:tcPr>
            <w:tcW w:w="1649" w:type="pct"/>
          </w:tcPr>
          <w:p w14:paraId="356C4C4B" w14:textId="77777777" w:rsidR="00415AC5" w:rsidRPr="00204BA2" w:rsidRDefault="00415AC5" w:rsidP="0009520E">
            <w:pPr>
              <w:pStyle w:val="TableText0"/>
            </w:pPr>
            <w:r w:rsidRPr="00204BA2">
              <w:t>Percent (%) Mean (SE)</w:t>
            </w:r>
          </w:p>
        </w:tc>
        <w:tc>
          <w:tcPr>
            <w:tcW w:w="1117" w:type="pct"/>
          </w:tcPr>
          <w:p w14:paraId="16B7A800"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4.59 (4.48)</w:t>
            </w:r>
          </w:p>
        </w:tc>
        <w:tc>
          <w:tcPr>
            <w:tcW w:w="1117" w:type="pct"/>
          </w:tcPr>
          <w:p w14:paraId="1EB4B7CE"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Aptos"/>
                <w:bCs/>
                <w:sz w:val="20"/>
                <w:szCs w:val="20"/>
              </w:rPr>
              <w:t>2.69 (4.36)</w:t>
            </w:r>
          </w:p>
        </w:tc>
        <w:tc>
          <w:tcPr>
            <w:tcW w:w="1118" w:type="pct"/>
          </w:tcPr>
          <w:p w14:paraId="15FC2F55"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Aptos"/>
                <w:bCs/>
                <w:sz w:val="20"/>
                <w:szCs w:val="20"/>
              </w:rPr>
              <w:t>1.9 (-10.6</w:t>
            </w:r>
            <w:r>
              <w:rPr>
                <w:rFonts w:ascii="Arial Narrow" w:hAnsi="Arial Narrow" w:cs="Aptos"/>
                <w:bCs/>
                <w:sz w:val="20"/>
                <w:szCs w:val="20"/>
              </w:rPr>
              <w:t>,</w:t>
            </w:r>
            <w:r w:rsidRPr="00204BA2">
              <w:rPr>
                <w:rFonts w:ascii="Arial Narrow" w:hAnsi="Arial Narrow" w:cs="Aptos"/>
                <w:bCs/>
                <w:sz w:val="20"/>
                <w:szCs w:val="20"/>
              </w:rPr>
              <w:t xml:space="preserve"> 14.4)</w:t>
            </w:r>
          </w:p>
        </w:tc>
      </w:tr>
      <w:tr w:rsidR="00415AC5" w:rsidRPr="00204BA2" w14:paraId="40C63A38" w14:textId="77777777" w:rsidTr="002021A9">
        <w:tc>
          <w:tcPr>
            <w:tcW w:w="5000" w:type="pct"/>
            <w:gridSpan w:val="4"/>
          </w:tcPr>
          <w:p w14:paraId="3E1EDB0C" w14:textId="77777777" w:rsidR="00415AC5" w:rsidRPr="00D2098F" w:rsidRDefault="00415AC5" w:rsidP="009D09F4">
            <w:pPr>
              <w:pStyle w:val="In-tableHeading"/>
              <w:rPr>
                <w:lang w:val="en-AU"/>
              </w:rPr>
            </w:pPr>
            <w:r w:rsidRPr="00D2098F">
              <w:rPr>
                <w:lang w:val="en-AU"/>
              </w:rPr>
              <w:t>Change from baseline in Mainz Severity Score Index (MSSI)</w:t>
            </w:r>
          </w:p>
        </w:tc>
      </w:tr>
      <w:tr w:rsidR="00415AC5" w:rsidRPr="00204BA2" w14:paraId="725A2BF3" w14:textId="77777777" w:rsidTr="002021A9">
        <w:tc>
          <w:tcPr>
            <w:tcW w:w="1649" w:type="pct"/>
          </w:tcPr>
          <w:p w14:paraId="0FB44E8A" w14:textId="77777777" w:rsidR="00415AC5" w:rsidRPr="00204BA2" w:rsidRDefault="00415AC5" w:rsidP="0009520E">
            <w:pPr>
              <w:pStyle w:val="TableText0"/>
            </w:pPr>
            <w:r w:rsidRPr="00204BA2">
              <w:t>n</w:t>
            </w:r>
          </w:p>
        </w:tc>
        <w:tc>
          <w:tcPr>
            <w:tcW w:w="1117" w:type="pct"/>
          </w:tcPr>
          <w:p w14:paraId="1335AF98"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46</w:t>
            </w:r>
          </w:p>
        </w:tc>
        <w:tc>
          <w:tcPr>
            <w:tcW w:w="1117" w:type="pct"/>
          </w:tcPr>
          <w:p w14:paraId="0D9E1B2F"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Aptos"/>
                <w:bCs/>
                <w:sz w:val="20"/>
                <w:szCs w:val="20"/>
              </w:rPr>
              <w:t>2</w:t>
            </w:r>
            <w:r>
              <w:rPr>
                <w:rFonts w:ascii="Arial Narrow" w:hAnsi="Arial Narrow" w:cs="Aptos"/>
                <w:bCs/>
                <w:sz w:val="20"/>
                <w:szCs w:val="20"/>
              </w:rPr>
              <w:t>3</w:t>
            </w:r>
          </w:p>
        </w:tc>
        <w:tc>
          <w:tcPr>
            <w:tcW w:w="1118" w:type="pct"/>
          </w:tcPr>
          <w:p w14:paraId="0585A010" w14:textId="77777777" w:rsidR="00415AC5" w:rsidRPr="00204BA2" w:rsidRDefault="00415AC5" w:rsidP="00807648">
            <w:pPr>
              <w:keepNext/>
              <w:keepLines/>
              <w:jc w:val="center"/>
              <w:rPr>
                <w:rFonts w:ascii="Arial Narrow" w:hAnsi="Arial Narrow" w:cs="Aptos"/>
                <w:bCs/>
                <w:sz w:val="20"/>
                <w:szCs w:val="20"/>
              </w:rPr>
            </w:pPr>
            <w:r>
              <w:rPr>
                <w:rFonts w:ascii="Arial Narrow" w:hAnsi="Arial Narrow" w:cs="Times New Roman"/>
                <w:bCs/>
                <w:sz w:val="20"/>
                <w:szCs w:val="20"/>
                <w:lang w:eastAsia="en-IN"/>
              </w:rPr>
              <w:t>-</w:t>
            </w:r>
          </w:p>
        </w:tc>
      </w:tr>
      <w:tr w:rsidR="00415AC5" w:rsidRPr="00204BA2" w14:paraId="6026D13D" w14:textId="77777777" w:rsidTr="002021A9">
        <w:tc>
          <w:tcPr>
            <w:tcW w:w="1649" w:type="pct"/>
          </w:tcPr>
          <w:p w14:paraId="0854F494" w14:textId="77777777" w:rsidR="00415AC5" w:rsidRPr="00204BA2" w:rsidRDefault="00415AC5" w:rsidP="0009520E">
            <w:pPr>
              <w:pStyle w:val="TableText0"/>
            </w:pPr>
            <w:r w:rsidRPr="00204BA2">
              <w:t>Mean (</w:t>
            </w:r>
            <w:r>
              <w:t>SE</w:t>
            </w:r>
            <w:r w:rsidRPr="00204BA2">
              <w:t>)</w:t>
            </w:r>
          </w:p>
        </w:tc>
        <w:tc>
          <w:tcPr>
            <w:tcW w:w="1117" w:type="pct"/>
          </w:tcPr>
          <w:p w14:paraId="3E378970"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-2.07 (0.77)</w:t>
            </w:r>
          </w:p>
        </w:tc>
        <w:tc>
          <w:tcPr>
            <w:tcW w:w="1117" w:type="pct"/>
          </w:tcPr>
          <w:p w14:paraId="73A065F3"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Aptos"/>
                <w:bCs/>
                <w:sz w:val="20"/>
                <w:szCs w:val="20"/>
              </w:rPr>
              <w:t>2.04 (1.10)</w:t>
            </w:r>
          </w:p>
        </w:tc>
        <w:tc>
          <w:tcPr>
            <w:tcW w:w="1118" w:type="pct"/>
          </w:tcPr>
          <w:p w14:paraId="6B741A6E" w14:textId="77777777" w:rsidR="00415AC5" w:rsidRPr="00976B7E" w:rsidRDefault="00415AC5" w:rsidP="00807648">
            <w:pPr>
              <w:keepNext/>
              <w:keepLines/>
              <w:jc w:val="center"/>
              <w:rPr>
                <w:rFonts w:ascii="Arial Narrow" w:hAnsi="Arial Narrow" w:cs="Aptos"/>
                <w:b/>
                <w:sz w:val="20"/>
                <w:szCs w:val="20"/>
              </w:rPr>
            </w:pPr>
            <w:r w:rsidRPr="00976B7E">
              <w:rPr>
                <w:rFonts w:ascii="Arial Narrow" w:hAnsi="Arial Narrow" w:cs="Aptos"/>
                <w:b/>
                <w:sz w:val="20"/>
                <w:szCs w:val="20"/>
              </w:rPr>
              <w:t>-4.11 (-6.8, -1.4)</w:t>
            </w:r>
          </w:p>
        </w:tc>
      </w:tr>
      <w:tr w:rsidR="00415AC5" w:rsidRPr="00204BA2" w14:paraId="4F67C3ED" w14:textId="77777777" w:rsidTr="002021A9">
        <w:tc>
          <w:tcPr>
            <w:tcW w:w="5000" w:type="pct"/>
            <w:gridSpan w:val="4"/>
          </w:tcPr>
          <w:p w14:paraId="4C3604ED" w14:textId="77777777" w:rsidR="00415AC5" w:rsidRPr="00D2098F" w:rsidRDefault="00415AC5" w:rsidP="009D09F4">
            <w:pPr>
              <w:pStyle w:val="In-tableHeading"/>
              <w:rPr>
                <w:lang w:val="en-AU"/>
              </w:rPr>
            </w:pPr>
            <w:r w:rsidRPr="00D2098F">
              <w:rPr>
                <w:lang w:val="en-AU"/>
              </w:rPr>
              <w:t>Change from baseline in BPI</w:t>
            </w:r>
          </w:p>
        </w:tc>
      </w:tr>
      <w:tr w:rsidR="00415AC5" w:rsidRPr="00204BA2" w14:paraId="5D12B0B0" w14:textId="77777777" w:rsidTr="002021A9">
        <w:tc>
          <w:tcPr>
            <w:tcW w:w="1649" w:type="pct"/>
          </w:tcPr>
          <w:p w14:paraId="5AD42E0B" w14:textId="77777777" w:rsidR="00415AC5" w:rsidRPr="00633EDF" w:rsidRDefault="00415AC5" w:rsidP="0009520E">
            <w:pPr>
              <w:pStyle w:val="TableText0"/>
            </w:pPr>
            <w:r w:rsidRPr="00633EDF">
              <w:t>n</w:t>
            </w:r>
          </w:p>
        </w:tc>
        <w:tc>
          <w:tcPr>
            <w:tcW w:w="1117" w:type="pct"/>
          </w:tcPr>
          <w:p w14:paraId="18F738C3"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45</w:t>
            </w:r>
          </w:p>
        </w:tc>
        <w:tc>
          <w:tcPr>
            <w:tcW w:w="1117" w:type="pct"/>
          </w:tcPr>
          <w:p w14:paraId="5F493F5E"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22</w:t>
            </w:r>
          </w:p>
        </w:tc>
        <w:tc>
          <w:tcPr>
            <w:tcW w:w="1118" w:type="pct"/>
          </w:tcPr>
          <w:p w14:paraId="1810F1A3" w14:textId="77777777" w:rsidR="00415AC5" w:rsidRPr="00204BA2" w:rsidRDefault="00415AC5" w:rsidP="00807648">
            <w:pPr>
              <w:keepNext/>
              <w:keepLines/>
              <w:jc w:val="center"/>
              <w:rPr>
                <w:rFonts w:ascii="Arial Narrow" w:hAnsi="Arial Narrow" w:cs="Aptos"/>
                <w:bCs/>
                <w:sz w:val="20"/>
                <w:szCs w:val="20"/>
              </w:rPr>
            </w:pPr>
            <w:r>
              <w:rPr>
                <w:rFonts w:ascii="Arial Narrow" w:hAnsi="Arial Narrow" w:cs="Aptos"/>
                <w:bCs/>
                <w:sz w:val="20"/>
                <w:szCs w:val="20"/>
              </w:rPr>
              <w:t>-</w:t>
            </w:r>
          </w:p>
        </w:tc>
      </w:tr>
      <w:tr w:rsidR="00415AC5" w:rsidRPr="00204BA2" w14:paraId="0E7D3221" w14:textId="77777777" w:rsidTr="002021A9">
        <w:tc>
          <w:tcPr>
            <w:tcW w:w="1649" w:type="pct"/>
          </w:tcPr>
          <w:p w14:paraId="31112BCD" w14:textId="77777777" w:rsidR="00415AC5" w:rsidRPr="00633EDF" w:rsidRDefault="00415AC5" w:rsidP="0009520E">
            <w:pPr>
              <w:pStyle w:val="TableText0"/>
            </w:pPr>
            <w:r w:rsidRPr="00633EDF">
              <w:t>Pain at its Worst in Last 24 Hours, Mean (SE)</w:t>
            </w:r>
          </w:p>
        </w:tc>
        <w:tc>
          <w:tcPr>
            <w:tcW w:w="1117" w:type="pct"/>
          </w:tcPr>
          <w:p w14:paraId="7ACA2578"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-0.1 (0.5)</w:t>
            </w:r>
          </w:p>
        </w:tc>
        <w:tc>
          <w:tcPr>
            <w:tcW w:w="1117" w:type="pct"/>
          </w:tcPr>
          <w:p w14:paraId="380C702B"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0.6 (0.6)</w:t>
            </w:r>
          </w:p>
        </w:tc>
        <w:tc>
          <w:tcPr>
            <w:tcW w:w="1118" w:type="pct"/>
          </w:tcPr>
          <w:p w14:paraId="5037F9F6"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-0.7 (-2.2, 0.8)</w:t>
            </w:r>
          </w:p>
        </w:tc>
      </w:tr>
      <w:tr w:rsidR="00415AC5" w:rsidRPr="00204BA2" w14:paraId="0C4973AF" w14:textId="77777777" w:rsidTr="002021A9">
        <w:tc>
          <w:tcPr>
            <w:tcW w:w="1649" w:type="pct"/>
          </w:tcPr>
          <w:p w14:paraId="73F8D4B5" w14:textId="77777777" w:rsidR="00415AC5" w:rsidRPr="00633EDF" w:rsidRDefault="00415AC5" w:rsidP="0009520E">
            <w:pPr>
              <w:pStyle w:val="TableText0"/>
            </w:pPr>
            <w:r w:rsidRPr="00633EDF">
              <w:t>Pain on Average, Mean (SE)</w:t>
            </w:r>
          </w:p>
        </w:tc>
        <w:tc>
          <w:tcPr>
            <w:tcW w:w="1117" w:type="pct"/>
          </w:tcPr>
          <w:p w14:paraId="2C0510DA"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0.4 (0.3)</w:t>
            </w:r>
          </w:p>
        </w:tc>
        <w:tc>
          <w:tcPr>
            <w:tcW w:w="1117" w:type="pct"/>
          </w:tcPr>
          <w:p w14:paraId="596440A7"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0.2 (0.4)</w:t>
            </w:r>
          </w:p>
        </w:tc>
        <w:tc>
          <w:tcPr>
            <w:tcW w:w="1118" w:type="pct"/>
          </w:tcPr>
          <w:p w14:paraId="76112F1D" w14:textId="77777777" w:rsidR="00415AC5" w:rsidRPr="00204BA2" w:rsidRDefault="00415AC5" w:rsidP="00807648">
            <w:pPr>
              <w:keepNext/>
              <w:keepLines/>
              <w:jc w:val="center"/>
              <w:rPr>
                <w:rFonts w:ascii="Arial Narrow" w:hAnsi="Arial Narrow" w:cs="Aptos"/>
                <w:bCs/>
                <w:sz w:val="20"/>
                <w:szCs w:val="20"/>
              </w:rPr>
            </w:pPr>
            <w:r w:rsidRPr="00D2494F">
              <w:rPr>
                <w:rFonts w:ascii="Arial Narrow" w:hAnsi="Arial Narrow" w:cs="Times New Roman"/>
                <w:bCs/>
                <w:sz w:val="20"/>
                <w:szCs w:val="20"/>
              </w:rPr>
              <w:t>0.2 (-0.9, 1.2)</w:t>
            </w:r>
          </w:p>
        </w:tc>
      </w:tr>
      <w:tr w:rsidR="00415AC5" w:rsidRPr="00204BA2" w14:paraId="6C32658C" w14:textId="77777777" w:rsidTr="002021A9">
        <w:tc>
          <w:tcPr>
            <w:tcW w:w="5000" w:type="pct"/>
            <w:gridSpan w:val="4"/>
          </w:tcPr>
          <w:p w14:paraId="78E7B5B2" w14:textId="77777777" w:rsidR="00415AC5" w:rsidRPr="00204BA2" w:rsidRDefault="00415AC5" w:rsidP="00807648">
            <w:pPr>
              <w:keepNext/>
              <w:keepLines/>
              <w:jc w:val="left"/>
              <w:rPr>
                <w:rFonts w:ascii="Arial Narrow" w:hAnsi="Arial Narrow" w:cs="Aptos"/>
                <w:b/>
                <w:sz w:val="20"/>
                <w:szCs w:val="20"/>
              </w:rPr>
            </w:pPr>
            <w:r w:rsidRPr="00204BA2">
              <w:rPr>
                <w:rFonts w:ascii="Arial Narrow" w:hAnsi="Arial Narrow" w:cs="Times New Roman"/>
                <w:b/>
                <w:bCs/>
                <w:sz w:val="20"/>
                <w:szCs w:val="20"/>
              </w:rPr>
              <w:t xml:space="preserve">Change from baseline </w:t>
            </w:r>
            <w:r>
              <w:rPr>
                <w:rFonts w:ascii="Arial Narrow" w:hAnsi="Arial Narrow" w:cs="Times New Roman"/>
                <w:b/>
                <w:bCs/>
                <w:sz w:val="20"/>
                <w:szCs w:val="20"/>
              </w:rPr>
              <w:t xml:space="preserve">in </w:t>
            </w:r>
            <w:r w:rsidRPr="00204BA2">
              <w:rPr>
                <w:rFonts w:ascii="Arial Narrow" w:hAnsi="Arial Narrow" w:cs="Aptos"/>
                <w:b/>
                <w:sz w:val="20"/>
                <w:szCs w:val="20"/>
              </w:rPr>
              <w:t>EQ-5D-5L overall health score</w:t>
            </w:r>
          </w:p>
        </w:tc>
      </w:tr>
      <w:tr w:rsidR="00415AC5" w:rsidRPr="00204BA2" w14:paraId="3A94181F" w14:textId="77777777" w:rsidTr="002021A9">
        <w:tc>
          <w:tcPr>
            <w:tcW w:w="1649" w:type="pct"/>
          </w:tcPr>
          <w:p w14:paraId="646E9DAC" w14:textId="77777777" w:rsidR="00415AC5" w:rsidRPr="00204BA2" w:rsidRDefault="00415AC5" w:rsidP="0009520E">
            <w:pPr>
              <w:pStyle w:val="TableText0"/>
            </w:pPr>
            <w:r w:rsidRPr="00204BA2">
              <w:t>n</w:t>
            </w:r>
          </w:p>
        </w:tc>
        <w:tc>
          <w:tcPr>
            <w:tcW w:w="1117" w:type="pct"/>
          </w:tcPr>
          <w:p w14:paraId="02A3CC65"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46</w:t>
            </w:r>
          </w:p>
        </w:tc>
        <w:tc>
          <w:tcPr>
            <w:tcW w:w="1117" w:type="pct"/>
          </w:tcPr>
          <w:p w14:paraId="60E4EA4C"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22</w:t>
            </w:r>
          </w:p>
        </w:tc>
        <w:tc>
          <w:tcPr>
            <w:tcW w:w="1118" w:type="pct"/>
          </w:tcPr>
          <w:p w14:paraId="48FD5AE0" w14:textId="77777777" w:rsidR="00415AC5" w:rsidRPr="00204BA2" w:rsidRDefault="00415AC5" w:rsidP="00807648">
            <w:pPr>
              <w:keepNext/>
              <w:keepLines/>
              <w:jc w:val="center"/>
              <w:rPr>
                <w:rFonts w:ascii="Arial Narrow" w:hAnsi="Arial Narrow" w:cs="Aptos"/>
                <w:bCs/>
                <w:sz w:val="20"/>
                <w:szCs w:val="20"/>
              </w:rPr>
            </w:pPr>
            <w:r>
              <w:rPr>
                <w:rFonts w:ascii="Arial Narrow" w:hAnsi="Arial Narrow" w:cs="Aptos"/>
                <w:bCs/>
                <w:sz w:val="20"/>
                <w:szCs w:val="20"/>
              </w:rPr>
              <w:t>-</w:t>
            </w:r>
          </w:p>
        </w:tc>
      </w:tr>
      <w:tr w:rsidR="00415AC5" w:rsidRPr="00204BA2" w14:paraId="75279F5B" w14:textId="77777777" w:rsidTr="002021A9">
        <w:tc>
          <w:tcPr>
            <w:tcW w:w="1649" w:type="pct"/>
          </w:tcPr>
          <w:p w14:paraId="5E6E2172" w14:textId="77777777" w:rsidR="00415AC5" w:rsidRPr="00204BA2" w:rsidRDefault="00415AC5" w:rsidP="0009520E">
            <w:pPr>
              <w:pStyle w:val="TableText0"/>
            </w:pPr>
            <w:r w:rsidRPr="00204BA2">
              <w:t>Mean (SE)</w:t>
            </w:r>
          </w:p>
        </w:tc>
        <w:tc>
          <w:tcPr>
            <w:tcW w:w="1117" w:type="pct"/>
          </w:tcPr>
          <w:p w14:paraId="4205F77E" w14:textId="77777777" w:rsidR="00415AC5" w:rsidRPr="00204BA2" w:rsidRDefault="00415AC5" w:rsidP="00807648">
            <w:pPr>
              <w:keepNext/>
              <w:keepLines/>
              <w:jc w:val="center"/>
              <w:rPr>
                <w:rFonts w:ascii="Arial Narrow" w:hAnsi="Arial Narrow" w:cs="Times New Roman"/>
                <w:bCs/>
                <w:sz w:val="20"/>
                <w:szCs w:val="20"/>
              </w:rPr>
            </w:pPr>
            <w:r w:rsidRPr="00204BA2">
              <w:rPr>
                <w:rFonts w:ascii="Arial Narrow" w:hAnsi="Arial Narrow" w:cs="Times New Roman"/>
                <w:bCs/>
                <w:sz w:val="20"/>
                <w:szCs w:val="20"/>
              </w:rPr>
              <w:t>2.0 (1.9)</w:t>
            </w:r>
          </w:p>
        </w:tc>
        <w:tc>
          <w:tcPr>
            <w:tcW w:w="1117" w:type="pct"/>
          </w:tcPr>
          <w:p w14:paraId="79F477E2"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1.2 (3.5)</w:t>
            </w:r>
          </w:p>
        </w:tc>
        <w:tc>
          <w:tcPr>
            <w:tcW w:w="1118" w:type="pct"/>
          </w:tcPr>
          <w:p w14:paraId="32A81482" w14:textId="77777777" w:rsidR="00415AC5" w:rsidRPr="00204BA2" w:rsidRDefault="00415AC5" w:rsidP="00807648">
            <w:pPr>
              <w:keepNext/>
              <w:keepLines/>
              <w:jc w:val="center"/>
              <w:rPr>
                <w:rFonts w:ascii="Arial Narrow" w:hAnsi="Arial Narrow" w:cs="Aptos"/>
                <w:bCs/>
                <w:sz w:val="20"/>
                <w:szCs w:val="20"/>
              </w:rPr>
            </w:pPr>
            <w:r w:rsidRPr="00204BA2">
              <w:rPr>
                <w:rFonts w:ascii="Arial Narrow" w:hAnsi="Arial Narrow" w:cs="Times New Roman"/>
                <w:bCs/>
                <w:sz w:val="20"/>
                <w:szCs w:val="20"/>
              </w:rPr>
              <w:t>0.8 (-7.2, 8.8)</w:t>
            </w:r>
          </w:p>
        </w:tc>
      </w:tr>
      <w:tr w:rsidR="00415AC5" w:rsidRPr="00204BA2" w14:paraId="0A21BA4B" w14:textId="77777777" w:rsidTr="002021A9">
        <w:tc>
          <w:tcPr>
            <w:tcW w:w="1649" w:type="pct"/>
          </w:tcPr>
          <w:p w14:paraId="0C1967FD" w14:textId="77777777" w:rsidR="00415AC5" w:rsidRPr="00D2098F" w:rsidRDefault="00415AC5" w:rsidP="009D09F4">
            <w:pPr>
              <w:pStyle w:val="In-tableHeading"/>
              <w:rPr>
                <w:lang w:val="en-AU"/>
              </w:rPr>
            </w:pPr>
            <w:r w:rsidRPr="00D2098F">
              <w:rPr>
                <w:lang w:val="en-AU"/>
              </w:rPr>
              <w:t>Fabry clinical events (FCE), n (%)</w:t>
            </w:r>
          </w:p>
        </w:tc>
        <w:tc>
          <w:tcPr>
            <w:tcW w:w="1117" w:type="pct"/>
          </w:tcPr>
          <w:p w14:paraId="45B70730" w14:textId="77777777" w:rsidR="00415AC5" w:rsidRPr="00204BA2" w:rsidRDefault="00415AC5" w:rsidP="00807648">
            <w:pPr>
              <w:keepNext/>
              <w:keepLines/>
              <w:jc w:val="center"/>
              <w:rPr>
                <w:rFonts w:ascii="Arial Narrow" w:hAnsi="Arial Narrow" w:cs="Times New Roman"/>
                <w:bCs/>
                <w:sz w:val="20"/>
                <w:szCs w:val="20"/>
              </w:rPr>
            </w:pPr>
          </w:p>
        </w:tc>
        <w:tc>
          <w:tcPr>
            <w:tcW w:w="1117" w:type="pct"/>
          </w:tcPr>
          <w:p w14:paraId="199B91B5" w14:textId="77777777" w:rsidR="00415AC5" w:rsidRPr="00204BA2" w:rsidRDefault="00415AC5" w:rsidP="00807648">
            <w:pPr>
              <w:keepNext/>
              <w:keepLines/>
              <w:jc w:val="center"/>
              <w:rPr>
                <w:rFonts w:ascii="Arial Narrow" w:hAnsi="Arial Narrow" w:cs="Times New Roman"/>
                <w:bCs/>
                <w:sz w:val="20"/>
                <w:szCs w:val="20"/>
              </w:rPr>
            </w:pPr>
          </w:p>
        </w:tc>
        <w:tc>
          <w:tcPr>
            <w:tcW w:w="1118" w:type="pct"/>
          </w:tcPr>
          <w:p w14:paraId="00319B5C" w14:textId="77777777" w:rsidR="00415AC5" w:rsidRPr="00204BA2" w:rsidRDefault="00415AC5" w:rsidP="00807648">
            <w:pPr>
              <w:keepNext/>
              <w:keepLines/>
              <w:jc w:val="center"/>
              <w:rPr>
                <w:rFonts w:ascii="Arial Narrow" w:hAnsi="Arial Narrow" w:cs="Times New Roman"/>
                <w:bCs/>
                <w:sz w:val="20"/>
                <w:szCs w:val="20"/>
              </w:rPr>
            </w:pPr>
          </w:p>
        </w:tc>
      </w:tr>
      <w:tr w:rsidR="00415AC5" w:rsidRPr="00204BA2" w14:paraId="164F6B1F" w14:textId="77777777" w:rsidTr="002021A9">
        <w:tc>
          <w:tcPr>
            <w:tcW w:w="1649" w:type="pct"/>
          </w:tcPr>
          <w:p w14:paraId="4AF4869F" w14:textId="77777777" w:rsidR="00415AC5" w:rsidRPr="00204BA2" w:rsidRDefault="00415AC5" w:rsidP="0009520E">
            <w:pPr>
              <w:pStyle w:val="TableText0"/>
            </w:pPr>
            <w:proofErr w:type="spellStart"/>
            <w:r w:rsidRPr="00B458D9">
              <w:t>Overall</w:t>
            </w:r>
            <w:r w:rsidRPr="00110059">
              <w:rPr>
                <w:vertAlign w:val="superscript"/>
              </w:rPr>
              <w:t>c</w:t>
            </w:r>
            <w:proofErr w:type="spellEnd"/>
          </w:p>
        </w:tc>
        <w:tc>
          <w:tcPr>
            <w:tcW w:w="1117" w:type="pct"/>
          </w:tcPr>
          <w:p w14:paraId="21DD4C88" w14:textId="55241EED" w:rsidR="00415AC5" w:rsidRPr="00204BA2" w:rsidRDefault="00415AC5" w:rsidP="00807648">
            <w:pPr>
              <w:keepNext/>
              <w:keepLines/>
              <w:jc w:val="center"/>
              <w:rPr>
                <w:rFonts w:ascii="Arial Narrow" w:hAnsi="Arial Narrow" w:cs="Times New Roman"/>
                <w:bCs/>
                <w:sz w:val="20"/>
                <w:szCs w:val="20"/>
              </w:rPr>
            </w:pPr>
            <w:r w:rsidRPr="00771F82">
              <w:rPr>
                <w:rFonts w:ascii="Arial Narrow" w:hAnsi="Arial Narrow" w:cs="Times New Roman"/>
                <w:bCs/>
                <w:sz w:val="20"/>
                <w:szCs w:val="20"/>
              </w:rPr>
              <w:t>9 (17.3)</w:t>
            </w:r>
          </w:p>
        </w:tc>
        <w:tc>
          <w:tcPr>
            <w:tcW w:w="1117" w:type="pct"/>
          </w:tcPr>
          <w:p w14:paraId="41CDD29A" w14:textId="65C3437C" w:rsidR="00415AC5" w:rsidRPr="00204BA2" w:rsidRDefault="00415AC5" w:rsidP="000E59F1">
            <w:pPr>
              <w:pStyle w:val="TableText0"/>
              <w:jc w:val="center"/>
              <w:rPr>
                <w:rFonts w:cs="Times New Roman"/>
              </w:rPr>
            </w:pPr>
            <w:r w:rsidRPr="00755391">
              <w:t>2 (8.0)</w:t>
            </w:r>
          </w:p>
        </w:tc>
        <w:tc>
          <w:tcPr>
            <w:tcW w:w="1118" w:type="pct"/>
          </w:tcPr>
          <w:p w14:paraId="10152594"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NR</w:t>
            </w:r>
          </w:p>
        </w:tc>
      </w:tr>
      <w:tr w:rsidR="00415AC5" w:rsidRPr="00204BA2" w14:paraId="3C3CAF1A" w14:textId="77777777" w:rsidTr="002021A9">
        <w:tc>
          <w:tcPr>
            <w:tcW w:w="1649" w:type="pct"/>
          </w:tcPr>
          <w:p w14:paraId="7FCD3B41" w14:textId="77777777" w:rsidR="00415AC5" w:rsidRPr="00204BA2" w:rsidRDefault="00415AC5" w:rsidP="0009520E">
            <w:pPr>
              <w:pStyle w:val="TableText0"/>
            </w:pPr>
            <w:r w:rsidRPr="00B458D9">
              <w:t xml:space="preserve">Cardiac </w:t>
            </w:r>
            <w:proofErr w:type="spellStart"/>
            <w:r w:rsidRPr="00B458D9">
              <w:t>events</w:t>
            </w:r>
            <w:r w:rsidRPr="00110059">
              <w:rPr>
                <w:vertAlign w:val="superscript"/>
              </w:rPr>
              <w:t>d</w:t>
            </w:r>
            <w:proofErr w:type="spellEnd"/>
          </w:p>
        </w:tc>
        <w:tc>
          <w:tcPr>
            <w:tcW w:w="1117" w:type="pct"/>
          </w:tcPr>
          <w:p w14:paraId="7F673940" w14:textId="0F00E0A3" w:rsidR="00415AC5" w:rsidRPr="00204BA2" w:rsidRDefault="00415AC5" w:rsidP="00807648">
            <w:pPr>
              <w:keepNext/>
              <w:keepLines/>
              <w:jc w:val="center"/>
              <w:rPr>
                <w:rFonts w:ascii="Arial Narrow" w:hAnsi="Arial Narrow" w:cs="Times New Roman"/>
                <w:bCs/>
                <w:sz w:val="20"/>
                <w:szCs w:val="20"/>
              </w:rPr>
            </w:pPr>
            <w:r w:rsidRPr="00771F82">
              <w:rPr>
                <w:rFonts w:ascii="Arial Narrow" w:hAnsi="Arial Narrow" w:cs="Times New Roman"/>
                <w:bCs/>
                <w:sz w:val="20"/>
                <w:szCs w:val="20"/>
              </w:rPr>
              <w:t>6 (11.5)</w:t>
            </w:r>
          </w:p>
        </w:tc>
        <w:tc>
          <w:tcPr>
            <w:tcW w:w="1117" w:type="pct"/>
          </w:tcPr>
          <w:p w14:paraId="360C4A35" w14:textId="2FB698F8" w:rsidR="00415AC5" w:rsidRPr="00204BA2" w:rsidRDefault="00415AC5" w:rsidP="000E59F1">
            <w:pPr>
              <w:pStyle w:val="TableText0"/>
              <w:jc w:val="center"/>
              <w:rPr>
                <w:rFonts w:cs="Times New Roman"/>
              </w:rPr>
            </w:pPr>
            <w:r w:rsidRPr="00755391">
              <w:t>2 (8.0)</w:t>
            </w:r>
          </w:p>
        </w:tc>
        <w:tc>
          <w:tcPr>
            <w:tcW w:w="1118" w:type="pct"/>
          </w:tcPr>
          <w:p w14:paraId="108793C5"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NR</w:t>
            </w:r>
          </w:p>
        </w:tc>
      </w:tr>
      <w:tr w:rsidR="00415AC5" w:rsidRPr="00204BA2" w14:paraId="6E558F29" w14:textId="77777777" w:rsidTr="002021A9">
        <w:tc>
          <w:tcPr>
            <w:tcW w:w="1649" w:type="pct"/>
          </w:tcPr>
          <w:p w14:paraId="7F165DAB" w14:textId="77777777" w:rsidR="00415AC5" w:rsidRPr="00204BA2" w:rsidRDefault="00415AC5" w:rsidP="0009520E">
            <w:pPr>
              <w:pStyle w:val="TableText0"/>
            </w:pPr>
            <w:r w:rsidRPr="00B458D9">
              <w:t xml:space="preserve">Cerebrovascular </w:t>
            </w:r>
            <w:proofErr w:type="spellStart"/>
            <w:r w:rsidRPr="00B458D9">
              <w:t>events</w:t>
            </w:r>
            <w:r w:rsidRPr="00110059">
              <w:rPr>
                <w:vertAlign w:val="superscript"/>
              </w:rPr>
              <w:t>e</w:t>
            </w:r>
            <w:proofErr w:type="spellEnd"/>
          </w:p>
        </w:tc>
        <w:tc>
          <w:tcPr>
            <w:tcW w:w="1117" w:type="pct"/>
          </w:tcPr>
          <w:p w14:paraId="18147889" w14:textId="0B172E13" w:rsidR="00415AC5" w:rsidRPr="00204BA2" w:rsidRDefault="00415AC5" w:rsidP="00807648">
            <w:pPr>
              <w:keepNext/>
              <w:keepLines/>
              <w:jc w:val="center"/>
              <w:rPr>
                <w:rFonts w:ascii="Arial Narrow" w:hAnsi="Arial Narrow" w:cs="Times New Roman"/>
                <w:bCs/>
                <w:sz w:val="20"/>
                <w:szCs w:val="20"/>
              </w:rPr>
            </w:pPr>
            <w:r w:rsidRPr="00771F82">
              <w:rPr>
                <w:rFonts w:ascii="Arial Narrow" w:hAnsi="Arial Narrow" w:cs="Times New Roman"/>
                <w:bCs/>
                <w:sz w:val="20"/>
                <w:szCs w:val="20"/>
              </w:rPr>
              <w:t>3 (5.8)</w:t>
            </w:r>
          </w:p>
        </w:tc>
        <w:tc>
          <w:tcPr>
            <w:tcW w:w="1117" w:type="pct"/>
          </w:tcPr>
          <w:p w14:paraId="6460ECB8" w14:textId="77777777" w:rsidR="00415AC5" w:rsidRPr="00204BA2" w:rsidRDefault="00415AC5" w:rsidP="000E59F1">
            <w:pPr>
              <w:pStyle w:val="TableText0"/>
              <w:jc w:val="center"/>
              <w:rPr>
                <w:rFonts w:cs="Times New Roman"/>
              </w:rPr>
            </w:pPr>
            <w:r w:rsidRPr="00755391">
              <w:t>0</w:t>
            </w:r>
          </w:p>
        </w:tc>
        <w:tc>
          <w:tcPr>
            <w:tcW w:w="1118" w:type="pct"/>
          </w:tcPr>
          <w:p w14:paraId="75663D96"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NR</w:t>
            </w:r>
          </w:p>
        </w:tc>
      </w:tr>
      <w:tr w:rsidR="00415AC5" w:rsidRPr="00204BA2" w14:paraId="6850C400" w14:textId="77777777" w:rsidTr="002021A9">
        <w:tc>
          <w:tcPr>
            <w:tcW w:w="1649" w:type="pct"/>
          </w:tcPr>
          <w:p w14:paraId="636218D8" w14:textId="77777777" w:rsidR="00415AC5" w:rsidRPr="00204BA2" w:rsidRDefault="00415AC5" w:rsidP="0009520E">
            <w:pPr>
              <w:pStyle w:val="TableText0"/>
            </w:pPr>
            <w:r w:rsidRPr="00B458D9">
              <w:t xml:space="preserve">Renal </w:t>
            </w:r>
            <w:proofErr w:type="spellStart"/>
            <w:r w:rsidRPr="00B458D9">
              <w:t>events</w:t>
            </w:r>
            <w:r w:rsidRPr="00110059">
              <w:rPr>
                <w:vertAlign w:val="superscript"/>
              </w:rPr>
              <w:t>f</w:t>
            </w:r>
            <w:proofErr w:type="spellEnd"/>
          </w:p>
        </w:tc>
        <w:tc>
          <w:tcPr>
            <w:tcW w:w="1117" w:type="pct"/>
          </w:tcPr>
          <w:p w14:paraId="45600789" w14:textId="134F496D" w:rsidR="00415AC5" w:rsidRPr="00204BA2" w:rsidRDefault="00415AC5" w:rsidP="00807648">
            <w:pPr>
              <w:keepNext/>
              <w:keepLines/>
              <w:jc w:val="center"/>
              <w:rPr>
                <w:rFonts w:ascii="Arial Narrow" w:hAnsi="Arial Narrow" w:cs="Times New Roman"/>
                <w:bCs/>
                <w:sz w:val="20"/>
                <w:szCs w:val="20"/>
              </w:rPr>
            </w:pPr>
            <w:r w:rsidRPr="00771F82">
              <w:rPr>
                <w:rFonts w:ascii="Arial Narrow" w:hAnsi="Arial Narrow" w:cs="Times New Roman"/>
                <w:bCs/>
                <w:sz w:val="20"/>
                <w:szCs w:val="20"/>
              </w:rPr>
              <w:t>1 (1.9)</w:t>
            </w:r>
          </w:p>
        </w:tc>
        <w:tc>
          <w:tcPr>
            <w:tcW w:w="1117" w:type="pct"/>
          </w:tcPr>
          <w:p w14:paraId="100DF049" w14:textId="77777777" w:rsidR="00415AC5" w:rsidRPr="00204BA2" w:rsidRDefault="00415AC5" w:rsidP="000E59F1">
            <w:pPr>
              <w:pStyle w:val="TableText0"/>
              <w:jc w:val="center"/>
              <w:rPr>
                <w:rFonts w:cs="Times New Roman"/>
              </w:rPr>
            </w:pPr>
            <w:r w:rsidRPr="00755391">
              <w:t>0</w:t>
            </w:r>
          </w:p>
        </w:tc>
        <w:tc>
          <w:tcPr>
            <w:tcW w:w="1118" w:type="pct"/>
          </w:tcPr>
          <w:p w14:paraId="01C7C803"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NR</w:t>
            </w:r>
          </w:p>
        </w:tc>
      </w:tr>
      <w:tr w:rsidR="00415AC5" w:rsidRPr="00204BA2" w14:paraId="01E36B94" w14:textId="77777777" w:rsidTr="002021A9">
        <w:tc>
          <w:tcPr>
            <w:tcW w:w="1649" w:type="pct"/>
          </w:tcPr>
          <w:p w14:paraId="7D7C1495" w14:textId="77777777" w:rsidR="00415AC5" w:rsidRPr="00204BA2" w:rsidRDefault="00415AC5" w:rsidP="0009520E">
            <w:pPr>
              <w:pStyle w:val="TableText0"/>
            </w:pPr>
            <w:r w:rsidRPr="00B458D9">
              <w:t>Non-cardiac related death</w:t>
            </w:r>
          </w:p>
        </w:tc>
        <w:tc>
          <w:tcPr>
            <w:tcW w:w="1117" w:type="pct"/>
          </w:tcPr>
          <w:p w14:paraId="1C2E8E25"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0</w:t>
            </w:r>
          </w:p>
        </w:tc>
        <w:tc>
          <w:tcPr>
            <w:tcW w:w="1117" w:type="pct"/>
          </w:tcPr>
          <w:p w14:paraId="410FD837" w14:textId="77777777" w:rsidR="00415AC5" w:rsidRPr="00204BA2" w:rsidRDefault="00415AC5" w:rsidP="000E59F1">
            <w:pPr>
              <w:pStyle w:val="TableText0"/>
              <w:jc w:val="center"/>
              <w:rPr>
                <w:rFonts w:cs="Times New Roman"/>
              </w:rPr>
            </w:pPr>
            <w:r w:rsidRPr="00755391">
              <w:t>0</w:t>
            </w:r>
          </w:p>
        </w:tc>
        <w:tc>
          <w:tcPr>
            <w:tcW w:w="1118" w:type="pct"/>
          </w:tcPr>
          <w:p w14:paraId="17E6875B" w14:textId="77777777" w:rsidR="00415AC5" w:rsidRPr="00204BA2" w:rsidRDefault="00415AC5" w:rsidP="00807648">
            <w:pPr>
              <w:keepNext/>
              <w:keepLines/>
              <w:jc w:val="center"/>
              <w:rPr>
                <w:rFonts w:ascii="Arial Narrow" w:hAnsi="Arial Narrow" w:cs="Times New Roman"/>
                <w:bCs/>
                <w:sz w:val="20"/>
                <w:szCs w:val="20"/>
              </w:rPr>
            </w:pPr>
            <w:r>
              <w:rPr>
                <w:rFonts w:ascii="Arial Narrow" w:hAnsi="Arial Narrow" w:cs="Times New Roman"/>
                <w:bCs/>
                <w:sz w:val="20"/>
                <w:szCs w:val="20"/>
              </w:rPr>
              <w:t>NR</w:t>
            </w:r>
          </w:p>
        </w:tc>
      </w:tr>
    </w:tbl>
    <w:p w14:paraId="0CA2C51D" w14:textId="77777777" w:rsidR="00415AC5" w:rsidRDefault="00415AC5" w:rsidP="005A2403">
      <w:pPr>
        <w:pStyle w:val="TableFigureFooter"/>
      </w:pPr>
      <w:r w:rsidRPr="00110059">
        <w:t xml:space="preserve">Source: </w:t>
      </w:r>
      <w:r>
        <w:t>Table 2.5-1, p65, Table 2.5-8, p71, Table 2.5-9, p72, Table 2.5-10, p73, Table 2.5-11, pp73-74, Table 2.5-12, p75, Table 2.5-13, p75, Table 2.5-14, pp76-77 of the submission.</w:t>
      </w:r>
    </w:p>
    <w:p w14:paraId="5B70B3CA" w14:textId="1A8DC28F" w:rsidR="00415AC5" w:rsidRPr="00033B87" w:rsidRDefault="00415AC5" w:rsidP="005A2403">
      <w:pPr>
        <w:pStyle w:val="TableFigureFooter"/>
      </w:pPr>
      <w:r w:rsidRPr="00033B87">
        <w:t xml:space="preserve">Abbreviations: </w:t>
      </w:r>
      <w:r>
        <w:t xml:space="preserve">BPI, </w:t>
      </w:r>
      <w:r w:rsidRPr="00D6796A">
        <w:t>Brief Pain Inventory</w:t>
      </w:r>
      <w:r>
        <w:t xml:space="preserve">; </w:t>
      </w:r>
      <w:r w:rsidRPr="00033B87">
        <w:t xml:space="preserve">CI, </w:t>
      </w:r>
      <w:r>
        <w:t>c</w:t>
      </w:r>
      <w:r w:rsidRPr="00033B87">
        <w:t xml:space="preserve">onfidence interval; </w:t>
      </w:r>
      <w:r>
        <w:t xml:space="preserve">eGFR, </w:t>
      </w:r>
      <w:r w:rsidRPr="00113336">
        <w:t xml:space="preserve">estimated </w:t>
      </w:r>
      <w:r w:rsidR="00DC352C">
        <w:t>G</w:t>
      </w:r>
      <w:r w:rsidRPr="00113336">
        <w:t xml:space="preserve">lomerular </w:t>
      </w:r>
      <w:r w:rsidR="005A63CE">
        <w:t>F</w:t>
      </w:r>
      <w:r w:rsidRPr="00113336">
        <w:t xml:space="preserve">iltration </w:t>
      </w:r>
      <w:r w:rsidR="005A63CE">
        <w:t>R</w:t>
      </w:r>
      <w:r w:rsidRPr="00113336">
        <w:t>ate</w:t>
      </w:r>
      <w:r>
        <w:t xml:space="preserve">; </w:t>
      </w:r>
      <w:r w:rsidRPr="00033B87">
        <w:t xml:space="preserve">EQ-5D-5L, EuroQol-5 Dimensions-5 Levels; </w:t>
      </w:r>
      <w:r>
        <w:t xml:space="preserve">FCE, Fabry clinical events; Gb3, </w:t>
      </w:r>
      <w:proofErr w:type="spellStart"/>
      <w:r w:rsidRPr="00033B3A">
        <w:t>globotriaosylceramide</w:t>
      </w:r>
      <w:proofErr w:type="spellEnd"/>
      <w:r>
        <w:t xml:space="preserve">; </w:t>
      </w:r>
      <w:r w:rsidRPr="00033B87">
        <w:t xml:space="preserve">ITT, </w:t>
      </w:r>
      <w:r>
        <w:t>i</w:t>
      </w:r>
      <w:r w:rsidRPr="00033B87">
        <w:t xml:space="preserve">ntention-to-treat; </w:t>
      </w:r>
      <w:r w:rsidR="00FE03D6">
        <w:t xml:space="preserve">mL, millilitre; </w:t>
      </w:r>
      <w:r w:rsidRPr="00033B87">
        <w:t xml:space="preserve">mM, millimolar; </w:t>
      </w:r>
      <w:r>
        <w:t xml:space="preserve">MSSI, </w:t>
      </w:r>
      <w:r w:rsidRPr="00D6796A">
        <w:t>Mainz Severity Score Index</w:t>
      </w:r>
      <w:r>
        <w:t>;</w:t>
      </w:r>
      <w:r w:rsidRPr="00D6796A">
        <w:t xml:space="preserve"> </w:t>
      </w:r>
      <w:proofErr w:type="spellStart"/>
      <w:r w:rsidRPr="00033B87">
        <w:t>nM</w:t>
      </w:r>
      <w:proofErr w:type="spellEnd"/>
      <w:r w:rsidRPr="00033B87">
        <w:t xml:space="preserve">, nanomolar; </w:t>
      </w:r>
      <w:proofErr w:type="spellStart"/>
      <w:r w:rsidRPr="00033B87">
        <w:t>pM</w:t>
      </w:r>
      <w:proofErr w:type="spellEnd"/>
      <w:r w:rsidRPr="00033B87">
        <w:t xml:space="preserve">, picomolar; </w:t>
      </w:r>
      <w:r w:rsidR="00004BCF">
        <w:t xml:space="preserve">NR, not reported; </w:t>
      </w:r>
      <w:r w:rsidRPr="00033B87">
        <w:t xml:space="preserve">SE, standard error; UPCR, </w:t>
      </w:r>
      <w:r>
        <w:t>U</w:t>
      </w:r>
      <w:r w:rsidRPr="00033B87">
        <w:t xml:space="preserve">rinary </w:t>
      </w:r>
      <w:r>
        <w:t>P</w:t>
      </w:r>
      <w:r w:rsidRPr="00033B87">
        <w:t>rotein</w:t>
      </w:r>
      <w:r>
        <w:t>/C</w:t>
      </w:r>
      <w:r w:rsidRPr="00033B87">
        <w:t xml:space="preserve">reatinine </w:t>
      </w:r>
      <w:r>
        <w:t>R</w:t>
      </w:r>
      <w:r w:rsidRPr="00033B87">
        <w:t>atio.</w:t>
      </w:r>
    </w:p>
    <w:p w14:paraId="0DAE3D72" w14:textId="77777777" w:rsidR="00415AC5" w:rsidRPr="00033B87" w:rsidRDefault="00415AC5" w:rsidP="005A2403">
      <w:pPr>
        <w:pStyle w:val="TableFigureFooter"/>
      </w:pPr>
      <w:r w:rsidRPr="00033B87">
        <w:t xml:space="preserve">Note: </w:t>
      </w:r>
      <w:r w:rsidRPr="00976B7E">
        <w:rPr>
          <w:b/>
          <w:bCs/>
        </w:rPr>
        <w:t xml:space="preserve">Bold </w:t>
      </w:r>
      <w:r>
        <w:t>indicates</w:t>
      </w:r>
      <w:r w:rsidRPr="00033B87">
        <w:t xml:space="preserve"> a statistically significant difference between the treatment groups.</w:t>
      </w:r>
    </w:p>
    <w:p w14:paraId="7077E646" w14:textId="77777777" w:rsidR="00415AC5" w:rsidRPr="00043974" w:rsidRDefault="00415AC5" w:rsidP="005A2403">
      <w:pPr>
        <w:pStyle w:val="TableFigureFooter"/>
        <w:rPr>
          <w:lang w:val="it-IT"/>
        </w:rPr>
      </w:pPr>
      <w:r w:rsidRPr="00043974">
        <w:rPr>
          <w:vertAlign w:val="superscript"/>
          <w:lang w:val="it-IT"/>
        </w:rPr>
        <w:t>a</w:t>
      </w:r>
      <w:r w:rsidRPr="00043974">
        <w:rPr>
          <w:lang w:val="it-IT"/>
        </w:rPr>
        <w:t xml:space="preserve"> Pegunigalsidase alfa vs agalsidase beta.</w:t>
      </w:r>
    </w:p>
    <w:p w14:paraId="42C9FD8C" w14:textId="77777777" w:rsidR="00415AC5" w:rsidRPr="00110059" w:rsidRDefault="00415AC5" w:rsidP="005A2403">
      <w:pPr>
        <w:pStyle w:val="TableFigureFooter"/>
      </w:pPr>
      <w:r w:rsidRPr="00611CDC">
        <w:rPr>
          <w:vertAlign w:val="superscript"/>
        </w:rPr>
        <w:lastRenderedPageBreak/>
        <w:t>b</w:t>
      </w:r>
      <w:r>
        <w:t xml:space="preserve"> </w:t>
      </w:r>
      <w:r w:rsidRPr="004E6AFB">
        <w:t xml:space="preserve">Analysis </w:t>
      </w:r>
      <w:r>
        <w:t xml:space="preserve">was </w:t>
      </w:r>
      <w:r w:rsidRPr="004E6AFB">
        <w:t>based on a quantile regression for the median with eGFR slope of each individual patient as dependent variable and treatment arm as covariate of the model. All observations are used including unscheduled visits.</w:t>
      </w:r>
      <w:r>
        <w:t xml:space="preserve"> </w:t>
      </w:r>
      <w:r w:rsidRPr="00110059">
        <w:t>For non-inferiority to be indicated, the lower limit of the 95% CI had to be greater than the prespecified non-inferiority margin of -3.0. With -2.444, this criterion was met; hence, non-inferiority was shown for the ITT set.</w:t>
      </w:r>
    </w:p>
    <w:p w14:paraId="5A10AFE9" w14:textId="4B0FB605" w:rsidR="00415AC5" w:rsidRDefault="00415AC5" w:rsidP="005A2403">
      <w:pPr>
        <w:pStyle w:val="TableFigureFooter"/>
      </w:pPr>
      <w:r w:rsidRPr="00611CDC">
        <w:rPr>
          <w:vertAlign w:val="superscript"/>
        </w:rPr>
        <w:t>c</w:t>
      </w:r>
      <w:r>
        <w:t xml:space="preserve"> 11 events reported in </w:t>
      </w:r>
      <w:r w:rsidR="00A37989">
        <w:t>nine</w:t>
      </w:r>
      <w:r>
        <w:t xml:space="preserve"> patients in </w:t>
      </w:r>
      <w:r w:rsidR="00C2145E">
        <w:t xml:space="preserve">the </w:t>
      </w:r>
      <w:r>
        <w:t xml:space="preserve">pegunigalsidase alfa </w:t>
      </w:r>
      <w:r w:rsidR="00C2145E">
        <w:t xml:space="preserve">arm </w:t>
      </w:r>
      <w:r>
        <w:t xml:space="preserve">and </w:t>
      </w:r>
      <w:r w:rsidR="00A37989">
        <w:t>two</w:t>
      </w:r>
      <w:r>
        <w:t xml:space="preserve"> events reported in </w:t>
      </w:r>
      <w:r w:rsidR="00A37989">
        <w:t>two</w:t>
      </w:r>
      <w:r>
        <w:t xml:space="preserve"> patients in </w:t>
      </w:r>
      <w:r w:rsidR="005657C9">
        <w:t xml:space="preserve">the </w:t>
      </w:r>
      <w:r>
        <w:t>agalsidase beta</w:t>
      </w:r>
      <w:r w:rsidR="00091543">
        <w:t xml:space="preserve"> arm</w:t>
      </w:r>
      <w:r>
        <w:t xml:space="preserve"> </w:t>
      </w:r>
    </w:p>
    <w:p w14:paraId="4D39657F" w14:textId="1FC3C683" w:rsidR="00415AC5" w:rsidRDefault="00415AC5" w:rsidP="005A2403">
      <w:pPr>
        <w:pStyle w:val="TableFigureFooter"/>
      </w:pPr>
      <w:r w:rsidRPr="00611CDC">
        <w:rPr>
          <w:vertAlign w:val="superscript"/>
        </w:rPr>
        <w:t>d</w:t>
      </w:r>
      <w:r>
        <w:t xml:space="preserve"> </w:t>
      </w:r>
      <w:r w:rsidR="00A37989">
        <w:t>Seven</w:t>
      </w:r>
      <w:r>
        <w:t xml:space="preserve"> events reported in </w:t>
      </w:r>
      <w:r w:rsidR="00A37989">
        <w:t>six</w:t>
      </w:r>
      <w:r>
        <w:t xml:space="preserve"> patients in </w:t>
      </w:r>
      <w:r w:rsidR="00E556B5">
        <w:t xml:space="preserve">the </w:t>
      </w:r>
      <w:r>
        <w:t xml:space="preserve">pegunigalsidase alfa </w:t>
      </w:r>
      <w:r w:rsidR="00E556B5">
        <w:t xml:space="preserve">arm </w:t>
      </w:r>
      <w:r>
        <w:t xml:space="preserve">and </w:t>
      </w:r>
      <w:r w:rsidR="00A37989">
        <w:t>two</w:t>
      </w:r>
      <w:r>
        <w:t xml:space="preserve"> events reported in </w:t>
      </w:r>
      <w:r w:rsidR="00A37989">
        <w:t>two</w:t>
      </w:r>
      <w:r>
        <w:t xml:space="preserve"> patients in </w:t>
      </w:r>
      <w:r w:rsidR="00E556B5">
        <w:t xml:space="preserve">the </w:t>
      </w:r>
      <w:r>
        <w:t>agalsidase beta</w:t>
      </w:r>
      <w:r w:rsidR="00E556B5">
        <w:t xml:space="preserve"> arm</w:t>
      </w:r>
      <w:r>
        <w:t xml:space="preserve"> </w:t>
      </w:r>
    </w:p>
    <w:p w14:paraId="2DF78989" w14:textId="7676132A" w:rsidR="00415AC5" w:rsidRDefault="00415AC5" w:rsidP="005A2403">
      <w:pPr>
        <w:pStyle w:val="TableFigureFooter"/>
      </w:pPr>
      <w:r w:rsidRPr="00611CDC">
        <w:rPr>
          <w:vertAlign w:val="superscript"/>
        </w:rPr>
        <w:t>e</w:t>
      </w:r>
      <w:r>
        <w:t xml:space="preserve"> </w:t>
      </w:r>
      <w:r w:rsidR="00A37989">
        <w:t>Three</w:t>
      </w:r>
      <w:r>
        <w:t xml:space="preserve"> events reported in </w:t>
      </w:r>
      <w:r w:rsidR="00FC5229">
        <w:t>three</w:t>
      </w:r>
      <w:r>
        <w:t xml:space="preserve"> patients in </w:t>
      </w:r>
      <w:r w:rsidR="00FC5229">
        <w:t xml:space="preserve">the </w:t>
      </w:r>
      <w:r>
        <w:t>pegunigalsidase alfa</w:t>
      </w:r>
      <w:r w:rsidR="00FC5229">
        <w:t xml:space="preserve"> arm</w:t>
      </w:r>
    </w:p>
    <w:p w14:paraId="0C6422CA" w14:textId="27A5E5B8" w:rsidR="00415AC5" w:rsidRPr="00110059" w:rsidRDefault="00415AC5" w:rsidP="005A2403">
      <w:pPr>
        <w:pStyle w:val="TableFigureFooter"/>
      </w:pPr>
      <w:r w:rsidRPr="00611CDC">
        <w:rPr>
          <w:vertAlign w:val="superscript"/>
        </w:rPr>
        <w:t>f</w:t>
      </w:r>
      <w:r>
        <w:t xml:space="preserve"> </w:t>
      </w:r>
      <w:r w:rsidR="00FC5229">
        <w:t>One</w:t>
      </w:r>
      <w:r>
        <w:t xml:space="preserve"> event reported in </w:t>
      </w:r>
      <w:r w:rsidR="00355113">
        <w:t>one</w:t>
      </w:r>
      <w:r>
        <w:t xml:space="preserve"> patient in pegunigalsidase alfa </w:t>
      </w:r>
    </w:p>
    <w:p w14:paraId="789766F0" w14:textId="7F01EAA8" w:rsidR="00415AC5" w:rsidRDefault="00415AC5" w:rsidP="009D09F4">
      <w:pPr>
        <w:pStyle w:val="Caption"/>
      </w:pPr>
      <w:bookmarkStart w:id="34" w:name="_Ref195464339"/>
      <w:r>
        <w:t xml:space="preserve">Table </w:t>
      </w:r>
      <w:r w:rsidR="004E7462">
        <w:fldChar w:fldCharType="begin" w:fldLock="1"/>
      </w:r>
      <w:r w:rsidR="004E7462">
        <w:instrText xml:space="preserve"> SEQ Table \* ARABIC </w:instrText>
      </w:r>
      <w:r w:rsidR="004E7462">
        <w:fldChar w:fldCharType="separate"/>
      </w:r>
      <w:r w:rsidR="004E7462">
        <w:rPr>
          <w:noProof/>
        </w:rPr>
        <w:t>5</w:t>
      </w:r>
      <w:r w:rsidR="004E7462">
        <w:rPr>
          <w:noProof/>
        </w:rPr>
        <w:fldChar w:fldCharType="end"/>
      </w:r>
      <w:bookmarkEnd w:id="34"/>
      <w:r>
        <w:t xml:space="preserve">: </w:t>
      </w:r>
      <w:r w:rsidRPr="00301367">
        <w:t>Change from baseline to Week 104 in UPCR categories in BALANCE (ITT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Change from baseline to Week 104 in UPCR categories in BALANCE (ITT set)"/>
      </w:tblPr>
      <w:tblGrid>
        <w:gridCol w:w="1840"/>
        <w:gridCol w:w="897"/>
        <w:gridCol w:w="898"/>
        <w:gridCol w:w="896"/>
        <w:gridCol w:w="898"/>
        <w:gridCol w:w="896"/>
        <w:gridCol w:w="898"/>
        <w:gridCol w:w="896"/>
        <w:gridCol w:w="898"/>
      </w:tblGrid>
      <w:tr w:rsidR="00415AC5" w:rsidRPr="00755391" w14:paraId="2CA3C2FB" w14:textId="77777777" w:rsidTr="002021A9">
        <w:trPr>
          <w:trHeight w:val="20"/>
          <w:tblHeader/>
        </w:trPr>
        <w:tc>
          <w:tcPr>
            <w:tcW w:w="1020" w:type="pct"/>
            <w:vMerge w:val="restart"/>
          </w:tcPr>
          <w:p w14:paraId="6354F0EF" w14:textId="77777777" w:rsidR="00415AC5" w:rsidRPr="00D2098F" w:rsidRDefault="00415AC5" w:rsidP="002021A9">
            <w:pPr>
              <w:pStyle w:val="In-tableHeading"/>
              <w:rPr>
                <w:bCs/>
                <w:lang w:val="en-AU" w:eastAsia="en-IN"/>
              </w:rPr>
            </w:pPr>
            <w:r w:rsidRPr="00D2098F">
              <w:rPr>
                <w:lang w:val="en-AU" w:eastAsia="en-IN"/>
              </w:rPr>
              <w:t xml:space="preserve">Post baseline UPCR </w:t>
            </w:r>
          </w:p>
          <w:p w14:paraId="4CABE275" w14:textId="77777777" w:rsidR="00415AC5" w:rsidRPr="00D2098F" w:rsidRDefault="00415AC5" w:rsidP="002021A9">
            <w:pPr>
              <w:pStyle w:val="In-tableHeading"/>
              <w:rPr>
                <w:bCs/>
                <w:lang w:val="en-AU" w:eastAsia="en-IN"/>
              </w:rPr>
            </w:pPr>
            <w:r w:rsidRPr="00D2098F">
              <w:rPr>
                <w:lang w:val="en-AU" w:eastAsia="en-IN"/>
              </w:rPr>
              <w:t>categories</w:t>
            </w:r>
          </w:p>
        </w:tc>
        <w:tc>
          <w:tcPr>
            <w:tcW w:w="3980" w:type="pct"/>
            <w:gridSpan w:val="8"/>
          </w:tcPr>
          <w:p w14:paraId="791B6FFA" w14:textId="77777777" w:rsidR="00415AC5" w:rsidRPr="00D2098F" w:rsidRDefault="00415AC5" w:rsidP="00447EA6">
            <w:pPr>
              <w:pStyle w:val="In-tableHeading"/>
              <w:jc w:val="center"/>
              <w:rPr>
                <w:bCs/>
                <w:lang w:val="en-AU" w:eastAsia="en-IN"/>
              </w:rPr>
            </w:pPr>
            <w:r w:rsidRPr="00D2098F">
              <w:rPr>
                <w:lang w:val="en-AU" w:eastAsia="en-IN"/>
              </w:rPr>
              <w:t>Baseline UPCR categories</w:t>
            </w:r>
          </w:p>
        </w:tc>
      </w:tr>
      <w:tr w:rsidR="00415AC5" w:rsidRPr="00755391" w14:paraId="6FDC5737" w14:textId="77777777" w:rsidTr="002021A9">
        <w:trPr>
          <w:trHeight w:val="20"/>
        </w:trPr>
        <w:tc>
          <w:tcPr>
            <w:tcW w:w="1020" w:type="pct"/>
            <w:vMerge/>
          </w:tcPr>
          <w:p w14:paraId="217BE616" w14:textId="77777777" w:rsidR="00415AC5" w:rsidRPr="00D2098F" w:rsidRDefault="00415AC5" w:rsidP="002021A9">
            <w:pPr>
              <w:pStyle w:val="In-tableHeading"/>
              <w:rPr>
                <w:lang w:val="en-AU" w:eastAsia="en-IN"/>
              </w:rPr>
            </w:pPr>
          </w:p>
        </w:tc>
        <w:tc>
          <w:tcPr>
            <w:tcW w:w="995" w:type="pct"/>
            <w:gridSpan w:val="2"/>
          </w:tcPr>
          <w:p w14:paraId="293697BC" w14:textId="77777777" w:rsidR="00415AC5" w:rsidRPr="00D2098F" w:rsidRDefault="00415AC5" w:rsidP="009C09B5">
            <w:pPr>
              <w:pStyle w:val="In-tableHeading"/>
              <w:rPr>
                <w:bCs/>
                <w:lang w:val="en-AU" w:eastAsia="en-IN"/>
              </w:rPr>
            </w:pPr>
            <w:r w:rsidRPr="00D2098F">
              <w:rPr>
                <w:lang w:val="en-AU" w:eastAsia="en-IN"/>
              </w:rPr>
              <w:t xml:space="preserve">UPCR ≤ 0.5 gr/gr, </w:t>
            </w:r>
            <w:r w:rsidRPr="00D2098F">
              <w:rPr>
                <w:lang w:val="en-AU" w:eastAsia="en-IN"/>
              </w:rPr>
              <w:br/>
              <w:t>n (%)</w:t>
            </w:r>
          </w:p>
        </w:tc>
        <w:tc>
          <w:tcPr>
            <w:tcW w:w="995" w:type="pct"/>
            <w:gridSpan w:val="2"/>
          </w:tcPr>
          <w:p w14:paraId="2E67D48D" w14:textId="77777777" w:rsidR="00415AC5" w:rsidRPr="00D2098F" w:rsidRDefault="00415AC5" w:rsidP="009C09B5">
            <w:pPr>
              <w:pStyle w:val="In-tableHeading"/>
              <w:rPr>
                <w:bCs/>
                <w:lang w:val="en-AU" w:eastAsia="en-IN"/>
              </w:rPr>
            </w:pPr>
            <w:r w:rsidRPr="00D2098F">
              <w:rPr>
                <w:lang w:val="en-AU" w:eastAsia="en-IN"/>
              </w:rPr>
              <w:t>0.5 &lt; UPCR &lt; 1 gr/gr, n (%)</w:t>
            </w:r>
          </w:p>
        </w:tc>
        <w:tc>
          <w:tcPr>
            <w:tcW w:w="995" w:type="pct"/>
            <w:gridSpan w:val="2"/>
          </w:tcPr>
          <w:p w14:paraId="6051E31D" w14:textId="77777777" w:rsidR="00415AC5" w:rsidRPr="00D2098F" w:rsidRDefault="00415AC5" w:rsidP="009C09B5">
            <w:pPr>
              <w:pStyle w:val="In-tableHeading"/>
              <w:rPr>
                <w:bCs/>
                <w:lang w:val="en-AU" w:eastAsia="en-IN"/>
              </w:rPr>
            </w:pPr>
            <w:r w:rsidRPr="00D2098F">
              <w:rPr>
                <w:lang w:val="en-AU" w:eastAsia="en-IN"/>
              </w:rPr>
              <w:t>UPCR</w:t>
            </w:r>
            <w:r w:rsidRPr="00D2098F">
              <w:rPr>
                <w:lang w:val="en-AU"/>
              </w:rPr>
              <w:t xml:space="preserve">≥ </w:t>
            </w:r>
            <w:r w:rsidRPr="00D2098F">
              <w:rPr>
                <w:lang w:val="en-AU" w:eastAsia="en-IN"/>
              </w:rPr>
              <w:t xml:space="preserve">1 gr/gr, </w:t>
            </w:r>
            <w:r w:rsidRPr="00D2098F">
              <w:rPr>
                <w:lang w:val="en-AU" w:eastAsia="en-IN"/>
              </w:rPr>
              <w:br/>
              <w:t>n (%)</w:t>
            </w:r>
          </w:p>
        </w:tc>
        <w:tc>
          <w:tcPr>
            <w:tcW w:w="995" w:type="pct"/>
            <w:gridSpan w:val="2"/>
          </w:tcPr>
          <w:p w14:paraId="4082AAB9" w14:textId="77777777" w:rsidR="00415AC5" w:rsidRPr="00D2098F" w:rsidRDefault="00415AC5" w:rsidP="009C09B5">
            <w:pPr>
              <w:pStyle w:val="In-tableHeading"/>
              <w:rPr>
                <w:bCs/>
                <w:lang w:val="en-AU" w:eastAsia="en-IN"/>
              </w:rPr>
            </w:pPr>
            <w:r w:rsidRPr="00D2098F">
              <w:rPr>
                <w:lang w:val="en-AU" w:eastAsia="en-IN"/>
              </w:rPr>
              <w:t>Overall n (%)</w:t>
            </w:r>
          </w:p>
        </w:tc>
      </w:tr>
      <w:tr w:rsidR="00415AC5" w:rsidRPr="00755391" w14:paraId="028B2E34" w14:textId="77777777" w:rsidTr="002021A9">
        <w:trPr>
          <w:trHeight w:val="20"/>
        </w:trPr>
        <w:tc>
          <w:tcPr>
            <w:tcW w:w="5000" w:type="pct"/>
            <w:gridSpan w:val="9"/>
          </w:tcPr>
          <w:p w14:paraId="730ADB47" w14:textId="77777777" w:rsidR="00415AC5" w:rsidRPr="00D2098F" w:rsidRDefault="00415AC5" w:rsidP="009D09F4">
            <w:pPr>
              <w:pStyle w:val="In-tableHeading"/>
              <w:rPr>
                <w:bCs/>
                <w:lang w:val="en-AU" w:eastAsia="en-IN"/>
              </w:rPr>
            </w:pPr>
            <w:r w:rsidRPr="00D2098F">
              <w:rPr>
                <w:lang w:val="en-AU"/>
              </w:rPr>
              <w:t>Pegunigalsidase alfa (N = 52)</w:t>
            </w:r>
          </w:p>
        </w:tc>
      </w:tr>
      <w:tr w:rsidR="00415AC5" w:rsidRPr="00755391" w14:paraId="745D2DE6" w14:textId="77777777" w:rsidTr="002021A9">
        <w:trPr>
          <w:trHeight w:val="20"/>
        </w:trPr>
        <w:tc>
          <w:tcPr>
            <w:tcW w:w="1020" w:type="pct"/>
          </w:tcPr>
          <w:p w14:paraId="30783AA9" w14:textId="77777777" w:rsidR="00415AC5" w:rsidRPr="00755391" w:rsidRDefault="00415AC5" w:rsidP="0009520E">
            <w:pPr>
              <w:pStyle w:val="TableText0"/>
            </w:pPr>
            <w:r w:rsidRPr="00755391">
              <w:t>UPCR ≤ 0.5 gr/gr</w:t>
            </w:r>
          </w:p>
        </w:tc>
        <w:tc>
          <w:tcPr>
            <w:tcW w:w="497" w:type="pct"/>
          </w:tcPr>
          <w:p w14:paraId="0F6F40F6" w14:textId="77777777" w:rsidR="00415AC5" w:rsidRPr="00755391" w:rsidRDefault="00415AC5" w:rsidP="009C09B5">
            <w:pPr>
              <w:pStyle w:val="TableText0"/>
            </w:pPr>
            <w:r w:rsidRPr="00755391">
              <w:t>31</w:t>
            </w:r>
          </w:p>
        </w:tc>
        <w:tc>
          <w:tcPr>
            <w:tcW w:w="498" w:type="pct"/>
          </w:tcPr>
          <w:p w14:paraId="3A1BE67F" w14:textId="77777777" w:rsidR="00415AC5" w:rsidRPr="00755391" w:rsidRDefault="00415AC5" w:rsidP="009C09B5">
            <w:pPr>
              <w:pStyle w:val="TableText0"/>
            </w:pPr>
            <w:r w:rsidRPr="00755391">
              <w:t>(86.10)</w:t>
            </w:r>
          </w:p>
        </w:tc>
        <w:tc>
          <w:tcPr>
            <w:tcW w:w="497" w:type="pct"/>
          </w:tcPr>
          <w:p w14:paraId="5B667AC4" w14:textId="77777777" w:rsidR="00415AC5" w:rsidRPr="00755391" w:rsidRDefault="00415AC5" w:rsidP="009C09B5">
            <w:pPr>
              <w:pStyle w:val="TableText0"/>
            </w:pPr>
            <w:r w:rsidRPr="00755391">
              <w:t>3</w:t>
            </w:r>
          </w:p>
        </w:tc>
        <w:tc>
          <w:tcPr>
            <w:tcW w:w="498" w:type="pct"/>
          </w:tcPr>
          <w:p w14:paraId="058088E0" w14:textId="77777777" w:rsidR="00415AC5" w:rsidRPr="00755391" w:rsidRDefault="00415AC5" w:rsidP="009C09B5">
            <w:pPr>
              <w:pStyle w:val="TableText0"/>
            </w:pPr>
            <w:r w:rsidRPr="00755391">
              <w:t>(33.30)</w:t>
            </w:r>
          </w:p>
        </w:tc>
        <w:tc>
          <w:tcPr>
            <w:tcW w:w="497" w:type="pct"/>
          </w:tcPr>
          <w:p w14:paraId="2F0F9A6B" w14:textId="77777777" w:rsidR="00415AC5" w:rsidRPr="00755391" w:rsidRDefault="00415AC5" w:rsidP="009C09B5">
            <w:pPr>
              <w:pStyle w:val="TableText0"/>
            </w:pPr>
            <w:r w:rsidRPr="00755391">
              <w:t>0</w:t>
            </w:r>
          </w:p>
        </w:tc>
        <w:tc>
          <w:tcPr>
            <w:tcW w:w="498" w:type="pct"/>
          </w:tcPr>
          <w:p w14:paraId="04A3D8AF" w14:textId="77777777" w:rsidR="00415AC5" w:rsidRPr="00755391" w:rsidRDefault="00415AC5" w:rsidP="009C09B5">
            <w:pPr>
              <w:pStyle w:val="TableText0"/>
            </w:pPr>
            <w:r>
              <w:t>-</w:t>
            </w:r>
          </w:p>
        </w:tc>
        <w:tc>
          <w:tcPr>
            <w:tcW w:w="497" w:type="pct"/>
          </w:tcPr>
          <w:p w14:paraId="1CBC74F0" w14:textId="77777777" w:rsidR="00415AC5" w:rsidRPr="00755391" w:rsidRDefault="00415AC5" w:rsidP="009C09B5">
            <w:pPr>
              <w:pStyle w:val="TableText0"/>
            </w:pPr>
            <w:r w:rsidRPr="00755391">
              <w:t>34</w:t>
            </w:r>
          </w:p>
        </w:tc>
        <w:tc>
          <w:tcPr>
            <w:tcW w:w="498" w:type="pct"/>
          </w:tcPr>
          <w:p w14:paraId="04DED9FB" w14:textId="77777777" w:rsidR="00415AC5" w:rsidRPr="00755391" w:rsidRDefault="00415AC5" w:rsidP="009C09B5">
            <w:pPr>
              <w:pStyle w:val="TableText0"/>
            </w:pPr>
            <w:r w:rsidRPr="00755391">
              <w:t>(65.4)</w:t>
            </w:r>
          </w:p>
        </w:tc>
      </w:tr>
      <w:tr w:rsidR="00415AC5" w:rsidRPr="00755391" w14:paraId="04FF66D5" w14:textId="77777777" w:rsidTr="002021A9">
        <w:trPr>
          <w:trHeight w:val="20"/>
        </w:trPr>
        <w:tc>
          <w:tcPr>
            <w:tcW w:w="1020" w:type="pct"/>
          </w:tcPr>
          <w:p w14:paraId="35B6C7D7" w14:textId="77777777" w:rsidR="00415AC5" w:rsidRPr="00755391" w:rsidRDefault="00415AC5" w:rsidP="0009520E">
            <w:pPr>
              <w:pStyle w:val="TableText0"/>
            </w:pPr>
            <w:r w:rsidRPr="00755391">
              <w:t>0.5 &lt; UPCR &lt; 1 gr/gr</w:t>
            </w:r>
          </w:p>
        </w:tc>
        <w:tc>
          <w:tcPr>
            <w:tcW w:w="497" w:type="pct"/>
          </w:tcPr>
          <w:p w14:paraId="401D638A" w14:textId="77777777" w:rsidR="00415AC5" w:rsidRPr="00755391" w:rsidRDefault="00415AC5" w:rsidP="009C09B5">
            <w:pPr>
              <w:pStyle w:val="TableText0"/>
            </w:pPr>
            <w:r w:rsidRPr="00755391">
              <w:t>1</w:t>
            </w:r>
          </w:p>
        </w:tc>
        <w:tc>
          <w:tcPr>
            <w:tcW w:w="498" w:type="pct"/>
          </w:tcPr>
          <w:p w14:paraId="42807635" w14:textId="77777777" w:rsidR="00415AC5" w:rsidRPr="00755391" w:rsidRDefault="00415AC5" w:rsidP="009C09B5">
            <w:pPr>
              <w:pStyle w:val="TableText0"/>
            </w:pPr>
            <w:r w:rsidRPr="00755391">
              <w:t>(2.80)</w:t>
            </w:r>
          </w:p>
        </w:tc>
        <w:tc>
          <w:tcPr>
            <w:tcW w:w="497" w:type="pct"/>
          </w:tcPr>
          <w:p w14:paraId="55439742" w14:textId="77777777" w:rsidR="00415AC5" w:rsidRPr="00755391" w:rsidRDefault="00415AC5" w:rsidP="009C09B5">
            <w:pPr>
              <w:pStyle w:val="TableText0"/>
            </w:pPr>
            <w:r w:rsidRPr="00755391">
              <w:t>3</w:t>
            </w:r>
          </w:p>
        </w:tc>
        <w:tc>
          <w:tcPr>
            <w:tcW w:w="498" w:type="pct"/>
          </w:tcPr>
          <w:p w14:paraId="1D0EAE2C" w14:textId="77777777" w:rsidR="00415AC5" w:rsidRPr="00755391" w:rsidRDefault="00415AC5" w:rsidP="009C09B5">
            <w:pPr>
              <w:pStyle w:val="TableText0"/>
            </w:pPr>
            <w:r w:rsidRPr="00755391">
              <w:t>(33.30)</w:t>
            </w:r>
          </w:p>
        </w:tc>
        <w:tc>
          <w:tcPr>
            <w:tcW w:w="497" w:type="pct"/>
          </w:tcPr>
          <w:p w14:paraId="573C96BD" w14:textId="77777777" w:rsidR="00415AC5" w:rsidRPr="00755391" w:rsidRDefault="00415AC5" w:rsidP="009C09B5">
            <w:pPr>
              <w:pStyle w:val="TableText0"/>
            </w:pPr>
            <w:r w:rsidRPr="00755391">
              <w:t>1</w:t>
            </w:r>
          </w:p>
        </w:tc>
        <w:tc>
          <w:tcPr>
            <w:tcW w:w="498" w:type="pct"/>
          </w:tcPr>
          <w:p w14:paraId="4A6FB8CF" w14:textId="77777777" w:rsidR="00415AC5" w:rsidRPr="00755391" w:rsidRDefault="00415AC5" w:rsidP="009C09B5">
            <w:pPr>
              <w:pStyle w:val="TableText0"/>
            </w:pPr>
            <w:r w:rsidRPr="00755391">
              <w:t>(14.30)</w:t>
            </w:r>
          </w:p>
        </w:tc>
        <w:tc>
          <w:tcPr>
            <w:tcW w:w="497" w:type="pct"/>
          </w:tcPr>
          <w:p w14:paraId="3B11C979" w14:textId="77777777" w:rsidR="00415AC5" w:rsidRPr="00755391" w:rsidRDefault="00415AC5" w:rsidP="009C09B5">
            <w:pPr>
              <w:pStyle w:val="TableText0"/>
            </w:pPr>
            <w:r w:rsidRPr="00755391">
              <w:t>5</w:t>
            </w:r>
          </w:p>
        </w:tc>
        <w:tc>
          <w:tcPr>
            <w:tcW w:w="498" w:type="pct"/>
          </w:tcPr>
          <w:p w14:paraId="346AEC7E" w14:textId="77777777" w:rsidR="00415AC5" w:rsidRPr="00755391" w:rsidRDefault="00415AC5" w:rsidP="009C09B5">
            <w:pPr>
              <w:pStyle w:val="TableText0"/>
            </w:pPr>
            <w:r w:rsidRPr="00755391">
              <w:t>(9.6)</w:t>
            </w:r>
          </w:p>
        </w:tc>
      </w:tr>
      <w:tr w:rsidR="00415AC5" w:rsidRPr="00755391" w14:paraId="5B3F7FDB" w14:textId="77777777" w:rsidTr="002021A9">
        <w:trPr>
          <w:trHeight w:val="20"/>
        </w:trPr>
        <w:tc>
          <w:tcPr>
            <w:tcW w:w="1020" w:type="pct"/>
          </w:tcPr>
          <w:p w14:paraId="5518B0AD" w14:textId="77777777" w:rsidR="00415AC5" w:rsidRPr="00755391" w:rsidRDefault="00415AC5" w:rsidP="0009520E">
            <w:pPr>
              <w:pStyle w:val="TableText0"/>
            </w:pPr>
            <w:r w:rsidRPr="00755391">
              <w:t>UPCR ≥ 1 gr/gr</w:t>
            </w:r>
          </w:p>
        </w:tc>
        <w:tc>
          <w:tcPr>
            <w:tcW w:w="497" w:type="pct"/>
          </w:tcPr>
          <w:p w14:paraId="2F3EB8A3" w14:textId="77777777" w:rsidR="00415AC5" w:rsidRPr="00755391" w:rsidRDefault="00415AC5" w:rsidP="009C09B5">
            <w:pPr>
              <w:pStyle w:val="TableText0"/>
            </w:pPr>
            <w:r w:rsidRPr="00755391">
              <w:t>0</w:t>
            </w:r>
          </w:p>
        </w:tc>
        <w:tc>
          <w:tcPr>
            <w:tcW w:w="498" w:type="pct"/>
          </w:tcPr>
          <w:p w14:paraId="143E0C40" w14:textId="77777777" w:rsidR="00415AC5" w:rsidRPr="00755391" w:rsidRDefault="00415AC5" w:rsidP="009C09B5">
            <w:pPr>
              <w:pStyle w:val="TableText0"/>
            </w:pPr>
            <w:r>
              <w:t>-</w:t>
            </w:r>
          </w:p>
        </w:tc>
        <w:tc>
          <w:tcPr>
            <w:tcW w:w="497" w:type="pct"/>
          </w:tcPr>
          <w:p w14:paraId="2B68AE38" w14:textId="77777777" w:rsidR="00415AC5" w:rsidRPr="00755391" w:rsidRDefault="00415AC5" w:rsidP="009C09B5">
            <w:pPr>
              <w:pStyle w:val="TableText0"/>
            </w:pPr>
            <w:r w:rsidRPr="00755391">
              <w:t>1</w:t>
            </w:r>
          </w:p>
        </w:tc>
        <w:tc>
          <w:tcPr>
            <w:tcW w:w="498" w:type="pct"/>
          </w:tcPr>
          <w:p w14:paraId="69F0724F" w14:textId="77777777" w:rsidR="00415AC5" w:rsidRPr="00755391" w:rsidRDefault="00415AC5" w:rsidP="009C09B5">
            <w:pPr>
              <w:pStyle w:val="TableText0"/>
            </w:pPr>
            <w:r w:rsidRPr="00755391">
              <w:t>(11.10)</w:t>
            </w:r>
          </w:p>
        </w:tc>
        <w:tc>
          <w:tcPr>
            <w:tcW w:w="497" w:type="pct"/>
          </w:tcPr>
          <w:p w14:paraId="485E23FB" w14:textId="77777777" w:rsidR="00415AC5" w:rsidRPr="00755391" w:rsidRDefault="00415AC5" w:rsidP="009C09B5">
            <w:pPr>
              <w:pStyle w:val="TableText0"/>
            </w:pPr>
            <w:r w:rsidRPr="00755391">
              <w:t>5</w:t>
            </w:r>
          </w:p>
        </w:tc>
        <w:tc>
          <w:tcPr>
            <w:tcW w:w="498" w:type="pct"/>
          </w:tcPr>
          <w:p w14:paraId="5E972182" w14:textId="77777777" w:rsidR="00415AC5" w:rsidRPr="00755391" w:rsidRDefault="00415AC5" w:rsidP="009C09B5">
            <w:pPr>
              <w:pStyle w:val="TableText0"/>
            </w:pPr>
            <w:r w:rsidRPr="00755391">
              <w:t>(71.40)</w:t>
            </w:r>
          </w:p>
        </w:tc>
        <w:tc>
          <w:tcPr>
            <w:tcW w:w="497" w:type="pct"/>
          </w:tcPr>
          <w:p w14:paraId="66ED6372" w14:textId="77777777" w:rsidR="00415AC5" w:rsidRPr="00755391" w:rsidRDefault="00415AC5" w:rsidP="009C09B5">
            <w:pPr>
              <w:pStyle w:val="TableText0"/>
            </w:pPr>
            <w:r w:rsidRPr="00755391">
              <w:t>6</w:t>
            </w:r>
          </w:p>
        </w:tc>
        <w:tc>
          <w:tcPr>
            <w:tcW w:w="498" w:type="pct"/>
          </w:tcPr>
          <w:p w14:paraId="3C0D09D8" w14:textId="77777777" w:rsidR="00415AC5" w:rsidRPr="00755391" w:rsidRDefault="00415AC5" w:rsidP="009C09B5">
            <w:pPr>
              <w:pStyle w:val="TableText0"/>
            </w:pPr>
            <w:r w:rsidRPr="00755391">
              <w:t>(11.5)</w:t>
            </w:r>
          </w:p>
        </w:tc>
      </w:tr>
      <w:tr w:rsidR="00415AC5" w:rsidRPr="00755391" w14:paraId="22597F73" w14:textId="77777777" w:rsidTr="002021A9">
        <w:trPr>
          <w:trHeight w:val="20"/>
        </w:trPr>
        <w:tc>
          <w:tcPr>
            <w:tcW w:w="1020" w:type="pct"/>
          </w:tcPr>
          <w:p w14:paraId="2E18CCFA" w14:textId="77777777" w:rsidR="00415AC5" w:rsidRPr="00755391" w:rsidRDefault="00415AC5" w:rsidP="0009520E">
            <w:pPr>
              <w:pStyle w:val="TableText0"/>
            </w:pPr>
            <w:r w:rsidRPr="00755391">
              <w:t>Missing</w:t>
            </w:r>
          </w:p>
        </w:tc>
        <w:tc>
          <w:tcPr>
            <w:tcW w:w="497" w:type="pct"/>
          </w:tcPr>
          <w:p w14:paraId="087C5330" w14:textId="77777777" w:rsidR="00415AC5" w:rsidRPr="00755391" w:rsidRDefault="00415AC5" w:rsidP="009C09B5">
            <w:pPr>
              <w:pStyle w:val="TableText0"/>
            </w:pPr>
            <w:r w:rsidRPr="00755391">
              <w:t>4</w:t>
            </w:r>
          </w:p>
        </w:tc>
        <w:tc>
          <w:tcPr>
            <w:tcW w:w="498" w:type="pct"/>
          </w:tcPr>
          <w:p w14:paraId="24900D0A" w14:textId="77777777" w:rsidR="00415AC5" w:rsidRPr="00755391" w:rsidRDefault="00415AC5" w:rsidP="009C09B5">
            <w:pPr>
              <w:pStyle w:val="TableText0"/>
            </w:pPr>
            <w:r w:rsidRPr="00755391">
              <w:t>(11.10)</w:t>
            </w:r>
          </w:p>
        </w:tc>
        <w:tc>
          <w:tcPr>
            <w:tcW w:w="497" w:type="pct"/>
          </w:tcPr>
          <w:p w14:paraId="4550FFBD" w14:textId="77777777" w:rsidR="00415AC5" w:rsidRPr="00755391" w:rsidRDefault="00415AC5" w:rsidP="009C09B5">
            <w:pPr>
              <w:pStyle w:val="TableText0"/>
            </w:pPr>
            <w:r w:rsidRPr="00755391">
              <w:t>2</w:t>
            </w:r>
          </w:p>
        </w:tc>
        <w:tc>
          <w:tcPr>
            <w:tcW w:w="498" w:type="pct"/>
          </w:tcPr>
          <w:p w14:paraId="4F6FDDF6" w14:textId="77777777" w:rsidR="00415AC5" w:rsidRPr="00755391" w:rsidRDefault="00415AC5" w:rsidP="009C09B5">
            <w:pPr>
              <w:pStyle w:val="TableText0"/>
            </w:pPr>
            <w:r w:rsidRPr="00755391">
              <w:t>(22.20)</w:t>
            </w:r>
          </w:p>
        </w:tc>
        <w:tc>
          <w:tcPr>
            <w:tcW w:w="497" w:type="pct"/>
          </w:tcPr>
          <w:p w14:paraId="11A2FA37" w14:textId="77777777" w:rsidR="00415AC5" w:rsidRPr="00755391" w:rsidRDefault="00415AC5" w:rsidP="009C09B5">
            <w:pPr>
              <w:pStyle w:val="TableText0"/>
            </w:pPr>
            <w:r w:rsidRPr="00755391">
              <w:t>1</w:t>
            </w:r>
          </w:p>
        </w:tc>
        <w:tc>
          <w:tcPr>
            <w:tcW w:w="498" w:type="pct"/>
          </w:tcPr>
          <w:p w14:paraId="3465CD46" w14:textId="77777777" w:rsidR="00415AC5" w:rsidRPr="00755391" w:rsidRDefault="00415AC5" w:rsidP="009C09B5">
            <w:pPr>
              <w:pStyle w:val="TableText0"/>
            </w:pPr>
            <w:r w:rsidRPr="00755391">
              <w:t>(14.30)</w:t>
            </w:r>
          </w:p>
        </w:tc>
        <w:tc>
          <w:tcPr>
            <w:tcW w:w="497" w:type="pct"/>
          </w:tcPr>
          <w:p w14:paraId="4080C03C" w14:textId="77777777" w:rsidR="00415AC5" w:rsidRPr="00755391" w:rsidRDefault="00415AC5" w:rsidP="009C09B5">
            <w:pPr>
              <w:pStyle w:val="TableText0"/>
            </w:pPr>
            <w:r w:rsidRPr="00755391">
              <w:t>7</w:t>
            </w:r>
          </w:p>
        </w:tc>
        <w:tc>
          <w:tcPr>
            <w:tcW w:w="498" w:type="pct"/>
          </w:tcPr>
          <w:p w14:paraId="265B946A" w14:textId="77777777" w:rsidR="00415AC5" w:rsidRPr="00755391" w:rsidRDefault="00415AC5" w:rsidP="009C09B5">
            <w:pPr>
              <w:pStyle w:val="TableText0"/>
            </w:pPr>
            <w:r w:rsidRPr="00755391">
              <w:t>(13.5)</w:t>
            </w:r>
          </w:p>
        </w:tc>
      </w:tr>
      <w:tr w:rsidR="00415AC5" w:rsidRPr="00755391" w14:paraId="72DEED01" w14:textId="77777777" w:rsidTr="002021A9">
        <w:trPr>
          <w:trHeight w:val="20"/>
        </w:trPr>
        <w:tc>
          <w:tcPr>
            <w:tcW w:w="1020" w:type="pct"/>
          </w:tcPr>
          <w:p w14:paraId="5E7B298E" w14:textId="77777777" w:rsidR="00415AC5" w:rsidRPr="00755391" w:rsidRDefault="00415AC5" w:rsidP="0009520E">
            <w:pPr>
              <w:pStyle w:val="TableText0"/>
            </w:pPr>
            <w:r w:rsidRPr="00755391">
              <w:t>Overall</w:t>
            </w:r>
          </w:p>
        </w:tc>
        <w:tc>
          <w:tcPr>
            <w:tcW w:w="497" w:type="pct"/>
          </w:tcPr>
          <w:p w14:paraId="35F61111" w14:textId="77777777" w:rsidR="00415AC5" w:rsidRPr="00755391" w:rsidRDefault="00415AC5" w:rsidP="009C09B5">
            <w:pPr>
              <w:pStyle w:val="TableText0"/>
            </w:pPr>
            <w:r w:rsidRPr="00755391">
              <w:t>36</w:t>
            </w:r>
          </w:p>
        </w:tc>
        <w:tc>
          <w:tcPr>
            <w:tcW w:w="498" w:type="pct"/>
          </w:tcPr>
          <w:p w14:paraId="3BF982E8" w14:textId="77777777" w:rsidR="00415AC5" w:rsidRPr="00755391" w:rsidRDefault="00415AC5" w:rsidP="009C09B5">
            <w:pPr>
              <w:pStyle w:val="TableText0"/>
            </w:pPr>
            <w:r w:rsidRPr="00755391">
              <w:t>(100.0)</w:t>
            </w:r>
          </w:p>
        </w:tc>
        <w:tc>
          <w:tcPr>
            <w:tcW w:w="497" w:type="pct"/>
          </w:tcPr>
          <w:p w14:paraId="6E1FCDED" w14:textId="77777777" w:rsidR="00415AC5" w:rsidRPr="00755391" w:rsidRDefault="00415AC5" w:rsidP="009C09B5">
            <w:pPr>
              <w:pStyle w:val="TableText0"/>
            </w:pPr>
            <w:r w:rsidRPr="00755391">
              <w:t>9</w:t>
            </w:r>
          </w:p>
        </w:tc>
        <w:tc>
          <w:tcPr>
            <w:tcW w:w="498" w:type="pct"/>
          </w:tcPr>
          <w:p w14:paraId="552C0085" w14:textId="77777777" w:rsidR="00415AC5" w:rsidRPr="00755391" w:rsidRDefault="00415AC5" w:rsidP="009C09B5">
            <w:pPr>
              <w:pStyle w:val="TableText0"/>
            </w:pPr>
            <w:r w:rsidRPr="00755391">
              <w:t>(100.0)</w:t>
            </w:r>
          </w:p>
        </w:tc>
        <w:tc>
          <w:tcPr>
            <w:tcW w:w="497" w:type="pct"/>
          </w:tcPr>
          <w:p w14:paraId="141CDF3D" w14:textId="77777777" w:rsidR="00415AC5" w:rsidRPr="00755391" w:rsidRDefault="00415AC5" w:rsidP="009C09B5">
            <w:pPr>
              <w:pStyle w:val="TableText0"/>
            </w:pPr>
            <w:r w:rsidRPr="00755391">
              <w:t>7</w:t>
            </w:r>
          </w:p>
        </w:tc>
        <w:tc>
          <w:tcPr>
            <w:tcW w:w="498" w:type="pct"/>
          </w:tcPr>
          <w:p w14:paraId="32ACD05F" w14:textId="77777777" w:rsidR="00415AC5" w:rsidRPr="00755391" w:rsidRDefault="00415AC5" w:rsidP="009C09B5">
            <w:pPr>
              <w:pStyle w:val="TableText0"/>
            </w:pPr>
            <w:r w:rsidRPr="00755391">
              <w:t>(100.0)</w:t>
            </w:r>
          </w:p>
        </w:tc>
        <w:tc>
          <w:tcPr>
            <w:tcW w:w="497" w:type="pct"/>
          </w:tcPr>
          <w:p w14:paraId="2AC2A29B" w14:textId="77777777" w:rsidR="00415AC5" w:rsidRPr="00755391" w:rsidRDefault="00415AC5" w:rsidP="009C09B5">
            <w:pPr>
              <w:pStyle w:val="TableText0"/>
            </w:pPr>
            <w:r w:rsidRPr="00755391">
              <w:t>52</w:t>
            </w:r>
          </w:p>
        </w:tc>
        <w:tc>
          <w:tcPr>
            <w:tcW w:w="498" w:type="pct"/>
          </w:tcPr>
          <w:p w14:paraId="07E4E2D6" w14:textId="77777777" w:rsidR="00415AC5" w:rsidRPr="00755391" w:rsidRDefault="00415AC5" w:rsidP="009C09B5">
            <w:pPr>
              <w:pStyle w:val="TableText0"/>
            </w:pPr>
            <w:r w:rsidRPr="00755391">
              <w:t>(100.0)</w:t>
            </w:r>
          </w:p>
        </w:tc>
      </w:tr>
      <w:tr w:rsidR="00415AC5" w:rsidRPr="00755391" w14:paraId="770243DF" w14:textId="77777777" w:rsidTr="002021A9">
        <w:trPr>
          <w:trHeight w:val="20"/>
        </w:trPr>
        <w:tc>
          <w:tcPr>
            <w:tcW w:w="5000" w:type="pct"/>
            <w:gridSpan w:val="9"/>
          </w:tcPr>
          <w:p w14:paraId="6D372138" w14:textId="77777777" w:rsidR="00415AC5" w:rsidRPr="00D2098F" w:rsidRDefault="00415AC5" w:rsidP="009D09F4">
            <w:pPr>
              <w:pStyle w:val="In-tableHeading"/>
              <w:rPr>
                <w:bCs/>
                <w:lang w:val="en-AU"/>
              </w:rPr>
            </w:pPr>
            <w:r w:rsidRPr="00D2098F">
              <w:rPr>
                <w:lang w:val="en-AU"/>
              </w:rPr>
              <w:t>Agalsidase beta (N = 25)</w:t>
            </w:r>
          </w:p>
        </w:tc>
      </w:tr>
      <w:tr w:rsidR="00415AC5" w:rsidRPr="00755391" w14:paraId="7D49B568" w14:textId="77777777" w:rsidTr="002021A9">
        <w:trPr>
          <w:trHeight w:val="20"/>
        </w:trPr>
        <w:tc>
          <w:tcPr>
            <w:tcW w:w="1020" w:type="pct"/>
          </w:tcPr>
          <w:p w14:paraId="2CF2BCD2" w14:textId="77777777" w:rsidR="00415AC5" w:rsidRPr="00755391" w:rsidRDefault="00415AC5" w:rsidP="0009520E">
            <w:pPr>
              <w:pStyle w:val="TableText0"/>
            </w:pPr>
            <w:r w:rsidRPr="00755391">
              <w:t>UPCR ≤ 0.5 gr/gr</w:t>
            </w:r>
          </w:p>
        </w:tc>
        <w:tc>
          <w:tcPr>
            <w:tcW w:w="497" w:type="pct"/>
          </w:tcPr>
          <w:p w14:paraId="77429309" w14:textId="77777777" w:rsidR="00415AC5" w:rsidRPr="00755391" w:rsidRDefault="00415AC5" w:rsidP="009C09B5">
            <w:pPr>
              <w:pStyle w:val="TableText0"/>
            </w:pPr>
            <w:r w:rsidRPr="00755391">
              <w:t>18</w:t>
            </w:r>
          </w:p>
        </w:tc>
        <w:tc>
          <w:tcPr>
            <w:tcW w:w="498" w:type="pct"/>
          </w:tcPr>
          <w:p w14:paraId="500FBCCD" w14:textId="77777777" w:rsidR="00415AC5" w:rsidRPr="00755391" w:rsidRDefault="00415AC5" w:rsidP="009C09B5">
            <w:pPr>
              <w:pStyle w:val="TableText0"/>
            </w:pPr>
            <w:r w:rsidRPr="00755391">
              <w:t>(90.0)</w:t>
            </w:r>
          </w:p>
        </w:tc>
        <w:tc>
          <w:tcPr>
            <w:tcW w:w="497" w:type="pct"/>
          </w:tcPr>
          <w:p w14:paraId="06CADA1F" w14:textId="77777777" w:rsidR="00415AC5" w:rsidRPr="00755391" w:rsidRDefault="00415AC5" w:rsidP="009C09B5">
            <w:pPr>
              <w:pStyle w:val="TableText0"/>
            </w:pPr>
            <w:r w:rsidRPr="00755391">
              <w:t>0</w:t>
            </w:r>
          </w:p>
        </w:tc>
        <w:tc>
          <w:tcPr>
            <w:tcW w:w="498" w:type="pct"/>
          </w:tcPr>
          <w:p w14:paraId="2F1E7BFA" w14:textId="77777777" w:rsidR="00415AC5" w:rsidRPr="00755391" w:rsidRDefault="00415AC5" w:rsidP="009C09B5">
            <w:pPr>
              <w:pStyle w:val="TableText0"/>
            </w:pPr>
            <w:r>
              <w:t>-</w:t>
            </w:r>
          </w:p>
        </w:tc>
        <w:tc>
          <w:tcPr>
            <w:tcW w:w="497" w:type="pct"/>
          </w:tcPr>
          <w:p w14:paraId="3F86FFCF" w14:textId="77777777" w:rsidR="00415AC5" w:rsidRPr="00755391" w:rsidRDefault="00415AC5" w:rsidP="009C09B5">
            <w:pPr>
              <w:pStyle w:val="TableText0"/>
            </w:pPr>
            <w:r w:rsidRPr="00755391">
              <w:t>0</w:t>
            </w:r>
          </w:p>
        </w:tc>
        <w:tc>
          <w:tcPr>
            <w:tcW w:w="498" w:type="pct"/>
          </w:tcPr>
          <w:p w14:paraId="391087CF" w14:textId="77777777" w:rsidR="00415AC5" w:rsidRPr="00755391" w:rsidRDefault="00415AC5" w:rsidP="009C09B5">
            <w:pPr>
              <w:pStyle w:val="TableText0"/>
            </w:pPr>
            <w:r>
              <w:t>-</w:t>
            </w:r>
          </w:p>
        </w:tc>
        <w:tc>
          <w:tcPr>
            <w:tcW w:w="497" w:type="pct"/>
          </w:tcPr>
          <w:p w14:paraId="4A36E159" w14:textId="77777777" w:rsidR="00415AC5" w:rsidRPr="00755391" w:rsidRDefault="00415AC5" w:rsidP="009C09B5">
            <w:pPr>
              <w:pStyle w:val="TableText0"/>
            </w:pPr>
            <w:r w:rsidRPr="00755391">
              <w:t>18</w:t>
            </w:r>
          </w:p>
        </w:tc>
        <w:tc>
          <w:tcPr>
            <w:tcW w:w="498" w:type="pct"/>
          </w:tcPr>
          <w:p w14:paraId="366FE24F" w14:textId="77777777" w:rsidR="00415AC5" w:rsidRPr="00755391" w:rsidRDefault="00415AC5" w:rsidP="009C09B5">
            <w:pPr>
              <w:pStyle w:val="TableText0"/>
            </w:pPr>
            <w:r w:rsidRPr="00755391">
              <w:t>(72.0)</w:t>
            </w:r>
          </w:p>
        </w:tc>
      </w:tr>
      <w:tr w:rsidR="00415AC5" w:rsidRPr="00755391" w14:paraId="761B09CC" w14:textId="77777777" w:rsidTr="002021A9">
        <w:trPr>
          <w:trHeight w:val="20"/>
        </w:trPr>
        <w:tc>
          <w:tcPr>
            <w:tcW w:w="1020" w:type="pct"/>
          </w:tcPr>
          <w:p w14:paraId="0FC14647" w14:textId="77777777" w:rsidR="00415AC5" w:rsidRPr="00755391" w:rsidRDefault="00415AC5" w:rsidP="0009520E">
            <w:pPr>
              <w:pStyle w:val="TableText0"/>
            </w:pPr>
            <w:r w:rsidRPr="00755391">
              <w:t>0.5 &lt; UPCR &lt; 1 gr/gr</w:t>
            </w:r>
          </w:p>
        </w:tc>
        <w:tc>
          <w:tcPr>
            <w:tcW w:w="497" w:type="pct"/>
          </w:tcPr>
          <w:p w14:paraId="04B1D010" w14:textId="77777777" w:rsidR="00415AC5" w:rsidRPr="00755391" w:rsidRDefault="00415AC5" w:rsidP="009C09B5">
            <w:pPr>
              <w:pStyle w:val="TableText0"/>
            </w:pPr>
            <w:r w:rsidRPr="00755391">
              <w:t>1</w:t>
            </w:r>
          </w:p>
        </w:tc>
        <w:tc>
          <w:tcPr>
            <w:tcW w:w="498" w:type="pct"/>
          </w:tcPr>
          <w:p w14:paraId="3487A71E" w14:textId="77777777" w:rsidR="00415AC5" w:rsidRPr="00755391" w:rsidRDefault="00415AC5" w:rsidP="009C09B5">
            <w:pPr>
              <w:pStyle w:val="TableText0"/>
            </w:pPr>
            <w:r w:rsidRPr="00755391">
              <w:t>(5.0)</w:t>
            </w:r>
          </w:p>
        </w:tc>
        <w:tc>
          <w:tcPr>
            <w:tcW w:w="497" w:type="pct"/>
          </w:tcPr>
          <w:p w14:paraId="5322F14E" w14:textId="77777777" w:rsidR="00415AC5" w:rsidRPr="00755391" w:rsidRDefault="00415AC5" w:rsidP="009C09B5">
            <w:pPr>
              <w:pStyle w:val="TableText0"/>
            </w:pPr>
            <w:r w:rsidRPr="00755391">
              <w:t>1</w:t>
            </w:r>
          </w:p>
        </w:tc>
        <w:tc>
          <w:tcPr>
            <w:tcW w:w="498" w:type="pct"/>
          </w:tcPr>
          <w:p w14:paraId="7E901B25" w14:textId="77777777" w:rsidR="00415AC5" w:rsidRPr="00755391" w:rsidRDefault="00415AC5" w:rsidP="009C09B5">
            <w:pPr>
              <w:pStyle w:val="TableText0"/>
            </w:pPr>
            <w:r w:rsidRPr="00755391">
              <w:t>(50.00)</w:t>
            </w:r>
          </w:p>
        </w:tc>
        <w:tc>
          <w:tcPr>
            <w:tcW w:w="497" w:type="pct"/>
          </w:tcPr>
          <w:p w14:paraId="796E4429" w14:textId="77777777" w:rsidR="00415AC5" w:rsidRPr="00755391" w:rsidRDefault="00415AC5" w:rsidP="009C09B5">
            <w:pPr>
              <w:pStyle w:val="TableText0"/>
            </w:pPr>
            <w:r w:rsidRPr="00755391">
              <w:t>0</w:t>
            </w:r>
          </w:p>
        </w:tc>
        <w:tc>
          <w:tcPr>
            <w:tcW w:w="498" w:type="pct"/>
          </w:tcPr>
          <w:p w14:paraId="1639E47D" w14:textId="77777777" w:rsidR="00415AC5" w:rsidRPr="00755391" w:rsidRDefault="00415AC5" w:rsidP="009C09B5">
            <w:pPr>
              <w:pStyle w:val="TableText0"/>
            </w:pPr>
            <w:r>
              <w:t>-</w:t>
            </w:r>
          </w:p>
        </w:tc>
        <w:tc>
          <w:tcPr>
            <w:tcW w:w="497" w:type="pct"/>
          </w:tcPr>
          <w:p w14:paraId="45FF522C" w14:textId="77777777" w:rsidR="00415AC5" w:rsidRPr="00755391" w:rsidRDefault="00415AC5" w:rsidP="009C09B5">
            <w:pPr>
              <w:pStyle w:val="TableText0"/>
            </w:pPr>
            <w:r w:rsidRPr="00755391">
              <w:t>2</w:t>
            </w:r>
          </w:p>
        </w:tc>
        <w:tc>
          <w:tcPr>
            <w:tcW w:w="498" w:type="pct"/>
          </w:tcPr>
          <w:p w14:paraId="6F0035C0" w14:textId="77777777" w:rsidR="00415AC5" w:rsidRPr="00755391" w:rsidRDefault="00415AC5" w:rsidP="009C09B5">
            <w:pPr>
              <w:pStyle w:val="TableText0"/>
            </w:pPr>
            <w:r w:rsidRPr="00755391">
              <w:t>(8.0)</w:t>
            </w:r>
          </w:p>
        </w:tc>
      </w:tr>
      <w:tr w:rsidR="00415AC5" w:rsidRPr="00755391" w14:paraId="100AA96D" w14:textId="77777777" w:rsidTr="002021A9">
        <w:trPr>
          <w:trHeight w:val="20"/>
        </w:trPr>
        <w:tc>
          <w:tcPr>
            <w:tcW w:w="1020" w:type="pct"/>
          </w:tcPr>
          <w:p w14:paraId="0653CB7A" w14:textId="77777777" w:rsidR="00415AC5" w:rsidRPr="00755391" w:rsidRDefault="00415AC5" w:rsidP="0009520E">
            <w:pPr>
              <w:pStyle w:val="TableText0"/>
            </w:pPr>
            <w:r w:rsidRPr="00755391">
              <w:t>UPCR ≥ 1 gr/gr</w:t>
            </w:r>
          </w:p>
        </w:tc>
        <w:tc>
          <w:tcPr>
            <w:tcW w:w="497" w:type="pct"/>
          </w:tcPr>
          <w:p w14:paraId="57B1BE3E" w14:textId="77777777" w:rsidR="00415AC5" w:rsidRPr="00755391" w:rsidRDefault="00415AC5" w:rsidP="009C09B5">
            <w:pPr>
              <w:pStyle w:val="TableText0"/>
            </w:pPr>
            <w:r w:rsidRPr="00755391">
              <w:t>0</w:t>
            </w:r>
          </w:p>
        </w:tc>
        <w:tc>
          <w:tcPr>
            <w:tcW w:w="498" w:type="pct"/>
          </w:tcPr>
          <w:p w14:paraId="58DC2FD5" w14:textId="77777777" w:rsidR="00415AC5" w:rsidRPr="00755391" w:rsidRDefault="00415AC5" w:rsidP="009C09B5">
            <w:pPr>
              <w:pStyle w:val="TableText0"/>
            </w:pPr>
            <w:r>
              <w:t>-</w:t>
            </w:r>
          </w:p>
        </w:tc>
        <w:tc>
          <w:tcPr>
            <w:tcW w:w="497" w:type="pct"/>
          </w:tcPr>
          <w:p w14:paraId="1223DA05" w14:textId="77777777" w:rsidR="00415AC5" w:rsidRPr="00755391" w:rsidRDefault="00415AC5" w:rsidP="009C09B5">
            <w:pPr>
              <w:pStyle w:val="TableText0"/>
            </w:pPr>
            <w:r w:rsidRPr="00755391">
              <w:t>1</w:t>
            </w:r>
          </w:p>
        </w:tc>
        <w:tc>
          <w:tcPr>
            <w:tcW w:w="498" w:type="pct"/>
          </w:tcPr>
          <w:p w14:paraId="046FAAEA" w14:textId="77777777" w:rsidR="00415AC5" w:rsidRPr="00755391" w:rsidRDefault="00415AC5" w:rsidP="009C09B5">
            <w:pPr>
              <w:pStyle w:val="TableText0"/>
            </w:pPr>
            <w:r w:rsidRPr="00755391">
              <w:t>(50.00)</w:t>
            </w:r>
          </w:p>
        </w:tc>
        <w:tc>
          <w:tcPr>
            <w:tcW w:w="497" w:type="pct"/>
          </w:tcPr>
          <w:p w14:paraId="4AFC9638" w14:textId="77777777" w:rsidR="00415AC5" w:rsidRPr="00755391" w:rsidRDefault="00415AC5" w:rsidP="009C09B5">
            <w:pPr>
              <w:pStyle w:val="TableText0"/>
            </w:pPr>
            <w:r w:rsidRPr="00755391">
              <w:t>3</w:t>
            </w:r>
          </w:p>
        </w:tc>
        <w:tc>
          <w:tcPr>
            <w:tcW w:w="498" w:type="pct"/>
          </w:tcPr>
          <w:p w14:paraId="571BB98F" w14:textId="77777777" w:rsidR="00415AC5" w:rsidRPr="00755391" w:rsidRDefault="00415AC5" w:rsidP="009C09B5">
            <w:pPr>
              <w:pStyle w:val="TableText0"/>
            </w:pPr>
            <w:r w:rsidRPr="00755391">
              <w:t>(100.0)</w:t>
            </w:r>
          </w:p>
        </w:tc>
        <w:tc>
          <w:tcPr>
            <w:tcW w:w="497" w:type="pct"/>
          </w:tcPr>
          <w:p w14:paraId="5DAA8D45" w14:textId="77777777" w:rsidR="00415AC5" w:rsidRPr="00755391" w:rsidRDefault="00415AC5" w:rsidP="009C09B5">
            <w:pPr>
              <w:pStyle w:val="TableText0"/>
            </w:pPr>
            <w:r w:rsidRPr="00755391">
              <w:t>4</w:t>
            </w:r>
          </w:p>
        </w:tc>
        <w:tc>
          <w:tcPr>
            <w:tcW w:w="498" w:type="pct"/>
          </w:tcPr>
          <w:p w14:paraId="72FA869A" w14:textId="77777777" w:rsidR="00415AC5" w:rsidRPr="00755391" w:rsidRDefault="00415AC5" w:rsidP="009C09B5">
            <w:pPr>
              <w:pStyle w:val="TableText0"/>
            </w:pPr>
            <w:r w:rsidRPr="00755391">
              <w:t>(16.0)</w:t>
            </w:r>
          </w:p>
        </w:tc>
      </w:tr>
      <w:tr w:rsidR="00415AC5" w:rsidRPr="00755391" w14:paraId="3D7F3672" w14:textId="77777777" w:rsidTr="002021A9">
        <w:trPr>
          <w:trHeight w:val="20"/>
        </w:trPr>
        <w:tc>
          <w:tcPr>
            <w:tcW w:w="1020" w:type="pct"/>
          </w:tcPr>
          <w:p w14:paraId="0412683C" w14:textId="77777777" w:rsidR="00415AC5" w:rsidRPr="00755391" w:rsidRDefault="00415AC5" w:rsidP="0009520E">
            <w:pPr>
              <w:pStyle w:val="TableText0"/>
            </w:pPr>
            <w:r w:rsidRPr="00755391">
              <w:t>Missing</w:t>
            </w:r>
          </w:p>
        </w:tc>
        <w:tc>
          <w:tcPr>
            <w:tcW w:w="497" w:type="pct"/>
          </w:tcPr>
          <w:p w14:paraId="51356AA9" w14:textId="77777777" w:rsidR="00415AC5" w:rsidRPr="00755391" w:rsidRDefault="00415AC5" w:rsidP="009C09B5">
            <w:pPr>
              <w:pStyle w:val="TableText0"/>
            </w:pPr>
            <w:r w:rsidRPr="00755391">
              <w:t>1</w:t>
            </w:r>
          </w:p>
        </w:tc>
        <w:tc>
          <w:tcPr>
            <w:tcW w:w="498" w:type="pct"/>
          </w:tcPr>
          <w:p w14:paraId="0949BD53" w14:textId="77777777" w:rsidR="00415AC5" w:rsidRPr="00755391" w:rsidRDefault="00415AC5" w:rsidP="009C09B5">
            <w:pPr>
              <w:pStyle w:val="TableText0"/>
            </w:pPr>
            <w:r w:rsidRPr="00755391">
              <w:t>(5.0)</w:t>
            </w:r>
          </w:p>
        </w:tc>
        <w:tc>
          <w:tcPr>
            <w:tcW w:w="497" w:type="pct"/>
          </w:tcPr>
          <w:p w14:paraId="6CF0CA27" w14:textId="77777777" w:rsidR="00415AC5" w:rsidRPr="00755391" w:rsidRDefault="00415AC5" w:rsidP="009C09B5">
            <w:pPr>
              <w:pStyle w:val="TableText0"/>
            </w:pPr>
            <w:r w:rsidRPr="00755391">
              <w:t>0</w:t>
            </w:r>
          </w:p>
        </w:tc>
        <w:tc>
          <w:tcPr>
            <w:tcW w:w="498" w:type="pct"/>
          </w:tcPr>
          <w:p w14:paraId="6C88326D" w14:textId="77777777" w:rsidR="00415AC5" w:rsidRPr="00755391" w:rsidRDefault="00415AC5" w:rsidP="009C09B5">
            <w:pPr>
              <w:pStyle w:val="TableText0"/>
            </w:pPr>
            <w:r>
              <w:t>-</w:t>
            </w:r>
          </w:p>
        </w:tc>
        <w:tc>
          <w:tcPr>
            <w:tcW w:w="497" w:type="pct"/>
          </w:tcPr>
          <w:p w14:paraId="40036DF8" w14:textId="77777777" w:rsidR="00415AC5" w:rsidRPr="00755391" w:rsidRDefault="00415AC5" w:rsidP="009C09B5">
            <w:pPr>
              <w:pStyle w:val="TableText0"/>
            </w:pPr>
            <w:r w:rsidRPr="00755391">
              <w:t>0</w:t>
            </w:r>
          </w:p>
        </w:tc>
        <w:tc>
          <w:tcPr>
            <w:tcW w:w="498" w:type="pct"/>
          </w:tcPr>
          <w:p w14:paraId="5E9E8BFF" w14:textId="77777777" w:rsidR="00415AC5" w:rsidRPr="00755391" w:rsidRDefault="00415AC5" w:rsidP="009C09B5">
            <w:pPr>
              <w:pStyle w:val="TableText0"/>
            </w:pPr>
            <w:r>
              <w:t>-</w:t>
            </w:r>
          </w:p>
        </w:tc>
        <w:tc>
          <w:tcPr>
            <w:tcW w:w="497" w:type="pct"/>
          </w:tcPr>
          <w:p w14:paraId="036DABBA" w14:textId="77777777" w:rsidR="00415AC5" w:rsidRPr="00755391" w:rsidRDefault="00415AC5" w:rsidP="009C09B5">
            <w:pPr>
              <w:pStyle w:val="TableText0"/>
            </w:pPr>
            <w:r w:rsidRPr="00755391">
              <w:t>1</w:t>
            </w:r>
          </w:p>
        </w:tc>
        <w:tc>
          <w:tcPr>
            <w:tcW w:w="498" w:type="pct"/>
          </w:tcPr>
          <w:p w14:paraId="2161BC3D" w14:textId="77777777" w:rsidR="00415AC5" w:rsidRPr="00755391" w:rsidRDefault="00415AC5" w:rsidP="009C09B5">
            <w:pPr>
              <w:pStyle w:val="TableText0"/>
            </w:pPr>
            <w:r w:rsidRPr="00755391">
              <w:t>(4.0)</w:t>
            </w:r>
          </w:p>
        </w:tc>
      </w:tr>
      <w:tr w:rsidR="00415AC5" w:rsidRPr="00755391" w14:paraId="61BCE63B" w14:textId="77777777" w:rsidTr="002021A9">
        <w:trPr>
          <w:trHeight w:val="20"/>
        </w:trPr>
        <w:tc>
          <w:tcPr>
            <w:tcW w:w="1020" w:type="pct"/>
          </w:tcPr>
          <w:p w14:paraId="5458756D" w14:textId="77777777" w:rsidR="00415AC5" w:rsidRPr="00755391" w:rsidRDefault="00415AC5" w:rsidP="0009520E">
            <w:pPr>
              <w:pStyle w:val="TableText0"/>
            </w:pPr>
            <w:r w:rsidRPr="00755391">
              <w:t>Overall</w:t>
            </w:r>
          </w:p>
        </w:tc>
        <w:tc>
          <w:tcPr>
            <w:tcW w:w="497" w:type="pct"/>
          </w:tcPr>
          <w:p w14:paraId="609DB169" w14:textId="77777777" w:rsidR="00415AC5" w:rsidRPr="00755391" w:rsidRDefault="00415AC5" w:rsidP="009C09B5">
            <w:pPr>
              <w:pStyle w:val="TableText0"/>
            </w:pPr>
            <w:r w:rsidRPr="00755391">
              <w:t>20</w:t>
            </w:r>
          </w:p>
        </w:tc>
        <w:tc>
          <w:tcPr>
            <w:tcW w:w="498" w:type="pct"/>
          </w:tcPr>
          <w:p w14:paraId="1CABE8AE" w14:textId="77777777" w:rsidR="00415AC5" w:rsidRPr="00755391" w:rsidRDefault="00415AC5" w:rsidP="009C09B5">
            <w:pPr>
              <w:pStyle w:val="TableText0"/>
            </w:pPr>
            <w:r w:rsidRPr="00755391">
              <w:t>(100.0)</w:t>
            </w:r>
          </w:p>
        </w:tc>
        <w:tc>
          <w:tcPr>
            <w:tcW w:w="497" w:type="pct"/>
          </w:tcPr>
          <w:p w14:paraId="0A0A2565" w14:textId="77777777" w:rsidR="00415AC5" w:rsidRPr="00755391" w:rsidRDefault="00415AC5" w:rsidP="009C09B5">
            <w:pPr>
              <w:pStyle w:val="TableText0"/>
            </w:pPr>
            <w:r w:rsidRPr="00755391">
              <w:t>2</w:t>
            </w:r>
          </w:p>
        </w:tc>
        <w:tc>
          <w:tcPr>
            <w:tcW w:w="498" w:type="pct"/>
          </w:tcPr>
          <w:p w14:paraId="4249406C" w14:textId="77777777" w:rsidR="00415AC5" w:rsidRPr="00755391" w:rsidRDefault="00415AC5" w:rsidP="009C09B5">
            <w:pPr>
              <w:pStyle w:val="TableText0"/>
            </w:pPr>
            <w:r w:rsidRPr="00755391">
              <w:t>(100.0)</w:t>
            </w:r>
          </w:p>
        </w:tc>
        <w:tc>
          <w:tcPr>
            <w:tcW w:w="497" w:type="pct"/>
          </w:tcPr>
          <w:p w14:paraId="0F3959F0" w14:textId="77777777" w:rsidR="00415AC5" w:rsidRPr="00755391" w:rsidRDefault="00415AC5" w:rsidP="009C09B5">
            <w:pPr>
              <w:pStyle w:val="TableText0"/>
            </w:pPr>
            <w:r w:rsidRPr="00755391">
              <w:t>3</w:t>
            </w:r>
          </w:p>
        </w:tc>
        <w:tc>
          <w:tcPr>
            <w:tcW w:w="498" w:type="pct"/>
          </w:tcPr>
          <w:p w14:paraId="263BF27A" w14:textId="77777777" w:rsidR="00415AC5" w:rsidRPr="00755391" w:rsidRDefault="00415AC5" w:rsidP="009C09B5">
            <w:pPr>
              <w:pStyle w:val="TableText0"/>
            </w:pPr>
            <w:r w:rsidRPr="00755391">
              <w:t>(100.0)</w:t>
            </w:r>
          </w:p>
        </w:tc>
        <w:tc>
          <w:tcPr>
            <w:tcW w:w="497" w:type="pct"/>
          </w:tcPr>
          <w:p w14:paraId="64D20530" w14:textId="77777777" w:rsidR="00415AC5" w:rsidRPr="00755391" w:rsidRDefault="00415AC5" w:rsidP="009C09B5">
            <w:pPr>
              <w:pStyle w:val="TableText0"/>
            </w:pPr>
            <w:r w:rsidRPr="00755391">
              <w:t>25</w:t>
            </w:r>
          </w:p>
        </w:tc>
        <w:tc>
          <w:tcPr>
            <w:tcW w:w="498" w:type="pct"/>
          </w:tcPr>
          <w:p w14:paraId="681DFE97" w14:textId="77777777" w:rsidR="00415AC5" w:rsidRPr="00755391" w:rsidRDefault="00415AC5" w:rsidP="009C09B5">
            <w:pPr>
              <w:pStyle w:val="TableText0"/>
            </w:pPr>
            <w:r w:rsidRPr="00755391">
              <w:t>(100.0)</w:t>
            </w:r>
          </w:p>
        </w:tc>
      </w:tr>
    </w:tbl>
    <w:p w14:paraId="26D95D8C" w14:textId="2E833C81" w:rsidR="00415AC5" w:rsidRDefault="00415AC5" w:rsidP="005A2403">
      <w:pPr>
        <w:pStyle w:val="TableFigureFooter"/>
      </w:pPr>
      <w:r w:rsidRPr="006A7305">
        <w:t xml:space="preserve">Source: </w:t>
      </w:r>
      <w:r>
        <w:t>Table 2.5-3, p67 of the submission</w:t>
      </w:r>
      <w:r w:rsidR="00EF053B">
        <w:t>.</w:t>
      </w:r>
      <w:r>
        <w:t xml:space="preserve"> </w:t>
      </w:r>
    </w:p>
    <w:p w14:paraId="7BE67DDA" w14:textId="32C8B5C1" w:rsidR="00415AC5" w:rsidRDefault="00415AC5" w:rsidP="005A2403">
      <w:pPr>
        <w:pStyle w:val="TableFigureFooter"/>
      </w:pPr>
      <w:r w:rsidRPr="006A7305">
        <w:t xml:space="preserve">Abbreviations: ITT, intention-to-treat; </w:t>
      </w:r>
      <w:r w:rsidR="0043333B">
        <w:t>gr, gram;</w:t>
      </w:r>
      <w:r w:rsidRPr="006A7305">
        <w:t xml:space="preserve"> UPCR, urinary protein to creatinine ratio.</w:t>
      </w:r>
    </w:p>
    <w:p w14:paraId="547704A9" w14:textId="6FF224DA" w:rsidR="00415AC5" w:rsidRDefault="00415AC5" w:rsidP="009D09F4">
      <w:pPr>
        <w:pStyle w:val="Caption"/>
      </w:pPr>
      <w:bookmarkStart w:id="35" w:name="_Ref195464348"/>
      <w:r>
        <w:t xml:space="preserve">Table </w:t>
      </w:r>
      <w:r w:rsidR="004E7462">
        <w:fldChar w:fldCharType="begin" w:fldLock="1"/>
      </w:r>
      <w:r w:rsidR="004E7462">
        <w:instrText xml:space="preserve"> SEQ Table \* ARABIC </w:instrText>
      </w:r>
      <w:r w:rsidR="004E7462">
        <w:fldChar w:fldCharType="separate"/>
      </w:r>
      <w:r w:rsidR="004E7462">
        <w:rPr>
          <w:noProof/>
        </w:rPr>
        <w:t>6</w:t>
      </w:r>
      <w:r w:rsidR="004E7462">
        <w:rPr>
          <w:noProof/>
        </w:rPr>
        <w:fldChar w:fldCharType="end"/>
      </w:r>
      <w:bookmarkEnd w:id="35"/>
      <w:r>
        <w:t xml:space="preserve">: </w:t>
      </w:r>
      <w:r w:rsidRPr="00A95E15">
        <w:t>Change from baseline in LVMI (g/m</w:t>
      </w:r>
      <w:r w:rsidRPr="0035544A">
        <w:rPr>
          <w:vertAlign w:val="superscript"/>
        </w:rPr>
        <w:t>2</w:t>
      </w:r>
      <w:r w:rsidRPr="00A95E15">
        <w:t>) by gender and hypertrophy status at Week 104 in BALANCE (ITT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Change from baseline in LVMI (g/m2) by gender and hypertrophy status at Week 104 in BALANCE (ITT set)"/>
      </w:tblPr>
      <w:tblGrid>
        <w:gridCol w:w="3115"/>
        <w:gridCol w:w="1418"/>
        <w:gridCol w:w="1558"/>
        <w:gridCol w:w="1417"/>
        <w:gridCol w:w="1509"/>
      </w:tblGrid>
      <w:tr w:rsidR="00EC6298" w:rsidRPr="00A455EC" w14:paraId="61DCA4AF" w14:textId="77777777" w:rsidTr="00E537DF">
        <w:trPr>
          <w:trHeight w:val="20"/>
        </w:trPr>
        <w:tc>
          <w:tcPr>
            <w:tcW w:w="1727" w:type="pct"/>
            <w:vMerge w:val="restart"/>
          </w:tcPr>
          <w:p w14:paraId="74FAB9F5" w14:textId="77777777" w:rsidR="00EC6298" w:rsidRPr="00A455EC" w:rsidRDefault="00EC6298" w:rsidP="0009520E">
            <w:pPr>
              <w:pStyle w:val="TableText0"/>
              <w:rPr>
                <w:lang w:eastAsia="en-IN"/>
              </w:rPr>
            </w:pPr>
          </w:p>
        </w:tc>
        <w:tc>
          <w:tcPr>
            <w:tcW w:w="1650" w:type="pct"/>
            <w:gridSpan w:val="2"/>
          </w:tcPr>
          <w:p w14:paraId="51BCE1CA" w14:textId="77777777" w:rsidR="00EC6298" w:rsidRPr="00E35D7E" w:rsidRDefault="00EC6298" w:rsidP="0053536B">
            <w:pPr>
              <w:pStyle w:val="TableText0"/>
              <w:jc w:val="center"/>
              <w:rPr>
                <w:b/>
                <w:bCs w:val="0"/>
                <w:lang w:eastAsia="en-IN"/>
              </w:rPr>
            </w:pPr>
            <w:r w:rsidRPr="00E35D7E">
              <w:rPr>
                <w:b/>
                <w:bCs w:val="0"/>
                <w:lang w:eastAsia="en-IN"/>
              </w:rPr>
              <w:t>Pegunigalsidase alfa</w:t>
            </w:r>
          </w:p>
        </w:tc>
        <w:tc>
          <w:tcPr>
            <w:tcW w:w="1622" w:type="pct"/>
            <w:gridSpan w:val="2"/>
          </w:tcPr>
          <w:p w14:paraId="562EF0E7" w14:textId="77777777" w:rsidR="00EC6298" w:rsidRPr="00E35D7E" w:rsidRDefault="00EC6298" w:rsidP="0053536B">
            <w:pPr>
              <w:pStyle w:val="TableText0"/>
              <w:jc w:val="center"/>
              <w:rPr>
                <w:b/>
                <w:bCs w:val="0"/>
                <w:lang w:eastAsia="en-IN"/>
              </w:rPr>
            </w:pPr>
            <w:r w:rsidRPr="00E35D7E">
              <w:rPr>
                <w:b/>
                <w:bCs w:val="0"/>
                <w:lang w:eastAsia="en-IN"/>
              </w:rPr>
              <w:t>Agalsidase beta</w:t>
            </w:r>
          </w:p>
        </w:tc>
      </w:tr>
      <w:tr w:rsidR="00EC6298" w:rsidRPr="00A455EC" w14:paraId="0C2A039A" w14:textId="77777777" w:rsidTr="00E537DF">
        <w:trPr>
          <w:trHeight w:val="20"/>
        </w:trPr>
        <w:tc>
          <w:tcPr>
            <w:tcW w:w="1727" w:type="pct"/>
            <w:vMerge/>
          </w:tcPr>
          <w:p w14:paraId="68A6B473" w14:textId="77777777" w:rsidR="00EC6298" w:rsidRPr="00A455EC" w:rsidRDefault="00EC6298" w:rsidP="0009520E">
            <w:pPr>
              <w:pStyle w:val="TableText0"/>
            </w:pPr>
          </w:p>
        </w:tc>
        <w:tc>
          <w:tcPr>
            <w:tcW w:w="786" w:type="pct"/>
          </w:tcPr>
          <w:p w14:paraId="5E6588AD" w14:textId="77777777" w:rsidR="00EC6298" w:rsidRPr="00E35D7E" w:rsidRDefault="00EC6298" w:rsidP="00D13893">
            <w:pPr>
              <w:pStyle w:val="TableText0"/>
              <w:rPr>
                <w:b/>
                <w:bCs w:val="0"/>
              </w:rPr>
            </w:pPr>
            <w:r w:rsidRPr="00E35D7E">
              <w:rPr>
                <w:b/>
                <w:bCs w:val="0"/>
              </w:rPr>
              <w:t>Male, N = 29</w:t>
            </w:r>
          </w:p>
        </w:tc>
        <w:tc>
          <w:tcPr>
            <w:tcW w:w="864" w:type="pct"/>
          </w:tcPr>
          <w:p w14:paraId="78393A13" w14:textId="77777777" w:rsidR="00EC6298" w:rsidRPr="00E35D7E" w:rsidRDefault="00EC6298" w:rsidP="00D13893">
            <w:pPr>
              <w:pStyle w:val="TableText0"/>
              <w:rPr>
                <w:b/>
                <w:bCs w:val="0"/>
              </w:rPr>
            </w:pPr>
            <w:r w:rsidRPr="00E35D7E">
              <w:rPr>
                <w:b/>
                <w:bCs w:val="0"/>
              </w:rPr>
              <w:t>Female, N = 23</w:t>
            </w:r>
          </w:p>
        </w:tc>
        <w:tc>
          <w:tcPr>
            <w:tcW w:w="786" w:type="pct"/>
          </w:tcPr>
          <w:p w14:paraId="4675D3F4" w14:textId="77777777" w:rsidR="00EC6298" w:rsidRPr="00E35D7E" w:rsidRDefault="00EC6298" w:rsidP="00D13893">
            <w:pPr>
              <w:pStyle w:val="TableText0"/>
              <w:rPr>
                <w:b/>
                <w:bCs w:val="0"/>
              </w:rPr>
            </w:pPr>
            <w:r w:rsidRPr="00E35D7E">
              <w:rPr>
                <w:b/>
                <w:bCs w:val="0"/>
              </w:rPr>
              <w:t>Male, N = 18</w:t>
            </w:r>
          </w:p>
        </w:tc>
        <w:tc>
          <w:tcPr>
            <w:tcW w:w="837" w:type="pct"/>
          </w:tcPr>
          <w:p w14:paraId="31510498" w14:textId="77777777" w:rsidR="00EC6298" w:rsidRPr="00E35D7E" w:rsidRDefault="00EC6298" w:rsidP="00D13893">
            <w:pPr>
              <w:pStyle w:val="TableText0"/>
              <w:rPr>
                <w:b/>
                <w:bCs w:val="0"/>
              </w:rPr>
            </w:pPr>
            <w:r w:rsidRPr="00E35D7E">
              <w:rPr>
                <w:b/>
                <w:bCs w:val="0"/>
              </w:rPr>
              <w:t>Female, N = 7</w:t>
            </w:r>
          </w:p>
        </w:tc>
      </w:tr>
      <w:tr w:rsidR="00415AC5" w:rsidRPr="00A455EC" w14:paraId="1785C821" w14:textId="77777777" w:rsidTr="002021A9">
        <w:trPr>
          <w:trHeight w:val="20"/>
        </w:trPr>
        <w:tc>
          <w:tcPr>
            <w:tcW w:w="5000" w:type="pct"/>
            <w:gridSpan w:val="5"/>
          </w:tcPr>
          <w:p w14:paraId="42D8F041" w14:textId="77777777" w:rsidR="00415AC5" w:rsidRPr="00E35D7E" w:rsidRDefault="00415AC5" w:rsidP="0009520E">
            <w:pPr>
              <w:pStyle w:val="TableText0"/>
              <w:rPr>
                <w:b/>
                <w:bCs w:val="0"/>
              </w:rPr>
            </w:pPr>
            <w:r w:rsidRPr="00E35D7E">
              <w:rPr>
                <w:b/>
                <w:bCs w:val="0"/>
              </w:rPr>
              <w:t>Change from baseline in LVMI for patients with hypertrophy at baseline</w:t>
            </w:r>
          </w:p>
        </w:tc>
      </w:tr>
      <w:tr w:rsidR="00415AC5" w:rsidRPr="00A455EC" w14:paraId="3D979F5C" w14:textId="77777777" w:rsidTr="00E537DF">
        <w:trPr>
          <w:trHeight w:val="20"/>
        </w:trPr>
        <w:tc>
          <w:tcPr>
            <w:tcW w:w="1727" w:type="pct"/>
          </w:tcPr>
          <w:p w14:paraId="025B5DA7" w14:textId="77777777" w:rsidR="00415AC5" w:rsidRPr="00A455EC" w:rsidRDefault="00415AC5" w:rsidP="0009520E">
            <w:pPr>
              <w:pStyle w:val="TableText0"/>
            </w:pPr>
            <w:r w:rsidRPr="00A455EC">
              <w:t>n</w:t>
            </w:r>
          </w:p>
        </w:tc>
        <w:tc>
          <w:tcPr>
            <w:tcW w:w="786" w:type="pct"/>
          </w:tcPr>
          <w:p w14:paraId="062483F9" w14:textId="77777777" w:rsidR="00415AC5" w:rsidRPr="00A455EC" w:rsidRDefault="00415AC5" w:rsidP="00D13893">
            <w:pPr>
              <w:pStyle w:val="TableText0"/>
            </w:pPr>
            <w:r w:rsidRPr="00A455EC">
              <w:t>5</w:t>
            </w:r>
          </w:p>
        </w:tc>
        <w:tc>
          <w:tcPr>
            <w:tcW w:w="864" w:type="pct"/>
          </w:tcPr>
          <w:p w14:paraId="41E792B1" w14:textId="77777777" w:rsidR="00415AC5" w:rsidRPr="00A455EC" w:rsidRDefault="00415AC5" w:rsidP="00D13893">
            <w:pPr>
              <w:pStyle w:val="TableText0"/>
            </w:pPr>
            <w:r w:rsidRPr="00A455EC">
              <w:t>4</w:t>
            </w:r>
          </w:p>
        </w:tc>
        <w:tc>
          <w:tcPr>
            <w:tcW w:w="786" w:type="pct"/>
          </w:tcPr>
          <w:p w14:paraId="6BF379B7" w14:textId="77777777" w:rsidR="00415AC5" w:rsidRPr="00A455EC" w:rsidRDefault="00415AC5" w:rsidP="00D13893">
            <w:pPr>
              <w:pStyle w:val="TableText0"/>
            </w:pPr>
            <w:r w:rsidRPr="00A455EC">
              <w:t>5</w:t>
            </w:r>
          </w:p>
        </w:tc>
        <w:tc>
          <w:tcPr>
            <w:tcW w:w="837" w:type="pct"/>
          </w:tcPr>
          <w:p w14:paraId="769141D6" w14:textId="77777777" w:rsidR="00415AC5" w:rsidRPr="00A455EC" w:rsidRDefault="00415AC5" w:rsidP="00D13893">
            <w:pPr>
              <w:pStyle w:val="TableText0"/>
            </w:pPr>
            <w:r w:rsidRPr="00A455EC">
              <w:t>2</w:t>
            </w:r>
          </w:p>
        </w:tc>
      </w:tr>
      <w:tr w:rsidR="00415AC5" w:rsidRPr="00A455EC" w14:paraId="77A4810F" w14:textId="77777777" w:rsidTr="00E537DF">
        <w:trPr>
          <w:trHeight w:val="20"/>
        </w:trPr>
        <w:tc>
          <w:tcPr>
            <w:tcW w:w="1727" w:type="pct"/>
          </w:tcPr>
          <w:p w14:paraId="7CC9668F" w14:textId="77777777" w:rsidR="00415AC5" w:rsidRPr="00A455EC" w:rsidRDefault="00415AC5" w:rsidP="0009520E">
            <w:pPr>
              <w:pStyle w:val="TableText0"/>
            </w:pPr>
            <w:r w:rsidRPr="00A455EC">
              <w:t>Mean (SE)</w:t>
            </w:r>
          </w:p>
        </w:tc>
        <w:tc>
          <w:tcPr>
            <w:tcW w:w="786" w:type="pct"/>
          </w:tcPr>
          <w:p w14:paraId="5570697E" w14:textId="77777777" w:rsidR="00415AC5" w:rsidRPr="00A455EC" w:rsidRDefault="00415AC5" w:rsidP="00D13893">
            <w:pPr>
              <w:pStyle w:val="TableText0"/>
            </w:pPr>
            <w:r w:rsidRPr="00A455EC">
              <w:t>-2.410 (8.511)</w:t>
            </w:r>
          </w:p>
        </w:tc>
        <w:tc>
          <w:tcPr>
            <w:tcW w:w="864" w:type="pct"/>
          </w:tcPr>
          <w:p w14:paraId="548BF631" w14:textId="77777777" w:rsidR="00415AC5" w:rsidRPr="00A455EC" w:rsidRDefault="00415AC5" w:rsidP="00D13893">
            <w:pPr>
              <w:pStyle w:val="TableText0"/>
            </w:pPr>
            <w:r w:rsidRPr="00A455EC">
              <w:t>-6.523 (8.557)</w:t>
            </w:r>
          </w:p>
        </w:tc>
        <w:tc>
          <w:tcPr>
            <w:tcW w:w="786" w:type="pct"/>
          </w:tcPr>
          <w:p w14:paraId="18709377" w14:textId="77777777" w:rsidR="00415AC5" w:rsidRPr="00A455EC" w:rsidRDefault="00415AC5" w:rsidP="00D13893">
            <w:pPr>
              <w:pStyle w:val="TableText0"/>
            </w:pPr>
            <w:r w:rsidRPr="00A455EC">
              <w:t>5.000 (13.274)</w:t>
            </w:r>
          </w:p>
        </w:tc>
        <w:tc>
          <w:tcPr>
            <w:tcW w:w="837" w:type="pct"/>
          </w:tcPr>
          <w:p w14:paraId="31D5F1A8" w14:textId="77777777" w:rsidR="00415AC5" w:rsidRPr="00A455EC" w:rsidRDefault="00415AC5" w:rsidP="00D13893">
            <w:pPr>
              <w:pStyle w:val="TableText0"/>
            </w:pPr>
            <w:r w:rsidRPr="00A455EC">
              <w:t>-4.040 (11.090)</w:t>
            </w:r>
          </w:p>
        </w:tc>
      </w:tr>
      <w:tr w:rsidR="00415AC5" w:rsidRPr="00A455EC" w14:paraId="58E79401" w14:textId="77777777" w:rsidTr="002021A9">
        <w:trPr>
          <w:trHeight w:val="20"/>
        </w:trPr>
        <w:tc>
          <w:tcPr>
            <w:tcW w:w="1727" w:type="pct"/>
          </w:tcPr>
          <w:p w14:paraId="7CF82424" w14:textId="77777777" w:rsidR="00415AC5" w:rsidRPr="00A455EC" w:rsidRDefault="00415AC5" w:rsidP="0009520E">
            <w:pPr>
              <w:pStyle w:val="TableText0"/>
            </w:pPr>
            <w:r>
              <w:t xml:space="preserve">Mean difference (95% CI) in </w:t>
            </w:r>
            <w:proofErr w:type="spellStart"/>
            <w:r>
              <w:t>males</w:t>
            </w:r>
            <w:r w:rsidRPr="00407D8C">
              <w:rPr>
                <w:vertAlign w:val="superscript"/>
              </w:rPr>
              <w:t>a</w:t>
            </w:r>
            <w:proofErr w:type="spellEnd"/>
          </w:p>
        </w:tc>
        <w:tc>
          <w:tcPr>
            <w:tcW w:w="3273" w:type="pct"/>
            <w:gridSpan w:val="4"/>
          </w:tcPr>
          <w:p w14:paraId="568F777B" w14:textId="383715D3" w:rsidR="00415AC5" w:rsidRPr="00A455EC" w:rsidRDefault="00415AC5" w:rsidP="00D13893">
            <w:pPr>
              <w:pStyle w:val="TableText0"/>
            </w:pPr>
            <w:r w:rsidRPr="0036778A">
              <w:t>-7.410</w:t>
            </w:r>
            <w:r w:rsidR="0036778A">
              <w:t>*</w:t>
            </w:r>
            <w:r>
              <w:t xml:space="preserve"> (-</w:t>
            </w:r>
            <w:r w:rsidRPr="00A455EC">
              <w:t>44.904</w:t>
            </w:r>
            <w:r>
              <w:t>,</w:t>
            </w:r>
            <w:r w:rsidRPr="00A455EC">
              <w:t xml:space="preserve"> 30.084</w:t>
            </w:r>
            <w:r>
              <w:t>)</w:t>
            </w:r>
          </w:p>
        </w:tc>
      </w:tr>
      <w:tr w:rsidR="00415AC5" w:rsidRPr="00A455EC" w14:paraId="767A69D3" w14:textId="77777777" w:rsidTr="002021A9">
        <w:trPr>
          <w:trHeight w:val="20"/>
        </w:trPr>
        <w:tc>
          <w:tcPr>
            <w:tcW w:w="1727" w:type="pct"/>
          </w:tcPr>
          <w:p w14:paraId="4725E0E6" w14:textId="77777777" w:rsidR="00415AC5" w:rsidRPr="00A455EC" w:rsidRDefault="00415AC5" w:rsidP="0009520E">
            <w:pPr>
              <w:pStyle w:val="TableText0"/>
            </w:pPr>
            <w:r>
              <w:t xml:space="preserve">Mean difference (95% CI) in </w:t>
            </w:r>
            <w:proofErr w:type="spellStart"/>
            <w:r>
              <w:t>females</w:t>
            </w:r>
            <w:r w:rsidRPr="00407D8C">
              <w:rPr>
                <w:vertAlign w:val="superscript"/>
              </w:rPr>
              <w:t>a</w:t>
            </w:r>
            <w:proofErr w:type="spellEnd"/>
          </w:p>
        </w:tc>
        <w:tc>
          <w:tcPr>
            <w:tcW w:w="3273" w:type="pct"/>
            <w:gridSpan w:val="4"/>
          </w:tcPr>
          <w:p w14:paraId="1331BF09" w14:textId="5945BF9C" w:rsidR="00415AC5" w:rsidRPr="00A455EC" w:rsidRDefault="00415AC5" w:rsidP="00D13893">
            <w:pPr>
              <w:pStyle w:val="TableText0"/>
            </w:pPr>
            <w:r w:rsidRPr="0036778A">
              <w:t>-10.563</w:t>
            </w:r>
            <w:r w:rsidR="0036778A">
              <w:t>*</w:t>
            </w:r>
            <w:r>
              <w:t xml:space="preserve"> (-</w:t>
            </w:r>
            <w:r w:rsidRPr="00A455EC">
              <w:t>56.257</w:t>
            </w:r>
            <w:r>
              <w:t>,</w:t>
            </w:r>
            <w:r w:rsidRPr="00A455EC">
              <w:t xml:space="preserve"> 51.292</w:t>
            </w:r>
            <w:r>
              <w:t>)</w:t>
            </w:r>
          </w:p>
        </w:tc>
      </w:tr>
      <w:tr w:rsidR="00415AC5" w:rsidRPr="00A455EC" w14:paraId="533C9F8D" w14:textId="77777777" w:rsidTr="002021A9">
        <w:trPr>
          <w:trHeight w:val="20"/>
        </w:trPr>
        <w:tc>
          <w:tcPr>
            <w:tcW w:w="5000" w:type="pct"/>
            <w:gridSpan w:val="5"/>
          </w:tcPr>
          <w:p w14:paraId="513AAE46" w14:textId="77777777" w:rsidR="00415AC5" w:rsidRPr="00E35D7E" w:rsidRDefault="00415AC5" w:rsidP="0009520E">
            <w:pPr>
              <w:pStyle w:val="TableText0"/>
              <w:rPr>
                <w:b/>
                <w:bCs w:val="0"/>
              </w:rPr>
            </w:pPr>
            <w:r w:rsidRPr="00E35D7E">
              <w:rPr>
                <w:b/>
                <w:bCs w:val="0"/>
              </w:rPr>
              <w:t>Change from baseline in LVMI for patients without hypertrophy at baseline</w:t>
            </w:r>
          </w:p>
        </w:tc>
      </w:tr>
      <w:tr w:rsidR="00415AC5" w:rsidRPr="00A455EC" w14:paraId="302509AC" w14:textId="77777777" w:rsidTr="00E537DF">
        <w:trPr>
          <w:trHeight w:val="20"/>
        </w:trPr>
        <w:tc>
          <w:tcPr>
            <w:tcW w:w="1727" w:type="pct"/>
          </w:tcPr>
          <w:p w14:paraId="57C1C22E" w14:textId="77777777" w:rsidR="00415AC5" w:rsidRPr="00A455EC" w:rsidRDefault="00415AC5" w:rsidP="0009520E">
            <w:pPr>
              <w:pStyle w:val="TableText0"/>
            </w:pPr>
            <w:r w:rsidRPr="00A455EC">
              <w:t>n</w:t>
            </w:r>
          </w:p>
        </w:tc>
        <w:tc>
          <w:tcPr>
            <w:tcW w:w="786" w:type="pct"/>
          </w:tcPr>
          <w:p w14:paraId="3F43565F" w14:textId="77777777" w:rsidR="00415AC5" w:rsidRPr="00A455EC" w:rsidRDefault="00415AC5" w:rsidP="00D13893">
            <w:pPr>
              <w:pStyle w:val="TableText0"/>
            </w:pPr>
            <w:r w:rsidRPr="00A455EC">
              <w:t>8</w:t>
            </w:r>
          </w:p>
        </w:tc>
        <w:tc>
          <w:tcPr>
            <w:tcW w:w="864" w:type="pct"/>
          </w:tcPr>
          <w:p w14:paraId="1555576D" w14:textId="77777777" w:rsidR="00415AC5" w:rsidRPr="00A455EC" w:rsidRDefault="00415AC5" w:rsidP="00D13893">
            <w:pPr>
              <w:pStyle w:val="TableText0"/>
            </w:pPr>
            <w:r w:rsidRPr="00A455EC">
              <w:t>11</w:t>
            </w:r>
          </w:p>
        </w:tc>
        <w:tc>
          <w:tcPr>
            <w:tcW w:w="786" w:type="pct"/>
          </w:tcPr>
          <w:p w14:paraId="0607AD12" w14:textId="77777777" w:rsidR="00415AC5" w:rsidRPr="00A455EC" w:rsidRDefault="00415AC5" w:rsidP="00D13893">
            <w:pPr>
              <w:pStyle w:val="TableText0"/>
            </w:pPr>
            <w:r w:rsidRPr="00A455EC">
              <w:t>7</w:t>
            </w:r>
          </w:p>
        </w:tc>
        <w:tc>
          <w:tcPr>
            <w:tcW w:w="837" w:type="pct"/>
          </w:tcPr>
          <w:p w14:paraId="6F872F0D" w14:textId="77777777" w:rsidR="00415AC5" w:rsidRPr="00A455EC" w:rsidRDefault="00415AC5" w:rsidP="00D13893">
            <w:pPr>
              <w:pStyle w:val="TableText0"/>
            </w:pPr>
            <w:r w:rsidRPr="00A455EC">
              <w:t>5</w:t>
            </w:r>
          </w:p>
        </w:tc>
      </w:tr>
      <w:tr w:rsidR="00415AC5" w:rsidRPr="00A455EC" w14:paraId="36D5F705" w14:textId="77777777" w:rsidTr="00E537DF">
        <w:trPr>
          <w:trHeight w:val="20"/>
        </w:trPr>
        <w:tc>
          <w:tcPr>
            <w:tcW w:w="1727" w:type="pct"/>
          </w:tcPr>
          <w:p w14:paraId="17F0E062" w14:textId="77777777" w:rsidR="00415AC5" w:rsidRPr="00A455EC" w:rsidRDefault="00415AC5" w:rsidP="0009520E">
            <w:pPr>
              <w:pStyle w:val="TableText0"/>
            </w:pPr>
            <w:r w:rsidRPr="00A455EC">
              <w:t>Mean (SE)</w:t>
            </w:r>
          </w:p>
        </w:tc>
        <w:tc>
          <w:tcPr>
            <w:tcW w:w="786" w:type="pct"/>
          </w:tcPr>
          <w:p w14:paraId="0EDCBB5D" w14:textId="77777777" w:rsidR="00415AC5" w:rsidRPr="00A455EC" w:rsidRDefault="00415AC5" w:rsidP="00D13893">
            <w:pPr>
              <w:pStyle w:val="TableText0"/>
            </w:pPr>
            <w:r w:rsidRPr="00A455EC">
              <w:t>-1.344 (5.768)</w:t>
            </w:r>
          </w:p>
        </w:tc>
        <w:tc>
          <w:tcPr>
            <w:tcW w:w="864" w:type="pct"/>
          </w:tcPr>
          <w:p w14:paraId="450C9542" w14:textId="77777777" w:rsidR="00415AC5" w:rsidRPr="00A455EC" w:rsidRDefault="00415AC5" w:rsidP="00D13893">
            <w:pPr>
              <w:pStyle w:val="TableText0"/>
            </w:pPr>
            <w:r w:rsidRPr="00A455EC">
              <w:t>2.820 (3.025)</w:t>
            </w:r>
          </w:p>
        </w:tc>
        <w:tc>
          <w:tcPr>
            <w:tcW w:w="786" w:type="pct"/>
          </w:tcPr>
          <w:p w14:paraId="0EC6E0D8" w14:textId="77777777" w:rsidR="00415AC5" w:rsidRPr="00A455EC" w:rsidRDefault="00415AC5" w:rsidP="00D13893">
            <w:pPr>
              <w:pStyle w:val="TableText0"/>
            </w:pPr>
            <w:r w:rsidRPr="00A455EC">
              <w:t>0.987 (2.740)</w:t>
            </w:r>
          </w:p>
        </w:tc>
        <w:tc>
          <w:tcPr>
            <w:tcW w:w="837" w:type="pct"/>
          </w:tcPr>
          <w:p w14:paraId="7EAC661A" w14:textId="77777777" w:rsidR="00415AC5" w:rsidRPr="00A455EC" w:rsidRDefault="00415AC5" w:rsidP="00D13893">
            <w:pPr>
              <w:pStyle w:val="TableText0"/>
            </w:pPr>
            <w:r w:rsidRPr="00A455EC">
              <w:t>-3.682 (4.716)</w:t>
            </w:r>
          </w:p>
        </w:tc>
      </w:tr>
      <w:tr w:rsidR="00415AC5" w:rsidRPr="00A455EC" w14:paraId="3CF0C6F8" w14:textId="77777777" w:rsidTr="002021A9">
        <w:trPr>
          <w:trHeight w:val="20"/>
        </w:trPr>
        <w:tc>
          <w:tcPr>
            <w:tcW w:w="1727" w:type="pct"/>
          </w:tcPr>
          <w:p w14:paraId="49725328" w14:textId="77777777" w:rsidR="00415AC5" w:rsidRPr="00A455EC" w:rsidRDefault="00415AC5" w:rsidP="0009520E">
            <w:pPr>
              <w:pStyle w:val="TableText0"/>
            </w:pPr>
            <w:r>
              <w:t xml:space="preserve">Mean difference (95% CI) in </w:t>
            </w:r>
            <w:proofErr w:type="spellStart"/>
            <w:r>
              <w:t>males</w:t>
            </w:r>
            <w:r w:rsidRPr="00407D8C">
              <w:rPr>
                <w:vertAlign w:val="superscript"/>
              </w:rPr>
              <w:t>a</w:t>
            </w:r>
            <w:proofErr w:type="spellEnd"/>
          </w:p>
        </w:tc>
        <w:tc>
          <w:tcPr>
            <w:tcW w:w="3273" w:type="pct"/>
            <w:gridSpan w:val="4"/>
          </w:tcPr>
          <w:p w14:paraId="41ED054A" w14:textId="346FAE14" w:rsidR="00415AC5" w:rsidRPr="00A455EC" w:rsidRDefault="00415AC5" w:rsidP="00D13893">
            <w:pPr>
              <w:pStyle w:val="TableText0"/>
            </w:pPr>
            <w:r w:rsidRPr="0036778A">
              <w:t>-2.427</w:t>
            </w:r>
            <w:r w:rsidR="0036778A">
              <w:t>*</w:t>
            </w:r>
            <w:r>
              <w:t xml:space="preserve"> (-</w:t>
            </w:r>
            <w:r w:rsidRPr="00A455EC">
              <w:t>16.573</w:t>
            </w:r>
            <w:r>
              <w:t>,</w:t>
            </w:r>
            <w:r w:rsidRPr="00A455EC">
              <w:t xml:space="preserve"> 11.912</w:t>
            </w:r>
            <w:r>
              <w:t>)</w:t>
            </w:r>
          </w:p>
        </w:tc>
      </w:tr>
      <w:tr w:rsidR="00415AC5" w:rsidRPr="00A455EC" w14:paraId="5C927A7B" w14:textId="77777777" w:rsidTr="002021A9">
        <w:trPr>
          <w:trHeight w:val="20"/>
        </w:trPr>
        <w:tc>
          <w:tcPr>
            <w:tcW w:w="1727" w:type="pct"/>
          </w:tcPr>
          <w:p w14:paraId="7C0DDED3" w14:textId="77777777" w:rsidR="00415AC5" w:rsidRPr="00A455EC" w:rsidRDefault="00415AC5" w:rsidP="0009520E">
            <w:pPr>
              <w:pStyle w:val="TableText0"/>
            </w:pPr>
            <w:r>
              <w:t xml:space="preserve">Mean difference (95% CI) in </w:t>
            </w:r>
            <w:proofErr w:type="spellStart"/>
            <w:r>
              <w:t>females</w:t>
            </w:r>
            <w:r w:rsidRPr="00407D8C">
              <w:rPr>
                <w:vertAlign w:val="superscript"/>
              </w:rPr>
              <w:t>a</w:t>
            </w:r>
            <w:proofErr w:type="spellEnd"/>
          </w:p>
        </w:tc>
        <w:tc>
          <w:tcPr>
            <w:tcW w:w="3273" w:type="pct"/>
            <w:gridSpan w:val="4"/>
          </w:tcPr>
          <w:p w14:paraId="3B2A307A" w14:textId="3B75F208" w:rsidR="00415AC5" w:rsidRPr="00A455EC" w:rsidRDefault="00415AC5" w:rsidP="00D13893">
            <w:pPr>
              <w:pStyle w:val="TableText0"/>
            </w:pPr>
            <w:r w:rsidRPr="0036778A">
              <w:t>6.502</w:t>
            </w:r>
            <w:r w:rsidR="0036778A">
              <w:t>*</w:t>
            </w:r>
            <w:r>
              <w:t xml:space="preserve"> (</w:t>
            </w:r>
            <w:r w:rsidRPr="00A455EC">
              <w:t>-6.582</w:t>
            </w:r>
            <w:r>
              <w:t xml:space="preserve">, </w:t>
            </w:r>
            <w:r w:rsidRPr="00A455EC">
              <w:t>19.586</w:t>
            </w:r>
            <w:r>
              <w:t>)</w:t>
            </w:r>
          </w:p>
        </w:tc>
      </w:tr>
    </w:tbl>
    <w:p w14:paraId="7A71A96E" w14:textId="77777777" w:rsidR="00415AC5" w:rsidRPr="00F5411B" w:rsidRDefault="00415AC5" w:rsidP="005A2403">
      <w:pPr>
        <w:pStyle w:val="TableFigureFooter"/>
      </w:pPr>
      <w:r w:rsidRPr="00F5411B">
        <w:t>Source: Table 2.5-5, p69 of the submission.</w:t>
      </w:r>
    </w:p>
    <w:p w14:paraId="757DDE9D" w14:textId="77777777" w:rsidR="00415AC5" w:rsidRDefault="00415AC5" w:rsidP="005A2403">
      <w:pPr>
        <w:pStyle w:val="TableFigureFooter"/>
      </w:pPr>
      <w:r w:rsidRPr="00F5411B">
        <w:t xml:space="preserve">Abbreviations: CI, </w:t>
      </w:r>
      <w:r>
        <w:t>c</w:t>
      </w:r>
      <w:r w:rsidRPr="00F5411B">
        <w:t xml:space="preserve">onfidence interval; ITT, </w:t>
      </w:r>
      <w:r>
        <w:t>i</w:t>
      </w:r>
      <w:r w:rsidRPr="00F5411B">
        <w:t xml:space="preserve">ntention-to-treat; LVMI, Left </w:t>
      </w:r>
      <w:r>
        <w:t>V</w:t>
      </w:r>
      <w:r w:rsidRPr="00F5411B">
        <w:t xml:space="preserve">entricular </w:t>
      </w:r>
      <w:r>
        <w:t>M</w:t>
      </w:r>
      <w:r w:rsidRPr="00F5411B">
        <w:t xml:space="preserve">ass </w:t>
      </w:r>
      <w:r>
        <w:t>I</w:t>
      </w:r>
      <w:r w:rsidRPr="00F5411B">
        <w:t xml:space="preserve">ndex; SE, </w:t>
      </w:r>
      <w:r>
        <w:t>s</w:t>
      </w:r>
      <w:r w:rsidRPr="00F5411B">
        <w:t>tandard error.</w:t>
      </w:r>
    </w:p>
    <w:p w14:paraId="04E71FF0" w14:textId="77777777" w:rsidR="0036778A" w:rsidRDefault="00415AC5" w:rsidP="005A2403">
      <w:pPr>
        <w:pStyle w:val="TableFigureFooter"/>
      </w:pPr>
      <w:proofErr w:type="spellStart"/>
      <w:r w:rsidRPr="009C0968">
        <w:rPr>
          <w:vertAlign w:val="superscript"/>
        </w:rPr>
        <w:t>a</w:t>
      </w:r>
      <w:proofErr w:type="spellEnd"/>
      <w:r>
        <w:t xml:space="preserve"> The mean differences between p</w:t>
      </w:r>
      <w:r w:rsidRPr="00D6645B">
        <w:t>egunigalsidase alfa</w:t>
      </w:r>
      <w:r>
        <w:t xml:space="preserve"> and a</w:t>
      </w:r>
      <w:r w:rsidRPr="00D6645B">
        <w:t>galsidase beta</w:t>
      </w:r>
      <w:r>
        <w:t xml:space="preserve"> for males and females were not reported in the submission or BALANCE CSR, however 95% CI were presented. </w:t>
      </w:r>
    </w:p>
    <w:p w14:paraId="78D21E66" w14:textId="176FC5E0" w:rsidR="00415AC5" w:rsidRPr="00407D8C" w:rsidRDefault="0036778A" w:rsidP="005A2403">
      <w:pPr>
        <w:pStyle w:val="TableFigureFooter"/>
      </w:pPr>
      <w:r>
        <w:t>*</w:t>
      </w:r>
      <w:r w:rsidR="00415AC5">
        <w:t>Mean differences were calculated during the evaluation</w:t>
      </w:r>
      <w:r w:rsidR="00415AC5" w:rsidRPr="005B6DAE">
        <w:rPr>
          <w:i/>
          <w:iCs/>
        </w:rPr>
        <w:t>.</w:t>
      </w:r>
    </w:p>
    <w:p w14:paraId="2FE52884" w14:textId="6549A6AD" w:rsidR="00415AC5" w:rsidRPr="00BF7AB8" w:rsidRDefault="00415AC5" w:rsidP="009D09F4">
      <w:pPr>
        <w:pStyle w:val="3-BodyText"/>
      </w:pPr>
      <w:r w:rsidRPr="008E38EA">
        <w:t xml:space="preserve">The results of the primary outcome of annualised median eGFR slope at 24 months decreased in both </w:t>
      </w:r>
      <w:r>
        <w:t xml:space="preserve">the </w:t>
      </w:r>
      <w:r w:rsidRPr="008E38EA">
        <w:t xml:space="preserve">pegunigalsidase alfa arm (-2.51; 95%CI: -3.79; -1.24) and </w:t>
      </w:r>
      <w:r>
        <w:t xml:space="preserve">the </w:t>
      </w:r>
      <w:r w:rsidRPr="008E38EA">
        <w:t xml:space="preserve">agalsidase beta arm (-2.16; 95% CI: -3.81; -0.51), although there was no statistically significant difference between pegunigalsidase alfa and agalsidase beta (-0.36; </w:t>
      </w:r>
      <w:r w:rsidR="007902B5">
        <w:br/>
      </w:r>
      <w:r w:rsidRPr="008E38EA">
        <w:t xml:space="preserve">95% CI: -2.44, 1.73). The lower limit of </w:t>
      </w:r>
      <w:r>
        <w:t>the CI</w:t>
      </w:r>
      <w:r w:rsidRPr="008E38EA">
        <w:t xml:space="preserve"> met the prespecified non-inferiority margin of -3.0 mL/min/1.73 m</w:t>
      </w:r>
      <w:r w:rsidRPr="00772566">
        <w:rPr>
          <w:vertAlign w:val="superscript"/>
        </w:rPr>
        <w:t>2</w:t>
      </w:r>
      <w:r w:rsidRPr="008E38EA">
        <w:t>/year</w:t>
      </w:r>
      <w:r>
        <w:t xml:space="preserve">, </w:t>
      </w:r>
      <w:r w:rsidRPr="00BF7AB8">
        <w:t>noting this has not been validated. According to a European expert consensus statement on therapeutic goals in FD, stabilisation of kidney function is achieved if a patient has a GFR slope loss ≤1–3 mL/min/1.73</w:t>
      </w:r>
      <w:r w:rsidR="00784EAE" w:rsidRPr="00BF7AB8">
        <w:t> </w:t>
      </w:r>
      <w:r w:rsidRPr="00BF7AB8">
        <w:t>m</w:t>
      </w:r>
      <w:r w:rsidRPr="00BF7AB8">
        <w:rPr>
          <w:vertAlign w:val="superscript"/>
        </w:rPr>
        <w:t>2</w:t>
      </w:r>
      <w:r w:rsidRPr="00BF7AB8">
        <w:t xml:space="preserve">/year </w:t>
      </w:r>
      <w:r w:rsidRPr="00BF7AB8">
        <w:lastRenderedPageBreak/>
        <w:t>and progression or deterioration of renal disease is demonstrated by an annual decrease in GFR &gt; 3 mL/min/1.73 m</w:t>
      </w:r>
      <w:r w:rsidRPr="00BF7AB8">
        <w:rPr>
          <w:vertAlign w:val="superscript"/>
        </w:rPr>
        <w:t>2</w:t>
      </w:r>
      <w:r w:rsidR="002948BD" w:rsidRPr="00BF7AB8">
        <w:t>.</w:t>
      </w:r>
      <w:r w:rsidR="004F6D52" w:rsidRPr="00BF7AB8">
        <w:rPr>
          <w:vertAlign w:val="superscript"/>
        </w:rPr>
        <w:t>5</w:t>
      </w:r>
      <w:r w:rsidRPr="00BF7AB8">
        <w:rPr>
          <w:rStyle w:val="Heading8Char"/>
        </w:rPr>
        <w:t xml:space="preserve"> </w:t>
      </w:r>
      <w:r w:rsidRPr="00BF7AB8">
        <w:t>These results suggest that patients remained clinically stable in regard to kidney function.</w:t>
      </w:r>
    </w:p>
    <w:p w14:paraId="0550145E" w14:textId="0872E134" w:rsidR="00415AC5" w:rsidRPr="00BF7AB8" w:rsidRDefault="00415AC5" w:rsidP="009D09F4">
      <w:pPr>
        <w:pStyle w:val="3-BodyText"/>
      </w:pPr>
      <w:r w:rsidRPr="00F54CDD">
        <w:t xml:space="preserve">At Week 104, all three biomarkers of FD: mean plasma lyso-Gb3, urine lyso-Gb3 and plasma Gb3 concentrations increased from baseline in the pegunigalsidase alfa arm by 3.30 </w:t>
      </w:r>
      <w:proofErr w:type="spellStart"/>
      <w:r w:rsidRPr="00F54CDD">
        <w:t>nM</w:t>
      </w:r>
      <w:proofErr w:type="spellEnd"/>
      <w:r w:rsidRPr="00F54CDD">
        <w:t xml:space="preserve">, 7.0 </w:t>
      </w:r>
      <w:proofErr w:type="spellStart"/>
      <w:r w:rsidRPr="00F54CDD">
        <w:t>pM</w:t>
      </w:r>
      <w:proofErr w:type="spellEnd"/>
      <w:r w:rsidRPr="00F54CDD">
        <w:t xml:space="preserve">/mM creatinine and 138.0 </w:t>
      </w:r>
      <w:proofErr w:type="spellStart"/>
      <w:r w:rsidRPr="00F54CDD">
        <w:t>nM</w:t>
      </w:r>
      <w:proofErr w:type="spellEnd"/>
      <w:r w:rsidRPr="00F54CDD">
        <w:t xml:space="preserve">, respectively, and decreased from baseline in the agalsidase beta arm by 8.74 </w:t>
      </w:r>
      <w:proofErr w:type="spellStart"/>
      <w:r w:rsidRPr="00F54CDD">
        <w:t>nM</w:t>
      </w:r>
      <w:proofErr w:type="spellEnd"/>
      <w:r w:rsidRPr="00F54CDD">
        <w:t xml:space="preserve">, 1.2 </w:t>
      </w:r>
      <w:proofErr w:type="spellStart"/>
      <w:r w:rsidRPr="00F54CDD">
        <w:t>pM</w:t>
      </w:r>
      <w:proofErr w:type="spellEnd"/>
      <w:r w:rsidRPr="00F54CDD">
        <w:t xml:space="preserve">/mM creatinine and 81.8 </w:t>
      </w:r>
      <w:proofErr w:type="spellStart"/>
      <w:r w:rsidRPr="00F54CDD">
        <w:t>nM</w:t>
      </w:r>
      <w:proofErr w:type="spellEnd"/>
      <w:r w:rsidRPr="00F54CDD">
        <w:t>, respectively. There was a statistically significant difference in the mean urine lyso-Gb3 between pegunigalsidase alfa and agalsidase beta (18.1; 95% CI: 0.1, 36.1), however this was not observed for plasma lyso-Gb3 and plasma Gb3. The submission stated that neither change in plasma lyso-Gb3, urine lyso-Gb3 and plasma Gb3 was considered clinically significant</w:t>
      </w:r>
      <w:r w:rsidRPr="00BF7AB8">
        <w:t>. MCIDs were not proposed for these outcomes. These biomarkers are usually elevated in patients with FD. The therapeutic goal for plasma lyso-Gb3 and plasma Gb3 is to reduce levels as much as possible, ideally to (near-) normal values, while no goal has yet been established for urine lyso-Gb3</w:t>
      </w:r>
      <w:r w:rsidR="000A5CF9" w:rsidRPr="00BF7AB8">
        <w:t>.</w:t>
      </w:r>
      <w:r w:rsidRPr="00BF7AB8">
        <w:rPr>
          <w:vertAlign w:val="superscript"/>
        </w:rPr>
        <w:t>18</w:t>
      </w:r>
      <w:r w:rsidRPr="00BF7AB8">
        <w:t xml:space="preserve"> Overall, the urine lyso-Gb3 results favour agalsidase beta, and no major differences between pegunigalsidase alfa and agalsidase beta were observed in plasma lyso-Gb3 and plasma Gb3.</w:t>
      </w:r>
    </w:p>
    <w:p w14:paraId="6C2A0767" w14:textId="106F6DDA" w:rsidR="00415AC5" w:rsidRDefault="00415AC5" w:rsidP="009D09F4">
      <w:pPr>
        <w:pStyle w:val="3-BodyText"/>
      </w:pPr>
      <w:r w:rsidRPr="0093550F">
        <w:t>In terms of symptom</w:t>
      </w:r>
      <w:r>
        <w:t>s</w:t>
      </w:r>
      <w:r w:rsidRPr="0093550F">
        <w:t xml:space="preserve"> of FD, the results from MSSI Scores showed a mean decrease in the pegunigalsidase alfa </w:t>
      </w:r>
      <w:r w:rsidR="00861911">
        <w:t>arm</w:t>
      </w:r>
      <w:r w:rsidRPr="0093550F">
        <w:t xml:space="preserve"> (improvement by 2.07 points) and a mean increase in the agalsidase beta arm (2.04 points), which was a statistically significant difference between the two arms (-4.11; 95% CI: -6.8, -1.4) in favour of pegunigalsidase alfa. The mean difference in change from baseline in BPI for Pain at Its Worst in Last 24 Hours and for Pain on average were -0.7 (95% CI: -2.2, 0.8) and 0.2 (95% CI: -0.9, 1.2), respectively, indicating that these parameters did not change markedly over the treatment period. Similarly, the mean difference in change from baseline in EQ-5D-5L overall health score between pegunigalsidase alfa and agalsidase beta was small or not significant (0.8 </w:t>
      </w:r>
      <w:r>
        <w:t>[</w:t>
      </w:r>
      <w:r w:rsidRPr="0093550F">
        <w:t>95% CI: -7.2, 8.8</w:t>
      </w:r>
      <w:r>
        <w:t>)]</w:t>
      </w:r>
      <w:r w:rsidRPr="0093550F">
        <w:t>.</w:t>
      </w:r>
    </w:p>
    <w:p w14:paraId="236AEF88" w14:textId="4865C542" w:rsidR="00415AC5" w:rsidRDefault="00415AC5" w:rsidP="009D09F4">
      <w:pPr>
        <w:pStyle w:val="3-BodyText"/>
      </w:pPr>
      <w:r w:rsidRPr="004D19C3">
        <w:t xml:space="preserve">In terms of FCE, a higher proportion of patients experienced a FCE in the pegunigalsidase alfa </w:t>
      </w:r>
      <w:r w:rsidR="007A7167">
        <w:t>arm</w:t>
      </w:r>
      <w:r w:rsidRPr="004D19C3">
        <w:t xml:space="preserve"> compared to </w:t>
      </w:r>
      <w:r w:rsidR="007A7167">
        <w:t>the</w:t>
      </w:r>
      <w:r w:rsidRPr="004D19C3">
        <w:t xml:space="preserve"> agalsidase beta </w:t>
      </w:r>
      <w:r w:rsidR="007A7167">
        <w:t>arm</w:t>
      </w:r>
      <w:r w:rsidRPr="004D19C3">
        <w:t xml:space="preserve"> (17.9% vs 8.0%)</w:t>
      </w:r>
      <w:r w:rsidR="006900FF">
        <w:t>,</w:t>
      </w:r>
      <w:r w:rsidRPr="004D19C3">
        <w:t xml:space="preserve"> mainly due to cardiac events (11.5% vs 8.0%). All patients (in both arms) who developed FCEs had either suffered a similar event when untreated or were receiving treatment with agalsidase beta prior to study enrolment or had signs/symptoms of organ damage at study start (BALANCE CSR). The submission stated that these findings reflect pre-existing organ involvement in ERT-experienced patients and do not allow any conclusions to be drawn on the effect of changing to a new ERT. </w:t>
      </w:r>
      <w:r w:rsidR="00062B13" w:rsidRPr="006A1009">
        <w:t>However</w:t>
      </w:r>
      <w:r w:rsidR="00C5376A" w:rsidRPr="006A1009">
        <w:t>,</w:t>
      </w:r>
      <w:r w:rsidRPr="006A1009">
        <w:t xml:space="preserve"> there </w:t>
      </w:r>
      <w:r w:rsidR="00C5376A" w:rsidRPr="006A1009">
        <w:t xml:space="preserve">were </w:t>
      </w:r>
      <w:r w:rsidRPr="006A1009">
        <w:t xml:space="preserve">more FCEs in </w:t>
      </w:r>
      <w:r w:rsidR="00C5376A" w:rsidRPr="006A1009">
        <w:t xml:space="preserve">the </w:t>
      </w:r>
      <w:r w:rsidRPr="006A1009">
        <w:t>pegunigalsidase alfa</w:t>
      </w:r>
      <w:r w:rsidR="00C5376A" w:rsidRPr="006A1009">
        <w:t xml:space="preserve"> arm</w:t>
      </w:r>
      <w:r w:rsidRPr="006A1009">
        <w:t>, favouring agalsidase beta.</w:t>
      </w:r>
      <w:r w:rsidRPr="004D19C3">
        <w:t xml:space="preserve"> </w:t>
      </w:r>
    </w:p>
    <w:p w14:paraId="58740AA6" w14:textId="1A2A04F2" w:rsidR="00415AC5" w:rsidRDefault="00415AC5" w:rsidP="009D09F4">
      <w:pPr>
        <w:pStyle w:val="3-BodyText"/>
      </w:pPr>
      <w:r w:rsidRPr="00514B17">
        <w:t>The UPCR results at 24 months showed a deterioration in category for two patients (2.8%) in the pegunigalsidase alfa arm; one patient moved from mild (UPCR ≤0.5 gr/gr) to moderate (0.5 &lt; UPCR &lt; 1 gr/gr) and one patient moved from moderate to severe (UPCR</w:t>
      </w:r>
      <w:r w:rsidR="008006DD">
        <w:t xml:space="preserve"> </w:t>
      </w:r>
      <w:r w:rsidRPr="00514B17">
        <w:t xml:space="preserve">≥1 gr/gr) between baseline and Week 104. In the same timeframe, four patients (7.7%) improved their UPCR category. In the agalsidase beta arm, a deterioration in </w:t>
      </w:r>
      <w:r w:rsidRPr="00514B17">
        <w:lastRenderedPageBreak/>
        <w:t>category was observed in two patients (8.0%) and none of the patients improved their UPCR category.</w:t>
      </w:r>
    </w:p>
    <w:p w14:paraId="76C95EC3" w14:textId="5F591BCD" w:rsidR="00415AC5" w:rsidRPr="006A1009" w:rsidRDefault="00415AC5" w:rsidP="009D09F4">
      <w:pPr>
        <w:pStyle w:val="3-BodyText"/>
      </w:pPr>
      <w:r w:rsidRPr="003377B0">
        <w:t xml:space="preserve">In patients who had hypertrophy at baseline, mean LVMI values slightly decreased over </w:t>
      </w:r>
      <w:r>
        <w:t>two</w:t>
      </w:r>
      <w:r w:rsidRPr="003377B0">
        <w:t xml:space="preserve"> years of treatment in the pegunigalsidase alfa arm (-2.410 in males and -</w:t>
      </w:r>
      <w:r w:rsidR="001F2211">
        <w:t> </w:t>
      </w:r>
      <w:r w:rsidRPr="003377B0">
        <w:t>6.523 in females) and in females in the agalsidase beta arm (-4.040), representing an improvement, while a modest overall increase in mean LVMI was observed in males in the agalsidase beta arm (5.000). In patients without hypertrophy, both sexes demonstrated very little change from baseline. There was no statistically significant difference in mean LVMI between pegunigalsidase alfa and agalsidase beta in patients with hypertrophy (MD=-7.410; 95% CI: -44.904, 30.084 in males and MD= -10.563; 95% CI:-56.257, 51.292 in females) and patients without hypertrophy (MD=-2.427; 95% CI: -16.573, 11.912 in males and MD= -6.502; 95% CI: -6.582, 19.586 in females). Data were missing for some patients as cardiac MRI could not be performed because of COVID-19 restrictions at the hospital</w:t>
      </w:r>
      <w:r w:rsidRPr="006A1009">
        <w:t xml:space="preserve">. Results should be interpreted with caution given the variability was high as suggested by the wide CIs and low sample sizes in the subgroups. </w:t>
      </w:r>
    </w:p>
    <w:p w14:paraId="26456497" w14:textId="77777777" w:rsidR="00415AC5" w:rsidRPr="000507D6" w:rsidRDefault="00415AC5" w:rsidP="009D09F4">
      <w:pPr>
        <w:pStyle w:val="3-BodyText"/>
      </w:pPr>
      <w:r w:rsidRPr="000507D6">
        <w:t>Overall, the results from BALANCE at 24 months met the pre-specified non-inferiority margin for annualised change in eGFR slope. While there are some concerns about the validity of the non-inferiority margin, most primary and secondary efficacy outcomes indicate similar findings between pegunigalsidase alfa and agalsidase beta, except for urine lyso-Gb3 and FCE results, which favour agalsidase beta, and MSSI results which favour pegunigalsidase alfa.</w:t>
      </w:r>
    </w:p>
    <w:p w14:paraId="4F30B12C" w14:textId="77777777" w:rsidR="00415AC5" w:rsidRDefault="00415AC5" w:rsidP="009D09F4">
      <w:pPr>
        <w:pStyle w:val="5-SubsectionSubheading"/>
        <w:keepNext w:val="0"/>
      </w:pPr>
      <w:bookmarkStart w:id="36" w:name="_Toc197013313"/>
      <w:bookmarkStart w:id="37" w:name="_Toc198734220"/>
      <w:r>
        <w:t>Supporting trials</w:t>
      </w:r>
      <w:bookmarkEnd w:id="36"/>
      <w:bookmarkEnd w:id="37"/>
      <w:r>
        <w:t xml:space="preserve"> </w:t>
      </w:r>
    </w:p>
    <w:p w14:paraId="1A09C74B" w14:textId="73D9B11C" w:rsidR="00415AC5" w:rsidRDefault="00415AC5" w:rsidP="009D09F4">
      <w:pPr>
        <w:pStyle w:val="3-BodyText"/>
        <w:rPr>
          <w:i/>
          <w:iCs/>
        </w:rPr>
      </w:pPr>
      <w:bookmarkStart w:id="38" w:name="_Ref195477392"/>
      <w:r w:rsidRPr="00A241FE">
        <w:t xml:space="preserve">Overall BRIDGE and BRIGHT results suggest that treatment-experienced patients receiving pegunigalsidase alfa (1 mg/kg </w:t>
      </w:r>
      <w:r w:rsidR="002943CE">
        <w:t>Q</w:t>
      </w:r>
      <w:r w:rsidRPr="00A241FE">
        <w:t xml:space="preserve">2W in BRIDGE and 2 mg/kg </w:t>
      </w:r>
      <w:r w:rsidR="00D9389B">
        <w:t>Q</w:t>
      </w:r>
      <w:r w:rsidRPr="00A241FE">
        <w:t>4W in BRIGHT) for 12 months either remained stable or improved their kidney function from baseline (mean annualised eGFR slope of 4.70 mL/min/1.73 m</w:t>
      </w:r>
      <w:r w:rsidRPr="00A241FE">
        <w:rPr>
          <w:vertAlign w:val="superscript"/>
        </w:rPr>
        <w:t>2</w:t>
      </w:r>
      <w:r w:rsidRPr="00A241FE">
        <w:t>/year in BRIDGE and -</w:t>
      </w:r>
      <w:r w:rsidR="005C6061">
        <w:t> </w:t>
      </w:r>
      <w:r w:rsidRPr="00A241FE">
        <w:t>2.92</w:t>
      </w:r>
      <w:r w:rsidR="005C6061">
        <w:t> </w:t>
      </w:r>
      <w:r w:rsidRPr="00A241FE">
        <w:t>mL/min/1.73m</w:t>
      </w:r>
      <w:r w:rsidRPr="00A241FE">
        <w:rPr>
          <w:vertAlign w:val="superscript"/>
        </w:rPr>
        <w:t>2</w:t>
      </w:r>
      <w:r w:rsidRPr="00A241FE">
        <w:t>/year in BRIGHT), cardiac function (mean LVMI of 4.1 g/m</w:t>
      </w:r>
      <w:r w:rsidRPr="00A241FE">
        <w:rPr>
          <w:vertAlign w:val="superscript"/>
        </w:rPr>
        <w:t>2</w:t>
      </w:r>
      <w:r w:rsidRPr="00A241FE">
        <w:t xml:space="preserve"> in BRIDGE), biomarkers of FD (reductions in mean plasma </w:t>
      </w:r>
      <w:r>
        <w:t>l</w:t>
      </w:r>
      <w:r w:rsidRPr="00A241FE">
        <w:t xml:space="preserve">yso‐Gb3 [-14.31], urine </w:t>
      </w:r>
      <w:r>
        <w:t>l</w:t>
      </w:r>
      <w:r w:rsidRPr="00A241FE">
        <w:t xml:space="preserve">yso‐Gb3 [-17.2] and plasma Gb3 concentrations in BRIDGE and an increase in plasma </w:t>
      </w:r>
      <w:r>
        <w:t>l</w:t>
      </w:r>
      <w:r w:rsidRPr="00A241FE">
        <w:t xml:space="preserve">yso‐Gb3 [3.01] and plasma Gb3 [334.22] in BRIGHT with urine </w:t>
      </w:r>
      <w:r>
        <w:t>l</w:t>
      </w:r>
      <w:r w:rsidRPr="00A241FE">
        <w:t xml:space="preserve">yso‐Gb3 decreasing [-0.66] by 12 months), symptoms of FD (mean MSSI decreased in both BRIDGE [-0.1] and BRIGHT [-0.2]) and </w:t>
      </w:r>
      <w:r>
        <w:t>QoL</w:t>
      </w:r>
      <w:r w:rsidRPr="00A241FE">
        <w:t xml:space="preserve"> (mean EQ-5D-5L overall health score increased in BRIDGE [5.1] and BRIGHT [3.0])</w:t>
      </w:r>
      <w:r w:rsidRPr="000507D6">
        <w:t>. These results are consistent with BALANCE, except for LVMI, which slightly increased but still remained within normal ranges, and biomarkers of FD, which decreased, suggesting better improvements than BALANCE.</w:t>
      </w:r>
      <w:bookmarkEnd w:id="38"/>
      <w:r w:rsidRPr="000507D6">
        <w:t xml:space="preserve"> </w:t>
      </w:r>
    </w:p>
    <w:p w14:paraId="042F47B7" w14:textId="7954CB7D" w:rsidR="00415AC5" w:rsidRPr="000507D6" w:rsidRDefault="00415AC5" w:rsidP="009D09F4">
      <w:pPr>
        <w:pStyle w:val="3-BodyText"/>
      </w:pPr>
      <w:bookmarkStart w:id="39" w:name="_Ref195477402"/>
      <w:r w:rsidRPr="00E43275">
        <w:t>The PB-102-F01, PB-102-F02 and PB-102-F03 are single arm studies with small sample size</w:t>
      </w:r>
      <w:r>
        <w:t>s</w:t>
      </w:r>
      <w:r w:rsidRPr="00E43275">
        <w:t xml:space="preserve"> and the results suggest that treatment-naïve patients receiving pegunigalsidase alfa (1 mg/kg </w:t>
      </w:r>
      <w:r w:rsidR="002943CE">
        <w:t>Q</w:t>
      </w:r>
      <w:r w:rsidRPr="00E43275">
        <w:t>2W) for up to 60 months (</w:t>
      </w:r>
      <w:r>
        <w:t>five</w:t>
      </w:r>
      <w:r w:rsidRPr="00E43275">
        <w:t xml:space="preserve"> years) remained stable in their annualised eGFR slope (reduction ≤1–3 mL/min/1.73m</w:t>
      </w:r>
      <w:r w:rsidRPr="00673A80">
        <w:rPr>
          <w:vertAlign w:val="superscript"/>
        </w:rPr>
        <w:t>2</w:t>
      </w:r>
      <w:r w:rsidRPr="00E43275">
        <w:t xml:space="preserve">/year), and improved (decreased) mean plasma lyso-Gb3, plasma Gb3 and kidney Gb3 (BLISS scores) </w:t>
      </w:r>
      <w:r w:rsidRPr="00E43275">
        <w:lastRenderedPageBreak/>
        <w:t>concentrations from baseline</w:t>
      </w:r>
      <w:r w:rsidRPr="000507D6">
        <w:t>. These results are consistent with the BALANCE trial findings.</w:t>
      </w:r>
      <w:bookmarkEnd w:id="39"/>
      <w:r w:rsidRPr="000507D6">
        <w:t xml:space="preserve"> </w:t>
      </w:r>
    </w:p>
    <w:p w14:paraId="24DEE530" w14:textId="034D5377" w:rsidR="00415AC5" w:rsidRPr="000507D6" w:rsidRDefault="00415AC5" w:rsidP="009D09F4">
      <w:pPr>
        <w:pStyle w:val="3-BodyText"/>
      </w:pPr>
      <w:r w:rsidRPr="000507D6">
        <w:t xml:space="preserve">The TGA Delegate’s Overview indicated that findings from PB-102-F20 (BALANCE) are supported by favourable pharmacodynamics (PD) findings in treatment-naïve participants in Study PB-102-F01/02, including reductions in plasma lyso-Gb3 concentrations and mean BLISS scores following treatment with pegunigalsidase alfa (Delegate’s Overview). </w:t>
      </w:r>
    </w:p>
    <w:p w14:paraId="160B34A3" w14:textId="66274BF1" w:rsidR="00415AC5" w:rsidRPr="00F47F4C" w:rsidRDefault="00B70BF1" w:rsidP="009D09F4">
      <w:pPr>
        <w:pStyle w:val="5-SubsectionSubheading"/>
        <w:keepNext w:val="0"/>
      </w:pPr>
      <w:bookmarkStart w:id="40" w:name="_Toc197013314"/>
      <w:bookmarkStart w:id="41" w:name="_Toc198734221"/>
      <w:r>
        <w:t>Additional summary of</w:t>
      </w:r>
      <w:r w:rsidR="00415AC5" w:rsidRPr="00F47F4C">
        <w:t xml:space="preserve"> </w:t>
      </w:r>
      <w:r>
        <w:t>BALANCE and ATTRACT trials</w:t>
      </w:r>
      <w:bookmarkEnd w:id="40"/>
      <w:bookmarkEnd w:id="41"/>
    </w:p>
    <w:p w14:paraId="46EF0EA8" w14:textId="65FF87BA" w:rsidR="00415AC5" w:rsidRDefault="00415AC5" w:rsidP="009D09F4">
      <w:pPr>
        <w:pStyle w:val="3-BodyText"/>
      </w:pPr>
      <w:r>
        <w:fldChar w:fldCharType="begin" w:fldLock="1"/>
      </w:r>
      <w:r>
        <w:instrText xml:space="preserve"> REF _Ref195470292 \h </w:instrText>
      </w:r>
      <w:r>
        <w:fldChar w:fldCharType="separate"/>
      </w:r>
      <w:r w:rsidR="004E7462">
        <w:t xml:space="preserve">Table </w:t>
      </w:r>
      <w:r w:rsidR="004E7462" w:rsidRPr="7DB0E811">
        <w:rPr>
          <w:noProof/>
        </w:rPr>
        <w:t>7</w:t>
      </w:r>
      <w:r>
        <w:fldChar w:fldCharType="end"/>
      </w:r>
      <w:r>
        <w:t xml:space="preserve"> presents the results of the primary endpoint of annualised change in eGFR slope in BALANCE and ATTRACT trials.</w:t>
      </w:r>
      <w:r w:rsidR="00B03ECA">
        <w:t xml:space="preserve"> </w:t>
      </w:r>
      <w:r w:rsidR="00D8525E" w:rsidRPr="00042A8D">
        <w:t xml:space="preserve">The results are presented side-by-side for ease of </w:t>
      </w:r>
      <w:r w:rsidR="00B92E29" w:rsidRPr="00042A8D">
        <w:t>comparison;</w:t>
      </w:r>
      <w:r w:rsidR="00D8525E" w:rsidRPr="00042A8D">
        <w:t xml:space="preserve"> </w:t>
      </w:r>
      <w:r w:rsidR="00B92E29" w:rsidRPr="00042A8D">
        <w:t>however,</w:t>
      </w:r>
      <w:r w:rsidR="00D8525E" w:rsidRPr="00042A8D">
        <w:t xml:space="preserve"> the results of these studies are not comparable and should be interpreted with caution given the transitivity issues identified</w:t>
      </w:r>
      <w:r w:rsidR="00264D7B" w:rsidRPr="00042A8D">
        <w:t xml:space="preserve"> (see paragraph 6.19)</w:t>
      </w:r>
      <w:r w:rsidR="00D8525E" w:rsidRPr="00042A8D">
        <w:t>.</w:t>
      </w:r>
    </w:p>
    <w:p w14:paraId="5C121AC5" w14:textId="489EF1C9" w:rsidR="00415AC5" w:rsidRDefault="00415AC5" w:rsidP="00250007">
      <w:pPr>
        <w:pStyle w:val="Caption"/>
      </w:pPr>
      <w:bookmarkStart w:id="42" w:name="_Ref195470292"/>
      <w:r>
        <w:t xml:space="preserve">Table </w:t>
      </w:r>
      <w:r w:rsidR="004E7462">
        <w:fldChar w:fldCharType="begin" w:fldLock="1"/>
      </w:r>
      <w:r w:rsidR="004E7462">
        <w:instrText xml:space="preserve"> SEQ Table \* ARABIC </w:instrText>
      </w:r>
      <w:r w:rsidR="004E7462">
        <w:fldChar w:fldCharType="separate"/>
      </w:r>
      <w:r w:rsidR="004E7462">
        <w:rPr>
          <w:noProof/>
        </w:rPr>
        <w:t>7</w:t>
      </w:r>
      <w:r w:rsidR="004E7462">
        <w:rPr>
          <w:noProof/>
        </w:rPr>
        <w:fldChar w:fldCharType="end"/>
      </w:r>
      <w:bookmarkEnd w:id="42"/>
      <w:r>
        <w:t xml:space="preserve">: </w:t>
      </w:r>
      <w:r w:rsidRPr="00BC27EE">
        <w:t>Results of primary endpoint of annualised change in eGFR slope in BALANCE and ATTRACT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of primary endpoint of annualised change in eGFR slope in BALANCE and ATTRACT trials"/>
      </w:tblPr>
      <w:tblGrid>
        <w:gridCol w:w="987"/>
        <w:gridCol w:w="1351"/>
        <w:gridCol w:w="1336"/>
        <w:gridCol w:w="1336"/>
        <w:gridCol w:w="1336"/>
        <w:gridCol w:w="1336"/>
        <w:gridCol w:w="1335"/>
      </w:tblGrid>
      <w:tr w:rsidR="00415AC5" w:rsidRPr="00103557" w14:paraId="4E840B6D" w14:textId="77777777" w:rsidTr="00401528">
        <w:tc>
          <w:tcPr>
            <w:tcW w:w="547" w:type="pct"/>
            <w:tcBorders>
              <w:bottom w:val="single" w:sz="4" w:space="0" w:color="auto"/>
            </w:tcBorders>
          </w:tcPr>
          <w:p w14:paraId="3D99EC4E" w14:textId="77777777" w:rsidR="00415AC5" w:rsidRPr="00103557" w:rsidRDefault="00415AC5" w:rsidP="0009520E">
            <w:pPr>
              <w:pStyle w:val="TableText0"/>
            </w:pPr>
          </w:p>
        </w:tc>
        <w:tc>
          <w:tcPr>
            <w:tcW w:w="2231" w:type="pct"/>
            <w:gridSpan w:val="3"/>
            <w:tcBorders>
              <w:bottom w:val="single" w:sz="4" w:space="0" w:color="auto"/>
            </w:tcBorders>
          </w:tcPr>
          <w:p w14:paraId="550B4606" w14:textId="1C314B74" w:rsidR="00415AC5" w:rsidRPr="008E4CB2" w:rsidRDefault="00415AC5" w:rsidP="00416018">
            <w:pPr>
              <w:pStyle w:val="TableText0"/>
              <w:rPr>
                <w:b/>
                <w:bCs w:val="0"/>
              </w:rPr>
            </w:pPr>
            <w:r w:rsidRPr="008E4CB2">
              <w:rPr>
                <w:b/>
                <w:bCs w:val="0"/>
              </w:rPr>
              <w:t xml:space="preserve">BALANCE </w:t>
            </w:r>
            <w:proofErr w:type="spellStart"/>
            <w:r w:rsidRPr="008E4CB2">
              <w:rPr>
                <w:b/>
                <w:bCs w:val="0"/>
              </w:rPr>
              <w:t>study</w:t>
            </w:r>
            <w:r w:rsidRPr="008E4CB2">
              <w:rPr>
                <w:b/>
                <w:bCs w:val="0"/>
                <w:vertAlign w:val="superscript"/>
              </w:rPr>
              <w:t>a</w:t>
            </w:r>
            <w:proofErr w:type="spellEnd"/>
          </w:p>
        </w:tc>
        <w:tc>
          <w:tcPr>
            <w:tcW w:w="2222" w:type="pct"/>
            <w:gridSpan w:val="3"/>
            <w:tcBorders>
              <w:bottom w:val="single" w:sz="4" w:space="0" w:color="auto"/>
            </w:tcBorders>
          </w:tcPr>
          <w:p w14:paraId="2C8A3E48" w14:textId="77777777" w:rsidR="00415AC5" w:rsidRPr="008E4CB2" w:rsidRDefault="00415AC5" w:rsidP="00416018">
            <w:pPr>
              <w:pStyle w:val="TableText0"/>
              <w:rPr>
                <w:b/>
                <w:bCs w:val="0"/>
              </w:rPr>
            </w:pPr>
            <w:r w:rsidRPr="008E4CB2">
              <w:rPr>
                <w:b/>
                <w:bCs w:val="0"/>
              </w:rPr>
              <w:t xml:space="preserve">ATTRACT </w:t>
            </w:r>
            <w:proofErr w:type="spellStart"/>
            <w:r w:rsidRPr="008E4CB2">
              <w:rPr>
                <w:b/>
                <w:bCs w:val="0"/>
              </w:rPr>
              <w:t>study</w:t>
            </w:r>
            <w:r w:rsidRPr="008E4CB2">
              <w:rPr>
                <w:b/>
                <w:bCs w:val="0"/>
                <w:vertAlign w:val="superscript"/>
              </w:rPr>
              <w:t>b</w:t>
            </w:r>
            <w:proofErr w:type="spellEnd"/>
          </w:p>
        </w:tc>
      </w:tr>
      <w:tr w:rsidR="00415AC5" w:rsidRPr="00103557" w14:paraId="4F08EF17" w14:textId="77777777" w:rsidTr="00401528">
        <w:tc>
          <w:tcPr>
            <w:tcW w:w="547" w:type="pct"/>
            <w:tcBorders>
              <w:bottom w:val="single" w:sz="4" w:space="0" w:color="auto"/>
            </w:tcBorders>
          </w:tcPr>
          <w:p w14:paraId="3AB72213" w14:textId="77777777" w:rsidR="00415AC5" w:rsidRPr="00103557" w:rsidRDefault="00415AC5" w:rsidP="0009520E">
            <w:pPr>
              <w:pStyle w:val="TableText0"/>
            </w:pPr>
          </w:p>
        </w:tc>
        <w:tc>
          <w:tcPr>
            <w:tcW w:w="749" w:type="pct"/>
            <w:tcBorders>
              <w:bottom w:val="single" w:sz="4" w:space="0" w:color="auto"/>
            </w:tcBorders>
          </w:tcPr>
          <w:p w14:paraId="1EA305B3" w14:textId="77777777" w:rsidR="00415AC5" w:rsidRPr="00416018" w:rsidRDefault="00415AC5" w:rsidP="0009520E">
            <w:pPr>
              <w:pStyle w:val="TableText0"/>
              <w:rPr>
                <w:b/>
                <w:bCs w:val="0"/>
              </w:rPr>
            </w:pPr>
            <w:r w:rsidRPr="00416018">
              <w:rPr>
                <w:b/>
                <w:bCs w:val="0"/>
              </w:rPr>
              <w:t>Pegunigalsidase alfa</w:t>
            </w:r>
          </w:p>
          <w:p w14:paraId="6F1E72D9" w14:textId="77777777" w:rsidR="00415AC5" w:rsidRPr="00416018" w:rsidRDefault="00415AC5" w:rsidP="0009520E">
            <w:pPr>
              <w:pStyle w:val="TableText0"/>
              <w:rPr>
                <w:b/>
                <w:bCs w:val="0"/>
              </w:rPr>
            </w:pPr>
            <w:r w:rsidRPr="00416018">
              <w:rPr>
                <w:b/>
                <w:bCs w:val="0"/>
              </w:rPr>
              <w:t>LS mean change (95% CI)</w:t>
            </w:r>
          </w:p>
        </w:tc>
        <w:tc>
          <w:tcPr>
            <w:tcW w:w="741" w:type="pct"/>
            <w:tcBorders>
              <w:bottom w:val="single" w:sz="4" w:space="0" w:color="auto"/>
            </w:tcBorders>
          </w:tcPr>
          <w:p w14:paraId="7E28F254" w14:textId="77777777" w:rsidR="00415AC5" w:rsidRPr="00416018" w:rsidRDefault="00415AC5" w:rsidP="0009520E">
            <w:pPr>
              <w:pStyle w:val="TableText0"/>
              <w:rPr>
                <w:b/>
                <w:bCs w:val="0"/>
              </w:rPr>
            </w:pPr>
            <w:r w:rsidRPr="00416018">
              <w:rPr>
                <w:b/>
                <w:bCs w:val="0"/>
              </w:rPr>
              <w:t>ERT</w:t>
            </w:r>
          </w:p>
          <w:p w14:paraId="03E57854" w14:textId="77777777" w:rsidR="00415AC5" w:rsidRPr="00416018" w:rsidRDefault="00415AC5" w:rsidP="0009520E">
            <w:pPr>
              <w:pStyle w:val="TableText0"/>
              <w:rPr>
                <w:b/>
                <w:bCs w:val="0"/>
              </w:rPr>
            </w:pPr>
            <w:r w:rsidRPr="00416018">
              <w:rPr>
                <w:b/>
                <w:bCs w:val="0"/>
              </w:rPr>
              <w:t>LS mean change (95% CI)</w:t>
            </w:r>
          </w:p>
        </w:tc>
        <w:tc>
          <w:tcPr>
            <w:tcW w:w="741" w:type="pct"/>
            <w:tcBorders>
              <w:bottom w:val="single" w:sz="4" w:space="0" w:color="auto"/>
            </w:tcBorders>
          </w:tcPr>
          <w:p w14:paraId="1545F314" w14:textId="77777777" w:rsidR="00415AC5" w:rsidRPr="00416018" w:rsidRDefault="00415AC5" w:rsidP="0009520E">
            <w:pPr>
              <w:pStyle w:val="TableText0"/>
              <w:rPr>
                <w:b/>
                <w:bCs w:val="0"/>
              </w:rPr>
            </w:pPr>
            <w:r w:rsidRPr="00416018">
              <w:rPr>
                <w:b/>
                <w:bCs w:val="0"/>
              </w:rPr>
              <w:t>Mean difference</w:t>
            </w:r>
          </w:p>
          <w:p w14:paraId="378B0176" w14:textId="77777777" w:rsidR="00415AC5" w:rsidRPr="00416018" w:rsidRDefault="00415AC5" w:rsidP="0009520E">
            <w:pPr>
              <w:pStyle w:val="TableText0"/>
              <w:rPr>
                <w:b/>
                <w:bCs w:val="0"/>
              </w:rPr>
            </w:pPr>
            <w:r w:rsidRPr="00416018">
              <w:rPr>
                <w:b/>
                <w:bCs w:val="0"/>
              </w:rPr>
              <w:t>(95% CI)</w:t>
            </w:r>
          </w:p>
        </w:tc>
        <w:tc>
          <w:tcPr>
            <w:tcW w:w="741" w:type="pct"/>
            <w:tcBorders>
              <w:bottom w:val="single" w:sz="4" w:space="0" w:color="auto"/>
            </w:tcBorders>
          </w:tcPr>
          <w:p w14:paraId="6AC3D25F" w14:textId="77777777" w:rsidR="00415AC5" w:rsidRPr="00416018" w:rsidRDefault="00415AC5" w:rsidP="0009520E">
            <w:pPr>
              <w:pStyle w:val="TableText0"/>
              <w:rPr>
                <w:b/>
                <w:bCs w:val="0"/>
              </w:rPr>
            </w:pPr>
            <w:r w:rsidRPr="00416018">
              <w:rPr>
                <w:b/>
                <w:bCs w:val="0"/>
              </w:rPr>
              <w:t>Migalastat</w:t>
            </w:r>
          </w:p>
          <w:p w14:paraId="756A83CA" w14:textId="77777777" w:rsidR="00415AC5" w:rsidRPr="00416018" w:rsidRDefault="00415AC5" w:rsidP="0009520E">
            <w:pPr>
              <w:pStyle w:val="TableText0"/>
              <w:rPr>
                <w:b/>
                <w:bCs w:val="0"/>
              </w:rPr>
            </w:pPr>
            <w:r w:rsidRPr="00416018">
              <w:rPr>
                <w:b/>
                <w:bCs w:val="0"/>
              </w:rPr>
              <w:t>LS mean change (SE)</w:t>
            </w:r>
          </w:p>
        </w:tc>
        <w:tc>
          <w:tcPr>
            <w:tcW w:w="741" w:type="pct"/>
            <w:tcBorders>
              <w:bottom w:val="single" w:sz="4" w:space="0" w:color="auto"/>
            </w:tcBorders>
          </w:tcPr>
          <w:p w14:paraId="124ED133" w14:textId="77777777" w:rsidR="00415AC5" w:rsidRPr="00416018" w:rsidRDefault="00415AC5" w:rsidP="0009520E">
            <w:pPr>
              <w:pStyle w:val="TableText0"/>
              <w:rPr>
                <w:b/>
                <w:bCs w:val="0"/>
              </w:rPr>
            </w:pPr>
            <w:r w:rsidRPr="00416018">
              <w:rPr>
                <w:b/>
                <w:bCs w:val="0"/>
              </w:rPr>
              <w:t>ERT</w:t>
            </w:r>
          </w:p>
          <w:p w14:paraId="74BC4BE5" w14:textId="77777777" w:rsidR="00415AC5" w:rsidRPr="00416018" w:rsidRDefault="00415AC5" w:rsidP="0009520E">
            <w:pPr>
              <w:pStyle w:val="TableText0"/>
              <w:rPr>
                <w:b/>
                <w:bCs w:val="0"/>
              </w:rPr>
            </w:pPr>
            <w:r w:rsidRPr="00416018">
              <w:rPr>
                <w:b/>
                <w:bCs w:val="0"/>
              </w:rPr>
              <w:t>LS mean change (SE)</w:t>
            </w:r>
          </w:p>
        </w:tc>
        <w:tc>
          <w:tcPr>
            <w:tcW w:w="741" w:type="pct"/>
            <w:tcBorders>
              <w:bottom w:val="single" w:sz="4" w:space="0" w:color="auto"/>
            </w:tcBorders>
          </w:tcPr>
          <w:p w14:paraId="76B87D22" w14:textId="77777777" w:rsidR="00415AC5" w:rsidRPr="00416018" w:rsidRDefault="00415AC5" w:rsidP="0009520E">
            <w:pPr>
              <w:pStyle w:val="TableText0"/>
              <w:rPr>
                <w:b/>
                <w:bCs w:val="0"/>
              </w:rPr>
            </w:pPr>
            <w:r w:rsidRPr="00416018">
              <w:rPr>
                <w:b/>
                <w:bCs w:val="0"/>
              </w:rPr>
              <w:t>Mean difference</w:t>
            </w:r>
          </w:p>
          <w:p w14:paraId="1EA585C1" w14:textId="77777777" w:rsidR="00415AC5" w:rsidRPr="00416018" w:rsidRDefault="00415AC5" w:rsidP="0009520E">
            <w:pPr>
              <w:pStyle w:val="TableText0"/>
              <w:rPr>
                <w:b/>
                <w:bCs w:val="0"/>
              </w:rPr>
            </w:pPr>
            <w:r w:rsidRPr="00416018">
              <w:rPr>
                <w:b/>
                <w:bCs w:val="0"/>
              </w:rPr>
              <w:t>(95% CI)</w:t>
            </w:r>
          </w:p>
        </w:tc>
      </w:tr>
      <w:tr w:rsidR="00415AC5" w:rsidRPr="00103557" w14:paraId="335AC3FC" w14:textId="77777777" w:rsidTr="00401528">
        <w:tc>
          <w:tcPr>
            <w:tcW w:w="547" w:type="pct"/>
          </w:tcPr>
          <w:p w14:paraId="24C9251E" w14:textId="77777777" w:rsidR="00415AC5" w:rsidRPr="00103557" w:rsidRDefault="00415AC5" w:rsidP="0009520E">
            <w:pPr>
              <w:pStyle w:val="TableText0"/>
            </w:pPr>
            <w:r w:rsidRPr="00103557">
              <w:t>ITT</w:t>
            </w:r>
          </w:p>
        </w:tc>
        <w:tc>
          <w:tcPr>
            <w:tcW w:w="749" w:type="pct"/>
          </w:tcPr>
          <w:p w14:paraId="53A1A89E" w14:textId="77777777" w:rsidR="00415AC5" w:rsidRDefault="00415AC5" w:rsidP="0009520E">
            <w:pPr>
              <w:pStyle w:val="TableText0"/>
            </w:pPr>
            <w:r w:rsidRPr="00103557">
              <w:t xml:space="preserve">-2.37 </w:t>
            </w:r>
          </w:p>
          <w:p w14:paraId="7BCEA27E" w14:textId="77777777" w:rsidR="00415AC5" w:rsidRPr="00103557" w:rsidRDefault="00415AC5" w:rsidP="0009520E">
            <w:pPr>
              <w:pStyle w:val="TableText0"/>
            </w:pPr>
            <w:r w:rsidRPr="00103557">
              <w:t>(-3.64, -1.09)</w:t>
            </w:r>
          </w:p>
        </w:tc>
        <w:tc>
          <w:tcPr>
            <w:tcW w:w="741" w:type="pct"/>
          </w:tcPr>
          <w:p w14:paraId="413CA798" w14:textId="77777777" w:rsidR="00415AC5" w:rsidRDefault="00415AC5" w:rsidP="0009520E">
            <w:pPr>
              <w:pStyle w:val="TableText0"/>
            </w:pPr>
            <w:r w:rsidRPr="00103557">
              <w:t xml:space="preserve">-2.31 </w:t>
            </w:r>
          </w:p>
          <w:p w14:paraId="4EF65ABE" w14:textId="77777777" w:rsidR="00415AC5" w:rsidRPr="00103557" w:rsidRDefault="00415AC5" w:rsidP="0009520E">
            <w:pPr>
              <w:pStyle w:val="TableText0"/>
            </w:pPr>
            <w:r w:rsidRPr="00103557">
              <w:t>(-4.09, -0.53)</w:t>
            </w:r>
          </w:p>
        </w:tc>
        <w:tc>
          <w:tcPr>
            <w:tcW w:w="741" w:type="pct"/>
          </w:tcPr>
          <w:p w14:paraId="5C0413C6" w14:textId="77777777" w:rsidR="00415AC5" w:rsidRDefault="00415AC5" w:rsidP="0009520E">
            <w:pPr>
              <w:pStyle w:val="TableText0"/>
            </w:pPr>
            <w:r w:rsidRPr="00103557">
              <w:t xml:space="preserve">-0.59 </w:t>
            </w:r>
          </w:p>
          <w:p w14:paraId="23776A39" w14:textId="77777777" w:rsidR="00415AC5" w:rsidRPr="00103557" w:rsidRDefault="00415AC5" w:rsidP="0009520E">
            <w:pPr>
              <w:pStyle w:val="TableText0"/>
            </w:pPr>
            <w:r w:rsidRPr="00103557">
              <w:t>(-2.25</w:t>
            </w:r>
            <w:r>
              <w:t>,</w:t>
            </w:r>
            <w:r w:rsidRPr="00103557">
              <w:t xml:space="preserve"> 2.13)</w:t>
            </w:r>
          </w:p>
        </w:tc>
        <w:tc>
          <w:tcPr>
            <w:tcW w:w="741" w:type="pct"/>
            <w:tcBorders>
              <w:bottom w:val="single" w:sz="4" w:space="0" w:color="auto"/>
            </w:tcBorders>
          </w:tcPr>
          <w:p w14:paraId="3732D7A3" w14:textId="77777777" w:rsidR="00415AC5" w:rsidRPr="00103557" w:rsidRDefault="00415AC5" w:rsidP="0009520E">
            <w:pPr>
              <w:pStyle w:val="TableText0"/>
            </w:pPr>
            <w:r w:rsidRPr="00103557">
              <w:t>-0.23 (1.12)</w:t>
            </w:r>
          </w:p>
        </w:tc>
        <w:tc>
          <w:tcPr>
            <w:tcW w:w="741" w:type="pct"/>
            <w:tcBorders>
              <w:bottom w:val="single" w:sz="4" w:space="0" w:color="auto"/>
            </w:tcBorders>
          </w:tcPr>
          <w:p w14:paraId="34875445" w14:textId="77777777" w:rsidR="00415AC5" w:rsidRPr="00103557" w:rsidRDefault="00415AC5" w:rsidP="0009520E">
            <w:pPr>
              <w:pStyle w:val="TableText0"/>
            </w:pPr>
            <w:r w:rsidRPr="00103557">
              <w:t>-2.85 (1.46)</w:t>
            </w:r>
          </w:p>
        </w:tc>
        <w:tc>
          <w:tcPr>
            <w:tcW w:w="741" w:type="pct"/>
            <w:tcBorders>
              <w:bottom w:val="single" w:sz="4" w:space="0" w:color="auto"/>
            </w:tcBorders>
          </w:tcPr>
          <w:p w14:paraId="46B89C8E" w14:textId="77777777" w:rsidR="00415AC5" w:rsidRPr="00103557" w:rsidRDefault="00415AC5" w:rsidP="0009520E">
            <w:pPr>
              <w:pStyle w:val="TableText0"/>
            </w:pPr>
            <w:r w:rsidRPr="00103557">
              <w:t>2.62 (-0.99, 6.23)</w:t>
            </w:r>
          </w:p>
        </w:tc>
      </w:tr>
      <w:tr w:rsidR="00415AC5" w:rsidRPr="00103557" w14:paraId="77A5D398" w14:textId="77777777" w:rsidTr="00401528">
        <w:tc>
          <w:tcPr>
            <w:tcW w:w="547" w:type="pct"/>
            <w:tcBorders>
              <w:bottom w:val="single" w:sz="4" w:space="0" w:color="auto"/>
            </w:tcBorders>
          </w:tcPr>
          <w:p w14:paraId="3C1D7091" w14:textId="77777777" w:rsidR="00415AC5" w:rsidRPr="00103557" w:rsidRDefault="00415AC5" w:rsidP="0009520E">
            <w:pPr>
              <w:pStyle w:val="TableText0"/>
            </w:pPr>
            <w:proofErr w:type="spellStart"/>
            <w:r w:rsidRPr="00103557">
              <w:t>mITT</w:t>
            </w:r>
            <w:proofErr w:type="spellEnd"/>
            <w:r w:rsidRPr="00103557">
              <w:t xml:space="preserve"> amenable</w:t>
            </w:r>
          </w:p>
        </w:tc>
        <w:tc>
          <w:tcPr>
            <w:tcW w:w="749" w:type="pct"/>
            <w:tcBorders>
              <w:bottom w:val="single" w:sz="4" w:space="0" w:color="auto"/>
            </w:tcBorders>
          </w:tcPr>
          <w:p w14:paraId="5074323B" w14:textId="77777777" w:rsidR="00415AC5" w:rsidRPr="00103557" w:rsidRDefault="00415AC5" w:rsidP="0009520E">
            <w:pPr>
              <w:pStyle w:val="TableText0"/>
            </w:pPr>
            <w:r w:rsidRPr="00103557">
              <w:t>N</w:t>
            </w:r>
            <w:r>
              <w:t>R</w:t>
            </w:r>
          </w:p>
        </w:tc>
        <w:tc>
          <w:tcPr>
            <w:tcW w:w="741" w:type="pct"/>
            <w:tcBorders>
              <w:bottom w:val="single" w:sz="4" w:space="0" w:color="auto"/>
            </w:tcBorders>
          </w:tcPr>
          <w:p w14:paraId="14B7ED2F" w14:textId="77777777" w:rsidR="00415AC5" w:rsidRPr="00103557" w:rsidRDefault="00415AC5" w:rsidP="0009520E">
            <w:pPr>
              <w:pStyle w:val="TableText0"/>
            </w:pPr>
            <w:r w:rsidRPr="00103557">
              <w:t>N</w:t>
            </w:r>
            <w:r>
              <w:t>R</w:t>
            </w:r>
          </w:p>
        </w:tc>
        <w:tc>
          <w:tcPr>
            <w:tcW w:w="741" w:type="pct"/>
            <w:tcBorders>
              <w:bottom w:val="single" w:sz="4" w:space="0" w:color="auto"/>
            </w:tcBorders>
          </w:tcPr>
          <w:p w14:paraId="6F12DF31" w14:textId="77777777" w:rsidR="00415AC5" w:rsidRPr="00103557" w:rsidRDefault="00415AC5" w:rsidP="0009520E">
            <w:pPr>
              <w:pStyle w:val="TableText0"/>
            </w:pPr>
            <w:r w:rsidRPr="00103557">
              <w:t>N</w:t>
            </w:r>
            <w:r>
              <w:t>R</w:t>
            </w:r>
          </w:p>
        </w:tc>
        <w:tc>
          <w:tcPr>
            <w:tcW w:w="741" w:type="pct"/>
            <w:tcBorders>
              <w:bottom w:val="single" w:sz="4" w:space="0" w:color="auto"/>
            </w:tcBorders>
          </w:tcPr>
          <w:p w14:paraId="420940B4" w14:textId="77777777" w:rsidR="00415AC5" w:rsidRPr="00103557" w:rsidRDefault="00415AC5" w:rsidP="0009520E">
            <w:pPr>
              <w:pStyle w:val="TableText0"/>
            </w:pPr>
            <w:r w:rsidRPr="00103557">
              <w:t>-0.40 (0.93)</w:t>
            </w:r>
          </w:p>
        </w:tc>
        <w:tc>
          <w:tcPr>
            <w:tcW w:w="741" w:type="pct"/>
            <w:tcBorders>
              <w:bottom w:val="single" w:sz="4" w:space="0" w:color="auto"/>
            </w:tcBorders>
          </w:tcPr>
          <w:p w14:paraId="7804146D" w14:textId="77777777" w:rsidR="00415AC5" w:rsidRPr="00103557" w:rsidRDefault="00415AC5" w:rsidP="0009520E">
            <w:pPr>
              <w:pStyle w:val="TableText0"/>
            </w:pPr>
            <w:r w:rsidRPr="00103557">
              <w:t>-1.03 (1.29)</w:t>
            </w:r>
          </w:p>
        </w:tc>
        <w:tc>
          <w:tcPr>
            <w:tcW w:w="741" w:type="pct"/>
            <w:tcBorders>
              <w:bottom w:val="single" w:sz="4" w:space="0" w:color="auto"/>
            </w:tcBorders>
          </w:tcPr>
          <w:p w14:paraId="4F908E09" w14:textId="77777777" w:rsidR="00415AC5" w:rsidRPr="00103557" w:rsidRDefault="00415AC5" w:rsidP="0009520E">
            <w:pPr>
              <w:pStyle w:val="TableText0"/>
            </w:pPr>
            <w:r w:rsidRPr="00103557">
              <w:t>0.63 (-2.49, 3.75)</w:t>
            </w:r>
          </w:p>
        </w:tc>
      </w:tr>
    </w:tbl>
    <w:p w14:paraId="2FB376BD" w14:textId="77777777" w:rsidR="00415AC5" w:rsidRDefault="00415AC5" w:rsidP="005A2403">
      <w:pPr>
        <w:pStyle w:val="TableFigureFooter"/>
      </w:pPr>
      <w:r>
        <w:t>Source: Table 2.6.3, p99 of the submission and Table 3, migalastat, PSD, March 2017 PBAC meeting.</w:t>
      </w:r>
    </w:p>
    <w:p w14:paraId="12DF08B4" w14:textId="77777777" w:rsidR="00415AC5" w:rsidRDefault="00415AC5" w:rsidP="005A2403">
      <w:pPr>
        <w:pStyle w:val="TableFigureFooter"/>
      </w:pPr>
      <w:r>
        <w:t xml:space="preserve">Abbreviations: CI, confidence interval; CKD-EPI, Chronic Kidney Disease Epidemiology Collaboration; ERT, enzyme replacement therapy; eGFR, estimated glomerular filtration rate; ITT, intention-to-treat; LS, least square; </w:t>
      </w:r>
      <w:proofErr w:type="spellStart"/>
      <w:r>
        <w:t>mITT</w:t>
      </w:r>
      <w:proofErr w:type="spellEnd"/>
      <w:r>
        <w:t xml:space="preserve">, modified intention to treat; NR, not reported; SE, standard error. </w:t>
      </w:r>
    </w:p>
    <w:p w14:paraId="115DA547" w14:textId="59BF65ED" w:rsidR="00415AC5" w:rsidRDefault="4FB834C6" w:rsidP="005A2403">
      <w:pPr>
        <w:pStyle w:val="TableFigureFooter"/>
      </w:pPr>
      <w:proofErr w:type="spellStart"/>
      <w:r w:rsidRPr="5396A253">
        <w:rPr>
          <w:vertAlign w:val="superscript"/>
        </w:rPr>
        <w:t>a</w:t>
      </w:r>
      <w:proofErr w:type="spellEnd"/>
      <w:r>
        <w:t xml:space="preserve"> Estimated mean eGFR slopes using random intercept random slope (RIRS) longitudinal mixed model reported as sensitivity analysis in Table 11.11 of </w:t>
      </w:r>
      <w:r w:rsidR="21E4C1CF">
        <w:t>the</w:t>
      </w:r>
      <w:r>
        <w:t xml:space="preserve"> BALANCE CSR at 24 months. BALANCE results in section 2.5</w:t>
      </w:r>
      <w:r w:rsidR="263D231E">
        <w:t xml:space="preserve"> o</w:t>
      </w:r>
      <w:r w:rsidR="30B20B2B">
        <w:t>f</w:t>
      </w:r>
      <w:r w:rsidR="263D231E">
        <w:t xml:space="preserve"> the submission </w:t>
      </w:r>
      <w:r w:rsidR="6DE12F57">
        <w:t>and</w:t>
      </w:r>
      <w:r w:rsidR="263D231E">
        <w:t xml:space="preserve"> </w:t>
      </w:r>
      <w:r w:rsidR="00415AC5">
        <w:fldChar w:fldCharType="begin" w:fldLock="1"/>
      </w:r>
      <w:r w:rsidR="00415AC5">
        <w:instrText xml:space="preserve"> REF _Ref195463870 \h </w:instrText>
      </w:r>
      <w:r w:rsidR="00415AC5">
        <w:fldChar w:fldCharType="separate"/>
      </w:r>
      <w:r w:rsidR="30B20B2B">
        <w:t xml:space="preserve">Table </w:t>
      </w:r>
      <w:r w:rsidR="30B20B2B" w:rsidRPr="5396A253">
        <w:rPr>
          <w:noProof/>
        </w:rPr>
        <w:t>4</w:t>
      </w:r>
      <w:r w:rsidR="00415AC5">
        <w:fldChar w:fldCharType="end"/>
      </w:r>
      <w:r w:rsidR="1A0EA27F">
        <w:t>,</w:t>
      </w:r>
      <w:r w:rsidR="5D1615EA">
        <w:t xml:space="preserve"> </w:t>
      </w:r>
      <w:r>
        <w:t>were reported as median rather than mean changes.</w:t>
      </w:r>
    </w:p>
    <w:p w14:paraId="509A5DFF" w14:textId="77777777" w:rsidR="00415AC5" w:rsidRPr="002A48CB" w:rsidRDefault="00415AC5" w:rsidP="005A2403">
      <w:pPr>
        <w:pStyle w:val="TableFigureFooter"/>
      </w:pPr>
      <w:r w:rsidRPr="002A48CB">
        <w:rPr>
          <w:vertAlign w:val="superscript"/>
        </w:rPr>
        <w:t>b</w:t>
      </w:r>
      <w:r>
        <w:t xml:space="preserve"> Results reported at 18 months.</w:t>
      </w:r>
    </w:p>
    <w:p w14:paraId="4D14EB3C" w14:textId="77777777" w:rsidR="00415AC5" w:rsidRDefault="00415AC5" w:rsidP="005A2403">
      <w:pPr>
        <w:pStyle w:val="TableFigureFooter"/>
      </w:pPr>
      <w:r>
        <w:t xml:space="preserve">Note: ATTRACT and BALANCE results correspond to eGFR CKD-EPI, glomerular filtration rate estimated by the Chronic Kidney Disease Epidemiology Collaboration (CKD-EPI) equation. </w:t>
      </w:r>
    </w:p>
    <w:p w14:paraId="26B10B0A" w14:textId="6C071A9F" w:rsidR="00415AC5" w:rsidRDefault="00415AC5" w:rsidP="009D09F4">
      <w:pPr>
        <w:pStyle w:val="3-BodyText"/>
      </w:pPr>
      <w:r>
        <w:t xml:space="preserve">The LVMI results for the </w:t>
      </w:r>
      <w:proofErr w:type="spellStart"/>
      <w:r>
        <w:t>mITT</w:t>
      </w:r>
      <w:proofErr w:type="spellEnd"/>
      <w:r>
        <w:t xml:space="preserve"> population and a subgroup of patients with left ventricular hypertrophy (LVH) at baseline in </w:t>
      </w:r>
      <w:r w:rsidR="00AF49F2">
        <w:t>the</w:t>
      </w:r>
      <w:r>
        <w:t xml:space="preserve"> ATTRACT trial are presented in </w:t>
      </w:r>
      <w:r>
        <w:fldChar w:fldCharType="begin" w:fldLock="1"/>
      </w:r>
      <w:r>
        <w:instrText xml:space="preserve"> REF _Ref195470450 \h </w:instrText>
      </w:r>
      <w:r>
        <w:fldChar w:fldCharType="separate"/>
      </w:r>
      <w:r w:rsidR="008D674F">
        <w:t>Table</w:t>
      </w:r>
      <w:r w:rsidR="00EE0229">
        <w:t> </w:t>
      </w:r>
      <w:r w:rsidR="008D674F">
        <w:rPr>
          <w:noProof/>
        </w:rPr>
        <w:t>8</w:t>
      </w:r>
      <w:r>
        <w:fldChar w:fldCharType="end"/>
      </w:r>
      <w:r>
        <w:t xml:space="preserve">. </w:t>
      </w:r>
      <w:r w:rsidRPr="000507D6">
        <w:t xml:space="preserve">The LVMI results of </w:t>
      </w:r>
      <w:r w:rsidR="000B4F9C" w:rsidRPr="000507D6">
        <w:t>the</w:t>
      </w:r>
      <w:r w:rsidRPr="000507D6">
        <w:t xml:space="preserve"> BALANCE trial were not reproduced below given these have already been presented in </w:t>
      </w:r>
      <w:r w:rsidRPr="000507D6">
        <w:fldChar w:fldCharType="begin" w:fldLock="1"/>
      </w:r>
      <w:r w:rsidRPr="000507D6">
        <w:instrText xml:space="preserve"> REF _Ref195464348 \h  \* MERGEFORMAT </w:instrText>
      </w:r>
      <w:r w:rsidRPr="000507D6">
        <w:fldChar w:fldCharType="separate"/>
      </w:r>
      <w:r w:rsidR="004E7462" w:rsidRPr="000507D6">
        <w:t xml:space="preserve">Table </w:t>
      </w:r>
      <w:r w:rsidR="004E7462" w:rsidRPr="000507D6">
        <w:rPr>
          <w:noProof/>
        </w:rPr>
        <w:t>6</w:t>
      </w:r>
      <w:r w:rsidRPr="000507D6">
        <w:fldChar w:fldCharType="end"/>
      </w:r>
      <w:r w:rsidRPr="000507D6">
        <w:t>, but a description is included</w:t>
      </w:r>
      <w:r w:rsidRPr="00292ED7">
        <w:rPr>
          <w:i/>
          <w:iCs/>
        </w:rPr>
        <w:t>.</w:t>
      </w:r>
    </w:p>
    <w:p w14:paraId="710153D3" w14:textId="67CE496B" w:rsidR="00415AC5" w:rsidRDefault="00415AC5" w:rsidP="00250007">
      <w:pPr>
        <w:pStyle w:val="Caption"/>
      </w:pPr>
      <w:bookmarkStart w:id="43" w:name="_Ref195470450"/>
      <w:r>
        <w:t xml:space="preserve">Table </w:t>
      </w:r>
      <w:r w:rsidR="004E7462">
        <w:fldChar w:fldCharType="begin" w:fldLock="1"/>
      </w:r>
      <w:r w:rsidR="004E7462">
        <w:instrText xml:space="preserve"> SEQ Table \* ARABIC </w:instrText>
      </w:r>
      <w:r w:rsidR="004E7462">
        <w:fldChar w:fldCharType="separate"/>
      </w:r>
      <w:r w:rsidR="004E7462">
        <w:rPr>
          <w:noProof/>
        </w:rPr>
        <w:t>8</w:t>
      </w:r>
      <w:r w:rsidR="004E7462">
        <w:rPr>
          <w:noProof/>
        </w:rPr>
        <w:fldChar w:fldCharType="end"/>
      </w:r>
      <w:bookmarkEnd w:id="43"/>
      <w:r>
        <w:t xml:space="preserve">: </w:t>
      </w:r>
      <w:r w:rsidRPr="006707DF">
        <w:t>Results of secondary outcome in ATTRACT: Change in LVMI from baseline</w:t>
      </w:r>
    </w:p>
    <w:tbl>
      <w:tblPr>
        <w:tblStyle w:val="TableGrid"/>
        <w:tblW w:w="5000" w:type="pct"/>
        <w:tblLook w:val="04A0" w:firstRow="1" w:lastRow="0" w:firstColumn="1" w:lastColumn="0" w:noHBand="0" w:noVBand="1"/>
        <w:tblCaption w:val="Table 8: Results of secondary outcome in ATTRACT: Change in LVMI from baseline"/>
      </w:tblPr>
      <w:tblGrid>
        <w:gridCol w:w="2304"/>
        <w:gridCol w:w="1665"/>
        <w:gridCol w:w="1701"/>
        <w:gridCol w:w="1668"/>
        <w:gridCol w:w="1679"/>
      </w:tblGrid>
      <w:tr w:rsidR="00415AC5" w14:paraId="63921164" w14:textId="77777777">
        <w:trPr>
          <w:tblHeader/>
        </w:trPr>
        <w:tc>
          <w:tcPr>
            <w:tcW w:w="1278" w:type="pct"/>
            <w:vMerge w:val="restart"/>
            <w:tcBorders>
              <w:top w:val="single" w:sz="4" w:space="0" w:color="auto"/>
              <w:bottom w:val="single" w:sz="4" w:space="0" w:color="auto"/>
            </w:tcBorders>
          </w:tcPr>
          <w:p w14:paraId="5AF9B3A5" w14:textId="77777777" w:rsidR="00415AC5" w:rsidRPr="00EA0327" w:rsidRDefault="00415AC5" w:rsidP="0009520E">
            <w:pPr>
              <w:pStyle w:val="TableText0"/>
            </w:pPr>
          </w:p>
        </w:tc>
        <w:tc>
          <w:tcPr>
            <w:tcW w:w="3722" w:type="pct"/>
            <w:gridSpan w:val="4"/>
            <w:tcBorders>
              <w:bottom w:val="single" w:sz="4" w:space="0" w:color="auto"/>
            </w:tcBorders>
          </w:tcPr>
          <w:p w14:paraId="386DB3A8" w14:textId="77777777" w:rsidR="00415AC5" w:rsidRPr="00416018" w:rsidRDefault="00415AC5" w:rsidP="0009520E">
            <w:pPr>
              <w:pStyle w:val="TableText0"/>
              <w:rPr>
                <w:b/>
                <w:bCs w:val="0"/>
              </w:rPr>
            </w:pPr>
            <w:r w:rsidRPr="00416018">
              <w:rPr>
                <w:b/>
                <w:bCs w:val="0"/>
              </w:rPr>
              <w:t>ATTRACT [Treatment experienced] at 18 months</w:t>
            </w:r>
          </w:p>
        </w:tc>
      </w:tr>
      <w:tr w:rsidR="00415AC5" w14:paraId="1205DA5C" w14:textId="77777777">
        <w:trPr>
          <w:tblHeader/>
        </w:trPr>
        <w:tc>
          <w:tcPr>
            <w:tcW w:w="1278" w:type="pct"/>
            <w:vMerge/>
            <w:tcBorders>
              <w:top w:val="single" w:sz="4" w:space="0" w:color="auto"/>
              <w:bottom w:val="single" w:sz="4" w:space="0" w:color="auto"/>
            </w:tcBorders>
          </w:tcPr>
          <w:p w14:paraId="75B20F9A" w14:textId="77777777" w:rsidR="00415AC5" w:rsidRPr="00EA0327" w:rsidRDefault="00415AC5" w:rsidP="0009520E">
            <w:pPr>
              <w:pStyle w:val="TableText0"/>
            </w:pPr>
          </w:p>
        </w:tc>
        <w:tc>
          <w:tcPr>
            <w:tcW w:w="923" w:type="pct"/>
            <w:tcBorders>
              <w:bottom w:val="single" w:sz="4" w:space="0" w:color="auto"/>
            </w:tcBorders>
          </w:tcPr>
          <w:p w14:paraId="4B0D84D3" w14:textId="77777777" w:rsidR="00415AC5" w:rsidRPr="00416018" w:rsidRDefault="00415AC5" w:rsidP="0009520E">
            <w:pPr>
              <w:pStyle w:val="TableText0"/>
              <w:rPr>
                <w:b/>
                <w:bCs w:val="0"/>
              </w:rPr>
            </w:pPr>
            <w:r w:rsidRPr="00416018">
              <w:rPr>
                <w:b/>
                <w:bCs w:val="0"/>
              </w:rPr>
              <w:t>MIG</w:t>
            </w:r>
            <w:r w:rsidRPr="00416018">
              <w:rPr>
                <w:b/>
                <w:bCs w:val="0"/>
              </w:rPr>
              <w:br/>
              <w:t>N=36</w:t>
            </w:r>
          </w:p>
        </w:tc>
        <w:tc>
          <w:tcPr>
            <w:tcW w:w="943" w:type="pct"/>
            <w:tcBorders>
              <w:bottom w:val="single" w:sz="4" w:space="0" w:color="auto"/>
            </w:tcBorders>
          </w:tcPr>
          <w:p w14:paraId="60AD727C" w14:textId="77777777" w:rsidR="00415AC5" w:rsidRPr="00416018" w:rsidRDefault="00415AC5" w:rsidP="0009520E">
            <w:pPr>
              <w:pStyle w:val="TableText0"/>
              <w:rPr>
                <w:b/>
                <w:bCs w:val="0"/>
              </w:rPr>
            </w:pPr>
            <w:r w:rsidRPr="00416018">
              <w:rPr>
                <w:b/>
                <w:bCs w:val="0"/>
              </w:rPr>
              <w:t>ERT</w:t>
            </w:r>
            <w:r w:rsidRPr="00416018">
              <w:rPr>
                <w:b/>
                <w:bCs w:val="0"/>
              </w:rPr>
              <w:br/>
              <w:t>N=24</w:t>
            </w:r>
          </w:p>
        </w:tc>
        <w:tc>
          <w:tcPr>
            <w:tcW w:w="925" w:type="pct"/>
            <w:tcBorders>
              <w:bottom w:val="single" w:sz="4" w:space="0" w:color="auto"/>
            </w:tcBorders>
          </w:tcPr>
          <w:p w14:paraId="790DE519" w14:textId="77777777" w:rsidR="00415AC5" w:rsidRPr="00416018" w:rsidRDefault="00415AC5" w:rsidP="0009520E">
            <w:pPr>
              <w:pStyle w:val="TableText0"/>
              <w:rPr>
                <w:b/>
                <w:bCs w:val="0"/>
              </w:rPr>
            </w:pPr>
            <w:r w:rsidRPr="00416018">
              <w:rPr>
                <w:b/>
                <w:bCs w:val="0"/>
              </w:rPr>
              <w:t>MIG</w:t>
            </w:r>
            <w:r w:rsidRPr="00416018">
              <w:rPr>
                <w:b/>
                <w:bCs w:val="0"/>
              </w:rPr>
              <w:br/>
              <w:t>N=36</w:t>
            </w:r>
          </w:p>
        </w:tc>
        <w:tc>
          <w:tcPr>
            <w:tcW w:w="931" w:type="pct"/>
            <w:tcBorders>
              <w:bottom w:val="single" w:sz="4" w:space="0" w:color="auto"/>
            </w:tcBorders>
          </w:tcPr>
          <w:p w14:paraId="251AD90F" w14:textId="77777777" w:rsidR="00415AC5" w:rsidRPr="00416018" w:rsidRDefault="00415AC5" w:rsidP="0009520E">
            <w:pPr>
              <w:pStyle w:val="TableText0"/>
              <w:rPr>
                <w:b/>
                <w:bCs w:val="0"/>
              </w:rPr>
            </w:pPr>
            <w:r w:rsidRPr="00416018">
              <w:rPr>
                <w:b/>
                <w:bCs w:val="0"/>
              </w:rPr>
              <w:t>ERT</w:t>
            </w:r>
            <w:r w:rsidRPr="00416018">
              <w:rPr>
                <w:b/>
                <w:bCs w:val="0"/>
              </w:rPr>
              <w:br/>
              <w:t>N=24</w:t>
            </w:r>
          </w:p>
        </w:tc>
      </w:tr>
      <w:tr w:rsidR="00415AC5" w:rsidRPr="007B34AB" w14:paraId="352BD6F6" w14:textId="77777777">
        <w:tc>
          <w:tcPr>
            <w:tcW w:w="1278" w:type="pct"/>
            <w:tcBorders>
              <w:top w:val="single" w:sz="4" w:space="0" w:color="auto"/>
              <w:bottom w:val="single" w:sz="4" w:space="0" w:color="auto"/>
              <w:right w:val="single" w:sz="4" w:space="0" w:color="auto"/>
            </w:tcBorders>
            <w:vAlign w:val="center"/>
          </w:tcPr>
          <w:p w14:paraId="0596C0F6" w14:textId="77777777" w:rsidR="00415AC5" w:rsidRPr="005840A1" w:rsidRDefault="00415AC5" w:rsidP="0009520E">
            <w:pPr>
              <w:pStyle w:val="TableText0"/>
            </w:pPr>
            <w:r>
              <w:t>Analysis group</w:t>
            </w:r>
          </w:p>
        </w:tc>
        <w:tc>
          <w:tcPr>
            <w:tcW w:w="1866" w:type="pct"/>
            <w:gridSpan w:val="2"/>
            <w:tcBorders>
              <w:top w:val="single" w:sz="4" w:space="0" w:color="auto"/>
              <w:left w:val="single" w:sz="4" w:space="0" w:color="auto"/>
              <w:bottom w:val="single" w:sz="4" w:space="0" w:color="auto"/>
              <w:right w:val="single" w:sz="4" w:space="0" w:color="auto"/>
            </w:tcBorders>
            <w:vAlign w:val="center"/>
          </w:tcPr>
          <w:p w14:paraId="03754010" w14:textId="77777777" w:rsidR="00415AC5" w:rsidRPr="00EA0327" w:rsidRDefault="00415AC5" w:rsidP="0009520E">
            <w:pPr>
              <w:pStyle w:val="TableText0"/>
            </w:pPr>
            <w:proofErr w:type="spellStart"/>
            <w:r w:rsidRPr="00EA0327">
              <w:t>mITT</w:t>
            </w:r>
            <w:proofErr w:type="spellEnd"/>
            <w:r w:rsidRPr="00EA0327">
              <w:t xml:space="preserve"> amenable</w:t>
            </w:r>
          </w:p>
        </w:tc>
        <w:tc>
          <w:tcPr>
            <w:tcW w:w="1856" w:type="pct"/>
            <w:gridSpan w:val="2"/>
            <w:tcBorders>
              <w:top w:val="single" w:sz="4" w:space="0" w:color="auto"/>
              <w:left w:val="single" w:sz="4" w:space="0" w:color="auto"/>
              <w:bottom w:val="single" w:sz="4" w:space="0" w:color="auto"/>
              <w:right w:val="single" w:sz="4" w:space="0" w:color="auto"/>
            </w:tcBorders>
            <w:vAlign w:val="center"/>
          </w:tcPr>
          <w:p w14:paraId="44275D1C" w14:textId="77777777" w:rsidR="00415AC5" w:rsidRPr="00EA0327" w:rsidRDefault="00415AC5" w:rsidP="0009520E">
            <w:pPr>
              <w:pStyle w:val="TableText0"/>
            </w:pPr>
            <w:r w:rsidRPr="00EA0327">
              <w:t>Subgroup: LVH baseline</w:t>
            </w:r>
          </w:p>
        </w:tc>
      </w:tr>
      <w:tr w:rsidR="00415AC5" w:rsidRPr="007B34AB" w14:paraId="0C2419C3" w14:textId="77777777">
        <w:tc>
          <w:tcPr>
            <w:tcW w:w="1278" w:type="pct"/>
            <w:tcBorders>
              <w:top w:val="single" w:sz="4" w:space="0" w:color="auto"/>
              <w:bottom w:val="single" w:sz="4" w:space="0" w:color="auto"/>
              <w:right w:val="single" w:sz="4" w:space="0" w:color="auto"/>
            </w:tcBorders>
            <w:vAlign w:val="center"/>
          </w:tcPr>
          <w:p w14:paraId="6DE26266" w14:textId="77777777" w:rsidR="00415AC5" w:rsidRPr="00E517BA" w:rsidRDefault="00415AC5" w:rsidP="0009520E">
            <w:pPr>
              <w:pStyle w:val="TableText0"/>
              <w:rPr>
                <w:i/>
              </w:rPr>
            </w:pPr>
            <w:r>
              <w:t>LVMI (g/m</w:t>
            </w:r>
            <w:r w:rsidRPr="00657DD8">
              <w:rPr>
                <w:vertAlign w:val="superscript"/>
              </w:rPr>
              <w:t>2</w:t>
            </w:r>
            <w:r>
              <w:t>)</w:t>
            </w:r>
          </w:p>
        </w:tc>
        <w:tc>
          <w:tcPr>
            <w:tcW w:w="923" w:type="pct"/>
            <w:tcBorders>
              <w:top w:val="single" w:sz="4" w:space="0" w:color="auto"/>
              <w:left w:val="single" w:sz="4" w:space="0" w:color="auto"/>
              <w:bottom w:val="single" w:sz="4" w:space="0" w:color="auto"/>
              <w:right w:val="single" w:sz="4" w:space="0" w:color="auto"/>
            </w:tcBorders>
            <w:vAlign w:val="center"/>
          </w:tcPr>
          <w:p w14:paraId="20E5C464" w14:textId="77777777" w:rsidR="00415AC5" w:rsidRPr="00EA0327" w:rsidRDefault="00415AC5" w:rsidP="0009520E">
            <w:pPr>
              <w:pStyle w:val="TableText0"/>
            </w:pPr>
            <w:r w:rsidRPr="00EA0327">
              <w:t>n=34</w:t>
            </w:r>
          </w:p>
        </w:tc>
        <w:tc>
          <w:tcPr>
            <w:tcW w:w="943" w:type="pct"/>
            <w:tcBorders>
              <w:top w:val="single" w:sz="4" w:space="0" w:color="auto"/>
              <w:left w:val="single" w:sz="4" w:space="0" w:color="auto"/>
              <w:bottom w:val="single" w:sz="4" w:space="0" w:color="auto"/>
              <w:right w:val="single" w:sz="4" w:space="0" w:color="auto"/>
            </w:tcBorders>
            <w:vAlign w:val="center"/>
          </w:tcPr>
          <w:p w14:paraId="29ABE202" w14:textId="77777777" w:rsidR="00415AC5" w:rsidRPr="00EA0327" w:rsidRDefault="00415AC5" w:rsidP="0009520E">
            <w:pPr>
              <w:pStyle w:val="TableText0"/>
            </w:pPr>
            <w:r w:rsidRPr="00EA0327">
              <w:t>n=13</w:t>
            </w:r>
          </w:p>
        </w:tc>
        <w:tc>
          <w:tcPr>
            <w:tcW w:w="925" w:type="pct"/>
            <w:tcBorders>
              <w:top w:val="single" w:sz="4" w:space="0" w:color="auto"/>
              <w:left w:val="single" w:sz="4" w:space="0" w:color="auto"/>
              <w:bottom w:val="single" w:sz="4" w:space="0" w:color="auto"/>
              <w:right w:val="nil"/>
            </w:tcBorders>
            <w:vAlign w:val="center"/>
          </w:tcPr>
          <w:p w14:paraId="420A2A9D" w14:textId="77777777" w:rsidR="00415AC5" w:rsidRPr="00EA0327" w:rsidRDefault="00415AC5" w:rsidP="0009520E">
            <w:pPr>
              <w:pStyle w:val="TableText0"/>
            </w:pPr>
            <w:r w:rsidRPr="00EA0327">
              <w:t>n=13</w:t>
            </w:r>
          </w:p>
        </w:tc>
        <w:tc>
          <w:tcPr>
            <w:tcW w:w="931" w:type="pct"/>
            <w:tcBorders>
              <w:top w:val="single" w:sz="4" w:space="0" w:color="auto"/>
              <w:left w:val="single" w:sz="4" w:space="0" w:color="auto"/>
              <w:bottom w:val="single" w:sz="4" w:space="0" w:color="auto"/>
              <w:right w:val="single" w:sz="4" w:space="0" w:color="auto"/>
            </w:tcBorders>
            <w:vAlign w:val="center"/>
          </w:tcPr>
          <w:p w14:paraId="1B11923E" w14:textId="77777777" w:rsidR="00415AC5" w:rsidRPr="00EA0327" w:rsidRDefault="00415AC5" w:rsidP="0009520E">
            <w:pPr>
              <w:pStyle w:val="TableText0"/>
            </w:pPr>
            <w:r w:rsidRPr="00EA0327">
              <w:t>n=5</w:t>
            </w:r>
          </w:p>
        </w:tc>
      </w:tr>
      <w:tr w:rsidR="00415AC5" w:rsidRPr="007B34AB" w14:paraId="3C0DB4DA" w14:textId="77777777">
        <w:tc>
          <w:tcPr>
            <w:tcW w:w="1278" w:type="pct"/>
            <w:tcBorders>
              <w:top w:val="single" w:sz="4" w:space="0" w:color="auto"/>
              <w:bottom w:val="single" w:sz="4" w:space="0" w:color="auto"/>
              <w:right w:val="single" w:sz="4" w:space="0" w:color="auto"/>
            </w:tcBorders>
            <w:vAlign w:val="center"/>
          </w:tcPr>
          <w:p w14:paraId="5FFCFB05" w14:textId="77777777" w:rsidR="00415AC5" w:rsidRPr="00FC4205" w:rsidRDefault="00415AC5" w:rsidP="0009520E">
            <w:pPr>
              <w:pStyle w:val="TableText0"/>
            </w:pPr>
            <w:r w:rsidRPr="00FC4205">
              <w:t>Mean change (SD)</w:t>
            </w:r>
          </w:p>
        </w:tc>
        <w:tc>
          <w:tcPr>
            <w:tcW w:w="923" w:type="pct"/>
            <w:tcBorders>
              <w:top w:val="single" w:sz="4" w:space="0" w:color="auto"/>
              <w:left w:val="single" w:sz="4" w:space="0" w:color="auto"/>
              <w:bottom w:val="single" w:sz="4" w:space="0" w:color="auto"/>
              <w:right w:val="single" w:sz="4" w:space="0" w:color="auto"/>
            </w:tcBorders>
            <w:vAlign w:val="center"/>
          </w:tcPr>
          <w:p w14:paraId="0736DCF7" w14:textId="77777777" w:rsidR="00415AC5" w:rsidRPr="00EA0327" w:rsidRDefault="00415AC5" w:rsidP="0009520E">
            <w:pPr>
              <w:pStyle w:val="TableText0"/>
            </w:pPr>
            <w:r w:rsidRPr="00EA0327">
              <w:t>-6.6 (12.08)</w:t>
            </w:r>
          </w:p>
        </w:tc>
        <w:tc>
          <w:tcPr>
            <w:tcW w:w="943" w:type="pct"/>
            <w:tcBorders>
              <w:top w:val="single" w:sz="4" w:space="0" w:color="auto"/>
              <w:left w:val="single" w:sz="4" w:space="0" w:color="auto"/>
              <w:bottom w:val="single" w:sz="4" w:space="0" w:color="auto"/>
              <w:right w:val="single" w:sz="4" w:space="0" w:color="auto"/>
            </w:tcBorders>
            <w:vAlign w:val="center"/>
          </w:tcPr>
          <w:p w14:paraId="5EC7A3A7" w14:textId="77777777" w:rsidR="00415AC5" w:rsidRPr="00EA0327" w:rsidRDefault="00415AC5" w:rsidP="0009520E">
            <w:pPr>
              <w:pStyle w:val="TableText0"/>
            </w:pPr>
            <w:r w:rsidRPr="00EA0327">
              <w:t>−2.0 (14.86)</w:t>
            </w:r>
          </w:p>
        </w:tc>
        <w:tc>
          <w:tcPr>
            <w:tcW w:w="925" w:type="pct"/>
            <w:tcBorders>
              <w:top w:val="single" w:sz="4" w:space="0" w:color="auto"/>
              <w:left w:val="single" w:sz="4" w:space="0" w:color="auto"/>
              <w:bottom w:val="single" w:sz="4" w:space="0" w:color="auto"/>
              <w:right w:val="nil"/>
            </w:tcBorders>
            <w:vAlign w:val="center"/>
          </w:tcPr>
          <w:p w14:paraId="2BDE3927" w14:textId="77777777" w:rsidR="00415AC5" w:rsidRPr="00EA0327" w:rsidRDefault="00415AC5" w:rsidP="0009520E">
            <w:pPr>
              <w:pStyle w:val="TableText0"/>
            </w:pPr>
            <w:r w:rsidRPr="00EA0327">
              <w:t>-8.4 (10.67)</w:t>
            </w:r>
          </w:p>
        </w:tc>
        <w:tc>
          <w:tcPr>
            <w:tcW w:w="931" w:type="pct"/>
            <w:tcBorders>
              <w:top w:val="single" w:sz="4" w:space="0" w:color="auto"/>
              <w:left w:val="single" w:sz="4" w:space="0" w:color="auto"/>
              <w:bottom w:val="single" w:sz="4" w:space="0" w:color="auto"/>
              <w:right w:val="single" w:sz="4" w:space="0" w:color="auto"/>
            </w:tcBorders>
            <w:vAlign w:val="center"/>
          </w:tcPr>
          <w:p w14:paraId="07434DD6" w14:textId="77777777" w:rsidR="00415AC5" w:rsidRPr="00EA0327" w:rsidRDefault="00415AC5" w:rsidP="0009520E">
            <w:pPr>
              <w:pStyle w:val="TableText0"/>
            </w:pPr>
            <w:r w:rsidRPr="00EA0327">
              <w:t>4.5 (20.45)</w:t>
            </w:r>
          </w:p>
        </w:tc>
      </w:tr>
      <w:tr w:rsidR="00415AC5" w:rsidRPr="007B34AB" w14:paraId="0DAE4869" w14:textId="77777777">
        <w:tc>
          <w:tcPr>
            <w:tcW w:w="1278" w:type="pct"/>
            <w:tcBorders>
              <w:top w:val="single" w:sz="4" w:space="0" w:color="auto"/>
              <w:bottom w:val="single" w:sz="4" w:space="0" w:color="auto"/>
              <w:right w:val="single" w:sz="4" w:space="0" w:color="auto"/>
            </w:tcBorders>
            <w:vAlign w:val="center"/>
          </w:tcPr>
          <w:p w14:paraId="74DFEC2E" w14:textId="77777777" w:rsidR="00415AC5" w:rsidRPr="00FC4205" w:rsidRDefault="00415AC5" w:rsidP="0009520E">
            <w:pPr>
              <w:pStyle w:val="TableText0"/>
            </w:pPr>
            <w:r w:rsidRPr="00FC4205">
              <w:t>95% CI</w:t>
            </w:r>
          </w:p>
        </w:tc>
        <w:tc>
          <w:tcPr>
            <w:tcW w:w="923" w:type="pct"/>
            <w:tcBorders>
              <w:top w:val="single" w:sz="4" w:space="0" w:color="auto"/>
              <w:left w:val="single" w:sz="4" w:space="0" w:color="auto"/>
              <w:bottom w:val="single" w:sz="4" w:space="0" w:color="auto"/>
              <w:right w:val="single" w:sz="4" w:space="0" w:color="auto"/>
            </w:tcBorders>
            <w:vAlign w:val="center"/>
          </w:tcPr>
          <w:p w14:paraId="4D748A82" w14:textId="77777777" w:rsidR="00415AC5" w:rsidRPr="00EA0327" w:rsidRDefault="00415AC5" w:rsidP="0009520E">
            <w:pPr>
              <w:pStyle w:val="TableText0"/>
            </w:pPr>
            <w:r w:rsidRPr="00EA0327">
              <w:t>-11.01,</w:t>
            </w:r>
            <w:r>
              <w:t xml:space="preserve"> </w:t>
            </w:r>
            <w:r w:rsidRPr="00EA0327">
              <w:t>-2.15</w:t>
            </w:r>
          </w:p>
        </w:tc>
        <w:tc>
          <w:tcPr>
            <w:tcW w:w="943" w:type="pct"/>
            <w:tcBorders>
              <w:top w:val="single" w:sz="4" w:space="0" w:color="auto"/>
              <w:left w:val="single" w:sz="4" w:space="0" w:color="auto"/>
              <w:bottom w:val="single" w:sz="4" w:space="0" w:color="auto"/>
              <w:right w:val="single" w:sz="4" w:space="0" w:color="auto"/>
            </w:tcBorders>
            <w:vAlign w:val="center"/>
          </w:tcPr>
          <w:p w14:paraId="0AF2895A" w14:textId="77777777" w:rsidR="00415AC5" w:rsidRPr="00EA0327" w:rsidRDefault="00415AC5" w:rsidP="0009520E">
            <w:pPr>
              <w:pStyle w:val="TableText0"/>
            </w:pPr>
            <w:r w:rsidRPr="00EA0327">
              <w:t>-10.99, 6.96</w:t>
            </w:r>
          </w:p>
        </w:tc>
        <w:tc>
          <w:tcPr>
            <w:tcW w:w="925" w:type="pct"/>
            <w:tcBorders>
              <w:top w:val="single" w:sz="4" w:space="0" w:color="auto"/>
              <w:left w:val="single" w:sz="4" w:space="0" w:color="auto"/>
              <w:bottom w:val="single" w:sz="4" w:space="0" w:color="auto"/>
              <w:right w:val="nil"/>
            </w:tcBorders>
            <w:vAlign w:val="center"/>
          </w:tcPr>
          <w:p w14:paraId="158BF94C" w14:textId="77777777" w:rsidR="00415AC5" w:rsidRPr="00EA0327" w:rsidRDefault="00415AC5" w:rsidP="0009520E">
            <w:pPr>
              <w:pStyle w:val="TableText0"/>
            </w:pPr>
            <w:r w:rsidRPr="00EA0327">
              <w:t>-15.69, 2.56</w:t>
            </w:r>
          </w:p>
        </w:tc>
        <w:tc>
          <w:tcPr>
            <w:tcW w:w="931" w:type="pct"/>
            <w:tcBorders>
              <w:top w:val="single" w:sz="4" w:space="0" w:color="auto"/>
              <w:left w:val="single" w:sz="4" w:space="0" w:color="auto"/>
              <w:bottom w:val="single" w:sz="4" w:space="0" w:color="auto"/>
              <w:right w:val="single" w:sz="4" w:space="0" w:color="auto"/>
            </w:tcBorders>
            <w:vAlign w:val="center"/>
          </w:tcPr>
          <w:p w14:paraId="35E7838B" w14:textId="77777777" w:rsidR="00415AC5" w:rsidRPr="00EA0327" w:rsidRDefault="00415AC5" w:rsidP="0009520E">
            <w:pPr>
              <w:pStyle w:val="TableText0"/>
            </w:pPr>
            <w:r w:rsidRPr="00EA0327">
              <w:t>-10.71, 18.43</w:t>
            </w:r>
          </w:p>
        </w:tc>
      </w:tr>
      <w:tr w:rsidR="00415AC5" w:rsidRPr="007B34AB" w14:paraId="5F08C1C7" w14:textId="77777777">
        <w:tc>
          <w:tcPr>
            <w:tcW w:w="1278" w:type="pct"/>
            <w:tcBorders>
              <w:top w:val="nil"/>
              <w:bottom w:val="single" w:sz="4" w:space="0" w:color="auto"/>
              <w:right w:val="single" w:sz="4" w:space="0" w:color="auto"/>
            </w:tcBorders>
            <w:vAlign w:val="center"/>
          </w:tcPr>
          <w:p w14:paraId="721CA09C" w14:textId="77777777" w:rsidR="00415AC5" w:rsidRPr="00521E5C" w:rsidRDefault="00415AC5" w:rsidP="0009520E">
            <w:pPr>
              <w:pStyle w:val="TableText0"/>
              <w:rPr>
                <w:i/>
              </w:rPr>
            </w:pPr>
            <w:r>
              <w:t>Mean diff (95% CI)</w:t>
            </w:r>
          </w:p>
        </w:tc>
        <w:tc>
          <w:tcPr>
            <w:tcW w:w="1866" w:type="pct"/>
            <w:gridSpan w:val="2"/>
            <w:tcBorders>
              <w:top w:val="nil"/>
              <w:left w:val="single" w:sz="4" w:space="0" w:color="auto"/>
              <w:bottom w:val="single" w:sz="4" w:space="0" w:color="auto"/>
              <w:right w:val="single" w:sz="4" w:space="0" w:color="auto"/>
            </w:tcBorders>
            <w:vAlign w:val="center"/>
          </w:tcPr>
          <w:p w14:paraId="4F4A70EA" w14:textId="77777777" w:rsidR="00415AC5" w:rsidRPr="00EA0327" w:rsidRDefault="00415AC5" w:rsidP="0009520E">
            <w:pPr>
              <w:pStyle w:val="TableText0"/>
            </w:pPr>
            <w:r w:rsidRPr="00EA0327">
              <w:t>-4.60 (-13.97, 4.77)</w:t>
            </w:r>
            <w:r>
              <w:t xml:space="preserve"> </w:t>
            </w:r>
            <w:r w:rsidRPr="00EA0327">
              <w:t>p=NS</w:t>
            </w:r>
          </w:p>
        </w:tc>
        <w:tc>
          <w:tcPr>
            <w:tcW w:w="1856" w:type="pct"/>
            <w:gridSpan w:val="2"/>
            <w:tcBorders>
              <w:top w:val="nil"/>
              <w:left w:val="single" w:sz="4" w:space="0" w:color="auto"/>
              <w:bottom w:val="single" w:sz="4" w:space="0" w:color="auto"/>
              <w:right w:val="single" w:sz="4" w:space="0" w:color="auto"/>
            </w:tcBorders>
            <w:vAlign w:val="center"/>
          </w:tcPr>
          <w:p w14:paraId="75DA9EBD" w14:textId="77777777" w:rsidR="00415AC5" w:rsidRPr="00EA0327" w:rsidRDefault="00415AC5" w:rsidP="0009520E">
            <w:pPr>
              <w:pStyle w:val="TableText0"/>
            </w:pPr>
            <w:r w:rsidRPr="00EA0327">
              <w:t>-12.90 (-31.99, 6.19)</w:t>
            </w:r>
            <w:r>
              <w:t xml:space="preserve"> </w:t>
            </w:r>
            <w:r w:rsidRPr="00EA0327">
              <w:t>p=NS</w:t>
            </w:r>
          </w:p>
        </w:tc>
      </w:tr>
    </w:tbl>
    <w:p w14:paraId="6DFED8B7" w14:textId="77777777" w:rsidR="00415AC5" w:rsidRDefault="00415AC5" w:rsidP="005A2403">
      <w:pPr>
        <w:pStyle w:val="TableFigureFooter"/>
      </w:pPr>
      <w:bookmarkStart w:id="44" w:name="_Toc22897642"/>
      <w:r>
        <w:t>Source: Table 5 of migalastat, PSD, March 2017 PBAC meeting</w:t>
      </w:r>
    </w:p>
    <w:p w14:paraId="64CCD41F" w14:textId="6C1A967E" w:rsidR="00415AC5" w:rsidRDefault="00415AC5" w:rsidP="005A2403">
      <w:pPr>
        <w:pStyle w:val="TableFigureFooter"/>
      </w:pPr>
      <w:r>
        <w:t xml:space="preserve">Abbreviations: CI, confidence interval; </w:t>
      </w:r>
      <w:r w:rsidR="008234F2">
        <w:t>diff, difference;</w:t>
      </w:r>
      <w:r>
        <w:t xml:space="preserve"> ERT, enzyme replacement therapy; LVH, left ventricular hypertrophy; LVMI, Left Ventricular Mass Index; MIG, migalastat; N, number; NS, not significant; PBAC, Pharmaceutical Benefits Advisory Committee; PSD, Public Summary Document; SD, standard deviation. </w:t>
      </w:r>
    </w:p>
    <w:p w14:paraId="20F29BFB" w14:textId="3DF3BAEC" w:rsidR="00415AC5" w:rsidRDefault="00415AC5" w:rsidP="005A2403">
      <w:pPr>
        <w:pStyle w:val="TableFigureFooter"/>
      </w:pPr>
      <w:r>
        <w:lastRenderedPageBreak/>
        <w:t xml:space="preserve">Note: Mean differences were calculated post hoc. </w:t>
      </w:r>
    </w:p>
    <w:p w14:paraId="1656A32F" w14:textId="59BF242C" w:rsidR="00415AC5" w:rsidRPr="000507D6" w:rsidRDefault="00415AC5" w:rsidP="009D09F4">
      <w:pPr>
        <w:pStyle w:val="3-BodyText"/>
      </w:pPr>
      <w:r w:rsidRPr="004E49B7">
        <w:t xml:space="preserve">In ATTRACT, the mean difference in LVMI between the migalastat group and ERT group was not statistically significant for the </w:t>
      </w:r>
      <w:proofErr w:type="spellStart"/>
      <w:r w:rsidRPr="004E49B7">
        <w:t>mITT</w:t>
      </w:r>
      <w:proofErr w:type="spellEnd"/>
      <w:r w:rsidRPr="004E49B7">
        <w:t xml:space="preserve"> population (mean difference: -4.60; </w:t>
      </w:r>
      <w:r w:rsidR="009721FB">
        <w:br/>
      </w:r>
      <w:r w:rsidRPr="004E49B7">
        <w:t>95% CI: -4.77, 13.97) or LVH subgroup (mean difference: -12.90; 95% CI: -31.99, 6.19).</w:t>
      </w:r>
      <w:r w:rsidRPr="004E49B7">
        <w:rPr>
          <w:i/>
          <w:iCs/>
        </w:rPr>
        <w:t xml:space="preserve"> </w:t>
      </w:r>
      <w:r w:rsidRPr="000507D6">
        <w:t xml:space="preserve">The sample size for patients with LVH at baseline was further reduced from the overall sample, and based on the available data, it was unclear if treatment with migalastat resulted in a reduction in LVMI in patients with LVH at baseline compared with those in the </w:t>
      </w:r>
      <w:proofErr w:type="spellStart"/>
      <w:r w:rsidRPr="000507D6">
        <w:t>mITT</w:t>
      </w:r>
      <w:proofErr w:type="spellEnd"/>
      <w:r w:rsidRPr="000507D6">
        <w:t xml:space="preserve"> amenable population (para</w:t>
      </w:r>
      <w:r w:rsidR="00FC40ED" w:rsidRPr="000507D6">
        <w:t>graph</w:t>
      </w:r>
      <w:r w:rsidRPr="000507D6">
        <w:t xml:space="preserve"> 6.15, migalastat, PSD, March 2017 PBAC meeting).</w:t>
      </w:r>
    </w:p>
    <w:p w14:paraId="14BF01FE" w14:textId="60DA90FD" w:rsidR="00415AC5" w:rsidRPr="000507D6" w:rsidRDefault="00860BB5" w:rsidP="009D09F4">
      <w:pPr>
        <w:pStyle w:val="3-BodyText"/>
      </w:pPr>
      <w:r w:rsidRPr="000507D6">
        <w:t>At</w:t>
      </w:r>
      <w:r w:rsidR="00392DE3" w:rsidRPr="000507D6">
        <w:t xml:space="preserve"> its March 2017 consideration of migalastat, t</w:t>
      </w:r>
      <w:r w:rsidR="00415AC5" w:rsidRPr="000507D6">
        <w:t>he PBAC did not accept the submission’s claim that, based on the change in LVMI, migalastat was superior to ERT in reducing LVMI in Fabry patients. The PBAC recalled that it has previously considered the clinical relevance of left ventricular mass as an outcome in Fabry patients to be uncertain (para</w:t>
      </w:r>
      <w:r w:rsidR="00CC4A21" w:rsidRPr="000507D6">
        <w:t>graph</w:t>
      </w:r>
      <w:r w:rsidR="00415AC5" w:rsidRPr="000507D6">
        <w:t xml:space="preserve"> 7.5, migalastat, PSD, March</w:t>
      </w:r>
      <w:r w:rsidR="008360E6" w:rsidRPr="000507D6">
        <w:t> </w:t>
      </w:r>
      <w:r w:rsidR="00415AC5" w:rsidRPr="000507D6">
        <w:t>2017 PBAC meeting).</w:t>
      </w:r>
    </w:p>
    <w:p w14:paraId="7EBC1E6C" w14:textId="77777777" w:rsidR="00415AC5" w:rsidRDefault="00415AC5" w:rsidP="009D09F4">
      <w:pPr>
        <w:pStyle w:val="3-BodyText"/>
      </w:pPr>
      <w:r>
        <w:t xml:space="preserve">In BALANCE, there was no statistically significant difference in mean LVMI between pegunigalsidase alfa and agalsidase beta in patients with hypertrophy (MD=-7.410; 95% CI: -44.904, 30.084 in males and MD= -10.563; 95% CI:-56.257, 51.292 in females) and patients without hypertrophy (MD=-2.427; 95% CI: -16.573, 11.912 in males and MD= -6.502; 95% CI: -6.582, 19.586 in females). </w:t>
      </w:r>
      <w:r w:rsidRPr="00086184">
        <w:t>Noting that there was a high variability as suggested by the wide CIs and low sample sizes in the subgroups.</w:t>
      </w:r>
    </w:p>
    <w:p w14:paraId="11E81B6F" w14:textId="77777777" w:rsidR="00415AC5" w:rsidRPr="000507D6" w:rsidRDefault="00415AC5" w:rsidP="009D09F4">
      <w:pPr>
        <w:pStyle w:val="3-BodyText"/>
      </w:pPr>
      <w:r w:rsidRPr="000507D6">
        <w:t>Overall, both BALANCE and ATTRACT trials showed no significant differences in terms of annualised change in eGFR slope and change in LVMI between respective drugs, noting the small sample sizes.</w:t>
      </w:r>
    </w:p>
    <w:p w14:paraId="1452C351" w14:textId="0D19F1B0" w:rsidR="00B60939" w:rsidRPr="0098262F" w:rsidRDefault="00B60939" w:rsidP="009D09F4">
      <w:pPr>
        <w:pStyle w:val="4-SubsectionHeading"/>
        <w:keepNext w:val="0"/>
      </w:pPr>
      <w:bookmarkStart w:id="45" w:name="_Toc198734222"/>
      <w:r w:rsidRPr="0098262F">
        <w:t>Comparative harms</w:t>
      </w:r>
      <w:bookmarkEnd w:id="44"/>
      <w:bookmarkEnd w:id="45"/>
    </w:p>
    <w:p w14:paraId="0B421953" w14:textId="77777777" w:rsidR="00920729" w:rsidRPr="001B05A3" w:rsidRDefault="00920729" w:rsidP="009D09F4">
      <w:pPr>
        <w:pStyle w:val="5-SubsectionSubheading"/>
        <w:keepNext w:val="0"/>
      </w:pPr>
      <w:bookmarkStart w:id="46" w:name="_Toc197013316"/>
      <w:bookmarkStart w:id="47" w:name="_Toc198734223"/>
      <w:r>
        <w:t xml:space="preserve">Direct comparison of </w:t>
      </w:r>
      <w:r w:rsidRPr="00722DCA">
        <w:t>pegunigalsidase alfa</w:t>
      </w:r>
      <w:r>
        <w:t xml:space="preserve"> versus </w:t>
      </w:r>
      <w:r w:rsidRPr="00755391">
        <w:rPr>
          <w:szCs w:val="22"/>
        </w:rPr>
        <w:t>agalsidase beta</w:t>
      </w:r>
      <w:bookmarkEnd w:id="46"/>
      <w:bookmarkEnd w:id="47"/>
      <w:r w:rsidRPr="00456281">
        <w:t xml:space="preserve"> </w:t>
      </w:r>
    </w:p>
    <w:p w14:paraId="01D22AD8" w14:textId="24E5027C" w:rsidR="00B50E6E" w:rsidRDefault="00920729" w:rsidP="009D09F4">
      <w:pPr>
        <w:pStyle w:val="3-BodyText"/>
        <w:keepLines/>
      </w:pPr>
      <w:r w:rsidRPr="00BD3514">
        <w:t>The key safety outcomes occurring in patients treated with pegunigalsidase alfa versus agalsidase beta in the BALANCE trial are summarised in</w:t>
      </w:r>
      <w:r>
        <w:t xml:space="preserve"> </w:t>
      </w:r>
      <w:r>
        <w:fldChar w:fldCharType="begin" w:fldLock="1"/>
      </w:r>
      <w:r>
        <w:instrText xml:space="preserve"> REF _Ref195472716 \h </w:instrText>
      </w:r>
      <w:r>
        <w:fldChar w:fldCharType="separate"/>
      </w:r>
      <w:r w:rsidR="004E7462">
        <w:t xml:space="preserve">Table </w:t>
      </w:r>
      <w:r w:rsidR="004E7462">
        <w:rPr>
          <w:noProof/>
        </w:rPr>
        <w:t>9</w:t>
      </w:r>
      <w:r>
        <w:fldChar w:fldCharType="end"/>
      </w:r>
      <w:r w:rsidRPr="00BD3514">
        <w:t xml:space="preserve">. </w:t>
      </w:r>
      <w:r>
        <w:fldChar w:fldCharType="begin" w:fldLock="1"/>
      </w:r>
      <w:r>
        <w:instrText xml:space="preserve"> REF _Ref195472833 \h </w:instrText>
      </w:r>
      <w:r>
        <w:fldChar w:fldCharType="separate"/>
      </w:r>
      <w:r w:rsidR="004E7462">
        <w:t xml:space="preserve">Figure </w:t>
      </w:r>
      <w:r w:rsidR="004E7462">
        <w:rPr>
          <w:noProof/>
        </w:rPr>
        <w:t>1</w:t>
      </w:r>
      <w:r>
        <w:fldChar w:fldCharType="end"/>
      </w:r>
      <w:r>
        <w:t xml:space="preserve"> </w:t>
      </w:r>
      <w:r w:rsidRPr="00BD3514">
        <w:t xml:space="preserve">shows the rates of patients who tested positive for </w:t>
      </w:r>
      <w:r>
        <w:t>anti-drug antibodies (</w:t>
      </w:r>
      <w:r w:rsidRPr="00BD3514">
        <w:t>ADAs</w:t>
      </w:r>
      <w:r>
        <w:t>)</w:t>
      </w:r>
      <w:r w:rsidRPr="00BD3514">
        <w:t xml:space="preserve"> and neutralising antibodies to their respective treatment over</w:t>
      </w:r>
      <w:r>
        <w:t xml:space="preserve"> </w:t>
      </w:r>
      <w:r w:rsidRPr="00BD3514">
        <w:t xml:space="preserve">time in </w:t>
      </w:r>
      <w:r w:rsidR="007E5409">
        <w:t>the</w:t>
      </w:r>
      <w:r w:rsidRPr="00BD3514">
        <w:t xml:space="preserve"> BALANCE trial. A description of the use of infusion premedication was presented in the submission and is included below.</w:t>
      </w:r>
    </w:p>
    <w:p w14:paraId="2E5B62EA" w14:textId="77777777" w:rsidR="00B50E6E" w:rsidRDefault="00B50E6E">
      <w:pPr>
        <w:jc w:val="left"/>
        <w:rPr>
          <w:rFonts w:asciiTheme="minorHAnsi" w:eastAsiaTheme="minorHAnsi" w:hAnsiTheme="minorHAnsi" w:cstheme="minorBidi"/>
          <w:szCs w:val="22"/>
        </w:rPr>
      </w:pPr>
      <w:r>
        <w:br w:type="page"/>
      </w:r>
    </w:p>
    <w:p w14:paraId="76C261F4" w14:textId="16AE1EA9" w:rsidR="00920729" w:rsidRDefault="00920729" w:rsidP="007F0B21">
      <w:pPr>
        <w:pStyle w:val="Caption"/>
      </w:pPr>
      <w:bookmarkStart w:id="48" w:name="_Ref195472716"/>
      <w:r>
        <w:lastRenderedPageBreak/>
        <w:t xml:space="preserve">Table </w:t>
      </w:r>
      <w:r w:rsidR="004E7462">
        <w:fldChar w:fldCharType="begin" w:fldLock="1"/>
      </w:r>
      <w:r w:rsidR="004E7462">
        <w:instrText xml:space="preserve"> SEQ Table \* ARABIC </w:instrText>
      </w:r>
      <w:r w:rsidR="004E7462">
        <w:fldChar w:fldCharType="separate"/>
      </w:r>
      <w:r w:rsidR="004E7462">
        <w:rPr>
          <w:noProof/>
        </w:rPr>
        <w:t>9</w:t>
      </w:r>
      <w:r w:rsidR="004E7462">
        <w:rPr>
          <w:noProof/>
        </w:rPr>
        <w:fldChar w:fldCharType="end"/>
      </w:r>
      <w:bookmarkEnd w:id="48"/>
      <w:r>
        <w:t xml:space="preserve">: </w:t>
      </w:r>
      <w:r w:rsidRPr="007337A8">
        <w:t>Summary of key safety outcomes of pegunigalsidase alfa vs agalsidase beta in BALANCE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Table 9: Summary of key safety outcomes of pegunigalsidase alfa vs agalsidase beta in BALANCE"/>
      </w:tblPr>
      <w:tblGrid>
        <w:gridCol w:w="2544"/>
        <w:gridCol w:w="1618"/>
        <w:gridCol w:w="1618"/>
        <w:gridCol w:w="1618"/>
        <w:gridCol w:w="1619"/>
      </w:tblGrid>
      <w:tr w:rsidR="00920729" w:rsidRPr="00755391" w14:paraId="01EF83DC" w14:textId="77777777" w:rsidTr="00DF00F0">
        <w:trPr>
          <w:trHeight w:val="86"/>
          <w:tblHeader/>
        </w:trPr>
        <w:tc>
          <w:tcPr>
            <w:tcW w:w="1411" w:type="pct"/>
            <w:vMerge w:val="restart"/>
          </w:tcPr>
          <w:p w14:paraId="1A34C468" w14:textId="77777777" w:rsidR="00920729" w:rsidRPr="00755391" w:rsidRDefault="00920729" w:rsidP="0009520E">
            <w:pPr>
              <w:pStyle w:val="TableText0"/>
              <w:rPr>
                <w:lang w:eastAsia="en-IN"/>
              </w:rPr>
            </w:pPr>
          </w:p>
        </w:tc>
        <w:tc>
          <w:tcPr>
            <w:tcW w:w="1794" w:type="pct"/>
            <w:gridSpan w:val="2"/>
          </w:tcPr>
          <w:p w14:paraId="755F9070" w14:textId="77777777" w:rsidR="00920729" w:rsidRPr="00E349CB" w:rsidRDefault="00920729" w:rsidP="0009520E">
            <w:pPr>
              <w:pStyle w:val="TableText0"/>
              <w:rPr>
                <w:b/>
                <w:bCs w:val="0"/>
                <w:lang w:eastAsia="en-IN"/>
              </w:rPr>
            </w:pPr>
            <w:r w:rsidRPr="00E349CB">
              <w:rPr>
                <w:b/>
                <w:bCs w:val="0"/>
                <w:lang w:eastAsia="en-IN"/>
              </w:rPr>
              <w:t>Pegunigalsidase alfa (N = 52)</w:t>
            </w:r>
          </w:p>
        </w:tc>
        <w:tc>
          <w:tcPr>
            <w:tcW w:w="1795" w:type="pct"/>
            <w:gridSpan w:val="2"/>
          </w:tcPr>
          <w:p w14:paraId="6E34FD8A" w14:textId="77777777" w:rsidR="00920729" w:rsidRPr="00E349CB" w:rsidRDefault="00920729" w:rsidP="0009520E">
            <w:pPr>
              <w:pStyle w:val="TableText0"/>
              <w:rPr>
                <w:b/>
                <w:bCs w:val="0"/>
                <w:lang w:eastAsia="en-IN"/>
              </w:rPr>
            </w:pPr>
            <w:r w:rsidRPr="00E349CB">
              <w:rPr>
                <w:b/>
                <w:bCs w:val="0"/>
                <w:lang w:eastAsia="en-IN"/>
              </w:rPr>
              <w:t>Agalsidase beta (N = 25)</w:t>
            </w:r>
          </w:p>
        </w:tc>
      </w:tr>
      <w:tr w:rsidR="00920729" w:rsidRPr="00755391" w14:paraId="52BA6EA5" w14:textId="77777777" w:rsidTr="00956198">
        <w:trPr>
          <w:trHeight w:val="445"/>
          <w:tblHeader/>
        </w:trPr>
        <w:tc>
          <w:tcPr>
            <w:tcW w:w="1411" w:type="pct"/>
            <w:vMerge/>
          </w:tcPr>
          <w:p w14:paraId="5CA2319D" w14:textId="77777777" w:rsidR="00920729" w:rsidRPr="00755391" w:rsidRDefault="00920729" w:rsidP="0009520E">
            <w:pPr>
              <w:pStyle w:val="TableText0"/>
              <w:rPr>
                <w:lang w:eastAsia="en-IN"/>
              </w:rPr>
            </w:pPr>
          </w:p>
        </w:tc>
        <w:tc>
          <w:tcPr>
            <w:tcW w:w="897" w:type="pct"/>
          </w:tcPr>
          <w:p w14:paraId="555631B2" w14:textId="77777777" w:rsidR="00920729" w:rsidRPr="00E349CB" w:rsidRDefault="00920729" w:rsidP="0009520E">
            <w:pPr>
              <w:pStyle w:val="TableText0"/>
              <w:rPr>
                <w:b/>
                <w:bCs w:val="0"/>
                <w:lang w:eastAsia="en-IN"/>
              </w:rPr>
            </w:pPr>
            <w:r w:rsidRPr="00E349CB">
              <w:rPr>
                <w:b/>
                <w:bCs w:val="0"/>
                <w:lang w:eastAsia="en-IN"/>
              </w:rPr>
              <w:t>Number of</w:t>
            </w:r>
          </w:p>
          <w:p w14:paraId="66BD6C74" w14:textId="77777777" w:rsidR="00920729" w:rsidRPr="00E349CB" w:rsidRDefault="00920729" w:rsidP="0009520E">
            <w:pPr>
              <w:pStyle w:val="TableText0"/>
              <w:rPr>
                <w:b/>
                <w:bCs w:val="0"/>
                <w:lang w:eastAsia="en-IN"/>
              </w:rPr>
            </w:pPr>
            <w:r w:rsidRPr="00E349CB">
              <w:rPr>
                <w:b/>
                <w:bCs w:val="0"/>
                <w:lang w:eastAsia="en-IN"/>
              </w:rPr>
              <w:t>patients with at</w:t>
            </w:r>
          </w:p>
          <w:p w14:paraId="0BF68279" w14:textId="77777777" w:rsidR="00920729" w:rsidRPr="00E349CB" w:rsidRDefault="00920729" w:rsidP="0009520E">
            <w:pPr>
              <w:pStyle w:val="TableText0"/>
              <w:rPr>
                <w:b/>
                <w:bCs w:val="0"/>
                <w:lang w:eastAsia="en-IN"/>
              </w:rPr>
            </w:pPr>
            <w:r w:rsidRPr="00E349CB">
              <w:rPr>
                <w:b/>
                <w:bCs w:val="0"/>
                <w:lang w:eastAsia="en-IN"/>
              </w:rPr>
              <w:t>least one event,</w:t>
            </w:r>
          </w:p>
          <w:p w14:paraId="0AF817C1" w14:textId="77777777" w:rsidR="00920729" w:rsidRPr="00E349CB" w:rsidRDefault="00920729" w:rsidP="0009520E">
            <w:pPr>
              <w:pStyle w:val="TableText0"/>
              <w:rPr>
                <w:b/>
                <w:bCs w:val="0"/>
                <w:lang w:eastAsia="en-IN"/>
              </w:rPr>
            </w:pPr>
            <w:r w:rsidRPr="00E349CB">
              <w:rPr>
                <w:b/>
                <w:bCs w:val="0"/>
                <w:lang w:eastAsia="en-IN"/>
              </w:rPr>
              <w:t>n (%)</w:t>
            </w:r>
          </w:p>
        </w:tc>
        <w:tc>
          <w:tcPr>
            <w:tcW w:w="897" w:type="pct"/>
          </w:tcPr>
          <w:p w14:paraId="6AB3F8A3" w14:textId="77777777" w:rsidR="00920729" w:rsidRPr="00E349CB" w:rsidRDefault="00920729" w:rsidP="0009520E">
            <w:pPr>
              <w:pStyle w:val="TableText0"/>
              <w:rPr>
                <w:b/>
                <w:bCs w:val="0"/>
                <w:lang w:eastAsia="en-IN"/>
              </w:rPr>
            </w:pPr>
            <w:r w:rsidRPr="00E349CB">
              <w:rPr>
                <w:b/>
                <w:bCs w:val="0"/>
                <w:lang w:eastAsia="en-IN"/>
              </w:rPr>
              <w:t>Number of events</w:t>
            </w:r>
          </w:p>
          <w:p w14:paraId="155687E5" w14:textId="77777777" w:rsidR="00920729" w:rsidRPr="00E349CB" w:rsidRDefault="00920729" w:rsidP="0009520E">
            <w:pPr>
              <w:pStyle w:val="TableText0"/>
              <w:rPr>
                <w:b/>
                <w:bCs w:val="0"/>
                <w:lang w:eastAsia="en-IN"/>
              </w:rPr>
            </w:pPr>
            <w:r w:rsidRPr="00E349CB">
              <w:rPr>
                <w:b/>
                <w:bCs w:val="0"/>
                <w:lang w:eastAsia="en-IN"/>
              </w:rPr>
              <w:t>(rate)</w:t>
            </w:r>
            <w:r w:rsidRPr="00E349CB">
              <w:rPr>
                <w:b/>
                <w:bCs w:val="0"/>
                <w:vertAlign w:val="superscript"/>
                <w:lang w:eastAsia="en-IN"/>
              </w:rPr>
              <w:t>a</w:t>
            </w:r>
          </w:p>
        </w:tc>
        <w:tc>
          <w:tcPr>
            <w:tcW w:w="897" w:type="pct"/>
          </w:tcPr>
          <w:p w14:paraId="33A80747" w14:textId="77777777" w:rsidR="00920729" w:rsidRPr="00E349CB" w:rsidRDefault="00920729" w:rsidP="0009520E">
            <w:pPr>
              <w:pStyle w:val="TableText0"/>
              <w:rPr>
                <w:b/>
                <w:bCs w:val="0"/>
                <w:lang w:eastAsia="en-IN"/>
              </w:rPr>
            </w:pPr>
            <w:r w:rsidRPr="00E349CB">
              <w:rPr>
                <w:b/>
                <w:bCs w:val="0"/>
                <w:lang w:eastAsia="en-IN"/>
              </w:rPr>
              <w:t>Number of</w:t>
            </w:r>
          </w:p>
          <w:p w14:paraId="502BF347" w14:textId="77777777" w:rsidR="00920729" w:rsidRPr="00E349CB" w:rsidRDefault="00920729" w:rsidP="0009520E">
            <w:pPr>
              <w:pStyle w:val="TableText0"/>
              <w:rPr>
                <w:b/>
                <w:bCs w:val="0"/>
                <w:lang w:eastAsia="en-IN"/>
              </w:rPr>
            </w:pPr>
            <w:r w:rsidRPr="00E349CB">
              <w:rPr>
                <w:b/>
                <w:bCs w:val="0"/>
                <w:lang w:eastAsia="en-IN"/>
              </w:rPr>
              <w:t>patients with at</w:t>
            </w:r>
          </w:p>
          <w:p w14:paraId="4120C562" w14:textId="77777777" w:rsidR="00920729" w:rsidRPr="00E349CB" w:rsidRDefault="00920729" w:rsidP="0009520E">
            <w:pPr>
              <w:pStyle w:val="TableText0"/>
              <w:rPr>
                <w:b/>
                <w:bCs w:val="0"/>
                <w:lang w:eastAsia="en-IN"/>
              </w:rPr>
            </w:pPr>
            <w:r w:rsidRPr="00E349CB">
              <w:rPr>
                <w:b/>
                <w:bCs w:val="0"/>
                <w:lang w:eastAsia="en-IN"/>
              </w:rPr>
              <w:t>least one event,</w:t>
            </w:r>
          </w:p>
          <w:p w14:paraId="21410B3B" w14:textId="77777777" w:rsidR="00920729" w:rsidRPr="00E349CB" w:rsidRDefault="00920729" w:rsidP="0009520E">
            <w:pPr>
              <w:pStyle w:val="TableText0"/>
              <w:rPr>
                <w:b/>
                <w:bCs w:val="0"/>
                <w:lang w:eastAsia="en-IN"/>
              </w:rPr>
            </w:pPr>
            <w:r w:rsidRPr="00E349CB">
              <w:rPr>
                <w:b/>
                <w:bCs w:val="0"/>
                <w:lang w:eastAsia="en-IN"/>
              </w:rPr>
              <w:t>n (%)</w:t>
            </w:r>
          </w:p>
        </w:tc>
        <w:tc>
          <w:tcPr>
            <w:tcW w:w="898" w:type="pct"/>
          </w:tcPr>
          <w:p w14:paraId="5758ACFA" w14:textId="77777777" w:rsidR="00920729" w:rsidRPr="00E349CB" w:rsidRDefault="00920729" w:rsidP="0009520E">
            <w:pPr>
              <w:pStyle w:val="TableText0"/>
              <w:rPr>
                <w:b/>
                <w:bCs w:val="0"/>
                <w:lang w:eastAsia="en-IN"/>
              </w:rPr>
            </w:pPr>
            <w:r w:rsidRPr="00E349CB">
              <w:rPr>
                <w:b/>
                <w:bCs w:val="0"/>
                <w:lang w:eastAsia="en-IN"/>
              </w:rPr>
              <w:t>Number of events</w:t>
            </w:r>
          </w:p>
          <w:p w14:paraId="7FF0C4CA" w14:textId="77777777" w:rsidR="00920729" w:rsidRPr="00E349CB" w:rsidRDefault="00920729" w:rsidP="0009520E">
            <w:pPr>
              <w:pStyle w:val="TableText0"/>
              <w:rPr>
                <w:b/>
                <w:bCs w:val="0"/>
                <w:lang w:eastAsia="en-IN"/>
              </w:rPr>
            </w:pPr>
            <w:r w:rsidRPr="00E349CB">
              <w:rPr>
                <w:b/>
                <w:bCs w:val="0"/>
                <w:lang w:eastAsia="en-IN"/>
              </w:rPr>
              <w:t>(rate)</w:t>
            </w:r>
            <w:r w:rsidRPr="00E349CB">
              <w:rPr>
                <w:b/>
                <w:bCs w:val="0"/>
                <w:vertAlign w:val="superscript"/>
                <w:lang w:eastAsia="en-IN"/>
              </w:rPr>
              <w:t>a</w:t>
            </w:r>
          </w:p>
        </w:tc>
      </w:tr>
      <w:tr w:rsidR="00920729" w:rsidRPr="00755391" w14:paraId="36C63D7B" w14:textId="77777777" w:rsidTr="00956198">
        <w:trPr>
          <w:trHeight w:val="192"/>
        </w:trPr>
        <w:tc>
          <w:tcPr>
            <w:tcW w:w="5000" w:type="pct"/>
            <w:gridSpan w:val="5"/>
          </w:tcPr>
          <w:p w14:paraId="5533941F" w14:textId="77777777" w:rsidR="00920729" w:rsidRPr="00E349CB" w:rsidRDefault="00920729" w:rsidP="0009520E">
            <w:pPr>
              <w:pStyle w:val="TableText0"/>
              <w:rPr>
                <w:b/>
                <w:bCs w:val="0"/>
                <w:lang w:eastAsia="en-IN"/>
              </w:rPr>
            </w:pPr>
            <w:r w:rsidRPr="00E349CB">
              <w:rPr>
                <w:b/>
                <w:bCs w:val="0"/>
                <w:lang w:eastAsia="en-IN"/>
              </w:rPr>
              <w:t>All TEAEs</w:t>
            </w:r>
          </w:p>
        </w:tc>
      </w:tr>
      <w:tr w:rsidR="00920729" w:rsidRPr="00755391" w14:paraId="16017480" w14:textId="77777777" w:rsidTr="00956198">
        <w:trPr>
          <w:trHeight w:val="178"/>
        </w:trPr>
        <w:tc>
          <w:tcPr>
            <w:tcW w:w="1411" w:type="pct"/>
          </w:tcPr>
          <w:p w14:paraId="6E3177D0" w14:textId="77777777" w:rsidR="00920729" w:rsidRPr="00755391" w:rsidRDefault="00920729" w:rsidP="0009520E">
            <w:pPr>
              <w:pStyle w:val="TableText0"/>
              <w:rPr>
                <w:lang w:eastAsia="en-IN"/>
              </w:rPr>
            </w:pPr>
            <w:r w:rsidRPr="00755391">
              <w:t>Any TEAE</w:t>
            </w:r>
          </w:p>
        </w:tc>
        <w:tc>
          <w:tcPr>
            <w:tcW w:w="897" w:type="pct"/>
          </w:tcPr>
          <w:p w14:paraId="7ACE687C" w14:textId="77777777" w:rsidR="00920729" w:rsidRPr="00755391" w:rsidRDefault="00920729" w:rsidP="0009520E">
            <w:pPr>
              <w:pStyle w:val="TableText0"/>
              <w:rPr>
                <w:lang w:eastAsia="en-IN"/>
              </w:rPr>
            </w:pPr>
            <w:r w:rsidRPr="00755391">
              <w:t>47 (90.4)</w:t>
            </w:r>
          </w:p>
        </w:tc>
        <w:tc>
          <w:tcPr>
            <w:tcW w:w="897" w:type="pct"/>
          </w:tcPr>
          <w:p w14:paraId="5B8B5C0D" w14:textId="77777777" w:rsidR="00920729" w:rsidRPr="00755391" w:rsidRDefault="00920729" w:rsidP="0009520E">
            <w:pPr>
              <w:pStyle w:val="TableText0"/>
              <w:rPr>
                <w:lang w:eastAsia="en-IN"/>
              </w:rPr>
            </w:pPr>
            <w:r w:rsidRPr="00755391">
              <w:t>561 (572.36)</w:t>
            </w:r>
          </w:p>
        </w:tc>
        <w:tc>
          <w:tcPr>
            <w:tcW w:w="897" w:type="pct"/>
          </w:tcPr>
          <w:p w14:paraId="0C573412" w14:textId="77777777" w:rsidR="00920729" w:rsidRPr="00755391" w:rsidRDefault="00920729" w:rsidP="0009520E">
            <w:pPr>
              <w:pStyle w:val="TableText0"/>
              <w:rPr>
                <w:lang w:eastAsia="en-IN"/>
              </w:rPr>
            </w:pPr>
            <w:r w:rsidRPr="00755391">
              <w:t>24 (96.0)</w:t>
            </w:r>
          </w:p>
        </w:tc>
        <w:tc>
          <w:tcPr>
            <w:tcW w:w="898" w:type="pct"/>
          </w:tcPr>
          <w:p w14:paraId="087545BF" w14:textId="77777777" w:rsidR="00920729" w:rsidRPr="00755391" w:rsidRDefault="00920729" w:rsidP="0009520E">
            <w:pPr>
              <w:pStyle w:val="TableText0"/>
              <w:rPr>
                <w:lang w:eastAsia="en-IN"/>
              </w:rPr>
            </w:pPr>
            <w:r w:rsidRPr="00755391">
              <w:t>406 (816.85)</w:t>
            </w:r>
          </w:p>
        </w:tc>
      </w:tr>
      <w:tr w:rsidR="00920729" w:rsidRPr="00755391" w14:paraId="2CE8FB1E" w14:textId="77777777" w:rsidTr="00956198">
        <w:trPr>
          <w:trHeight w:val="214"/>
        </w:trPr>
        <w:tc>
          <w:tcPr>
            <w:tcW w:w="1411" w:type="pct"/>
          </w:tcPr>
          <w:p w14:paraId="50DF0A3F" w14:textId="77777777" w:rsidR="00920729" w:rsidRPr="00755391" w:rsidRDefault="00920729" w:rsidP="0009520E">
            <w:pPr>
              <w:pStyle w:val="TableText0"/>
              <w:rPr>
                <w:lang w:eastAsia="en-IN"/>
              </w:rPr>
            </w:pPr>
            <w:r w:rsidRPr="00755391">
              <w:t>Mild or moderate TEAE</w:t>
            </w:r>
          </w:p>
        </w:tc>
        <w:tc>
          <w:tcPr>
            <w:tcW w:w="897" w:type="pct"/>
          </w:tcPr>
          <w:p w14:paraId="1798F220" w14:textId="77777777" w:rsidR="00920729" w:rsidRPr="00755391" w:rsidRDefault="00920729" w:rsidP="0009520E">
            <w:pPr>
              <w:pStyle w:val="TableText0"/>
              <w:rPr>
                <w:lang w:eastAsia="en-IN"/>
              </w:rPr>
            </w:pPr>
            <w:r w:rsidRPr="00755391">
              <w:t>47 (90.4)</w:t>
            </w:r>
          </w:p>
        </w:tc>
        <w:tc>
          <w:tcPr>
            <w:tcW w:w="897" w:type="pct"/>
          </w:tcPr>
          <w:p w14:paraId="618D63EE" w14:textId="77777777" w:rsidR="00920729" w:rsidRPr="00755391" w:rsidRDefault="00920729" w:rsidP="0009520E">
            <w:pPr>
              <w:pStyle w:val="TableText0"/>
              <w:rPr>
                <w:lang w:eastAsia="en-IN"/>
              </w:rPr>
            </w:pPr>
            <w:r w:rsidRPr="00755391">
              <w:t>535 (545.83)</w:t>
            </w:r>
          </w:p>
        </w:tc>
        <w:tc>
          <w:tcPr>
            <w:tcW w:w="897" w:type="pct"/>
          </w:tcPr>
          <w:p w14:paraId="083F850B" w14:textId="77777777" w:rsidR="00920729" w:rsidRPr="00755391" w:rsidRDefault="00920729" w:rsidP="0009520E">
            <w:pPr>
              <w:pStyle w:val="TableText0"/>
              <w:rPr>
                <w:lang w:eastAsia="en-IN"/>
              </w:rPr>
            </w:pPr>
            <w:r w:rsidRPr="00755391">
              <w:t>24 (96.0)</w:t>
            </w:r>
          </w:p>
        </w:tc>
        <w:tc>
          <w:tcPr>
            <w:tcW w:w="898" w:type="pct"/>
          </w:tcPr>
          <w:p w14:paraId="07DFB9D6" w14:textId="77777777" w:rsidR="00920729" w:rsidRPr="00755391" w:rsidRDefault="00920729" w:rsidP="0009520E">
            <w:pPr>
              <w:pStyle w:val="TableText0"/>
              <w:rPr>
                <w:lang w:eastAsia="en-IN"/>
              </w:rPr>
            </w:pPr>
            <w:r w:rsidRPr="00755391">
              <w:t>387 (778.63)</w:t>
            </w:r>
          </w:p>
        </w:tc>
      </w:tr>
      <w:tr w:rsidR="00920729" w:rsidRPr="00755391" w14:paraId="5D2BE7DE" w14:textId="77777777" w:rsidTr="00956198">
        <w:trPr>
          <w:trHeight w:val="196"/>
        </w:trPr>
        <w:tc>
          <w:tcPr>
            <w:tcW w:w="1411" w:type="pct"/>
          </w:tcPr>
          <w:p w14:paraId="00F68678" w14:textId="77777777" w:rsidR="00920729" w:rsidRPr="00755391" w:rsidRDefault="00920729" w:rsidP="0009520E">
            <w:pPr>
              <w:pStyle w:val="TableText0"/>
              <w:rPr>
                <w:lang w:eastAsia="en-IN"/>
              </w:rPr>
            </w:pPr>
            <w:r w:rsidRPr="00755391">
              <w:t xml:space="preserve">Severe </w:t>
            </w:r>
            <w:proofErr w:type="spellStart"/>
            <w:r w:rsidRPr="00755391">
              <w:t>TEAE</w:t>
            </w:r>
            <w:r>
              <w:rPr>
                <w:vertAlign w:val="superscript"/>
              </w:rPr>
              <w:t>b</w:t>
            </w:r>
            <w:proofErr w:type="spellEnd"/>
          </w:p>
        </w:tc>
        <w:tc>
          <w:tcPr>
            <w:tcW w:w="897" w:type="pct"/>
          </w:tcPr>
          <w:p w14:paraId="0C915189" w14:textId="77777777" w:rsidR="00920729" w:rsidRPr="00755391" w:rsidRDefault="00920729" w:rsidP="0009520E">
            <w:pPr>
              <w:pStyle w:val="TableText0"/>
              <w:rPr>
                <w:lang w:eastAsia="en-IN"/>
              </w:rPr>
            </w:pPr>
            <w:r w:rsidRPr="00755391">
              <w:t>15 (28.8)</w:t>
            </w:r>
          </w:p>
        </w:tc>
        <w:tc>
          <w:tcPr>
            <w:tcW w:w="897" w:type="pct"/>
          </w:tcPr>
          <w:p w14:paraId="3DF1A121" w14:textId="77777777" w:rsidR="00920729" w:rsidRPr="00755391" w:rsidRDefault="00920729" w:rsidP="0009520E">
            <w:pPr>
              <w:pStyle w:val="TableText0"/>
              <w:rPr>
                <w:lang w:eastAsia="en-IN"/>
              </w:rPr>
            </w:pPr>
            <w:r w:rsidRPr="00755391">
              <w:t>26 (26.53)</w:t>
            </w:r>
          </w:p>
        </w:tc>
        <w:tc>
          <w:tcPr>
            <w:tcW w:w="897" w:type="pct"/>
          </w:tcPr>
          <w:p w14:paraId="79BF4258" w14:textId="77777777" w:rsidR="00920729" w:rsidRPr="00755391" w:rsidRDefault="00920729" w:rsidP="0009520E">
            <w:pPr>
              <w:pStyle w:val="TableText0"/>
              <w:rPr>
                <w:lang w:eastAsia="en-IN"/>
              </w:rPr>
            </w:pPr>
            <w:r w:rsidRPr="00755391">
              <w:t>7 (28.0)</w:t>
            </w:r>
          </w:p>
        </w:tc>
        <w:tc>
          <w:tcPr>
            <w:tcW w:w="898" w:type="pct"/>
          </w:tcPr>
          <w:p w14:paraId="396119EA" w14:textId="77777777" w:rsidR="00920729" w:rsidRPr="00755391" w:rsidRDefault="00920729" w:rsidP="0009520E">
            <w:pPr>
              <w:pStyle w:val="TableText0"/>
              <w:rPr>
                <w:lang w:eastAsia="en-IN"/>
              </w:rPr>
            </w:pPr>
            <w:r w:rsidRPr="00755391">
              <w:t>19 (38.23)</w:t>
            </w:r>
          </w:p>
        </w:tc>
      </w:tr>
      <w:tr w:rsidR="00920729" w:rsidRPr="00755391" w14:paraId="06187338" w14:textId="77777777" w:rsidTr="00956198">
        <w:trPr>
          <w:trHeight w:val="214"/>
        </w:trPr>
        <w:tc>
          <w:tcPr>
            <w:tcW w:w="1411" w:type="pct"/>
          </w:tcPr>
          <w:p w14:paraId="786B22E3" w14:textId="77777777" w:rsidR="00920729" w:rsidRPr="00755391" w:rsidRDefault="00920729" w:rsidP="0009520E">
            <w:pPr>
              <w:pStyle w:val="TableText0"/>
              <w:rPr>
                <w:lang w:eastAsia="en-IN"/>
              </w:rPr>
            </w:pPr>
            <w:r>
              <w:t>Any SAE</w:t>
            </w:r>
          </w:p>
        </w:tc>
        <w:tc>
          <w:tcPr>
            <w:tcW w:w="897" w:type="pct"/>
          </w:tcPr>
          <w:p w14:paraId="4126463E" w14:textId="77777777" w:rsidR="00920729" w:rsidRPr="00755391" w:rsidRDefault="00920729" w:rsidP="0009520E">
            <w:pPr>
              <w:pStyle w:val="TableText0"/>
              <w:rPr>
                <w:lang w:eastAsia="en-IN"/>
              </w:rPr>
            </w:pPr>
            <w:r w:rsidRPr="00755391">
              <w:t>8 (15.4)</w:t>
            </w:r>
          </w:p>
        </w:tc>
        <w:tc>
          <w:tcPr>
            <w:tcW w:w="897" w:type="pct"/>
          </w:tcPr>
          <w:p w14:paraId="74618206" w14:textId="77777777" w:rsidR="00920729" w:rsidRPr="00755391" w:rsidRDefault="00920729" w:rsidP="0009520E">
            <w:pPr>
              <w:pStyle w:val="TableText0"/>
              <w:rPr>
                <w:lang w:eastAsia="en-IN"/>
              </w:rPr>
            </w:pPr>
            <w:r w:rsidRPr="00755391">
              <w:t>14 (14.28)</w:t>
            </w:r>
          </w:p>
        </w:tc>
        <w:tc>
          <w:tcPr>
            <w:tcW w:w="897" w:type="pct"/>
          </w:tcPr>
          <w:p w14:paraId="5BC627A6" w14:textId="77777777" w:rsidR="00920729" w:rsidRPr="00755391" w:rsidRDefault="00920729" w:rsidP="0009520E">
            <w:pPr>
              <w:pStyle w:val="TableText0"/>
              <w:rPr>
                <w:lang w:eastAsia="en-IN"/>
              </w:rPr>
            </w:pPr>
            <w:r w:rsidRPr="00755391">
              <w:t>6 (24.0)</w:t>
            </w:r>
          </w:p>
        </w:tc>
        <w:tc>
          <w:tcPr>
            <w:tcW w:w="898" w:type="pct"/>
          </w:tcPr>
          <w:p w14:paraId="5BEBF4BA" w14:textId="77777777" w:rsidR="00920729" w:rsidRPr="00755391" w:rsidRDefault="00920729" w:rsidP="0009520E">
            <w:pPr>
              <w:pStyle w:val="TableText0"/>
              <w:rPr>
                <w:lang w:eastAsia="en-IN"/>
              </w:rPr>
            </w:pPr>
            <w:r w:rsidRPr="00755391">
              <w:t>11 (22.13)</w:t>
            </w:r>
          </w:p>
        </w:tc>
      </w:tr>
      <w:tr w:rsidR="00920729" w:rsidRPr="00755391" w14:paraId="2C3CE473" w14:textId="77777777" w:rsidTr="00956198">
        <w:trPr>
          <w:trHeight w:val="196"/>
        </w:trPr>
        <w:tc>
          <w:tcPr>
            <w:tcW w:w="1411" w:type="pct"/>
          </w:tcPr>
          <w:p w14:paraId="7308D12E" w14:textId="77777777" w:rsidR="00920729" w:rsidRPr="00755391" w:rsidRDefault="00920729" w:rsidP="0009520E">
            <w:pPr>
              <w:pStyle w:val="TableText0"/>
              <w:rPr>
                <w:lang w:eastAsia="en-IN"/>
              </w:rPr>
            </w:pPr>
            <w:r w:rsidRPr="00755391">
              <w:t>TEAE leading to withdrawal</w:t>
            </w:r>
          </w:p>
        </w:tc>
        <w:tc>
          <w:tcPr>
            <w:tcW w:w="897" w:type="pct"/>
          </w:tcPr>
          <w:p w14:paraId="344DC780" w14:textId="77777777" w:rsidR="00920729" w:rsidRPr="00755391" w:rsidRDefault="00920729" w:rsidP="0009520E">
            <w:pPr>
              <w:pStyle w:val="TableText0"/>
              <w:rPr>
                <w:lang w:eastAsia="en-IN"/>
              </w:rPr>
            </w:pPr>
            <w:r w:rsidRPr="00755391">
              <w:t>2 (3.8)</w:t>
            </w:r>
          </w:p>
        </w:tc>
        <w:tc>
          <w:tcPr>
            <w:tcW w:w="897" w:type="pct"/>
          </w:tcPr>
          <w:p w14:paraId="26EB41A8" w14:textId="77777777" w:rsidR="00920729" w:rsidRPr="00755391" w:rsidRDefault="00920729" w:rsidP="0009520E">
            <w:pPr>
              <w:pStyle w:val="TableText0"/>
              <w:rPr>
                <w:lang w:eastAsia="en-IN"/>
              </w:rPr>
            </w:pPr>
            <w:r w:rsidRPr="00755391">
              <w:t>2 (2.04)</w:t>
            </w:r>
          </w:p>
        </w:tc>
        <w:tc>
          <w:tcPr>
            <w:tcW w:w="897" w:type="pct"/>
          </w:tcPr>
          <w:p w14:paraId="2A42A0CD" w14:textId="77777777" w:rsidR="00920729" w:rsidRPr="00755391" w:rsidRDefault="00920729" w:rsidP="0009520E">
            <w:pPr>
              <w:pStyle w:val="TableText0"/>
              <w:rPr>
                <w:lang w:eastAsia="en-IN"/>
              </w:rPr>
            </w:pPr>
            <w:r w:rsidRPr="00755391">
              <w:t>0</w:t>
            </w:r>
          </w:p>
        </w:tc>
        <w:tc>
          <w:tcPr>
            <w:tcW w:w="898" w:type="pct"/>
          </w:tcPr>
          <w:p w14:paraId="591F98FC" w14:textId="77777777" w:rsidR="00920729" w:rsidRPr="00755391" w:rsidRDefault="00920729" w:rsidP="0009520E">
            <w:pPr>
              <w:pStyle w:val="TableText0"/>
              <w:rPr>
                <w:lang w:eastAsia="en-IN"/>
              </w:rPr>
            </w:pPr>
            <w:r w:rsidRPr="00755391">
              <w:t>0</w:t>
            </w:r>
          </w:p>
        </w:tc>
      </w:tr>
      <w:tr w:rsidR="00920729" w:rsidRPr="00755391" w14:paraId="4EDE2DF5" w14:textId="77777777" w:rsidTr="00956198">
        <w:trPr>
          <w:trHeight w:val="218"/>
        </w:trPr>
        <w:tc>
          <w:tcPr>
            <w:tcW w:w="1411" w:type="pct"/>
          </w:tcPr>
          <w:p w14:paraId="3714CEA5" w14:textId="77777777" w:rsidR="00920729" w:rsidRPr="00755391" w:rsidRDefault="00920729" w:rsidP="0009520E">
            <w:pPr>
              <w:pStyle w:val="TableText0"/>
              <w:rPr>
                <w:lang w:eastAsia="en-IN"/>
              </w:rPr>
            </w:pPr>
            <w:r w:rsidRPr="00755391">
              <w:t>TEAE leading to death</w:t>
            </w:r>
          </w:p>
        </w:tc>
        <w:tc>
          <w:tcPr>
            <w:tcW w:w="897" w:type="pct"/>
          </w:tcPr>
          <w:p w14:paraId="344852A1" w14:textId="77777777" w:rsidR="00920729" w:rsidRPr="00755391" w:rsidRDefault="00920729" w:rsidP="0009520E">
            <w:pPr>
              <w:pStyle w:val="TableText0"/>
              <w:rPr>
                <w:lang w:eastAsia="en-IN"/>
              </w:rPr>
            </w:pPr>
            <w:r w:rsidRPr="00755391">
              <w:t>0</w:t>
            </w:r>
          </w:p>
        </w:tc>
        <w:tc>
          <w:tcPr>
            <w:tcW w:w="897" w:type="pct"/>
          </w:tcPr>
          <w:p w14:paraId="5596B74A" w14:textId="77777777" w:rsidR="00920729" w:rsidRPr="00755391" w:rsidRDefault="00920729" w:rsidP="0009520E">
            <w:pPr>
              <w:pStyle w:val="TableText0"/>
              <w:rPr>
                <w:lang w:eastAsia="en-IN"/>
              </w:rPr>
            </w:pPr>
            <w:r w:rsidRPr="00755391">
              <w:t>0</w:t>
            </w:r>
          </w:p>
        </w:tc>
        <w:tc>
          <w:tcPr>
            <w:tcW w:w="897" w:type="pct"/>
          </w:tcPr>
          <w:p w14:paraId="120272B1" w14:textId="77777777" w:rsidR="00920729" w:rsidRPr="00755391" w:rsidRDefault="00920729" w:rsidP="0009520E">
            <w:pPr>
              <w:pStyle w:val="TableText0"/>
              <w:rPr>
                <w:lang w:eastAsia="en-IN"/>
              </w:rPr>
            </w:pPr>
            <w:r w:rsidRPr="00755391">
              <w:t>0</w:t>
            </w:r>
          </w:p>
        </w:tc>
        <w:tc>
          <w:tcPr>
            <w:tcW w:w="898" w:type="pct"/>
          </w:tcPr>
          <w:p w14:paraId="02F6BDDB" w14:textId="77777777" w:rsidR="00920729" w:rsidRPr="00755391" w:rsidRDefault="00920729" w:rsidP="0009520E">
            <w:pPr>
              <w:pStyle w:val="TableText0"/>
              <w:rPr>
                <w:lang w:eastAsia="en-IN"/>
              </w:rPr>
            </w:pPr>
            <w:r w:rsidRPr="00755391">
              <w:t>0</w:t>
            </w:r>
          </w:p>
        </w:tc>
      </w:tr>
      <w:tr w:rsidR="00920729" w:rsidRPr="00755391" w14:paraId="61B4040D" w14:textId="77777777" w:rsidTr="00956198">
        <w:trPr>
          <w:trHeight w:val="196"/>
        </w:trPr>
        <w:tc>
          <w:tcPr>
            <w:tcW w:w="5000" w:type="pct"/>
            <w:gridSpan w:val="5"/>
          </w:tcPr>
          <w:p w14:paraId="3C960113" w14:textId="77777777" w:rsidR="00920729" w:rsidRPr="00E349CB" w:rsidRDefault="00920729" w:rsidP="0009520E">
            <w:pPr>
              <w:pStyle w:val="TableText0"/>
              <w:rPr>
                <w:b/>
                <w:bCs w:val="0"/>
                <w:lang w:eastAsia="en-IN"/>
              </w:rPr>
            </w:pPr>
            <w:r w:rsidRPr="00E349CB">
              <w:rPr>
                <w:b/>
                <w:bCs w:val="0"/>
                <w:lang w:eastAsia="en-IN"/>
              </w:rPr>
              <w:t>Related TEAEs only</w:t>
            </w:r>
          </w:p>
        </w:tc>
      </w:tr>
      <w:tr w:rsidR="00920729" w:rsidRPr="00755391" w14:paraId="1843D9DC" w14:textId="77777777" w:rsidTr="00956198">
        <w:trPr>
          <w:trHeight w:val="214"/>
        </w:trPr>
        <w:tc>
          <w:tcPr>
            <w:tcW w:w="1411" w:type="pct"/>
          </w:tcPr>
          <w:p w14:paraId="520C51DF" w14:textId="77777777" w:rsidR="00920729" w:rsidRPr="00755391" w:rsidRDefault="00920729" w:rsidP="0009520E">
            <w:pPr>
              <w:pStyle w:val="TableText0"/>
              <w:rPr>
                <w:lang w:eastAsia="en-IN"/>
              </w:rPr>
            </w:pPr>
            <w:r w:rsidRPr="00755391">
              <w:t xml:space="preserve">Any related </w:t>
            </w:r>
            <w:proofErr w:type="spellStart"/>
            <w:r w:rsidRPr="00755391">
              <w:t>TEAE</w:t>
            </w:r>
            <w:r>
              <w:rPr>
                <w:vertAlign w:val="superscript"/>
              </w:rPr>
              <w:t>c</w:t>
            </w:r>
            <w:proofErr w:type="spellEnd"/>
          </w:p>
        </w:tc>
        <w:tc>
          <w:tcPr>
            <w:tcW w:w="897" w:type="pct"/>
          </w:tcPr>
          <w:p w14:paraId="3DADA81C" w14:textId="77777777" w:rsidR="00920729" w:rsidRPr="00755391" w:rsidRDefault="00920729" w:rsidP="0009520E">
            <w:pPr>
              <w:pStyle w:val="TableText0"/>
              <w:rPr>
                <w:lang w:eastAsia="en-IN"/>
              </w:rPr>
            </w:pPr>
            <w:r w:rsidRPr="00755391">
              <w:t>21 (40.4)</w:t>
            </w:r>
          </w:p>
        </w:tc>
        <w:tc>
          <w:tcPr>
            <w:tcW w:w="897" w:type="pct"/>
          </w:tcPr>
          <w:p w14:paraId="4A171AAE" w14:textId="77777777" w:rsidR="00920729" w:rsidRPr="00755391" w:rsidRDefault="00920729" w:rsidP="0009520E">
            <w:pPr>
              <w:pStyle w:val="TableText0"/>
              <w:rPr>
                <w:lang w:eastAsia="en-IN"/>
              </w:rPr>
            </w:pPr>
            <w:r w:rsidRPr="00755391">
              <w:t>42 (42.85)</w:t>
            </w:r>
          </w:p>
        </w:tc>
        <w:tc>
          <w:tcPr>
            <w:tcW w:w="897" w:type="pct"/>
          </w:tcPr>
          <w:p w14:paraId="73675D40" w14:textId="77777777" w:rsidR="00920729" w:rsidRPr="00755391" w:rsidRDefault="00920729" w:rsidP="0009520E">
            <w:pPr>
              <w:pStyle w:val="TableText0"/>
              <w:rPr>
                <w:lang w:eastAsia="en-IN"/>
              </w:rPr>
            </w:pPr>
            <w:r w:rsidRPr="00755391">
              <w:t>11 (44.0)</w:t>
            </w:r>
          </w:p>
        </w:tc>
        <w:tc>
          <w:tcPr>
            <w:tcW w:w="898" w:type="pct"/>
          </w:tcPr>
          <w:p w14:paraId="5F714A7F" w14:textId="77777777" w:rsidR="00920729" w:rsidRPr="00755391" w:rsidRDefault="00920729" w:rsidP="0009520E">
            <w:pPr>
              <w:pStyle w:val="TableText0"/>
              <w:rPr>
                <w:lang w:eastAsia="en-IN"/>
              </w:rPr>
            </w:pPr>
            <w:r w:rsidRPr="00755391">
              <w:t>76 (152.91)</w:t>
            </w:r>
          </w:p>
        </w:tc>
      </w:tr>
      <w:tr w:rsidR="00920729" w:rsidRPr="00755391" w14:paraId="0985C8F8" w14:textId="77777777" w:rsidTr="00956198">
        <w:trPr>
          <w:trHeight w:val="233"/>
        </w:trPr>
        <w:tc>
          <w:tcPr>
            <w:tcW w:w="1411" w:type="pct"/>
          </w:tcPr>
          <w:p w14:paraId="7E0979BA" w14:textId="77777777" w:rsidR="00920729" w:rsidRPr="00755391" w:rsidRDefault="00920729" w:rsidP="0009520E">
            <w:pPr>
              <w:pStyle w:val="TableText0"/>
              <w:rPr>
                <w:lang w:eastAsia="en-IN"/>
              </w:rPr>
            </w:pPr>
            <w:r w:rsidRPr="00755391">
              <w:t>Related mild or moderate TEAE</w:t>
            </w:r>
          </w:p>
        </w:tc>
        <w:tc>
          <w:tcPr>
            <w:tcW w:w="897" w:type="pct"/>
          </w:tcPr>
          <w:p w14:paraId="4C8FC63C" w14:textId="77777777" w:rsidR="00920729" w:rsidRPr="00755391" w:rsidRDefault="00920729" w:rsidP="0009520E">
            <w:pPr>
              <w:pStyle w:val="TableText0"/>
              <w:rPr>
                <w:lang w:eastAsia="en-IN"/>
              </w:rPr>
            </w:pPr>
            <w:r w:rsidRPr="00755391">
              <w:t>21 (40.4)</w:t>
            </w:r>
          </w:p>
        </w:tc>
        <w:tc>
          <w:tcPr>
            <w:tcW w:w="897" w:type="pct"/>
          </w:tcPr>
          <w:p w14:paraId="42B4DAC4" w14:textId="77777777" w:rsidR="00920729" w:rsidRPr="00755391" w:rsidRDefault="00920729" w:rsidP="0009520E">
            <w:pPr>
              <w:pStyle w:val="TableText0"/>
              <w:rPr>
                <w:lang w:eastAsia="en-IN"/>
              </w:rPr>
            </w:pPr>
            <w:r w:rsidRPr="00755391">
              <w:t>40 (40.81)</w:t>
            </w:r>
          </w:p>
        </w:tc>
        <w:tc>
          <w:tcPr>
            <w:tcW w:w="897" w:type="pct"/>
          </w:tcPr>
          <w:p w14:paraId="2F396B6B" w14:textId="77777777" w:rsidR="00920729" w:rsidRPr="00755391" w:rsidRDefault="00920729" w:rsidP="0009520E">
            <w:pPr>
              <w:pStyle w:val="TableText0"/>
              <w:rPr>
                <w:lang w:eastAsia="en-IN"/>
              </w:rPr>
            </w:pPr>
            <w:r w:rsidRPr="00755391">
              <w:t>11 (44.0)</w:t>
            </w:r>
          </w:p>
        </w:tc>
        <w:tc>
          <w:tcPr>
            <w:tcW w:w="898" w:type="pct"/>
          </w:tcPr>
          <w:p w14:paraId="48DAB605" w14:textId="77777777" w:rsidR="00920729" w:rsidRPr="00755391" w:rsidRDefault="00920729" w:rsidP="0009520E">
            <w:pPr>
              <w:pStyle w:val="TableText0"/>
              <w:rPr>
                <w:lang w:eastAsia="en-IN"/>
              </w:rPr>
            </w:pPr>
            <w:r w:rsidRPr="00755391">
              <w:t>75 (150.90)</w:t>
            </w:r>
          </w:p>
        </w:tc>
      </w:tr>
      <w:tr w:rsidR="00920729" w:rsidRPr="00755391" w14:paraId="191BDB56" w14:textId="77777777" w:rsidTr="00956198">
        <w:trPr>
          <w:trHeight w:val="214"/>
        </w:trPr>
        <w:tc>
          <w:tcPr>
            <w:tcW w:w="1411" w:type="pct"/>
          </w:tcPr>
          <w:p w14:paraId="6C7B7BD4" w14:textId="77777777" w:rsidR="00920729" w:rsidRPr="00755391" w:rsidRDefault="00920729" w:rsidP="0009520E">
            <w:pPr>
              <w:pStyle w:val="TableText0"/>
              <w:rPr>
                <w:lang w:eastAsia="en-IN"/>
              </w:rPr>
            </w:pPr>
            <w:r w:rsidRPr="00755391">
              <w:t>Related severe TEAE</w:t>
            </w:r>
          </w:p>
        </w:tc>
        <w:tc>
          <w:tcPr>
            <w:tcW w:w="897" w:type="pct"/>
          </w:tcPr>
          <w:p w14:paraId="584A5486" w14:textId="77777777" w:rsidR="00920729" w:rsidRPr="00755391" w:rsidRDefault="00920729" w:rsidP="0009520E">
            <w:pPr>
              <w:pStyle w:val="TableText0"/>
              <w:rPr>
                <w:lang w:eastAsia="en-IN"/>
              </w:rPr>
            </w:pPr>
            <w:r w:rsidRPr="00755391">
              <w:t>2 (3.8)</w:t>
            </w:r>
          </w:p>
        </w:tc>
        <w:tc>
          <w:tcPr>
            <w:tcW w:w="897" w:type="pct"/>
          </w:tcPr>
          <w:p w14:paraId="369970B9" w14:textId="77777777" w:rsidR="00920729" w:rsidRPr="00755391" w:rsidRDefault="00920729" w:rsidP="0009520E">
            <w:pPr>
              <w:pStyle w:val="TableText0"/>
              <w:rPr>
                <w:lang w:eastAsia="en-IN"/>
              </w:rPr>
            </w:pPr>
            <w:r w:rsidRPr="00755391">
              <w:t>2 (2.04)</w:t>
            </w:r>
          </w:p>
        </w:tc>
        <w:tc>
          <w:tcPr>
            <w:tcW w:w="897" w:type="pct"/>
          </w:tcPr>
          <w:p w14:paraId="37862D18" w14:textId="77777777" w:rsidR="00920729" w:rsidRPr="00755391" w:rsidRDefault="00920729" w:rsidP="0009520E">
            <w:pPr>
              <w:pStyle w:val="TableText0"/>
              <w:rPr>
                <w:lang w:eastAsia="en-IN"/>
              </w:rPr>
            </w:pPr>
            <w:r w:rsidRPr="00755391">
              <w:t>1 (4.0)</w:t>
            </w:r>
          </w:p>
        </w:tc>
        <w:tc>
          <w:tcPr>
            <w:tcW w:w="898" w:type="pct"/>
          </w:tcPr>
          <w:p w14:paraId="317CBAED" w14:textId="77777777" w:rsidR="00920729" w:rsidRPr="00755391" w:rsidRDefault="00920729" w:rsidP="0009520E">
            <w:pPr>
              <w:pStyle w:val="TableText0"/>
              <w:rPr>
                <w:lang w:eastAsia="en-IN"/>
              </w:rPr>
            </w:pPr>
            <w:r w:rsidRPr="00755391">
              <w:t>1 (2.01)</w:t>
            </w:r>
          </w:p>
        </w:tc>
      </w:tr>
      <w:tr w:rsidR="00920729" w:rsidRPr="00755391" w14:paraId="712C7618" w14:textId="77777777" w:rsidTr="00956198">
        <w:trPr>
          <w:trHeight w:val="196"/>
        </w:trPr>
        <w:tc>
          <w:tcPr>
            <w:tcW w:w="1411" w:type="pct"/>
          </w:tcPr>
          <w:p w14:paraId="5CBA1F6C" w14:textId="77777777" w:rsidR="00920729" w:rsidRPr="00755391" w:rsidRDefault="00920729" w:rsidP="0009520E">
            <w:pPr>
              <w:pStyle w:val="TableText0"/>
              <w:rPr>
                <w:lang w:eastAsia="en-IN"/>
              </w:rPr>
            </w:pPr>
            <w:r w:rsidRPr="00755391">
              <w:t>Related serious TEAE</w:t>
            </w:r>
          </w:p>
        </w:tc>
        <w:tc>
          <w:tcPr>
            <w:tcW w:w="897" w:type="pct"/>
          </w:tcPr>
          <w:p w14:paraId="6B546060" w14:textId="77777777" w:rsidR="00920729" w:rsidRPr="00755391" w:rsidRDefault="00920729" w:rsidP="0009520E">
            <w:pPr>
              <w:pStyle w:val="TableText0"/>
              <w:rPr>
                <w:lang w:eastAsia="en-IN"/>
              </w:rPr>
            </w:pPr>
            <w:r w:rsidRPr="00755391">
              <w:t>1 (1.9)</w:t>
            </w:r>
          </w:p>
        </w:tc>
        <w:tc>
          <w:tcPr>
            <w:tcW w:w="897" w:type="pct"/>
          </w:tcPr>
          <w:p w14:paraId="1F024387" w14:textId="77777777" w:rsidR="00920729" w:rsidRPr="00755391" w:rsidRDefault="00920729" w:rsidP="0009520E">
            <w:pPr>
              <w:pStyle w:val="TableText0"/>
              <w:rPr>
                <w:lang w:eastAsia="en-IN"/>
              </w:rPr>
            </w:pPr>
            <w:r w:rsidRPr="00755391">
              <w:t>1 (1.02)</w:t>
            </w:r>
          </w:p>
        </w:tc>
        <w:tc>
          <w:tcPr>
            <w:tcW w:w="897" w:type="pct"/>
          </w:tcPr>
          <w:p w14:paraId="34E5673D" w14:textId="77777777" w:rsidR="00920729" w:rsidRPr="00755391" w:rsidRDefault="00920729" w:rsidP="0009520E">
            <w:pPr>
              <w:pStyle w:val="TableText0"/>
              <w:rPr>
                <w:lang w:eastAsia="en-IN"/>
              </w:rPr>
            </w:pPr>
            <w:r w:rsidRPr="00755391">
              <w:t>0</w:t>
            </w:r>
          </w:p>
        </w:tc>
        <w:tc>
          <w:tcPr>
            <w:tcW w:w="898" w:type="pct"/>
          </w:tcPr>
          <w:p w14:paraId="5FB656CA" w14:textId="77777777" w:rsidR="00920729" w:rsidRPr="00755391" w:rsidRDefault="00920729" w:rsidP="0009520E">
            <w:pPr>
              <w:pStyle w:val="TableText0"/>
              <w:rPr>
                <w:lang w:eastAsia="en-IN"/>
              </w:rPr>
            </w:pPr>
            <w:r w:rsidRPr="00755391">
              <w:t>0</w:t>
            </w:r>
          </w:p>
        </w:tc>
      </w:tr>
      <w:tr w:rsidR="00920729" w:rsidRPr="00755391" w14:paraId="68427C33" w14:textId="77777777" w:rsidTr="00956198">
        <w:trPr>
          <w:trHeight w:val="214"/>
        </w:trPr>
        <w:tc>
          <w:tcPr>
            <w:tcW w:w="1411" w:type="pct"/>
          </w:tcPr>
          <w:p w14:paraId="51BB7A71" w14:textId="77777777" w:rsidR="00920729" w:rsidRPr="00755391" w:rsidRDefault="00920729" w:rsidP="0009520E">
            <w:pPr>
              <w:pStyle w:val="TableText0"/>
              <w:rPr>
                <w:lang w:eastAsia="en-IN"/>
              </w:rPr>
            </w:pPr>
            <w:r w:rsidRPr="00755391">
              <w:rPr>
                <w:lang w:eastAsia="en-IN"/>
              </w:rPr>
              <w:t>Related TEAE leading to</w:t>
            </w:r>
          </w:p>
          <w:p w14:paraId="2055277B" w14:textId="77777777" w:rsidR="00920729" w:rsidRPr="00755391" w:rsidRDefault="00920729" w:rsidP="0009520E">
            <w:pPr>
              <w:pStyle w:val="TableText0"/>
              <w:rPr>
                <w:lang w:eastAsia="en-IN"/>
              </w:rPr>
            </w:pPr>
            <w:r w:rsidRPr="00755391">
              <w:rPr>
                <w:lang w:eastAsia="en-IN"/>
              </w:rPr>
              <w:t>withdrawal</w:t>
            </w:r>
          </w:p>
        </w:tc>
        <w:tc>
          <w:tcPr>
            <w:tcW w:w="897" w:type="pct"/>
          </w:tcPr>
          <w:p w14:paraId="7DD858C5" w14:textId="77777777" w:rsidR="00920729" w:rsidRPr="00755391" w:rsidRDefault="00920729" w:rsidP="0009520E">
            <w:pPr>
              <w:pStyle w:val="TableText0"/>
              <w:rPr>
                <w:lang w:eastAsia="en-IN"/>
              </w:rPr>
            </w:pPr>
            <w:r w:rsidRPr="00755391">
              <w:t>1 (1.9)</w:t>
            </w:r>
          </w:p>
        </w:tc>
        <w:tc>
          <w:tcPr>
            <w:tcW w:w="897" w:type="pct"/>
          </w:tcPr>
          <w:p w14:paraId="6FD27B85" w14:textId="77777777" w:rsidR="00920729" w:rsidRPr="00755391" w:rsidRDefault="00920729" w:rsidP="0009520E">
            <w:pPr>
              <w:pStyle w:val="TableText0"/>
              <w:rPr>
                <w:lang w:eastAsia="en-IN"/>
              </w:rPr>
            </w:pPr>
            <w:r w:rsidRPr="00755391">
              <w:t>1 (1.02)</w:t>
            </w:r>
          </w:p>
        </w:tc>
        <w:tc>
          <w:tcPr>
            <w:tcW w:w="897" w:type="pct"/>
          </w:tcPr>
          <w:p w14:paraId="78D98431" w14:textId="77777777" w:rsidR="00920729" w:rsidRPr="00755391" w:rsidRDefault="00920729" w:rsidP="0009520E">
            <w:pPr>
              <w:pStyle w:val="TableText0"/>
              <w:rPr>
                <w:lang w:eastAsia="en-IN"/>
              </w:rPr>
            </w:pPr>
            <w:r w:rsidRPr="00755391">
              <w:t>0</w:t>
            </w:r>
          </w:p>
        </w:tc>
        <w:tc>
          <w:tcPr>
            <w:tcW w:w="898" w:type="pct"/>
          </w:tcPr>
          <w:p w14:paraId="4BB134C6" w14:textId="77777777" w:rsidR="00920729" w:rsidRPr="00755391" w:rsidRDefault="00920729" w:rsidP="0009520E">
            <w:pPr>
              <w:pStyle w:val="TableText0"/>
              <w:rPr>
                <w:lang w:eastAsia="en-IN"/>
              </w:rPr>
            </w:pPr>
            <w:r w:rsidRPr="00755391">
              <w:t>0</w:t>
            </w:r>
          </w:p>
        </w:tc>
      </w:tr>
      <w:tr w:rsidR="00920729" w:rsidRPr="00755391" w14:paraId="6215E643" w14:textId="77777777" w:rsidTr="00956198">
        <w:trPr>
          <w:trHeight w:val="214"/>
        </w:trPr>
        <w:tc>
          <w:tcPr>
            <w:tcW w:w="1411" w:type="pct"/>
          </w:tcPr>
          <w:p w14:paraId="59A39C6C" w14:textId="77777777" w:rsidR="00920729" w:rsidRPr="00755391" w:rsidRDefault="00920729" w:rsidP="0009520E">
            <w:pPr>
              <w:pStyle w:val="TableText0"/>
              <w:rPr>
                <w:lang w:eastAsia="en-IN"/>
              </w:rPr>
            </w:pPr>
            <w:r w:rsidRPr="00755391">
              <w:t>Related TEAE leading to death</w:t>
            </w:r>
          </w:p>
        </w:tc>
        <w:tc>
          <w:tcPr>
            <w:tcW w:w="897" w:type="pct"/>
          </w:tcPr>
          <w:p w14:paraId="74B4CAA6" w14:textId="77777777" w:rsidR="00920729" w:rsidRPr="00755391" w:rsidRDefault="00920729" w:rsidP="0009520E">
            <w:pPr>
              <w:pStyle w:val="TableText0"/>
              <w:rPr>
                <w:lang w:eastAsia="en-IN"/>
              </w:rPr>
            </w:pPr>
            <w:r w:rsidRPr="00755391">
              <w:t>0</w:t>
            </w:r>
          </w:p>
        </w:tc>
        <w:tc>
          <w:tcPr>
            <w:tcW w:w="897" w:type="pct"/>
          </w:tcPr>
          <w:p w14:paraId="56CF4654" w14:textId="77777777" w:rsidR="00920729" w:rsidRPr="00755391" w:rsidRDefault="00920729" w:rsidP="0009520E">
            <w:pPr>
              <w:pStyle w:val="TableText0"/>
              <w:rPr>
                <w:lang w:eastAsia="en-IN"/>
              </w:rPr>
            </w:pPr>
            <w:r w:rsidRPr="00755391">
              <w:t>0</w:t>
            </w:r>
          </w:p>
        </w:tc>
        <w:tc>
          <w:tcPr>
            <w:tcW w:w="897" w:type="pct"/>
          </w:tcPr>
          <w:p w14:paraId="68C9E073" w14:textId="77777777" w:rsidR="00920729" w:rsidRPr="00755391" w:rsidRDefault="00920729" w:rsidP="0009520E">
            <w:pPr>
              <w:pStyle w:val="TableText0"/>
              <w:rPr>
                <w:lang w:eastAsia="en-IN"/>
              </w:rPr>
            </w:pPr>
            <w:r w:rsidRPr="00755391">
              <w:t>0</w:t>
            </w:r>
          </w:p>
        </w:tc>
        <w:tc>
          <w:tcPr>
            <w:tcW w:w="898" w:type="pct"/>
          </w:tcPr>
          <w:p w14:paraId="23B4971D" w14:textId="77777777" w:rsidR="00920729" w:rsidRPr="00755391" w:rsidRDefault="00920729" w:rsidP="0009520E">
            <w:pPr>
              <w:pStyle w:val="TableText0"/>
              <w:rPr>
                <w:lang w:eastAsia="en-IN"/>
              </w:rPr>
            </w:pPr>
            <w:r w:rsidRPr="00755391">
              <w:t>0</w:t>
            </w:r>
          </w:p>
        </w:tc>
      </w:tr>
      <w:tr w:rsidR="00920729" w:rsidRPr="00755391" w14:paraId="20110253" w14:textId="77777777" w:rsidTr="00956198">
        <w:trPr>
          <w:trHeight w:val="214"/>
        </w:trPr>
        <w:tc>
          <w:tcPr>
            <w:tcW w:w="5000" w:type="pct"/>
            <w:gridSpan w:val="5"/>
          </w:tcPr>
          <w:p w14:paraId="7D2F710D" w14:textId="77777777" w:rsidR="00920729" w:rsidRPr="00E349CB" w:rsidRDefault="00920729" w:rsidP="0009520E">
            <w:pPr>
              <w:pStyle w:val="TableText0"/>
              <w:rPr>
                <w:b/>
                <w:bCs w:val="0"/>
              </w:rPr>
            </w:pPr>
            <w:r w:rsidRPr="00E349CB">
              <w:rPr>
                <w:b/>
                <w:bCs w:val="0"/>
              </w:rPr>
              <w:t>TEAEs in ≥10% of patients in either treatment group</w:t>
            </w:r>
          </w:p>
        </w:tc>
      </w:tr>
      <w:tr w:rsidR="00920729" w:rsidRPr="00755391" w14:paraId="08D24822" w14:textId="77777777" w:rsidTr="00956198">
        <w:trPr>
          <w:trHeight w:val="214"/>
        </w:trPr>
        <w:tc>
          <w:tcPr>
            <w:tcW w:w="1411" w:type="pct"/>
          </w:tcPr>
          <w:p w14:paraId="4792F4B5" w14:textId="77777777" w:rsidR="00920729" w:rsidRPr="00755391" w:rsidRDefault="00920729" w:rsidP="0009520E">
            <w:pPr>
              <w:pStyle w:val="TableText0"/>
            </w:pPr>
            <w:r w:rsidRPr="006B7539">
              <w:t>Nasopharyngitis</w:t>
            </w:r>
          </w:p>
        </w:tc>
        <w:tc>
          <w:tcPr>
            <w:tcW w:w="897" w:type="pct"/>
          </w:tcPr>
          <w:p w14:paraId="6BC29353" w14:textId="4EEB7C14" w:rsidR="00920729" w:rsidRPr="00755391" w:rsidRDefault="00920729" w:rsidP="0009520E">
            <w:pPr>
              <w:pStyle w:val="TableText0"/>
            </w:pPr>
            <w:r w:rsidRPr="006B7539">
              <w:t>11 (21.2)</w:t>
            </w:r>
          </w:p>
        </w:tc>
        <w:tc>
          <w:tcPr>
            <w:tcW w:w="897" w:type="pct"/>
          </w:tcPr>
          <w:p w14:paraId="229AD39C" w14:textId="77777777" w:rsidR="00920729" w:rsidRPr="00755391" w:rsidRDefault="00920729" w:rsidP="0009520E">
            <w:pPr>
              <w:pStyle w:val="TableText0"/>
            </w:pPr>
            <w:r w:rsidRPr="006B7539">
              <w:t>21 (21.4)</w:t>
            </w:r>
          </w:p>
        </w:tc>
        <w:tc>
          <w:tcPr>
            <w:tcW w:w="897" w:type="pct"/>
          </w:tcPr>
          <w:p w14:paraId="28B4D646" w14:textId="47AFE559" w:rsidR="00920729" w:rsidRPr="00755391" w:rsidRDefault="00920729" w:rsidP="0009520E">
            <w:pPr>
              <w:pStyle w:val="TableText0"/>
            </w:pPr>
            <w:r w:rsidRPr="006B7539">
              <w:t>4 (16.0)</w:t>
            </w:r>
          </w:p>
        </w:tc>
        <w:tc>
          <w:tcPr>
            <w:tcW w:w="898" w:type="pct"/>
          </w:tcPr>
          <w:p w14:paraId="3C8D03A9" w14:textId="77777777" w:rsidR="00920729" w:rsidRPr="00755391" w:rsidRDefault="00920729" w:rsidP="0009520E">
            <w:pPr>
              <w:pStyle w:val="TableText0"/>
            </w:pPr>
            <w:r w:rsidRPr="006B7539">
              <w:t>6 (12.1)</w:t>
            </w:r>
          </w:p>
        </w:tc>
      </w:tr>
      <w:tr w:rsidR="00920729" w:rsidRPr="00755391" w14:paraId="232F85A4" w14:textId="77777777" w:rsidTr="00956198">
        <w:trPr>
          <w:trHeight w:val="214"/>
        </w:trPr>
        <w:tc>
          <w:tcPr>
            <w:tcW w:w="1411" w:type="pct"/>
          </w:tcPr>
          <w:p w14:paraId="0625FCBF" w14:textId="77777777" w:rsidR="00920729" w:rsidRPr="001B6F28" w:rsidRDefault="00920729" w:rsidP="0009520E">
            <w:pPr>
              <w:pStyle w:val="TableText0"/>
            </w:pPr>
            <w:r w:rsidRPr="001B6F28">
              <w:t>Headache</w:t>
            </w:r>
          </w:p>
        </w:tc>
        <w:tc>
          <w:tcPr>
            <w:tcW w:w="897" w:type="pct"/>
          </w:tcPr>
          <w:p w14:paraId="7A5DEE4B" w14:textId="7051E8A8" w:rsidR="00920729" w:rsidRPr="00755391" w:rsidRDefault="00920729" w:rsidP="0009520E">
            <w:pPr>
              <w:pStyle w:val="TableText0"/>
            </w:pPr>
            <w:r w:rsidRPr="006B7539">
              <w:t>11 (21.2)</w:t>
            </w:r>
          </w:p>
        </w:tc>
        <w:tc>
          <w:tcPr>
            <w:tcW w:w="897" w:type="pct"/>
          </w:tcPr>
          <w:p w14:paraId="008BBB52" w14:textId="77777777" w:rsidR="00920729" w:rsidRPr="00755391" w:rsidRDefault="00920729" w:rsidP="0009520E">
            <w:pPr>
              <w:pStyle w:val="TableText0"/>
            </w:pPr>
            <w:r w:rsidRPr="006B7539">
              <w:t>19 (19.4)</w:t>
            </w:r>
          </w:p>
        </w:tc>
        <w:tc>
          <w:tcPr>
            <w:tcW w:w="897" w:type="pct"/>
          </w:tcPr>
          <w:p w14:paraId="0B9DE6E0" w14:textId="7661E59B" w:rsidR="00920729" w:rsidRPr="00755391" w:rsidRDefault="00920729" w:rsidP="0009520E">
            <w:pPr>
              <w:pStyle w:val="TableText0"/>
            </w:pPr>
            <w:r w:rsidRPr="006B7539">
              <w:t>5 (20.0)</w:t>
            </w:r>
          </w:p>
        </w:tc>
        <w:tc>
          <w:tcPr>
            <w:tcW w:w="898" w:type="pct"/>
          </w:tcPr>
          <w:p w14:paraId="43AEC7B0" w14:textId="77777777" w:rsidR="00920729" w:rsidRPr="00755391" w:rsidRDefault="00920729" w:rsidP="0009520E">
            <w:pPr>
              <w:pStyle w:val="TableText0"/>
            </w:pPr>
            <w:r w:rsidRPr="006B7539">
              <w:t>9 (18.1)</w:t>
            </w:r>
          </w:p>
        </w:tc>
      </w:tr>
      <w:tr w:rsidR="00920729" w:rsidRPr="00755391" w14:paraId="63F02D00" w14:textId="77777777" w:rsidTr="00956198">
        <w:trPr>
          <w:trHeight w:val="214"/>
        </w:trPr>
        <w:tc>
          <w:tcPr>
            <w:tcW w:w="1411" w:type="pct"/>
          </w:tcPr>
          <w:p w14:paraId="7126A683" w14:textId="77777777" w:rsidR="00920729" w:rsidRPr="001B6F28" w:rsidRDefault="00920729" w:rsidP="0009520E">
            <w:pPr>
              <w:pStyle w:val="TableText0"/>
            </w:pPr>
            <w:r w:rsidRPr="001B6F28">
              <w:t>Diarrhoea</w:t>
            </w:r>
          </w:p>
        </w:tc>
        <w:tc>
          <w:tcPr>
            <w:tcW w:w="897" w:type="pct"/>
          </w:tcPr>
          <w:p w14:paraId="72CEE9CC" w14:textId="5C640DD8" w:rsidR="00920729" w:rsidRPr="00755391" w:rsidRDefault="00920729" w:rsidP="0009520E">
            <w:pPr>
              <w:pStyle w:val="TableText0"/>
            </w:pPr>
            <w:r w:rsidRPr="006B7539">
              <w:t>10 (19.2)</w:t>
            </w:r>
          </w:p>
        </w:tc>
        <w:tc>
          <w:tcPr>
            <w:tcW w:w="897" w:type="pct"/>
          </w:tcPr>
          <w:p w14:paraId="06EC1AD8" w14:textId="77777777" w:rsidR="00920729" w:rsidRPr="00755391" w:rsidRDefault="00920729" w:rsidP="0009520E">
            <w:pPr>
              <w:pStyle w:val="TableText0"/>
            </w:pPr>
            <w:r w:rsidRPr="006B7539">
              <w:t>15 (15.3)</w:t>
            </w:r>
          </w:p>
        </w:tc>
        <w:tc>
          <w:tcPr>
            <w:tcW w:w="897" w:type="pct"/>
          </w:tcPr>
          <w:p w14:paraId="2ACE7AF4" w14:textId="617F43B5" w:rsidR="00920729" w:rsidRPr="00755391" w:rsidRDefault="00920729" w:rsidP="0009520E">
            <w:pPr>
              <w:pStyle w:val="TableText0"/>
            </w:pPr>
            <w:r w:rsidRPr="006B7539">
              <w:t>6 (24.0)</w:t>
            </w:r>
          </w:p>
        </w:tc>
        <w:tc>
          <w:tcPr>
            <w:tcW w:w="898" w:type="pct"/>
          </w:tcPr>
          <w:p w14:paraId="4E4FBC1B" w14:textId="77777777" w:rsidR="00920729" w:rsidRPr="00755391" w:rsidRDefault="00920729" w:rsidP="0009520E">
            <w:pPr>
              <w:pStyle w:val="TableText0"/>
            </w:pPr>
            <w:r w:rsidRPr="006B7539">
              <w:t>10 (20.1)</w:t>
            </w:r>
          </w:p>
        </w:tc>
      </w:tr>
      <w:tr w:rsidR="00920729" w:rsidRPr="00755391" w14:paraId="5AD637E1" w14:textId="77777777" w:rsidTr="00956198">
        <w:trPr>
          <w:trHeight w:val="214"/>
        </w:trPr>
        <w:tc>
          <w:tcPr>
            <w:tcW w:w="1411" w:type="pct"/>
          </w:tcPr>
          <w:p w14:paraId="0FFB46FF" w14:textId="77777777" w:rsidR="00920729" w:rsidRPr="001B6F28" w:rsidRDefault="00920729" w:rsidP="0009520E">
            <w:pPr>
              <w:pStyle w:val="TableText0"/>
            </w:pPr>
            <w:r w:rsidRPr="001B6F28">
              <w:t>Nausea</w:t>
            </w:r>
          </w:p>
        </w:tc>
        <w:tc>
          <w:tcPr>
            <w:tcW w:w="897" w:type="pct"/>
          </w:tcPr>
          <w:p w14:paraId="35DF70FD" w14:textId="46FACC01" w:rsidR="00920729" w:rsidRPr="00755391" w:rsidRDefault="00920729" w:rsidP="0009520E">
            <w:pPr>
              <w:pStyle w:val="TableText0"/>
            </w:pPr>
            <w:r w:rsidRPr="006B7539">
              <w:t>9 (17.3)</w:t>
            </w:r>
          </w:p>
        </w:tc>
        <w:tc>
          <w:tcPr>
            <w:tcW w:w="897" w:type="pct"/>
          </w:tcPr>
          <w:p w14:paraId="57FE7745" w14:textId="77777777" w:rsidR="00920729" w:rsidRPr="00755391" w:rsidRDefault="00920729" w:rsidP="0009520E">
            <w:pPr>
              <w:pStyle w:val="TableText0"/>
            </w:pPr>
            <w:r w:rsidRPr="006B7539">
              <w:t>10 (10.2)</w:t>
            </w:r>
          </w:p>
        </w:tc>
        <w:tc>
          <w:tcPr>
            <w:tcW w:w="897" w:type="pct"/>
          </w:tcPr>
          <w:p w14:paraId="58327858" w14:textId="772ED063" w:rsidR="00920729" w:rsidRPr="00755391" w:rsidRDefault="00920729" w:rsidP="0009520E">
            <w:pPr>
              <w:pStyle w:val="TableText0"/>
            </w:pPr>
            <w:r w:rsidRPr="006B7539">
              <w:t>3 (12.0)</w:t>
            </w:r>
          </w:p>
        </w:tc>
        <w:tc>
          <w:tcPr>
            <w:tcW w:w="898" w:type="pct"/>
          </w:tcPr>
          <w:p w14:paraId="233F9F7D" w14:textId="77777777" w:rsidR="00920729" w:rsidRPr="00755391" w:rsidRDefault="00920729" w:rsidP="0009520E">
            <w:pPr>
              <w:pStyle w:val="TableText0"/>
            </w:pPr>
            <w:r w:rsidRPr="006B7539">
              <w:t>3 (6.0)</w:t>
            </w:r>
          </w:p>
        </w:tc>
      </w:tr>
      <w:tr w:rsidR="00920729" w:rsidRPr="00755391" w14:paraId="58B163EB" w14:textId="77777777" w:rsidTr="00956198">
        <w:trPr>
          <w:trHeight w:val="214"/>
        </w:trPr>
        <w:tc>
          <w:tcPr>
            <w:tcW w:w="1411" w:type="pct"/>
          </w:tcPr>
          <w:p w14:paraId="672A98CA" w14:textId="77777777" w:rsidR="00920729" w:rsidRPr="001B6F28" w:rsidRDefault="00920729" w:rsidP="0009520E">
            <w:pPr>
              <w:pStyle w:val="TableText0"/>
            </w:pPr>
            <w:r w:rsidRPr="001B6F28">
              <w:t>Fatigue</w:t>
            </w:r>
          </w:p>
        </w:tc>
        <w:tc>
          <w:tcPr>
            <w:tcW w:w="897" w:type="pct"/>
          </w:tcPr>
          <w:p w14:paraId="6834665B" w14:textId="0C0ACA19" w:rsidR="00920729" w:rsidRPr="00755391" w:rsidRDefault="00920729" w:rsidP="0009520E">
            <w:pPr>
              <w:pStyle w:val="TableText0"/>
            </w:pPr>
            <w:r w:rsidRPr="006B7539">
              <w:t>9 (17.3)</w:t>
            </w:r>
          </w:p>
        </w:tc>
        <w:tc>
          <w:tcPr>
            <w:tcW w:w="897" w:type="pct"/>
          </w:tcPr>
          <w:p w14:paraId="3D479D41" w14:textId="77777777" w:rsidR="00920729" w:rsidRPr="00755391" w:rsidRDefault="00920729" w:rsidP="0009520E">
            <w:pPr>
              <w:pStyle w:val="TableText0"/>
            </w:pPr>
            <w:r w:rsidRPr="006B7539">
              <w:t>10 (10.2)</w:t>
            </w:r>
          </w:p>
        </w:tc>
        <w:tc>
          <w:tcPr>
            <w:tcW w:w="897" w:type="pct"/>
          </w:tcPr>
          <w:p w14:paraId="7F68AB8A" w14:textId="6121C084" w:rsidR="00920729" w:rsidRPr="00755391" w:rsidRDefault="00920729" w:rsidP="0009520E">
            <w:pPr>
              <w:pStyle w:val="TableText0"/>
            </w:pPr>
            <w:r w:rsidRPr="006B7539">
              <w:t>4 (16.0)</w:t>
            </w:r>
          </w:p>
        </w:tc>
        <w:tc>
          <w:tcPr>
            <w:tcW w:w="898" w:type="pct"/>
          </w:tcPr>
          <w:p w14:paraId="6D89C0AB" w14:textId="77777777" w:rsidR="00920729" w:rsidRPr="00755391" w:rsidRDefault="00920729" w:rsidP="0009520E">
            <w:pPr>
              <w:pStyle w:val="TableText0"/>
            </w:pPr>
            <w:r w:rsidRPr="006B7539">
              <w:t>6 (12.1)</w:t>
            </w:r>
          </w:p>
        </w:tc>
      </w:tr>
      <w:tr w:rsidR="00920729" w:rsidRPr="00755391" w14:paraId="7ED22AAB" w14:textId="77777777" w:rsidTr="00956198">
        <w:trPr>
          <w:trHeight w:val="214"/>
        </w:trPr>
        <w:tc>
          <w:tcPr>
            <w:tcW w:w="1411" w:type="pct"/>
          </w:tcPr>
          <w:p w14:paraId="28531BB1" w14:textId="77777777" w:rsidR="00920729" w:rsidRPr="001B6F28" w:rsidRDefault="00920729" w:rsidP="0009520E">
            <w:pPr>
              <w:pStyle w:val="TableText0"/>
            </w:pPr>
            <w:r w:rsidRPr="001B6F28">
              <w:t>Back pain</w:t>
            </w:r>
          </w:p>
        </w:tc>
        <w:tc>
          <w:tcPr>
            <w:tcW w:w="897" w:type="pct"/>
          </w:tcPr>
          <w:p w14:paraId="175A2FAB" w14:textId="2CEBD825" w:rsidR="00920729" w:rsidRPr="00755391" w:rsidRDefault="00920729" w:rsidP="0009520E">
            <w:pPr>
              <w:pStyle w:val="TableText0"/>
            </w:pPr>
            <w:r w:rsidRPr="006B7539">
              <w:t>8 (15.4)</w:t>
            </w:r>
          </w:p>
        </w:tc>
        <w:tc>
          <w:tcPr>
            <w:tcW w:w="897" w:type="pct"/>
          </w:tcPr>
          <w:p w14:paraId="79E368D7" w14:textId="77777777" w:rsidR="00920729" w:rsidRPr="00755391" w:rsidRDefault="00920729" w:rsidP="0009520E">
            <w:pPr>
              <w:pStyle w:val="TableText0"/>
            </w:pPr>
            <w:r w:rsidRPr="006B7539">
              <w:t>12 (12.2)</w:t>
            </w:r>
          </w:p>
        </w:tc>
        <w:tc>
          <w:tcPr>
            <w:tcW w:w="897" w:type="pct"/>
          </w:tcPr>
          <w:p w14:paraId="243A0960" w14:textId="4CDB7AED" w:rsidR="00920729" w:rsidRPr="00755391" w:rsidRDefault="00920729" w:rsidP="0009520E">
            <w:pPr>
              <w:pStyle w:val="TableText0"/>
            </w:pPr>
            <w:r w:rsidRPr="006B7539">
              <w:t>5 (20.0)</w:t>
            </w:r>
          </w:p>
        </w:tc>
        <w:tc>
          <w:tcPr>
            <w:tcW w:w="898" w:type="pct"/>
          </w:tcPr>
          <w:p w14:paraId="618678B9" w14:textId="77777777" w:rsidR="00920729" w:rsidRPr="00755391" w:rsidRDefault="00920729" w:rsidP="0009520E">
            <w:pPr>
              <w:pStyle w:val="TableText0"/>
            </w:pPr>
            <w:r w:rsidRPr="006B7539">
              <w:t>6 (12.1)</w:t>
            </w:r>
          </w:p>
        </w:tc>
      </w:tr>
      <w:tr w:rsidR="00920729" w:rsidRPr="00755391" w14:paraId="5DCAF2E2" w14:textId="77777777" w:rsidTr="00956198">
        <w:trPr>
          <w:trHeight w:val="214"/>
        </w:trPr>
        <w:tc>
          <w:tcPr>
            <w:tcW w:w="1411" w:type="pct"/>
          </w:tcPr>
          <w:p w14:paraId="5FBBDDAD" w14:textId="77777777" w:rsidR="00920729" w:rsidRPr="001B6F28" w:rsidRDefault="00920729" w:rsidP="0009520E">
            <w:pPr>
              <w:pStyle w:val="TableText0"/>
            </w:pPr>
            <w:r w:rsidRPr="001B6F28">
              <w:t>Proteinuria</w:t>
            </w:r>
          </w:p>
        </w:tc>
        <w:tc>
          <w:tcPr>
            <w:tcW w:w="897" w:type="pct"/>
          </w:tcPr>
          <w:p w14:paraId="453423EB" w14:textId="18CE3BA1" w:rsidR="00920729" w:rsidRPr="006B7539" w:rsidRDefault="00920729" w:rsidP="0009520E">
            <w:pPr>
              <w:pStyle w:val="TableText0"/>
            </w:pPr>
            <w:r w:rsidRPr="00AE6597">
              <w:t>6 (11.5)</w:t>
            </w:r>
          </w:p>
        </w:tc>
        <w:tc>
          <w:tcPr>
            <w:tcW w:w="897" w:type="pct"/>
          </w:tcPr>
          <w:p w14:paraId="7C52C1B0" w14:textId="77777777" w:rsidR="00920729" w:rsidRPr="006B7539" w:rsidRDefault="00920729" w:rsidP="0009520E">
            <w:pPr>
              <w:pStyle w:val="TableText0"/>
            </w:pPr>
            <w:r w:rsidRPr="00AE6597">
              <w:t>7 (7.1)</w:t>
            </w:r>
          </w:p>
        </w:tc>
        <w:tc>
          <w:tcPr>
            <w:tcW w:w="897" w:type="pct"/>
          </w:tcPr>
          <w:p w14:paraId="0DDD7C8B" w14:textId="77777777" w:rsidR="00920729" w:rsidRPr="006B7539" w:rsidRDefault="00920729" w:rsidP="0009520E">
            <w:pPr>
              <w:pStyle w:val="TableText0"/>
            </w:pPr>
            <w:r w:rsidRPr="00AE6597">
              <w:t>0</w:t>
            </w:r>
          </w:p>
        </w:tc>
        <w:tc>
          <w:tcPr>
            <w:tcW w:w="898" w:type="pct"/>
          </w:tcPr>
          <w:p w14:paraId="04FFA0DD" w14:textId="77777777" w:rsidR="00920729" w:rsidRPr="006B7539" w:rsidRDefault="00920729" w:rsidP="0009520E">
            <w:pPr>
              <w:pStyle w:val="TableText0"/>
            </w:pPr>
            <w:r w:rsidRPr="00AE6597">
              <w:t>0</w:t>
            </w:r>
          </w:p>
        </w:tc>
      </w:tr>
      <w:tr w:rsidR="00920729" w:rsidRPr="00755391" w14:paraId="5BDFC07F" w14:textId="77777777" w:rsidTr="00956198">
        <w:trPr>
          <w:trHeight w:val="214"/>
        </w:trPr>
        <w:tc>
          <w:tcPr>
            <w:tcW w:w="1411" w:type="pct"/>
          </w:tcPr>
          <w:p w14:paraId="4DD4B592" w14:textId="77777777" w:rsidR="00920729" w:rsidRPr="001B6F28" w:rsidRDefault="00920729" w:rsidP="0009520E">
            <w:pPr>
              <w:pStyle w:val="TableText0"/>
            </w:pPr>
            <w:r w:rsidRPr="001B6F28">
              <w:t>Cough</w:t>
            </w:r>
          </w:p>
        </w:tc>
        <w:tc>
          <w:tcPr>
            <w:tcW w:w="897" w:type="pct"/>
          </w:tcPr>
          <w:p w14:paraId="74468A56" w14:textId="294E101D" w:rsidR="00920729" w:rsidRPr="006B7539" w:rsidRDefault="00920729" w:rsidP="0009520E">
            <w:pPr>
              <w:pStyle w:val="TableText0"/>
            </w:pPr>
            <w:r w:rsidRPr="00AE6597">
              <w:t>6 (11.5)</w:t>
            </w:r>
          </w:p>
        </w:tc>
        <w:tc>
          <w:tcPr>
            <w:tcW w:w="897" w:type="pct"/>
          </w:tcPr>
          <w:p w14:paraId="5135FF73" w14:textId="77777777" w:rsidR="00920729" w:rsidRPr="006B7539" w:rsidRDefault="00920729" w:rsidP="0009520E">
            <w:pPr>
              <w:pStyle w:val="TableText0"/>
            </w:pPr>
            <w:r w:rsidRPr="00AE6597">
              <w:t>7 (7.1)</w:t>
            </w:r>
          </w:p>
        </w:tc>
        <w:tc>
          <w:tcPr>
            <w:tcW w:w="897" w:type="pct"/>
          </w:tcPr>
          <w:p w14:paraId="1F95C282" w14:textId="556F14C0" w:rsidR="00920729" w:rsidRPr="006B7539" w:rsidRDefault="00920729" w:rsidP="0009520E">
            <w:pPr>
              <w:pStyle w:val="TableText0"/>
            </w:pPr>
            <w:r w:rsidRPr="00AE6597">
              <w:t>5 (20.0)</w:t>
            </w:r>
          </w:p>
        </w:tc>
        <w:tc>
          <w:tcPr>
            <w:tcW w:w="898" w:type="pct"/>
          </w:tcPr>
          <w:p w14:paraId="4F53C600" w14:textId="77777777" w:rsidR="00920729" w:rsidRPr="006B7539" w:rsidRDefault="00920729" w:rsidP="0009520E">
            <w:pPr>
              <w:pStyle w:val="TableText0"/>
            </w:pPr>
            <w:r w:rsidRPr="00AE6597">
              <w:t>7 (14.1)</w:t>
            </w:r>
          </w:p>
        </w:tc>
      </w:tr>
      <w:tr w:rsidR="00920729" w:rsidRPr="00755391" w14:paraId="7FD08CF9" w14:textId="77777777" w:rsidTr="00956198">
        <w:trPr>
          <w:trHeight w:val="214"/>
        </w:trPr>
        <w:tc>
          <w:tcPr>
            <w:tcW w:w="1411" w:type="pct"/>
          </w:tcPr>
          <w:p w14:paraId="31E8A174" w14:textId="77777777" w:rsidR="00920729" w:rsidRPr="001B6F28" w:rsidRDefault="00920729" w:rsidP="0009520E">
            <w:pPr>
              <w:pStyle w:val="TableText0"/>
            </w:pPr>
            <w:r w:rsidRPr="001B6F28">
              <w:t>Bronchitis</w:t>
            </w:r>
          </w:p>
        </w:tc>
        <w:tc>
          <w:tcPr>
            <w:tcW w:w="897" w:type="pct"/>
          </w:tcPr>
          <w:p w14:paraId="4486A666" w14:textId="217BE431" w:rsidR="00920729" w:rsidRPr="006B7539" w:rsidRDefault="00920729" w:rsidP="0009520E">
            <w:pPr>
              <w:pStyle w:val="TableText0"/>
            </w:pPr>
            <w:r w:rsidRPr="00AE6597">
              <w:t>5 (9.6)</w:t>
            </w:r>
          </w:p>
        </w:tc>
        <w:tc>
          <w:tcPr>
            <w:tcW w:w="897" w:type="pct"/>
          </w:tcPr>
          <w:p w14:paraId="7CAA66ED" w14:textId="77777777" w:rsidR="00920729" w:rsidRPr="006B7539" w:rsidRDefault="00920729" w:rsidP="0009520E">
            <w:pPr>
              <w:pStyle w:val="TableText0"/>
            </w:pPr>
            <w:r w:rsidRPr="00AE6597">
              <w:t>6 (6.1)</w:t>
            </w:r>
          </w:p>
        </w:tc>
        <w:tc>
          <w:tcPr>
            <w:tcW w:w="897" w:type="pct"/>
          </w:tcPr>
          <w:p w14:paraId="303B8411" w14:textId="2752D92E" w:rsidR="00920729" w:rsidRPr="006B7539" w:rsidRDefault="00920729" w:rsidP="0009520E">
            <w:pPr>
              <w:pStyle w:val="TableText0"/>
            </w:pPr>
            <w:r w:rsidRPr="00AE6597">
              <w:t>5 (20.0)</w:t>
            </w:r>
          </w:p>
        </w:tc>
        <w:tc>
          <w:tcPr>
            <w:tcW w:w="898" w:type="pct"/>
          </w:tcPr>
          <w:p w14:paraId="76463E4A" w14:textId="77777777" w:rsidR="00920729" w:rsidRPr="006B7539" w:rsidRDefault="00920729" w:rsidP="0009520E">
            <w:pPr>
              <w:pStyle w:val="TableText0"/>
            </w:pPr>
            <w:r w:rsidRPr="00AE6597">
              <w:t>7 (14.1)</w:t>
            </w:r>
          </w:p>
        </w:tc>
      </w:tr>
      <w:tr w:rsidR="00920729" w:rsidRPr="00755391" w14:paraId="38E032BB" w14:textId="77777777" w:rsidTr="00956198">
        <w:trPr>
          <w:trHeight w:val="214"/>
        </w:trPr>
        <w:tc>
          <w:tcPr>
            <w:tcW w:w="5000" w:type="pct"/>
            <w:gridSpan w:val="5"/>
          </w:tcPr>
          <w:p w14:paraId="7EBD2277" w14:textId="77777777" w:rsidR="00920729" w:rsidRPr="00E349CB" w:rsidRDefault="00920729" w:rsidP="0009520E">
            <w:pPr>
              <w:pStyle w:val="TableText0"/>
              <w:rPr>
                <w:b/>
                <w:bCs w:val="0"/>
              </w:rPr>
            </w:pPr>
            <w:r w:rsidRPr="00E349CB">
              <w:rPr>
                <w:b/>
                <w:bCs w:val="0"/>
              </w:rPr>
              <w:t>SAEs by system organ class (SOC)</w:t>
            </w:r>
          </w:p>
        </w:tc>
      </w:tr>
      <w:tr w:rsidR="00920729" w:rsidRPr="00755391" w14:paraId="68E423DC" w14:textId="77777777" w:rsidTr="00956198">
        <w:trPr>
          <w:trHeight w:val="214"/>
        </w:trPr>
        <w:tc>
          <w:tcPr>
            <w:tcW w:w="1411" w:type="pct"/>
          </w:tcPr>
          <w:p w14:paraId="0C070162" w14:textId="77777777" w:rsidR="00920729" w:rsidRPr="00F706A6" w:rsidRDefault="00920729" w:rsidP="0009520E">
            <w:pPr>
              <w:pStyle w:val="TableText0"/>
            </w:pPr>
            <w:r w:rsidRPr="00F706A6">
              <w:t>Cardiac disorders</w:t>
            </w:r>
          </w:p>
        </w:tc>
        <w:tc>
          <w:tcPr>
            <w:tcW w:w="897" w:type="pct"/>
          </w:tcPr>
          <w:p w14:paraId="03CCD117" w14:textId="58F2D20F" w:rsidR="00920729" w:rsidRPr="00F706A6" w:rsidRDefault="00920729" w:rsidP="0009520E">
            <w:pPr>
              <w:pStyle w:val="TableText0"/>
            </w:pPr>
            <w:r w:rsidRPr="00F706A6">
              <w:t>1 (1.9)</w:t>
            </w:r>
          </w:p>
        </w:tc>
        <w:tc>
          <w:tcPr>
            <w:tcW w:w="897" w:type="pct"/>
          </w:tcPr>
          <w:p w14:paraId="637E1394" w14:textId="77777777" w:rsidR="00920729" w:rsidRPr="00F706A6" w:rsidRDefault="00920729" w:rsidP="0009520E">
            <w:pPr>
              <w:pStyle w:val="TableText0"/>
            </w:pPr>
            <w:r w:rsidRPr="00F706A6">
              <w:t>1 (1.0)</w:t>
            </w:r>
          </w:p>
        </w:tc>
        <w:tc>
          <w:tcPr>
            <w:tcW w:w="897" w:type="pct"/>
          </w:tcPr>
          <w:p w14:paraId="76C205C1" w14:textId="183BE118" w:rsidR="00920729" w:rsidRPr="00F706A6" w:rsidRDefault="00920729" w:rsidP="0009520E">
            <w:pPr>
              <w:pStyle w:val="TableText0"/>
            </w:pPr>
            <w:r w:rsidRPr="00F706A6">
              <w:t>3 (12.0)</w:t>
            </w:r>
          </w:p>
        </w:tc>
        <w:tc>
          <w:tcPr>
            <w:tcW w:w="898" w:type="pct"/>
          </w:tcPr>
          <w:p w14:paraId="0C63BA06" w14:textId="77777777" w:rsidR="00920729" w:rsidRPr="00F706A6" w:rsidRDefault="00920729" w:rsidP="0009520E">
            <w:pPr>
              <w:pStyle w:val="TableText0"/>
            </w:pPr>
            <w:r w:rsidRPr="00F706A6">
              <w:t>3 (6.0)</w:t>
            </w:r>
          </w:p>
        </w:tc>
      </w:tr>
      <w:tr w:rsidR="00920729" w:rsidRPr="00755391" w14:paraId="5B6DBB96" w14:textId="77777777" w:rsidTr="00956198">
        <w:trPr>
          <w:trHeight w:val="214"/>
        </w:trPr>
        <w:tc>
          <w:tcPr>
            <w:tcW w:w="1411" w:type="pct"/>
          </w:tcPr>
          <w:p w14:paraId="1340AB28" w14:textId="77777777" w:rsidR="00920729" w:rsidRPr="00AE6597" w:rsidRDefault="00920729" w:rsidP="0009520E">
            <w:pPr>
              <w:pStyle w:val="TableText0"/>
            </w:pPr>
            <w:r w:rsidRPr="007D78A7">
              <w:t>Atrioventricular block second degree</w:t>
            </w:r>
          </w:p>
        </w:tc>
        <w:tc>
          <w:tcPr>
            <w:tcW w:w="897" w:type="pct"/>
          </w:tcPr>
          <w:p w14:paraId="32F2D727" w14:textId="203F465F" w:rsidR="00920729" w:rsidRPr="00AE6597" w:rsidRDefault="00920729" w:rsidP="0009520E">
            <w:pPr>
              <w:pStyle w:val="TableText0"/>
            </w:pPr>
            <w:r w:rsidRPr="007D78A7">
              <w:t>1 (1.9)</w:t>
            </w:r>
          </w:p>
        </w:tc>
        <w:tc>
          <w:tcPr>
            <w:tcW w:w="897" w:type="pct"/>
          </w:tcPr>
          <w:p w14:paraId="2934C0CC" w14:textId="77777777" w:rsidR="00920729" w:rsidRPr="00AE6597" w:rsidRDefault="00920729" w:rsidP="0009520E">
            <w:pPr>
              <w:pStyle w:val="TableText0"/>
            </w:pPr>
            <w:r w:rsidRPr="007D78A7">
              <w:t>1 (1.0)</w:t>
            </w:r>
          </w:p>
        </w:tc>
        <w:tc>
          <w:tcPr>
            <w:tcW w:w="897" w:type="pct"/>
          </w:tcPr>
          <w:p w14:paraId="67D50C7A" w14:textId="77777777" w:rsidR="00920729" w:rsidRPr="00AE6597" w:rsidRDefault="00920729" w:rsidP="0009520E">
            <w:pPr>
              <w:pStyle w:val="TableText0"/>
            </w:pPr>
            <w:r w:rsidRPr="007D78A7">
              <w:t>0</w:t>
            </w:r>
          </w:p>
        </w:tc>
        <w:tc>
          <w:tcPr>
            <w:tcW w:w="898" w:type="pct"/>
          </w:tcPr>
          <w:p w14:paraId="734C9143" w14:textId="77777777" w:rsidR="00920729" w:rsidRPr="00AE6597" w:rsidRDefault="00920729" w:rsidP="0009520E">
            <w:pPr>
              <w:pStyle w:val="TableText0"/>
            </w:pPr>
            <w:r w:rsidRPr="007D78A7">
              <w:t>0</w:t>
            </w:r>
          </w:p>
        </w:tc>
      </w:tr>
      <w:tr w:rsidR="00920729" w:rsidRPr="00755391" w14:paraId="1CA8B012" w14:textId="77777777" w:rsidTr="00956198">
        <w:trPr>
          <w:trHeight w:val="214"/>
        </w:trPr>
        <w:tc>
          <w:tcPr>
            <w:tcW w:w="1411" w:type="pct"/>
          </w:tcPr>
          <w:p w14:paraId="1BC25A43" w14:textId="77777777" w:rsidR="00920729" w:rsidRPr="00AE6597" w:rsidRDefault="00920729" w:rsidP="0009520E">
            <w:pPr>
              <w:pStyle w:val="TableText0"/>
            </w:pPr>
            <w:r w:rsidRPr="007D78A7">
              <w:t>Atrial fibrillation</w:t>
            </w:r>
          </w:p>
        </w:tc>
        <w:tc>
          <w:tcPr>
            <w:tcW w:w="897" w:type="pct"/>
          </w:tcPr>
          <w:p w14:paraId="0A0D7DFB" w14:textId="77777777" w:rsidR="00920729" w:rsidRPr="00AE6597" w:rsidRDefault="00920729" w:rsidP="0009520E">
            <w:pPr>
              <w:pStyle w:val="TableText0"/>
            </w:pPr>
            <w:r w:rsidRPr="007D78A7">
              <w:t>0</w:t>
            </w:r>
          </w:p>
        </w:tc>
        <w:tc>
          <w:tcPr>
            <w:tcW w:w="897" w:type="pct"/>
          </w:tcPr>
          <w:p w14:paraId="42A6BE28" w14:textId="77777777" w:rsidR="00920729" w:rsidRPr="00AE6597" w:rsidRDefault="00920729" w:rsidP="0009520E">
            <w:pPr>
              <w:pStyle w:val="TableText0"/>
            </w:pPr>
            <w:r w:rsidRPr="007D78A7">
              <w:t>0</w:t>
            </w:r>
          </w:p>
        </w:tc>
        <w:tc>
          <w:tcPr>
            <w:tcW w:w="897" w:type="pct"/>
          </w:tcPr>
          <w:p w14:paraId="11D9D24F" w14:textId="57982B08" w:rsidR="00920729" w:rsidRPr="00AE6597" w:rsidRDefault="00920729" w:rsidP="0009520E">
            <w:pPr>
              <w:pStyle w:val="TableText0"/>
            </w:pPr>
            <w:r w:rsidRPr="007D78A7">
              <w:t>1 (4.0)</w:t>
            </w:r>
          </w:p>
        </w:tc>
        <w:tc>
          <w:tcPr>
            <w:tcW w:w="898" w:type="pct"/>
          </w:tcPr>
          <w:p w14:paraId="6C65E901" w14:textId="77777777" w:rsidR="00920729" w:rsidRPr="00AE6597" w:rsidRDefault="00920729" w:rsidP="0009520E">
            <w:pPr>
              <w:pStyle w:val="TableText0"/>
            </w:pPr>
            <w:r w:rsidRPr="007D78A7">
              <w:t>1 (2.0)</w:t>
            </w:r>
          </w:p>
        </w:tc>
      </w:tr>
      <w:tr w:rsidR="00920729" w:rsidRPr="00755391" w14:paraId="794A40B7" w14:textId="77777777" w:rsidTr="00956198">
        <w:trPr>
          <w:trHeight w:val="214"/>
        </w:trPr>
        <w:tc>
          <w:tcPr>
            <w:tcW w:w="1411" w:type="pct"/>
          </w:tcPr>
          <w:p w14:paraId="0E775AD0" w14:textId="77777777" w:rsidR="00920729" w:rsidRPr="00AE6597" w:rsidRDefault="00920729" w:rsidP="0009520E">
            <w:pPr>
              <w:pStyle w:val="TableText0"/>
            </w:pPr>
            <w:r w:rsidRPr="007D78A7">
              <w:t>Tachycardia</w:t>
            </w:r>
          </w:p>
        </w:tc>
        <w:tc>
          <w:tcPr>
            <w:tcW w:w="897" w:type="pct"/>
          </w:tcPr>
          <w:p w14:paraId="13E3A0DA" w14:textId="77777777" w:rsidR="00920729" w:rsidRPr="00AE6597" w:rsidRDefault="00920729" w:rsidP="0009520E">
            <w:pPr>
              <w:pStyle w:val="TableText0"/>
            </w:pPr>
            <w:r w:rsidRPr="007D78A7">
              <w:t>0</w:t>
            </w:r>
          </w:p>
        </w:tc>
        <w:tc>
          <w:tcPr>
            <w:tcW w:w="897" w:type="pct"/>
          </w:tcPr>
          <w:p w14:paraId="1E9E8305" w14:textId="77777777" w:rsidR="00920729" w:rsidRPr="00AE6597" w:rsidRDefault="00920729" w:rsidP="0009520E">
            <w:pPr>
              <w:pStyle w:val="TableText0"/>
            </w:pPr>
            <w:r w:rsidRPr="007D78A7">
              <w:t>0</w:t>
            </w:r>
          </w:p>
        </w:tc>
        <w:tc>
          <w:tcPr>
            <w:tcW w:w="897" w:type="pct"/>
          </w:tcPr>
          <w:p w14:paraId="421516A8" w14:textId="72615496" w:rsidR="00920729" w:rsidRPr="00AE6597" w:rsidRDefault="00920729" w:rsidP="0009520E">
            <w:pPr>
              <w:pStyle w:val="TableText0"/>
            </w:pPr>
            <w:r w:rsidRPr="007D78A7">
              <w:t>1 (4.0)</w:t>
            </w:r>
          </w:p>
        </w:tc>
        <w:tc>
          <w:tcPr>
            <w:tcW w:w="898" w:type="pct"/>
          </w:tcPr>
          <w:p w14:paraId="3E12FB94" w14:textId="77777777" w:rsidR="00920729" w:rsidRPr="00AE6597" w:rsidRDefault="00920729" w:rsidP="0009520E">
            <w:pPr>
              <w:pStyle w:val="TableText0"/>
            </w:pPr>
            <w:r w:rsidRPr="007D78A7">
              <w:t>1 (2.0)</w:t>
            </w:r>
          </w:p>
        </w:tc>
      </w:tr>
      <w:tr w:rsidR="00920729" w:rsidRPr="00755391" w14:paraId="2189799B" w14:textId="77777777" w:rsidTr="00956198">
        <w:trPr>
          <w:trHeight w:val="214"/>
        </w:trPr>
        <w:tc>
          <w:tcPr>
            <w:tcW w:w="1411" w:type="pct"/>
          </w:tcPr>
          <w:p w14:paraId="30A1B886" w14:textId="77777777" w:rsidR="00920729" w:rsidRPr="00AE6597" w:rsidRDefault="00920729" w:rsidP="0009520E">
            <w:pPr>
              <w:pStyle w:val="TableText0"/>
            </w:pPr>
            <w:r w:rsidRPr="007D78A7">
              <w:t>Ventricular tachycardia</w:t>
            </w:r>
          </w:p>
        </w:tc>
        <w:tc>
          <w:tcPr>
            <w:tcW w:w="897" w:type="pct"/>
          </w:tcPr>
          <w:p w14:paraId="4730B2E3" w14:textId="77777777" w:rsidR="00920729" w:rsidRPr="00AE6597" w:rsidRDefault="00920729" w:rsidP="0009520E">
            <w:pPr>
              <w:pStyle w:val="TableText0"/>
            </w:pPr>
            <w:r w:rsidRPr="007D78A7">
              <w:t>0</w:t>
            </w:r>
          </w:p>
        </w:tc>
        <w:tc>
          <w:tcPr>
            <w:tcW w:w="897" w:type="pct"/>
          </w:tcPr>
          <w:p w14:paraId="324B8FDF" w14:textId="77777777" w:rsidR="00920729" w:rsidRPr="00AE6597" w:rsidRDefault="00920729" w:rsidP="0009520E">
            <w:pPr>
              <w:pStyle w:val="TableText0"/>
            </w:pPr>
            <w:r w:rsidRPr="007D78A7">
              <w:t>0</w:t>
            </w:r>
          </w:p>
        </w:tc>
        <w:tc>
          <w:tcPr>
            <w:tcW w:w="897" w:type="pct"/>
          </w:tcPr>
          <w:p w14:paraId="17DB3CF3" w14:textId="5D0A35DD" w:rsidR="00920729" w:rsidRPr="00AE6597" w:rsidRDefault="00920729" w:rsidP="0009520E">
            <w:pPr>
              <w:pStyle w:val="TableText0"/>
            </w:pPr>
            <w:r w:rsidRPr="007D78A7">
              <w:t>1 (4.0)</w:t>
            </w:r>
          </w:p>
        </w:tc>
        <w:tc>
          <w:tcPr>
            <w:tcW w:w="898" w:type="pct"/>
          </w:tcPr>
          <w:p w14:paraId="50BDEF13" w14:textId="77777777" w:rsidR="00920729" w:rsidRPr="00AE6597" w:rsidRDefault="00920729" w:rsidP="0009520E">
            <w:pPr>
              <w:pStyle w:val="TableText0"/>
            </w:pPr>
            <w:r w:rsidRPr="007D78A7">
              <w:t>1 (2.0)</w:t>
            </w:r>
          </w:p>
        </w:tc>
      </w:tr>
      <w:tr w:rsidR="00920729" w:rsidRPr="00755391" w14:paraId="2F82BEA6" w14:textId="77777777" w:rsidTr="00956198">
        <w:trPr>
          <w:trHeight w:val="214"/>
        </w:trPr>
        <w:tc>
          <w:tcPr>
            <w:tcW w:w="1411" w:type="pct"/>
          </w:tcPr>
          <w:p w14:paraId="320AF0A6" w14:textId="77777777" w:rsidR="00920729" w:rsidRPr="00F706A6" w:rsidRDefault="00920729" w:rsidP="0009520E">
            <w:pPr>
              <w:pStyle w:val="TableText0"/>
            </w:pPr>
            <w:r w:rsidRPr="00F706A6">
              <w:t>General disorders and administration site conditions</w:t>
            </w:r>
          </w:p>
        </w:tc>
        <w:tc>
          <w:tcPr>
            <w:tcW w:w="897" w:type="pct"/>
          </w:tcPr>
          <w:p w14:paraId="68BED2C4" w14:textId="44C31758" w:rsidR="00920729" w:rsidRPr="00F706A6" w:rsidRDefault="00920729" w:rsidP="0009520E">
            <w:pPr>
              <w:pStyle w:val="TableText0"/>
            </w:pPr>
            <w:r w:rsidRPr="00F706A6">
              <w:t>1 (1.9)</w:t>
            </w:r>
          </w:p>
        </w:tc>
        <w:tc>
          <w:tcPr>
            <w:tcW w:w="897" w:type="pct"/>
          </w:tcPr>
          <w:p w14:paraId="7BA88776" w14:textId="77777777" w:rsidR="00920729" w:rsidRPr="00F706A6" w:rsidRDefault="00920729" w:rsidP="0009520E">
            <w:pPr>
              <w:pStyle w:val="TableText0"/>
            </w:pPr>
            <w:r w:rsidRPr="00F706A6">
              <w:t>1 (1.0)</w:t>
            </w:r>
          </w:p>
        </w:tc>
        <w:tc>
          <w:tcPr>
            <w:tcW w:w="897" w:type="pct"/>
          </w:tcPr>
          <w:p w14:paraId="0B61A70B" w14:textId="7DEEBF9B" w:rsidR="00920729" w:rsidRPr="00F706A6" w:rsidRDefault="00920729" w:rsidP="0009520E">
            <w:pPr>
              <w:pStyle w:val="TableText0"/>
            </w:pPr>
            <w:r w:rsidRPr="00F706A6">
              <w:t>2 (8.0)</w:t>
            </w:r>
          </w:p>
        </w:tc>
        <w:tc>
          <w:tcPr>
            <w:tcW w:w="898" w:type="pct"/>
          </w:tcPr>
          <w:p w14:paraId="3C51F723" w14:textId="77777777" w:rsidR="00920729" w:rsidRPr="00F706A6" w:rsidRDefault="00920729" w:rsidP="0009520E">
            <w:pPr>
              <w:pStyle w:val="TableText0"/>
            </w:pPr>
            <w:r w:rsidRPr="00F706A6">
              <w:t>2 (4.0)</w:t>
            </w:r>
          </w:p>
        </w:tc>
      </w:tr>
      <w:tr w:rsidR="00920729" w:rsidRPr="00755391" w14:paraId="08A5A606" w14:textId="77777777" w:rsidTr="00956198">
        <w:trPr>
          <w:trHeight w:val="214"/>
        </w:trPr>
        <w:tc>
          <w:tcPr>
            <w:tcW w:w="1411" w:type="pct"/>
          </w:tcPr>
          <w:p w14:paraId="45D8C457" w14:textId="77777777" w:rsidR="00920729" w:rsidRPr="00AE6597" w:rsidRDefault="00920729" w:rsidP="0009520E">
            <w:pPr>
              <w:pStyle w:val="TableText0"/>
            </w:pPr>
            <w:r w:rsidRPr="007D78A7">
              <w:t>Hypothermia</w:t>
            </w:r>
          </w:p>
        </w:tc>
        <w:tc>
          <w:tcPr>
            <w:tcW w:w="897" w:type="pct"/>
          </w:tcPr>
          <w:p w14:paraId="27F115DF" w14:textId="7028BCBB" w:rsidR="00920729" w:rsidRPr="00AE6597" w:rsidRDefault="00920729" w:rsidP="0009520E">
            <w:pPr>
              <w:pStyle w:val="TableText0"/>
            </w:pPr>
            <w:r w:rsidRPr="007D78A7">
              <w:t>1 (1.9)</w:t>
            </w:r>
          </w:p>
        </w:tc>
        <w:tc>
          <w:tcPr>
            <w:tcW w:w="897" w:type="pct"/>
          </w:tcPr>
          <w:p w14:paraId="66E0E4CD" w14:textId="77777777" w:rsidR="00920729" w:rsidRPr="00AE6597" w:rsidRDefault="00920729" w:rsidP="0009520E">
            <w:pPr>
              <w:pStyle w:val="TableText0"/>
            </w:pPr>
            <w:r w:rsidRPr="007D78A7">
              <w:t>1 (1.0)</w:t>
            </w:r>
          </w:p>
        </w:tc>
        <w:tc>
          <w:tcPr>
            <w:tcW w:w="897" w:type="pct"/>
          </w:tcPr>
          <w:p w14:paraId="5CB66FAD" w14:textId="77777777" w:rsidR="00920729" w:rsidRPr="00AE6597" w:rsidRDefault="00920729" w:rsidP="0009520E">
            <w:pPr>
              <w:pStyle w:val="TableText0"/>
            </w:pPr>
            <w:r w:rsidRPr="007D78A7">
              <w:t>0</w:t>
            </w:r>
          </w:p>
        </w:tc>
        <w:tc>
          <w:tcPr>
            <w:tcW w:w="898" w:type="pct"/>
          </w:tcPr>
          <w:p w14:paraId="5DE72C91" w14:textId="77777777" w:rsidR="00920729" w:rsidRPr="00AE6597" w:rsidRDefault="00920729" w:rsidP="0009520E">
            <w:pPr>
              <w:pStyle w:val="TableText0"/>
            </w:pPr>
            <w:r w:rsidRPr="007D78A7">
              <w:t>0</w:t>
            </w:r>
          </w:p>
        </w:tc>
      </w:tr>
      <w:tr w:rsidR="00920729" w:rsidRPr="00755391" w14:paraId="4A40D18A" w14:textId="77777777" w:rsidTr="00956198">
        <w:trPr>
          <w:trHeight w:val="214"/>
        </w:trPr>
        <w:tc>
          <w:tcPr>
            <w:tcW w:w="1411" w:type="pct"/>
          </w:tcPr>
          <w:p w14:paraId="55DEE482" w14:textId="77777777" w:rsidR="00920729" w:rsidRPr="00AE6597" w:rsidRDefault="00920729" w:rsidP="0009520E">
            <w:pPr>
              <w:pStyle w:val="TableText0"/>
            </w:pPr>
            <w:r w:rsidRPr="007D78A7">
              <w:t>Chest pain</w:t>
            </w:r>
          </w:p>
        </w:tc>
        <w:tc>
          <w:tcPr>
            <w:tcW w:w="897" w:type="pct"/>
          </w:tcPr>
          <w:p w14:paraId="62F12F22" w14:textId="77777777" w:rsidR="00920729" w:rsidRPr="00AE6597" w:rsidRDefault="00920729" w:rsidP="0009520E">
            <w:pPr>
              <w:pStyle w:val="TableText0"/>
            </w:pPr>
            <w:r w:rsidRPr="007D78A7">
              <w:t>0</w:t>
            </w:r>
          </w:p>
        </w:tc>
        <w:tc>
          <w:tcPr>
            <w:tcW w:w="897" w:type="pct"/>
          </w:tcPr>
          <w:p w14:paraId="59AA185F" w14:textId="77777777" w:rsidR="00920729" w:rsidRPr="00AE6597" w:rsidRDefault="00920729" w:rsidP="0009520E">
            <w:pPr>
              <w:pStyle w:val="TableText0"/>
            </w:pPr>
            <w:r w:rsidRPr="007D78A7">
              <w:t>0</w:t>
            </w:r>
          </w:p>
        </w:tc>
        <w:tc>
          <w:tcPr>
            <w:tcW w:w="897" w:type="pct"/>
          </w:tcPr>
          <w:p w14:paraId="6D75D95D" w14:textId="1E323E61" w:rsidR="00920729" w:rsidRPr="00AE6597" w:rsidRDefault="00920729" w:rsidP="0009520E">
            <w:pPr>
              <w:pStyle w:val="TableText0"/>
            </w:pPr>
            <w:r w:rsidRPr="007D78A7">
              <w:t>2 (8.0)</w:t>
            </w:r>
          </w:p>
        </w:tc>
        <w:tc>
          <w:tcPr>
            <w:tcW w:w="898" w:type="pct"/>
          </w:tcPr>
          <w:p w14:paraId="5D20B15B" w14:textId="77777777" w:rsidR="00920729" w:rsidRPr="00AE6597" w:rsidRDefault="00920729" w:rsidP="0009520E">
            <w:pPr>
              <w:pStyle w:val="TableText0"/>
            </w:pPr>
            <w:r w:rsidRPr="007D78A7">
              <w:t>2 (4.0)</w:t>
            </w:r>
          </w:p>
        </w:tc>
      </w:tr>
      <w:tr w:rsidR="00920729" w:rsidRPr="00755391" w14:paraId="086A1150" w14:textId="77777777" w:rsidTr="00956198">
        <w:trPr>
          <w:trHeight w:val="214"/>
        </w:trPr>
        <w:tc>
          <w:tcPr>
            <w:tcW w:w="5000" w:type="pct"/>
            <w:gridSpan w:val="5"/>
          </w:tcPr>
          <w:p w14:paraId="33B38109" w14:textId="77777777" w:rsidR="00920729" w:rsidRPr="00E349CB" w:rsidRDefault="00920729" w:rsidP="0009520E">
            <w:pPr>
              <w:pStyle w:val="TableText0"/>
              <w:rPr>
                <w:b/>
                <w:bCs w:val="0"/>
              </w:rPr>
            </w:pPr>
            <w:r w:rsidRPr="00E349CB">
              <w:rPr>
                <w:b/>
                <w:bCs w:val="0"/>
              </w:rPr>
              <w:t xml:space="preserve">IRR occurring within 2 hours of infusion </w:t>
            </w:r>
          </w:p>
        </w:tc>
      </w:tr>
      <w:tr w:rsidR="00920729" w:rsidRPr="00755391" w14:paraId="0B1D5D74" w14:textId="77777777" w:rsidTr="00956198">
        <w:trPr>
          <w:trHeight w:val="214"/>
        </w:trPr>
        <w:tc>
          <w:tcPr>
            <w:tcW w:w="1411" w:type="pct"/>
          </w:tcPr>
          <w:p w14:paraId="6826D1C6" w14:textId="77777777" w:rsidR="00920729" w:rsidRPr="00C06EE5" w:rsidRDefault="00920729" w:rsidP="0009520E">
            <w:pPr>
              <w:pStyle w:val="TableText0"/>
            </w:pPr>
            <w:r w:rsidRPr="00C06EE5">
              <w:t>Any IRR</w:t>
            </w:r>
          </w:p>
        </w:tc>
        <w:tc>
          <w:tcPr>
            <w:tcW w:w="897" w:type="pct"/>
          </w:tcPr>
          <w:p w14:paraId="344A7D1C" w14:textId="7F86C6B0" w:rsidR="00920729" w:rsidRPr="00C06EE5" w:rsidRDefault="00920729" w:rsidP="0009520E">
            <w:pPr>
              <w:pStyle w:val="TableText0"/>
            </w:pPr>
            <w:r w:rsidRPr="00C06EE5">
              <w:t>11 (21.2)</w:t>
            </w:r>
          </w:p>
        </w:tc>
        <w:tc>
          <w:tcPr>
            <w:tcW w:w="897" w:type="pct"/>
          </w:tcPr>
          <w:p w14:paraId="28AE6F65" w14:textId="77777777" w:rsidR="00920729" w:rsidRPr="00C06EE5" w:rsidRDefault="00920729" w:rsidP="0009520E">
            <w:pPr>
              <w:pStyle w:val="TableText0"/>
            </w:pPr>
            <w:r w:rsidRPr="00C06EE5">
              <w:t>13 (0.50)</w:t>
            </w:r>
          </w:p>
        </w:tc>
        <w:tc>
          <w:tcPr>
            <w:tcW w:w="897" w:type="pct"/>
          </w:tcPr>
          <w:p w14:paraId="46F42F76" w14:textId="13B09B2E" w:rsidR="00920729" w:rsidRPr="00AE6597" w:rsidRDefault="00920729" w:rsidP="0009520E">
            <w:pPr>
              <w:pStyle w:val="TableText0"/>
            </w:pPr>
            <w:r w:rsidRPr="007A73D0">
              <w:t>6 (24.0)</w:t>
            </w:r>
          </w:p>
        </w:tc>
        <w:tc>
          <w:tcPr>
            <w:tcW w:w="898" w:type="pct"/>
          </w:tcPr>
          <w:p w14:paraId="20CD9D6F" w14:textId="77777777" w:rsidR="00920729" w:rsidRPr="00AE6597" w:rsidRDefault="00920729" w:rsidP="0009520E">
            <w:pPr>
              <w:pStyle w:val="TableText0"/>
            </w:pPr>
            <w:r w:rsidRPr="007266C2">
              <w:t>51 (3.9)</w:t>
            </w:r>
          </w:p>
        </w:tc>
      </w:tr>
      <w:tr w:rsidR="00920729" w:rsidRPr="00755391" w14:paraId="7BD8A0C1" w14:textId="77777777" w:rsidTr="00956198">
        <w:trPr>
          <w:trHeight w:val="214"/>
        </w:trPr>
        <w:tc>
          <w:tcPr>
            <w:tcW w:w="1411" w:type="pct"/>
          </w:tcPr>
          <w:p w14:paraId="0096F27A" w14:textId="77777777" w:rsidR="00920729" w:rsidRPr="00C06EE5" w:rsidRDefault="00920729" w:rsidP="0009520E">
            <w:pPr>
              <w:pStyle w:val="TableText0"/>
            </w:pPr>
            <w:r w:rsidRPr="00C06EE5">
              <w:t>Severe IRR</w:t>
            </w:r>
          </w:p>
        </w:tc>
        <w:tc>
          <w:tcPr>
            <w:tcW w:w="897" w:type="pct"/>
          </w:tcPr>
          <w:p w14:paraId="39E0E2CD" w14:textId="7955868F" w:rsidR="00920729" w:rsidRPr="00C06EE5" w:rsidRDefault="00920729" w:rsidP="0009520E">
            <w:pPr>
              <w:pStyle w:val="TableText0"/>
            </w:pPr>
            <w:r w:rsidRPr="00C06EE5">
              <w:t>1 (1.9)</w:t>
            </w:r>
            <w:r w:rsidR="00117277" w:rsidRPr="00117277">
              <w:rPr>
                <w:vertAlign w:val="superscript"/>
              </w:rPr>
              <w:t>d</w:t>
            </w:r>
          </w:p>
        </w:tc>
        <w:tc>
          <w:tcPr>
            <w:tcW w:w="897" w:type="pct"/>
          </w:tcPr>
          <w:p w14:paraId="036999F6" w14:textId="77777777" w:rsidR="00920729" w:rsidRPr="00C06EE5" w:rsidRDefault="00920729" w:rsidP="0009520E">
            <w:pPr>
              <w:pStyle w:val="TableText0"/>
            </w:pPr>
            <w:r w:rsidRPr="00C06EE5">
              <w:t>1 (0.0)</w:t>
            </w:r>
          </w:p>
        </w:tc>
        <w:tc>
          <w:tcPr>
            <w:tcW w:w="897" w:type="pct"/>
          </w:tcPr>
          <w:p w14:paraId="054415E3" w14:textId="77777777" w:rsidR="00920729" w:rsidRPr="00AE6597" w:rsidRDefault="00920729" w:rsidP="0009520E">
            <w:pPr>
              <w:pStyle w:val="TableText0"/>
            </w:pPr>
            <w:r w:rsidRPr="007A73D0">
              <w:t>0</w:t>
            </w:r>
          </w:p>
        </w:tc>
        <w:tc>
          <w:tcPr>
            <w:tcW w:w="898" w:type="pct"/>
          </w:tcPr>
          <w:p w14:paraId="20085CB0" w14:textId="77777777" w:rsidR="00920729" w:rsidRPr="00AE6597" w:rsidRDefault="00920729" w:rsidP="0009520E">
            <w:pPr>
              <w:pStyle w:val="TableText0"/>
            </w:pPr>
            <w:r w:rsidRPr="007266C2">
              <w:t>0</w:t>
            </w:r>
          </w:p>
        </w:tc>
      </w:tr>
      <w:tr w:rsidR="00920729" w:rsidRPr="00755391" w14:paraId="4F4275B3" w14:textId="77777777" w:rsidTr="00956198">
        <w:trPr>
          <w:trHeight w:val="214"/>
        </w:trPr>
        <w:tc>
          <w:tcPr>
            <w:tcW w:w="1411" w:type="pct"/>
          </w:tcPr>
          <w:p w14:paraId="409BFDA1" w14:textId="77777777" w:rsidR="00920729" w:rsidRPr="00C06EE5" w:rsidRDefault="00920729" w:rsidP="0009520E">
            <w:pPr>
              <w:pStyle w:val="TableText0"/>
            </w:pPr>
            <w:r w:rsidRPr="00C06EE5">
              <w:t>Serious IRR</w:t>
            </w:r>
          </w:p>
        </w:tc>
        <w:tc>
          <w:tcPr>
            <w:tcW w:w="897" w:type="pct"/>
          </w:tcPr>
          <w:p w14:paraId="3B5DEA85" w14:textId="15A17B45" w:rsidR="00920729" w:rsidRPr="00C06EE5" w:rsidRDefault="00920729" w:rsidP="0009520E">
            <w:pPr>
              <w:pStyle w:val="TableText0"/>
            </w:pPr>
            <w:r w:rsidRPr="00C06EE5">
              <w:t>1 (1.9)</w:t>
            </w:r>
            <w:r w:rsidR="00117277" w:rsidRPr="00117277">
              <w:rPr>
                <w:vertAlign w:val="superscript"/>
              </w:rPr>
              <w:t>d</w:t>
            </w:r>
          </w:p>
        </w:tc>
        <w:tc>
          <w:tcPr>
            <w:tcW w:w="897" w:type="pct"/>
          </w:tcPr>
          <w:p w14:paraId="1CFAD2C6" w14:textId="77777777" w:rsidR="00920729" w:rsidRPr="00C06EE5" w:rsidRDefault="00920729" w:rsidP="0009520E">
            <w:pPr>
              <w:pStyle w:val="TableText0"/>
            </w:pPr>
            <w:r w:rsidRPr="00C06EE5">
              <w:t>1 (0.0)</w:t>
            </w:r>
          </w:p>
        </w:tc>
        <w:tc>
          <w:tcPr>
            <w:tcW w:w="897" w:type="pct"/>
          </w:tcPr>
          <w:p w14:paraId="5D74C354" w14:textId="77777777" w:rsidR="00920729" w:rsidRPr="00AE6597" w:rsidRDefault="00920729" w:rsidP="0009520E">
            <w:pPr>
              <w:pStyle w:val="TableText0"/>
            </w:pPr>
            <w:r w:rsidRPr="007A73D0">
              <w:t>0</w:t>
            </w:r>
          </w:p>
        </w:tc>
        <w:tc>
          <w:tcPr>
            <w:tcW w:w="898" w:type="pct"/>
          </w:tcPr>
          <w:p w14:paraId="63765FB4" w14:textId="77777777" w:rsidR="00920729" w:rsidRPr="00AE6597" w:rsidRDefault="00920729" w:rsidP="0009520E">
            <w:pPr>
              <w:pStyle w:val="TableText0"/>
            </w:pPr>
            <w:r w:rsidRPr="007266C2">
              <w:t>0</w:t>
            </w:r>
          </w:p>
        </w:tc>
      </w:tr>
      <w:tr w:rsidR="00920729" w:rsidRPr="00755391" w14:paraId="0E1284C1" w14:textId="77777777" w:rsidTr="00956198">
        <w:trPr>
          <w:trHeight w:val="214"/>
        </w:trPr>
        <w:tc>
          <w:tcPr>
            <w:tcW w:w="1411" w:type="pct"/>
          </w:tcPr>
          <w:p w14:paraId="43AA30CA" w14:textId="77777777" w:rsidR="00920729" w:rsidRPr="00C06EE5" w:rsidRDefault="00920729" w:rsidP="0009520E">
            <w:pPr>
              <w:pStyle w:val="TableText0"/>
            </w:pPr>
            <w:r w:rsidRPr="00C06EE5">
              <w:t>IRR leading to withdrawal</w:t>
            </w:r>
          </w:p>
        </w:tc>
        <w:tc>
          <w:tcPr>
            <w:tcW w:w="897" w:type="pct"/>
          </w:tcPr>
          <w:p w14:paraId="731E8A46" w14:textId="6A2CB91C" w:rsidR="00920729" w:rsidRPr="00C06EE5" w:rsidRDefault="00920729" w:rsidP="0009520E">
            <w:pPr>
              <w:pStyle w:val="TableText0"/>
            </w:pPr>
            <w:r w:rsidRPr="00C06EE5">
              <w:t>1 (1.9)</w:t>
            </w:r>
            <w:r w:rsidR="00117277" w:rsidRPr="00117277">
              <w:rPr>
                <w:vertAlign w:val="superscript"/>
              </w:rPr>
              <w:t>d</w:t>
            </w:r>
          </w:p>
        </w:tc>
        <w:tc>
          <w:tcPr>
            <w:tcW w:w="897" w:type="pct"/>
          </w:tcPr>
          <w:p w14:paraId="75AB97E9" w14:textId="77777777" w:rsidR="00920729" w:rsidRPr="00C06EE5" w:rsidRDefault="00920729" w:rsidP="0009520E">
            <w:pPr>
              <w:pStyle w:val="TableText0"/>
            </w:pPr>
            <w:r w:rsidRPr="00C06EE5">
              <w:t>1 (0.0)</w:t>
            </w:r>
          </w:p>
        </w:tc>
        <w:tc>
          <w:tcPr>
            <w:tcW w:w="897" w:type="pct"/>
          </w:tcPr>
          <w:p w14:paraId="52EFC8D8" w14:textId="77777777" w:rsidR="00920729" w:rsidRPr="00AE6597" w:rsidRDefault="00920729" w:rsidP="0009520E">
            <w:pPr>
              <w:pStyle w:val="TableText0"/>
            </w:pPr>
            <w:r w:rsidRPr="007A73D0">
              <w:t>0</w:t>
            </w:r>
          </w:p>
        </w:tc>
        <w:tc>
          <w:tcPr>
            <w:tcW w:w="898" w:type="pct"/>
          </w:tcPr>
          <w:p w14:paraId="53F8E268" w14:textId="77777777" w:rsidR="00920729" w:rsidRPr="00AE6597" w:rsidRDefault="00920729" w:rsidP="0009520E">
            <w:pPr>
              <w:pStyle w:val="TableText0"/>
            </w:pPr>
            <w:r w:rsidRPr="007266C2">
              <w:t>0</w:t>
            </w:r>
          </w:p>
        </w:tc>
      </w:tr>
    </w:tbl>
    <w:p w14:paraId="777B92D6" w14:textId="77777777" w:rsidR="00920729" w:rsidRDefault="00920729" w:rsidP="005A2403">
      <w:pPr>
        <w:pStyle w:val="TableFigureFooter"/>
      </w:pPr>
      <w:r>
        <w:t>Source: Table 2.5-15, Table 2.5-16, Table 2.5-17, Table 2.5-18, pp86-90 of the submission.</w:t>
      </w:r>
    </w:p>
    <w:p w14:paraId="5ABD1AD2" w14:textId="126AA35C" w:rsidR="00920729" w:rsidRDefault="00920729" w:rsidP="005A2403">
      <w:pPr>
        <w:pStyle w:val="TableFigureFooter"/>
      </w:pPr>
      <w:r>
        <w:t xml:space="preserve">Abbreviations: </w:t>
      </w:r>
      <w:r w:rsidRPr="00C06EE5">
        <w:t xml:space="preserve">CTCAE, Common Terminology Criteria for Adverse Events; </w:t>
      </w:r>
      <w:r>
        <w:t>eCRF, electronic case report form</w:t>
      </w:r>
      <w:r w:rsidRPr="00C06EE5">
        <w:t>; IRR, infusion-related reaction</w:t>
      </w:r>
      <w:r>
        <w:t xml:space="preserve">; </w:t>
      </w:r>
      <w:r w:rsidRPr="00C06EE5">
        <w:t>SAE, serious adverse event</w:t>
      </w:r>
      <w:r>
        <w:t xml:space="preserve">; SE, standard error; SOC, </w:t>
      </w:r>
      <w:r w:rsidRPr="00F706A6">
        <w:t>system organ class</w:t>
      </w:r>
      <w:r w:rsidR="00D17D01">
        <w:t xml:space="preserve">; </w:t>
      </w:r>
      <w:r w:rsidR="00D17D01" w:rsidRPr="00C06EE5">
        <w:t>TEAE, treatment-emergent adverse event</w:t>
      </w:r>
      <w:r w:rsidRPr="00C06EE5">
        <w:t>.</w:t>
      </w:r>
    </w:p>
    <w:p w14:paraId="5CE59306" w14:textId="77777777" w:rsidR="00E67771" w:rsidRDefault="00920729" w:rsidP="005A2403">
      <w:pPr>
        <w:pStyle w:val="TableFigureFooter"/>
      </w:pPr>
      <w:r w:rsidRPr="0023072B">
        <w:rPr>
          <w:vertAlign w:val="superscript"/>
        </w:rPr>
        <w:t>a</w:t>
      </w:r>
      <w:r>
        <w:t xml:space="preserve"> </w:t>
      </w:r>
      <w:r w:rsidRPr="0023072B">
        <w:t>Rate is calculated as the adjusted number of events per 100 years of exposure</w:t>
      </w:r>
      <w:r>
        <w:t xml:space="preserve"> for all TEAEs and SAEs and per 100 infusions for IRRs. </w:t>
      </w:r>
      <w:r w:rsidRPr="00DE747F">
        <w:t>Total cumulative exposure was 1176.2 months in the pegunigalsidase alfa arm (N = 52) and 596.4 months in the agalsidase beta arm (N</w:t>
      </w:r>
      <w:r w:rsidR="00F0237A">
        <w:t> </w:t>
      </w:r>
      <w:r w:rsidRPr="00DE747F">
        <w:t>=</w:t>
      </w:r>
      <w:r w:rsidR="00F0237A">
        <w:t> </w:t>
      </w:r>
      <w:r w:rsidRPr="00DE747F">
        <w:t>25), with similar means (SE) between the treatment groups for individual exposure: 22.62 (0.72) versus 23.86 (0.27) months, respectively</w:t>
      </w:r>
      <w:r>
        <w:t xml:space="preserve">. </w:t>
      </w:r>
    </w:p>
    <w:p w14:paraId="23BAC687" w14:textId="145A07AF" w:rsidR="00920729" w:rsidRDefault="00920729" w:rsidP="005A2403">
      <w:pPr>
        <w:pStyle w:val="TableFigureFooter"/>
      </w:pPr>
      <w:r w:rsidRPr="009E22C6">
        <w:rPr>
          <w:vertAlign w:val="superscript"/>
        </w:rPr>
        <w:lastRenderedPageBreak/>
        <w:t>b</w:t>
      </w:r>
      <w:r>
        <w:t xml:space="preserve"> Events classified as “Very Severe” per CTCAE severity in the eCRF are included in the category “Severe”.</w:t>
      </w:r>
    </w:p>
    <w:p w14:paraId="298BB506" w14:textId="77777777" w:rsidR="005255B5" w:rsidRDefault="00920729" w:rsidP="005A2403">
      <w:pPr>
        <w:pStyle w:val="TableFigureFooter"/>
      </w:pPr>
      <w:r w:rsidRPr="009E22C6">
        <w:rPr>
          <w:vertAlign w:val="superscript"/>
        </w:rPr>
        <w:t>c</w:t>
      </w:r>
      <w:r>
        <w:t xml:space="preserve"> A TEAE was defined as related if was reported as possibly, probably, or definitely related to study drug.</w:t>
      </w:r>
      <w:r w:rsidR="00117277">
        <w:t xml:space="preserve"> </w:t>
      </w:r>
    </w:p>
    <w:p w14:paraId="4F5EF385" w14:textId="58E6CE78" w:rsidR="00920729" w:rsidRDefault="005255B5" w:rsidP="005A2403">
      <w:pPr>
        <w:pStyle w:val="TableFigureFooter"/>
      </w:pPr>
      <w:r w:rsidRPr="005255B5">
        <w:rPr>
          <w:vertAlign w:val="superscript"/>
        </w:rPr>
        <w:t>d</w:t>
      </w:r>
      <w:r w:rsidR="00117277">
        <w:t xml:space="preserve"> </w:t>
      </w:r>
      <w:r>
        <w:t>O</w:t>
      </w:r>
      <w:r w:rsidR="004C3BF8" w:rsidRPr="00703992">
        <w:t>ne serious IRR</w:t>
      </w:r>
      <w:r w:rsidR="004C3BF8">
        <w:t>,</w:t>
      </w:r>
      <w:r w:rsidR="004C3BF8" w:rsidRPr="00703992">
        <w:t xml:space="preserve"> </w:t>
      </w:r>
      <w:r w:rsidR="004C3BF8">
        <w:t xml:space="preserve">one </w:t>
      </w:r>
      <w:r w:rsidR="004C3BF8" w:rsidRPr="00703992">
        <w:t xml:space="preserve">severe IRR (hypersensitivity) </w:t>
      </w:r>
      <w:r w:rsidR="004C3BF8">
        <w:t>and one IRR leading to withdrawal</w:t>
      </w:r>
      <w:r w:rsidR="004C3BF8" w:rsidRPr="00703992" w:rsidDel="008024A5">
        <w:t xml:space="preserve"> </w:t>
      </w:r>
      <w:r>
        <w:t xml:space="preserve">was </w:t>
      </w:r>
      <w:r w:rsidR="004C3BF8" w:rsidRPr="00703992">
        <w:t xml:space="preserve">reported in </w:t>
      </w:r>
      <w:r w:rsidR="004C3BF8">
        <w:t xml:space="preserve">the same patient in </w:t>
      </w:r>
      <w:r w:rsidR="004C3BF8" w:rsidRPr="00703992">
        <w:t>the pegunigalsidase alfa arm</w:t>
      </w:r>
      <w:r>
        <w:t>.</w:t>
      </w:r>
    </w:p>
    <w:p w14:paraId="08B1244A" w14:textId="77777777" w:rsidR="00920729" w:rsidRDefault="00920729" w:rsidP="009D09F4"/>
    <w:p w14:paraId="0EC9DEBD" w14:textId="0AA35C2A" w:rsidR="00920729" w:rsidRDefault="00920729" w:rsidP="007F0B21">
      <w:pPr>
        <w:pStyle w:val="Caption"/>
      </w:pPr>
      <w:bookmarkStart w:id="49" w:name="_Ref195472833"/>
      <w:r>
        <w:t xml:space="preserve">Figure </w:t>
      </w:r>
      <w:r w:rsidR="004E7462">
        <w:fldChar w:fldCharType="begin" w:fldLock="1"/>
      </w:r>
      <w:r w:rsidR="004E7462">
        <w:instrText xml:space="preserve"> SEQ Figure \* ARABIC </w:instrText>
      </w:r>
      <w:r w:rsidR="004E7462">
        <w:fldChar w:fldCharType="separate"/>
      </w:r>
      <w:r w:rsidR="004E7462">
        <w:rPr>
          <w:noProof/>
        </w:rPr>
        <w:t>1</w:t>
      </w:r>
      <w:r w:rsidR="004E7462">
        <w:rPr>
          <w:noProof/>
        </w:rPr>
        <w:fldChar w:fldCharType="end"/>
      </w:r>
      <w:bookmarkEnd w:id="49"/>
      <w:r>
        <w:t xml:space="preserve">: </w:t>
      </w:r>
      <w:r w:rsidRPr="000D52BB">
        <w:t>Rates of ADA-positive patients and ADA-positive patients with neutralising antibodies over time in BALANCE</w:t>
      </w:r>
    </w:p>
    <w:p w14:paraId="7172A072" w14:textId="77777777" w:rsidR="00920729" w:rsidRPr="00755391" w:rsidRDefault="00920729" w:rsidP="00807648">
      <w:pPr>
        <w:keepNext/>
        <w:jc w:val="center"/>
      </w:pPr>
      <w:r w:rsidRPr="00755391">
        <w:rPr>
          <w:noProof/>
        </w:rPr>
        <w:drawing>
          <wp:inline distT="0" distB="0" distL="0" distR="0" wp14:anchorId="1545F57C" wp14:editId="596E9BFA">
            <wp:extent cx="5015937" cy="3317836"/>
            <wp:effectExtent l="19050" t="19050" r="13335" b="16510"/>
            <wp:docPr id="1950020474" name="Picture 1" descr="Figure 1: Rates of ADA-positive patients and ADA-positive patients with neutralising antibodies over time in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20474" name="Picture 1" descr="Figure 1: Rates of ADA-positive patients and ADA-positive patients with neutralising antibodies over time in BALANCE"/>
                    <pic:cNvPicPr/>
                  </pic:nvPicPr>
                  <pic:blipFill rotWithShape="1">
                    <a:blip r:embed="rId14"/>
                    <a:srcRect t="7976" b="9158"/>
                    <a:stretch/>
                  </pic:blipFill>
                  <pic:spPr bwMode="auto">
                    <a:xfrm>
                      <a:off x="0" y="0"/>
                      <a:ext cx="5084994" cy="336351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582208F" w14:textId="64370A7B" w:rsidR="00920729" w:rsidRDefault="00920729" w:rsidP="005A2403">
      <w:pPr>
        <w:pStyle w:val="TableFigureFooter"/>
      </w:pPr>
      <w:r>
        <w:t>Source: Figure 2.5-8, p91 of the submission</w:t>
      </w:r>
      <w:r w:rsidR="00BD4B6B">
        <w:t xml:space="preserve"> and</w:t>
      </w:r>
      <w:r w:rsidR="00AC3077">
        <w:t xml:space="preserve"> Wallace </w:t>
      </w:r>
      <w:r w:rsidR="00060F40">
        <w:t>et al</w:t>
      </w:r>
      <w:r w:rsidR="00C50AC8">
        <w:t>.</w:t>
      </w:r>
      <w:r w:rsidR="00060F40">
        <w:t xml:space="preserve"> </w:t>
      </w:r>
      <w:r w:rsidR="000B1DDF">
        <w:t>2023</w:t>
      </w:r>
      <w:r w:rsidR="006B5436">
        <w:t xml:space="preserve"> poster.</w:t>
      </w:r>
    </w:p>
    <w:p w14:paraId="7C28048F" w14:textId="7E5BD420" w:rsidR="00920729" w:rsidRDefault="00920729" w:rsidP="005A2403">
      <w:pPr>
        <w:pStyle w:val="TableFigureFooter"/>
      </w:pPr>
      <w:r w:rsidRPr="00FF3F95">
        <w:t xml:space="preserve">Abbreviations: ADA, antidrug antibody; </w:t>
      </w:r>
      <w:r w:rsidR="00300F42">
        <w:t xml:space="preserve">IgG, </w:t>
      </w:r>
      <w:r w:rsidR="007103EF">
        <w:t>immunoglobulin G;</w:t>
      </w:r>
      <w:r w:rsidRPr="00FF3F95">
        <w:t xml:space="preserve"> </w:t>
      </w:r>
      <w:proofErr w:type="spellStart"/>
      <w:r w:rsidRPr="00FF3F95">
        <w:t>nAb</w:t>
      </w:r>
      <w:proofErr w:type="spellEnd"/>
      <w:r w:rsidRPr="00FF3F95">
        <w:t>+, positive for neutrali</w:t>
      </w:r>
      <w:r w:rsidR="007103EF">
        <w:t>s</w:t>
      </w:r>
      <w:r w:rsidRPr="00FF3F95">
        <w:t>ing antibodies.</w:t>
      </w:r>
      <w:r>
        <w:t xml:space="preserve"> </w:t>
      </w:r>
    </w:p>
    <w:p w14:paraId="2643D065" w14:textId="77777777" w:rsidR="00920729" w:rsidRPr="00FF3F95" w:rsidRDefault="00920729" w:rsidP="005A2403">
      <w:pPr>
        <w:pStyle w:val="TableFigureFooter"/>
      </w:pPr>
      <w:r w:rsidRPr="00FF3F95">
        <w:rPr>
          <w:vertAlign w:val="superscript"/>
        </w:rPr>
        <w:t>a</w:t>
      </w:r>
      <w:r>
        <w:t xml:space="preserve"> Proportion (</w:t>
      </w:r>
      <w:r w:rsidRPr="00FF3F95">
        <w:t>%</w:t>
      </w:r>
      <w:r>
        <w:t xml:space="preserve">) </w:t>
      </w:r>
      <w:r w:rsidRPr="00FF3F95">
        <w:t xml:space="preserve">of </w:t>
      </w:r>
      <w:proofErr w:type="spellStart"/>
      <w:r w:rsidRPr="00FF3F95">
        <w:t>nAb</w:t>
      </w:r>
      <w:proofErr w:type="spellEnd"/>
      <w:r w:rsidRPr="00FF3F95">
        <w:t>+ calculated out of total patients in respective treatment arm.</w:t>
      </w:r>
    </w:p>
    <w:p w14:paraId="129E82A5" w14:textId="02450859" w:rsidR="00920729" w:rsidRDefault="00920729" w:rsidP="009D09F4">
      <w:pPr>
        <w:pStyle w:val="3-BodyText"/>
      </w:pPr>
      <w:r w:rsidRPr="00EF15D6">
        <w:t xml:space="preserve">The proportion of patients with at least one TEAE, serious TEAE and related TEAE in pegunigalsidase alfa (90.4%, 15.4% and 40.4% respectively) was lower compared to agalsidase beta (96%, 24% and 44% respectively), with the rate of events adjusted for exposure being notably lower in any TEAE (572.36 per 100 patient-years of exposure in pegunigalsidase alfa vs 816.85 per 100 patient-years of exposure in agalsidase beta) and any related TEAE (42.85 per 100 patient-years of exposure in pegunigalsidase alfa vs 152.91 per 100 patient-years of exposure in agalsidase beta). One patient in the pegunigalsidase alfa arm discontinued from the study due to TEAE </w:t>
      </w:r>
      <w:r w:rsidR="001C4458">
        <w:t>that were</w:t>
      </w:r>
      <w:r w:rsidRPr="00EF15D6">
        <w:t xml:space="preserve"> considered related to study treatment (hypersensitivity)</w:t>
      </w:r>
      <w:r w:rsidR="001C4458">
        <w:t>,</w:t>
      </w:r>
      <w:r w:rsidRPr="00EF15D6">
        <w:t xml:space="preserve"> and </w:t>
      </w:r>
      <w:r w:rsidR="00674A5A">
        <w:t>n</w:t>
      </w:r>
      <w:r w:rsidR="00025E49">
        <w:t>o patients discontinuing due to TEAE were</w:t>
      </w:r>
      <w:r w:rsidRPr="00EF15D6">
        <w:t xml:space="preserve"> reported in the agalsidase beta arm.</w:t>
      </w:r>
    </w:p>
    <w:p w14:paraId="6606A026" w14:textId="45D623C6" w:rsidR="00920729" w:rsidRPr="00C412B8" w:rsidRDefault="00920729" w:rsidP="009D09F4">
      <w:pPr>
        <w:pStyle w:val="3-BodyText"/>
        <w:rPr>
          <w:color w:val="0066FF"/>
        </w:rPr>
      </w:pPr>
      <w:bookmarkStart w:id="50" w:name="_Ref195777589"/>
      <w:r w:rsidRPr="00C412B8">
        <w:t xml:space="preserve">Among the pegunigalsidase alfa patients, the most common types of TEAEs were nasopharyngitis and headache (21.2% each), diarrhoea (19.2%), </w:t>
      </w:r>
      <w:r w:rsidR="00C35F22">
        <w:t xml:space="preserve">and </w:t>
      </w:r>
      <w:r w:rsidRPr="00C412B8">
        <w:t xml:space="preserve">nausea and fatigue (17.3% each). Among the agalsidase beta patients, the most common TEAEs were diarrhoea (24%), </w:t>
      </w:r>
      <w:r w:rsidR="00A730A8">
        <w:t>and</w:t>
      </w:r>
      <w:r w:rsidRPr="00C412B8">
        <w:t xml:space="preserve"> headache, back pain, cough, and bronchitis (20.0% each). </w:t>
      </w:r>
      <w:bookmarkStart w:id="51" w:name="_Hlk195780006"/>
      <w:r w:rsidRPr="00EE7099">
        <w:t>TEAEs more frequently observed</w:t>
      </w:r>
      <w:r>
        <w:t xml:space="preserve"> (</w:t>
      </w:r>
      <w:r w:rsidRPr="00C412B8">
        <w:t xml:space="preserve">&gt;10% </w:t>
      </w:r>
      <w:r>
        <w:t>difference)</w:t>
      </w:r>
      <w:r w:rsidRPr="00EE7099">
        <w:t xml:space="preserve"> in the </w:t>
      </w:r>
      <w:r w:rsidRPr="002C3266">
        <w:rPr>
          <w:rFonts w:cstheme="minorHAnsi"/>
        </w:rPr>
        <w:t>agalsidase beta arm</w:t>
      </w:r>
      <w:r w:rsidRPr="00EE7099">
        <w:t xml:space="preserve"> compared to </w:t>
      </w:r>
      <w:r w:rsidRPr="002C3266">
        <w:t>pegunigalsidase alfa</w:t>
      </w:r>
      <w:r w:rsidRPr="00EE7099">
        <w:t xml:space="preserve"> included: </w:t>
      </w:r>
      <w:r w:rsidRPr="002C3266">
        <w:rPr>
          <w:rFonts w:cstheme="minorHAnsi"/>
        </w:rPr>
        <w:t>abdominal pain upper</w:t>
      </w:r>
      <w:r>
        <w:rPr>
          <w:rFonts w:cstheme="minorHAnsi"/>
        </w:rPr>
        <w:t xml:space="preserve"> </w:t>
      </w:r>
      <w:r w:rsidRPr="00EE7099">
        <w:t>(</w:t>
      </w:r>
      <w:r>
        <w:t>16</w:t>
      </w:r>
      <w:r w:rsidRPr="00EE7099">
        <w:t xml:space="preserve">% vs </w:t>
      </w:r>
      <w:r>
        <w:t>3.8</w:t>
      </w:r>
      <w:r w:rsidRPr="00EE7099">
        <w:t>%)</w:t>
      </w:r>
      <w:r w:rsidRPr="002C3266">
        <w:rPr>
          <w:rFonts w:cstheme="minorHAnsi"/>
        </w:rPr>
        <w:t>, blood creatinine increased</w:t>
      </w:r>
      <w:r>
        <w:rPr>
          <w:rFonts w:cstheme="minorHAnsi"/>
        </w:rPr>
        <w:t xml:space="preserve"> </w:t>
      </w:r>
      <w:r>
        <w:t>(16</w:t>
      </w:r>
      <w:r w:rsidRPr="00EE7099">
        <w:t xml:space="preserve">% vs </w:t>
      </w:r>
      <w:r>
        <w:t>3.8%</w:t>
      </w:r>
      <w:r w:rsidRPr="00EE7099">
        <w:t>)</w:t>
      </w:r>
      <w:r w:rsidRPr="002C3266">
        <w:rPr>
          <w:rFonts w:cstheme="minorHAnsi"/>
        </w:rPr>
        <w:t>, paraesthesia</w:t>
      </w:r>
      <w:r>
        <w:rPr>
          <w:rFonts w:cstheme="minorHAnsi"/>
        </w:rPr>
        <w:t xml:space="preserve"> (</w:t>
      </w:r>
      <w:r>
        <w:t>16</w:t>
      </w:r>
      <w:r w:rsidRPr="00EE7099">
        <w:t xml:space="preserve">% vs </w:t>
      </w:r>
      <w:r>
        <w:t>3.8</w:t>
      </w:r>
      <w:r w:rsidR="009201BD">
        <w:t>%</w:t>
      </w:r>
      <w:r>
        <w:t xml:space="preserve">), </w:t>
      </w:r>
      <w:r w:rsidRPr="002C3266">
        <w:rPr>
          <w:rFonts w:cstheme="minorHAnsi"/>
        </w:rPr>
        <w:t xml:space="preserve">abdominal </w:t>
      </w:r>
      <w:r w:rsidRPr="002C3266">
        <w:rPr>
          <w:rFonts w:cstheme="minorHAnsi"/>
        </w:rPr>
        <w:lastRenderedPageBreak/>
        <w:t>discomfort</w:t>
      </w:r>
      <w:r>
        <w:rPr>
          <w:rFonts w:cstheme="minorHAnsi"/>
        </w:rPr>
        <w:t xml:space="preserve"> </w:t>
      </w:r>
      <w:r w:rsidRPr="00EE7099">
        <w:t>(</w:t>
      </w:r>
      <w:r>
        <w:t>12</w:t>
      </w:r>
      <w:r w:rsidRPr="00EE7099">
        <w:t xml:space="preserve">% vs </w:t>
      </w:r>
      <w:r>
        <w:t>1.9</w:t>
      </w:r>
      <w:r w:rsidRPr="00EE7099">
        <w:t>%)</w:t>
      </w:r>
      <w:r w:rsidRPr="002C3266">
        <w:rPr>
          <w:rFonts w:cstheme="minorHAnsi"/>
        </w:rPr>
        <w:t>, chest pain</w:t>
      </w:r>
      <w:r>
        <w:rPr>
          <w:rFonts w:cstheme="minorHAnsi"/>
        </w:rPr>
        <w:t xml:space="preserve"> </w:t>
      </w:r>
      <w:r w:rsidRPr="00EE7099">
        <w:t>(</w:t>
      </w:r>
      <w:r>
        <w:t>12</w:t>
      </w:r>
      <w:r w:rsidRPr="00EE7099">
        <w:t xml:space="preserve">% vs </w:t>
      </w:r>
      <w:r>
        <w:t>1.9</w:t>
      </w:r>
      <w:r w:rsidRPr="00EE7099">
        <w:t>%)</w:t>
      </w:r>
      <w:r w:rsidRPr="002C3266">
        <w:rPr>
          <w:rFonts w:cstheme="minorHAnsi"/>
        </w:rPr>
        <w:t>, influenza like illness</w:t>
      </w:r>
      <w:r>
        <w:rPr>
          <w:rFonts w:cstheme="minorHAnsi"/>
        </w:rPr>
        <w:t xml:space="preserve"> </w:t>
      </w:r>
      <w:r w:rsidRPr="00EE7099">
        <w:t>(</w:t>
      </w:r>
      <w:r>
        <w:t>12</w:t>
      </w:r>
      <w:r w:rsidRPr="00EE7099">
        <w:t xml:space="preserve">% vs </w:t>
      </w:r>
      <w:r>
        <w:t>1.9</w:t>
      </w:r>
      <w:r w:rsidRPr="00EE7099">
        <w:t>%)</w:t>
      </w:r>
      <w:r w:rsidRPr="002C3266">
        <w:rPr>
          <w:rFonts w:cstheme="minorHAnsi"/>
        </w:rPr>
        <w:t>, pharyngitis</w:t>
      </w:r>
      <w:r>
        <w:rPr>
          <w:rFonts w:cstheme="minorHAnsi"/>
        </w:rPr>
        <w:t xml:space="preserve"> </w:t>
      </w:r>
      <w:r w:rsidRPr="00EE7099">
        <w:t>(</w:t>
      </w:r>
      <w:r>
        <w:t>16</w:t>
      </w:r>
      <w:r w:rsidRPr="00EE7099">
        <w:t xml:space="preserve">% vs </w:t>
      </w:r>
      <w:r>
        <w:t>1.9</w:t>
      </w:r>
      <w:r w:rsidRPr="00EE7099">
        <w:t>%)</w:t>
      </w:r>
      <w:r w:rsidRPr="002C3266">
        <w:rPr>
          <w:rFonts w:cstheme="minorHAnsi"/>
        </w:rPr>
        <w:t>, fall</w:t>
      </w:r>
      <w:r>
        <w:rPr>
          <w:rFonts w:cstheme="minorHAnsi"/>
        </w:rPr>
        <w:t xml:space="preserve"> (</w:t>
      </w:r>
      <w:r>
        <w:t>12</w:t>
      </w:r>
      <w:r w:rsidRPr="00EE7099">
        <w:t xml:space="preserve">% vs </w:t>
      </w:r>
      <w:r>
        <w:t>1.9</w:t>
      </w:r>
      <w:r w:rsidRPr="00EE7099">
        <w:t>%)</w:t>
      </w:r>
      <w:r w:rsidRPr="002C3266">
        <w:rPr>
          <w:rFonts w:cstheme="minorHAnsi"/>
        </w:rPr>
        <w:t>, rhinorrhoea</w:t>
      </w:r>
      <w:r>
        <w:rPr>
          <w:rFonts w:cstheme="minorHAnsi"/>
        </w:rPr>
        <w:t xml:space="preserve"> </w:t>
      </w:r>
      <w:r w:rsidRPr="00EE7099">
        <w:t>(</w:t>
      </w:r>
      <w:r>
        <w:t>12</w:t>
      </w:r>
      <w:r w:rsidRPr="00EE7099">
        <w:t xml:space="preserve">% vs </w:t>
      </w:r>
      <w:r>
        <w:t>1.9</w:t>
      </w:r>
      <w:r w:rsidRPr="00EE7099">
        <w:t>%)</w:t>
      </w:r>
      <w:r w:rsidRPr="002C3266">
        <w:rPr>
          <w:rFonts w:cstheme="minorHAnsi"/>
        </w:rPr>
        <w:t>, pruritus</w:t>
      </w:r>
      <w:r>
        <w:rPr>
          <w:rFonts w:cstheme="minorHAnsi"/>
        </w:rPr>
        <w:t xml:space="preserve"> </w:t>
      </w:r>
      <w:r w:rsidR="009721FB">
        <w:rPr>
          <w:rFonts w:cstheme="minorHAnsi"/>
        </w:rPr>
        <w:br/>
      </w:r>
      <w:r w:rsidRPr="00EE7099">
        <w:t>(</w:t>
      </w:r>
      <w:r>
        <w:t>12</w:t>
      </w:r>
      <w:r w:rsidRPr="00EE7099">
        <w:t xml:space="preserve">% vs </w:t>
      </w:r>
      <w:r>
        <w:t>0</w:t>
      </w:r>
      <w:r w:rsidRPr="00EE7099">
        <w:t>)</w:t>
      </w:r>
      <w:r w:rsidRPr="002C3266">
        <w:rPr>
          <w:rFonts w:cstheme="minorHAnsi"/>
        </w:rPr>
        <w:t xml:space="preserve">, and gastroenteritis </w:t>
      </w:r>
      <w:r w:rsidRPr="00EE7099">
        <w:t>(</w:t>
      </w:r>
      <w:r>
        <w:t>12</w:t>
      </w:r>
      <w:r w:rsidRPr="00EE7099">
        <w:t xml:space="preserve">% vs </w:t>
      </w:r>
      <w:r>
        <w:t>0</w:t>
      </w:r>
      <w:r w:rsidRPr="00EE7099">
        <w:t>)</w:t>
      </w:r>
      <w:r>
        <w:rPr>
          <w:rFonts w:cstheme="minorHAnsi"/>
        </w:rPr>
        <w:t xml:space="preserve">. </w:t>
      </w:r>
      <w:bookmarkEnd w:id="50"/>
      <w:bookmarkEnd w:id="51"/>
      <w:r>
        <w:rPr>
          <w:rFonts w:cstheme="minorHAnsi"/>
        </w:rPr>
        <w:t>A</w:t>
      </w:r>
      <w:r w:rsidRPr="00C412B8">
        <w:t>bdominal pain and proteinuria</w:t>
      </w:r>
      <w:r>
        <w:t xml:space="preserve"> </w:t>
      </w:r>
      <w:r w:rsidR="009721FB">
        <w:br/>
      </w:r>
      <w:r>
        <w:t>(11.5% each)</w:t>
      </w:r>
      <w:r>
        <w:rPr>
          <w:rFonts w:cstheme="minorHAnsi"/>
        </w:rPr>
        <w:t xml:space="preserve"> were more frequently seen in </w:t>
      </w:r>
      <w:r w:rsidRPr="002C3266">
        <w:t>pegunigalsidase alfa</w:t>
      </w:r>
      <w:r>
        <w:t xml:space="preserve"> while none of these TEAEs were reported in </w:t>
      </w:r>
      <w:r w:rsidRPr="002C3266">
        <w:rPr>
          <w:rFonts w:cstheme="minorHAnsi"/>
        </w:rPr>
        <w:t>agalsidase beta</w:t>
      </w:r>
      <w:r>
        <w:rPr>
          <w:rFonts w:cstheme="minorHAnsi"/>
        </w:rPr>
        <w:t xml:space="preserve"> </w:t>
      </w:r>
      <w:r>
        <w:t>(0% each).</w:t>
      </w:r>
      <w:r w:rsidRPr="00C412B8">
        <w:t xml:space="preserve"> </w:t>
      </w:r>
    </w:p>
    <w:p w14:paraId="273AB217" w14:textId="77777777" w:rsidR="00920729" w:rsidRPr="00703992" w:rsidRDefault="00920729" w:rsidP="009D09F4">
      <w:pPr>
        <w:pStyle w:val="3-BodyText"/>
      </w:pPr>
      <w:r w:rsidRPr="00703992">
        <w:t xml:space="preserve">More patients in the agalsidase beta arm compared with the pegunigalsidase alfa arm (difference by &gt;5% of patients) reported cardiac disorder </w:t>
      </w:r>
      <w:r>
        <w:t>serious AEs (</w:t>
      </w:r>
      <w:r w:rsidRPr="00703992">
        <w:t>SAEs</w:t>
      </w:r>
      <w:r>
        <w:t>)</w:t>
      </w:r>
      <w:r w:rsidRPr="00703992">
        <w:t xml:space="preserve"> (12.0% vs 1.9%, respectively) and general disorder SAEs (8.0% vs 1.9%, respectively). Other SAEs were similar between treatment arms.</w:t>
      </w:r>
    </w:p>
    <w:p w14:paraId="11CEDF7F" w14:textId="4DAEF02A" w:rsidR="00920729" w:rsidRPr="000B4FAD" w:rsidRDefault="00920729" w:rsidP="009D09F4">
      <w:pPr>
        <w:pStyle w:val="3-BodyText"/>
      </w:pPr>
      <w:bookmarkStart w:id="52" w:name="_Ref195712667"/>
      <w:r w:rsidRPr="00703992">
        <w:t xml:space="preserve">A lower rate of </w:t>
      </w:r>
      <w:r>
        <w:t>infusion-related reactions (</w:t>
      </w:r>
      <w:r w:rsidRPr="00703992">
        <w:t>IRRs</w:t>
      </w:r>
      <w:r>
        <w:t>)</w:t>
      </w:r>
      <w:r w:rsidRPr="00703992">
        <w:t xml:space="preserve"> was reported in pegunigalsidase alfa compared to agalsidase beta (21.2% [0.5 per 100 infusions] versus 24.0% [3.9 per 100</w:t>
      </w:r>
      <w:r w:rsidR="00715401">
        <w:t> </w:t>
      </w:r>
      <w:r w:rsidRPr="00703992">
        <w:t xml:space="preserve">infusions]) within 2 hours of completing the infusion. </w:t>
      </w:r>
      <w:r>
        <w:t xml:space="preserve">However, there was </w:t>
      </w:r>
      <w:r w:rsidRPr="00703992">
        <w:t>one serious IRR</w:t>
      </w:r>
      <w:r>
        <w:t>,</w:t>
      </w:r>
      <w:r w:rsidRPr="00703992">
        <w:t xml:space="preserve"> </w:t>
      </w:r>
      <w:r>
        <w:t xml:space="preserve">one </w:t>
      </w:r>
      <w:r w:rsidRPr="00703992">
        <w:t xml:space="preserve">severe IRR (hypersensitivity) </w:t>
      </w:r>
      <w:r>
        <w:t>and one IRR leading to withdrawal</w:t>
      </w:r>
      <w:r w:rsidRPr="00703992" w:rsidDel="008024A5">
        <w:t xml:space="preserve"> </w:t>
      </w:r>
      <w:r w:rsidRPr="00703992">
        <w:t xml:space="preserve">reported in </w:t>
      </w:r>
      <w:r w:rsidR="00064CAD">
        <w:t>the same</w:t>
      </w:r>
      <w:r w:rsidR="002238C2">
        <w:t xml:space="preserve"> patient in </w:t>
      </w:r>
      <w:r w:rsidRPr="00703992">
        <w:t>the pegunigalsidase alfa arm</w:t>
      </w:r>
      <w:r>
        <w:t xml:space="preserve"> and none in the agalsidase beta arm</w:t>
      </w:r>
      <w:r w:rsidRPr="00703992">
        <w:t>.</w:t>
      </w:r>
      <w:r>
        <w:t xml:space="preserve"> </w:t>
      </w:r>
      <w:r w:rsidRPr="000B4FAD">
        <w:t xml:space="preserve">There were more FCE events in the pegunigalsidase alfa arm (17.3% vs 8.0%) including cardiac, cerebrovascular and renal events that were not captured as </w:t>
      </w:r>
      <w:bookmarkEnd w:id="52"/>
      <w:r w:rsidRPr="000B4FAD">
        <w:t>AEs.</w:t>
      </w:r>
    </w:p>
    <w:p w14:paraId="4860B505" w14:textId="57B91FFE" w:rsidR="00920729" w:rsidRDefault="00920729" w:rsidP="009D09F4">
      <w:pPr>
        <w:pStyle w:val="3-BodyText"/>
      </w:pPr>
      <w:r>
        <w:t xml:space="preserve">Treatment-emergent ADA, defined as either going from ADA negative at baseline to ADA positive post-baseline or experiencing a greater than fourfold post-baseline increase in immunoglobulin G (IgG) </w:t>
      </w:r>
      <w:r w:rsidR="00D2098F" w:rsidRPr="00D2098F">
        <w:t>titre</w:t>
      </w:r>
      <w:r>
        <w:t>, was reported in less patients in the pegunigalsidase alfa arm (n=6 [11.5%]) compared to the agalsidase beta arm (n=5 [20.0%]). Of the patients who were ADA positive at baseline (n = 18 [35%] for pegunigalsidase alfa, n = 8 [32%] for agalsidase beta), all except 1 in each arm (94.4% and 87.5%, respectively) were positive for neutrali</w:t>
      </w:r>
      <w:r w:rsidR="00BD57C2">
        <w:t>s</w:t>
      </w:r>
      <w:r>
        <w:t>ing antibodies as well. Of the patients who were ADA positive at Week 104 (n = 11 [23%] and n = 6 [26%], respectively), 7 (63.3%) and 6 (100%) patients in the pegunigalsidase alfa arm and agalsidase beta arm were still positive for neutrali</w:t>
      </w:r>
      <w:r w:rsidR="00702A83">
        <w:t>s</w:t>
      </w:r>
      <w:r>
        <w:t xml:space="preserve">ing antibodies as well (i.e., this percentage decreased in the pegunigalsidase alfa arm whereas remained stable in the agalsidase beta arm). The submission stated that this finding of low treatment-emergent immunogenicity and increased </w:t>
      </w:r>
      <w:proofErr w:type="spellStart"/>
      <w:r>
        <w:t>tolerisation</w:t>
      </w:r>
      <w:proofErr w:type="spellEnd"/>
      <w:r>
        <w:t xml:space="preserve"> is important not only from a safety perspective, but also with respect to efficacy, as antibodies developed against an ERT product, especially neutrali</w:t>
      </w:r>
      <w:r w:rsidR="005F378D">
        <w:t>s</w:t>
      </w:r>
      <w:r>
        <w:t xml:space="preserve">ing antibodies, would be expected to inhibit its activity and potentially adversely affect the clinical outcome. </w:t>
      </w:r>
    </w:p>
    <w:p w14:paraId="410D6F43" w14:textId="4327302E" w:rsidR="00920729" w:rsidRDefault="00920729" w:rsidP="009D09F4">
      <w:pPr>
        <w:pStyle w:val="3-BodyText"/>
      </w:pPr>
      <w:r>
        <w:t xml:space="preserve">At the end of the study, neutralising antibodies (or ADAs) were detected in 7 out of 47 (15%) pegunigalsidase alfa-treated patients and 6 out of 23 (26%) agalsidase </w:t>
      </w:r>
      <w:r w:rsidR="009721FB">
        <w:br/>
      </w:r>
      <w:r>
        <w:t>beta-treated patients (Wallace et al., 2024)</w:t>
      </w:r>
      <w:r w:rsidR="0062599F">
        <w:t>.</w:t>
      </w:r>
      <w:r>
        <w:rPr>
          <w:rStyle w:val="FootnoteReference"/>
        </w:rPr>
        <w:footnoteReference w:id="21"/>
      </w:r>
      <w:r>
        <w:t xml:space="preserve"> There is some evidence that ADAs are </w:t>
      </w:r>
      <w:r>
        <w:lastRenderedPageBreak/>
        <w:t>linked to reducing efficacy and increasing complications of FD (Lenders et al., 2018</w:t>
      </w:r>
      <w:r>
        <w:rPr>
          <w:rStyle w:val="FootnoteReference"/>
        </w:rPr>
        <w:footnoteReference w:id="22"/>
      </w:r>
      <w:r>
        <w:t>; Torra R., 2008</w:t>
      </w:r>
      <w:r>
        <w:rPr>
          <w:rStyle w:val="FootnoteReference"/>
        </w:rPr>
        <w:footnoteReference w:id="23"/>
      </w:r>
      <w:r>
        <w:t xml:space="preserve">; </w:t>
      </w:r>
      <w:proofErr w:type="spellStart"/>
      <w:r>
        <w:t>Mauhin</w:t>
      </w:r>
      <w:proofErr w:type="spellEnd"/>
      <w:r>
        <w:t xml:space="preserve"> et al., 2018</w:t>
      </w:r>
      <w:r>
        <w:rPr>
          <w:rStyle w:val="FootnoteReference"/>
        </w:rPr>
        <w:footnoteReference w:id="24"/>
      </w:r>
      <w:r>
        <w:t xml:space="preserve">). </w:t>
      </w:r>
    </w:p>
    <w:p w14:paraId="3B722D24" w14:textId="721E498A" w:rsidR="00920729" w:rsidRPr="000B4FAD" w:rsidRDefault="00920729" w:rsidP="009D09F4">
      <w:pPr>
        <w:pStyle w:val="3-BodyText"/>
      </w:pPr>
      <w:r w:rsidRPr="00DA78C4">
        <w:t xml:space="preserve">The recommendation to use premedications proactively to prevent reactions to agalsidase beta was challenged during the study, and in many cases, premedications were successfully reduced or discontinued based on the patient’s tolerance. At baseline, premedications were taken by 20 (38.5%) pegunigalsidase alfa-treated patients versus 15 (60.0%) agalsidase beta-treated patients. Over the course of the study, premedication use decreased in both treatment arms but more so in the pegunigalsidase alfa arm, </w:t>
      </w:r>
      <w:r w:rsidR="007A3D50">
        <w:t xml:space="preserve">which the submission stated </w:t>
      </w:r>
      <w:r w:rsidRPr="00DA78C4">
        <w:t>indicat</w:t>
      </w:r>
      <w:r w:rsidR="007A3D50">
        <w:t>ed</w:t>
      </w:r>
      <w:r w:rsidRPr="00DA78C4">
        <w:t xml:space="preserve"> better tolerability. At Week 104, infusion premedications were taken by </w:t>
      </w:r>
      <w:r w:rsidR="00274296">
        <w:t>three</w:t>
      </w:r>
      <w:r w:rsidRPr="00DA78C4">
        <w:t xml:space="preserve"> (6.4%)</w:t>
      </w:r>
      <w:r w:rsidR="00274296">
        <w:t xml:space="preserve"> </w:t>
      </w:r>
      <w:r w:rsidR="00274296" w:rsidRPr="00DA78C4">
        <w:t>patients in the pegunigalsidase alfa</w:t>
      </w:r>
      <w:r w:rsidR="00274296">
        <w:t xml:space="preserve"> arm</w:t>
      </w:r>
      <w:r w:rsidRPr="00DA78C4">
        <w:t xml:space="preserve"> and </w:t>
      </w:r>
      <w:r w:rsidR="0051269E">
        <w:t>three</w:t>
      </w:r>
      <w:r w:rsidRPr="00DA78C4">
        <w:t xml:space="preserve"> (12.0%) patients in the agalsidase beta arm. T</w:t>
      </w:r>
      <w:r w:rsidR="006B4321">
        <w:t>he submission stated t</w:t>
      </w:r>
      <w:r w:rsidRPr="00DA78C4">
        <w:t>his indication of greater tolerability is consistent with the lower rate of IRRs seen in the pegunigalsidase alfa arm, described above</w:t>
      </w:r>
      <w:r w:rsidRPr="000B4FAD">
        <w:t>. However, as described in para</w:t>
      </w:r>
      <w:r w:rsidR="00E64204" w:rsidRPr="000B4FAD">
        <w:t>graph</w:t>
      </w:r>
      <w:r w:rsidRPr="000B4FAD">
        <w:t xml:space="preserve"> </w:t>
      </w:r>
      <w:r w:rsidRPr="000B4FAD">
        <w:fldChar w:fldCharType="begin" w:fldLock="1"/>
      </w:r>
      <w:r w:rsidRPr="000B4FAD">
        <w:instrText xml:space="preserve"> REF _Ref195712667 \r \h </w:instrText>
      </w:r>
      <w:r w:rsidR="000B4FAD" w:rsidRPr="000B4FAD">
        <w:instrText xml:space="preserve"> \* MERGEFORMAT </w:instrText>
      </w:r>
      <w:r w:rsidRPr="000B4FAD">
        <w:fldChar w:fldCharType="separate"/>
      </w:r>
      <w:r w:rsidR="00881387">
        <w:t>6.42</w:t>
      </w:r>
      <w:r w:rsidRPr="000B4FAD">
        <w:fldChar w:fldCharType="end"/>
      </w:r>
      <w:r w:rsidRPr="000B4FAD">
        <w:t xml:space="preserve">, there was one serious IRR, one severe IRR (hypersensitivity) and one IRR leading to withdrawal reported in </w:t>
      </w:r>
      <w:r w:rsidR="008B7D6C" w:rsidRPr="000B4FAD">
        <w:t xml:space="preserve">the same patient in </w:t>
      </w:r>
      <w:r w:rsidRPr="000B4FAD">
        <w:t>the pegunigalsidase alfa arm and none in the agalsidase beta arm.</w:t>
      </w:r>
    </w:p>
    <w:p w14:paraId="263A82B7" w14:textId="6CDA0E9D" w:rsidR="00920729" w:rsidRPr="000B4FAD" w:rsidRDefault="00920729" w:rsidP="009D09F4">
      <w:pPr>
        <w:pStyle w:val="3-BodyText"/>
      </w:pPr>
      <w:r w:rsidRPr="000B4FAD">
        <w:t>Overall, the safety profile of pegunigalsidase alfa is comparable/similar to agalsidase beta</w:t>
      </w:r>
      <w:r w:rsidR="00334CC0" w:rsidRPr="000B4FAD">
        <w:t>,</w:t>
      </w:r>
      <w:r w:rsidRPr="000B4FAD">
        <w:t xml:space="preserve"> </w:t>
      </w:r>
      <w:r w:rsidR="00334CC0" w:rsidRPr="000B4FAD">
        <w:t xml:space="preserve">and </w:t>
      </w:r>
      <w:r w:rsidRPr="000B4FAD">
        <w:t xml:space="preserve">most frequently reported AEs </w:t>
      </w:r>
      <w:r w:rsidR="00334CC0" w:rsidRPr="000B4FAD">
        <w:t xml:space="preserve">are </w:t>
      </w:r>
      <w:r w:rsidRPr="000B4FAD">
        <w:t xml:space="preserve">described in the draft PI. Although the submission claimed that pegunigalsidase alfa has </w:t>
      </w:r>
      <w:r w:rsidR="00CB3CAB" w:rsidRPr="000B4FAD">
        <w:t>a</w:t>
      </w:r>
      <w:r w:rsidRPr="000B4FAD">
        <w:t xml:space="preserve"> reduced risk of immunogenicity, the risk of developing treatment-induced ADAs still exists and is reflected in the draft PI for pegunigalsidase alfa.</w:t>
      </w:r>
    </w:p>
    <w:p w14:paraId="2DB568A5" w14:textId="72EB4504" w:rsidR="00920729" w:rsidRPr="000B4FAD" w:rsidRDefault="00920729" w:rsidP="009D09F4">
      <w:pPr>
        <w:pStyle w:val="3-BodyText"/>
      </w:pPr>
      <w:r>
        <w:t>The submission claimed that pegunigalsidase alfa is non-inferior to agalsidase beta in terms of efficacy, providing an alternative option for both ERT-naïve and ERT-experienced patients</w:t>
      </w:r>
      <w:r w:rsidR="00E23594">
        <w:t>,</w:t>
      </w:r>
      <w:r>
        <w:t xml:space="preserve"> with an improved safety profile and reduced immunogenicity compared to agalsidase beta</w:t>
      </w:r>
      <w:r w:rsidR="00E23594">
        <w:t>,</w:t>
      </w:r>
      <w:r>
        <w:t xml:space="preserve"> while maintaining renal and cardiac functions. The submission stated that as the PBAC have previously deemed agalsidase alfa and agalsidase beta to be non-inferior in terms of efficacy and safety (agalsidase alfa and beta, PSD, November 2009 PBAC meeting), the claim is that </w:t>
      </w:r>
      <w:r w:rsidR="003103BB">
        <w:t xml:space="preserve">as </w:t>
      </w:r>
      <w:r>
        <w:t xml:space="preserve">pegunigalsidase alfa is </w:t>
      </w:r>
      <w:r w:rsidR="00ED4758">
        <w:t>non-inferior to agalsidase beta</w:t>
      </w:r>
      <w:r w:rsidR="00981076">
        <w:t xml:space="preserve">, </w:t>
      </w:r>
      <w:r w:rsidR="00A70FE3">
        <w:t>it</w:t>
      </w:r>
      <w:r w:rsidR="00981076">
        <w:t xml:space="preserve"> is </w:t>
      </w:r>
      <w:r>
        <w:t xml:space="preserve">also non-inferior to agalsidase alfa in terms of efficacy and safety. </w:t>
      </w:r>
      <w:r w:rsidRPr="000B4FAD">
        <w:t>This claim was inferred based on BALANCE results, and there is no direct evidence comparing pegunigalsidase alfa with agalsidase alfa.</w:t>
      </w:r>
      <w:r w:rsidR="008608B0" w:rsidRPr="000B4FAD">
        <w:t xml:space="preserve"> At its November 2009 meeting, the PBAC</w:t>
      </w:r>
      <w:r w:rsidR="000B08DD" w:rsidRPr="000B4FAD">
        <w:t xml:space="preserve"> considered there was insufficient evidence </w:t>
      </w:r>
      <w:r w:rsidR="00BB417F" w:rsidRPr="000B4FAD">
        <w:t xml:space="preserve">to support a finding that there is any clinical difference between the </w:t>
      </w:r>
      <w:r w:rsidR="0071556A" w:rsidRPr="000B4FAD">
        <w:t>agalsidase</w:t>
      </w:r>
      <w:r w:rsidR="002D7079" w:rsidRPr="000B4FAD">
        <w:t xml:space="preserve"> alfa </w:t>
      </w:r>
      <w:r w:rsidR="00EF6869" w:rsidRPr="000B4FAD">
        <w:t xml:space="preserve">and </w:t>
      </w:r>
      <w:r w:rsidR="00150883" w:rsidRPr="000B4FAD">
        <w:t>agalsidase</w:t>
      </w:r>
      <w:r w:rsidR="00EF6869" w:rsidRPr="000B4FAD">
        <w:t xml:space="preserve"> beta (Section </w:t>
      </w:r>
      <w:r w:rsidR="00877AB7" w:rsidRPr="000B4FAD">
        <w:t xml:space="preserve">8, </w:t>
      </w:r>
      <w:r w:rsidR="002C6EE3" w:rsidRPr="000B4FAD">
        <w:t xml:space="preserve">Updated literature review of </w:t>
      </w:r>
      <w:proofErr w:type="spellStart"/>
      <w:r w:rsidR="002C6EE3" w:rsidRPr="000B4FAD">
        <w:t>agalsidase</w:t>
      </w:r>
      <w:proofErr w:type="spellEnd"/>
      <w:r w:rsidR="002C6EE3" w:rsidRPr="000B4FAD">
        <w:t xml:space="preserve"> alfa (</w:t>
      </w:r>
      <w:proofErr w:type="spellStart"/>
      <w:r w:rsidR="002C6EE3" w:rsidRPr="000B4FAD">
        <w:t>Replagal</w:t>
      </w:r>
      <w:proofErr w:type="spellEnd"/>
      <w:r w:rsidR="002C6EE3" w:rsidRPr="000B4FAD">
        <w:t xml:space="preserve">®) and </w:t>
      </w:r>
      <w:proofErr w:type="spellStart"/>
      <w:r w:rsidR="002C6EE3" w:rsidRPr="000B4FAD">
        <w:lastRenderedPageBreak/>
        <w:t>agalsidase</w:t>
      </w:r>
      <w:proofErr w:type="spellEnd"/>
      <w:r w:rsidR="002C6EE3" w:rsidRPr="000B4FAD">
        <w:t xml:space="preserve"> beta (Fabrazyme®) for the treatment of Fabry disease, PSD, November 2009 PBAC meeting).</w:t>
      </w:r>
    </w:p>
    <w:p w14:paraId="237C4454" w14:textId="77777777" w:rsidR="00920729" w:rsidRDefault="00920729" w:rsidP="009D09F4">
      <w:pPr>
        <w:pStyle w:val="5-SubsectionSubheading"/>
        <w:keepNext w:val="0"/>
      </w:pPr>
      <w:bookmarkStart w:id="53" w:name="_Toc197013317"/>
      <w:bookmarkStart w:id="54" w:name="_Toc198734224"/>
      <w:r w:rsidRPr="00C269EE">
        <w:t>Supporting trials</w:t>
      </w:r>
      <w:bookmarkEnd w:id="53"/>
      <w:bookmarkEnd w:id="54"/>
    </w:p>
    <w:p w14:paraId="319005F3" w14:textId="7F2992F9" w:rsidR="003A7453" w:rsidRDefault="00920729" w:rsidP="00B00551">
      <w:pPr>
        <w:pStyle w:val="3-BodyText"/>
      </w:pPr>
      <w:bookmarkStart w:id="55" w:name="_Ref195477416"/>
      <w:r w:rsidRPr="00205B8B">
        <w:t>The submission presented a description of the safety outcomes of BRIDGE and BRIGHT only to support the safety claim of BALANCE.</w:t>
      </w:r>
      <w:r>
        <w:rPr>
          <w:i/>
          <w:iCs/>
        </w:rPr>
        <w:t xml:space="preserve"> </w:t>
      </w:r>
      <w:r w:rsidRPr="000B4FAD">
        <w:t xml:space="preserve">Overall, the safety data from BRIDGE and BRIGHT are generally consistent with the safety profile demonstrated </w:t>
      </w:r>
      <w:r w:rsidR="0023297E" w:rsidRPr="000B4FAD">
        <w:t>for</w:t>
      </w:r>
      <w:r w:rsidRPr="000B4FAD">
        <w:t xml:space="preserve"> pegunigalsidase alfa in BALANCE, showing similar proportions of TEAEs (95.5% in BRIDGE and 90% in BRIGHT) and IRRs (13.6% in BRIDGE) that were mild/moderate and resolved during the study, and a decreasing trend in the use of premedication overtime (from 26.7% at baseline to 13.8% at Week 52 in BRIGHT).</w:t>
      </w:r>
      <w:bookmarkEnd w:id="55"/>
    </w:p>
    <w:p w14:paraId="1418EA18" w14:textId="34CF77EE" w:rsidR="006173A8" w:rsidRPr="005A5922" w:rsidRDefault="006173A8" w:rsidP="005A5922">
      <w:pPr>
        <w:pStyle w:val="5-SubsectionSubheading"/>
      </w:pPr>
      <w:bookmarkStart w:id="56" w:name="_Toc198734225"/>
      <w:r>
        <w:t xml:space="preserve">Additional summary of BALANCE and ATTRACT trials </w:t>
      </w:r>
      <w:bookmarkEnd w:id="56"/>
    </w:p>
    <w:p w14:paraId="2CD9370B" w14:textId="5C9EFFB5" w:rsidR="00920729" w:rsidRDefault="00920729" w:rsidP="009D09F4">
      <w:pPr>
        <w:pStyle w:val="3-BodyText"/>
      </w:pPr>
      <w:r>
        <w:fldChar w:fldCharType="begin" w:fldLock="1"/>
      </w:r>
      <w:r>
        <w:instrText xml:space="preserve"> REF _Ref195474250 \h </w:instrText>
      </w:r>
      <w:r>
        <w:fldChar w:fldCharType="separate"/>
      </w:r>
      <w:r w:rsidR="004E7462">
        <w:t xml:space="preserve">Table </w:t>
      </w:r>
      <w:r w:rsidR="004E7462">
        <w:rPr>
          <w:noProof/>
        </w:rPr>
        <w:t>10</w:t>
      </w:r>
      <w:r>
        <w:fldChar w:fldCharType="end"/>
      </w:r>
      <w:r>
        <w:t xml:space="preserve"> </w:t>
      </w:r>
      <w:r w:rsidRPr="000E0F40">
        <w:t>provides a summary of the adverse events of the BALANCE and ATTRACT trials.</w:t>
      </w:r>
    </w:p>
    <w:p w14:paraId="2421627C" w14:textId="0CD6E6FC" w:rsidR="00920729" w:rsidRDefault="00920729" w:rsidP="007F0B21">
      <w:pPr>
        <w:pStyle w:val="Caption"/>
      </w:pPr>
      <w:bookmarkStart w:id="57" w:name="_Ref195474250"/>
      <w:bookmarkStart w:id="58" w:name="_Ref195474245"/>
      <w:r>
        <w:t xml:space="preserve">Table </w:t>
      </w:r>
      <w:r w:rsidR="004E7462">
        <w:fldChar w:fldCharType="begin" w:fldLock="1"/>
      </w:r>
      <w:r w:rsidR="004E7462">
        <w:instrText xml:space="preserve"> SEQ Table \* ARABIC </w:instrText>
      </w:r>
      <w:r w:rsidR="004E7462">
        <w:fldChar w:fldCharType="separate"/>
      </w:r>
      <w:r w:rsidR="004E7462">
        <w:rPr>
          <w:noProof/>
        </w:rPr>
        <w:t>10</w:t>
      </w:r>
      <w:r w:rsidR="004E7462">
        <w:rPr>
          <w:noProof/>
        </w:rPr>
        <w:fldChar w:fldCharType="end"/>
      </w:r>
      <w:bookmarkEnd w:id="57"/>
      <w:r>
        <w:t xml:space="preserve">: </w:t>
      </w:r>
      <w:r w:rsidRPr="00BA636D">
        <w:t>Summary of adverse events in the BALANCE and ATTRACT trials</w:t>
      </w:r>
      <w:bookmarkEnd w:id="58"/>
    </w:p>
    <w:tbl>
      <w:tblPr>
        <w:tblStyle w:val="Summarybox1"/>
        <w:tblW w:w="5000" w:type="pct"/>
        <w:tblLayout w:type="fixed"/>
        <w:tblLook w:val="04A0" w:firstRow="1" w:lastRow="0" w:firstColumn="1" w:lastColumn="0" w:noHBand="0" w:noVBand="1"/>
        <w:tblCaption w:val="Table 10: Summary of adverse events in the BALANCE and ATTRACT trials"/>
      </w:tblPr>
      <w:tblGrid>
        <w:gridCol w:w="3557"/>
        <w:gridCol w:w="1540"/>
        <w:gridCol w:w="1190"/>
        <w:gridCol w:w="1365"/>
        <w:gridCol w:w="1365"/>
      </w:tblGrid>
      <w:tr w:rsidR="00920729" w:rsidRPr="00574CDC" w14:paraId="7EBBF4F1" w14:textId="77777777">
        <w:trPr>
          <w:tblHeader/>
        </w:trPr>
        <w:tc>
          <w:tcPr>
            <w:tcW w:w="1972" w:type="pct"/>
            <w:vMerge w:val="restart"/>
          </w:tcPr>
          <w:p w14:paraId="2FCBFF72" w14:textId="77777777" w:rsidR="00920729" w:rsidRPr="00D846F0" w:rsidRDefault="00920729" w:rsidP="0009520E">
            <w:pPr>
              <w:pStyle w:val="TableText0"/>
              <w:rPr>
                <w:b/>
                <w:bCs w:val="0"/>
                <w:highlight w:val="yellow"/>
              </w:rPr>
            </w:pPr>
            <w:r w:rsidRPr="00D846F0">
              <w:rPr>
                <w:b/>
                <w:bCs w:val="0"/>
              </w:rPr>
              <w:t>AEs</w:t>
            </w:r>
          </w:p>
        </w:tc>
        <w:tc>
          <w:tcPr>
            <w:tcW w:w="1514" w:type="pct"/>
            <w:gridSpan w:val="2"/>
            <w:vAlign w:val="center"/>
          </w:tcPr>
          <w:p w14:paraId="40138E6F" w14:textId="77777777" w:rsidR="00920729" w:rsidRPr="00D846F0" w:rsidRDefault="00920729" w:rsidP="0009520E">
            <w:pPr>
              <w:pStyle w:val="TableText0"/>
              <w:rPr>
                <w:b/>
                <w:bCs w:val="0"/>
                <w:vertAlign w:val="superscript"/>
              </w:rPr>
            </w:pPr>
            <w:r w:rsidRPr="00D846F0">
              <w:rPr>
                <w:b/>
                <w:bCs w:val="0"/>
              </w:rPr>
              <w:t xml:space="preserve">BALANCE [Treatment experienced] </w:t>
            </w:r>
          </w:p>
          <w:p w14:paraId="494BFFE1" w14:textId="77777777" w:rsidR="00920729" w:rsidRPr="00D846F0" w:rsidRDefault="00920729" w:rsidP="0009520E">
            <w:pPr>
              <w:pStyle w:val="TableText0"/>
              <w:rPr>
                <w:b/>
                <w:bCs w:val="0"/>
                <w:highlight w:val="yellow"/>
              </w:rPr>
            </w:pPr>
            <w:r w:rsidRPr="00D846F0">
              <w:rPr>
                <w:b/>
                <w:bCs w:val="0"/>
              </w:rPr>
              <w:t>(24 months)</w:t>
            </w:r>
          </w:p>
        </w:tc>
        <w:tc>
          <w:tcPr>
            <w:tcW w:w="1514" w:type="pct"/>
            <w:gridSpan w:val="2"/>
            <w:vAlign w:val="center"/>
          </w:tcPr>
          <w:p w14:paraId="03A4467D" w14:textId="77777777" w:rsidR="00920729" w:rsidRPr="00D846F0" w:rsidRDefault="00920729" w:rsidP="0009520E">
            <w:pPr>
              <w:pStyle w:val="TableText0"/>
              <w:rPr>
                <w:b/>
                <w:bCs w:val="0"/>
              </w:rPr>
            </w:pPr>
            <w:r w:rsidRPr="00D846F0">
              <w:rPr>
                <w:b/>
                <w:bCs w:val="0"/>
              </w:rPr>
              <w:t xml:space="preserve">ATTRACT [Treatment experienced] </w:t>
            </w:r>
          </w:p>
          <w:p w14:paraId="5030E487" w14:textId="77777777" w:rsidR="00920729" w:rsidRPr="00D846F0" w:rsidRDefault="00920729" w:rsidP="0009520E">
            <w:pPr>
              <w:pStyle w:val="TableText0"/>
              <w:rPr>
                <w:b/>
                <w:bCs w:val="0"/>
                <w:highlight w:val="yellow"/>
              </w:rPr>
            </w:pPr>
            <w:r w:rsidRPr="00D846F0">
              <w:rPr>
                <w:b/>
                <w:bCs w:val="0"/>
              </w:rPr>
              <w:t>(18 months)</w:t>
            </w:r>
          </w:p>
        </w:tc>
      </w:tr>
      <w:tr w:rsidR="00920729" w:rsidRPr="00574CDC" w14:paraId="50CA3029" w14:textId="77777777">
        <w:trPr>
          <w:tblHeader/>
        </w:trPr>
        <w:tc>
          <w:tcPr>
            <w:tcW w:w="1972" w:type="pct"/>
            <w:vMerge/>
          </w:tcPr>
          <w:p w14:paraId="0BB0C2F5" w14:textId="77777777" w:rsidR="00920729" w:rsidRPr="00D846F0" w:rsidRDefault="00920729" w:rsidP="0009520E">
            <w:pPr>
              <w:pStyle w:val="TableText0"/>
              <w:rPr>
                <w:b/>
                <w:bCs w:val="0"/>
                <w:highlight w:val="yellow"/>
              </w:rPr>
            </w:pPr>
          </w:p>
        </w:tc>
        <w:tc>
          <w:tcPr>
            <w:tcW w:w="854" w:type="pct"/>
            <w:vAlign w:val="center"/>
          </w:tcPr>
          <w:p w14:paraId="1733D8CB" w14:textId="5AD3364E" w:rsidR="00920729" w:rsidRPr="00D846F0" w:rsidRDefault="0071556A" w:rsidP="0009520E">
            <w:pPr>
              <w:pStyle w:val="TableText0"/>
              <w:rPr>
                <w:b/>
                <w:bCs w:val="0"/>
              </w:rPr>
            </w:pPr>
            <w:r w:rsidRPr="00D846F0">
              <w:rPr>
                <w:b/>
                <w:bCs w:val="0"/>
              </w:rPr>
              <w:t>Pegunigalsidase</w:t>
            </w:r>
          </w:p>
          <w:p w14:paraId="3B10A888" w14:textId="77777777" w:rsidR="00920729" w:rsidRPr="00D846F0" w:rsidRDefault="00920729" w:rsidP="0009520E">
            <w:pPr>
              <w:pStyle w:val="TableText0"/>
              <w:rPr>
                <w:b/>
                <w:bCs w:val="0"/>
                <w:highlight w:val="yellow"/>
              </w:rPr>
            </w:pPr>
            <w:r w:rsidRPr="00D846F0">
              <w:rPr>
                <w:b/>
                <w:bCs w:val="0"/>
              </w:rPr>
              <w:t>N=52</w:t>
            </w:r>
          </w:p>
        </w:tc>
        <w:tc>
          <w:tcPr>
            <w:tcW w:w="660" w:type="pct"/>
            <w:vAlign w:val="center"/>
          </w:tcPr>
          <w:p w14:paraId="091E3982" w14:textId="77777777" w:rsidR="00920729" w:rsidRPr="00D846F0" w:rsidRDefault="00920729" w:rsidP="0009520E">
            <w:pPr>
              <w:pStyle w:val="TableText0"/>
              <w:rPr>
                <w:b/>
                <w:bCs w:val="0"/>
              </w:rPr>
            </w:pPr>
            <w:r w:rsidRPr="00D846F0">
              <w:rPr>
                <w:b/>
                <w:bCs w:val="0"/>
              </w:rPr>
              <w:t>ERT</w:t>
            </w:r>
          </w:p>
          <w:p w14:paraId="6790EA5E" w14:textId="77777777" w:rsidR="00920729" w:rsidRPr="00D846F0" w:rsidRDefault="00920729" w:rsidP="0009520E">
            <w:pPr>
              <w:pStyle w:val="TableText0"/>
              <w:rPr>
                <w:b/>
                <w:bCs w:val="0"/>
              </w:rPr>
            </w:pPr>
            <w:r w:rsidRPr="00D846F0">
              <w:rPr>
                <w:b/>
                <w:bCs w:val="0"/>
              </w:rPr>
              <w:t>N=25</w:t>
            </w:r>
          </w:p>
        </w:tc>
        <w:tc>
          <w:tcPr>
            <w:tcW w:w="757" w:type="pct"/>
            <w:vAlign w:val="center"/>
          </w:tcPr>
          <w:p w14:paraId="3D7C168E" w14:textId="77777777" w:rsidR="00920729" w:rsidRPr="00D846F0" w:rsidRDefault="00920729" w:rsidP="0009520E">
            <w:pPr>
              <w:pStyle w:val="TableText0"/>
              <w:rPr>
                <w:b/>
                <w:bCs w:val="0"/>
              </w:rPr>
            </w:pPr>
            <w:r w:rsidRPr="00D846F0">
              <w:rPr>
                <w:b/>
                <w:bCs w:val="0"/>
              </w:rPr>
              <w:t>Migalastat</w:t>
            </w:r>
            <w:r w:rsidRPr="00D846F0">
              <w:rPr>
                <w:b/>
                <w:bCs w:val="0"/>
              </w:rPr>
              <w:br/>
              <w:t>N=36</w:t>
            </w:r>
          </w:p>
        </w:tc>
        <w:tc>
          <w:tcPr>
            <w:tcW w:w="757" w:type="pct"/>
            <w:vAlign w:val="center"/>
          </w:tcPr>
          <w:p w14:paraId="5C7A0978" w14:textId="77777777" w:rsidR="00920729" w:rsidRPr="00D846F0" w:rsidRDefault="00920729" w:rsidP="0009520E">
            <w:pPr>
              <w:pStyle w:val="TableText0"/>
              <w:rPr>
                <w:b/>
                <w:bCs w:val="0"/>
              </w:rPr>
            </w:pPr>
            <w:r w:rsidRPr="00D846F0">
              <w:rPr>
                <w:b/>
                <w:bCs w:val="0"/>
              </w:rPr>
              <w:t>ERT</w:t>
            </w:r>
            <w:r w:rsidRPr="00D846F0">
              <w:rPr>
                <w:b/>
                <w:bCs w:val="0"/>
              </w:rPr>
              <w:br/>
              <w:t>N=24</w:t>
            </w:r>
          </w:p>
        </w:tc>
      </w:tr>
      <w:tr w:rsidR="00920729" w:rsidRPr="00574CDC" w14:paraId="6582CA14" w14:textId="77777777">
        <w:tc>
          <w:tcPr>
            <w:tcW w:w="1972" w:type="pct"/>
            <w:vAlign w:val="bottom"/>
          </w:tcPr>
          <w:p w14:paraId="77A6807D" w14:textId="77777777" w:rsidR="00920729" w:rsidRPr="00574CDC" w:rsidRDefault="00920729" w:rsidP="0009520E">
            <w:pPr>
              <w:pStyle w:val="TableText0"/>
            </w:pPr>
            <w:r w:rsidRPr="00574CDC">
              <w:t>Safety Population subjects, n</w:t>
            </w:r>
          </w:p>
        </w:tc>
        <w:tc>
          <w:tcPr>
            <w:tcW w:w="854" w:type="pct"/>
          </w:tcPr>
          <w:p w14:paraId="499C3551" w14:textId="77777777" w:rsidR="00920729" w:rsidRPr="00B426CC" w:rsidRDefault="00920729" w:rsidP="0009520E">
            <w:pPr>
              <w:pStyle w:val="TableText0"/>
            </w:pPr>
            <w:r w:rsidRPr="00B426CC">
              <w:t>52</w:t>
            </w:r>
          </w:p>
        </w:tc>
        <w:tc>
          <w:tcPr>
            <w:tcW w:w="660" w:type="pct"/>
          </w:tcPr>
          <w:p w14:paraId="08B652A6" w14:textId="77777777" w:rsidR="00920729" w:rsidRPr="00B426CC" w:rsidRDefault="00920729" w:rsidP="0009520E">
            <w:pPr>
              <w:pStyle w:val="TableText0"/>
            </w:pPr>
            <w:r w:rsidRPr="00B426CC">
              <w:t>25</w:t>
            </w:r>
          </w:p>
        </w:tc>
        <w:tc>
          <w:tcPr>
            <w:tcW w:w="757" w:type="pct"/>
          </w:tcPr>
          <w:p w14:paraId="558D6533" w14:textId="77777777" w:rsidR="00920729" w:rsidRPr="00B426CC" w:rsidRDefault="00920729" w:rsidP="0009520E">
            <w:pPr>
              <w:pStyle w:val="TableText0"/>
            </w:pPr>
            <w:r w:rsidRPr="00B426CC">
              <w:t>36</w:t>
            </w:r>
          </w:p>
        </w:tc>
        <w:tc>
          <w:tcPr>
            <w:tcW w:w="757" w:type="pct"/>
          </w:tcPr>
          <w:p w14:paraId="2C702687" w14:textId="77777777" w:rsidR="00920729" w:rsidRPr="00B426CC" w:rsidRDefault="00920729" w:rsidP="0009520E">
            <w:pPr>
              <w:pStyle w:val="TableText0"/>
            </w:pPr>
            <w:r w:rsidRPr="00B426CC">
              <w:t>21</w:t>
            </w:r>
          </w:p>
        </w:tc>
      </w:tr>
      <w:tr w:rsidR="00920729" w:rsidRPr="00574CDC" w14:paraId="41885D31" w14:textId="77777777">
        <w:tc>
          <w:tcPr>
            <w:tcW w:w="1972" w:type="pct"/>
            <w:vAlign w:val="bottom"/>
          </w:tcPr>
          <w:p w14:paraId="658F5494" w14:textId="77777777" w:rsidR="00920729" w:rsidRPr="00574CDC" w:rsidRDefault="00920729" w:rsidP="0009520E">
            <w:pPr>
              <w:pStyle w:val="TableText0"/>
            </w:pPr>
            <w:r w:rsidRPr="00574CDC">
              <w:t>TEAEs (number of events)</w:t>
            </w:r>
          </w:p>
        </w:tc>
        <w:tc>
          <w:tcPr>
            <w:tcW w:w="854" w:type="pct"/>
          </w:tcPr>
          <w:p w14:paraId="46ACA082" w14:textId="77777777" w:rsidR="00920729" w:rsidRPr="00B426CC" w:rsidRDefault="00920729" w:rsidP="0009520E">
            <w:pPr>
              <w:pStyle w:val="TableText0"/>
              <w:rPr>
                <w:highlight w:val="yellow"/>
              </w:rPr>
            </w:pPr>
            <w:r w:rsidRPr="00B426CC">
              <w:t>561</w:t>
            </w:r>
          </w:p>
        </w:tc>
        <w:tc>
          <w:tcPr>
            <w:tcW w:w="660" w:type="pct"/>
          </w:tcPr>
          <w:p w14:paraId="679686E5" w14:textId="77777777" w:rsidR="00920729" w:rsidRPr="00B426CC" w:rsidRDefault="00920729" w:rsidP="0009520E">
            <w:pPr>
              <w:pStyle w:val="TableText0"/>
              <w:rPr>
                <w:highlight w:val="yellow"/>
              </w:rPr>
            </w:pPr>
            <w:r w:rsidRPr="00B426CC">
              <w:t>406</w:t>
            </w:r>
          </w:p>
        </w:tc>
        <w:tc>
          <w:tcPr>
            <w:tcW w:w="757" w:type="pct"/>
          </w:tcPr>
          <w:p w14:paraId="14C20012" w14:textId="77777777" w:rsidR="00920729" w:rsidRPr="00B426CC" w:rsidRDefault="00920729" w:rsidP="0009520E">
            <w:pPr>
              <w:pStyle w:val="TableText0"/>
            </w:pPr>
            <w:r w:rsidRPr="00B426CC">
              <w:t>308</w:t>
            </w:r>
          </w:p>
        </w:tc>
        <w:tc>
          <w:tcPr>
            <w:tcW w:w="757" w:type="pct"/>
          </w:tcPr>
          <w:p w14:paraId="71897632" w14:textId="77777777" w:rsidR="00920729" w:rsidRPr="00B426CC" w:rsidRDefault="00920729" w:rsidP="0009520E">
            <w:pPr>
              <w:pStyle w:val="TableText0"/>
            </w:pPr>
            <w:r w:rsidRPr="00B426CC">
              <w:t>166</w:t>
            </w:r>
          </w:p>
        </w:tc>
      </w:tr>
      <w:tr w:rsidR="00920729" w:rsidRPr="00574CDC" w14:paraId="0AFD9ED5" w14:textId="77777777">
        <w:tc>
          <w:tcPr>
            <w:tcW w:w="1972" w:type="pct"/>
            <w:vAlign w:val="bottom"/>
          </w:tcPr>
          <w:p w14:paraId="276BF28D" w14:textId="77777777" w:rsidR="00920729" w:rsidRPr="00574CDC" w:rsidRDefault="00920729" w:rsidP="0009520E">
            <w:pPr>
              <w:pStyle w:val="TableText0"/>
            </w:pPr>
            <w:r w:rsidRPr="00574CDC">
              <w:t>TEAEs, subjects, n (%)</w:t>
            </w:r>
          </w:p>
        </w:tc>
        <w:tc>
          <w:tcPr>
            <w:tcW w:w="854" w:type="pct"/>
          </w:tcPr>
          <w:p w14:paraId="7344C537" w14:textId="77777777" w:rsidR="00920729" w:rsidRPr="00B426CC" w:rsidRDefault="00920729" w:rsidP="0009520E">
            <w:pPr>
              <w:pStyle w:val="TableText0"/>
              <w:rPr>
                <w:highlight w:val="yellow"/>
              </w:rPr>
            </w:pPr>
            <w:r w:rsidRPr="00B426CC">
              <w:t>47 (90)</w:t>
            </w:r>
          </w:p>
        </w:tc>
        <w:tc>
          <w:tcPr>
            <w:tcW w:w="660" w:type="pct"/>
          </w:tcPr>
          <w:p w14:paraId="304EBF73" w14:textId="77777777" w:rsidR="00920729" w:rsidRPr="00B426CC" w:rsidRDefault="00920729" w:rsidP="0009520E">
            <w:pPr>
              <w:pStyle w:val="TableText0"/>
              <w:rPr>
                <w:highlight w:val="yellow"/>
              </w:rPr>
            </w:pPr>
            <w:r w:rsidRPr="00B426CC">
              <w:t>24 (96)</w:t>
            </w:r>
          </w:p>
        </w:tc>
        <w:tc>
          <w:tcPr>
            <w:tcW w:w="757" w:type="pct"/>
          </w:tcPr>
          <w:p w14:paraId="58136AFA" w14:textId="77777777" w:rsidR="00920729" w:rsidRPr="00B426CC" w:rsidRDefault="00920729" w:rsidP="0009520E">
            <w:pPr>
              <w:pStyle w:val="TableText0"/>
            </w:pPr>
            <w:r w:rsidRPr="00B426CC">
              <w:t>34 (94)</w:t>
            </w:r>
          </w:p>
        </w:tc>
        <w:tc>
          <w:tcPr>
            <w:tcW w:w="757" w:type="pct"/>
          </w:tcPr>
          <w:p w14:paraId="7BFBEE9B" w14:textId="77777777" w:rsidR="00920729" w:rsidRPr="00B426CC" w:rsidRDefault="00920729" w:rsidP="0009520E">
            <w:pPr>
              <w:pStyle w:val="TableText0"/>
            </w:pPr>
            <w:r w:rsidRPr="00B426CC">
              <w:t>20 (95)</w:t>
            </w:r>
          </w:p>
        </w:tc>
      </w:tr>
      <w:tr w:rsidR="00920729" w:rsidRPr="00574CDC" w14:paraId="4757D37E" w14:textId="77777777">
        <w:tc>
          <w:tcPr>
            <w:tcW w:w="1972" w:type="pct"/>
            <w:vAlign w:val="bottom"/>
          </w:tcPr>
          <w:p w14:paraId="3EC301DC" w14:textId="77777777" w:rsidR="00920729" w:rsidRPr="00574CDC" w:rsidRDefault="00920729" w:rsidP="0009520E">
            <w:pPr>
              <w:pStyle w:val="TableText0"/>
            </w:pPr>
            <w:r w:rsidRPr="00574CDC">
              <w:t xml:space="preserve">Related </w:t>
            </w:r>
            <w:proofErr w:type="spellStart"/>
            <w:r w:rsidRPr="00574CDC">
              <w:t>TEAEs</w:t>
            </w:r>
            <w:r>
              <w:rPr>
                <w:vertAlign w:val="superscript"/>
              </w:rPr>
              <w:t>a</w:t>
            </w:r>
            <w:proofErr w:type="spellEnd"/>
            <w:r w:rsidRPr="00574CDC">
              <w:t>, subjects, n (%)</w:t>
            </w:r>
          </w:p>
        </w:tc>
        <w:tc>
          <w:tcPr>
            <w:tcW w:w="854" w:type="pct"/>
          </w:tcPr>
          <w:p w14:paraId="5A2B1C67" w14:textId="77777777" w:rsidR="00920729" w:rsidRPr="00B426CC" w:rsidRDefault="00920729" w:rsidP="0009520E">
            <w:pPr>
              <w:pStyle w:val="TableText0"/>
              <w:rPr>
                <w:highlight w:val="yellow"/>
              </w:rPr>
            </w:pPr>
            <w:r w:rsidRPr="00B426CC">
              <w:t>21 (40)</w:t>
            </w:r>
          </w:p>
        </w:tc>
        <w:tc>
          <w:tcPr>
            <w:tcW w:w="660" w:type="pct"/>
          </w:tcPr>
          <w:p w14:paraId="42ED8032" w14:textId="77777777" w:rsidR="00920729" w:rsidRPr="00B426CC" w:rsidRDefault="00920729" w:rsidP="0009520E">
            <w:pPr>
              <w:pStyle w:val="TableText0"/>
              <w:rPr>
                <w:highlight w:val="yellow"/>
              </w:rPr>
            </w:pPr>
            <w:r w:rsidRPr="00B426CC">
              <w:t>11 (44)</w:t>
            </w:r>
          </w:p>
        </w:tc>
        <w:tc>
          <w:tcPr>
            <w:tcW w:w="757" w:type="pct"/>
          </w:tcPr>
          <w:p w14:paraId="2C5BE3C5" w14:textId="77777777" w:rsidR="00920729" w:rsidRPr="00B426CC" w:rsidRDefault="00920729" w:rsidP="0009520E">
            <w:pPr>
              <w:pStyle w:val="TableText0"/>
            </w:pPr>
            <w:r w:rsidRPr="00B426CC">
              <w:t>14 (39)</w:t>
            </w:r>
          </w:p>
        </w:tc>
        <w:tc>
          <w:tcPr>
            <w:tcW w:w="757" w:type="pct"/>
          </w:tcPr>
          <w:p w14:paraId="5C3DBBBB" w14:textId="77777777" w:rsidR="00920729" w:rsidRPr="00B426CC" w:rsidRDefault="00920729" w:rsidP="0009520E">
            <w:pPr>
              <w:pStyle w:val="TableText0"/>
            </w:pPr>
            <w:r w:rsidRPr="00B426CC">
              <w:t>3 (14)</w:t>
            </w:r>
          </w:p>
        </w:tc>
      </w:tr>
      <w:tr w:rsidR="00920729" w:rsidRPr="00574CDC" w14:paraId="68A6CD33" w14:textId="77777777">
        <w:tc>
          <w:tcPr>
            <w:tcW w:w="1972" w:type="pct"/>
            <w:vAlign w:val="bottom"/>
          </w:tcPr>
          <w:p w14:paraId="0F596B75" w14:textId="77777777" w:rsidR="00920729" w:rsidRPr="00574CDC" w:rsidRDefault="00920729" w:rsidP="0009520E">
            <w:pPr>
              <w:pStyle w:val="TableText0"/>
            </w:pPr>
            <w:r w:rsidRPr="00574CDC">
              <w:t>Severe TEAEs, subjects, n (%)</w:t>
            </w:r>
          </w:p>
        </w:tc>
        <w:tc>
          <w:tcPr>
            <w:tcW w:w="854" w:type="pct"/>
          </w:tcPr>
          <w:p w14:paraId="747C2372" w14:textId="77777777" w:rsidR="00920729" w:rsidRPr="00B426CC" w:rsidRDefault="00920729" w:rsidP="0009520E">
            <w:pPr>
              <w:pStyle w:val="TableText0"/>
              <w:rPr>
                <w:highlight w:val="yellow"/>
              </w:rPr>
            </w:pPr>
            <w:r w:rsidRPr="00B426CC">
              <w:t>15 (29)</w:t>
            </w:r>
          </w:p>
        </w:tc>
        <w:tc>
          <w:tcPr>
            <w:tcW w:w="660" w:type="pct"/>
          </w:tcPr>
          <w:p w14:paraId="5968B23E" w14:textId="77777777" w:rsidR="00920729" w:rsidRPr="00B426CC" w:rsidRDefault="00920729" w:rsidP="0009520E">
            <w:pPr>
              <w:pStyle w:val="TableText0"/>
              <w:rPr>
                <w:highlight w:val="yellow"/>
              </w:rPr>
            </w:pPr>
            <w:r w:rsidRPr="00B426CC">
              <w:t>7 (28)</w:t>
            </w:r>
          </w:p>
        </w:tc>
        <w:tc>
          <w:tcPr>
            <w:tcW w:w="757" w:type="pct"/>
          </w:tcPr>
          <w:p w14:paraId="208AC8AC" w14:textId="77777777" w:rsidR="00920729" w:rsidRPr="00B426CC" w:rsidRDefault="00920729" w:rsidP="0009520E">
            <w:pPr>
              <w:pStyle w:val="TableText0"/>
            </w:pPr>
            <w:r w:rsidRPr="00B426CC">
              <w:t>3 (8)</w:t>
            </w:r>
          </w:p>
        </w:tc>
        <w:tc>
          <w:tcPr>
            <w:tcW w:w="757" w:type="pct"/>
          </w:tcPr>
          <w:p w14:paraId="0741214A" w14:textId="77777777" w:rsidR="00920729" w:rsidRPr="00B426CC" w:rsidRDefault="00920729" w:rsidP="0009520E">
            <w:pPr>
              <w:pStyle w:val="TableText0"/>
            </w:pPr>
            <w:r w:rsidRPr="00B426CC">
              <w:t>2 (10)</w:t>
            </w:r>
          </w:p>
        </w:tc>
      </w:tr>
      <w:tr w:rsidR="00920729" w:rsidRPr="00574CDC" w14:paraId="4935CC47" w14:textId="77777777">
        <w:tc>
          <w:tcPr>
            <w:tcW w:w="1972" w:type="pct"/>
            <w:vAlign w:val="bottom"/>
          </w:tcPr>
          <w:p w14:paraId="621B1C01" w14:textId="77777777" w:rsidR="00920729" w:rsidRPr="00574CDC" w:rsidRDefault="00920729" w:rsidP="0009520E">
            <w:pPr>
              <w:pStyle w:val="TableText0"/>
            </w:pPr>
            <w:r w:rsidRPr="00574CDC">
              <w:t>Treatment-Emergent SAEs, subjects, n (%)</w:t>
            </w:r>
          </w:p>
        </w:tc>
        <w:tc>
          <w:tcPr>
            <w:tcW w:w="854" w:type="pct"/>
          </w:tcPr>
          <w:p w14:paraId="450E4394" w14:textId="77777777" w:rsidR="00920729" w:rsidRPr="00B426CC" w:rsidRDefault="00920729" w:rsidP="0009520E">
            <w:pPr>
              <w:pStyle w:val="TableText0"/>
              <w:rPr>
                <w:highlight w:val="yellow"/>
              </w:rPr>
            </w:pPr>
            <w:r w:rsidRPr="00B426CC">
              <w:t>1 (2)</w:t>
            </w:r>
          </w:p>
        </w:tc>
        <w:tc>
          <w:tcPr>
            <w:tcW w:w="660" w:type="pct"/>
          </w:tcPr>
          <w:p w14:paraId="4F437036" w14:textId="77777777" w:rsidR="00920729" w:rsidRPr="00B426CC" w:rsidRDefault="00920729" w:rsidP="0009520E">
            <w:pPr>
              <w:pStyle w:val="TableText0"/>
              <w:rPr>
                <w:highlight w:val="yellow"/>
              </w:rPr>
            </w:pPr>
            <w:r w:rsidRPr="00B426CC">
              <w:t>0</w:t>
            </w:r>
          </w:p>
        </w:tc>
        <w:tc>
          <w:tcPr>
            <w:tcW w:w="757" w:type="pct"/>
          </w:tcPr>
          <w:p w14:paraId="6934B396" w14:textId="77777777" w:rsidR="00920729" w:rsidRPr="00B426CC" w:rsidRDefault="00920729" w:rsidP="0009520E">
            <w:pPr>
              <w:pStyle w:val="TableText0"/>
            </w:pPr>
            <w:r w:rsidRPr="00B426CC">
              <w:t>7 (19)</w:t>
            </w:r>
          </w:p>
        </w:tc>
        <w:tc>
          <w:tcPr>
            <w:tcW w:w="757" w:type="pct"/>
          </w:tcPr>
          <w:p w14:paraId="25DA77E1" w14:textId="77777777" w:rsidR="00920729" w:rsidRPr="00B426CC" w:rsidRDefault="00920729" w:rsidP="0009520E">
            <w:pPr>
              <w:pStyle w:val="TableText0"/>
            </w:pPr>
            <w:r w:rsidRPr="00B426CC">
              <w:t>7 (33)</w:t>
            </w:r>
          </w:p>
        </w:tc>
      </w:tr>
      <w:tr w:rsidR="00920729" w:rsidRPr="00574CDC" w14:paraId="54DD4214" w14:textId="77777777">
        <w:tc>
          <w:tcPr>
            <w:tcW w:w="1972" w:type="pct"/>
            <w:vAlign w:val="bottom"/>
          </w:tcPr>
          <w:p w14:paraId="2FEA9BF5" w14:textId="77777777" w:rsidR="00920729" w:rsidRPr="00574CDC" w:rsidRDefault="00920729" w:rsidP="0009520E">
            <w:pPr>
              <w:pStyle w:val="TableText0"/>
            </w:pPr>
            <w:r w:rsidRPr="00574CDC">
              <w:t>Discontinued due to TEAEs, subjects, n (%)</w:t>
            </w:r>
          </w:p>
        </w:tc>
        <w:tc>
          <w:tcPr>
            <w:tcW w:w="854" w:type="pct"/>
          </w:tcPr>
          <w:p w14:paraId="566DC983" w14:textId="77777777" w:rsidR="00920729" w:rsidRPr="00B426CC" w:rsidRDefault="00920729" w:rsidP="0009520E">
            <w:pPr>
              <w:pStyle w:val="TableText0"/>
            </w:pPr>
            <w:r w:rsidRPr="00B426CC">
              <w:t>1 (2)</w:t>
            </w:r>
          </w:p>
        </w:tc>
        <w:tc>
          <w:tcPr>
            <w:tcW w:w="660" w:type="pct"/>
          </w:tcPr>
          <w:p w14:paraId="4CD899AE" w14:textId="77777777" w:rsidR="00920729" w:rsidRPr="00B426CC" w:rsidRDefault="00920729" w:rsidP="0009520E">
            <w:pPr>
              <w:pStyle w:val="TableText0"/>
            </w:pPr>
            <w:r w:rsidRPr="00B426CC">
              <w:t>0</w:t>
            </w:r>
          </w:p>
        </w:tc>
        <w:tc>
          <w:tcPr>
            <w:tcW w:w="757" w:type="pct"/>
          </w:tcPr>
          <w:p w14:paraId="2C8C820D" w14:textId="77777777" w:rsidR="00920729" w:rsidRPr="00B426CC" w:rsidRDefault="00920729" w:rsidP="0009520E">
            <w:pPr>
              <w:pStyle w:val="TableText0"/>
            </w:pPr>
            <w:r w:rsidRPr="00B426CC">
              <w:t>0</w:t>
            </w:r>
          </w:p>
        </w:tc>
        <w:tc>
          <w:tcPr>
            <w:tcW w:w="757" w:type="pct"/>
          </w:tcPr>
          <w:p w14:paraId="2565FE65" w14:textId="77777777" w:rsidR="00920729" w:rsidRPr="00B426CC" w:rsidRDefault="00920729" w:rsidP="0009520E">
            <w:pPr>
              <w:pStyle w:val="TableText0"/>
            </w:pPr>
            <w:r w:rsidRPr="00B426CC">
              <w:t>0</w:t>
            </w:r>
          </w:p>
        </w:tc>
      </w:tr>
      <w:tr w:rsidR="00920729" w:rsidRPr="00574CDC" w14:paraId="49AB6678" w14:textId="77777777">
        <w:tc>
          <w:tcPr>
            <w:tcW w:w="1972" w:type="pct"/>
            <w:vAlign w:val="bottom"/>
          </w:tcPr>
          <w:p w14:paraId="473CEDDB" w14:textId="77777777" w:rsidR="00920729" w:rsidRPr="00574CDC" w:rsidRDefault="00920729" w:rsidP="0009520E">
            <w:pPr>
              <w:pStyle w:val="TableText0"/>
            </w:pPr>
            <w:r w:rsidRPr="00574CDC">
              <w:t>AEs Leading to Death, subjects, n (%)</w:t>
            </w:r>
          </w:p>
        </w:tc>
        <w:tc>
          <w:tcPr>
            <w:tcW w:w="854" w:type="pct"/>
          </w:tcPr>
          <w:p w14:paraId="077DB651" w14:textId="77777777" w:rsidR="00920729" w:rsidRPr="00574CDC" w:rsidRDefault="00920729" w:rsidP="0009520E">
            <w:pPr>
              <w:pStyle w:val="TableText0"/>
            </w:pPr>
            <w:r w:rsidRPr="00574CDC">
              <w:t>0</w:t>
            </w:r>
          </w:p>
        </w:tc>
        <w:tc>
          <w:tcPr>
            <w:tcW w:w="660" w:type="pct"/>
          </w:tcPr>
          <w:p w14:paraId="7CC7E709" w14:textId="77777777" w:rsidR="00920729" w:rsidRPr="00574CDC" w:rsidRDefault="00920729" w:rsidP="0009520E">
            <w:pPr>
              <w:pStyle w:val="TableText0"/>
            </w:pPr>
            <w:r w:rsidRPr="00574CDC">
              <w:t>0</w:t>
            </w:r>
          </w:p>
        </w:tc>
        <w:tc>
          <w:tcPr>
            <w:tcW w:w="757" w:type="pct"/>
          </w:tcPr>
          <w:p w14:paraId="1BF74B85" w14:textId="77777777" w:rsidR="00920729" w:rsidRPr="00B426CC" w:rsidRDefault="00920729" w:rsidP="0009520E">
            <w:pPr>
              <w:pStyle w:val="TableText0"/>
            </w:pPr>
            <w:r w:rsidRPr="00B426CC">
              <w:t>0</w:t>
            </w:r>
          </w:p>
        </w:tc>
        <w:tc>
          <w:tcPr>
            <w:tcW w:w="757" w:type="pct"/>
          </w:tcPr>
          <w:p w14:paraId="7918DB8B" w14:textId="77777777" w:rsidR="00920729" w:rsidRPr="00B426CC" w:rsidRDefault="00920729" w:rsidP="0009520E">
            <w:pPr>
              <w:pStyle w:val="TableText0"/>
            </w:pPr>
            <w:r w:rsidRPr="00B426CC">
              <w:t>0</w:t>
            </w:r>
          </w:p>
        </w:tc>
      </w:tr>
    </w:tbl>
    <w:p w14:paraId="4F86F6EA" w14:textId="77777777" w:rsidR="00920729" w:rsidRDefault="00920729" w:rsidP="005A2403">
      <w:pPr>
        <w:pStyle w:val="TableFigureFooter"/>
      </w:pPr>
      <w:bookmarkStart w:id="59" w:name="_Toc22897643"/>
      <w:r>
        <w:t>Source: Table 2.6-4, pp99-100 of the submission.</w:t>
      </w:r>
    </w:p>
    <w:p w14:paraId="07BB4960" w14:textId="0234EDD3" w:rsidR="00920729" w:rsidRPr="00C46131" w:rsidRDefault="00920729" w:rsidP="005A2403">
      <w:pPr>
        <w:pStyle w:val="TableFigureFooter"/>
      </w:pPr>
      <w:r w:rsidRPr="00C46131">
        <w:rPr>
          <w:vertAlign w:val="superscript"/>
        </w:rPr>
        <w:t>a</w:t>
      </w:r>
      <w:r w:rsidRPr="00D2098F">
        <w:t xml:space="preserve"> </w:t>
      </w:r>
      <w:proofErr w:type="spellStart"/>
      <w:r w:rsidRPr="00D2098F">
        <w:t>A</w:t>
      </w:r>
      <w:proofErr w:type="spellEnd"/>
      <w:r w:rsidRPr="00C46131">
        <w:t xml:space="preserve"> TEAE was defined as related if </w:t>
      </w:r>
      <w:r w:rsidR="006F3898">
        <w:t xml:space="preserve">it </w:t>
      </w:r>
      <w:r w:rsidRPr="00C46131">
        <w:t>was reported as possibly, probably, or definitely related to study drug.</w:t>
      </w:r>
    </w:p>
    <w:p w14:paraId="36FA9D99" w14:textId="77777777" w:rsidR="00920729" w:rsidRDefault="00920729" w:rsidP="005A2403">
      <w:pPr>
        <w:pStyle w:val="TableFigureFooter"/>
      </w:pPr>
      <w:r w:rsidRPr="00C46131">
        <w:t xml:space="preserve">Abbreviations: AE; </w:t>
      </w:r>
      <w:r>
        <w:t>a</w:t>
      </w:r>
      <w:r w:rsidRPr="00C46131">
        <w:t>dverse event; ERT; enzyme replacement therapy; TEAE, treatment-emergent adverse event</w:t>
      </w:r>
      <w:r>
        <w:t>; SAE, serious adverse event.</w:t>
      </w:r>
    </w:p>
    <w:p w14:paraId="477CD97D" w14:textId="33874C1F" w:rsidR="00920729" w:rsidRDefault="00920729" w:rsidP="009D09F4">
      <w:pPr>
        <w:pStyle w:val="3-BodyText"/>
      </w:pPr>
      <w:r>
        <w:t>Although the two trials had different study designs</w:t>
      </w:r>
      <w:r w:rsidR="0063202A">
        <w:t>,</w:t>
      </w:r>
      <w:r>
        <w:t xml:space="preserve"> including the study timeframe and participant numbers, the proportion of patients with TEAEs in BALANCE was comparable (90%) in the pegunigalsidase alfa arm versus agalsidase beta (96%) and between migalastat (94%) and ERT (95%) in ATTRACT. </w:t>
      </w:r>
    </w:p>
    <w:p w14:paraId="1BB06143" w14:textId="716D39BB" w:rsidR="00920729" w:rsidRDefault="00920729" w:rsidP="009D09F4">
      <w:pPr>
        <w:pStyle w:val="3-BodyText"/>
      </w:pPr>
      <w:r>
        <w:t xml:space="preserve">A higher percentage of severe TEAEs was observed in pegunigalsidase alfa in BALANCE (29%) compared with migalastat in ATTRACT (8%), however, treatment emergent SAEs were lower in the pegunigalsidase alfa (2%) in the BALANCE study compared with agalsidase beta (19%) in ATTRACT. Only 1 (2%) patient in </w:t>
      </w:r>
      <w:r w:rsidR="00BC4B32">
        <w:t xml:space="preserve">the </w:t>
      </w:r>
      <w:r>
        <w:t>pegunigalsidase alfa arm discontinued due to a TEAE in BALANCE versus none in</w:t>
      </w:r>
      <w:r w:rsidR="00C9278F">
        <w:t xml:space="preserve"> the</w:t>
      </w:r>
      <w:r>
        <w:t xml:space="preserve"> agalsidase beta arm in ATTRACT. In both BALANCE and ATTRACT, there were no AEs that led to death.</w:t>
      </w:r>
    </w:p>
    <w:p w14:paraId="588FFA71" w14:textId="6115D029" w:rsidR="00920729" w:rsidRDefault="00920729" w:rsidP="009D09F4">
      <w:pPr>
        <w:pStyle w:val="3-BodyText"/>
      </w:pPr>
      <w:r>
        <w:t xml:space="preserve">The most commonly reported TEAEs in ATTRACT after 18 months were nasopharyngitis (both migalastat and ERT 33%) and headache (migalastat 25%; ERT 24%). Dizziness (17%), abdominal pain (14%), diarrhoea (14%) and nausea (14%) were more frequently seen in the migalastat group than in the ERT group. TEAEs more </w:t>
      </w:r>
      <w:r>
        <w:lastRenderedPageBreak/>
        <w:t>frequently observed in the ERT group compared to migalastat included: influenza (19% vs 14%), cough (24% vs 8%), back pain (14% vs 11%), bronchitis (14% vs 6%), vomiting (14% vs 8%) and sinusitis (14% vs 8%) (para</w:t>
      </w:r>
      <w:r w:rsidR="00386D34">
        <w:t>graph</w:t>
      </w:r>
      <w:r>
        <w:t xml:space="preserve"> 6.18, migalastat, PSD, March 2017 PBAC meeting). </w:t>
      </w:r>
      <w:r w:rsidRPr="00681586">
        <w:t>As described in para</w:t>
      </w:r>
      <w:r w:rsidR="00386D34">
        <w:t>graph</w:t>
      </w:r>
      <w:r w:rsidRPr="00681586">
        <w:t xml:space="preserve"> </w:t>
      </w:r>
      <w:r w:rsidRPr="00681586">
        <w:fldChar w:fldCharType="begin" w:fldLock="1"/>
      </w:r>
      <w:r w:rsidRPr="00681586">
        <w:instrText xml:space="preserve"> REF _Ref195777589 \r \h  \* MERGEFORMAT </w:instrText>
      </w:r>
      <w:r w:rsidRPr="00681586">
        <w:fldChar w:fldCharType="separate"/>
      </w:r>
      <w:r w:rsidR="00881387">
        <w:t>6.40</w:t>
      </w:r>
      <w:r w:rsidRPr="00681586">
        <w:fldChar w:fldCharType="end"/>
      </w:r>
      <w:r w:rsidRPr="00681586">
        <w:t xml:space="preserve">, nasopharyngitis, headache, diarrhoea and nausea were also commonly reported in </w:t>
      </w:r>
      <w:r w:rsidR="006B6947">
        <w:t xml:space="preserve">the </w:t>
      </w:r>
      <w:r w:rsidRPr="00681586">
        <w:t>pegunigalsidase alfa</w:t>
      </w:r>
      <w:r w:rsidR="006B6947">
        <w:t xml:space="preserve"> arm</w:t>
      </w:r>
      <w:r w:rsidRPr="00681586">
        <w:t xml:space="preserve"> in BALANCE. </w:t>
      </w:r>
    </w:p>
    <w:p w14:paraId="2687963F" w14:textId="53D358D3" w:rsidR="00920729" w:rsidRDefault="00920729" w:rsidP="009D09F4">
      <w:pPr>
        <w:pStyle w:val="3-BodyText"/>
      </w:pPr>
      <w:r w:rsidRPr="00681586">
        <w:t xml:space="preserve">A higher proportion of nasopharyngitis (33% vs 21.2%), headache (25% vs 21.2%), dizziness (17% vs 11.5%) and abdominal pain (14% vs 11.5%) was observed </w:t>
      </w:r>
      <w:r w:rsidR="009D572A">
        <w:t>with</w:t>
      </w:r>
      <w:r w:rsidR="009D572A" w:rsidRPr="00681586">
        <w:t xml:space="preserve"> </w:t>
      </w:r>
      <w:r w:rsidRPr="00681586">
        <w:t>migalastat in ATTRACT compared with pegunigalsidase alfa in BALANCE</w:t>
      </w:r>
      <w:r w:rsidR="00F95F6A">
        <w:t>,</w:t>
      </w:r>
      <w:r w:rsidRPr="00681586">
        <w:t xml:space="preserve"> while a higher rate of diarrhoea (19.2% vs 14%) and nausea (17.3% vs 14%) was observed </w:t>
      </w:r>
      <w:r w:rsidR="00D240C2">
        <w:t>with</w:t>
      </w:r>
      <w:r w:rsidR="00D240C2" w:rsidRPr="00681586">
        <w:t xml:space="preserve"> </w:t>
      </w:r>
      <w:r w:rsidRPr="00681586">
        <w:t xml:space="preserve">pegunigalsidase alfa than </w:t>
      </w:r>
      <w:r w:rsidR="00D240C2">
        <w:t>with</w:t>
      </w:r>
      <w:r w:rsidR="00D240C2" w:rsidRPr="00681586">
        <w:t xml:space="preserve"> </w:t>
      </w:r>
      <w:r w:rsidRPr="00681586">
        <w:t>migalastat.</w:t>
      </w:r>
    </w:p>
    <w:p w14:paraId="3A9BB685" w14:textId="4887B194" w:rsidR="00920729" w:rsidRPr="000B4FAD" w:rsidRDefault="00920729" w:rsidP="009D09F4">
      <w:pPr>
        <w:pStyle w:val="3-BodyText"/>
      </w:pPr>
      <w:r w:rsidRPr="001B7E2C">
        <w:t xml:space="preserve">The submission acknowledged that the PBAC previously concluded </w:t>
      </w:r>
      <w:r w:rsidR="00D240C2">
        <w:t>at its</w:t>
      </w:r>
      <w:r w:rsidRPr="001B7E2C">
        <w:t xml:space="preserve"> March</w:t>
      </w:r>
      <w:r w:rsidR="00D240C2">
        <w:t> </w:t>
      </w:r>
      <w:r w:rsidRPr="001B7E2C">
        <w:t>2024 meeting that there was insufficient evidence to definitively establish non-inferiority in terms of clinical effectiveness of migalastat compared to ERTs (agalsidase alfa and agalsidase beta) (</w:t>
      </w:r>
      <w:r>
        <w:t>para</w:t>
      </w:r>
      <w:r w:rsidR="00891A0F">
        <w:t>graph</w:t>
      </w:r>
      <w:r>
        <w:t xml:space="preserve"> 7.6, migalastat, PSD, March 2024 PBAC meeting). The submission stated that as the clinical claim for </w:t>
      </w:r>
      <w:r>
        <w:rPr>
          <w:rFonts w:cstheme="minorHAnsi"/>
        </w:rPr>
        <w:t>p</w:t>
      </w:r>
      <w:r w:rsidRPr="00755391">
        <w:rPr>
          <w:rFonts w:cstheme="minorHAnsi"/>
        </w:rPr>
        <w:t>egunigalsidase alfa</w:t>
      </w:r>
      <w:r>
        <w:rPr>
          <w:rFonts w:cstheme="minorHAnsi"/>
        </w:rPr>
        <w:t xml:space="preserve"> is non-inferior </w:t>
      </w:r>
      <w:r w:rsidR="00CB23F6">
        <w:rPr>
          <w:rFonts w:cstheme="minorHAnsi"/>
        </w:rPr>
        <w:t xml:space="preserve">in </w:t>
      </w:r>
      <w:r>
        <w:rPr>
          <w:rFonts w:cstheme="minorHAnsi"/>
        </w:rPr>
        <w:t xml:space="preserve">efficacy to </w:t>
      </w:r>
      <w:r w:rsidRPr="00755391">
        <w:rPr>
          <w:rFonts w:cstheme="minorHAnsi"/>
        </w:rPr>
        <w:t>agalsidase alfa and agalsidase</w:t>
      </w:r>
      <w:r>
        <w:rPr>
          <w:rFonts w:cstheme="minorHAnsi"/>
        </w:rPr>
        <w:t xml:space="preserve"> beta</w:t>
      </w:r>
      <w:r>
        <w:t xml:space="preserve">, the clinical claim versus migalastat is that </w:t>
      </w:r>
      <w:r>
        <w:rPr>
          <w:rFonts w:cstheme="minorHAnsi"/>
        </w:rPr>
        <w:t>p</w:t>
      </w:r>
      <w:r w:rsidRPr="00755391">
        <w:rPr>
          <w:rFonts w:cstheme="minorHAnsi"/>
        </w:rPr>
        <w:t>egunigalsidase alfa</w:t>
      </w:r>
      <w:r>
        <w:rPr>
          <w:rFonts w:cstheme="minorHAnsi"/>
        </w:rPr>
        <w:t xml:space="preserve"> has at least </w:t>
      </w:r>
      <w:r>
        <w:t>non-inferior efficacy to migalastat.</w:t>
      </w:r>
      <w:r w:rsidR="001A0D13">
        <w:t xml:space="preserve"> The submission stated that</w:t>
      </w:r>
      <w:r>
        <w:t xml:space="preserve"> </w:t>
      </w:r>
      <w:r w:rsidR="001A0D13">
        <w:t>i</w:t>
      </w:r>
      <w:r>
        <w:t xml:space="preserve">n terms of safety, it would appear that migalastat and </w:t>
      </w:r>
      <w:r>
        <w:rPr>
          <w:rFonts w:cstheme="minorHAnsi"/>
        </w:rPr>
        <w:t>p</w:t>
      </w:r>
      <w:r w:rsidRPr="00755391">
        <w:rPr>
          <w:rFonts w:cstheme="minorHAnsi"/>
        </w:rPr>
        <w:t>egunigalsidase alfa</w:t>
      </w:r>
      <w:r>
        <w:rPr>
          <w:rFonts w:cstheme="minorHAnsi"/>
        </w:rPr>
        <w:t xml:space="preserve"> have a quantitatively similar safety profile (submission). </w:t>
      </w:r>
      <w:r w:rsidRPr="000B4FAD">
        <w:t>There is no direct evidence comparing pegunigalsidase alfa with migalastat and the submission did not present robust indirect evidence to support th</w:t>
      </w:r>
      <w:r w:rsidR="006D61E3" w:rsidRPr="000B4FAD">
        <w:t>e</w:t>
      </w:r>
      <w:r w:rsidRPr="000B4FAD">
        <w:t xml:space="preserve"> claim</w:t>
      </w:r>
      <w:r w:rsidR="00A627D3" w:rsidRPr="000B4FAD">
        <w:t>s of non</w:t>
      </w:r>
      <w:r w:rsidR="00AA3490" w:rsidRPr="000B4FAD">
        <w:t>-</w:t>
      </w:r>
      <w:r w:rsidR="00E7032C" w:rsidRPr="000B4FAD">
        <w:t>inferior efficacy and safety</w:t>
      </w:r>
      <w:r w:rsidR="00120633" w:rsidRPr="000B4FAD">
        <w:t xml:space="preserve"> over migalastat</w:t>
      </w:r>
      <w:r w:rsidRPr="000B4FAD">
        <w:t>.</w:t>
      </w:r>
    </w:p>
    <w:p w14:paraId="02B5D8AC" w14:textId="2267676F" w:rsidR="00920729" w:rsidRPr="000B4FAD" w:rsidRDefault="00920729" w:rsidP="009D09F4">
      <w:pPr>
        <w:pStyle w:val="3-BodyText"/>
      </w:pPr>
      <w:r w:rsidRPr="000B4FAD">
        <w:t>Based on</w:t>
      </w:r>
      <w:r w:rsidR="002C45B2" w:rsidRPr="000B4FAD">
        <w:t xml:space="preserve"> the</w:t>
      </w:r>
      <w:r w:rsidRPr="000B4FAD">
        <w:t xml:space="preserve"> PBAC’s previous considerations of migalastat, the PBAC considered it reasonable to accept the claim of non-inferior comparative safety compared to ERT (para</w:t>
      </w:r>
      <w:r w:rsidR="00D77568" w:rsidRPr="000B4FAD">
        <w:t>graph</w:t>
      </w:r>
      <w:r w:rsidRPr="000B4FAD">
        <w:t xml:space="preserve"> 7.8, migalastat, PSD, March 2017 PBAC meeting). In terms of clinical effectiveness, the PBAC considered that despite the availability of longer</w:t>
      </w:r>
      <w:r w:rsidR="00807648" w:rsidRPr="00D2098F">
        <w:t>-</w:t>
      </w:r>
      <w:r w:rsidRPr="000B4FAD">
        <w:t>term clinical data for ATTRACT and FACETS, the claim that migalastat is non-inferior to ERT remained insufficient (para</w:t>
      </w:r>
      <w:r w:rsidR="00D77568" w:rsidRPr="000B4FAD">
        <w:t>graph</w:t>
      </w:r>
      <w:r w:rsidRPr="000B4FAD">
        <w:t xml:space="preserve"> 7.6, migalastat, PSD, March 2024 PBAC meeting). </w:t>
      </w:r>
    </w:p>
    <w:p w14:paraId="04908C7F" w14:textId="415B9B7D" w:rsidR="007F1017" w:rsidRPr="0098262F" w:rsidRDefault="007F1017" w:rsidP="009D09F4">
      <w:pPr>
        <w:pStyle w:val="4-SubsectionHeading"/>
        <w:keepNext w:val="0"/>
      </w:pPr>
      <w:bookmarkStart w:id="60" w:name="_Toc198734226"/>
      <w:r w:rsidRPr="0098262F">
        <w:t>Benefits/harms</w:t>
      </w:r>
      <w:bookmarkEnd w:id="59"/>
      <w:bookmarkEnd w:id="60"/>
    </w:p>
    <w:p w14:paraId="0360DF5F" w14:textId="77777777" w:rsidR="00D743B6" w:rsidRPr="00BD64EA" w:rsidRDefault="00D743B6" w:rsidP="009D09F4">
      <w:pPr>
        <w:pStyle w:val="3-BodyText"/>
        <w:rPr>
          <w:i/>
          <w:iCs/>
        </w:rPr>
      </w:pPr>
      <w:bookmarkStart w:id="61" w:name="_Toc22897644"/>
      <w:r w:rsidRPr="000B4FAD">
        <w:t>A benefits and harms table is not presented as the submission made a claim of non-inferiority</w:t>
      </w:r>
      <w:r w:rsidRPr="00BD64EA">
        <w:rPr>
          <w:i/>
          <w:iCs/>
        </w:rPr>
        <w:t>.</w:t>
      </w:r>
    </w:p>
    <w:p w14:paraId="7A1772B6" w14:textId="23BB3145" w:rsidR="00B60939" w:rsidRPr="0098262F" w:rsidRDefault="00B60939" w:rsidP="00310FDC">
      <w:pPr>
        <w:pStyle w:val="4-SubsectionHeading"/>
        <w:keepLines/>
      </w:pPr>
      <w:bookmarkStart w:id="62" w:name="_Toc198734227"/>
      <w:r>
        <w:lastRenderedPageBreak/>
        <w:t>Clinical claim</w:t>
      </w:r>
      <w:bookmarkEnd w:id="61"/>
      <w:bookmarkEnd w:id="62"/>
    </w:p>
    <w:p w14:paraId="22E4CDE0" w14:textId="60533FBD" w:rsidR="00987118" w:rsidRPr="000B4FAD" w:rsidRDefault="00987118" w:rsidP="00310FDC">
      <w:pPr>
        <w:pStyle w:val="3-BodyText"/>
        <w:keepNext/>
        <w:keepLines/>
      </w:pPr>
      <w:bookmarkStart w:id="63" w:name="_Ref198737635"/>
      <w:bookmarkStart w:id="64" w:name="_Toc22897645"/>
      <w:r w:rsidRPr="00E77128">
        <w:t>The submission described pegunigalsidase alfa as non-inferior to both agalsidase alfa and agalsidase beta in terms of efficacy</w:t>
      </w:r>
      <w:r w:rsidR="00D04491">
        <w:t xml:space="preserve"> and safety</w:t>
      </w:r>
      <w:r w:rsidRPr="00E77128">
        <w:t>, providing an alternative option for both ERT-naïve and ERT-experienced patients.</w:t>
      </w:r>
      <w:r>
        <w:t xml:space="preserve"> </w:t>
      </w:r>
      <w:r w:rsidR="00EF6081" w:rsidRPr="000B4FAD">
        <w:t>The claim o</w:t>
      </w:r>
      <w:r w:rsidR="00975CC0" w:rsidRPr="000B4FAD">
        <w:t>f</w:t>
      </w:r>
      <w:r w:rsidR="00EF6081" w:rsidRPr="000B4FAD">
        <w:t xml:space="preserve"> </w:t>
      </w:r>
      <w:r w:rsidR="003C326B" w:rsidRPr="000B4FAD">
        <w:t xml:space="preserve">non-inferior efficacy </w:t>
      </w:r>
      <w:r w:rsidR="00C24373" w:rsidRPr="000B4FAD">
        <w:t xml:space="preserve">and safety over agalsidase beta </w:t>
      </w:r>
      <w:r w:rsidR="003C326B" w:rsidRPr="000B4FAD">
        <w:t>is adequately supported, however the</w:t>
      </w:r>
      <w:r w:rsidR="004D66EE" w:rsidRPr="000B4FAD">
        <w:t xml:space="preserve"> claim </w:t>
      </w:r>
      <w:r w:rsidR="00FB466C" w:rsidRPr="000B4FAD">
        <w:t>against agalsidase alfa</w:t>
      </w:r>
      <w:r w:rsidR="00921531" w:rsidRPr="000B4FAD">
        <w:t xml:space="preserve"> </w:t>
      </w:r>
      <w:r w:rsidR="009E2C52" w:rsidRPr="000B4FAD">
        <w:t>remains uncertain</w:t>
      </w:r>
      <w:r w:rsidR="00510E1D" w:rsidRPr="000B4FAD">
        <w:t xml:space="preserve"> due to the lack of clinical evidence </w:t>
      </w:r>
      <w:r w:rsidR="008D2495" w:rsidRPr="000B4FAD">
        <w:t xml:space="preserve">comparing </w:t>
      </w:r>
      <w:r w:rsidR="00510E1D" w:rsidRPr="000B4FAD">
        <w:t xml:space="preserve">pegunigalsidase alfa </w:t>
      </w:r>
      <w:r w:rsidR="008D2495" w:rsidRPr="000B4FAD">
        <w:t>with</w:t>
      </w:r>
      <w:r w:rsidR="00DE667B" w:rsidRPr="000B4FAD">
        <w:t xml:space="preserve"> agalsidase alfa. The claim against agalsidase alfa was inferred based on BALANCE results and the claim that the PBAC had previously considered agalsidase alfa and agalsidase beta to be non-inferior in terms of efficacy and safety. In November 2009, the PBAC considered there was insufficient evidence to support a finding that there is any clinical difference between </w:t>
      </w:r>
      <w:r w:rsidR="007F59DF" w:rsidRPr="000B4FAD">
        <w:t>agalsidase</w:t>
      </w:r>
      <w:r w:rsidR="00DE667B" w:rsidRPr="000B4FAD">
        <w:t xml:space="preserve"> alfa and </w:t>
      </w:r>
      <w:r w:rsidR="007F59DF" w:rsidRPr="000B4FAD">
        <w:t>agalsidase</w:t>
      </w:r>
      <w:r w:rsidR="00DE667B" w:rsidRPr="000B4FAD">
        <w:t xml:space="preserve"> beta (Section 8, Updated literature review of </w:t>
      </w:r>
      <w:proofErr w:type="spellStart"/>
      <w:r w:rsidR="00DE667B" w:rsidRPr="000B4FAD">
        <w:t>agalsidase</w:t>
      </w:r>
      <w:proofErr w:type="spellEnd"/>
      <w:r w:rsidR="00DE667B" w:rsidRPr="000B4FAD">
        <w:t xml:space="preserve"> alfa (</w:t>
      </w:r>
      <w:proofErr w:type="spellStart"/>
      <w:r w:rsidR="00DE667B" w:rsidRPr="000B4FAD">
        <w:t>Replagal</w:t>
      </w:r>
      <w:proofErr w:type="spellEnd"/>
      <w:r w:rsidR="00DE667B" w:rsidRPr="000B4FAD">
        <w:t xml:space="preserve">®) and </w:t>
      </w:r>
      <w:proofErr w:type="spellStart"/>
      <w:r w:rsidR="00DE667B" w:rsidRPr="000B4FAD">
        <w:t>agalsidase</w:t>
      </w:r>
      <w:proofErr w:type="spellEnd"/>
      <w:r w:rsidR="00DE667B" w:rsidRPr="000B4FAD">
        <w:t xml:space="preserve"> beta (Fabrazyme®) for the treatment of Fabry disease, PSD, November 2009 PBAC meeting).</w:t>
      </w:r>
      <w:bookmarkEnd w:id="63"/>
      <w:r w:rsidR="00DE667B" w:rsidRPr="000B4FAD">
        <w:t xml:space="preserve"> </w:t>
      </w:r>
    </w:p>
    <w:p w14:paraId="3EBADC0C" w14:textId="43FD36B3" w:rsidR="00987118" w:rsidRPr="000B4FAD" w:rsidRDefault="00987118" w:rsidP="00310FDC">
      <w:pPr>
        <w:pStyle w:val="ListParagraph"/>
        <w:ind w:left="1080"/>
        <w:jc w:val="both"/>
      </w:pPr>
      <w:r w:rsidRPr="000B4FAD">
        <w:t>Overall, the results from BALANCE at 24 months met the pre-specified non-inferiority margin for annualised change in eGFR slope. While there are some concerns about the validity of the non-inferiority margin, the primary and secondary efficacy outcomes indicate similar findings between pegunigalsidase alfa and agalsidase beta, except for urine lyso-Gb3 and FCE results, which favour agalsidase beta, and MSSI results which favour pegunigalsidase alfa.</w:t>
      </w:r>
    </w:p>
    <w:p w14:paraId="219891C0" w14:textId="36E8171D" w:rsidR="00987118" w:rsidRPr="000B4FAD" w:rsidRDefault="00987118" w:rsidP="00310FDC">
      <w:pPr>
        <w:pStyle w:val="ListParagraph"/>
        <w:ind w:left="1080"/>
        <w:jc w:val="both"/>
      </w:pPr>
      <w:r w:rsidRPr="000B4FAD">
        <w:t xml:space="preserve">While the supporting trials BRIDGE, BRIGHT, PB-102-F01, PB-102-F02 and </w:t>
      </w:r>
      <w:r w:rsidR="00723D2C">
        <w:br/>
      </w:r>
      <w:r w:rsidRPr="000B4FAD">
        <w:t>PB-102-F03 are single arm studies with small sample size</w:t>
      </w:r>
      <w:r w:rsidR="00EB0457" w:rsidRPr="000B4FAD">
        <w:t>s</w:t>
      </w:r>
      <w:r w:rsidRPr="000B4FAD">
        <w:t xml:space="preserve">, the results suggest that treatment-experienced and treatment-naïve patients receiving pegunigalsidase alfa either remained stable or </w:t>
      </w:r>
      <w:r w:rsidR="008341B1" w:rsidRPr="000B4FAD">
        <w:t xml:space="preserve">had </w:t>
      </w:r>
      <w:r w:rsidRPr="000B4FAD">
        <w:t>improved their kidney function (annualised eGFR slope), cardiac function (LVMI), biomarkers of FD including plasma lyso-Gb3, urine lyso-Gb3, plasma Gb3 and kidney Gb3 concentrations, symptoms of FD and QoL. These results support BALANCE findings.</w:t>
      </w:r>
    </w:p>
    <w:p w14:paraId="751C40F9" w14:textId="6AF9A579" w:rsidR="00987118" w:rsidRPr="000B4FAD" w:rsidRDefault="00987118" w:rsidP="00310FDC">
      <w:pPr>
        <w:pStyle w:val="ListParagraph"/>
        <w:ind w:left="1080"/>
        <w:jc w:val="both"/>
      </w:pPr>
      <w:r w:rsidRPr="000B4FAD">
        <w:t>The safety profile of pegunigalsidase alfa is similar to agalsidase beta with most frequently reported AEs being described in the draft PI. Although the submission claimed that pegunigalsidase alfa has reduced risk of immunogenicity, the risk of developing treatment-induced ADAs still exists and is reflected in the draft PI for pegunigalsidase alfa</w:t>
      </w:r>
      <w:r w:rsidR="003D2760" w:rsidRPr="000B4FAD">
        <w:t>.</w:t>
      </w:r>
    </w:p>
    <w:p w14:paraId="57F58292" w14:textId="247D75BA" w:rsidR="00987118" w:rsidRPr="000B4FAD" w:rsidRDefault="00987118" w:rsidP="00310FDC">
      <w:pPr>
        <w:pStyle w:val="ListParagraph"/>
        <w:ind w:left="1080"/>
        <w:jc w:val="both"/>
      </w:pPr>
      <w:r w:rsidRPr="000B4FAD">
        <w:t xml:space="preserve">The safety data from the supporting studies BRIDGE and BRIGHT are generally consistent with the safety profile demonstrated </w:t>
      </w:r>
      <w:r w:rsidR="006676C6" w:rsidRPr="000B4FAD">
        <w:t>with</w:t>
      </w:r>
      <w:r w:rsidRPr="000B4FAD">
        <w:t xml:space="preserve"> pegunigalsidase alfa in BALANCE, showing similar proportions of TEAEs and IRRs that were mild/moderate and resolved during the study, and a decreasing trend in the use of premedication overtime.</w:t>
      </w:r>
    </w:p>
    <w:p w14:paraId="009F0D75" w14:textId="5AF57D99" w:rsidR="00987118" w:rsidRPr="006D37EA" w:rsidRDefault="00987118" w:rsidP="00310FDC">
      <w:pPr>
        <w:pStyle w:val="ListParagraph"/>
        <w:ind w:left="1080"/>
        <w:jc w:val="both"/>
        <w:rPr>
          <w:i/>
          <w:iCs/>
        </w:rPr>
      </w:pPr>
      <w:r w:rsidRPr="000B4FAD">
        <w:t xml:space="preserve">However, the claim against agalsidase alfa was inferred based on BALANCE results and </w:t>
      </w:r>
      <w:r w:rsidR="00C32D6C" w:rsidRPr="000B4FAD">
        <w:t xml:space="preserve">the claim that the </w:t>
      </w:r>
      <w:r w:rsidRPr="000B4FAD">
        <w:t xml:space="preserve">PBAC </w:t>
      </w:r>
      <w:r w:rsidR="00C32D6C" w:rsidRPr="000B4FAD">
        <w:t>had previously</w:t>
      </w:r>
      <w:r w:rsidRPr="000B4FAD">
        <w:t xml:space="preserve"> </w:t>
      </w:r>
      <w:r w:rsidR="00CD1DC6" w:rsidRPr="000B4FAD">
        <w:t xml:space="preserve">considered </w:t>
      </w:r>
      <w:r w:rsidRPr="000B4FAD">
        <w:t>agalsidase alfa and</w:t>
      </w:r>
      <w:r w:rsidRPr="006D37EA">
        <w:rPr>
          <w:i/>
          <w:iCs/>
        </w:rPr>
        <w:t xml:space="preserve"> </w:t>
      </w:r>
      <w:r w:rsidRPr="000B4FAD">
        <w:t>agalsidase beta to be non-inferior in terms of efficacy and safety</w:t>
      </w:r>
      <w:r w:rsidR="00CD1DC6" w:rsidRPr="000B4FAD">
        <w:t xml:space="preserve">. In November 2009, the PBAC considered there was insufficient evidence </w:t>
      </w:r>
      <w:r w:rsidR="00E21DBE" w:rsidRPr="000B4FAD">
        <w:t xml:space="preserve">to support a finding </w:t>
      </w:r>
      <w:r w:rsidR="00E21DBE" w:rsidRPr="000B4FAD">
        <w:lastRenderedPageBreak/>
        <w:t xml:space="preserve">that there is any clinical difference between </w:t>
      </w:r>
      <w:r w:rsidR="007F59DF" w:rsidRPr="000B4FAD">
        <w:t>agalsidase</w:t>
      </w:r>
      <w:r w:rsidR="00E21DBE" w:rsidRPr="000B4FAD">
        <w:t xml:space="preserve"> alfa and </w:t>
      </w:r>
      <w:r w:rsidR="00150883" w:rsidRPr="000B4FAD">
        <w:t>agalsidase</w:t>
      </w:r>
      <w:r w:rsidR="00E21DBE" w:rsidRPr="000B4FAD">
        <w:t xml:space="preserve"> beta</w:t>
      </w:r>
      <w:r w:rsidRPr="000B4FAD">
        <w:t xml:space="preserve"> (</w:t>
      </w:r>
      <w:r w:rsidR="00E21DBE" w:rsidRPr="000B4FAD">
        <w:t xml:space="preserve">Section 8, Updated literature review of </w:t>
      </w:r>
      <w:proofErr w:type="spellStart"/>
      <w:r w:rsidRPr="000B4FAD">
        <w:t>agalsidase</w:t>
      </w:r>
      <w:proofErr w:type="spellEnd"/>
      <w:r w:rsidRPr="000B4FAD">
        <w:t xml:space="preserve"> alfa</w:t>
      </w:r>
      <w:r w:rsidR="00E21DBE" w:rsidRPr="000B4FAD">
        <w:t xml:space="preserve"> (</w:t>
      </w:r>
      <w:proofErr w:type="spellStart"/>
      <w:r w:rsidR="00E21DBE" w:rsidRPr="000B4FAD">
        <w:t>Replagal</w:t>
      </w:r>
      <w:proofErr w:type="spellEnd"/>
      <w:r w:rsidR="000367D4" w:rsidRPr="000B4FAD">
        <w:t>®</w:t>
      </w:r>
      <w:r w:rsidR="00E21DBE" w:rsidRPr="000B4FAD">
        <w:t>)</w:t>
      </w:r>
      <w:r w:rsidRPr="000B4FAD">
        <w:t xml:space="preserve"> and</w:t>
      </w:r>
      <w:r w:rsidR="00E21DBE" w:rsidRPr="000B4FAD">
        <w:t xml:space="preserve"> </w:t>
      </w:r>
      <w:proofErr w:type="spellStart"/>
      <w:r w:rsidR="00E21DBE" w:rsidRPr="000B4FAD">
        <w:t>agals</w:t>
      </w:r>
      <w:r w:rsidR="00447AAF" w:rsidRPr="000B4FAD">
        <w:t>i</w:t>
      </w:r>
      <w:r w:rsidR="00E21DBE" w:rsidRPr="000B4FAD">
        <w:t>dase</w:t>
      </w:r>
      <w:proofErr w:type="spellEnd"/>
      <w:r w:rsidRPr="000B4FAD">
        <w:t xml:space="preserve"> beta</w:t>
      </w:r>
      <w:r w:rsidR="00E21DBE" w:rsidRPr="000B4FAD">
        <w:t xml:space="preserve"> (Fabrazyme</w:t>
      </w:r>
      <w:r w:rsidR="000367D4" w:rsidRPr="000B4FAD">
        <w:t>®</w:t>
      </w:r>
      <w:r w:rsidR="00E21DBE" w:rsidRPr="000B4FAD">
        <w:t>) for the treatment of Fabry disease</w:t>
      </w:r>
      <w:r w:rsidRPr="000B4FAD">
        <w:t>, PSD, November 2009 PBAC meeting). There is no direct evidence comparing pegunigalsidase alfa with agalsidase alfa.</w:t>
      </w:r>
    </w:p>
    <w:p w14:paraId="70D402FD" w14:textId="05CFFCD7" w:rsidR="00987118" w:rsidRDefault="00987118" w:rsidP="009D09F4">
      <w:pPr>
        <w:pStyle w:val="3-BodyText"/>
      </w:pPr>
      <w:bookmarkStart w:id="65" w:name="_Ref195513129"/>
      <w:bookmarkStart w:id="66" w:name="_Ref195629892"/>
      <w:r w:rsidRPr="007A7439">
        <w:t xml:space="preserve">The submission described pegunigalsidase alfa as at least non-inferior in terms of effectiveness with </w:t>
      </w:r>
      <w:r w:rsidR="009065A8">
        <w:t xml:space="preserve">a </w:t>
      </w:r>
      <w:r w:rsidRPr="007A7439">
        <w:t>similar safety profile to migalastat.</w:t>
      </w:r>
      <w:r>
        <w:t xml:space="preserve"> </w:t>
      </w:r>
      <w:r w:rsidRPr="00086184">
        <w:rPr>
          <w:iCs/>
        </w:rPr>
        <w:t>This claim is uncertain and not adequately supported by the available evidence because:</w:t>
      </w:r>
      <w:bookmarkEnd w:id="65"/>
      <w:bookmarkEnd w:id="66"/>
    </w:p>
    <w:p w14:paraId="10839AAD" w14:textId="77777777" w:rsidR="00987118" w:rsidRDefault="00BCF7DA" w:rsidP="5396A253">
      <w:pPr>
        <w:pStyle w:val="ListParagraph"/>
        <w:ind w:left="1080"/>
        <w:jc w:val="both"/>
        <w:rPr>
          <w:i/>
          <w:iCs/>
        </w:rPr>
      </w:pPr>
      <w:r>
        <w:t>There is no direct evidence comparing pegunigalsidase alfa with migalastat and the submission did not present an ITC or robust evidence to support this claim. The differences between the BALANCE and ATTRACT studies in study design, baseline characteristics and follow up times raised concerns regarding the assumption of transitivity, limiting the potential for a robust and reliable ITC</w:t>
      </w:r>
      <w:r w:rsidRPr="5396A253">
        <w:rPr>
          <w:i/>
          <w:iCs/>
        </w:rPr>
        <w:t xml:space="preserve">. </w:t>
      </w:r>
    </w:p>
    <w:p w14:paraId="552EB0CA" w14:textId="18B46133" w:rsidR="000C7306" w:rsidRPr="00A344C1" w:rsidRDefault="4EC3FB80" w:rsidP="5396A253">
      <w:pPr>
        <w:pStyle w:val="3-BodyText"/>
      </w:pPr>
      <w:r w:rsidRPr="00A344C1">
        <w:t xml:space="preserve">The PSCR </w:t>
      </w:r>
      <w:r w:rsidR="00B50C86">
        <w:t xml:space="preserve">and pre-PBAC response </w:t>
      </w:r>
      <w:r w:rsidR="3C6F35CD" w:rsidRPr="00A344C1">
        <w:t>ackno</w:t>
      </w:r>
      <w:r w:rsidR="48DF0883" w:rsidRPr="00A344C1">
        <w:t>wledged differences in trial populations, follow-up time, and limited covariate data acr</w:t>
      </w:r>
      <w:r w:rsidR="71E39312" w:rsidRPr="00A344C1">
        <w:t xml:space="preserve">oss the BALANCE and ATTRACT trials could make ITC comparing pegunigalsidase alfa with migalastat </w:t>
      </w:r>
      <w:r w:rsidR="00B92E29" w:rsidRPr="00A344C1">
        <w:t>misleading and</w:t>
      </w:r>
      <w:r w:rsidR="665C8771" w:rsidRPr="00A344C1">
        <w:t xml:space="preserve"> stated that a clinical claim for </w:t>
      </w:r>
      <w:r w:rsidR="30EAD6EA" w:rsidRPr="00A344C1">
        <w:t>pegunigalsidase alfa versus migalastat is problematic</w:t>
      </w:r>
      <w:r w:rsidR="506D2C71" w:rsidRPr="00A344C1">
        <w:t xml:space="preserve">. The PSCR stated that issues with undertaking a valid ITC between </w:t>
      </w:r>
      <w:r w:rsidR="17B148E0" w:rsidRPr="00A344C1">
        <w:t>migalastat and ERT were also recognised by the PBAC at its March 2017 consideration of migalastat</w:t>
      </w:r>
      <w:r w:rsidR="34224388" w:rsidRPr="00A344C1">
        <w:t>. They additionally</w:t>
      </w:r>
      <w:r w:rsidR="5C045356" w:rsidRPr="00A344C1">
        <w:t xml:space="preserve"> </w:t>
      </w:r>
      <w:r w:rsidR="6E9A0676" w:rsidRPr="00A344C1">
        <w:t xml:space="preserve">noted </w:t>
      </w:r>
      <w:r w:rsidR="5C045356" w:rsidRPr="00A344C1">
        <w:t xml:space="preserve">the PBAC’s </w:t>
      </w:r>
      <w:r w:rsidR="1A08735C" w:rsidRPr="00A344C1">
        <w:t>c</w:t>
      </w:r>
      <w:r w:rsidR="5024DDA5" w:rsidRPr="00A344C1">
        <w:t xml:space="preserve">onsideration </w:t>
      </w:r>
      <w:r w:rsidR="17B7AA0B" w:rsidRPr="00A344C1">
        <w:t xml:space="preserve">of migalastat at its March 2024 meeting </w:t>
      </w:r>
      <w:r w:rsidR="7C4F5DE9" w:rsidRPr="00A344C1">
        <w:t xml:space="preserve">and </w:t>
      </w:r>
      <w:r w:rsidR="26661EF9" w:rsidRPr="00A344C1">
        <w:t xml:space="preserve">that </w:t>
      </w:r>
      <w:r w:rsidR="156E2041" w:rsidRPr="00A344C1">
        <w:t xml:space="preserve">the claim that </w:t>
      </w:r>
      <w:r w:rsidR="2F504B94" w:rsidRPr="00A344C1">
        <w:t>migalastat ha</w:t>
      </w:r>
      <w:r w:rsidR="076A8104" w:rsidRPr="00A344C1">
        <w:t>d</w:t>
      </w:r>
      <w:r w:rsidR="2F504B94" w:rsidRPr="00A344C1">
        <w:t xml:space="preserve"> non-inferior effectiveness compared to ERT </w:t>
      </w:r>
      <w:r w:rsidR="076A8104" w:rsidRPr="00A344C1">
        <w:t>was</w:t>
      </w:r>
      <w:r w:rsidR="2F504B94" w:rsidRPr="00A344C1">
        <w:t xml:space="preserve"> </w:t>
      </w:r>
      <w:r w:rsidR="4BB172A7" w:rsidRPr="00A344C1">
        <w:t xml:space="preserve">considered </w:t>
      </w:r>
      <w:r w:rsidR="2F504B94" w:rsidRPr="00A344C1">
        <w:t>uncertain</w:t>
      </w:r>
      <w:r w:rsidR="7B6BD4C4" w:rsidRPr="00A344C1">
        <w:t>. The PCSR claimed that this</w:t>
      </w:r>
      <w:r w:rsidR="1BC7AA19" w:rsidRPr="00A344C1">
        <w:t xml:space="preserve"> suggests that migalastat may have lower efficacy than ERTs on the LSDP.</w:t>
      </w:r>
    </w:p>
    <w:p w14:paraId="3A209611" w14:textId="662E5F80" w:rsidR="006520DF" w:rsidRPr="00A344C1" w:rsidRDefault="547806F1" w:rsidP="5396A253">
      <w:pPr>
        <w:pStyle w:val="3-BodyText"/>
      </w:pPr>
      <w:r w:rsidRPr="00A344C1">
        <w:t xml:space="preserve">The ESC </w:t>
      </w:r>
      <w:r w:rsidR="6BE95435" w:rsidRPr="00A344C1">
        <w:t xml:space="preserve">noted the </w:t>
      </w:r>
      <w:r w:rsidR="00BF161F" w:rsidRPr="00A344C1">
        <w:t>side</w:t>
      </w:r>
      <w:r w:rsidR="00BF161F">
        <w:t>-</w:t>
      </w:r>
      <w:r w:rsidR="00BF161F" w:rsidRPr="00A344C1">
        <w:t>by</w:t>
      </w:r>
      <w:r w:rsidR="00BF161F">
        <w:t>-</w:t>
      </w:r>
      <w:r w:rsidR="6BE95435" w:rsidRPr="00A344C1">
        <w:t xml:space="preserve">side </w:t>
      </w:r>
      <w:r w:rsidR="0AB3BD52" w:rsidRPr="00A344C1">
        <w:t>comparison of</w:t>
      </w:r>
      <w:r w:rsidR="0DEC9917" w:rsidRPr="00A344C1">
        <w:t xml:space="preserve"> BALANCE and ATTRACT trials. The ESC agreed that</w:t>
      </w:r>
      <w:r w:rsidRPr="00A344C1">
        <w:t xml:space="preserve"> it</w:t>
      </w:r>
      <w:r w:rsidR="174AB408" w:rsidRPr="00A344C1">
        <w:t xml:space="preserve"> was</w:t>
      </w:r>
      <w:r w:rsidRPr="00A344C1">
        <w:t xml:space="preserve"> reasonable for the submission not </w:t>
      </w:r>
      <w:r w:rsidR="3986CC3F" w:rsidRPr="00A344C1">
        <w:t xml:space="preserve">to </w:t>
      </w:r>
      <w:r w:rsidRPr="00A344C1">
        <w:t xml:space="preserve">present an </w:t>
      </w:r>
      <w:r w:rsidR="3986CC3F" w:rsidRPr="00A344C1">
        <w:t>ITC betwe</w:t>
      </w:r>
      <w:r w:rsidRPr="00A344C1">
        <w:t xml:space="preserve">en pegunigalsidase alfa and migalastat given the transitivity issues identified. </w:t>
      </w:r>
    </w:p>
    <w:p w14:paraId="41EE539D" w14:textId="04CADBA0" w:rsidR="006520DF" w:rsidRDefault="000C054A" w:rsidP="00D221FF">
      <w:pPr>
        <w:pStyle w:val="3-BodyText"/>
      </w:pPr>
      <w:r w:rsidRPr="00A344C1">
        <w:t xml:space="preserve">The ESC noted </w:t>
      </w:r>
      <w:r w:rsidR="00A83BED" w:rsidRPr="00A344C1">
        <w:t xml:space="preserve">there is no direct evidence comparing </w:t>
      </w:r>
      <w:r w:rsidR="00B27B7C" w:rsidRPr="00A344C1">
        <w:t xml:space="preserve">pegunigalsidase alfa with </w:t>
      </w:r>
      <w:r w:rsidR="00B06EE7" w:rsidRPr="00A344C1">
        <w:t>migalastat, and that for this reason the claim against migalastat remains uncertain</w:t>
      </w:r>
      <w:r w:rsidR="00881BDE" w:rsidRPr="00A344C1">
        <w:t xml:space="preserve">. </w:t>
      </w:r>
      <w:r w:rsidR="23E85AE5" w:rsidRPr="00A344C1">
        <w:t>The ESC consider</w:t>
      </w:r>
      <w:r w:rsidR="793B6645" w:rsidRPr="00A344C1">
        <w:t>ed</w:t>
      </w:r>
      <w:r w:rsidR="23E85AE5" w:rsidRPr="00A344C1">
        <w:t xml:space="preserve"> that </w:t>
      </w:r>
      <w:r w:rsidR="793B6645" w:rsidRPr="00A344C1">
        <w:t>o</w:t>
      </w:r>
      <w:r w:rsidR="23E85AE5" w:rsidRPr="00A344C1">
        <w:t xml:space="preserve">verall, </w:t>
      </w:r>
      <w:r w:rsidR="006E354A" w:rsidRPr="00A344C1">
        <w:t xml:space="preserve">while </w:t>
      </w:r>
      <w:r w:rsidR="23E85AE5" w:rsidRPr="00A344C1">
        <w:t xml:space="preserve">the clinical claim </w:t>
      </w:r>
      <w:r w:rsidR="60BAB2B1" w:rsidRPr="00A344C1">
        <w:t>for peguni</w:t>
      </w:r>
      <w:r w:rsidR="3902C36B" w:rsidRPr="00A344C1">
        <w:t>galsidase</w:t>
      </w:r>
      <w:r w:rsidR="60BAB2B1" w:rsidRPr="00A344C1">
        <w:t xml:space="preserve"> alfa </w:t>
      </w:r>
      <w:r w:rsidR="23E85AE5" w:rsidRPr="00A344C1">
        <w:t xml:space="preserve">against ERTs </w:t>
      </w:r>
      <w:r w:rsidR="006E354A" w:rsidRPr="00A344C1">
        <w:t xml:space="preserve">was </w:t>
      </w:r>
      <w:r w:rsidR="00BA1263" w:rsidRPr="00A344C1">
        <w:t>likely plausible</w:t>
      </w:r>
      <w:r w:rsidR="23E85AE5" w:rsidRPr="00A344C1">
        <w:t xml:space="preserve">, </w:t>
      </w:r>
      <w:r w:rsidR="00BA1263" w:rsidRPr="00A344C1">
        <w:t xml:space="preserve">there was no direct evidence </w:t>
      </w:r>
      <w:r w:rsidR="002E3832" w:rsidRPr="00A344C1">
        <w:t xml:space="preserve">provided </w:t>
      </w:r>
      <w:r w:rsidR="00BA1263" w:rsidRPr="00A344C1">
        <w:t xml:space="preserve">to support </w:t>
      </w:r>
      <w:r w:rsidR="008E49B6" w:rsidRPr="00A344C1">
        <w:t>the claim against agalsidase alfa</w:t>
      </w:r>
      <w:r w:rsidR="00E20ED9" w:rsidRPr="00A344C1">
        <w:t>.</w:t>
      </w:r>
      <w:r w:rsidR="008E49B6" w:rsidRPr="00A344C1" w:rsidDel="00580F58">
        <w:t xml:space="preserve"> </w:t>
      </w:r>
    </w:p>
    <w:p w14:paraId="6743C7C1" w14:textId="51E05FBC" w:rsidR="00211F6C" w:rsidRDefault="00211F6C" w:rsidP="00D221FF">
      <w:pPr>
        <w:pStyle w:val="3-BodyText"/>
      </w:pPr>
      <w:r>
        <w:t xml:space="preserve">The pre-PBAC response claimed that </w:t>
      </w:r>
      <w:r w:rsidR="000B6757">
        <w:t>pegunigalsidase alfa offered comparable efficacy to the two other ERTs available, and may offer comparable or superior efficacy compared to migalastat.</w:t>
      </w:r>
    </w:p>
    <w:p w14:paraId="6A9F5DA9" w14:textId="6D18D9D8" w:rsidR="00EA7305" w:rsidRPr="00CE42B4" w:rsidRDefault="00EA7305" w:rsidP="00EA7305">
      <w:pPr>
        <w:pStyle w:val="3-BodyText"/>
        <w:rPr>
          <w:snapToGrid w:val="0"/>
        </w:rPr>
      </w:pPr>
      <w:bookmarkStart w:id="67" w:name="_Hlk76376200"/>
      <w:r w:rsidRPr="00CE42B4">
        <w:rPr>
          <w:iCs/>
          <w:snapToGrid w:val="0"/>
        </w:rPr>
        <w:t>The</w:t>
      </w:r>
      <w:r w:rsidRPr="00CE42B4">
        <w:rPr>
          <w:snapToGrid w:val="0"/>
        </w:rPr>
        <w:t xml:space="preserve"> PBAC considered that the claim of non-inferior comparative effectiveness</w:t>
      </w:r>
      <w:r w:rsidR="001D2FF0">
        <w:rPr>
          <w:snapToGrid w:val="0"/>
        </w:rPr>
        <w:t xml:space="preserve"> compared to </w:t>
      </w:r>
      <w:r w:rsidR="0026194E">
        <w:rPr>
          <w:snapToGrid w:val="0"/>
        </w:rPr>
        <w:t>agalsidase beta</w:t>
      </w:r>
      <w:r w:rsidR="0019180E">
        <w:rPr>
          <w:snapToGrid w:val="0"/>
        </w:rPr>
        <w:t xml:space="preserve"> </w:t>
      </w:r>
      <w:r w:rsidRPr="00CE42B4">
        <w:rPr>
          <w:snapToGrid w:val="0"/>
        </w:rPr>
        <w:t>was reasonable</w:t>
      </w:r>
      <w:r w:rsidR="0026194E">
        <w:rPr>
          <w:snapToGrid w:val="0"/>
        </w:rPr>
        <w:t xml:space="preserve">. </w:t>
      </w:r>
      <w:r w:rsidR="00A66DDF">
        <w:rPr>
          <w:snapToGrid w:val="0"/>
        </w:rPr>
        <w:t xml:space="preserve">The PBAC considered the claim of non-inferior comparative effectiveness compared to agalsidase alfa was </w:t>
      </w:r>
      <w:r w:rsidR="00C46E6C">
        <w:rPr>
          <w:snapToGrid w:val="0"/>
        </w:rPr>
        <w:t>likely reasonable, however no direct evidence was provided to support this claim.</w:t>
      </w:r>
      <w:r w:rsidR="00A66DDF">
        <w:rPr>
          <w:snapToGrid w:val="0"/>
        </w:rPr>
        <w:t xml:space="preserve"> </w:t>
      </w:r>
      <w:r w:rsidR="0026194E">
        <w:rPr>
          <w:snapToGrid w:val="0"/>
        </w:rPr>
        <w:t xml:space="preserve">The PBAC considered that the claim of non-inferior comparative effectiveness compared to migalastat was </w:t>
      </w:r>
      <w:r w:rsidR="000011BA">
        <w:rPr>
          <w:snapToGrid w:val="0"/>
        </w:rPr>
        <w:t>supported by the data, with a high level of uncertainty</w:t>
      </w:r>
      <w:r w:rsidRPr="00CE42B4">
        <w:rPr>
          <w:snapToGrid w:val="0"/>
        </w:rPr>
        <w:t>.</w:t>
      </w:r>
    </w:p>
    <w:p w14:paraId="54BC78F9" w14:textId="101FB8D6" w:rsidR="00EA7305" w:rsidRPr="00EA7305" w:rsidRDefault="00EA7305" w:rsidP="00EA7305">
      <w:pPr>
        <w:pStyle w:val="3-BodyText"/>
        <w:rPr>
          <w:snapToGrid w:val="0"/>
        </w:rPr>
      </w:pPr>
      <w:r w:rsidRPr="00CE42B4">
        <w:rPr>
          <w:snapToGrid w:val="0"/>
        </w:rPr>
        <w:lastRenderedPageBreak/>
        <w:t>The PBAC considered that the claim of non-inferior comparative safety was reasonable.</w:t>
      </w:r>
      <w:bookmarkEnd w:id="67"/>
    </w:p>
    <w:p w14:paraId="74A1172E" w14:textId="128C170E" w:rsidR="00B60939" w:rsidRPr="0098262F" w:rsidRDefault="00B60939" w:rsidP="009D09F4">
      <w:pPr>
        <w:pStyle w:val="4-SubsectionHeading"/>
        <w:keepNext w:val="0"/>
      </w:pPr>
      <w:bookmarkStart w:id="68" w:name="_Toc198734228"/>
      <w:r w:rsidRPr="0098262F">
        <w:t>Economic analysis</w:t>
      </w:r>
      <w:bookmarkEnd w:id="64"/>
      <w:r w:rsidR="00491B3A" w:rsidRPr="0098262F">
        <w:t xml:space="preserve"> </w:t>
      </w:r>
      <w:bookmarkEnd w:id="68"/>
    </w:p>
    <w:p w14:paraId="3F0DB529" w14:textId="28065B97" w:rsidR="00F77CDC" w:rsidRPr="009445BA" w:rsidRDefault="00F77CDC" w:rsidP="009D09F4">
      <w:pPr>
        <w:pStyle w:val="3-BodyText"/>
      </w:pPr>
      <w:r>
        <w:t xml:space="preserve">The submission did not present a cost-minimisation approach to the proposed main comparators (ERT, agalsidase alfa and agalsidase beta) claiming that both these medications are currently listed on the LSDP and have not demonstrated cost-effectiveness for PBAC consideration. </w:t>
      </w:r>
      <w:r w:rsidRPr="009445BA">
        <w:t xml:space="preserve">The prices of agalsidase alfa and agalsidase beta on the LSDP were not known to the sponsor. </w:t>
      </w:r>
    </w:p>
    <w:p w14:paraId="1B7060C5" w14:textId="66FDFEC3" w:rsidR="00791E3B" w:rsidRPr="00A344C1" w:rsidRDefault="62853CE0" w:rsidP="009D09F4">
      <w:pPr>
        <w:pStyle w:val="3-BodyText"/>
        <w:rPr>
          <w:b/>
          <w:bCs/>
          <w:color w:val="0066FF"/>
        </w:rPr>
      </w:pPr>
      <w:bookmarkStart w:id="69" w:name="_Ref195630537"/>
      <w:bookmarkStart w:id="70" w:name="_Ref195177890"/>
      <w:r>
        <w:t xml:space="preserve">The submission instead presented a cost-minimisation approach against migalastat with a proposal seeking a </w:t>
      </w:r>
      <w:r w:rsidR="0067772E" w:rsidRPr="00F3513A">
        <w:rPr>
          <w:color w:val="000000"/>
          <w:w w:val="15"/>
          <w:shd w:val="solid" w:color="000000" w:fill="000000"/>
          <w:fitText w:val="-20" w:id="-628909563"/>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63"/>
          <w14:textFill>
            <w14:solidFill>
              <w14:srgbClr w14:val="000000">
                <w14:alpha w14:val="100000"/>
              </w14:srgbClr>
            </w14:solidFill>
          </w14:textFill>
        </w:rPr>
        <w:t>|</w:t>
      </w:r>
      <w:r>
        <w:t>% price premium over migalastat</w:t>
      </w:r>
      <w:r w:rsidR="62E80C45">
        <w:t>.</w:t>
      </w:r>
      <w:r w:rsidR="0CB4F089">
        <w:t xml:space="preserve"> The submission</w:t>
      </w:r>
      <w:r>
        <w:t xml:space="preserve"> </w:t>
      </w:r>
      <w:r w:rsidR="02BA59DC">
        <w:t>claimed</w:t>
      </w:r>
      <w:r>
        <w:t xml:space="preserve"> this was based on the PBAC’s consideration that</w:t>
      </w:r>
      <w:r w:rsidR="02BA59DC">
        <w:t xml:space="preserve"> the</w:t>
      </w:r>
      <w:r>
        <w:t xml:space="preserve"> migalastat efficacy claim of non-inferior efficacy against ERT was not well supported</w:t>
      </w:r>
      <w:r w:rsidR="02199536">
        <w:t>,</w:t>
      </w:r>
      <w:r>
        <w:t xml:space="preserve"> and this was reflected in the history of FD pricing</w:t>
      </w:r>
      <w:r w:rsidR="6583B88D">
        <w:t>,</w:t>
      </w:r>
      <w:r>
        <w:t xml:space="preserve"> with migalastat initially being listed on the LSDP at a lower (but unknown) price than agalsidase alfa and agalsidase beta. It would be more usual for a price premium to be supported by a superiority claim and accompanied by a full cost-effectiveness evaluation. The claim of non-inferior efficacy and safety for pegunigalsidase alfa compared to migalastat is uncertain and not adequately supported by the evidence presented (see para</w:t>
      </w:r>
      <w:r w:rsidR="75A58F36">
        <w:t>graph</w:t>
      </w:r>
      <w:r>
        <w:t xml:space="preserve"> </w:t>
      </w:r>
      <w:r w:rsidR="00F77CDC">
        <w:fldChar w:fldCharType="begin" w:fldLock="1"/>
      </w:r>
      <w:r w:rsidR="00F77CDC">
        <w:instrText xml:space="preserve"> REF _Ref195513129 \r \h  \* MERGEFORMAT </w:instrText>
      </w:r>
      <w:r w:rsidR="00F77CDC">
        <w:fldChar w:fldCharType="separate"/>
      </w:r>
      <w:r w:rsidR="00881387">
        <w:t>6.58</w:t>
      </w:r>
      <w:r w:rsidR="00F77CDC">
        <w:fldChar w:fldCharType="end"/>
      </w:r>
      <w:r>
        <w:t>). The absence of evidence for non-inferiority between migalastat and ERT does not constitute evidence of superiority, which would require robust clinical data to substantiate.</w:t>
      </w:r>
      <w:bookmarkEnd w:id="69"/>
      <w:r w:rsidR="5F879B16">
        <w:t xml:space="preserve"> </w:t>
      </w:r>
      <w:r w:rsidR="7F326EDA" w:rsidRPr="00A344C1">
        <w:t xml:space="preserve">The ESC </w:t>
      </w:r>
      <w:r w:rsidR="56BC52EE" w:rsidRPr="00A344C1">
        <w:t>noted that a lack of evidence demonstrat</w:t>
      </w:r>
      <w:r w:rsidR="18E2610E" w:rsidRPr="00A344C1">
        <w:t xml:space="preserve">ing that migalastat is non-inferior to ERT does not </w:t>
      </w:r>
      <w:r w:rsidR="425B07A3" w:rsidRPr="00A344C1">
        <w:t xml:space="preserve">mean ERTs have superior efficacy to </w:t>
      </w:r>
      <w:r w:rsidR="00B92E29" w:rsidRPr="00A344C1">
        <w:t>migalastat and</w:t>
      </w:r>
      <w:r w:rsidR="425B07A3" w:rsidRPr="00A344C1">
        <w:t xml:space="preserve"> considered there was no basis to support a price premium for pegunigalsidase alfa </w:t>
      </w:r>
      <w:r w:rsidR="79CA0E03" w:rsidRPr="00A344C1">
        <w:t>over migalastat.</w:t>
      </w:r>
    </w:p>
    <w:p w14:paraId="73B3BAC3" w14:textId="39B6460F" w:rsidR="00D42B39" w:rsidRPr="00A344C1" w:rsidRDefault="4805C6F5" w:rsidP="5396A253">
      <w:pPr>
        <w:pStyle w:val="3-BodyText"/>
        <w:rPr>
          <w:b/>
          <w:bCs/>
          <w:color w:val="0066FF"/>
        </w:rPr>
      </w:pPr>
      <w:r w:rsidRPr="00A344C1">
        <w:t xml:space="preserve">The PSCR claimed that the requested </w:t>
      </w:r>
      <w:r w:rsidR="0067772E" w:rsidRPr="0067772E">
        <w:rPr>
          <w:color w:val="000000"/>
          <w:w w:val="60"/>
          <w:shd w:val="solid" w:color="000000" w:fill="000000"/>
          <w:fitText w:val="469" w:id="-628909562"/>
          <w14:textFill>
            <w14:solidFill>
              <w14:srgbClr w14:val="000000">
                <w14:alpha w14:val="100000"/>
              </w14:srgbClr>
            </w14:solidFill>
          </w14:textFill>
        </w:rPr>
        <w:t>|||  ||</w:t>
      </w:r>
      <w:r w:rsidR="0067772E" w:rsidRPr="0067772E">
        <w:rPr>
          <w:color w:val="000000"/>
          <w:spacing w:val="5"/>
          <w:w w:val="60"/>
          <w:shd w:val="solid" w:color="000000" w:fill="000000"/>
          <w:fitText w:val="469" w:id="-628909562"/>
          <w14:textFill>
            <w14:solidFill>
              <w14:srgbClr w14:val="000000">
                <w14:alpha w14:val="100000"/>
              </w14:srgbClr>
            </w14:solidFill>
          </w14:textFill>
        </w:rPr>
        <w:t>|</w:t>
      </w:r>
      <w:r w:rsidRPr="00A344C1">
        <w:t xml:space="preserve">% price premium over the </w:t>
      </w:r>
      <w:r w:rsidR="1D4F9688" w:rsidRPr="00A344C1">
        <w:t xml:space="preserve">estimated annual cost of migalastat accounted </w:t>
      </w:r>
      <w:r w:rsidR="0FC13B91" w:rsidRPr="00A344C1">
        <w:t xml:space="preserve">for the </w:t>
      </w:r>
      <w:r w:rsidR="770497F3" w:rsidRPr="00A344C1">
        <w:t xml:space="preserve">PBAC’s previous consideration </w:t>
      </w:r>
      <w:r w:rsidR="59D3B4C7" w:rsidRPr="00A344C1">
        <w:t xml:space="preserve">that migalastat has not shown </w:t>
      </w:r>
      <w:r w:rsidR="04E38BC1" w:rsidRPr="00A344C1">
        <w:t xml:space="preserve">non-inferior efficacy </w:t>
      </w:r>
      <w:r w:rsidR="770497F3" w:rsidRPr="00A344C1">
        <w:t>compared to ERTs, and the recommended price</w:t>
      </w:r>
      <w:r w:rsidR="008E0D4E" w:rsidRPr="00A344C1">
        <w:t xml:space="preserve"> in</w:t>
      </w:r>
      <w:r w:rsidR="770497F3" w:rsidRPr="00A344C1">
        <w:t xml:space="preserve"> </w:t>
      </w:r>
      <w:r w:rsidR="1D739A15" w:rsidRPr="00A344C1">
        <w:t>relat</w:t>
      </w:r>
      <w:r w:rsidR="008E0D4E" w:rsidRPr="00A344C1">
        <w:t>ion</w:t>
      </w:r>
      <w:r w:rsidR="1D739A15" w:rsidRPr="00A344C1">
        <w:t xml:space="preserve"> to ERTs. The PSCR further </w:t>
      </w:r>
      <w:r w:rsidR="0046037F">
        <w:t>claimed</w:t>
      </w:r>
      <w:r w:rsidR="1D739A15" w:rsidRPr="00A344C1">
        <w:t xml:space="preserve"> that pegunigalsidase alfa with the </w:t>
      </w:r>
      <w:r w:rsidR="0067772E" w:rsidRPr="00F3513A">
        <w:rPr>
          <w:color w:val="000000"/>
          <w:w w:val="15"/>
          <w:shd w:val="solid" w:color="000000" w:fill="000000"/>
          <w:fitText w:val="-20" w:id="-628909561"/>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61"/>
          <w14:textFill>
            <w14:solidFill>
              <w14:srgbClr w14:val="000000">
                <w14:alpha w14:val="100000"/>
              </w14:srgbClr>
            </w14:solidFill>
          </w14:textFill>
        </w:rPr>
        <w:t>|</w:t>
      </w:r>
      <w:r w:rsidR="1D739A15" w:rsidRPr="00A344C1">
        <w:t xml:space="preserve">% price premium would </w:t>
      </w:r>
      <w:r w:rsidR="59D3B4C7" w:rsidRPr="00A344C1">
        <w:t>still be a lower price than that of ERTs currently</w:t>
      </w:r>
      <w:r w:rsidR="04E38BC1" w:rsidRPr="00A344C1">
        <w:t xml:space="preserve"> on</w:t>
      </w:r>
      <w:r w:rsidR="59D3B4C7" w:rsidRPr="00A344C1">
        <w:t xml:space="preserve"> the LSDP</w:t>
      </w:r>
      <w:r w:rsidR="04E38BC1" w:rsidRPr="00A344C1">
        <w:t>.</w:t>
      </w:r>
    </w:p>
    <w:p w14:paraId="0BEBB865" w14:textId="49A723A6" w:rsidR="00F77CDC" w:rsidRPr="00891CC6" w:rsidRDefault="5F879B16" w:rsidP="009D09F4">
      <w:pPr>
        <w:pStyle w:val="3-BodyText"/>
        <w:rPr>
          <w:b/>
          <w:bCs/>
          <w:color w:val="0066FF"/>
        </w:rPr>
      </w:pPr>
      <w:r w:rsidRPr="00A344C1">
        <w:t xml:space="preserve">The ESC did not support </w:t>
      </w:r>
      <w:r w:rsidR="007250C3" w:rsidRPr="00A344C1">
        <w:t xml:space="preserve">this proposed </w:t>
      </w:r>
      <w:r w:rsidRPr="00A344C1">
        <w:t xml:space="preserve">justification of a </w:t>
      </w:r>
      <w:r w:rsidR="0067772E" w:rsidRPr="0067772E">
        <w:rPr>
          <w:color w:val="000000"/>
          <w:w w:val="60"/>
          <w:shd w:val="solid" w:color="000000" w:fill="000000"/>
          <w:fitText w:val="468" w:id="-628909560"/>
          <w14:textFill>
            <w14:solidFill>
              <w14:srgbClr w14:val="000000">
                <w14:alpha w14:val="100000"/>
              </w14:srgbClr>
            </w14:solidFill>
          </w14:textFill>
        </w:rPr>
        <w:t>|||  ||</w:t>
      </w:r>
      <w:r w:rsidR="0067772E" w:rsidRPr="0067772E">
        <w:rPr>
          <w:color w:val="000000"/>
          <w:spacing w:val="4"/>
          <w:w w:val="60"/>
          <w:shd w:val="solid" w:color="000000" w:fill="000000"/>
          <w:fitText w:val="468" w:id="-628909560"/>
          <w14:textFill>
            <w14:solidFill>
              <w14:srgbClr w14:val="000000">
                <w14:alpha w14:val="100000"/>
              </w14:srgbClr>
            </w14:solidFill>
          </w14:textFill>
        </w:rPr>
        <w:t>|</w:t>
      </w:r>
      <w:r w:rsidRPr="00A344C1">
        <w:t>% price premium over migalastat based on the pricing of migalastat on the LSDP. By definition</w:t>
      </w:r>
      <w:r w:rsidR="007250C3" w:rsidRPr="00A344C1">
        <w:t>,</w:t>
      </w:r>
      <w:r w:rsidRPr="00A344C1">
        <w:t xml:space="preserve"> pricing on the LSDP is not cost</w:t>
      </w:r>
      <w:r w:rsidR="053F4D9F" w:rsidRPr="00A344C1">
        <w:t>-</w:t>
      </w:r>
      <w:r w:rsidRPr="00A344C1">
        <w:t xml:space="preserve">effective and hence should not come into consideration when </w:t>
      </w:r>
      <w:r w:rsidR="007250C3" w:rsidRPr="00A344C1">
        <w:t>the PBAC considers a cost-effective price</w:t>
      </w:r>
      <w:r w:rsidRPr="00A344C1">
        <w:t xml:space="preserve">. The effective price of migalastat on the PBS is the price </w:t>
      </w:r>
      <w:r w:rsidR="00CB2FF0" w:rsidRPr="00A344C1">
        <w:t xml:space="preserve">against </w:t>
      </w:r>
      <w:r w:rsidRPr="00A344C1">
        <w:t>which a CMA of pegunigalsidase alfa to migalastat should be</w:t>
      </w:r>
      <w:r w:rsidR="005A23F6" w:rsidRPr="00A344C1">
        <w:t xml:space="preserve"> co</w:t>
      </w:r>
      <w:r w:rsidR="00DE5492" w:rsidRPr="00A344C1">
        <w:t>nducted</w:t>
      </w:r>
      <w:r w:rsidRPr="00A344C1">
        <w:t xml:space="preserve">. </w:t>
      </w:r>
    </w:p>
    <w:p w14:paraId="203AC59A" w14:textId="222BC39F" w:rsidR="00891CC6" w:rsidRPr="00A344C1" w:rsidRDefault="00891CC6" w:rsidP="009D09F4">
      <w:pPr>
        <w:pStyle w:val="3-BodyText"/>
        <w:rPr>
          <w:b/>
          <w:bCs/>
          <w:color w:val="0066FF"/>
        </w:rPr>
      </w:pPr>
      <w:r>
        <w:t>The pre-PBAC response claimed that the PBAC has</w:t>
      </w:r>
      <w:r w:rsidR="003F3F1F">
        <w:t xml:space="preserve"> not</w:t>
      </w:r>
      <w:r>
        <w:t xml:space="preserve"> accepted that migalastat is non-inferior to ERTs in past considerations, and that a formal cost-effectiveness analysis between migalastat and pegunigalsidase alfa is not possible </w:t>
      </w:r>
      <w:r w:rsidR="0038779B">
        <w:t>due to the absence of direct comparison between the two medicines</w:t>
      </w:r>
      <w:r w:rsidR="00772F51">
        <w:t>, and the limitations of indirect comparison.</w:t>
      </w:r>
      <w:r w:rsidR="00451A30">
        <w:t xml:space="preserve"> The pre-PBAC response claimed that the requested </w:t>
      </w:r>
      <w:r w:rsidR="0067772E" w:rsidRPr="00F3513A">
        <w:rPr>
          <w:color w:val="000000"/>
          <w:w w:val="15"/>
          <w:shd w:val="solid" w:color="000000" w:fill="000000"/>
          <w:fitText w:val="-20" w:id="-628909559"/>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9"/>
          <w14:textFill>
            <w14:solidFill>
              <w14:srgbClr w14:val="000000">
                <w14:alpha w14:val="100000"/>
              </w14:srgbClr>
            </w14:solidFill>
          </w14:textFill>
        </w:rPr>
        <w:t>|</w:t>
      </w:r>
      <w:r w:rsidR="00451A30">
        <w:t xml:space="preserve">% premium </w:t>
      </w:r>
      <w:r w:rsidR="00B47237">
        <w:t>was a pragmatic approach, consistent with previous pricing differences between ERTs and migalastat.</w:t>
      </w:r>
    </w:p>
    <w:bookmarkEnd w:id="70"/>
    <w:p w14:paraId="6D0DADA4" w14:textId="7BAB7631" w:rsidR="00F77CDC" w:rsidRPr="00DA358B" w:rsidRDefault="00F77CDC" w:rsidP="009D09F4">
      <w:pPr>
        <w:pStyle w:val="3-BodyText"/>
      </w:pPr>
      <w:r w:rsidRPr="004776A5">
        <w:lastRenderedPageBreak/>
        <w:t xml:space="preserve">The equi-effective </w:t>
      </w:r>
      <w:r>
        <w:t>doses were estimated as 78.9 mg Q2W and migalastat 123</w:t>
      </w:r>
      <w:r w:rsidR="00891CC6">
        <w:t> </w:t>
      </w:r>
      <w:r>
        <w:t xml:space="preserve">mg every other day. </w:t>
      </w:r>
      <w:r w:rsidRPr="00DA358B">
        <w:t xml:space="preserve">As the </w:t>
      </w:r>
      <w:r>
        <w:t xml:space="preserve">recommended </w:t>
      </w:r>
      <w:r w:rsidRPr="00DA358B">
        <w:t xml:space="preserve">dosing of pegunigalsidase alfa is dependent on weight, </w:t>
      </w:r>
      <w:r>
        <w:t xml:space="preserve">the submission applied </w:t>
      </w:r>
      <w:r w:rsidRPr="00DA358B">
        <w:t xml:space="preserve">the mean weight of patients </w:t>
      </w:r>
      <w:r>
        <w:t xml:space="preserve">(78.9 kg) </w:t>
      </w:r>
      <w:r w:rsidRPr="00DA358B">
        <w:t xml:space="preserve">in the BALANCE trial </w:t>
      </w:r>
      <w:r w:rsidR="00E33C01">
        <w:t xml:space="preserve">to </w:t>
      </w:r>
      <w:r w:rsidRPr="00DA358B">
        <w:t>estimate the required dos</w:t>
      </w:r>
      <w:r>
        <w:t xml:space="preserve">e for each administration. </w:t>
      </w:r>
      <w:r w:rsidRPr="00472384">
        <w:t xml:space="preserve">This is reasonable. </w:t>
      </w:r>
      <w:r>
        <w:t xml:space="preserve">The proposed equi-effective doses were based </w:t>
      </w:r>
      <w:r w:rsidRPr="00DC1E06">
        <w:t>on the dosing and frequency of use as per the TGA approved PI for migalastat and draft PI for pegunigalsidase alfa.</w:t>
      </w:r>
    </w:p>
    <w:p w14:paraId="40CB5A33" w14:textId="1F2FB039" w:rsidR="00F77CDC" w:rsidRPr="00A829F8" w:rsidRDefault="00F77CDC" w:rsidP="009D09F4">
      <w:pPr>
        <w:pStyle w:val="3-BodyText"/>
      </w:pPr>
      <w:bookmarkStart w:id="71" w:name="_Ref195696384"/>
      <w:r>
        <w:t>The submission included administration costs associated with the infusion of IV pegunigalsidase alfa and stated that there would be no administrative costs associated with administering migalastat as it is taken orally. To account for the IV infusion costs, the submission applied a cost of $123.05 based on the Medicare Benefits Schedule (</w:t>
      </w:r>
      <w:r w:rsidRPr="00EB2353">
        <w:rPr>
          <w:rFonts w:cs="Calibri"/>
        </w:rPr>
        <w:t>MBS</w:t>
      </w:r>
      <w:r>
        <w:rPr>
          <w:rFonts w:cs="Calibri"/>
        </w:rPr>
        <w:t>)</w:t>
      </w:r>
      <w:r w:rsidRPr="00EB2353">
        <w:rPr>
          <w:rFonts w:cs="Calibri"/>
        </w:rPr>
        <w:t xml:space="preserve"> item code 13950. </w:t>
      </w:r>
      <w:r w:rsidRPr="000B4FAD">
        <w:t xml:space="preserve">The MBS item (13950) applied is not appropriate as this relates to administration of antineoplastic agents. It may be appropriate to apply MBS item 116 ($87.30) as the infusion would likely be overseen by a specialist in the consulting room or hospital. This was tested during the </w:t>
      </w:r>
      <w:r w:rsidR="00E9189F" w:rsidRPr="000B4FAD">
        <w:t>evaluation,</w:t>
      </w:r>
      <w:r w:rsidRPr="000B4FAD">
        <w:t xml:space="preserve"> and it has a minimal impact on the cost-minimisation approach result (&lt;1% difference compared to the base case presented in the submission).</w:t>
      </w:r>
      <w:r w:rsidRPr="00A829F8">
        <w:rPr>
          <w:i/>
          <w:iCs/>
        </w:rPr>
        <w:t xml:space="preserve"> </w:t>
      </w:r>
    </w:p>
    <w:bookmarkEnd w:id="71"/>
    <w:p w14:paraId="5450267A" w14:textId="08E31B36" w:rsidR="00F77CDC" w:rsidRDefault="00F77CDC" w:rsidP="009D09F4">
      <w:pPr>
        <w:pStyle w:val="3-BodyText"/>
      </w:pPr>
      <w:r w:rsidRPr="00841340">
        <w:t xml:space="preserve">In the BALANCE trial, 46% </w:t>
      </w:r>
      <w:r w:rsidRPr="00D2098F">
        <w:t>of pegunigals</w:t>
      </w:r>
      <w:r w:rsidR="00876F45" w:rsidRPr="00D2098F">
        <w:t>i</w:t>
      </w:r>
      <w:r w:rsidRPr="00D2098F">
        <w:t>dase alfa infusions were administered at home. As described in the draft PI, patients</w:t>
      </w:r>
      <w:r w:rsidRPr="00674B1D">
        <w:t xml:space="preserve"> </w:t>
      </w:r>
      <w:r>
        <w:t xml:space="preserve">can have the infusions at home if </w:t>
      </w:r>
      <w:r w:rsidRPr="00D2098F">
        <w:t>the patient is tolerating their infusions well and ha</w:t>
      </w:r>
      <w:r w:rsidR="00A90354" w:rsidRPr="00D2098F">
        <w:t>ve</w:t>
      </w:r>
      <w:r w:rsidRPr="00D2098F">
        <w:t xml:space="preserve"> no history of moderate or severe IRRs for at least a few months</w:t>
      </w:r>
      <w:r w:rsidRPr="00EB1A65">
        <w:t>.</w:t>
      </w:r>
      <w:r>
        <w:t xml:space="preserve"> </w:t>
      </w:r>
    </w:p>
    <w:p w14:paraId="21E0E8E5" w14:textId="48994580" w:rsidR="00F77CDC" w:rsidRPr="000B4FAD" w:rsidRDefault="00F77CDC" w:rsidP="009D09F4">
      <w:pPr>
        <w:pStyle w:val="3-BodyText"/>
      </w:pPr>
      <w:r>
        <w:t>The cost-minimisation results presented in the submission w</w:t>
      </w:r>
      <w:r w:rsidR="00DF509F">
        <w:t>ere</w:t>
      </w:r>
      <w:r>
        <w:t xml:space="preserve"> calculated on an annual basis based on </w:t>
      </w:r>
      <w:r w:rsidR="0043311A">
        <w:t xml:space="preserve">a </w:t>
      </w:r>
      <w:r>
        <w:t xml:space="preserve">dispensed price for maximum quantity (DPMQ) of </w:t>
      </w:r>
      <w:r w:rsidRPr="00C11F77">
        <w:t xml:space="preserve">$28,076.45 </w:t>
      </w:r>
      <w:r w:rsidRPr="00B84DB0">
        <w:t xml:space="preserve">for </w:t>
      </w:r>
      <w:r>
        <w:t xml:space="preserve">a pack of migalastat (14 capsules of 150 mg for a 28-day supply). Based on this, the submission estimated that the AEMP of one vial of pegunigalsidase alfa is </w:t>
      </w:r>
      <w:r w:rsidRPr="005510C2">
        <w:t xml:space="preserve">$3,477.17 </w:t>
      </w:r>
      <w:r>
        <w:t xml:space="preserve">and with a </w:t>
      </w:r>
      <w:r w:rsidR="0067772E" w:rsidRPr="00F3513A">
        <w:rPr>
          <w:color w:val="000000"/>
          <w:w w:val="15"/>
          <w:shd w:val="solid" w:color="000000" w:fill="000000"/>
          <w:fitText w:val="-20" w:id="-628909558"/>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8"/>
          <w14:textFill>
            <w14:solidFill>
              <w14:srgbClr w14:val="000000">
                <w14:alpha w14:val="100000"/>
              </w14:srgbClr>
            </w14:solidFill>
          </w14:textFill>
        </w:rPr>
        <w:t>|</w:t>
      </w:r>
      <w:r>
        <w:t xml:space="preserve">% price premium, it would </w:t>
      </w:r>
      <w:r w:rsidRPr="005144FA">
        <w:t>be $</w:t>
      </w:r>
      <w:r w:rsidR="0067772E" w:rsidRPr="00F3513A">
        <w:rPr>
          <w:color w:val="000000"/>
          <w:w w:val="15"/>
          <w:shd w:val="solid" w:color="000000" w:fill="000000"/>
          <w:fitText w:val="-20" w:id="-628909557"/>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7"/>
          <w14:textFill>
            <w14:solidFill>
              <w14:srgbClr w14:val="000000">
                <w14:alpha w14:val="100000"/>
              </w14:srgbClr>
            </w14:solidFill>
          </w14:textFill>
        </w:rPr>
        <w:t>|</w:t>
      </w:r>
      <w:r>
        <w:t xml:space="preserve">. </w:t>
      </w:r>
      <w:r w:rsidRPr="000B4FAD">
        <w:t xml:space="preserve">The submission’s approach of using DPMQ for the cost calculations and then subtracting mark-up fees from the total treatment cost to estimate the AEMP per vial was not appropriate. This was corrected using the AEMP of migalastat during the evaluation which resulted in a slightly lower AEMP per vial of pegunigalsidase alfa (&lt;1% difference) as presented in </w:t>
      </w:r>
      <w:r w:rsidRPr="000B4FAD">
        <w:fldChar w:fldCharType="begin" w:fldLock="1"/>
      </w:r>
      <w:r w:rsidRPr="000B4FAD">
        <w:instrText xml:space="preserve"> REF _Ref194580374 \h  \* MERGEFORMAT </w:instrText>
      </w:r>
      <w:r w:rsidRPr="000B4FAD">
        <w:fldChar w:fldCharType="separate"/>
      </w:r>
      <w:r w:rsidR="004E7462" w:rsidRPr="000B4FAD">
        <w:t xml:space="preserve">Table </w:t>
      </w:r>
      <w:r w:rsidR="004E7462" w:rsidRPr="000B4FAD">
        <w:rPr>
          <w:noProof/>
        </w:rPr>
        <w:t>11</w:t>
      </w:r>
      <w:r w:rsidRPr="000B4FAD">
        <w:fldChar w:fldCharType="end"/>
      </w:r>
      <w:r w:rsidRPr="000B4FAD">
        <w:t xml:space="preserve"> below. </w:t>
      </w:r>
    </w:p>
    <w:p w14:paraId="4C53531C" w14:textId="15FE7FDD" w:rsidR="00F77CDC" w:rsidRDefault="00F77CDC" w:rsidP="007F0B21">
      <w:pPr>
        <w:pStyle w:val="Caption"/>
      </w:pPr>
      <w:bookmarkStart w:id="72" w:name="_Ref194580374"/>
      <w:r>
        <w:t xml:space="preserve">Table </w:t>
      </w:r>
      <w:r w:rsidR="004E7462">
        <w:fldChar w:fldCharType="begin" w:fldLock="1"/>
      </w:r>
      <w:r w:rsidR="004E7462">
        <w:instrText xml:space="preserve"> SEQ Table \* ARABIC </w:instrText>
      </w:r>
      <w:r w:rsidR="004E7462">
        <w:fldChar w:fldCharType="separate"/>
      </w:r>
      <w:r w:rsidR="004E7462">
        <w:rPr>
          <w:noProof/>
        </w:rPr>
        <w:t>11</w:t>
      </w:r>
      <w:r w:rsidR="004E7462">
        <w:rPr>
          <w:noProof/>
        </w:rPr>
        <w:fldChar w:fldCharType="end"/>
      </w:r>
      <w:bookmarkEnd w:id="72"/>
      <w:r>
        <w:t>: Results of the cost-minimisation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the cost-minimisation"/>
      </w:tblPr>
      <w:tblGrid>
        <w:gridCol w:w="3539"/>
        <w:gridCol w:w="2739"/>
        <w:gridCol w:w="2739"/>
      </w:tblGrid>
      <w:tr w:rsidR="00BF10C7" w:rsidRPr="00BF10C7" w14:paraId="1A1CADB7" w14:textId="77777777" w:rsidTr="5396A253">
        <w:trPr>
          <w:trHeight w:val="60"/>
        </w:trPr>
        <w:tc>
          <w:tcPr>
            <w:tcW w:w="3539" w:type="dxa"/>
          </w:tcPr>
          <w:p w14:paraId="3B5E053B" w14:textId="77777777" w:rsidR="00BF10C7" w:rsidRPr="00D2098F" w:rsidRDefault="00BF10C7" w:rsidP="00BF10C7">
            <w:pPr>
              <w:keepNext/>
              <w:jc w:val="left"/>
              <w:rPr>
                <w:rFonts w:ascii="Arial Narrow" w:hAnsi="Arial Narrow" w:cs="Times New Roman"/>
                <w:b/>
                <w:sz w:val="20"/>
              </w:rPr>
            </w:pPr>
            <w:r w:rsidRPr="00D2098F">
              <w:rPr>
                <w:rFonts w:ascii="Arial Narrow" w:hAnsi="Arial Narrow" w:cs="Times New Roman"/>
                <w:b/>
                <w:sz w:val="20"/>
              </w:rPr>
              <w:t>Component</w:t>
            </w:r>
          </w:p>
        </w:tc>
        <w:tc>
          <w:tcPr>
            <w:tcW w:w="2739" w:type="dxa"/>
          </w:tcPr>
          <w:p w14:paraId="20FB8679" w14:textId="2FD2627C" w:rsidR="00BF10C7" w:rsidRPr="00D2098F" w:rsidRDefault="6BF4583B" w:rsidP="5396A253">
            <w:pPr>
              <w:keepNext/>
              <w:jc w:val="left"/>
              <w:rPr>
                <w:rFonts w:ascii="Arial Narrow" w:hAnsi="Arial Narrow" w:cs="Times New Roman"/>
                <w:b/>
                <w:bCs/>
                <w:sz w:val="20"/>
                <w:szCs w:val="20"/>
              </w:rPr>
            </w:pPr>
            <w:r w:rsidRPr="00D2098F">
              <w:rPr>
                <w:rFonts w:ascii="Arial Narrow" w:hAnsi="Arial Narrow" w:cs="Times New Roman"/>
                <w:b/>
                <w:bCs/>
                <w:sz w:val="20"/>
                <w:szCs w:val="20"/>
              </w:rPr>
              <w:t>Pegunigalsidase alfa</w:t>
            </w:r>
            <w:r w:rsidR="236EA257" w:rsidRPr="00D2098F">
              <w:rPr>
                <w:rFonts w:ascii="Arial Narrow" w:hAnsi="Arial Narrow" w:cs="Times New Roman"/>
                <w:b/>
                <w:bCs/>
                <w:sz w:val="20"/>
                <w:szCs w:val="20"/>
              </w:rPr>
              <w:t>*</w:t>
            </w:r>
          </w:p>
        </w:tc>
        <w:tc>
          <w:tcPr>
            <w:tcW w:w="2739" w:type="dxa"/>
          </w:tcPr>
          <w:p w14:paraId="6C6281DB" w14:textId="37C27E6D" w:rsidR="00BF10C7" w:rsidRPr="00D2098F" w:rsidRDefault="00BF10C7" w:rsidP="00BF10C7">
            <w:pPr>
              <w:keepNext/>
              <w:jc w:val="left"/>
              <w:rPr>
                <w:rFonts w:ascii="Arial Narrow" w:hAnsi="Arial Narrow" w:cs="Times New Roman"/>
                <w:b/>
                <w:sz w:val="20"/>
              </w:rPr>
            </w:pPr>
            <w:r w:rsidRPr="00D2098F">
              <w:rPr>
                <w:rFonts w:ascii="Arial Narrow" w:hAnsi="Arial Narrow" w:cs="Times New Roman"/>
                <w:b/>
                <w:sz w:val="20"/>
              </w:rPr>
              <w:t>Migalastat</w:t>
            </w:r>
          </w:p>
        </w:tc>
      </w:tr>
      <w:tr w:rsidR="00BF10C7" w:rsidRPr="00BF10C7" w14:paraId="246FF9F0" w14:textId="77777777" w:rsidTr="5396A253">
        <w:tc>
          <w:tcPr>
            <w:tcW w:w="3539" w:type="dxa"/>
          </w:tcPr>
          <w:p w14:paraId="59410265"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Cost per dose</w:t>
            </w:r>
          </w:p>
        </w:tc>
        <w:tc>
          <w:tcPr>
            <w:tcW w:w="2739" w:type="dxa"/>
            <w:vAlign w:val="bottom"/>
          </w:tcPr>
          <w:p w14:paraId="2E05D062" w14:textId="75526133" w:rsidR="00BF10C7" w:rsidRPr="008D4FAA" w:rsidRDefault="00BF10C7" w:rsidP="00BF10C7">
            <w:pPr>
              <w:keepNext/>
              <w:jc w:val="center"/>
              <w:rPr>
                <w:rFonts w:ascii="Arial Narrow" w:hAnsi="Arial Narrow" w:cs="Times New Roman"/>
                <w:bCs/>
                <w:sz w:val="20"/>
                <w:vertAlign w:val="superscript"/>
              </w:rPr>
            </w:pPr>
            <w:r w:rsidRPr="008D4FAA">
              <w:rPr>
                <w:rFonts w:ascii="Arial Narrow" w:hAnsi="Arial Narrow"/>
                <w:bCs/>
                <w:color w:val="000000"/>
                <w:sz w:val="20"/>
                <w:szCs w:val="20"/>
              </w:rPr>
              <w:t>$13,833.88</w:t>
            </w:r>
            <w:r w:rsidRPr="008D4FAA">
              <w:rPr>
                <w:rFonts w:ascii="Arial Narrow" w:hAnsi="Arial Narrow"/>
                <w:bCs/>
                <w:color w:val="000000"/>
                <w:sz w:val="20"/>
                <w:szCs w:val="20"/>
                <w:vertAlign w:val="superscript"/>
              </w:rPr>
              <w:t>a</w:t>
            </w:r>
          </w:p>
        </w:tc>
        <w:tc>
          <w:tcPr>
            <w:tcW w:w="2739" w:type="dxa"/>
            <w:vAlign w:val="bottom"/>
          </w:tcPr>
          <w:p w14:paraId="30180476" w14:textId="77777777" w:rsidR="00BF10C7" w:rsidRPr="008D4FAA" w:rsidRDefault="00BF10C7" w:rsidP="00BF10C7">
            <w:pPr>
              <w:keepNext/>
              <w:jc w:val="center"/>
              <w:rPr>
                <w:rFonts w:ascii="Arial Narrow" w:hAnsi="Arial Narrow" w:cs="Times New Roman"/>
                <w:bCs/>
                <w:sz w:val="20"/>
                <w:vertAlign w:val="superscript"/>
              </w:rPr>
            </w:pPr>
            <w:r w:rsidRPr="008D4FAA">
              <w:rPr>
                <w:rFonts w:ascii="Arial Narrow" w:hAnsi="Arial Narrow"/>
                <w:bCs/>
                <w:color w:val="000000"/>
                <w:sz w:val="20"/>
                <w:szCs w:val="20"/>
              </w:rPr>
              <w:t>$1,993.85</w:t>
            </w:r>
          </w:p>
        </w:tc>
      </w:tr>
      <w:tr w:rsidR="00BF10C7" w:rsidRPr="00BF10C7" w14:paraId="624F50D0" w14:textId="77777777" w:rsidTr="5396A253">
        <w:tc>
          <w:tcPr>
            <w:tcW w:w="3539" w:type="dxa"/>
          </w:tcPr>
          <w:p w14:paraId="76D42235"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 xml:space="preserve">Cost per 28-day supply </w:t>
            </w:r>
          </w:p>
        </w:tc>
        <w:tc>
          <w:tcPr>
            <w:tcW w:w="2739" w:type="dxa"/>
          </w:tcPr>
          <w:p w14:paraId="43314A08"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$27,667.75</w:t>
            </w:r>
          </w:p>
        </w:tc>
        <w:tc>
          <w:tcPr>
            <w:tcW w:w="2739" w:type="dxa"/>
          </w:tcPr>
          <w:p w14:paraId="54F1FBA2"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$27,913.85</w:t>
            </w:r>
            <w:r w:rsidRPr="008D4FAA">
              <w:rPr>
                <w:rFonts w:ascii="Arial Narrow" w:hAnsi="Arial Narrow" w:cs="Times New Roman"/>
                <w:bCs/>
                <w:sz w:val="20"/>
                <w:vertAlign w:val="superscript"/>
              </w:rPr>
              <w:t>b</w:t>
            </w:r>
          </w:p>
        </w:tc>
      </w:tr>
      <w:tr w:rsidR="00BF10C7" w:rsidRPr="00BF10C7" w14:paraId="163133D1" w14:textId="77777777" w:rsidTr="5396A253">
        <w:tc>
          <w:tcPr>
            <w:tcW w:w="3539" w:type="dxa"/>
          </w:tcPr>
          <w:p w14:paraId="17DC2909"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Dose duration</w:t>
            </w:r>
          </w:p>
        </w:tc>
        <w:tc>
          <w:tcPr>
            <w:tcW w:w="2739" w:type="dxa"/>
          </w:tcPr>
          <w:p w14:paraId="741F0034"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1 year (52.18 weeks)</w:t>
            </w:r>
          </w:p>
        </w:tc>
        <w:tc>
          <w:tcPr>
            <w:tcW w:w="2739" w:type="dxa"/>
          </w:tcPr>
          <w:p w14:paraId="6457C519"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1 year (52.18 weeks)</w:t>
            </w:r>
          </w:p>
        </w:tc>
      </w:tr>
      <w:tr w:rsidR="00BF10C7" w:rsidRPr="00BF10C7" w14:paraId="44C768F3" w14:textId="77777777" w:rsidTr="5396A253">
        <w:tc>
          <w:tcPr>
            <w:tcW w:w="3539" w:type="dxa"/>
          </w:tcPr>
          <w:p w14:paraId="789D8355"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Number of vials / packs per year</w:t>
            </w:r>
          </w:p>
        </w:tc>
        <w:tc>
          <w:tcPr>
            <w:tcW w:w="2739" w:type="dxa"/>
          </w:tcPr>
          <w:p w14:paraId="4DC44CBD"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104.36</w:t>
            </w:r>
          </w:p>
        </w:tc>
        <w:tc>
          <w:tcPr>
            <w:tcW w:w="2739" w:type="dxa"/>
          </w:tcPr>
          <w:p w14:paraId="7EC0C80C" w14:textId="66AA5984" w:rsidR="00BF10C7" w:rsidRPr="008D4FAA" w:rsidRDefault="00BF10C7" w:rsidP="00BF10C7">
            <w:pPr>
              <w:keepNext/>
              <w:jc w:val="center"/>
              <w:rPr>
                <w:rFonts w:ascii="Arial Narrow" w:hAnsi="Arial Narrow" w:cs="Times New Roman"/>
                <w:sz w:val="20"/>
                <w:szCs w:val="20"/>
              </w:rPr>
            </w:pPr>
            <w:r w:rsidRPr="008D4FAA">
              <w:rPr>
                <w:rFonts w:ascii="Arial Narrow" w:hAnsi="Arial Narrow" w:cs="Times New Roman"/>
                <w:sz w:val="20"/>
                <w:szCs w:val="20"/>
              </w:rPr>
              <w:t>13.04</w:t>
            </w:r>
          </w:p>
        </w:tc>
      </w:tr>
      <w:tr w:rsidR="00BF10C7" w:rsidRPr="00BF10C7" w14:paraId="5DAE0211" w14:textId="77777777" w:rsidTr="5396A253">
        <w:tc>
          <w:tcPr>
            <w:tcW w:w="3539" w:type="dxa"/>
          </w:tcPr>
          <w:p w14:paraId="3111FE08"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Administrations per year</w:t>
            </w:r>
          </w:p>
        </w:tc>
        <w:tc>
          <w:tcPr>
            <w:tcW w:w="2739" w:type="dxa"/>
          </w:tcPr>
          <w:p w14:paraId="1A4B44E3"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26.09</w:t>
            </w:r>
          </w:p>
        </w:tc>
        <w:tc>
          <w:tcPr>
            <w:tcW w:w="2739" w:type="dxa"/>
          </w:tcPr>
          <w:p w14:paraId="549E72FC" w14:textId="77777777" w:rsidR="00BF10C7" w:rsidRPr="008D4FAA" w:rsidRDefault="00BF10C7" w:rsidP="00BF10C7">
            <w:pPr>
              <w:keepNext/>
              <w:jc w:val="center"/>
            </w:pPr>
            <w:r w:rsidRPr="008D4FAA">
              <w:rPr>
                <w:rFonts w:ascii="Arial Narrow" w:hAnsi="Arial Narrow"/>
                <w:color w:val="000000"/>
                <w:sz w:val="20"/>
                <w:szCs w:val="20"/>
              </w:rPr>
              <w:t>182.63</w:t>
            </w:r>
          </w:p>
        </w:tc>
      </w:tr>
      <w:tr w:rsidR="00BF10C7" w:rsidRPr="00BF10C7" w14:paraId="2FAB3011" w14:textId="77777777" w:rsidTr="5396A253">
        <w:tc>
          <w:tcPr>
            <w:tcW w:w="3539" w:type="dxa"/>
          </w:tcPr>
          <w:p w14:paraId="77921BD1"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Total medicine cost per year</w:t>
            </w:r>
          </w:p>
        </w:tc>
        <w:tc>
          <w:tcPr>
            <w:tcW w:w="2739" w:type="dxa"/>
          </w:tcPr>
          <w:p w14:paraId="3B42125E"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$363,036.98</w:t>
            </w:r>
          </w:p>
        </w:tc>
        <w:tc>
          <w:tcPr>
            <w:tcW w:w="2739" w:type="dxa"/>
          </w:tcPr>
          <w:p w14:paraId="70C77A49"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$366,247.26</w:t>
            </w:r>
          </w:p>
        </w:tc>
      </w:tr>
      <w:tr w:rsidR="00BF10C7" w:rsidRPr="00BF10C7" w14:paraId="12C55C43" w14:textId="77777777" w:rsidTr="5396A253">
        <w:tc>
          <w:tcPr>
            <w:tcW w:w="3539" w:type="dxa"/>
          </w:tcPr>
          <w:p w14:paraId="555FC53B"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Total IV infusion administration cost per year</w:t>
            </w:r>
          </w:p>
        </w:tc>
        <w:tc>
          <w:tcPr>
            <w:tcW w:w="2739" w:type="dxa"/>
          </w:tcPr>
          <w:p w14:paraId="561E4618" w14:textId="407E7FD9"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$3,210.29</w:t>
            </w:r>
            <w:r w:rsidRPr="008D4FAA">
              <w:rPr>
                <w:rFonts w:ascii="Arial Narrow" w:hAnsi="Arial Narrow" w:cs="Times New Roman"/>
                <w:bCs/>
                <w:sz w:val="20"/>
                <w:vertAlign w:val="superscript"/>
              </w:rPr>
              <w:t>c</w:t>
            </w:r>
          </w:p>
        </w:tc>
        <w:tc>
          <w:tcPr>
            <w:tcW w:w="2739" w:type="dxa"/>
          </w:tcPr>
          <w:p w14:paraId="6273E281"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$0</w:t>
            </w:r>
          </w:p>
        </w:tc>
      </w:tr>
      <w:tr w:rsidR="00BF10C7" w:rsidRPr="00BF10C7" w14:paraId="6620A8F5" w14:textId="77777777" w:rsidTr="5396A253">
        <w:tc>
          <w:tcPr>
            <w:tcW w:w="3539" w:type="dxa"/>
          </w:tcPr>
          <w:p w14:paraId="3871314F"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Difference in cost per year</w:t>
            </w:r>
          </w:p>
        </w:tc>
        <w:tc>
          <w:tcPr>
            <w:tcW w:w="2739" w:type="dxa"/>
          </w:tcPr>
          <w:p w14:paraId="697D7BAA"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$0</w:t>
            </w:r>
          </w:p>
        </w:tc>
        <w:tc>
          <w:tcPr>
            <w:tcW w:w="2739" w:type="dxa"/>
          </w:tcPr>
          <w:p w14:paraId="0DFE0C0B"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sz w:val="20"/>
              </w:rPr>
              <w:t>$0</w:t>
            </w:r>
          </w:p>
        </w:tc>
      </w:tr>
      <w:tr w:rsidR="00BF10C7" w:rsidRPr="00BF10C7" w14:paraId="7A89FD19" w14:textId="77777777" w:rsidTr="5396A253">
        <w:tc>
          <w:tcPr>
            <w:tcW w:w="3539" w:type="dxa"/>
          </w:tcPr>
          <w:p w14:paraId="0DFEAA3B" w14:textId="77777777"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Estimated cost minimised price per vial of pegunigalsidase alfa (AEMP)</w:t>
            </w:r>
          </w:p>
        </w:tc>
        <w:tc>
          <w:tcPr>
            <w:tcW w:w="5478" w:type="dxa"/>
            <w:gridSpan w:val="2"/>
          </w:tcPr>
          <w:p w14:paraId="7DD54A22" w14:textId="77777777" w:rsidR="00BF10C7" w:rsidRPr="008D4FAA" w:rsidRDefault="00BF10C7" w:rsidP="00BF10C7">
            <w:pPr>
              <w:keepNext/>
              <w:jc w:val="center"/>
              <w:rPr>
                <w:rFonts w:ascii="Arial Narrow" w:hAnsi="Arial Narrow" w:cs="Times New Roman"/>
                <w:bCs/>
                <w:sz w:val="20"/>
              </w:rPr>
            </w:pPr>
            <w:r w:rsidRPr="008D4FAA">
              <w:rPr>
                <w:rFonts w:ascii="Arial Narrow" w:hAnsi="Arial Narrow" w:cs="Times New Roman"/>
                <w:bCs/>
                <w:color w:val="000000"/>
                <w:sz w:val="20"/>
                <w:szCs w:val="20"/>
              </w:rPr>
              <w:t>$3,458.47</w:t>
            </w:r>
          </w:p>
        </w:tc>
      </w:tr>
      <w:tr w:rsidR="00BF10C7" w:rsidRPr="00BF10C7" w14:paraId="10140108" w14:textId="77777777" w:rsidTr="5396A253">
        <w:tc>
          <w:tcPr>
            <w:tcW w:w="3539" w:type="dxa"/>
          </w:tcPr>
          <w:p w14:paraId="1ABFA6F0" w14:textId="15985AA5" w:rsidR="00BF10C7" w:rsidRPr="00BF10C7" w:rsidRDefault="00BF10C7" w:rsidP="00BF10C7">
            <w:pPr>
              <w:keepNext/>
              <w:jc w:val="left"/>
              <w:rPr>
                <w:rFonts w:ascii="Arial Narrow" w:hAnsi="Arial Narrow" w:cs="Times New Roman"/>
                <w:bCs/>
                <w:sz w:val="20"/>
              </w:rPr>
            </w:pPr>
            <w:r w:rsidRPr="00BF10C7">
              <w:rPr>
                <w:rFonts w:ascii="Arial Narrow" w:hAnsi="Arial Narrow" w:cs="Times New Roman"/>
                <w:bCs/>
                <w:sz w:val="20"/>
              </w:rPr>
              <w:t xml:space="preserve">Cost minimised price with a </w:t>
            </w:r>
            <w:r w:rsidR="0067772E" w:rsidRPr="0067772E">
              <w:rPr>
                <w:rFonts w:ascii="Arial Narrow" w:hAnsi="Arial Narrow" w:cs="Times New Roman"/>
                <w:bCs/>
                <w:color w:val="000000"/>
                <w:spacing w:val="51"/>
                <w:sz w:val="20"/>
                <w:shd w:val="solid" w:color="000000" w:fill="000000"/>
                <w:fitText w:val="326" w:id="-628909556"/>
                <w14:textFill>
                  <w14:solidFill>
                    <w14:srgbClr w14:val="000000">
                      <w14:alpha w14:val="100000"/>
                    </w14:srgbClr>
                  </w14:solidFill>
                </w14:textFill>
              </w:rPr>
              <w:t>|||</w:t>
            </w:r>
            <w:r w:rsidR="0067772E" w:rsidRPr="0067772E">
              <w:rPr>
                <w:rFonts w:ascii="Arial Narrow" w:hAnsi="Arial Narrow" w:cs="Times New Roman"/>
                <w:bCs/>
                <w:color w:val="000000"/>
                <w:spacing w:val="3"/>
                <w:sz w:val="20"/>
                <w:shd w:val="solid" w:color="000000" w:fill="000000"/>
                <w:fitText w:val="326" w:id="-628909556"/>
                <w14:textFill>
                  <w14:solidFill>
                    <w14:srgbClr w14:val="000000">
                      <w14:alpha w14:val="100000"/>
                    </w14:srgbClr>
                  </w14:solidFill>
                </w14:textFill>
              </w:rPr>
              <w:t>|</w:t>
            </w:r>
            <w:r w:rsidRPr="00BF10C7">
              <w:rPr>
                <w:rFonts w:ascii="Arial Narrow" w:hAnsi="Arial Narrow" w:cs="Times New Roman"/>
                <w:bCs/>
                <w:sz w:val="20"/>
              </w:rPr>
              <w:t xml:space="preserve">% premium </w:t>
            </w:r>
          </w:p>
        </w:tc>
        <w:tc>
          <w:tcPr>
            <w:tcW w:w="5478" w:type="dxa"/>
            <w:gridSpan w:val="2"/>
          </w:tcPr>
          <w:p w14:paraId="45740C98" w14:textId="1026DF5C" w:rsidR="00BF10C7" w:rsidRPr="00203C80" w:rsidRDefault="00BF10C7" w:rsidP="00BF10C7">
            <w:pPr>
              <w:keepNext/>
              <w:jc w:val="center"/>
            </w:pPr>
            <w:r w:rsidRPr="00203C80">
              <w:rPr>
                <w:rFonts w:ascii="Arial Narrow" w:hAnsi="Arial Narrow"/>
                <w:color w:val="000000"/>
                <w:sz w:val="20"/>
                <w:szCs w:val="20"/>
              </w:rPr>
              <w:t>$</w:t>
            </w:r>
            <w:r w:rsidR="0067772E" w:rsidRPr="0067772E">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3B05B263" w14:textId="77777777" w:rsidR="00F77CDC" w:rsidRDefault="00F77CDC" w:rsidP="005A2403">
      <w:pPr>
        <w:pStyle w:val="TableFigureFooter"/>
        <w:rPr>
          <w:i/>
        </w:rPr>
      </w:pPr>
      <w:r w:rsidRPr="0098262F">
        <w:t xml:space="preserve">Source: </w:t>
      </w:r>
      <w:r>
        <w:t xml:space="preserve">Table 3.4-2, p111 of the submission </w:t>
      </w:r>
      <w:r w:rsidRPr="00203C80">
        <w:t>and corrected during the evaluation</w:t>
      </w:r>
    </w:p>
    <w:p w14:paraId="64995E73" w14:textId="77777777" w:rsidR="00F77CDC" w:rsidRPr="004D4911" w:rsidRDefault="00F77CDC" w:rsidP="005A2403">
      <w:pPr>
        <w:pStyle w:val="TableFigureFooter"/>
      </w:pPr>
      <w:r>
        <w:t>Abbreviations: AEMP, approved ex-manufacturer price; IV, intravenous; MBS, Medicare Benefits Schedule.</w:t>
      </w:r>
    </w:p>
    <w:p w14:paraId="6AC93D7D" w14:textId="4CECF9CE" w:rsidR="00F77CDC" w:rsidRPr="00C918B3" w:rsidRDefault="00F77CDC" w:rsidP="005A2403">
      <w:pPr>
        <w:pStyle w:val="TableFigureFooter"/>
      </w:pPr>
      <w:r>
        <w:rPr>
          <w:vertAlign w:val="superscript"/>
        </w:rPr>
        <w:t xml:space="preserve">a </w:t>
      </w:r>
      <w:r>
        <w:t>Based on 4 vials assuming a mean body weight of 78.89 kg</w:t>
      </w:r>
    </w:p>
    <w:p w14:paraId="4548CAD6" w14:textId="41EB0CC3" w:rsidR="00F77CDC" w:rsidRPr="00E5158D" w:rsidRDefault="00F77CDC" w:rsidP="005A2403">
      <w:pPr>
        <w:pStyle w:val="TableFigureFooter"/>
      </w:pPr>
      <w:r>
        <w:rPr>
          <w:vertAlign w:val="superscript"/>
        </w:rPr>
        <w:t xml:space="preserve">b </w:t>
      </w:r>
      <w:r w:rsidR="00676A4C">
        <w:t>Published</w:t>
      </w:r>
      <w:r>
        <w:t xml:space="preserve"> AEMP of 1 pack (14 capsules) of migalastat</w:t>
      </w:r>
    </w:p>
    <w:p w14:paraId="149A5946" w14:textId="77777777" w:rsidR="00F77CDC" w:rsidRDefault="62853CE0" w:rsidP="00203C80">
      <w:pPr>
        <w:pStyle w:val="TableFigureFooter"/>
        <w:spacing w:after="0"/>
      </w:pPr>
      <w:r w:rsidRPr="5396A253">
        <w:rPr>
          <w:vertAlign w:val="superscript"/>
        </w:rPr>
        <w:lastRenderedPageBreak/>
        <w:t xml:space="preserve">c </w:t>
      </w:r>
      <w:r>
        <w:t>MBS item 13950 ($123.05)</w:t>
      </w:r>
    </w:p>
    <w:p w14:paraId="1D527117" w14:textId="6F6A2710" w:rsidR="00203C80" w:rsidRPr="00203C80" w:rsidRDefault="236EA257" w:rsidP="00203C80">
      <w:pPr>
        <w:pStyle w:val="3-BodyText"/>
        <w:numPr>
          <w:ilvl w:val="0"/>
          <w:numId w:val="0"/>
        </w:numPr>
        <w:spacing w:before="0"/>
        <w:ind w:left="720" w:hanging="720"/>
        <w:rPr>
          <w:rFonts w:ascii="Arial Narrow" w:hAnsi="Arial Narrow"/>
          <w:sz w:val="18"/>
          <w:szCs w:val="18"/>
        </w:rPr>
      </w:pPr>
      <w:r w:rsidRPr="5396A253">
        <w:rPr>
          <w:rFonts w:ascii="Arial Narrow" w:hAnsi="Arial Narrow"/>
          <w:sz w:val="18"/>
          <w:szCs w:val="18"/>
        </w:rPr>
        <w:t>*Added during evaluation</w:t>
      </w:r>
    </w:p>
    <w:p w14:paraId="005F8AA1" w14:textId="4CA1B554" w:rsidR="00F77CDC" w:rsidRPr="000B4FAD" w:rsidRDefault="00F77CDC" w:rsidP="009D09F4">
      <w:pPr>
        <w:pStyle w:val="3-BodyText"/>
      </w:pPr>
      <w:r w:rsidRPr="000B4FAD">
        <w:t xml:space="preserve">These results should be interpreted with caution given the lack of evidence to support the clinical claim of non-inferiority of pegunigalsidase alfa against migalastat and </w:t>
      </w:r>
      <w:r w:rsidR="00720D4B" w:rsidRPr="000B4FAD">
        <w:t>the</w:t>
      </w:r>
      <w:r w:rsidRPr="000B4FAD">
        <w:t xml:space="preserve"> doses used in the calculations.</w:t>
      </w:r>
    </w:p>
    <w:p w14:paraId="5EB552DD" w14:textId="1E03E8D9" w:rsidR="00F77CDC" w:rsidRPr="000B4FAD" w:rsidRDefault="00F77CDC" w:rsidP="009D09F4">
      <w:pPr>
        <w:pStyle w:val="3-BodyText"/>
        <w:keepLines/>
      </w:pPr>
      <w:r w:rsidRPr="000B4FAD">
        <w:t xml:space="preserve">Should the PBAC accept the clinical claim of overall non-inferior effectiveness and safety, the cost-minimisation approach must establish that the cost per patient for treatment with pegunigalsidase alfa would be no more than the cost per patient of </w:t>
      </w:r>
      <w:r w:rsidR="007F13B4" w:rsidRPr="000B4FAD">
        <w:t xml:space="preserve">the lowest cost </w:t>
      </w:r>
      <w:r w:rsidR="00E9189F" w:rsidRPr="000B4FAD">
        <w:t>comparator.</w:t>
      </w:r>
      <w:r w:rsidR="003B4D8F" w:rsidRPr="000B4FAD">
        <w:t xml:space="preserve"> </w:t>
      </w:r>
      <w:r w:rsidRPr="000B4FAD">
        <w:t>Where the cost per patient calculations are uncertain, the guiding principle is that the Australian Government should not bear the financial risk of this uncertainty because the Australian population already has access to therapy that is at least as effective and safe. In this case, the PBAC should consider the following parameters: administration costs.</w:t>
      </w:r>
    </w:p>
    <w:p w14:paraId="472842D7" w14:textId="10912DEB" w:rsidR="00C25D9C" w:rsidRPr="0098262F" w:rsidRDefault="009E71B1" w:rsidP="0022325C">
      <w:pPr>
        <w:pStyle w:val="4-SubsectionHeading"/>
      </w:pPr>
      <w:bookmarkStart w:id="73" w:name="_Toc198734229"/>
      <w:r>
        <w:t>Pegunigalsidase alfa</w:t>
      </w:r>
      <w:r w:rsidR="00C25D9C" w:rsidRPr="0098262F">
        <w:t xml:space="preserve"> cost/patient/year</w:t>
      </w:r>
      <w:r w:rsidR="00BA1A26">
        <w:t xml:space="preserve">: </w:t>
      </w:r>
      <w:r w:rsidR="00037DC1">
        <w:t>$</w:t>
      </w:r>
      <w:bookmarkEnd w:id="73"/>
      <w:r w:rsidR="0067772E" w:rsidRPr="0067772E">
        <w:rPr>
          <w:color w:val="000000"/>
          <w:spacing w:val="0"/>
          <w:w w:val="49"/>
          <w:kern w:val="0"/>
          <w:shd w:val="solid" w:color="000000" w:fill="000000"/>
          <w:fitText w:val="594" w:id="-628909555"/>
          <w14:textFill>
            <w14:solidFill>
              <w14:srgbClr w14:val="000000">
                <w14:alpha w14:val="100000"/>
              </w14:srgbClr>
            </w14:solidFill>
          </w14:textFill>
        </w:rPr>
        <w:t>||||  |||</w:t>
      </w:r>
      <w:r w:rsidR="0067772E" w:rsidRPr="0067772E">
        <w:rPr>
          <w:color w:val="000000"/>
          <w:spacing w:val="11"/>
          <w:w w:val="49"/>
          <w:kern w:val="0"/>
          <w:shd w:val="solid" w:color="000000" w:fill="000000"/>
          <w:fitText w:val="594" w:id="-628909555"/>
          <w14:textFill>
            <w14:solidFill>
              <w14:srgbClr w14:val="000000">
                <w14:alpha w14:val="100000"/>
              </w14:srgbClr>
            </w14:solidFill>
          </w14:textFill>
        </w:rPr>
        <w:t>|</w:t>
      </w:r>
    </w:p>
    <w:p w14:paraId="49C78B4E" w14:textId="340D064F" w:rsidR="00D554B4" w:rsidRPr="0098262F" w:rsidRDefault="00D554B4" w:rsidP="007F0B21">
      <w:pPr>
        <w:pStyle w:val="Caption"/>
        <w:rPr>
          <w:rStyle w:val="CommentReference"/>
          <w:b/>
          <w:szCs w:val="24"/>
        </w:rPr>
      </w:pPr>
      <w:bookmarkStart w:id="74" w:name="_Ref104805102"/>
      <w:bookmarkStart w:id="75" w:name="_Toc22897647"/>
      <w:r w:rsidRPr="0098262F">
        <w:t>Table</w:t>
      </w:r>
      <w:r w:rsidR="005F7FBD">
        <w:t xml:space="preserve"> 12</w:t>
      </w:r>
      <w:r w:rsidRPr="0098262F">
        <w:t xml:space="preserve"> </w:t>
      </w:r>
      <w:r>
        <w:fldChar w:fldCharType="begin" w:fldLock="1"/>
      </w:r>
      <w:r>
        <w:instrText>SEQ Table \* ARABIC</w:instrText>
      </w:r>
      <w:r>
        <w:fldChar w:fldCharType="separate"/>
      </w:r>
      <w:r>
        <w:fldChar w:fldCharType="end"/>
      </w:r>
      <w:bookmarkEnd w:id="74"/>
      <w:r w:rsidRPr="0098262F">
        <w:t>:</w:t>
      </w:r>
      <w:r w:rsidRPr="0098262F">
        <w:rPr>
          <w:rStyle w:val="CommentReference"/>
          <w:b/>
          <w:szCs w:val="24"/>
        </w:rPr>
        <w:t xml:space="preserve"> Drug cost per patient </w:t>
      </w:r>
      <w:r w:rsidR="00CC0F53">
        <w:rPr>
          <w:rStyle w:val="CommentReference"/>
          <w:b/>
          <w:szCs w:val="24"/>
        </w:rPr>
        <w:t xml:space="preserve">per month </w:t>
      </w:r>
      <w:r w:rsidRPr="0098262F">
        <w:rPr>
          <w:rStyle w:val="CommentReference"/>
          <w:b/>
          <w:szCs w:val="24"/>
        </w:rPr>
        <w:t xml:space="preserve">for </w:t>
      </w:r>
      <w:r>
        <w:rPr>
          <w:rStyle w:val="CommentReference"/>
          <w:b/>
          <w:szCs w:val="24"/>
        </w:rPr>
        <w:t>pegunigalsidase alfa</w:t>
      </w:r>
      <w:r w:rsidRPr="0098262F">
        <w:rPr>
          <w:rStyle w:val="CommentReference"/>
          <w:b/>
          <w:szCs w:val="24"/>
        </w:rPr>
        <w:t xml:space="preserve"> and comparator</w:t>
      </w:r>
      <w:r w:rsidR="000E6283">
        <w:rPr>
          <w:rStyle w:val="CommentReference"/>
          <w:b/>
          <w:szCs w:val="24"/>
        </w:rPr>
        <w:t>s</w:t>
      </w:r>
      <w:r>
        <w:rPr>
          <w:rStyle w:val="CommentReference"/>
          <w:b/>
          <w:szCs w:val="24"/>
        </w:rPr>
        <w:t xml:space="preserve"> (migalastat, agalsidase alfa and agalsidase beta)</w:t>
      </w:r>
      <w:r w:rsidRPr="0098262F">
        <w:rPr>
          <w:rStyle w:val="CommentReference"/>
          <w:b/>
          <w:szCs w:val="24"/>
        </w:rPr>
        <w:t xml:space="preserve">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 Drug cost per patient per month for pegunigalsidase alfa and comparators (migalastat, agalsidase alfa and agalsidase beta) drugs"/>
      </w:tblPr>
      <w:tblGrid>
        <w:gridCol w:w="989"/>
        <w:gridCol w:w="1416"/>
        <w:gridCol w:w="1419"/>
        <w:gridCol w:w="1417"/>
        <w:gridCol w:w="1275"/>
        <w:gridCol w:w="1165"/>
        <w:gridCol w:w="1336"/>
      </w:tblGrid>
      <w:tr w:rsidR="00D554B4" w:rsidRPr="0098262F" w14:paraId="7F91251D" w14:textId="77777777" w:rsidTr="00050DBE">
        <w:trPr>
          <w:cantSplit/>
          <w:tblHeader/>
          <w:jc w:val="center"/>
        </w:trPr>
        <w:tc>
          <w:tcPr>
            <w:tcW w:w="548" w:type="pct"/>
          </w:tcPr>
          <w:p w14:paraId="0738031C" w14:textId="77777777" w:rsidR="00D554B4" w:rsidRPr="00D2098F" w:rsidRDefault="00D554B4" w:rsidP="007F0B21">
            <w:pPr>
              <w:pStyle w:val="In-tableHeading"/>
              <w:rPr>
                <w:lang w:val="en-AU"/>
              </w:rPr>
            </w:pPr>
          </w:p>
        </w:tc>
        <w:tc>
          <w:tcPr>
            <w:tcW w:w="785" w:type="pct"/>
          </w:tcPr>
          <w:p w14:paraId="0ADBFF80" w14:textId="77777777" w:rsidR="00D554B4" w:rsidRPr="00D2098F" w:rsidRDefault="00D554B4" w:rsidP="007F0B21">
            <w:pPr>
              <w:pStyle w:val="In-tableHeading"/>
              <w:rPr>
                <w:lang w:val="en-AU"/>
              </w:rPr>
            </w:pPr>
            <w:r w:rsidRPr="00D2098F">
              <w:rPr>
                <w:lang w:val="en-AU"/>
              </w:rPr>
              <w:t>Pegunigalsidase alfa</w:t>
            </w:r>
          </w:p>
          <w:p w14:paraId="34E57910" w14:textId="77777777" w:rsidR="00D554B4" w:rsidRPr="00D2098F" w:rsidRDefault="00D554B4" w:rsidP="007F0B21">
            <w:pPr>
              <w:pStyle w:val="In-tableHeading"/>
              <w:rPr>
                <w:lang w:val="en-AU"/>
              </w:rPr>
            </w:pPr>
            <w:r w:rsidRPr="00D2098F">
              <w:rPr>
                <w:lang w:val="en-AU"/>
              </w:rPr>
              <w:t>Trial dose and duration</w:t>
            </w:r>
          </w:p>
        </w:tc>
        <w:tc>
          <w:tcPr>
            <w:tcW w:w="787" w:type="pct"/>
          </w:tcPr>
          <w:p w14:paraId="6262310E" w14:textId="77777777" w:rsidR="00D554B4" w:rsidRPr="00D2098F" w:rsidRDefault="00D554B4" w:rsidP="007F0B21">
            <w:pPr>
              <w:pStyle w:val="In-tableHeading"/>
              <w:rPr>
                <w:lang w:val="en-AU"/>
              </w:rPr>
            </w:pPr>
            <w:r w:rsidRPr="00D2098F">
              <w:rPr>
                <w:lang w:val="en-AU"/>
              </w:rPr>
              <w:t>Pegunigalsidase alfa</w:t>
            </w:r>
          </w:p>
          <w:p w14:paraId="6C00C28C" w14:textId="77777777" w:rsidR="00D554B4" w:rsidRPr="00D2098F" w:rsidRDefault="00D554B4" w:rsidP="007F0B21">
            <w:pPr>
              <w:pStyle w:val="In-tableHeading"/>
              <w:rPr>
                <w:lang w:val="en-AU"/>
              </w:rPr>
            </w:pPr>
            <w:r w:rsidRPr="00D2098F">
              <w:rPr>
                <w:lang w:val="en-AU"/>
              </w:rPr>
              <w:t>CMA</w:t>
            </w:r>
          </w:p>
        </w:tc>
        <w:tc>
          <w:tcPr>
            <w:tcW w:w="786" w:type="pct"/>
          </w:tcPr>
          <w:p w14:paraId="7434543E" w14:textId="77777777" w:rsidR="00D554B4" w:rsidRPr="00D2098F" w:rsidRDefault="00D554B4" w:rsidP="007F0B21">
            <w:pPr>
              <w:pStyle w:val="In-tableHeading"/>
              <w:rPr>
                <w:lang w:val="en-AU"/>
              </w:rPr>
            </w:pPr>
            <w:r w:rsidRPr="00D2098F">
              <w:rPr>
                <w:lang w:val="en-AU"/>
              </w:rPr>
              <w:t>Pegunigalsidase alfa</w:t>
            </w:r>
          </w:p>
          <w:p w14:paraId="1690B135" w14:textId="77777777" w:rsidR="00D554B4" w:rsidRPr="00D2098F" w:rsidRDefault="00D554B4" w:rsidP="007F0B21">
            <w:pPr>
              <w:pStyle w:val="In-tableHeading"/>
              <w:rPr>
                <w:lang w:val="en-AU"/>
              </w:rPr>
            </w:pPr>
            <w:r w:rsidRPr="00D2098F">
              <w:rPr>
                <w:lang w:val="en-AU"/>
              </w:rPr>
              <w:t>Financial estimates</w:t>
            </w:r>
          </w:p>
        </w:tc>
        <w:tc>
          <w:tcPr>
            <w:tcW w:w="707" w:type="pct"/>
          </w:tcPr>
          <w:p w14:paraId="47EAFA45" w14:textId="77777777" w:rsidR="00D554B4" w:rsidRPr="00D2098F" w:rsidRDefault="00D554B4" w:rsidP="007F0B21">
            <w:pPr>
              <w:pStyle w:val="In-tableHeading"/>
              <w:rPr>
                <w:lang w:val="en-AU"/>
              </w:rPr>
            </w:pPr>
            <w:r w:rsidRPr="00D2098F">
              <w:rPr>
                <w:lang w:val="en-AU"/>
              </w:rPr>
              <w:t>Agalsidase beta</w:t>
            </w:r>
          </w:p>
          <w:p w14:paraId="1C9015DD" w14:textId="77777777" w:rsidR="00D554B4" w:rsidRPr="00D2098F" w:rsidRDefault="00D554B4" w:rsidP="007F0B21">
            <w:pPr>
              <w:pStyle w:val="In-tableHeading"/>
              <w:rPr>
                <w:lang w:val="en-AU"/>
              </w:rPr>
            </w:pPr>
            <w:r w:rsidRPr="00D2098F">
              <w:rPr>
                <w:lang w:val="en-AU"/>
              </w:rPr>
              <w:t>Trial dose and duration</w:t>
            </w:r>
          </w:p>
        </w:tc>
        <w:tc>
          <w:tcPr>
            <w:tcW w:w="646" w:type="pct"/>
          </w:tcPr>
          <w:p w14:paraId="5EA38F3B" w14:textId="77777777" w:rsidR="00D554B4" w:rsidRPr="00D2098F" w:rsidRDefault="00D554B4" w:rsidP="007F0B21">
            <w:pPr>
              <w:pStyle w:val="In-tableHeading"/>
              <w:rPr>
                <w:lang w:val="en-AU"/>
              </w:rPr>
            </w:pPr>
            <w:r w:rsidRPr="00D2098F">
              <w:rPr>
                <w:lang w:val="en-AU"/>
              </w:rPr>
              <w:t>Migalastat</w:t>
            </w:r>
          </w:p>
          <w:p w14:paraId="43BAC35E" w14:textId="77777777" w:rsidR="00D554B4" w:rsidRPr="00D2098F" w:rsidRDefault="00D554B4" w:rsidP="007F0B21">
            <w:pPr>
              <w:pStyle w:val="In-tableHeading"/>
              <w:rPr>
                <w:lang w:val="en-AU"/>
              </w:rPr>
            </w:pPr>
            <w:r w:rsidRPr="00D2098F">
              <w:rPr>
                <w:lang w:val="en-AU"/>
              </w:rPr>
              <w:t>CMA</w:t>
            </w:r>
          </w:p>
        </w:tc>
        <w:tc>
          <w:tcPr>
            <w:tcW w:w="741" w:type="pct"/>
          </w:tcPr>
          <w:p w14:paraId="6EE5CD6E" w14:textId="77777777" w:rsidR="00D554B4" w:rsidRPr="00D2098F" w:rsidRDefault="00D554B4" w:rsidP="007F0B21">
            <w:pPr>
              <w:pStyle w:val="In-tableHeading"/>
              <w:rPr>
                <w:lang w:val="en-AU"/>
              </w:rPr>
            </w:pPr>
            <w:r w:rsidRPr="00D2098F">
              <w:rPr>
                <w:lang w:val="en-AU"/>
              </w:rPr>
              <w:t>Agalsidase alfa and agalsidase beta</w:t>
            </w:r>
          </w:p>
          <w:p w14:paraId="0106DE77" w14:textId="5F434878" w:rsidR="00D554B4" w:rsidRPr="00D2098F" w:rsidRDefault="00D554B4" w:rsidP="007F0B21">
            <w:pPr>
              <w:pStyle w:val="In-tableHeading"/>
              <w:rPr>
                <w:lang w:val="en-AU"/>
              </w:rPr>
            </w:pPr>
            <w:r w:rsidRPr="00D2098F">
              <w:rPr>
                <w:lang w:val="en-AU"/>
              </w:rPr>
              <w:t>Financial estimates</w:t>
            </w:r>
          </w:p>
        </w:tc>
      </w:tr>
      <w:tr w:rsidR="00D554B4" w:rsidRPr="000F7AFD" w14:paraId="016F4E98" w14:textId="77777777" w:rsidTr="00050DBE">
        <w:trPr>
          <w:cantSplit/>
          <w:jc w:val="center"/>
        </w:trPr>
        <w:tc>
          <w:tcPr>
            <w:tcW w:w="548" w:type="pct"/>
          </w:tcPr>
          <w:p w14:paraId="7E49B7FA" w14:textId="77777777" w:rsidR="00D554B4" w:rsidRPr="00880799" w:rsidRDefault="00D554B4" w:rsidP="0009520E">
            <w:pPr>
              <w:pStyle w:val="TableText0"/>
              <w:rPr>
                <w:vertAlign w:val="superscript"/>
              </w:rPr>
            </w:pPr>
            <w:r w:rsidRPr="0098262F">
              <w:t>Mean dose</w:t>
            </w:r>
          </w:p>
        </w:tc>
        <w:tc>
          <w:tcPr>
            <w:tcW w:w="785" w:type="pct"/>
          </w:tcPr>
          <w:p w14:paraId="6D23F385" w14:textId="42258DBE" w:rsidR="00D554B4" w:rsidRPr="00A32558" w:rsidRDefault="00D554B4" w:rsidP="0009520E">
            <w:pPr>
              <w:pStyle w:val="TableText0"/>
            </w:pPr>
            <w:r w:rsidRPr="00274971">
              <w:t>NR</w:t>
            </w:r>
          </w:p>
        </w:tc>
        <w:tc>
          <w:tcPr>
            <w:tcW w:w="787" w:type="pct"/>
          </w:tcPr>
          <w:p w14:paraId="17421F58" w14:textId="2D7CFD2E" w:rsidR="00D554B4" w:rsidRPr="00783560" w:rsidRDefault="00D554B4" w:rsidP="0009520E">
            <w:pPr>
              <w:pStyle w:val="TableText0"/>
              <w:rPr>
                <w:vertAlign w:val="superscript"/>
              </w:rPr>
            </w:pPr>
            <w:r>
              <w:t xml:space="preserve">78.89 </w:t>
            </w:r>
            <w:proofErr w:type="spellStart"/>
            <w:r w:rsidR="009F0C89">
              <w:t>mg</w:t>
            </w:r>
            <w:r w:rsidR="009F0C89">
              <w:rPr>
                <w:vertAlign w:val="superscript"/>
              </w:rPr>
              <w:t>b</w:t>
            </w:r>
            <w:proofErr w:type="spellEnd"/>
          </w:p>
        </w:tc>
        <w:tc>
          <w:tcPr>
            <w:tcW w:w="786" w:type="pct"/>
          </w:tcPr>
          <w:p w14:paraId="5EB92758" w14:textId="1CECC63F" w:rsidR="00D554B4" w:rsidRPr="004C0DAB" w:rsidRDefault="00D554B4" w:rsidP="0009520E">
            <w:pPr>
              <w:pStyle w:val="TableText0"/>
              <w:rPr>
                <w:vertAlign w:val="superscript"/>
              </w:rPr>
            </w:pPr>
            <w:r>
              <w:t xml:space="preserve">78.9 </w:t>
            </w:r>
            <w:proofErr w:type="spellStart"/>
            <w:r w:rsidR="009F0C89">
              <w:t>mg</w:t>
            </w:r>
            <w:r w:rsidR="009F0C89">
              <w:rPr>
                <w:vertAlign w:val="superscript"/>
              </w:rPr>
              <w:t>b</w:t>
            </w:r>
            <w:proofErr w:type="spellEnd"/>
          </w:p>
        </w:tc>
        <w:tc>
          <w:tcPr>
            <w:tcW w:w="707" w:type="pct"/>
          </w:tcPr>
          <w:p w14:paraId="0027338A" w14:textId="77777777" w:rsidR="00D554B4" w:rsidRPr="00274971" w:rsidRDefault="00D554B4" w:rsidP="0009520E">
            <w:pPr>
              <w:pStyle w:val="TableText0"/>
            </w:pPr>
            <w:r>
              <w:t>NR</w:t>
            </w:r>
          </w:p>
        </w:tc>
        <w:tc>
          <w:tcPr>
            <w:tcW w:w="646" w:type="pct"/>
          </w:tcPr>
          <w:p w14:paraId="7AF0DD11" w14:textId="77777777" w:rsidR="00D554B4" w:rsidRPr="00274971" w:rsidRDefault="00D554B4" w:rsidP="0009520E">
            <w:pPr>
              <w:pStyle w:val="TableText0"/>
            </w:pPr>
            <w:r>
              <w:t>123 mg</w:t>
            </w:r>
          </w:p>
        </w:tc>
        <w:tc>
          <w:tcPr>
            <w:tcW w:w="741" w:type="pct"/>
          </w:tcPr>
          <w:p w14:paraId="055DCE44" w14:textId="77777777" w:rsidR="00D554B4" w:rsidRPr="00043974" w:rsidRDefault="00D554B4" w:rsidP="0009520E">
            <w:pPr>
              <w:pStyle w:val="TableText0"/>
              <w:rPr>
                <w:vertAlign w:val="superscript"/>
                <w:lang w:val="it-IT"/>
              </w:rPr>
            </w:pPr>
            <w:r w:rsidRPr="00043974">
              <w:rPr>
                <w:lang w:val="it-IT"/>
              </w:rPr>
              <w:t>agalsidase alfa: 15.78 mg</w:t>
            </w:r>
            <w:r w:rsidRPr="00043974">
              <w:rPr>
                <w:vertAlign w:val="superscript"/>
                <w:lang w:val="it-IT"/>
              </w:rPr>
              <w:t>c</w:t>
            </w:r>
          </w:p>
          <w:p w14:paraId="7ABEB694" w14:textId="77777777" w:rsidR="00D554B4" w:rsidRPr="00043974" w:rsidRDefault="00D554B4" w:rsidP="0009520E">
            <w:pPr>
              <w:pStyle w:val="TableText0"/>
              <w:rPr>
                <w:vertAlign w:val="superscript"/>
                <w:lang w:val="it-IT"/>
              </w:rPr>
            </w:pPr>
            <w:r w:rsidRPr="00043974">
              <w:rPr>
                <w:lang w:val="it-IT"/>
              </w:rPr>
              <w:t>agalsidase beta: 78.89 mg</w:t>
            </w:r>
            <w:r w:rsidRPr="00043974">
              <w:rPr>
                <w:vertAlign w:val="superscript"/>
                <w:lang w:val="it-IT"/>
              </w:rPr>
              <w:t>c</w:t>
            </w:r>
          </w:p>
        </w:tc>
      </w:tr>
      <w:tr w:rsidR="00BA64E6" w:rsidRPr="00B6687A" w14:paraId="74787451" w14:textId="77777777" w:rsidTr="00050DBE">
        <w:trPr>
          <w:cantSplit/>
          <w:jc w:val="center"/>
        </w:trPr>
        <w:tc>
          <w:tcPr>
            <w:tcW w:w="548" w:type="pct"/>
          </w:tcPr>
          <w:p w14:paraId="0A536639" w14:textId="1526B51F" w:rsidR="00BA64E6" w:rsidRPr="0098262F" w:rsidRDefault="002E40BE" w:rsidP="0009520E">
            <w:pPr>
              <w:pStyle w:val="TableText0"/>
            </w:pPr>
            <w:r>
              <w:t xml:space="preserve">Treatment compliance </w:t>
            </w:r>
          </w:p>
        </w:tc>
        <w:tc>
          <w:tcPr>
            <w:tcW w:w="785" w:type="pct"/>
          </w:tcPr>
          <w:p w14:paraId="3C85424B" w14:textId="62A8515D" w:rsidR="00BA64E6" w:rsidRPr="00274971" w:rsidRDefault="005E663F" w:rsidP="0009520E">
            <w:pPr>
              <w:pStyle w:val="TableText0"/>
            </w:pPr>
            <w:r>
              <w:t>99.24%</w:t>
            </w:r>
          </w:p>
        </w:tc>
        <w:tc>
          <w:tcPr>
            <w:tcW w:w="787" w:type="pct"/>
          </w:tcPr>
          <w:p w14:paraId="5F4D09D1" w14:textId="58409F68" w:rsidR="00BA64E6" w:rsidRDefault="005E663F" w:rsidP="0009520E">
            <w:pPr>
              <w:pStyle w:val="TableText0"/>
            </w:pPr>
            <w:r>
              <w:t>100%</w:t>
            </w:r>
          </w:p>
        </w:tc>
        <w:tc>
          <w:tcPr>
            <w:tcW w:w="786" w:type="pct"/>
          </w:tcPr>
          <w:p w14:paraId="297E7736" w14:textId="39498BE8" w:rsidR="00BA64E6" w:rsidRDefault="005E663F" w:rsidP="0009520E">
            <w:pPr>
              <w:pStyle w:val="TableText0"/>
            </w:pPr>
            <w:r>
              <w:t>100%</w:t>
            </w:r>
          </w:p>
        </w:tc>
        <w:tc>
          <w:tcPr>
            <w:tcW w:w="707" w:type="pct"/>
          </w:tcPr>
          <w:p w14:paraId="73B015C0" w14:textId="77A4F2C4" w:rsidR="00BA64E6" w:rsidRDefault="005E7111" w:rsidP="0009520E">
            <w:pPr>
              <w:pStyle w:val="TableText0"/>
            </w:pPr>
            <w:r>
              <w:t>98.95%</w:t>
            </w:r>
          </w:p>
        </w:tc>
        <w:tc>
          <w:tcPr>
            <w:tcW w:w="646" w:type="pct"/>
          </w:tcPr>
          <w:p w14:paraId="453F5D5D" w14:textId="066A71E2" w:rsidR="00BA64E6" w:rsidRDefault="005E663F" w:rsidP="0009520E">
            <w:pPr>
              <w:pStyle w:val="TableText0"/>
            </w:pPr>
            <w:r>
              <w:t>100%</w:t>
            </w:r>
          </w:p>
        </w:tc>
        <w:tc>
          <w:tcPr>
            <w:tcW w:w="741" w:type="pct"/>
          </w:tcPr>
          <w:p w14:paraId="2AED80F1" w14:textId="5BC3DFAE" w:rsidR="00BA64E6" w:rsidRPr="00D2098F" w:rsidRDefault="005E663F" w:rsidP="0009520E">
            <w:pPr>
              <w:pStyle w:val="TableText0"/>
            </w:pPr>
            <w:r w:rsidRPr="00D2098F">
              <w:t>100%</w:t>
            </w:r>
          </w:p>
        </w:tc>
      </w:tr>
      <w:tr w:rsidR="00D554B4" w:rsidRPr="000F7AFD" w14:paraId="3B452E1D" w14:textId="77777777" w:rsidTr="00050DBE">
        <w:trPr>
          <w:cantSplit/>
          <w:jc w:val="center"/>
        </w:trPr>
        <w:tc>
          <w:tcPr>
            <w:tcW w:w="548" w:type="pct"/>
          </w:tcPr>
          <w:p w14:paraId="7524C62A" w14:textId="6689D313" w:rsidR="00D554B4" w:rsidRPr="0098262F" w:rsidRDefault="00D554B4" w:rsidP="0009520E">
            <w:pPr>
              <w:pStyle w:val="TableText0"/>
            </w:pPr>
            <w:r w:rsidRPr="0098262F">
              <w:t>Cost/patient/</w:t>
            </w:r>
            <w:r w:rsidR="0031003A">
              <w:t>year</w:t>
            </w:r>
          </w:p>
        </w:tc>
        <w:tc>
          <w:tcPr>
            <w:tcW w:w="785" w:type="pct"/>
          </w:tcPr>
          <w:p w14:paraId="1ED32F7F" w14:textId="1F7F52B4" w:rsidR="00D554B4" w:rsidRPr="00631048" w:rsidRDefault="000607AD" w:rsidP="000607AD">
            <w:pPr>
              <w:pStyle w:val="Tabletext"/>
              <w:rPr>
                <w:vertAlign w:val="superscript"/>
              </w:rPr>
            </w:pPr>
            <w:r>
              <w:t>$</w:t>
            </w:r>
            <w:r w:rsidR="0067772E" w:rsidRPr="0067772E">
              <w:rPr>
                <w:color w:val="000000"/>
                <w:spacing w:val="51"/>
                <w:shd w:val="solid" w:color="000000" w:fill="000000"/>
                <w:fitText w:val="326" w:id="-628909554"/>
                <w14:textFill>
                  <w14:solidFill>
                    <w14:srgbClr w14:val="000000">
                      <w14:alpha w14:val="100000"/>
                    </w14:srgbClr>
                  </w14:solidFill>
                </w14:textFill>
              </w:rPr>
              <w:t>|||</w:t>
            </w:r>
            <w:r w:rsidR="0067772E" w:rsidRPr="0067772E">
              <w:rPr>
                <w:color w:val="000000"/>
                <w:spacing w:val="3"/>
                <w:shd w:val="solid" w:color="000000" w:fill="000000"/>
                <w:fitText w:val="326" w:id="-628909554"/>
                <w14:textFill>
                  <w14:solidFill>
                    <w14:srgbClr w14:val="000000">
                      <w14:alpha w14:val="100000"/>
                    </w14:srgbClr>
                  </w14:solidFill>
                </w14:textFill>
              </w:rPr>
              <w:t>|</w:t>
            </w:r>
            <w:r w:rsidR="00666BA0">
              <w:rPr>
                <w:vertAlign w:val="superscript"/>
              </w:rPr>
              <w:t>a</w:t>
            </w:r>
          </w:p>
        </w:tc>
        <w:tc>
          <w:tcPr>
            <w:tcW w:w="787" w:type="pct"/>
          </w:tcPr>
          <w:p w14:paraId="26D1E6E4" w14:textId="0197A4AA" w:rsidR="00D554B4" w:rsidRPr="0098262F" w:rsidRDefault="002A0E64" w:rsidP="0009520E">
            <w:pPr>
              <w:pStyle w:val="TableText0"/>
            </w:pPr>
            <w:r w:rsidRPr="002A0E64">
              <w:t>$</w:t>
            </w:r>
            <w:r w:rsidR="0067772E" w:rsidRPr="0067772E">
              <w:rPr>
                <w:color w:val="000000"/>
                <w:spacing w:val="51"/>
                <w:shd w:val="solid" w:color="000000" w:fill="000000"/>
                <w:fitText w:val="326" w:id="-628909553"/>
                <w14:textFill>
                  <w14:solidFill>
                    <w14:srgbClr w14:val="000000">
                      <w14:alpha w14:val="100000"/>
                    </w14:srgbClr>
                  </w14:solidFill>
                </w14:textFill>
              </w:rPr>
              <w:t>|||</w:t>
            </w:r>
            <w:r w:rsidR="0067772E" w:rsidRPr="0067772E">
              <w:rPr>
                <w:color w:val="000000"/>
                <w:spacing w:val="3"/>
                <w:shd w:val="solid" w:color="000000" w:fill="000000"/>
                <w:fitText w:val="326" w:id="-628909553"/>
                <w14:textFill>
                  <w14:solidFill>
                    <w14:srgbClr w14:val="000000">
                      <w14:alpha w14:val="100000"/>
                    </w14:srgbClr>
                  </w14:solidFill>
                </w14:textFill>
              </w:rPr>
              <w:t>|</w:t>
            </w:r>
            <w:r w:rsidR="009F0C89">
              <w:rPr>
                <w:vertAlign w:val="superscript"/>
              </w:rPr>
              <w:t>c</w:t>
            </w:r>
          </w:p>
        </w:tc>
        <w:tc>
          <w:tcPr>
            <w:tcW w:w="786" w:type="pct"/>
          </w:tcPr>
          <w:p w14:paraId="5D9384CE" w14:textId="7240BF79" w:rsidR="00D554B4" w:rsidRPr="0098262F" w:rsidRDefault="002A0E64" w:rsidP="0009520E">
            <w:pPr>
              <w:pStyle w:val="TableText0"/>
            </w:pPr>
            <w:r w:rsidRPr="002A0E64">
              <w:t>$</w:t>
            </w:r>
            <w:r w:rsidR="0067772E" w:rsidRPr="0067772E">
              <w:rPr>
                <w:color w:val="000000"/>
                <w:spacing w:val="51"/>
                <w:shd w:val="solid" w:color="000000" w:fill="000000"/>
                <w:fitText w:val="326" w:id="-628909552"/>
                <w14:textFill>
                  <w14:solidFill>
                    <w14:srgbClr w14:val="000000">
                      <w14:alpha w14:val="100000"/>
                    </w14:srgbClr>
                  </w14:solidFill>
                </w14:textFill>
              </w:rPr>
              <w:t>|||</w:t>
            </w:r>
            <w:r w:rsidR="0067772E" w:rsidRPr="0067772E">
              <w:rPr>
                <w:color w:val="000000"/>
                <w:spacing w:val="3"/>
                <w:shd w:val="solid" w:color="000000" w:fill="000000"/>
                <w:fitText w:val="326" w:id="-628909552"/>
                <w14:textFill>
                  <w14:solidFill>
                    <w14:srgbClr w14:val="000000">
                      <w14:alpha w14:val="100000"/>
                    </w14:srgbClr>
                  </w14:solidFill>
                </w14:textFill>
              </w:rPr>
              <w:t>|</w:t>
            </w:r>
            <w:r w:rsidR="009F0C89">
              <w:rPr>
                <w:vertAlign w:val="superscript"/>
              </w:rPr>
              <w:t>c</w:t>
            </w:r>
          </w:p>
        </w:tc>
        <w:tc>
          <w:tcPr>
            <w:tcW w:w="707" w:type="pct"/>
          </w:tcPr>
          <w:p w14:paraId="55AD6E5D" w14:textId="53D7C25E" w:rsidR="00D554B4" w:rsidRPr="00D2098F" w:rsidRDefault="00D554B4" w:rsidP="0009520E">
            <w:pPr>
              <w:pStyle w:val="TableText0"/>
              <w:rPr>
                <w:vertAlign w:val="superscript"/>
              </w:rPr>
            </w:pPr>
            <w:r w:rsidRPr="00A1099E">
              <w:t>agalsidase beta: $</w:t>
            </w:r>
            <w:r w:rsidR="00903AB4" w:rsidRPr="00A1099E">
              <w:t>538,476</w:t>
            </w:r>
            <w:r w:rsidR="00903AB4" w:rsidRPr="00A1099E">
              <w:rPr>
                <w:vertAlign w:val="superscript"/>
              </w:rPr>
              <w:t>d</w:t>
            </w:r>
          </w:p>
        </w:tc>
        <w:tc>
          <w:tcPr>
            <w:tcW w:w="646" w:type="pct"/>
          </w:tcPr>
          <w:p w14:paraId="796FBB6D" w14:textId="49D34D81" w:rsidR="00D554B4" w:rsidRPr="00D2098F" w:rsidRDefault="00D554B4" w:rsidP="0009520E">
            <w:pPr>
              <w:pStyle w:val="TableText0"/>
              <w:rPr>
                <w:vertAlign w:val="superscript"/>
              </w:rPr>
            </w:pPr>
            <w:r w:rsidRPr="00D2098F">
              <w:t>$</w:t>
            </w:r>
            <w:r w:rsidR="00747F28" w:rsidRPr="00D2098F">
              <w:t>364</w:t>
            </w:r>
            <w:r w:rsidR="0012647A" w:rsidRPr="00D2098F">
              <w:t>,116</w:t>
            </w:r>
            <w:r w:rsidR="00CC3B22" w:rsidRPr="00D2098F">
              <w:rPr>
                <w:vertAlign w:val="superscript"/>
              </w:rPr>
              <w:t>e</w:t>
            </w:r>
          </w:p>
        </w:tc>
        <w:tc>
          <w:tcPr>
            <w:tcW w:w="741" w:type="pct"/>
          </w:tcPr>
          <w:p w14:paraId="4E76360A" w14:textId="2AC56298" w:rsidR="00D554B4" w:rsidRPr="00A1099E" w:rsidRDefault="00D554B4" w:rsidP="0009520E">
            <w:pPr>
              <w:pStyle w:val="TableText0"/>
              <w:rPr>
                <w:vertAlign w:val="superscript"/>
                <w:lang w:val="it-IT"/>
              </w:rPr>
            </w:pPr>
            <w:r w:rsidRPr="00A1099E">
              <w:rPr>
                <w:lang w:val="it-IT"/>
              </w:rPr>
              <w:t>agalsidase alfa: $</w:t>
            </w:r>
            <w:r w:rsidR="0077299E" w:rsidRPr="00A1099E">
              <w:rPr>
                <w:lang w:val="it-IT"/>
              </w:rPr>
              <w:t>490,</w:t>
            </w:r>
            <w:r w:rsidR="007D13FE" w:rsidRPr="00A1099E">
              <w:rPr>
                <w:lang w:val="it-IT"/>
              </w:rPr>
              <w:t>703</w:t>
            </w:r>
            <w:r w:rsidR="007D13FE" w:rsidRPr="00A1099E">
              <w:rPr>
                <w:vertAlign w:val="superscript"/>
                <w:lang w:val="it-IT"/>
              </w:rPr>
              <w:t>f</w:t>
            </w:r>
          </w:p>
          <w:p w14:paraId="2803F7C6" w14:textId="34B0EED7" w:rsidR="00D554B4" w:rsidRPr="00043974" w:rsidRDefault="00D554B4" w:rsidP="0009520E">
            <w:pPr>
              <w:pStyle w:val="TableText0"/>
              <w:rPr>
                <w:lang w:val="it-IT"/>
              </w:rPr>
            </w:pPr>
            <w:r w:rsidRPr="00A1099E">
              <w:rPr>
                <w:lang w:val="it-IT"/>
              </w:rPr>
              <w:t>agalsidase beta: $</w:t>
            </w:r>
            <w:r w:rsidR="007D13FE" w:rsidRPr="00A1099E">
              <w:rPr>
                <w:lang w:val="it-IT"/>
              </w:rPr>
              <w:t>544,190</w:t>
            </w:r>
            <w:r w:rsidR="007D13FE" w:rsidRPr="00A1099E">
              <w:rPr>
                <w:vertAlign w:val="superscript"/>
                <w:lang w:val="it-IT"/>
              </w:rPr>
              <w:t>g</w:t>
            </w:r>
          </w:p>
        </w:tc>
      </w:tr>
    </w:tbl>
    <w:p w14:paraId="6806D770" w14:textId="77777777" w:rsidR="00D554B4" w:rsidRDefault="00D554B4" w:rsidP="007F0B21">
      <w:pPr>
        <w:pStyle w:val="FooterTableFigure"/>
        <w:keepNext/>
      </w:pPr>
      <w:r w:rsidRPr="0098262F">
        <w:t xml:space="preserve">Source: </w:t>
      </w:r>
      <w:r>
        <w:t xml:space="preserve">Compiled during the evaluation using BALANCE trial data; Attachment 06 Cost Analysis, Attachment 04 Financial Model. </w:t>
      </w:r>
    </w:p>
    <w:p w14:paraId="6983D9C6" w14:textId="6B453799" w:rsidR="00D554B4" w:rsidRDefault="00D554B4" w:rsidP="007F0B21">
      <w:pPr>
        <w:pStyle w:val="FooterTableFigure"/>
        <w:keepNext/>
      </w:pPr>
      <w:r>
        <w:t xml:space="preserve">Abbreviations: CMA, cost-minimisation approach; DPMQ, dispensed price for maximum quantity; </w:t>
      </w:r>
      <w:r w:rsidR="00C867B0">
        <w:t xml:space="preserve">mg, milligram; </w:t>
      </w:r>
      <w:r>
        <w:t>NR, not reported.</w:t>
      </w:r>
    </w:p>
    <w:p w14:paraId="024664F7" w14:textId="75AA94EE" w:rsidR="00D554B4" w:rsidRDefault="00D554B4" w:rsidP="007F0B21">
      <w:pPr>
        <w:pStyle w:val="FooterTableFigure"/>
        <w:keepNext/>
      </w:pPr>
      <w:r>
        <w:rPr>
          <w:vertAlign w:val="superscript"/>
        </w:rPr>
        <w:t>a</w:t>
      </w:r>
      <w:r>
        <w:t xml:space="preserve"> </w:t>
      </w:r>
      <w:r w:rsidR="00E56BB9" w:rsidRPr="00FB25F6">
        <w:t xml:space="preserve">Calculated based on </w:t>
      </w:r>
      <w:r w:rsidR="00E56BB9">
        <w:t>recommended dose and mean</w:t>
      </w:r>
      <w:r w:rsidR="00EC1258">
        <w:t xml:space="preserve"> body weight reported in </w:t>
      </w:r>
      <w:r w:rsidR="00E1587F">
        <w:t xml:space="preserve">the </w:t>
      </w:r>
      <w:r w:rsidR="00EC1258">
        <w:t>BALANCE trial</w:t>
      </w:r>
      <w:r w:rsidR="00291A96">
        <w:t xml:space="preserve"> (</w:t>
      </w:r>
      <w:r w:rsidR="000537E7">
        <w:t>104.4 vials per year)</w:t>
      </w:r>
      <w:r w:rsidR="00EC1258">
        <w:t xml:space="preserve"> using</w:t>
      </w:r>
      <w:r w:rsidR="000537E7">
        <w:t xml:space="preserve"> </w:t>
      </w:r>
      <w:r w:rsidR="00B424B0">
        <w:t xml:space="preserve">the </w:t>
      </w:r>
      <w:r w:rsidR="000537E7">
        <w:t>submission’s proposed AEMP for</w:t>
      </w:r>
      <w:r w:rsidR="00EC1258">
        <w:t xml:space="preserve"> </w:t>
      </w:r>
      <w:r w:rsidR="00E56BB9">
        <w:t>pegunigalsidase alfa</w:t>
      </w:r>
      <w:r w:rsidR="000537E7">
        <w:t xml:space="preserve"> (</w:t>
      </w:r>
      <w:r w:rsidR="00F81F46">
        <w:t>$</w:t>
      </w:r>
      <w:r w:rsidR="0067772E" w:rsidRPr="0067772E">
        <w:rPr>
          <w:color w:val="000000"/>
          <w:spacing w:val="40"/>
          <w:shd w:val="solid" w:color="000000" w:fill="000000"/>
          <w:fitText w:val="280" w:id="-628909568"/>
          <w14:textFill>
            <w14:solidFill>
              <w14:srgbClr w14:val="000000">
                <w14:alpha w14:val="100000"/>
              </w14:srgbClr>
            </w14:solidFill>
          </w14:textFill>
        </w:rPr>
        <w:t xml:space="preserve">|  </w:t>
      </w:r>
      <w:r w:rsidR="0067772E" w:rsidRPr="0067772E">
        <w:rPr>
          <w:color w:val="000000"/>
          <w:spacing w:val="2"/>
          <w:shd w:val="solid" w:color="000000" w:fill="000000"/>
          <w:fitText w:val="280" w:id="-628909568"/>
          <w14:textFill>
            <w14:solidFill>
              <w14:srgbClr w14:val="000000">
                <w14:alpha w14:val="100000"/>
              </w14:srgbClr>
            </w14:solidFill>
          </w14:textFill>
        </w:rPr>
        <w:t>|</w:t>
      </w:r>
      <w:r w:rsidR="00F81F46">
        <w:t>)</w:t>
      </w:r>
      <w:r w:rsidR="00E56BB9">
        <w:t xml:space="preserve"> </w:t>
      </w:r>
      <w:r w:rsidR="00EC1258">
        <w:t xml:space="preserve">and adjusted for compliance rate. </w:t>
      </w:r>
    </w:p>
    <w:p w14:paraId="619BF7A6" w14:textId="12864E2B" w:rsidR="00D554B4" w:rsidRDefault="00D554B4" w:rsidP="007F0B21">
      <w:pPr>
        <w:pStyle w:val="FooterTableFigure"/>
        <w:keepNext/>
      </w:pPr>
      <w:r>
        <w:rPr>
          <w:vertAlign w:val="superscript"/>
        </w:rPr>
        <w:t>b</w:t>
      </w:r>
      <w:r>
        <w:t xml:space="preserve"> </w:t>
      </w:r>
      <w:r w:rsidR="009F0C89">
        <w:t>Based on mean body weight (78.89 kg) reported in the BALANCE trial.</w:t>
      </w:r>
      <w:r>
        <w:t xml:space="preserve"> .</w:t>
      </w:r>
    </w:p>
    <w:p w14:paraId="377883AF" w14:textId="1BAC233B" w:rsidR="00D554B4" w:rsidRDefault="00D554B4" w:rsidP="007F0B21">
      <w:pPr>
        <w:pStyle w:val="FooterTableFigure"/>
        <w:keepNext/>
      </w:pPr>
      <w:r>
        <w:rPr>
          <w:vertAlign w:val="superscript"/>
        </w:rPr>
        <w:t>c</w:t>
      </w:r>
      <w:r>
        <w:t xml:space="preserve"> </w:t>
      </w:r>
      <w:r w:rsidR="009F0C89" w:rsidRPr="00FB25F6">
        <w:t>Calculated based on</w:t>
      </w:r>
      <w:r w:rsidR="00B424B0">
        <w:t xml:space="preserve"> the</w:t>
      </w:r>
      <w:r w:rsidR="009F0C89" w:rsidRPr="00FB25F6">
        <w:t xml:space="preserve"> </w:t>
      </w:r>
      <w:r w:rsidR="009F0C89">
        <w:t>recommended dose and mean body weight reported in</w:t>
      </w:r>
      <w:r w:rsidR="00B424B0">
        <w:t xml:space="preserve"> the</w:t>
      </w:r>
      <w:r w:rsidR="009F0C89">
        <w:t xml:space="preserve"> BALANCE trial (104.4 vials per year) using</w:t>
      </w:r>
      <w:r w:rsidR="00B424B0">
        <w:t xml:space="preserve"> the</w:t>
      </w:r>
      <w:r w:rsidR="009F0C89">
        <w:t xml:space="preserve"> submission’s proposed AEMP for pegunigalsidase alfa ($</w:t>
      </w:r>
      <w:r w:rsidR="0067772E" w:rsidRPr="0067772E">
        <w:rPr>
          <w:color w:val="000000"/>
          <w:spacing w:val="40"/>
          <w:shd w:val="solid" w:color="000000" w:fill="000000"/>
          <w:fitText w:val="280" w:id="-628909567"/>
          <w14:textFill>
            <w14:solidFill>
              <w14:srgbClr w14:val="000000">
                <w14:alpha w14:val="100000"/>
              </w14:srgbClr>
            </w14:solidFill>
          </w14:textFill>
        </w:rPr>
        <w:t xml:space="preserve">|  </w:t>
      </w:r>
      <w:r w:rsidR="0067772E" w:rsidRPr="0067772E">
        <w:rPr>
          <w:color w:val="000000"/>
          <w:spacing w:val="2"/>
          <w:shd w:val="solid" w:color="000000" w:fill="000000"/>
          <w:fitText w:val="280" w:id="-628909567"/>
          <w14:textFill>
            <w14:solidFill>
              <w14:srgbClr w14:val="000000">
                <w14:alpha w14:val="100000"/>
              </w14:srgbClr>
            </w14:solidFill>
          </w14:textFill>
        </w:rPr>
        <w:t>|</w:t>
      </w:r>
      <w:r w:rsidR="009F0C89">
        <w:t>).</w:t>
      </w:r>
    </w:p>
    <w:p w14:paraId="50E66CE1" w14:textId="5521CC69" w:rsidR="00BF126F" w:rsidRPr="00ED087D" w:rsidRDefault="00D554B4" w:rsidP="007F0B21">
      <w:pPr>
        <w:pStyle w:val="FooterTableFigure"/>
        <w:keepNext/>
      </w:pPr>
      <w:r>
        <w:rPr>
          <w:vertAlign w:val="superscript"/>
        </w:rPr>
        <w:t>d</w:t>
      </w:r>
      <w:r>
        <w:t xml:space="preserve"> </w:t>
      </w:r>
      <w:r w:rsidR="00903AB4" w:rsidRPr="00FB25F6">
        <w:t>Calculated based on</w:t>
      </w:r>
      <w:r w:rsidR="00D73632">
        <w:t xml:space="preserve"> the</w:t>
      </w:r>
      <w:r w:rsidR="00903AB4" w:rsidRPr="00FB25F6">
        <w:t xml:space="preserve"> </w:t>
      </w:r>
      <w:r w:rsidR="00903AB4">
        <w:t xml:space="preserve">recommended dose and mean body weight </w:t>
      </w:r>
      <w:r w:rsidR="00903AB4" w:rsidRPr="00ED087D">
        <w:t xml:space="preserve">reported in </w:t>
      </w:r>
      <w:r w:rsidR="00D73632" w:rsidRPr="00ED087D">
        <w:t xml:space="preserve">the </w:t>
      </w:r>
      <w:r w:rsidR="00903AB4" w:rsidRPr="00ED087D">
        <w:t>BALANCE trial (52.18</w:t>
      </w:r>
      <w:r w:rsidR="0072057C" w:rsidRPr="00ED087D">
        <w:t xml:space="preserve"> vials of 5 mg and 52.18 vials of 35 mg </w:t>
      </w:r>
      <w:r w:rsidR="00903AB4" w:rsidRPr="00ED087D">
        <w:t xml:space="preserve">per year) using </w:t>
      </w:r>
      <w:r w:rsidR="0065790B" w:rsidRPr="00ED087D">
        <w:t xml:space="preserve">the </w:t>
      </w:r>
      <w:r w:rsidR="00903AB4" w:rsidRPr="00ED087D">
        <w:t xml:space="preserve">submission’s </w:t>
      </w:r>
      <w:r w:rsidR="0072057C" w:rsidRPr="00ED087D">
        <w:t>assumed</w:t>
      </w:r>
      <w:r w:rsidR="00903AB4" w:rsidRPr="00ED087D">
        <w:t xml:space="preserve"> AEMP for </w:t>
      </w:r>
      <w:r w:rsidR="0072057C" w:rsidRPr="00ED087D">
        <w:t>agalsidase beta</w:t>
      </w:r>
      <w:r w:rsidR="00903AB4" w:rsidRPr="00ED087D">
        <w:t xml:space="preserve"> </w:t>
      </w:r>
      <w:r w:rsidR="00CC3B22" w:rsidRPr="00ED087D">
        <w:t>($1,303.64 for 5 mg and $9,125.45 for 35 mg)</w:t>
      </w:r>
      <w:r w:rsidR="00903AB4" w:rsidRPr="00ED087D">
        <w:t xml:space="preserve"> and adjusted for compliance rate.</w:t>
      </w:r>
    </w:p>
    <w:p w14:paraId="064E8F04" w14:textId="76077F9F" w:rsidR="00D554B4" w:rsidRPr="00ED087D" w:rsidRDefault="00D554B4" w:rsidP="007F0B21">
      <w:pPr>
        <w:pStyle w:val="FooterTableFigure"/>
        <w:keepNext/>
      </w:pPr>
      <w:r w:rsidRPr="00ED087D">
        <w:rPr>
          <w:vertAlign w:val="superscript"/>
        </w:rPr>
        <w:t xml:space="preserve">e </w:t>
      </w:r>
      <w:r w:rsidR="00CC3B22" w:rsidRPr="00ED087D">
        <w:t>Calculated using migalastat AEMP ($</w:t>
      </w:r>
      <w:r w:rsidR="00A3544C" w:rsidRPr="00ED087D">
        <w:t>27,913.85</w:t>
      </w:r>
      <w:r w:rsidR="00CC3B22" w:rsidRPr="00ED087D">
        <w:t>) and number of scripts (13.04</w:t>
      </w:r>
      <w:r w:rsidR="00E9189F" w:rsidRPr="00ED087D">
        <w:t>).</w:t>
      </w:r>
    </w:p>
    <w:p w14:paraId="0ED13119" w14:textId="063B79CC" w:rsidR="00D554B4" w:rsidRDefault="00D554B4" w:rsidP="009D09F4">
      <w:pPr>
        <w:pStyle w:val="FooterTableFigure"/>
      </w:pPr>
      <w:r w:rsidRPr="00ED087D">
        <w:rPr>
          <w:vertAlign w:val="superscript"/>
        </w:rPr>
        <w:t>f</w:t>
      </w:r>
      <w:r w:rsidRPr="00ED087D">
        <w:t xml:space="preserve"> </w:t>
      </w:r>
      <w:r w:rsidR="00BF126F" w:rsidRPr="00ED087D">
        <w:t xml:space="preserve">Calculated based on </w:t>
      </w:r>
      <w:r w:rsidR="0065790B" w:rsidRPr="00ED087D">
        <w:t xml:space="preserve">the </w:t>
      </w:r>
      <w:r w:rsidR="00BF126F" w:rsidRPr="00ED087D">
        <w:t xml:space="preserve">recommended dose and mean body weight reported in </w:t>
      </w:r>
      <w:r w:rsidR="0065790B" w:rsidRPr="00ED087D">
        <w:t xml:space="preserve">the </w:t>
      </w:r>
      <w:r w:rsidR="00BF126F" w:rsidRPr="00ED087D">
        <w:t>BALANCE trial (</w:t>
      </w:r>
      <w:r w:rsidR="009C18CB" w:rsidRPr="00ED087D">
        <w:t>4.51 vials</w:t>
      </w:r>
      <w:r w:rsidR="00BF126F" w:rsidRPr="00ED087D">
        <w:t xml:space="preserve"> per year) using </w:t>
      </w:r>
      <w:r w:rsidR="00617458" w:rsidRPr="00ED087D">
        <w:t xml:space="preserve">the </w:t>
      </w:r>
      <w:r w:rsidR="00BF126F" w:rsidRPr="00ED087D">
        <w:t xml:space="preserve">submission’s assumed AEMP for agalsidase </w:t>
      </w:r>
      <w:r w:rsidR="009C18CB" w:rsidRPr="00ED087D">
        <w:t>alfa</w:t>
      </w:r>
      <w:r w:rsidR="00BF126F" w:rsidRPr="00ED087D">
        <w:t xml:space="preserve"> ($</w:t>
      </w:r>
      <w:r w:rsidR="0020627E" w:rsidRPr="00ED087D">
        <w:t>4,171.63</w:t>
      </w:r>
      <w:r w:rsidR="00BF126F" w:rsidRPr="00ED087D">
        <w:t>).</w:t>
      </w:r>
    </w:p>
    <w:p w14:paraId="62C294B1" w14:textId="54153582" w:rsidR="0020627E" w:rsidRPr="0020627E" w:rsidRDefault="0020627E" w:rsidP="009D09F4">
      <w:pPr>
        <w:pStyle w:val="FooterTableFigure"/>
      </w:pPr>
      <w:r>
        <w:rPr>
          <w:vertAlign w:val="superscript"/>
        </w:rPr>
        <w:t>g</w:t>
      </w:r>
      <w:r>
        <w:t xml:space="preserve"> Same as for d </w:t>
      </w:r>
      <w:r w:rsidR="00C46CAD">
        <w:t xml:space="preserve">with 100% compliance rate. </w:t>
      </w:r>
    </w:p>
    <w:p w14:paraId="53EB7503" w14:textId="5F2939E0" w:rsidR="00501B6E" w:rsidRDefault="00D73C4B" w:rsidP="00310FDC">
      <w:pPr>
        <w:pStyle w:val="3-BodyText"/>
      </w:pPr>
      <w:r>
        <w:t xml:space="preserve">The </w:t>
      </w:r>
      <w:r w:rsidR="0042490F">
        <w:t>estimated drug cost/patient/year would be $</w:t>
      </w:r>
      <w:r w:rsidR="0067772E" w:rsidRPr="0067772E">
        <w:rPr>
          <w:color w:val="000000"/>
          <w:w w:val="62"/>
          <w:shd w:val="solid" w:color="000000" w:fill="000000"/>
          <w:fitText w:val="480" w:id="-628909566"/>
          <w14:textFill>
            <w14:solidFill>
              <w14:srgbClr w14:val="000000">
                <w14:alpha w14:val="100000"/>
              </w14:srgbClr>
            </w14:solidFill>
          </w14:textFill>
        </w:rPr>
        <w:t>|||  ||</w:t>
      </w:r>
      <w:r w:rsidR="0067772E" w:rsidRPr="0067772E">
        <w:rPr>
          <w:color w:val="000000"/>
          <w:spacing w:val="2"/>
          <w:w w:val="62"/>
          <w:shd w:val="solid" w:color="000000" w:fill="000000"/>
          <w:fitText w:val="480" w:id="-628909566"/>
          <w14:textFill>
            <w14:solidFill>
              <w14:srgbClr w14:val="000000">
                <w14:alpha w14:val="100000"/>
              </w14:srgbClr>
            </w14:solidFill>
          </w14:textFill>
        </w:rPr>
        <w:t>|</w:t>
      </w:r>
      <w:r w:rsidR="00617458">
        <w:t xml:space="preserve"> </w:t>
      </w:r>
      <w:r w:rsidR="0042490F">
        <w:t xml:space="preserve">based on </w:t>
      </w:r>
      <w:r w:rsidR="00C8471D">
        <w:t>the submission’s proposed AEMP of $</w:t>
      </w:r>
      <w:r w:rsidR="0067772E" w:rsidRPr="00F3513A">
        <w:rPr>
          <w:color w:val="000000"/>
          <w:w w:val="15"/>
          <w:shd w:val="solid" w:color="000000" w:fill="000000"/>
          <w:fitText w:val="-20" w:id="-628909565"/>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65"/>
          <w14:textFill>
            <w14:solidFill>
              <w14:srgbClr w14:val="000000">
                <w14:alpha w14:val="100000"/>
              </w14:srgbClr>
            </w14:solidFill>
          </w14:textFill>
        </w:rPr>
        <w:t>|</w:t>
      </w:r>
      <w:r w:rsidR="003F4424">
        <w:t xml:space="preserve"> per vial of pegunigalsidase alfa </w:t>
      </w:r>
      <w:r w:rsidR="002F3DB2">
        <w:t>and assuming a mean body weight of 78.89 kg (based on</w:t>
      </w:r>
      <w:r w:rsidR="00207F9A">
        <w:t xml:space="preserve"> the</w:t>
      </w:r>
      <w:r w:rsidR="002F3DB2">
        <w:t xml:space="preserve"> BALANCE trial) and 100% compliance</w:t>
      </w:r>
      <w:r w:rsidR="00630BEC">
        <w:t>.</w:t>
      </w:r>
    </w:p>
    <w:p w14:paraId="268768EF" w14:textId="6A27B774" w:rsidR="00B60939" w:rsidRPr="0098262F" w:rsidRDefault="00B60939" w:rsidP="009D09F4">
      <w:pPr>
        <w:pStyle w:val="4-SubsectionHeading"/>
        <w:keepNext w:val="0"/>
      </w:pPr>
      <w:bookmarkStart w:id="76" w:name="_Toc198734230"/>
      <w:r w:rsidRPr="0098262F">
        <w:t>Estimated PBS usage &amp; financial implications</w:t>
      </w:r>
      <w:bookmarkEnd w:id="75"/>
      <w:bookmarkEnd w:id="76"/>
    </w:p>
    <w:p w14:paraId="737DA721" w14:textId="617DC53D" w:rsidR="00E52029" w:rsidRPr="005C7560" w:rsidRDefault="00E52029" w:rsidP="009D09F4">
      <w:pPr>
        <w:pStyle w:val="3-BodyText"/>
        <w:rPr>
          <w:color w:val="0066FF"/>
        </w:rPr>
      </w:pPr>
      <w:bookmarkStart w:id="77" w:name="_Toc22897648"/>
      <w:r w:rsidRPr="0098262F">
        <w:lastRenderedPageBreak/>
        <w:t xml:space="preserve">This submission </w:t>
      </w:r>
      <w:r w:rsidR="008E0469">
        <w:t>was</w:t>
      </w:r>
      <w:r w:rsidRPr="0098262F">
        <w:t xml:space="preserve"> </w:t>
      </w:r>
      <w:r>
        <w:t>not</w:t>
      </w:r>
      <w:r w:rsidRPr="0098262F">
        <w:t xml:space="preserve"> considered by DUSC</w:t>
      </w:r>
      <w:r>
        <w:t>.</w:t>
      </w:r>
    </w:p>
    <w:p w14:paraId="3681909B" w14:textId="5B86D61B" w:rsidR="00E52029" w:rsidRDefault="00E52029" w:rsidP="009D09F4">
      <w:pPr>
        <w:pStyle w:val="3-BodyText"/>
      </w:pPr>
      <w:r w:rsidRPr="005C7560">
        <w:t>The submission used a mixed method approach to estimate the predicted use and cost of the requested PBS listing of pegunigalsidase alfa for</w:t>
      </w:r>
      <w:r w:rsidR="00A75C47">
        <w:t xml:space="preserve"> the</w:t>
      </w:r>
      <w:r w:rsidRPr="005C7560">
        <w:t xml:space="preserve"> treatment of FD in patients with end-organ damage. In the absence of utilisation and cost data from the LSDP for agalsidase alfa and agalsidase beta, the submission calculated the number of patients eligible for treatment with pegunigalsidase alfa using an epidemiological approach and then applied a market share approach to estimate the uptake of pegunigalsidase alfa over a six-year period.</w:t>
      </w:r>
    </w:p>
    <w:p w14:paraId="23954847" w14:textId="35E1B4AB" w:rsidR="00992CAF" w:rsidRDefault="00E52029" w:rsidP="009D09F4">
      <w:pPr>
        <w:pStyle w:val="3-BodyText"/>
      </w:pPr>
      <w:r>
        <w:t xml:space="preserve">The key inputs used in the financial analysis are summarised in </w:t>
      </w:r>
      <w:r>
        <w:fldChar w:fldCharType="begin" w:fldLock="1"/>
      </w:r>
      <w:r>
        <w:instrText xml:space="preserve"> REF _Ref104805262 \h </w:instrText>
      </w:r>
      <w:r>
        <w:fldChar w:fldCharType="separate"/>
      </w:r>
      <w:r w:rsidR="009F0E3C" w:rsidRPr="0098262F">
        <w:t>Table</w:t>
      </w:r>
      <w:r w:rsidR="005F7FBD">
        <w:t xml:space="preserve"> 13</w:t>
      </w:r>
      <w:r w:rsidR="009F0E3C" w:rsidRPr="0098262F">
        <w:t xml:space="preserve"> </w:t>
      </w:r>
      <w:r>
        <w:fldChar w:fldCharType="end"/>
      </w:r>
      <w:r>
        <w:t>.</w:t>
      </w:r>
    </w:p>
    <w:p w14:paraId="181BF1C0" w14:textId="77777777" w:rsidR="00992CAF" w:rsidRDefault="00992CAF">
      <w:pPr>
        <w:jc w:val="left"/>
        <w:rPr>
          <w:rFonts w:asciiTheme="minorHAnsi" w:eastAsiaTheme="minorHAnsi" w:hAnsiTheme="minorHAnsi" w:cstheme="minorBidi"/>
          <w:szCs w:val="22"/>
        </w:rPr>
      </w:pPr>
      <w:r>
        <w:br w:type="page"/>
      </w:r>
    </w:p>
    <w:p w14:paraId="31028796" w14:textId="7545D513" w:rsidR="00E52029" w:rsidRDefault="00E52029" w:rsidP="00D221FF">
      <w:pPr>
        <w:pStyle w:val="Caption"/>
        <w:keepNext w:val="0"/>
        <w:keepLines w:val="0"/>
        <w:rPr>
          <w:rStyle w:val="CommentReference"/>
          <w:b/>
          <w:szCs w:val="24"/>
        </w:rPr>
      </w:pPr>
      <w:bookmarkStart w:id="78" w:name="_Ref204936926"/>
      <w:bookmarkStart w:id="79" w:name="_Ref104805262"/>
      <w:r w:rsidRPr="0098262F">
        <w:lastRenderedPageBreak/>
        <w:t>Table</w:t>
      </w:r>
      <w:r w:rsidR="005F7FBD">
        <w:t xml:space="preserve"> 1</w:t>
      </w:r>
      <w:r w:rsidR="00C05853">
        <w:t>3</w:t>
      </w:r>
      <w:bookmarkEnd w:id="78"/>
      <w:r w:rsidRPr="0098262F">
        <w:t xml:space="preserve"> </w:t>
      </w:r>
      <w:r>
        <w:fldChar w:fldCharType="begin" w:fldLock="1"/>
      </w:r>
      <w:r>
        <w:instrText>SEQ Table \* ARABIC</w:instrText>
      </w:r>
      <w:r>
        <w:fldChar w:fldCharType="separate"/>
      </w:r>
      <w:r>
        <w:fldChar w:fldCharType="end"/>
      </w:r>
      <w:bookmarkEnd w:id="79"/>
      <w:r w:rsidRPr="0098262F">
        <w:t>:</w:t>
      </w:r>
      <w:r w:rsidRPr="0098262F">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 Key inputs for financial estimates"/>
      </w:tblPr>
      <w:tblGrid>
        <w:gridCol w:w="1457"/>
        <w:gridCol w:w="1273"/>
        <w:gridCol w:w="1974"/>
        <w:gridCol w:w="4476"/>
      </w:tblGrid>
      <w:tr w:rsidR="00E52029" w:rsidRPr="0098262F" w14:paraId="7C5F767F" w14:textId="77777777" w:rsidTr="00992CAF">
        <w:trPr>
          <w:tblHeader/>
        </w:trPr>
        <w:tc>
          <w:tcPr>
            <w:tcW w:w="1457" w:type="dxa"/>
          </w:tcPr>
          <w:p w14:paraId="49185D62" w14:textId="77777777" w:rsidR="00E52029" w:rsidRPr="00D2098F" w:rsidRDefault="00E52029" w:rsidP="00D221FF">
            <w:pPr>
              <w:pStyle w:val="In-tableHeading"/>
              <w:keepNext w:val="0"/>
              <w:keepLines w:val="0"/>
              <w:rPr>
                <w:lang w:val="en-AU"/>
              </w:rPr>
            </w:pPr>
            <w:r w:rsidRPr="00D2098F">
              <w:rPr>
                <w:lang w:val="en-AU"/>
              </w:rPr>
              <w:t>Data</w:t>
            </w:r>
          </w:p>
        </w:tc>
        <w:tc>
          <w:tcPr>
            <w:tcW w:w="1273" w:type="dxa"/>
          </w:tcPr>
          <w:p w14:paraId="46C354EA" w14:textId="77777777" w:rsidR="00E52029" w:rsidRPr="00D2098F" w:rsidRDefault="00E52029" w:rsidP="00D221FF">
            <w:pPr>
              <w:pStyle w:val="In-tableHeading"/>
              <w:keepNext w:val="0"/>
              <w:keepLines w:val="0"/>
              <w:rPr>
                <w:lang w:val="en-AU"/>
              </w:rPr>
            </w:pPr>
            <w:r w:rsidRPr="00D2098F">
              <w:rPr>
                <w:lang w:val="en-AU"/>
              </w:rPr>
              <w:t>Value</w:t>
            </w:r>
          </w:p>
        </w:tc>
        <w:tc>
          <w:tcPr>
            <w:tcW w:w="1974" w:type="dxa"/>
          </w:tcPr>
          <w:p w14:paraId="4E9D6674" w14:textId="77777777" w:rsidR="00E52029" w:rsidRPr="00D2098F" w:rsidRDefault="00E52029" w:rsidP="00D221FF">
            <w:pPr>
              <w:pStyle w:val="In-tableHeading"/>
              <w:keepNext w:val="0"/>
              <w:keepLines w:val="0"/>
              <w:rPr>
                <w:lang w:val="en-AU"/>
              </w:rPr>
            </w:pPr>
            <w:r w:rsidRPr="00D2098F">
              <w:rPr>
                <w:lang w:val="en-AU"/>
              </w:rPr>
              <w:t>Source</w:t>
            </w:r>
          </w:p>
        </w:tc>
        <w:tc>
          <w:tcPr>
            <w:tcW w:w="4476" w:type="dxa"/>
          </w:tcPr>
          <w:p w14:paraId="07705AFE" w14:textId="77777777" w:rsidR="00E52029" w:rsidRPr="00D2098F" w:rsidRDefault="00E52029" w:rsidP="00D221FF">
            <w:pPr>
              <w:pStyle w:val="In-tableHeading"/>
              <w:keepNext w:val="0"/>
              <w:keepLines w:val="0"/>
              <w:rPr>
                <w:lang w:val="en-AU"/>
              </w:rPr>
            </w:pPr>
            <w:r w:rsidRPr="00D2098F">
              <w:rPr>
                <w:lang w:val="en-AU"/>
              </w:rPr>
              <w:t>Comment</w:t>
            </w:r>
          </w:p>
        </w:tc>
      </w:tr>
      <w:tr w:rsidR="00E52029" w:rsidRPr="0098262F" w14:paraId="5FB6E387" w14:textId="77777777" w:rsidTr="00992CAF">
        <w:tc>
          <w:tcPr>
            <w:tcW w:w="9180" w:type="dxa"/>
            <w:gridSpan w:val="4"/>
          </w:tcPr>
          <w:p w14:paraId="7551D720" w14:textId="77777777" w:rsidR="00E52029" w:rsidRPr="00D2098F" w:rsidRDefault="00E52029" w:rsidP="00D221FF">
            <w:pPr>
              <w:pStyle w:val="In-tableHeading"/>
              <w:keepNext w:val="0"/>
              <w:keepLines w:val="0"/>
              <w:rPr>
                <w:lang w:val="en-AU"/>
              </w:rPr>
            </w:pPr>
            <w:r w:rsidRPr="00D2098F">
              <w:rPr>
                <w:lang w:val="en-AU"/>
              </w:rPr>
              <w:t>Eligible population treated with ERTs</w:t>
            </w:r>
          </w:p>
        </w:tc>
      </w:tr>
      <w:tr w:rsidR="00E52029" w:rsidRPr="0098262F" w14:paraId="185B8EA1" w14:textId="77777777" w:rsidTr="00992CAF">
        <w:tc>
          <w:tcPr>
            <w:tcW w:w="1457" w:type="dxa"/>
          </w:tcPr>
          <w:p w14:paraId="0643AA75" w14:textId="77777777" w:rsidR="00E52029" w:rsidRPr="0098262F" w:rsidRDefault="00E52029" w:rsidP="00D221FF">
            <w:pPr>
              <w:pStyle w:val="TableText0"/>
              <w:keepNext w:val="0"/>
              <w:keepLines w:val="0"/>
            </w:pPr>
            <w:r>
              <w:t>Prevalence rate of FD</w:t>
            </w:r>
          </w:p>
        </w:tc>
        <w:tc>
          <w:tcPr>
            <w:tcW w:w="1273" w:type="dxa"/>
          </w:tcPr>
          <w:p w14:paraId="6CEEFA02" w14:textId="77777777" w:rsidR="00E52029" w:rsidRPr="0098262F" w:rsidRDefault="00E52029" w:rsidP="00D221FF">
            <w:pPr>
              <w:pStyle w:val="TableText0"/>
              <w:keepNext w:val="0"/>
              <w:keepLines w:val="0"/>
            </w:pPr>
            <w:r>
              <w:t>2.41 per 100,000</w:t>
            </w:r>
          </w:p>
        </w:tc>
        <w:tc>
          <w:tcPr>
            <w:tcW w:w="1974" w:type="dxa"/>
          </w:tcPr>
          <w:p w14:paraId="26F9FEB6" w14:textId="77777777" w:rsidR="00E52029" w:rsidRPr="0098262F" w:rsidRDefault="00E52029" w:rsidP="00D221FF">
            <w:pPr>
              <w:pStyle w:val="TableText0"/>
              <w:keepNext w:val="0"/>
              <w:keepLines w:val="0"/>
            </w:pPr>
            <w:r>
              <w:t>Prevalence rate used in the migalastat March 2024 PSD.</w:t>
            </w:r>
          </w:p>
        </w:tc>
        <w:tc>
          <w:tcPr>
            <w:tcW w:w="4476" w:type="dxa"/>
          </w:tcPr>
          <w:p w14:paraId="5FAD59D1" w14:textId="372DBFC2" w:rsidR="00E52029" w:rsidRPr="000B4FAD" w:rsidRDefault="006A453A" w:rsidP="00D221FF">
            <w:pPr>
              <w:pStyle w:val="TableText0"/>
              <w:keepNext w:val="0"/>
              <w:keepLines w:val="0"/>
            </w:pPr>
            <w:r w:rsidRPr="000B4FAD">
              <w:t xml:space="preserve"> In June 2022, the LSDP</w:t>
            </w:r>
            <w:r w:rsidR="00772E00" w:rsidRPr="000B4FAD">
              <w:t xml:space="preserve"> EP</w:t>
            </w:r>
            <w:r w:rsidR="00607CE3" w:rsidRPr="000B4FAD">
              <w:t xml:space="preserve"> advised that, based on recently available evidence, Fabry disease no longer meets the prevalence </w:t>
            </w:r>
            <w:r w:rsidR="00A05EF5" w:rsidRPr="000B4FAD">
              <w:t>(1:50,000 threshold)</w:t>
            </w:r>
            <w:r w:rsidR="00607CE3" w:rsidRPr="000B4FAD">
              <w:t xml:space="preserve"> criterion for the LSDP. </w:t>
            </w:r>
            <w:r w:rsidR="000E2E31" w:rsidRPr="000B4FAD">
              <w:t xml:space="preserve">The rate applied in the submission appears reasonable based on previous PBAC considerations for FD, although noting the actual prevalence rate in Australia remains uncertain. </w:t>
            </w:r>
          </w:p>
        </w:tc>
      </w:tr>
      <w:tr w:rsidR="00E52029" w:rsidRPr="0098262F" w14:paraId="37C07427" w14:textId="77777777" w:rsidTr="00992CAF">
        <w:tc>
          <w:tcPr>
            <w:tcW w:w="1457" w:type="dxa"/>
          </w:tcPr>
          <w:p w14:paraId="0B7B78F4" w14:textId="77777777" w:rsidR="00E52029" w:rsidRPr="0098262F" w:rsidRDefault="00E52029" w:rsidP="00D221FF">
            <w:pPr>
              <w:pStyle w:val="TableText0"/>
              <w:keepNext w:val="0"/>
              <w:keepLines w:val="0"/>
            </w:pPr>
            <w:r>
              <w:t>Prevalence growth rate</w:t>
            </w:r>
          </w:p>
        </w:tc>
        <w:tc>
          <w:tcPr>
            <w:tcW w:w="1273" w:type="dxa"/>
          </w:tcPr>
          <w:p w14:paraId="1ADBE08A" w14:textId="77777777" w:rsidR="00E52029" w:rsidRPr="0098262F" w:rsidRDefault="00E52029" w:rsidP="00D221FF">
            <w:pPr>
              <w:pStyle w:val="TableText0"/>
              <w:keepNext w:val="0"/>
              <w:keepLines w:val="0"/>
            </w:pPr>
            <w:r>
              <w:t>8.4%</w:t>
            </w:r>
          </w:p>
        </w:tc>
        <w:tc>
          <w:tcPr>
            <w:tcW w:w="1974" w:type="dxa"/>
          </w:tcPr>
          <w:p w14:paraId="0041D4F2" w14:textId="77777777" w:rsidR="00E52029" w:rsidRPr="0098262F" w:rsidRDefault="00E52029" w:rsidP="00D221FF">
            <w:pPr>
              <w:pStyle w:val="TableText0"/>
              <w:keepNext w:val="0"/>
              <w:keepLines w:val="0"/>
            </w:pPr>
            <w:r>
              <w:t>Based on the increase in prevalence reported in Chin and Fuller, 2022 between the period 1980-1996 (1 in 117,000) to 2009-2020 (1 in 14,000).</w:t>
            </w:r>
          </w:p>
        </w:tc>
        <w:tc>
          <w:tcPr>
            <w:tcW w:w="4476" w:type="dxa"/>
          </w:tcPr>
          <w:p w14:paraId="7892EDF9" w14:textId="6B26788D" w:rsidR="00E52029" w:rsidRPr="000B4FAD" w:rsidRDefault="00E52029" w:rsidP="00D221FF">
            <w:pPr>
              <w:pStyle w:val="TableText0"/>
              <w:keepNext w:val="0"/>
              <w:keepLines w:val="0"/>
              <w:rPr>
                <w:iCs/>
              </w:rPr>
            </w:pPr>
            <w:r w:rsidRPr="000B4FAD">
              <w:rPr>
                <w:iCs/>
              </w:rPr>
              <w:t>It is reasonable to assume a growth in prevalence; however, the proposed growth rate is high and uncertain. The growth rate was calculated using the reported prevalence from Chin and Fuller, 2022</w:t>
            </w:r>
            <w:r w:rsidR="00296258" w:rsidRPr="000B4FAD">
              <w:rPr>
                <w:iCs/>
              </w:rPr>
              <w:t>,</w:t>
            </w:r>
            <w:r w:rsidRPr="000B4FAD">
              <w:rPr>
                <w:iCs/>
              </w:rPr>
              <w:t xml:space="preserve"> from two periods of time. The gap between these periods is substantial and is likely not a true reflection of the year-on-year growth in prevalence. The growth rate is higher than the rate </w:t>
            </w:r>
            <w:r w:rsidR="00752414" w:rsidRPr="000B4FAD">
              <w:rPr>
                <w:iCs/>
              </w:rPr>
              <w:t xml:space="preserve">(6.9%) </w:t>
            </w:r>
            <w:r w:rsidRPr="000B4FAD">
              <w:rPr>
                <w:iCs/>
              </w:rPr>
              <w:t>applied in the financial estimates of the migalastat March 2024 PBAC meeting consideration.</w:t>
            </w:r>
          </w:p>
        </w:tc>
      </w:tr>
      <w:tr w:rsidR="00E52029" w:rsidRPr="0098262F" w14:paraId="75AFAB5C" w14:textId="77777777" w:rsidTr="00992CAF">
        <w:tc>
          <w:tcPr>
            <w:tcW w:w="1457" w:type="dxa"/>
          </w:tcPr>
          <w:p w14:paraId="6D34C66B" w14:textId="77777777" w:rsidR="00E52029" w:rsidRPr="0098262F" w:rsidRDefault="00E52029" w:rsidP="00D221FF">
            <w:pPr>
              <w:pStyle w:val="TableText0"/>
              <w:keepNext w:val="0"/>
              <w:keepLines w:val="0"/>
            </w:pPr>
            <w:r>
              <w:t>Proportion with symptoms of end-organ damage</w:t>
            </w:r>
          </w:p>
        </w:tc>
        <w:tc>
          <w:tcPr>
            <w:tcW w:w="1273" w:type="dxa"/>
          </w:tcPr>
          <w:p w14:paraId="1CACF74D" w14:textId="77777777" w:rsidR="00E52029" w:rsidRPr="0098262F" w:rsidRDefault="00E52029" w:rsidP="00D221FF">
            <w:pPr>
              <w:pStyle w:val="TableText0"/>
              <w:keepNext w:val="0"/>
              <w:keepLines w:val="0"/>
            </w:pPr>
            <w:r>
              <w:t>30%</w:t>
            </w:r>
          </w:p>
        </w:tc>
        <w:tc>
          <w:tcPr>
            <w:tcW w:w="1974" w:type="dxa"/>
          </w:tcPr>
          <w:p w14:paraId="32980556" w14:textId="77777777" w:rsidR="00E52029" w:rsidRDefault="00E52029" w:rsidP="00D221FF">
            <w:pPr>
              <w:pStyle w:val="TableText0"/>
              <w:keepNext w:val="0"/>
              <w:keepLines w:val="0"/>
            </w:pPr>
            <w:r>
              <w:t>LSDP 2023 FD review</w:t>
            </w:r>
          </w:p>
        </w:tc>
        <w:tc>
          <w:tcPr>
            <w:tcW w:w="4476" w:type="dxa"/>
          </w:tcPr>
          <w:p w14:paraId="0D118F35" w14:textId="77777777" w:rsidR="00E52029" w:rsidRPr="00780BBC" w:rsidRDefault="00E52029" w:rsidP="00D221FF">
            <w:pPr>
              <w:pStyle w:val="TableText0"/>
              <w:keepNext w:val="0"/>
              <w:keepLines w:val="0"/>
              <w:rPr>
                <w:iCs/>
              </w:rPr>
            </w:pPr>
            <w:r w:rsidRPr="00780BBC">
              <w:rPr>
                <w:iCs/>
              </w:rPr>
              <w:t>This is reasonable.</w:t>
            </w:r>
          </w:p>
        </w:tc>
      </w:tr>
      <w:tr w:rsidR="00E52029" w:rsidRPr="0098262F" w14:paraId="5A56345A" w14:textId="77777777" w:rsidTr="00992CAF">
        <w:tc>
          <w:tcPr>
            <w:tcW w:w="1457" w:type="dxa"/>
          </w:tcPr>
          <w:p w14:paraId="6F4DD0B8" w14:textId="77777777" w:rsidR="00E52029" w:rsidRPr="0098262F" w:rsidRDefault="00E52029" w:rsidP="00D221FF">
            <w:pPr>
              <w:pStyle w:val="TableText0"/>
              <w:keepNext w:val="0"/>
              <w:keepLines w:val="0"/>
            </w:pPr>
            <w:r>
              <w:t>Proportion with amenable mutation</w:t>
            </w:r>
          </w:p>
        </w:tc>
        <w:tc>
          <w:tcPr>
            <w:tcW w:w="1273" w:type="dxa"/>
          </w:tcPr>
          <w:p w14:paraId="174D1D0E" w14:textId="77777777" w:rsidR="00E52029" w:rsidRPr="0098262F" w:rsidRDefault="00E52029" w:rsidP="00D221FF">
            <w:pPr>
              <w:pStyle w:val="TableText0"/>
              <w:keepNext w:val="0"/>
              <w:keepLines w:val="0"/>
            </w:pPr>
            <w:r>
              <w:t>45%</w:t>
            </w:r>
          </w:p>
        </w:tc>
        <w:tc>
          <w:tcPr>
            <w:tcW w:w="1974" w:type="dxa"/>
          </w:tcPr>
          <w:p w14:paraId="04605F75" w14:textId="77777777" w:rsidR="00E52029" w:rsidRDefault="00E52029" w:rsidP="00D221FF">
            <w:pPr>
              <w:pStyle w:val="TableText0"/>
              <w:keepNext w:val="0"/>
              <w:keepLines w:val="0"/>
            </w:pPr>
            <w:r>
              <w:t>Benjamin et al., 2017</w:t>
            </w:r>
          </w:p>
        </w:tc>
        <w:tc>
          <w:tcPr>
            <w:tcW w:w="4476" w:type="dxa"/>
          </w:tcPr>
          <w:p w14:paraId="003AB5EB" w14:textId="5A69BA1B" w:rsidR="00E52029" w:rsidRPr="00780BBC" w:rsidRDefault="00E52029" w:rsidP="00D221FF">
            <w:pPr>
              <w:pStyle w:val="TableText0"/>
              <w:keepNext w:val="0"/>
              <w:keepLines w:val="0"/>
              <w:rPr>
                <w:iCs/>
              </w:rPr>
            </w:pPr>
            <w:r w:rsidRPr="00780BBC">
              <w:rPr>
                <w:iCs/>
              </w:rPr>
              <w:t>This is reasonable in the absence of data on the proportion of FD patients with amenable mutation in Australia. The submission noted that this proportion fell within the range estimated by Hughes et al.,2017 (35-50%).</w:t>
            </w:r>
          </w:p>
          <w:p w14:paraId="6761A480" w14:textId="77777777" w:rsidR="00E52029" w:rsidRPr="00780BBC" w:rsidRDefault="00E52029" w:rsidP="00D221FF">
            <w:pPr>
              <w:pStyle w:val="TableText0"/>
              <w:keepNext w:val="0"/>
              <w:keepLines w:val="0"/>
              <w:rPr>
                <w:iCs/>
              </w:rPr>
            </w:pPr>
          </w:p>
          <w:p w14:paraId="27F0C22E" w14:textId="77777777" w:rsidR="00E52029" w:rsidRPr="00780BBC" w:rsidRDefault="00E52029" w:rsidP="00D221FF">
            <w:pPr>
              <w:pStyle w:val="TableText0"/>
              <w:keepNext w:val="0"/>
              <w:keepLines w:val="0"/>
              <w:rPr>
                <w:iCs/>
              </w:rPr>
            </w:pPr>
            <w:r w:rsidRPr="00780BBC">
              <w:rPr>
                <w:iCs/>
              </w:rPr>
              <w:t xml:space="preserve">The migalastat March 2024 PSD also appeared to apply the same proportion for amenable mutations to its financial estimates (Table 10, migalastat, PSD, March 2024 PBAC meeting with May 2024 addendum). </w:t>
            </w:r>
          </w:p>
        </w:tc>
      </w:tr>
      <w:tr w:rsidR="00E52029" w:rsidRPr="0098262F" w14:paraId="372D38DB" w14:textId="77777777" w:rsidTr="00992CAF">
        <w:tc>
          <w:tcPr>
            <w:tcW w:w="1457" w:type="dxa"/>
          </w:tcPr>
          <w:p w14:paraId="38235223" w14:textId="77777777" w:rsidR="00E52029" w:rsidRPr="0098262F" w:rsidRDefault="00E52029" w:rsidP="00D221FF">
            <w:pPr>
              <w:pStyle w:val="TableText0"/>
              <w:keepNext w:val="0"/>
              <w:keepLines w:val="0"/>
            </w:pPr>
            <w:r>
              <w:t>Proportion with non-amenable mutation</w:t>
            </w:r>
          </w:p>
        </w:tc>
        <w:tc>
          <w:tcPr>
            <w:tcW w:w="1273" w:type="dxa"/>
          </w:tcPr>
          <w:p w14:paraId="3E12E2B4" w14:textId="77777777" w:rsidR="00E52029" w:rsidRPr="0098262F" w:rsidRDefault="00E52029" w:rsidP="00D221FF">
            <w:pPr>
              <w:pStyle w:val="TableText0"/>
              <w:keepNext w:val="0"/>
              <w:keepLines w:val="0"/>
            </w:pPr>
            <w:r>
              <w:t>55%</w:t>
            </w:r>
          </w:p>
        </w:tc>
        <w:tc>
          <w:tcPr>
            <w:tcW w:w="1974" w:type="dxa"/>
          </w:tcPr>
          <w:p w14:paraId="758FF2FF" w14:textId="77777777" w:rsidR="00E52029" w:rsidRDefault="00E52029" w:rsidP="00D221FF">
            <w:pPr>
              <w:pStyle w:val="TableText0"/>
              <w:keepNext w:val="0"/>
              <w:keepLines w:val="0"/>
            </w:pPr>
            <w:r>
              <w:t>100% minus the proportion of patients with amenable mutation (45%)</w:t>
            </w:r>
          </w:p>
        </w:tc>
        <w:tc>
          <w:tcPr>
            <w:tcW w:w="4476" w:type="dxa"/>
          </w:tcPr>
          <w:p w14:paraId="2E6A1826" w14:textId="54566F0B" w:rsidR="00E52029" w:rsidRPr="00780BBC" w:rsidRDefault="00E52029" w:rsidP="00D221FF">
            <w:pPr>
              <w:pStyle w:val="TableText0"/>
              <w:keepNext w:val="0"/>
              <w:keepLines w:val="0"/>
              <w:rPr>
                <w:iCs/>
              </w:rPr>
            </w:pPr>
            <w:r w:rsidRPr="00780BBC">
              <w:rPr>
                <w:iCs/>
              </w:rPr>
              <w:t xml:space="preserve">This approach </w:t>
            </w:r>
            <w:r w:rsidR="00692891" w:rsidRPr="00780BBC">
              <w:rPr>
                <w:iCs/>
              </w:rPr>
              <w:t>wa</w:t>
            </w:r>
            <w:r w:rsidRPr="00780BBC">
              <w:rPr>
                <w:iCs/>
              </w:rPr>
              <w:t>s reasonable.</w:t>
            </w:r>
          </w:p>
        </w:tc>
      </w:tr>
      <w:tr w:rsidR="00E52029" w:rsidRPr="0098262F" w14:paraId="55911E3B" w14:textId="77777777" w:rsidTr="00992CAF">
        <w:tc>
          <w:tcPr>
            <w:tcW w:w="1457" w:type="dxa"/>
          </w:tcPr>
          <w:p w14:paraId="5CEAF53C" w14:textId="77777777" w:rsidR="00E52029" w:rsidRPr="0098262F" w:rsidRDefault="00E52029" w:rsidP="00D221FF">
            <w:pPr>
              <w:pStyle w:val="TableText0"/>
              <w:keepNext w:val="0"/>
              <w:keepLines w:val="0"/>
            </w:pPr>
            <w:r>
              <w:t>Migalastat market share for amenable mutations</w:t>
            </w:r>
          </w:p>
        </w:tc>
        <w:tc>
          <w:tcPr>
            <w:tcW w:w="1273" w:type="dxa"/>
          </w:tcPr>
          <w:p w14:paraId="3CCEEA2B" w14:textId="77777777" w:rsidR="00E52029" w:rsidRPr="0098262F" w:rsidRDefault="00E52029" w:rsidP="00D221FF">
            <w:pPr>
              <w:pStyle w:val="TableText0"/>
              <w:keepNext w:val="0"/>
              <w:keepLines w:val="0"/>
            </w:pPr>
            <w:r>
              <w:t>50%</w:t>
            </w:r>
          </w:p>
        </w:tc>
        <w:tc>
          <w:tcPr>
            <w:tcW w:w="1974" w:type="dxa"/>
          </w:tcPr>
          <w:p w14:paraId="68FA589F" w14:textId="77777777" w:rsidR="00E52029" w:rsidRDefault="00E52029" w:rsidP="00D221FF">
            <w:pPr>
              <w:pStyle w:val="TableText0"/>
              <w:keepNext w:val="0"/>
              <w:keepLines w:val="0"/>
            </w:pPr>
            <w:r>
              <w:t>Based on assumed market share rates used in the migalastat March 2024 PSD.</w:t>
            </w:r>
          </w:p>
        </w:tc>
        <w:tc>
          <w:tcPr>
            <w:tcW w:w="4476" w:type="dxa"/>
          </w:tcPr>
          <w:p w14:paraId="6726C644" w14:textId="1835E7E2" w:rsidR="00E52029" w:rsidRPr="00780BBC" w:rsidRDefault="00E52029" w:rsidP="00D221FF">
            <w:pPr>
              <w:pStyle w:val="TableText0"/>
              <w:keepNext w:val="0"/>
              <w:keepLines w:val="0"/>
              <w:rPr>
                <w:iCs/>
              </w:rPr>
            </w:pPr>
            <w:r w:rsidRPr="00780BBC">
              <w:rPr>
                <w:iCs/>
              </w:rPr>
              <w:t xml:space="preserve">This may be reasonable, although uncertain. </w:t>
            </w:r>
          </w:p>
        </w:tc>
      </w:tr>
      <w:tr w:rsidR="00E52029" w:rsidRPr="0098262F" w14:paraId="057F97A2" w14:textId="77777777" w:rsidTr="00992CAF">
        <w:tc>
          <w:tcPr>
            <w:tcW w:w="1457" w:type="dxa"/>
          </w:tcPr>
          <w:p w14:paraId="3B419D1E" w14:textId="77777777" w:rsidR="00E52029" w:rsidRPr="0098262F" w:rsidRDefault="00E52029" w:rsidP="00D221FF">
            <w:pPr>
              <w:pStyle w:val="TableText0"/>
              <w:keepNext w:val="0"/>
              <w:keepLines w:val="0"/>
            </w:pPr>
            <w:r>
              <w:t>ERT market share for non-amenable mutations</w:t>
            </w:r>
          </w:p>
        </w:tc>
        <w:tc>
          <w:tcPr>
            <w:tcW w:w="1273" w:type="dxa"/>
          </w:tcPr>
          <w:p w14:paraId="5F356003" w14:textId="77777777" w:rsidR="00E52029" w:rsidRPr="0098262F" w:rsidRDefault="00E52029" w:rsidP="00D221FF">
            <w:pPr>
              <w:pStyle w:val="TableText0"/>
              <w:keepNext w:val="0"/>
              <w:keepLines w:val="0"/>
            </w:pPr>
            <w:r>
              <w:t>100%</w:t>
            </w:r>
          </w:p>
        </w:tc>
        <w:tc>
          <w:tcPr>
            <w:tcW w:w="1974" w:type="dxa"/>
          </w:tcPr>
          <w:p w14:paraId="1DB1444F" w14:textId="77777777" w:rsidR="00E52029" w:rsidRDefault="00E52029" w:rsidP="00D221FF">
            <w:pPr>
              <w:pStyle w:val="TableText0"/>
              <w:keepNext w:val="0"/>
              <w:keepLines w:val="0"/>
            </w:pPr>
            <w:r>
              <w:t>Sponsor assumption</w:t>
            </w:r>
          </w:p>
        </w:tc>
        <w:tc>
          <w:tcPr>
            <w:tcW w:w="4476" w:type="dxa"/>
          </w:tcPr>
          <w:p w14:paraId="34964FC9" w14:textId="77777777" w:rsidR="00E52029" w:rsidRPr="00780BBC" w:rsidRDefault="00E52029" w:rsidP="00D221FF">
            <w:pPr>
              <w:pStyle w:val="TableText0"/>
              <w:keepNext w:val="0"/>
              <w:keepLines w:val="0"/>
              <w:rPr>
                <w:iCs/>
              </w:rPr>
            </w:pPr>
            <w:r w:rsidRPr="00780BBC">
              <w:rPr>
                <w:iCs/>
              </w:rPr>
              <w:t>This is reasonable given that there are no other treatments available for FD patients with non-amenable mutations available in Australia.</w:t>
            </w:r>
          </w:p>
        </w:tc>
      </w:tr>
      <w:tr w:rsidR="00E52029" w:rsidRPr="0098262F" w14:paraId="1FD43A22" w14:textId="77777777" w:rsidTr="00992CAF">
        <w:tc>
          <w:tcPr>
            <w:tcW w:w="9180" w:type="dxa"/>
            <w:gridSpan w:val="4"/>
          </w:tcPr>
          <w:p w14:paraId="0AE8CB84" w14:textId="77777777" w:rsidR="00E52029" w:rsidRPr="0098262F" w:rsidRDefault="00E52029" w:rsidP="00D221FF">
            <w:pPr>
              <w:pStyle w:val="TableText0"/>
              <w:keepNext w:val="0"/>
              <w:keepLines w:val="0"/>
            </w:pPr>
            <w:r w:rsidRPr="0098262F">
              <w:t>Treatment utilisation</w:t>
            </w:r>
          </w:p>
        </w:tc>
      </w:tr>
      <w:tr w:rsidR="00E52029" w:rsidRPr="0098262F" w14:paraId="14A847EF" w14:textId="77777777" w:rsidTr="00992CAF">
        <w:tc>
          <w:tcPr>
            <w:tcW w:w="1457" w:type="dxa"/>
          </w:tcPr>
          <w:p w14:paraId="2BC6E027" w14:textId="77777777" w:rsidR="00E52029" w:rsidRPr="0098262F" w:rsidRDefault="00E52029" w:rsidP="00D221FF">
            <w:pPr>
              <w:pStyle w:val="TableText0"/>
              <w:keepNext w:val="0"/>
              <w:keepLines w:val="0"/>
            </w:pPr>
            <w:r w:rsidRPr="0098262F">
              <w:t>Uptake rate</w:t>
            </w:r>
          </w:p>
        </w:tc>
        <w:tc>
          <w:tcPr>
            <w:tcW w:w="1273" w:type="dxa"/>
          </w:tcPr>
          <w:p w14:paraId="0791FBAF" w14:textId="5647C4E8" w:rsidR="00E52029" w:rsidRPr="0098262F" w:rsidRDefault="00E52029" w:rsidP="00D221FF">
            <w:pPr>
              <w:pStyle w:val="TableText0"/>
              <w:keepNext w:val="0"/>
              <w:keepLines w:val="0"/>
            </w:pPr>
            <w:r w:rsidRPr="0098262F">
              <w:t xml:space="preserve">Yr 1: </w:t>
            </w:r>
            <w:r w:rsidR="0067772E" w:rsidRPr="0067772E">
              <w:rPr>
                <w:color w:val="000000"/>
                <w:spacing w:val="51"/>
                <w:shd w:val="solid" w:color="000000" w:fill="000000"/>
                <w:fitText w:val="326" w:id="-628909564"/>
                <w14:textFill>
                  <w14:solidFill>
                    <w14:srgbClr w14:val="000000">
                      <w14:alpha w14:val="100000"/>
                    </w14:srgbClr>
                  </w14:solidFill>
                </w14:textFill>
              </w:rPr>
              <w:t>|||</w:t>
            </w:r>
            <w:r w:rsidR="0067772E" w:rsidRPr="0067772E">
              <w:rPr>
                <w:color w:val="000000"/>
                <w:spacing w:val="3"/>
                <w:shd w:val="solid" w:color="000000" w:fill="000000"/>
                <w:fitText w:val="326" w:id="-628909564"/>
                <w14:textFill>
                  <w14:solidFill>
                    <w14:srgbClr w14:val="000000">
                      <w14:alpha w14:val="100000"/>
                    </w14:srgbClr>
                  </w14:solidFill>
                </w14:textFill>
              </w:rPr>
              <w:t>|</w:t>
            </w:r>
            <w:r>
              <w:t>%</w:t>
            </w:r>
          </w:p>
          <w:p w14:paraId="06710EF1" w14:textId="700450DD" w:rsidR="00E52029" w:rsidRPr="0098262F" w:rsidRDefault="00E52029" w:rsidP="00D221FF">
            <w:pPr>
              <w:pStyle w:val="TableText0"/>
              <w:keepNext w:val="0"/>
              <w:keepLines w:val="0"/>
            </w:pPr>
            <w:r w:rsidRPr="0098262F">
              <w:t xml:space="preserve">Yr 2: </w:t>
            </w:r>
            <w:r w:rsidR="0067772E" w:rsidRPr="0067772E">
              <w:rPr>
                <w:color w:val="000000"/>
                <w:spacing w:val="51"/>
                <w:shd w:val="solid" w:color="000000" w:fill="000000"/>
                <w:fitText w:val="326" w:id="-628909563"/>
                <w14:textFill>
                  <w14:solidFill>
                    <w14:srgbClr w14:val="000000">
                      <w14:alpha w14:val="100000"/>
                    </w14:srgbClr>
                  </w14:solidFill>
                </w14:textFill>
              </w:rPr>
              <w:t>|||</w:t>
            </w:r>
            <w:r w:rsidR="0067772E" w:rsidRPr="0067772E">
              <w:rPr>
                <w:color w:val="000000"/>
                <w:spacing w:val="3"/>
                <w:shd w:val="solid" w:color="000000" w:fill="000000"/>
                <w:fitText w:val="326" w:id="-628909563"/>
                <w14:textFill>
                  <w14:solidFill>
                    <w14:srgbClr w14:val="000000">
                      <w14:alpha w14:val="100000"/>
                    </w14:srgbClr>
                  </w14:solidFill>
                </w14:textFill>
              </w:rPr>
              <w:t>|</w:t>
            </w:r>
            <w:r>
              <w:t>%</w:t>
            </w:r>
          </w:p>
          <w:p w14:paraId="3A56E707" w14:textId="5D4BF4F8" w:rsidR="00E52029" w:rsidRPr="0098262F" w:rsidRDefault="00E52029" w:rsidP="00D221FF">
            <w:pPr>
              <w:pStyle w:val="TableText0"/>
              <w:keepNext w:val="0"/>
              <w:keepLines w:val="0"/>
            </w:pPr>
            <w:r w:rsidRPr="0098262F">
              <w:t xml:space="preserve">Yr 3: </w:t>
            </w:r>
            <w:r w:rsidR="0067772E" w:rsidRPr="0067772E">
              <w:rPr>
                <w:color w:val="000000"/>
                <w:spacing w:val="51"/>
                <w:shd w:val="solid" w:color="000000" w:fill="000000"/>
                <w:fitText w:val="326" w:id="-628909562"/>
                <w14:textFill>
                  <w14:solidFill>
                    <w14:srgbClr w14:val="000000">
                      <w14:alpha w14:val="100000"/>
                    </w14:srgbClr>
                  </w14:solidFill>
                </w14:textFill>
              </w:rPr>
              <w:t>|||</w:t>
            </w:r>
            <w:r w:rsidR="0067772E" w:rsidRPr="0067772E">
              <w:rPr>
                <w:color w:val="000000"/>
                <w:spacing w:val="3"/>
                <w:shd w:val="solid" w:color="000000" w:fill="000000"/>
                <w:fitText w:val="326" w:id="-628909562"/>
                <w14:textFill>
                  <w14:solidFill>
                    <w14:srgbClr w14:val="000000">
                      <w14:alpha w14:val="100000"/>
                    </w14:srgbClr>
                  </w14:solidFill>
                </w14:textFill>
              </w:rPr>
              <w:t>|</w:t>
            </w:r>
            <w:r>
              <w:t>%</w:t>
            </w:r>
          </w:p>
          <w:p w14:paraId="32E9C937" w14:textId="22ACE4B6" w:rsidR="00E52029" w:rsidRPr="0098262F" w:rsidRDefault="00E52029" w:rsidP="00D221FF">
            <w:pPr>
              <w:pStyle w:val="TableText0"/>
              <w:keepNext w:val="0"/>
              <w:keepLines w:val="0"/>
            </w:pPr>
            <w:r w:rsidRPr="0098262F">
              <w:t xml:space="preserve">Yr 4: </w:t>
            </w:r>
            <w:r w:rsidR="0067772E" w:rsidRPr="0067772E">
              <w:rPr>
                <w:color w:val="000000"/>
                <w:spacing w:val="51"/>
                <w:shd w:val="solid" w:color="000000" w:fill="000000"/>
                <w:fitText w:val="326" w:id="-628909561"/>
                <w14:textFill>
                  <w14:solidFill>
                    <w14:srgbClr w14:val="000000">
                      <w14:alpha w14:val="100000"/>
                    </w14:srgbClr>
                  </w14:solidFill>
                </w14:textFill>
              </w:rPr>
              <w:t>|||</w:t>
            </w:r>
            <w:r w:rsidR="0067772E" w:rsidRPr="0067772E">
              <w:rPr>
                <w:color w:val="000000"/>
                <w:spacing w:val="3"/>
                <w:shd w:val="solid" w:color="000000" w:fill="000000"/>
                <w:fitText w:val="326" w:id="-628909561"/>
                <w14:textFill>
                  <w14:solidFill>
                    <w14:srgbClr w14:val="000000">
                      <w14:alpha w14:val="100000"/>
                    </w14:srgbClr>
                  </w14:solidFill>
                </w14:textFill>
              </w:rPr>
              <w:t>|</w:t>
            </w:r>
            <w:r>
              <w:t>%</w:t>
            </w:r>
          </w:p>
          <w:p w14:paraId="4DD91C5F" w14:textId="5E0F7060" w:rsidR="00E52029" w:rsidRPr="0098262F" w:rsidRDefault="00E52029" w:rsidP="00D221FF">
            <w:pPr>
              <w:pStyle w:val="TableText0"/>
              <w:keepNext w:val="0"/>
              <w:keepLines w:val="0"/>
            </w:pPr>
            <w:r w:rsidRPr="0098262F">
              <w:t xml:space="preserve">Yr 5: </w:t>
            </w:r>
            <w:r w:rsidR="0067772E" w:rsidRPr="0067772E">
              <w:rPr>
                <w:color w:val="000000"/>
                <w:spacing w:val="51"/>
                <w:shd w:val="solid" w:color="000000" w:fill="000000"/>
                <w:fitText w:val="326" w:id="-628909560"/>
                <w14:textFill>
                  <w14:solidFill>
                    <w14:srgbClr w14:val="000000">
                      <w14:alpha w14:val="100000"/>
                    </w14:srgbClr>
                  </w14:solidFill>
                </w14:textFill>
              </w:rPr>
              <w:t>|||</w:t>
            </w:r>
            <w:r w:rsidR="0067772E" w:rsidRPr="0067772E">
              <w:rPr>
                <w:color w:val="000000"/>
                <w:spacing w:val="3"/>
                <w:shd w:val="solid" w:color="000000" w:fill="000000"/>
                <w:fitText w:val="326" w:id="-628909560"/>
                <w14:textFill>
                  <w14:solidFill>
                    <w14:srgbClr w14:val="000000">
                      <w14:alpha w14:val="100000"/>
                    </w14:srgbClr>
                  </w14:solidFill>
                </w14:textFill>
              </w:rPr>
              <w:t>|</w:t>
            </w:r>
            <w:r>
              <w:t>%</w:t>
            </w:r>
          </w:p>
          <w:p w14:paraId="0594C8A7" w14:textId="67D76BEF" w:rsidR="00E52029" w:rsidRDefault="00E52029" w:rsidP="00807648">
            <w:pPr>
              <w:pStyle w:val="TableText0"/>
              <w:keepNext w:val="0"/>
              <w:keepLines w:val="0"/>
            </w:pPr>
            <w:r w:rsidRPr="0098262F">
              <w:t xml:space="preserve">Yr 6: </w:t>
            </w:r>
            <w:r w:rsidR="0067772E" w:rsidRPr="0067772E">
              <w:rPr>
                <w:color w:val="000000"/>
                <w:spacing w:val="51"/>
                <w:shd w:val="solid" w:color="000000" w:fill="000000"/>
                <w:fitText w:val="326" w:id="-628909559"/>
                <w14:textFill>
                  <w14:solidFill>
                    <w14:srgbClr w14:val="000000">
                      <w14:alpha w14:val="100000"/>
                    </w14:srgbClr>
                  </w14:solidFill>
                </w14:textFill>
              </w:rPr>
              <w:t>|||</w:t>
            </w:r>
            <w:r w:rsidR="0067772E" w:rsidRPr="0067772E">
              <w:rPr>
                <w:color w:val="000000"/>
                <w:spacing w:val="3"/>
                <w:shd w:val="solid" w:color="000000" w:fill="000000"/>
                <w:fitText w:val="326" w:id="-628909559"/>
                <w14:textFill>
                  <w14:solidFill>
                    <w14:srgbClr w14:val="000000">
                      <w14:alpha w14:val="100000"/>
                    </w14:srgbClr>
                  </w14:solidFill>
                </w14:textFill>
              </w:rPr>
              <w:t>|</w:t>
            </w:r>
            <w:r>
              <w:t>%</w:t>
            </w:r>
          </w:p>
          <w:p w14:paraId="1D2236BD" w14:textId="77777777" w:rsidR="00E52029" w:rsidRPr="0098262F" w:rsidRDefault="00E52029" w:rsidP="00D221FF">
            <w:pPr>
              <w:pStyle w:val="TableText0"/>
              <w:keepNext w:val="0"/>
              <w:keepLines w:val="0"/>
            </w:pPr>
          </w:p>
        </w:tc>
        <w:tc>
          <w:tcPr>
            <w:tcW w:w="1974" w:type="dxa"/>
          </w:tcPr>
          <w:p w14:paraId="449ABC6A" w14:textId="77777777" w:rsidR="00E52029" w:rsidRPr="0098262F" w:rsidRDefault="00E52029" w:rsidP="00D221FF">
            <w:pPr>
              <w:pStyle w:val="TableText0"/>
              <w:keepNext w:val="0"/>
              <w:keepLines w:val="0"/>
            </w:pPr>
            <w:r>
              <w:t>Sponsor assumption</w:t>
            </w:r>
          </w:p>
        </w:tc>
        <w:tc>
          <w:tcPr>
            <w:tcW w:w="4476" w:type="dxa"/>
          </w:tcPr>
          <w:p w14:paraId="7F3AFA7B" w14:textId="77777777" w:rsidR="00E52029" w:rsidRPr="00780BBC" w:rsidRDefault="00E52029" w:rsidP="00D221FF">
            <w:pPr>
              <w:pStyle w:val="TableText0"/>
              <w:keepNext w:val="0"/>
              <w:keepLines w:val="0"/>
              <w:rPr>
                <w:iCs/>
              </w:rPr>
            </w:pPr>
            <w:r w:rsidRPr="00780BBC">
              <w:rPr>
                <w:iCs/>
              </w:rPr>
              <w:t>This is uncertain. There is no data to support this assumption.</w:t>
            </w:r>
          </w:p>
        </w:tc>
      </w:tr>
      <w:tr w:rsidR="00E52029" w:rsidRPr="0098262F" w14:paraId="1C11D7B3" w14:textId="77777777" w:rsidTr="00992CAF">
        <w:tc>
          <w:tcPr>
            <w:tcW w:w="9180" w:type="dxa"/>
            <w:gridSpan w:val="4"/>
          </w:tcPr>
          <w:p w14:paraId="16DC4A0F" w14:textId="77777777" w:rsidR="00E52029" w:rsidRPr="0098262F" w:rsidRDefault="00E52029" w:rsidP="00D221FF">
            <w:pPr>
              <w:pStyle w:val="TableText0"/>
              <w:keepNext w:val="0"/>
              <w:keepLines w:val="0"/>
            </w:pPr>
            <w:r w:rsidRPr="0098262F">
              <w:t>Costs</w:t>
            </w:r>
          </w:p>
        </w:tc>
      </w:tr>
      <w:tr w:rsidR="00E52029" w:rsidRPr="0098262F" w14:paraId="2BA97F9B" w14:textId="77777777" w:rsidTr="00992CAF">
        <w:tc>
          <w:tcPr>
            <w:tcW w:w="1457" w:type="dxa"/>
          </w:tcPr>
          <w:p w14:paraId="738CB4FB" w14:textId="77777777" w:rsidR="00E52029" w:rsidRPr="0098262F" w:rsidRDefault="00E52029" w:rsidP="00D221FF">
            <w:pPr>
              <w:pStyle w:val="TableText0"/>
              <w:keepNext w:val="0"/>
              <w:keepLines w:val="0"/>
            </w:pPr>
            <w:r w:rsidRPr="0098262F">
              <w:lastRenderedPageBreak/>
              <w:t>Proposed medicine</w:t>
            </w:r>
            <w:r>
              <w:t xml:space="preserve"> (pegunigalsidase alfa)</w:t>
            </w:r>
          </w:p>
        </w:tc>
        <w:tc>
          <w:tcPr>
            <w:tcW w:w="1273" w:type="dxa"/>
          </w:tcPr>
          <w:p w14:paraId="780801E8" w14:textId="009A908A" w:rsidR="00E52029" w:rsidRPr="000C0A78" w:rsidRDefault="00E52029" w:rsidP="00D221FF">
            <w:pPr>
              <w:pStyle w:val="TableText0"/>
              <w:keepNext w:val="0"/>
              <w:keepLines w:val="0"/>
            </w:pPr>
            <w:r w:rsidRPr="000C0A78">
              <w:t>$</w:t>
            </w:r>
            <w:r w:rsidR="0067772E" w:rsidRPr="0067772E">
              <w:rPr>
                <w:color w:val="000000"/>
                <w:spacing w:val="51"/>
                <w:shd w:val="solid" w:color="000000" w:fill="000000"/>
                <w:fitText w:val="325" w:id="-628909558"/>
                <w14:textFill>
                  <w14:solidFill>
                    <w14:srgbClr w14:val="000000">
                      <w14:alpha w14:val="100000"/>
                    </w14:srgbClr>
                  </w14:solidFill>
                </w14:textFill>
              </w:rPr>
              <w:t>|||</w:t>
            </w:r>
            <w:r w:rsidR="0067772E" w:rsidRPr="0067772E">
              <w:rPr>
                <w:color w:val="000000"/>
                <w:spacing w:val="2"/>
                <w:shd w:val="solid" w:color="000000" w:fill="000000"/>
                <w:fitText w:val="325" w:id="-628909558"/>
                <w14:textFill>
                  <w14:solidFill>
                    <w14:srgbClr w14:val="000000">
                      <w14:alpha w14:val="100000"/>
                    </w14:srgbClr>
                  </w14:solidFill>
                </w14:textFill>
              </w:rPr>
              <w:t>|</w:t>
            </w:r>
          </w:p>
        </w:tc>
        <w:tc>
          <w:tcPr>
            <w:tcW w:w="1974" w:type="dxa"/>
          </w:tcPr>
          <w:p w14:paraId="663E23E1" w14:textId="3FE519BC" w:rsidR="00E52029" w:rsidRPr="0098262F" w:rsidRDefault="00E52029" w:rsidP="00D221FF">
            <w:pPr>
              <w:pStyle w:val="TableText0"/>
              <w:keepNext w:val="0"/>
              <w:keepLines w:val="0"/>
            </w:pPr>
            <w:r>
              <w:t xml:space="preserve">Requested weighted published DPMQ </w:t>
            </w:r>
            <w:r w:rsidR="003709FD">
              <w:t>(</w:t>
            </w:r>
            <w:r w:rsidR="00CE0B64">
              <w:t>submission assumed</w:t>
            </w:r>
            <w:r w:rsidR="003709FD">
              <w:t xml:space="preserve"> public/private split of 60%</w:t>
            </w:r>
            <w:r w:rsidR="0098604F">
              <w:t>/</w:t>
            </w:r>
            <w:r w:rsidR="003709FD">
              <w:t>40%)</w:t>
            </w:r>
          </w:p>
        </w:tc>
        <w:tc>
          <w:tcPr>
            <w:tcW w:w="4476" w:type="dxa"/>
          </w:tcPr>
          <w:p w14:paraId="78F35FA7" w14:textId="50858A36" w:rsidR="00E52029" w:rsidRPr="00780BBC" w:rsidRDefault="00E52029" w:rsidP="00D221FF">
            <w:pPr>
              <w:pStyle w:val="TableText0"/>
              <w:keepNext w:val="0"/>
              <w:keepLines w:val="0"/>
              <w:rPr>
                <w:iCs/>
              </w:rPr>
            </w:pPr>
            <w:r w:rsidRPr="00780BBC">
              <w:rPr>
                <w:iCs/>
              </w:rPr>
              <w:t xml:space="preserve">The price applied in the financial estimates was based on the cost-minimised price against migalastat with a </w:t>
            </w:r>
            <w:r w:rsidR="0067772E" w:rsidRPr="0067772E">
              <w:rPr>
                <w:iCs/>
                <w:color w:val="000000"/>
                <w:spacing w:val="51"/>
                <w:shd w:val="solid" w:color="000000" w:fill="000000"/>
                <w:fitText w:val="325" w:id="-628909557"/>
                <w14:textFill>
                  <w14:solidFill>
                    <w14:srgbClr w14:val="000000">
                      <w14:alpha w14:val="100000"/>
                    </w14:srgbClr>
                  </w14:solidFill>
                </w14:textFill>
              </w:rPr>
              <w:t>|||</w:t>
            </w:r>
            <w:r w:rsidR="0067772E" w:rsidRPr="0067772E">
              <w:rPr>
                <w:iCs/>
                <w:color w:val="000000"/>
                <w:spacing w:val="2"/>
                <w:shd w:val="solid" w:color="000000" w:fill="000000"/>
                <w:fitText w:val="325" w:id="-628909557"/>
                <w14:textFill>
                  <w14:solidFill>
                    <w14:srgbClr w14:val="000000">
                      <w14:alpha w14:val="100000"/>
                    </w14:srgbClr>
                  </w14:solidFill>
                </w14:textFill>
              </w:rPr>
              <w:t>|</w:t>
            </w:r>
            <w:r w:rsidRPr="00780BBC">
              <w:rPr>
                <w:iCs/>
              </w:rPr>
              <w:t xml:space="preserve">% price premium. </w:t>
            </w:r>
            <w:r w:rsidR="00C510BA" w:rsidRPr="00780BBC">
              <w:rPr>
                <w:iCs/>
              </w:rPr>
              <w:t>This was not reasonable.</w:t>
            </w:r>
          </w:p>
        </w:tc>
      </w:tr>
      <w:tr w:rsidR="00E52029" w:rsidRPr="0098262F" w14:paraId="6DAD1CE1" w14:textId="77777777" w:rsidTr="00992CAF">
        <w:tc>
          <w:tcPr>
            <w:tcW w:w="1457" w:type="dxa"/>
          </w:tcPr>
          <w:p w14:paraId="2091338E" w14:textId="21CE1E71" w:rsidR="00E52029" w:rsidRPr="0098262F" w:rsidRDefault="00E52029" w:rsidP="00D221FF">
            <w:pPr>
              <w:pStyle w:val="TableText0"/>
              <w:keepNext w:val="0"/>
              <w:keepLines w:val="0"/>
            </w:pPr>
            <w:r>
              <w:t xml:space="preserve">Comparator medicines (agalsidase alfa and </w:t>
            </w:r>
            <w:r w:rsidR="007F59DF">
              <w:t>agalsidase</w:t>
            </w:r>
            <w:r>
              <w:t xml:space="preserve"> beta)</w:t>
            </w:r>
          </w:p>
        </w:tc>
        <w:tc>
          <w:tcPr>
            <w:tcW w:w="1273" w:type="dxa"/>
          </w:tcPr>
          <w:p w14:paraId="7D7384AE" w14:textId="77777777" w:rsidR="00E52029" w:rsidRDefault="00E52029" w:rsidP="00D221FF">
            <w:pPr>
              <w:pStyle w:val="TableText0"/>
              <w:keepNext w:val="0"/>
              <w:keepLines w:val="0"/>
            </w:pPr>
          </w:p>
        </w:tc>
        <w:tc>
          <w:tcPr>
            <w:tcW w:w="1974" w:type="dxa"/>
          </w:tcPr>
          <w:p w14:paraId="53B60CF5" w14:textId="77777777" w:rsidR="00E52029" w:rsidRDefault="00E52029" w:rsidP="00D221FF">
            <w:pPr>
              <w:pStyle w:val="TableText0"/>
              <w:keepNext w:val="0"/>
              <w:keepLines w:val="0"/>
            </w:pPr>
            <w:r>
              <w:t>Assumed</w:t>
            </w:r>
          </w:p>
        </w:tc>
        <w:tc>
          <w:tcPr>
            <w:tcW w:w="4476" w:type="dxa"/>
          </w:tcPr>
          <w:p w14:paraId="0A1BF5B0" w14:textId="77777777" w:rsidR="00E52029" w:rsidRPr="00780BBC" w:rsidRDefault="00E52029" w:rsidP="00D221FF">
            <w:pPr>
              <w:pStyle w:val="TableText0"/>
              <w:keepNext w:val="0"/>
              <w:keepLines w:val="0"/>
              <w:rPr>
                <w:iCs/>
              </w:rPr>
            </w:pPr>
            <w:r w:rsidRPr="00780BBC">
              <w:rPr>
                <w:iCs/>
              </w:rPr>
              <w:t xml:space="preserve">As these prices are unknown to the sponsor, they were assumed to be </w:t>
            </w:r>
            <w:r w:rsidRPr="00646A35">
              <w:rPr>
                <w:iCs/>
              </w:rPr>
              <w:t>50</w:t>
            </w:r>
            <w:r w:rsidRPr="00780BBC">
              <w:rPr>
                <w:iCs/>
              </w:rPr>
              <w:t xml:space="preserve">% above the price of migalastat. </w:t>
            </w:r>
          </w:p>
        </w:tc>
      </w:tr>
      <w:tr w:rsidR="00E52029" w:rsidRPr="0098262F" w14:paraId="44118BD8" w14:textId="77777777" w:rsidTr="00992CAF">
        <w:tc>
          <w:tcPr>
            <w:tcW w:w="1457" w:type="dxa"/>
          </w:tcPr>
          <w:p w14:paraId="2539C991" w14:textId="77777777" w:rsidR="00E52029" w:rsidRPr="0098262F" w:rsidRDefault="00E52029" w:rsidP="00D221FF">
            <w:pPr>
              <w:pStyle w:val="TableText0"/>
              <w:keepNext w:val="0"/>
              <w:keepLines w:val="0"/>
            </w:pPr>
            <w:r w:rsidRPr="0098262F">
              <w:t>MBS costs</w:t>
            </w:r>
          </w:p>
        </w:tc>
        <w:tc>
          <w:tcPr>
            <w:tcW w:w="1273" w:type="dxa"/>
          </w:tcPr>
          <w:p w14:paraId="34F693D2" w14:textId="77777777" w:rsidR="00E52029" w:rsidRPr="0098262F" w:rsidRDefault="00E52029" w:rsidP="00D221FF">
            <w:pPr>
              <w:pStyle w:val="TableText0"/>
              <w:keepNext w:val="0"/>
              <w:keepLines w:val="0"/>
            </w:pPr>
            <w:r w:rsidRPr="0098262F">
              <w:t>$</w:t>
            </w:r>
            <w:r>
              <w:t>123.05</w:t>
            </w:r>
          </w:p>
        </w:tc>
        <w:tc>
          <w:tcPr>
            <w:tcW w:w="1974" w:type="dxa"/>
          </w:tcPr>
          <w:p w14:paraId="7291B873" w14:textId="77777777" w:rsidR="00E52029" w:rsidRPr="0098262F" w:rsidRDefault="00E52029" w:rsidP="00D221FF">
            <w:pPr>
              <w:pStyle w:val="TableText0"/>
              <w:keepNext w:val="0"/>
              <w:keepLines w:val="0"/>
            </w:pPr>
            <w:r>
              <w:t>MBS item 13950</w:t>
            </w:r>
          </w:p>
        </w:tc>
        <w:tc>
          <w:tcPr>
            <w:tcW w:w="4476" w:type="dxa"/>
          </w:tcPr>
          <w:p w14:paraId="5B5E19D3" w14:textId="2208E8D6" w:rsidR="00E52029" w:rsidRPr="00780BBC" w:rsidRDefault="00E52029" w:rsidP="00D221FF">
            <w:pPr>
              <w:pStyle w:val="TableText0"/>
              <w:keepNext w:val="0"/>
              <w:keepLines w:val="0"/>
              <w:rPr>
                <w:iCs/>
              </w:rPr>
            </w:pPr>
            <w:r w:rsidRPr="00780BBC">
              <w:rPr>
                <w:iCs/>
              </w:rPr>
              <w:t xml:space="preserve">This MBS item is for the cost of IV administration (per infusion) </w:t>
            </w:r>
            <w:r w:rsidR="00E015A4" w:rsidRPr="00780BBC">
              <w:rPr>
                <w:iCs/>
              </w:rPr>
              <w:t>for the</w:t>
            </w:r>
            <w:r w:rsidRPr="00780BBC">
              <w:rPr>
                <w:iCs/>
              </w:rPr>
              <w:t xml:space="preserve"> administration of antineoplastic agents. The MBS item is not appropriate as it relates to administration of neoplastic agents</w:t>
            </w:r>
            <w:r w:rsidR="00985D23" w:rsidRPr="00780BBC">
              <w:rPr>
                <w:iCs/>
              </w:rPr>
              <w:t xml:space="preserve"> only</w:t>
            </w:r>
            <w:r w:rsidRPr="00780BBC">
              <w:rPr>
                <w:iCs/>
              </w:rPr>
              <w:t>. It may be appropriate to apply MBS item 116 ($87.30) as the infusion would likely be overseen by a specialist in the consulting room or hospital. The submission did not estimate any change in utilisation to the MBS; however, there may be some impact to the MBS if</w:t>
            </w:r>
            <w:r w:rsidR="00D73E4B" w:rsidRPr="00780BBC">
              <w:rPr>
                <w:iCs/>
              </w:rPr>
              <w:t xml:space="preserve"> the</w:t>
            </w:r>
            <w:r w:rsidRPr="00780BBC">
              <w:rPr>
                <w:iCs/>
              </w:rPr>
              <w:t xml:space="preserve"> use of migalastat is displaced.</w:t>
            </w:r>
          </w:p>
        </w:tc>
      </w:tr>
    </w:tbl>
    <w:p w14:paraId="702EAF4A" w14:textId="77777777" w:rsidR="00E52029" w:rsidRPr="00F46F3F" w:rsidRDefault="00E52029" w:rsidP="007F0B21">
      <w:pPr>
        <w:keepNext/>
        <w:rPr>
          <w:rFonts w:ascii="Arial Narrow" w:hAnsi="Arial Narrow"/>
          <w:snapToGrid w:val="0"/>
          <w:sz w:val="18"/>
          <w:szCs w:val="22"/>
        </w:rPr>
      </w:pPr>
      <w:r w:rsidRPr="00F46F3F">
        <w:rPr>
          <w:rFonts w:ascii="Arial Narrow" w:hAnsi="Arial Narrow"/>
          <w:snapToGrid w:val="0"/>
          <w:sz w:val="18"/>
          <w:szCs w:val="22"/>
        </w:rPr>
        <w:t>Source: Compiled during the evaluation using Table 4.1-1, p116 of the submission; Table 4.2-7, p124 of the submission; Table 4.5-2, p128 of the submission, Section 4 workbook; migalastat, PSD, March 2024 PBAC meeting with May 2024 addendum.</w:t>
      </w:r>
    </w:p>
    <w:p w14:paraId="4A079135" w14:textId="7CB8736D" w:rsidR="00E52029" w:rsidRPr="0098262F" w:rsidRDefault="000D512F" w:rsidP="007F0B21">
      <w:pPr>
        <w:keepNext/>
        <w:rPr>
          <w:color w:val="3366FF"/>
        </w:rPr>
      </w:pPr>
      <w:r>
        <w:rPr>
          <w:rFonts w:ascii="Arial Narrow" w:hAnsi="Arial Narrow"/>
          <w:snapToGrid w:val="0"/>
          <w:sz w:val="18"/>
          <w:szCs w:val="22"/>
        </w:rPr>
        <w:t xml:space="preserve">Abbreviations: </w:t>
      </w:r>
      <w:r w:rsidR="00E52029" w:rsidRPr="00F46F3F">
        <w:rPr>
          <w:rFonts w:ascii="Arial Narrow" w:hAnsi="Arial Narrow"/>
          <w:snapToGrid w:val="0"/>
          <w:sz w:val="18"/>
          <w:szCs w:val="22"/>
        </w:rPr>
        <w:t xml:space="preserve">ABS, Australian Bureau of Statistics; DPMQ, dispensed price for maximum quantity; ERT, enzyme replacement therapy; </w:t>
      </w:r>
      <w:r w:rsidR="00772E00">
        <w:rPr>
          <w:rFonts w:ascii="Arial Narrow" w:hAnsi="Arial Narrow"/>
          <w:snapToGrid w:val="0"/>
          <w:sz w:val="18"/>
          <w:szCs w:val="22"/>
        </w:rPr>
        <w:t xml:space="preserve">EP, expert panel; </w:t>
      </w:r>
      <w:r w:rsidR="00E52029" w:rsidRPr="00F46F3F">
        <w:rPr>
          <w:rFonts w:ascii="Arial Narrow" w:hAnsi="Arial Narrow"/>
          <w:snapToGrid w:val="0"/>
          <w:sz w:val="18"/>
          <w:szCs w:val="22"/>
        </w:rPr>
        <w:t xml:space="preserve">FD, Fabry </w:t>
      </w:r>
      <w:r w:rsidR="00E52029">
        <w:rPr>
          <w:rFonts w:ascii="Arial Narrow" w:hAnsi="Arial Narrow"/>
          <w:snapToGrid w:val="0"/>
          <w:sz w:val="18"/>
          <w:szCs w:val="22"/>
        </w:rPr>
        <w:t>d</w:t>
      </w:r>
      <w:r w:rsidR="00E52029" w:rsidRPr="00F46F3F">
        <w:rPr>
          <w:rFonts w:ascii="Arial Narrow" w:hAnsi="Arial Narrow"/>
          <w:snapToGrid w:val="0"/>
          <w:sz w:val="18"/>
          <w:szCs w:val="22"/>
        </w:rPr>
        <w:t>isease; IV, intravenous; LSDP, Life Saving Drugs Program; MBS, Medicare Benefits Sche</w:t>
      </w:r>
      <w:r w:rsidR="00724E86">
        <w:rPr>
          <w:rFonts w:ascii="Arial Narrow" w:hAnsi="Arial Narrow"/>
          <w:snapToGrid w:val="0"/>
          <w:sz w:val="18"/>
          <w:szCs w:val="22"/>
        </w:rPr>
        <w:t>dule</w:t>
      </w:r>
      <w:r w:rsidR="00E52029" w:rsidRPr="00F46F3F">
        <w:rPr>
          <w:rFonts w:ascii="Arial Narrow" w:hAnsi="Arial Narrow"/>
          <w:snapToGrid w:val="0"/>
          <w:sz w:val="18"/>
          <w:szCs w:val="22"/>
        </w:rPr>
        <w:t>; PBAC, Pharmaceutical Benefits Advisory Committee; PSD, Public Summary Document.</w:t>
      </w:r>
      <w:r w:rsidR="00E52029" w:rsidRPr="00F46F3F">
        <w:rPr>
          <w:rFonts w:ascii="Arial Narrow" w:hAnsi="Arial Narrow"/>
          <w:snapToGrid w:val="0"/>
          <w:color w:val="3366FF"/>
          <w:sz w:val="18"/>
          <w:szCs w:val="22"/>
        </w:rPr>
        <w:t xml:space="preserve"> </w:t>
      </w:r>
    </w:p>
    <w:p w14:paraId="1F5A8AAD" w14:textId="243DBC6F" w:rsidR="00E52029" w:rsidRPr="00780BBC" w:rsidRDefault="00E52029" w:rsidP="009D09F4">
      <w:pPr>
        <w:pStyle w:val="3-BodyText"/>
      </w:pPr>
      <w:r>
        <w:t xml:space="preserve">The estimated use and financial impact of listing pegunigalsidase alfa on the PBS </w:t>
      </w:r>
      <w:r w:rsidR="00EB1E12">
        <w:t xml:space="preserve">based on </w:t>
      </w:r>
      <w:r w:rsidR="009C0E6E">
        <w:t xml:space="preserve">the submission’s </w:t>
      </w:r>
      <w:r w:rsidR="00EB1E12">
        <w:t>assumed prices</w:t>
      </w:r>
      <w:r>
        <w:t xml:space="preserve"> is shown in </w:t>
      </w:r>
      <w:r w:rsidR="00015407">
        <w:fldChar w:fldCharType="begin" w:fldLock="1"/>
      </w:r>
      <w:r w:rsidR="00015407">
        <w:instrText xml:space="preserve"> REF _Ref197013507 \h </w:instrText>
      </w:r>
      <w:r w:rsidR="00015407">
        <w:fldChar w:fldCharType="separate"/>
      </w:r>
      <w:r w:rsidR="00C05853" w:rsidRPr="0098262F">
        <w:t>Table</w:t>
      </w:r>
      <w:r w:rsidR="00C05853">
        <w:t xml:space="preserve"> 14</w:t>
      </w:r>
      <w:r w:rsidR="00015407">
        <w:fldChar w:fldCharType="end"/>
      </w:r>
      <w:r w:rsidRPr="00780BBC">
        <w:t xml:space="preserve">. </w:t>
      </w:r>
    </w:p>
    <w:p w14:paraId="6F86E251" w14:textId="13830404" w:rsidR="00E52029" w:rsidRPr="0098262F" w:rsidRDefault="00E52029" w:rsidP="007F0B21">
      <w:pPr>
        <w:pStyle w:val="Caption"/>
      </w:pPr>
      <w:bookmarkStart w:id="80" w:name="_Ref197013507"/>
      <w:r w:rsidRPr="0098262F">
        <w:t>Table</w:t>
      </w:r>
      <w:r w:rsidR="005F7FBD">
        <w:t xml:space="preserve"> 1</w:t>
      </w:r>
      <w:r w:rsidR="00C05853">
        <w:t>4</w:t>
      </w:r>
      <w:r>
        <w:fldChar w:fldCharType="begin" w:fldLock="1"/>
      </w:r>
      <w:r>
        <w:instrText>SEQ Table \* ARABIC</w:instrText>
      </w:r>
      <w:r>
        <w:fldChar w:fldCharType="separate"/>
      </w:r>
      <w:r>
        <w:fldChar w:fldCharType="end"/>
      </w:r>
      <w:bookmarkEnd w:id="80"/>
      <w:r w:rsidRPr="0098262F">
        <w:t>:</w:t>
      </w:r>
      <w:r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405"/>
        <w:gridCol w:w="1102"/>
        <w:gridCol w:w="1102"/>
        <w:gridCol w:w="1102"/>
        <w:gridCol w:w="1102"/>
        <w:gridCol w:w="1102"/>
        <w:gridCol w:w="1102"/>
      </w:tblGrid>
      <w:tr w:rsidR="00E52029" w:rsidRPr="0098262F" w14:paraId="7FA419FC" w14:textId="77777777" w:rsidTr="00992CAF">
        <w:trPr>
          <w:tblHeader/>
        </w:trPr>
        <w:tc>
          <w:tcPr>
            <w:tcW w:w="1334" w:type="pct"/>
            <w:vAlign w:val="center"/>
          </w:tcPr>
          <w:p w14:paraId="24A5249B" w14:textId="77777777" w:rsidR="00E52029" w:rsidRPr="00D2098F" w:rsidRDefault="00E52029" w:rsidP="007F0B21">
            <w:pPr>
              <w:pStyle w:val="In-tableHeading"/>
              <w:rPr>
                <w:lang w:val="en-AU"/>
              </w:rPr>
            </w:pPr>
          </w:p>
        </w:tc>
        <w:tc>
          <w:tcPr>
            <w:tcW w:w="611" w:type="pct"/>
            <w:vAlign w:val="center"/>
          </w:tcPr>
          <w:p w14:paraId="6E7A066D" w14:textId="77777777" w:rsidR="00E52029" w:rsidRPr="00D2098F" w:rsidRDefault="00E52029" w:rsidP="007F0B21">
            <w:pPr>
              <w:pStyle w:val="In-tableHeading"/>
              <w:rPr>
                <w:lang w:val="en-AU"/>
              </w:rPr>
            </w:pPr>
            <w:r w:rsidRPr="00D2098F">
              <w:rPr>
                <w:lang w:val="en-AU"/>
              </w:rPr>
              <w:t>Year 1</w:t>
            </w:r>
          </w:p>
        </w:tc>
        <w:tc>
          <w:tcPr>
            <w:tcW w:w="611" w:type="pct"/>
            <w:vAlign w:val="center"/>
          </w:tcPr>
          <w:p w14:paraId="5A5585AC" w14:textId="77777777" w:rsidR="00E52029" w:rsidRPr="00D2098F" w:rsidRDefault="00E52029" w:rsidP="007F0B21">
            <w:pPr>
              <w:pStyle w:val="In-tableHeading"/>
              <w:rPr>
                <w:lang w:val="en-AU"/>
              </w:rPr>
            </w:pPr>
            <w:r w:rsidRPr="00D2098F">
              <w:rPr>
                <w:lang w:val="en-AU"/>
              </w:rPr>
              <w:t>Year 2</w:t>
            </w:r>
          </w:p>
        </w:tc>
        <w:tc>
          <w:tcPr>
            <w:tcW w:w="611" w:type="pct"/>
            <w:vAlign w:val="center"/>
          </w:tcPr>
          <w:p w14:paraId="1DF5FDEA" w14:textId="77777777" w:rsidR="00E52029" w:rsidRPr="00D2098F" w:rsidRDefault="00E52029" w:rsidP="007F0B21">
            <w:pPr>
              <w:pStyle w:val="In-tableHeading"/>
              <w:rPr>
                <w:lang w:val="en-AU"/>
              </w:rPr>
            </w:pPr>
            <w:r w:rsidRPr="00D2098F">
              <w:rPr>
                <w:lang w:val="en-AU"/>
              </w:rPr>
              <w:t>Year 3</w:t>
            </w:r>
          </w:p>
        </w:tc>
        <w:tc>
          <w:tcPr>
            <w:tcW w:w="611" w:type="pct"/>
            <w:vAlign w:val="center"/>
          </w:tcPr>
          <w:p w14:paraId="011AB91A" w14:textId="77777777" w:rsidR="00E52029" w:rsidRPr="00D2098F" w:rsidRDefault="00E52029" w:rsidP="007F0B21">
            <w:pPr>
              <w:pStyle w:val="In-tableHeading"/>
              <w:rPr>
                <w:lang w:val="en-AU"/>
              </w:rPr>
            </w:pPr>
            <w:r w:rsidRPr="00D2098F">
              <w:rPr>
                <w:lang w:val="en-AU"/>
              </w:rPr>
              <w:t>Year 4</w:t>
            </w:r>
          </w:p>
        </w:tc>
        <w:tc>
          <w:tcPr>
            <w:tcW w:w="611" w:type="pct"/>
            <w:vAlign w:val="center"/>
          </w:tcPr>
          <w:p w14:paraId="793BCBAC" w14:textId="77777777" w:rsidR="00E52029" w:rsidRPr="00D2098F" w:rsidRDefault="00E52029" w:rsidP="007F0B21">
            <w:pPr>
              <w:pStyle w:val="In-tableHeading"/>
              <w:rPr>
                <w:lang w:val="en-AU"/>
              </w:rPr>
            </w:pPr>
            <w:r w:rsidRPr="00D2098F">
              <w:rPr>
                <w:lang w:val="en-AU"/>
              </w:rPr>
              <w:t>Year 5</w:t>
            </w:r>
          </w:p>
        </w:tc>
        <w:tc>
          <w:tcPr>
            <w:tcW w:w="611" w:type="pct"/>
          </w:tcPr>
          <w:p w14:paraId="06016C4B" w14:textId="77777777" w:rsidR="00E52029" w:rsidRPr="00D2098F" w:rsidRDefault="00E52029" w:rsidP="007F0B21">
            <w:pPr>
              <w:pStyle w:val="In-tableHeading"/>
              <w:rPr>
                <w:lang w:val="en-AU"/>
              </w:rPr>
            </w:pPr>
            <w:r w:rsidRPr="00D2098F">
              <w:rPr>
                <w:lang w:val="en-AU"/>
              </w:rPr>
              <w:t>Year 6</w:t>
            </w:r>
          </w:p>
        </w:tc>
      </w:tr>
      <w:tr w:rsidR="00E52029" w:rsidRPr="0098262F" w14:paraId="0D03D677" w14:textId="77777777" w:rsidTr="00992CAF">
        <w:tc>
          <w:tcPr>
            <w:tcW w:w="5000" w:type="pct"/>
            <w:gridSpan w:val="7"/>
            <w:vAlign w:val="center"/>
          </w:tcPr>
          <w:p w14:paraId="5585E736" w14:textId="77777777" w:rsidR="00E52029" w:rsidRPr="00D2098F" w:rsidRDefault="00E52029" w:rsidP="007F0B21">
            <w:pPr>
              <w:pStyle w:val="In-tableHeading"/>
              <w:rPr>
                <w:lang w:val="en-AU"/>
              </w:rPr>
            </w:pPr>
            <w:r w:rsidRPr="00D2098F">
              <w:rPr>
                <w:lang w:val="en-AU"/>
              </w:rPr>
              <w:t>Estimated extent of use</w:t>
            </w:r>
          </w:p>
        </w:tc>
      </w:tr>
      <w:tr w:rsidR="00E52029" w:rsidRPr="0098262F" w14:paraId="6EAD25F5" w14:textId="77777777" w:rsidTr="00992CAF">
        <w:tc>
          <w:tcPr>
            <w:tcW w:w="1334" w:type="pct"/>
            <w:vAlign w:val="center"/>
          </w:tcPr>
          <w:p w14:paraId="67475085" w14:textId="77777777" w:rsidR="00E52029" w:rsidRDefault="00E52029" w:rsidP="0009520E">
            <w:pPr>
              <w:pStyle w:val="TableText0"/>
            </w:pPr>
            <w:r>
              <w:t>Number of patients treated</w:t>
            </w:r>
          </w:p>
        </w:tc>
        <w:tc>
          <w:tcPr>
            <w:tcW w:w="611" w:type="pct"/>
            <w:vAlign w:val="center"/>
          </w:tcPr>
          <w:p w14:paraId="35E8EE7C" w14:textId="3B861885"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4411E1AA" w14:textId="75E59DD2"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7D0B0FB2" w14:textId="79388C0A"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2C6610CF" w14:textId="5A69A1E8"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629F9376" w14:textId="61D87FC6"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tcPr>
          <w:p w14:paraId="1EE913E6" w14:textId="77074750"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r>
      <w:tr w:rsidR="00E52029" w:rsidRPr="0098262F" w14:paraId="1D6B818D" w14:textId="77777777" w:rsidTr="00992CAF">
        <w:tc>
          <w:tcPr>
            <w:tcW w:w="1334" w:type="pct"/>
            <w:vAlign w:val="center"/>
          </w:tcPr>
          <w:p w14:paraId="03962C2E" w14:textId="77777777" w:rsidR="00E52029" w:rsidRPr="0098262F" w:rsidRDefault="00E52029" w:rsidP="0009520E">
            <w:pPr>
              <w:pStyle w:val="TableText0"/>
              <w:rPr>
                <w:rFonts w:ascii="Times" w:hAnsi="Times"/>
              </w:rPr>
            </w:pPr>
            <w:r w:rsidRPr="0098262F">
              <w:t xml:space="preserve">Number of scripts </w:t>
            </w:r>
            <w:proofErr w:type="spellStart"/>
            <w:r w:rsidRPr="0098262F">
              <w:t>dispensed</w:t>
            </w:r>
            <w:r w:rsidRPr="0098262F">
              <w:rPr>
                <w:vertAlign w:val="superscript"/>
              </w:rPr>
              <w:t>a</w:t>
            </w:r>
            <w:proofErr w:type="spellEnd"/>
          </w:p>
        </w:tc>
        <w:tc>
          <w:tcPr>
            <w:tcW w:w="611" w:type="pct"/>
            <w:vAlign w:val="center"/>
          </w:tcPr>
          <w:p w14:paraId="3329A413" w14:textId="47F36377"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5F882BB1" w14:textId="72DF0E27"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1</w:t>
            </w:r>
          </w:p>
        </w:tc>
        <w:tc>
          <w:tcPr>
            <w:tcW w:w="611" w:type="pct"/>
            <w:vAlign w:val="center"/>
          </w:tcPr>
          <w:p w14:paraId="06010763" w14:textId="58EF406F"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2</w:t>
            </w:r>
          </w:p>
        </w:tc>
        <w:tc>
          <w:tcPr>
            <w:tcW w:w="611" w:type="pct"/>
            <w:vAlign w:val="center"/>
          </w:tcPr>
          <w:p w14:paraId="70850B85" w14:textId="27D4F97E"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Pr>
                <w:vertAlign w:val="superscript"/>
              </w:rPr>
              <w:t>2</w:t>
            </w:r>
          </w:p>
        </w:tc>
        <w:tc>
          <w:tcPr>
            <w:tcW w:w="611" w:type="pct"/>
            <w:vAlign w:val="center"/>
          </w:tcPr>
          <w:p w14:paraId="3B17F41D" w14:textId="7F75AC79"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Pr>
                <w:vertAlign w:val="superscript"/>
              </w:rPr>
              <w:t>2</w:t>
            </w:r>
          </w:p>
        </w:tc>
        <w:tc>
          <w:tcPr>
            <w:tcW w:w="611" w:type="pct"/>
          </w:tcPr>
          <w:p w14:paraId="20FCCDAF" w14:textId="717651A8"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Pr>
                <w:vertAlign w:val="superscript"/>
              </w:rPr>
              <w:t>2</w:t>
            </w:r>
          </w:p>
        </w:tc>
      </w:tr>
      <w:tr w:rsidR="00E52029" w:rsidRPr="0098262F" w14:paraId="352413F5" w14:textId="77777777" w:rsidTr="00992CAF">
        <w:tc>
          <w:tcPr>
            <w:tcW w:w="5000" w:type="pct"/>
            <w:gridSpan w:val="7"/>
            <w:vAlign w:val="center"/>
          </w:tcPr>
          <w:p w14:paraId="4055C2EF" w14:textId="77777777" w:rsidR="00E52029" w:rsidRPr="00D2098F" w:rsidRDefault="00E52029" w:rsidP="007F0B21">
            <w:pPr>
              <w:pStyle w:val="In-tableHeading"/>
              <w:rPr>
                <w:lang w:val="en-AU"/>
              </w:rPr>
            </w:pPr>
            <w:r w:rsidRPr="00D2098F">
              <w:rPr>
                <w:lang w:val="en-AU"/>
              </w:rPr>
              <w:t>Estimated financial implications of pegunigalsidase alfa</w:t>
            </w:r>
          </w:p>
        </w:tc>
      </w:tr>
      <w:tr w:rsidR="00E52029" w:rsidRPr="0098262F" w14:paraId="74E3166B" w14:textId="77777777" w:rsidTr="00992CAF">
        <w:tc>
          <w:tcPr>
            <w:tcW w:w="1334" w:type="pct"/>
            <w:vAlign w:val="center"/>
          </w:tcPr>
          <w:p w14:paraId="441E5C45" w14:textId="6F7E25CB" w:rsidR="00E52029" w:rsidRPr="006A4AF7" w:rsidRDefault="00E52029" w:rsidP="0009520E">
            <w:pPr>
              <w:pStyle w:val="TableText0"/>
              <w:rPr>
                <w:vertAlign w:val="superscript"/>
              </w:rPr>
            </w:pPr>
            <w:r w:rsidRPr="0098262F">
              <w:t xml:space="preserve">Cost to </w:t>
            </w:r>
            <w:proofErr w:type="spellStart"/>
            <w:r w:rsidRPr="0098262F">
              <w:t>PBS</w:t>
            </w:r>
            <w:r w:rsidR="00B04276">
              <w:rPr>
                <w:vertAlign w:val="superscript"/>
              </w:rPr>
              <w:t>b</w:t>
            </w:r>
            <w:proofErr w:type="spellEnd"/>
          </w:p>
        </w:tc>
        <w:tc>
          <w:tcPr>
            <w:tcW w:w="611" w:type="pct"/>
          </w:tcPr>
          <w:p w14:paraId="5BC69ABB" w14:textId="30C7B4AE"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3</w:t>
            </w:r>
          </w:p>
        </w:tc>
        <w:tc>
          <w:tcPr>
            <w:tcW w:w="611" w:type="pct"/>
          </w:tcPr>
          <w:p w14:paraId="6D2AE5B3" w14:textId="3EEF45B9"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4</w:t>
            </w:r>
          </w:p>
        </w:tc>
        <w:tc>
          <w:tcPr>
            <w:tcW w:w="611" w:type="pct"/>
          </w:tcPr>
          <w:p w14:paraId="21BB0834" w14:textId="5451E175"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4</w:t>
            </w:r>
          </w:p>
        </w:tc>
        <w:tc>
          <w:tcPr>
            <w:tcW w:w="611" w:type="pct"/>
          </w:tcPr>
          <w:p w14:paraId="1F367641" w14:textId="48617766"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F6352E" w:rsidRPr="00F6352E">
              <w:rPr>
                <w:vertAlign w:val="superscript"/>
              </w:rPr>
              <w:t>5</w:t>
            </w:r>
          </w:p>
        </w:tc>
        <w:tc>
          <w:tcPr>
            <w:tcW w:w="611" w:type="pct"/>
          </w:tcPr>
          <w:p w14:paraId="07635A68" w14:textId="2A43C52D"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902986" w:rsidRPr="00902986">
              <w:rPr>
                <w:vertAlign w:val="superscript"/>
              </w:rPr>
              <w:t>6</w:t>
            </w:r>
          </w:p>
        </w:tc>
        <w:tc>
          <w:tcPr>
            <w:tcW w:w="611" w:type="pct"/>
          </w:tcPr>
          <w:p w14:paraId="09900381" w14:textId="0DFE5A76"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Pr>
                <w:vertAlign w:val="superscript"/>
              </w:rPr>
              <w:t>6</w:t>
            </w:r>
          </w:p>
        </w:tc>
      </w:tr>
      <w:tr w:rsidR="00E52029" w:rsidRPr="00353760" w14:paraId="1C792A45" w14:textId="77777777" w:rsidTr="00992CAF">
        <w:tc>
          <w:tcPr>
            <w:tcW w:w="5000" w:type="pct"/>
            <w:gridSpan w:val="7"/>
            <w:vAlign w:val="center"/>
          </w:tcPr>
          <w:p w14:paraId="46E00DAB" w14:textId="77777777" w:rsidR="00E52029" w:rsidRPr="00353760" w:rsidRDefault="00E52029" w:rsidP="0009520E">
            <w:pPr>
              <w:pStyle w:val="TableText0"/>
            </w:pPr>
            <w:r w:rsidRPr="00353760">
              <w:t xml:space="preserve">Estimated financial implications for </w:t>
            </w:r>
            <w:r>
              <w:t>agalsidase alfa and agalsidase beta</w:t>
            </w:r>
          </w:p>
        </w:tc>
      </w:tr>
      <w:tr w:rsidR="00E52029" w:rsidRPr="0098262F" w14:paraId="591D433C" w14:textId="77777777" w:rsidTr="00992CAF">
        <w:tc>
          <w:tcPr>
            <w:tcW w:w="1334" w:type="pct"/>
            <w:vAlign w:val="center"/>
          </w:tcPr>
          <w:p w14:paraId="6F57680A" w14:textId="77777777" w:rsidR="00E52029" w:rsidRPr="0098262F" w:rsidRDefault="00E52029" w:rsidP="0009520E">
            <w:pPr>
              <w:pStyle w:val="TableText0"/>
            </w:pPr>
            <w:r w:rsidRPr="0098262F">
              <w:t xml:space="preserve">Cost to </w:t>
            </w:r>
            <w:r>
              <w:t>LSDP</w:t>
            </w:r>
          </w:p>
        </w:tc>
        <w:tc>
          <w:tcPr>
            <w:tcW w:w="611" w:type="pct"/>
          </w:tcPr>
          <w:p w14:paraId="073F32B6" w14:textId="086EF232"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sidRPr="00B1366D">
              <w:rPr>
                <w:vertAlign w:val="superscript"/>
              </w:rPr>
              <w:t>7</w:t>
            </w:r>
          </w:p>
        </w:tc>
        <w:tc>
          <w:tcPr>
            <w:tcW w:w="611" w:type="pct"/>
          </w:tcPr>
          <w:p w14:paraId="1E8912F6" w14:textId="6E8907AD"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sidRPr="00B1366D">
              <w:rPr>
                <w:vertAlign w:val="superscript"/>
              </w:rPr>
              <w:t>7</w:t>
            </w:r>
          </w:p>
        </w:tc>
        <w:tc>
          <w:tcPr>
            <w:tcW w:w="611" w:type="pct"/>
          </w:tcPr>
          <w:p w14:paraId="0BA92C9B" w14:textId="6238005D"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sidRPr="00B1366D">
              <w:rPr>
                <w:vertAlign w:val="superscript"/>
              </w:rPr>
              <w:t>7</w:t>
            </w:r>
          </w:p>
        </w:tc>
        <w:tc>
          <w:tcPr>
            <w:tcW w:w="611" w:type="pct"/>
          </w:tcPr>
          <w:p w14:paraId="7420E37D" w14:textId="77CEAC7C"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sidRPr="00B1366D">
              <w:rPr>
                <w:vertAlign w:val="superscript"/>
              </w:rPr>
              <w:t>7</w:t>
            </w:r>
          </w:p>
        </w:tc>
        <w:tc>
          <w:tcPr>
            <w:tcW w:w="611" w:type="pct"/>
          </w:tcPr>
          <w:p w14:paraId="2CC4208E" w14:textId="072C1F27"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B1366D" w:rsidRPr="00B1366D">
              <w:rPr>
                <w:vertAlign w:val="superscript"/>
              </w:rPr>
              <w:t>7</w:t>
            </w:r>
          </w:p>
        </w:tc>
        <w:tc>
          <w:tcPr>
            <w:tcW w:w="611" w:type="pct"/>
          </w:tcPr>
          <w:p w14:paraId="7B21C205" w14:textId="73910D0E"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r>
      <w:tr w:rsidR="00E52029" w:rsidRPr="0098262F" w14:paraId="40326C18" w14:textId="77777777" w:rsidTr="00992CAF">
        <w:tc>
          <w:tcPr>
            <w:tcW w:w="5000" w:type="pct"/>
            <w:gridSpan w:val="7"/>
            <w:vAlign w:val="center"/>
          </w:tcPr>
          <w:p w14:paraId="52A933BB" w14:textId="77777777" w:rsidR="00E52029" w:rsidRPr="00D2098F" w:rsidRDefault="00E52029" w:rsidP="007F0B21">
            <w:pPr>
              <w:pStyle w:val="In-tableHeading"/>
              <w:rPr>
                <w:lang w:val="en-AU"/>
              </w:rPr>
            </w:pPr>
            <w:r w:rsidRPr="00D2098F">
              <w:rPr>
                <w:lang w:val="en-AU"/>
              </w:rPr>
              <w:t>Net financial implications</w:t>
            </w:r>
          </w:p>
        </w:tc>
      </w:tr>
      <w:tr w:rsidR="00E52029" w:rsidRPr="0098262F" w14:paraId="39549C7C" w14:textId="77777777" w:rsidTr="00992CAF">
        <w:tc>
          <w:tcPr>
            <w:tcW w:w="1334" w:type="pct"/>
            <w:vAlign w:val="center"/>
          </w:tcPr>
          <w:p w14:paraId="6969A26B" w14:textId="77777777" w:rsidR="00E52029" w:rsidRPr="0098262F" w:rsidRDefault="00E52029" w:rsidP="0009520E">
            <w:pPr>
              <w:pStyle w:val="TableText0"/>
            </w:pPr>
            <w:r w:rsidRPr="0098262F">
              <w:t xml:space="preserve">Net cost to </w:t>
            </w:r>
            <w:r>
              <w:t>health budget</w:t>
            </w:r>
          </w:p>
        </w:tc>
        <w:tc>
          <w:tcPr>
            <w:tcW w:w="611" w:type="pct"/>
          </w:tcPr>
          <w:p w14:paraId="1488CA93" w14:textId="66BF10B0"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c>
          <w:tcPr>
            <w:tcW w:w="611" w:type="pct"/>
          </w:tcPr>
          <w:p w14:paraId="5ED02BDD" w14:textId="7A3DE056"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c>
          <w:tcPr>
            <w:tcW w:w="611" w:type="pct"/>
          </w:tcPr>
          <w:p w14:paraId="732F9B8B" w14:textId="2553CF22"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c>
          <w:tcPr>
            <w:tcW w:w="611" w:type="pct"/>
          </w:tcPr>
          <w:p w14:paraId="046F10AC" w14:textId="14EBEC0C"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c>
          <w:tcPr>
            <w:tcW w:w="611" w:type="pct"/>
          </w:tcPr>
          <w:p w14:paraId="33DF3CA0" w14:textId="58B14210"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6A1089" w:rsidRPr="00B1366D">
              <w:rPr>
                <w:vertAlign w:val="superscript"/>
              </w:rPr>
              <w:t>7</w:t>
            </w:r>
          </w:p>
        </w:tc>
        <w:tc>
          <w:tcPr>
            <w:tcW w:w="611" w:type="pct"/>
          </w:tcPr>
          <w:p w14:paraId="16258B10" w14:textId="03AAE228" w:rsidR="00E52029" w:rsidRPr="00E7022C" w:rsidRDefault="0067772E" w:rsidP="006D74C2">
            <w:pPr>
              <w:pStyle w:val="TableText0"/>
              <w:jc w:val="right"/>
              <w:rPr>
                <w:highlight w:val="darkGray"/>
              </w:rPr>
            </w:pPr>
            <w:r w:rsidRPr="0067772E">
              <w:rPr>
                <w:color w:val="000000"/>
                <w:shd w:val="solid" w:color="000000" w:fill="000000"/>
                <w14:textFill>
                  <w14:solidFill>
                    <w14:srgbClr w14:val="000000">
                      <w14:alpha w14:val="100000"/>
                    </w14:srgbClr>
                  </w14:solidFill>
                </w14:textFill>
              </w:rPr>
              <w:t>|</w:t>
            </w:r>
            <w:r w:rsidR="007F4A7B" w:rsidRPr="00B1366D">
              <w:rPr>
                <w:vertAlign w:val="superscript"/>
              </w:rPr>
              <w:t>7</w:t>
            </w:r>
          </w:p>
        </w:tc>
      </w:tr>
    </w:tbl>
    <w:p w14:paraId="7E04194F" w14:textId="6CE6C31E" w:rsidR="00E52029" w:rsidRDefault="00E52029" w:rsidP="007F0B21">
      <w:pPr>
        <w:pStyle w:val="FooterTableFigure"/>
        <w:keepNext/>
      </w:pPr>
      <w:r w:rsidRPr="0098262F">
        <w:t xml:space="preserve">Source: </w:t>
      </w:r>
      <w:r w:rsidRPr="005D2320">
        <w:t>Compiled during the evaluation from</w:t>
      </w:r>
      <w:r>
        <w:t xml:space="preserve"> Table 4.2-4,</w:t>
      </w:r>
      <w:r w:rsidR="00AF5B33">
        <w:t xml:space="preserve"> p122</w:t>
      </w:r>
      <w:r w:rsidR="00F87743">
        <w:t xml:space="preserve"> of the submission</w:t>
      </w:r>
      <w:r w:rsidR="00AF5B33">
        <w:t>;</w:t>
      </w:r>
      <w:r>
        <w:t xml:space="preserve"> Table 4.2-9,</w:t>
      </w:r>
      <w:r w:rsidR="005E781B">
        <w:t xml:space="preserve"> p124</w:t>
      </w:r>
      <w:r w:rsidR="00F87743">
        <w:t xml:space="preserve"> of the submission</w:t>
      </w:r>
      <w:r w:rsidR="005E781B">
        <w:t>;</w:t>
      </w:r>
      <w:r>
        <w:t xml:space="preserve"> Table 4.5-7,</w:t>
      </w:r>
      <w:r w:rsidR="00F87743">
        <w:t xml:space="preserve"> p132 of the submission;</w:t>
      </w:r>
      <w:r>
        <w:t xml:space="preserve"> Table 4.5-8</w:t>
      </w:r>
      <w:r w:rsidR="00F87743">
        <w:t>, p138 of the submission</w:t>
      </w:r>
      <w:r>
        <w:t>.</w:t>
      </w:r>
    </w:p>
    <w:p w14:paraId="7E4BEAD9" w14:textId="77777777" w:rsidR="00E52029" w:rsidRPr="0098262F" w:rsidRDefault="00E52029" w:rsidP="007F0B21">
      <w:pPr>
        <w:pStyle w:val="FooterTableFigure"/>
        <w:keepNext/>
        <w:rPr>
          <w:rStyle w:val="CommentReference"/>
        </w:rPr>
      </w:pPr>
      <w:r>
        <w:t>Abbreviations: LSDP, Life Saving Drugs Program; PBS; Pharmaceutical Benefits Scheme; RPBS, Repatriation Pharmaceutical Benefits Scheme.</w:t>
      </w:r>
    </w:p>
    <w:p w14:paraId="417D907A" w14:textId="77777777" w:rsidR="00E52029" w:rsidRDefault="00E52029" w:rsidP="007F0B21">
      <w:pPr>
        <w:pStyle w:val="FooterTableFigure"/>
        <w:keepNext/>
      </w:pPr>
      <w:r w:rsidRPr="0098262F">
        <w:rPr>
          <w:vertAlign w:val="superscript"/>
        </w:rPr>
        <w:t>a</w:t>
      </w:r>
      <w:r w:rsidRPr="0098262F">
        <w:t xml:space="preserve"> Assuming </w:t>
      </w:r>
      <w:r>
        <w:t>13.04 scripts</w:t>
      </w:r>
      <w:r w:rsidRPr="0098262F">
        <w:t xml:space="preserve"> per year as estimated by the submission.</w:t>
      </w:r>
    </w:p>
    <w:p w14:paraId="1AC93269" w14:textId="77777777" w:rsidR="004257A5" w:rsidRDefault="00E52029" w:rsidP="004257A5">
      <w:pPr>
        <w:pStyle w:val="FooterTableFigure"/>
      </w:pPr>
      <w:r>
        <w:rPr>
          <w:vertAlign w:val="superscript"/>
        </w:rPr>
        <w:t>b</w:t>
      </w:r>
      <w:r>
        <w:t xml:space="preserve"> </w:t>
      </w:r>
      <w:r w:rsidRPr="00C36B03">
        <w:t>The net impact is proposed to be only to the PBS given that 100% PBS usage (i.e., 0% RPBS usage) is estimated</w:t>
      </w:r>
      <w:r w:rsidR="009B437A">
        <w:t>.</w:t>
      </w:r>
      <w:r w:rsidR="004257A5" w:rsidRPr="004257A5">
        <w:t xml:space="preserve"> </w:t>
      </w:r>
    </w:p>
    <w:p w14:paraId="52041C28" w14:textId="26AB758C" w:rsidR="004257A5" w:rsidRPr="00F323E9" w:rsidRDefault="004257A5" w:rsidP="004257A5">
      <w:pPr>
        <w:pStyle w:val="FooterTableFigure"/>
        <w:rPr>
          <w:i/>
          <w:iCs/>
        </w:rPr>
      </w:pPr>
      <w:r w:rsidRPr="00F323E9">
        <w:rPr>
          <w:i/>
          <w:iCs/>
        </w:rPr>
        <w:t xml:space="preserve">The redacted values correspond to the following ranges: </w:t>
      </w:r>
    </w:p>
    <w:p w14:paraId="14DA7A3E" w14:textId="12C6AD5B" w:rsidR="004257A5" w:rsidRPr="00F323E9" w:rsidRDefault="004257A5" w:rsidP="004257A5">
      <w:pPr>
        <w:pStyle w:val="FooterTableFigure"/>
        <w:rPr>
          <w:i/>
          <w:iCs/>
        </w:rPr>
      </w:pPr>
      <w:r w:rsidRPr="00F323E9">
        <w:rPr>
          <w:i/>
          <w:iCs/>
          <w:vertAlign w:val="superscript"/>
        </w:rPr>
        <w:t>1</w:t>
      </w:r>
      <w:r w:rsidRPr="00F323E9">
        <w:rPr>
          <w:i/>
          <w:iCs/>
        </w:rPr>
        <w:t xml:space="preserve"> &lt;500</w:t>
      </w:r>
    </w:p>
    <w:p w14:paraId="02B8FA55" w14:textId="7B732B4E" w:rsidR="004257A5" w:rsidRPr="00F323E9" w:rsidRDefault="004257A5" w:rsidP="004257A5">
      <w:pPr>
        <w:pStyle w:val="FooterTableFigure"/>
        <w:rPr>
          <w:i/>
          <w:iCs/>
        </w:rPr>
      </w:pPr>
      <w:r w:rsidRPr="00F323E9">
        <w:rPr>
          <w:i/>
          <w:iCs/>
          <w:vertAlign w:val="superscript"/>
        </w:rPr>
        <w:t>2</w:t>
      </w:r>
      <w:r w:rsidRPr="00F323E9">
        <w:rPr>
          <w:i/>
          <w:iCs/>
        </w:rPr>
        <w:t xml:space="preserve"> 500 to &lt; 5,000 </w:t>
      </w:r>
    </w:p>
    <w:p w14:paraId="7658B11D" w14:textId="77777777" w:rsidR="004257A5" w:rsidRPr="00F323E9" w:rsidRDefault="004257A5" w:rsidP="004257A5">
      <w:pPr>
        <w:pStyle w:val="FooterTableFigure"/>
        <w:rPr>
          <w:i/>
          <w:iCs/>
        </w:rPr>
      </w:pPr>
      <w:r w:rsidRPr="00F323E9">
        <w:rPr>
          <w:i/>
          <w:iCs/>
          <w:vertAlign w:val="superscript"/>
        </w:rPr>
        <w:t>3</w:t>
      </w:r>
      <w:r w:rsidRPr="00F323E9">
        <w:rPr>
          <w:i/>
          <w:iCs/>
        </w:rPr>
        <w:t xml:space="preserve"> $0 to &lt; $10 million </w:t>
      </w:r>
    </w:p>
    <w:p w14:paraId="1DFB8D3A" w14:textId="6DC7979E" w:rsidR="001E4078" w:rsidRPr="00F323E9" w:rsidRDefault="003C5BD9" w:rsidP="004257A5">
      <w:pPr>
        <w:pStyle w:val="FooterTableFigure"/>
        <w:rPr>
          <w:i/>
          <w:iCs/>
        </w:rPr>
      </w:pPr>
      <w:r w:rsidRPr="00F323E9">
        <w:rPr>
          <w:i/>
          <w:iCs/>
          <w:vertAlign w:val="superscript"/>
        </w:rPr>
        <w:t>4</w:t>
      </w:r>
      <w:r w:rsidR="001E4078" w:rsidRPr="00F323E9">
        <w:rPr>
          <w:i/>
          <w:iCs/>
        </w:rPr>
        <w:t xml:space="preserve"> $10 million to &lt; $20 million</w:t>
      </w:r>
    </w:p>
    <w:p w14:paraId="0549AD1F" w14:textId="5869E7D0" w:rsidR="001A0A3A" w:rsidRPr="00F323E9" w:rsidRDefault="001E4078" w:rsidP="001A0A3A">
      <w:pPr>
        <w:pStyle w:val="FooterTableFigure"/>
        <w:rPr>
          <w:i/>
          <w:iCs/>
        </w:rPr>
      </w:pPr>
      <w:r w:rsidRPr="00F323E9">
        <w:rPr>
          <w:i/>
          <w:iCs/>
          <w:vertAlign w:val="superscript"/>
        </w:rPr>
        <w:t>5</w:t>
      </w:r>
      <w:r w:rsidR="004257A5" w:rsidRPr="00F323E9">
        <w:rPr>
          <w:i/>
          <w:iCs/>
        </w:rPr>
        <w:t xml:space="preserve"> $20 million to &lt; $30 million </w:t>
      </w:r>
    </w:p>
    <w:p w14:paraId="438FA54A" w14:textId="2374ECD4" w:rsidR="004257A5" w:rsidRPr="00F323E9" w:rsidRDefault="001E4078" w:rsidP="001A0A3A">
      <w:pPr>
        <w:pStyle w:val="FooterTableFigure"/>
        <w:rPr>
          <w:i/>
          <w:iCs/>
        </w:rPr>
      </w:pPr>
      <w:r w:rsidRPr="00F323E9">
        <w:rPr>
          <w:i/>
          <w:iCs/>
          <w:vertAlign w:val="superscript"/>
        </w:rPr>
        <w:t>6</w:t>
      </w:r>
      <w:r w:rsidR="008B2819" w:rsidRPr="00F323E9">
        <w:rPr>
          <w:i/>
          <w:iCs/>
        </w:rPr>
        <w:t xml:space="preserve"> </w:t>
      </w:r>
      <w:r w:rsidR="001A0A3A" w:rsidRPr="00F323E9">
        <w:rPr>
          <w:i/>
          <w:iCs/>
        </w:rPr>
        <w:t>$30 million to &lt; $40 million</w:t>
      </w:r>
    </w:p>
    <w:p w14:paraId="091C65BA" w14:textId="367143B7" w:rsidR="00E52029" w:rsidRPr="00F323E9" w:rsidRDefault="001E4078" w:rsidP="004257A5">
      <w:pPr>
        <w:pStyle w:val="FooterTableFigure"/>
        <w:rPr>
          <w:i/>
          <w:iCs/>
        </w:rPr>
      </w:pPr>
      <w:r w:rsidRPr="00F323E9">
        <w:rPr>
          <w:i/>
          <w:iCs/>
          <w:vertAlign w:val="superscript"/>
        </w:rPr>
        <w:t>7</w:t>
      </w:r>
      <w:r w:rsidR="004257A5" w:rsidRPr="00F323E9">
        <w:rPr>
          <w:i/>
          <w:iCs/>
        </w:rPr>
        <w:t xml:space="preserve"> net cost saving</w:t>
      </w:r>
    </w:p>
    <w:p w14:paraId="21773609" w14:textId="3D34822B" w:rsidR="00E52029" w:rsidRPr="00780BBC" w:rsidRDefault="00656403" w:rsidP="009D09F4">
      <w:pPr>
        <w:pStyle w:val="3-BodyText"/>
      </w:pPr>
      <w:r w:rsidRPr="00656403">
        <w:lastRenderedPageBreak/>
        <w:t xml:space="preserve">At year 6, the estimated number of patients was </w:t>
      </w:r>
      <w:r w:rsidR="003074CF">
        <w:t>&lt;500</w:t>
      </w:r>
      <w:r w:rsidR="00453455">
        <w:t>.</w:t>
      </w:r>
      <w:r w:rsidRPr="00656403">
        <w:t xml:space="preserve"> </w:t>
      </w:r>
      <w:r w:rsidR="00E52029">
        <w:t xml:space="preserve">The total cost to the PBS of listing pegunigalsidase alfa was estimated to be </w:t>
      </w:r>
      <w:r w:rsidR="00CE0A27" w:rsidRPr="00CE0A27">
        <w:t>$30 million to &lt; $40 million</w:t>
      </w:r>
      <w:r w:rsidR="003C5BD9">
        <w:t xml:space="preserve"> </w:t>
      </w:r>
      <w:r w:rsidR="00E52029">
        <w:t xml:space="preserve">in Year 6, and a total of </w:t>
      </w:r>
      <w:r w:rsidR="004F679B" w:rsidRPr="004F679B">
        <w:t>$100 million to &lt; $200 million</w:t>
      </w:r>
      <w:r w:rsidR="003C5BD9">
        <w:t xml:space="preserve"> </w:t>
      </w:r>
      <w:r w:rsidR="00E52029">
        <w:t xml:space="preserve">in the first six years of listing. The submission estimated that the overall net cost to the health budget of listing pegunigalsidase alfa is a saving of </w:t>
      </w:r>
      <w:r w:rsidR="00C2490D" w:rsidRPr="00C2490D">
        <w:t>$0 to &lt; $10 million</w:t>
      </w:r>
      <w:r w:rsidR="003C5BD9">
        <w:t xml:space="preserve"> </w:t>
      </w:r>
      <w:r w:rsidR="00E52029">
        <w:t>in Year</w:t>
      </w:r>
      <w:r w:rsidR="007D7C83">
        <w:t xml:space="preserve"> 1,</w:t>
      </w:r>
      <w:r w:rsidR="00E52029">
        <w:t xml:space="preserve"> to a saving of </w:t>
      </w:r>
      <w:r w:rsidR="00C2490D" w:rsidRPr="00C2490D">
        <w:t>$0 to &lt; $10 million</w:t>
      </w:r>
      <w:r w:rsidR="003C5BD9">
        <w:t xml:space="preserve"> </w:t>
      </w:r>
      <w:r w:rsidR="00E52029">
        <w:t xml:space="preserve">in Year 6, resulting in a cumulative cost saving of </w:t>
      </w:r>
      <w:r w:rsidR="00C84129" w:rsidRPr="00C84129">
        <w:t>$30 million to &lt; $40 million</w:t>
      </w:r>
      <w:r w:rsidR="003C5BD9">
        <w:t xml:space="preserve"> </w:t>
      </w:r>
      <w:r w:rsidR="00E52029">
        <w:t>in the first six years of PBS-listing.</w:t>
      </w:r>
      <w:r w:rsidR="00E52029" w:rsidRPr="7DB0E811">
        <w:rPr>
          <w:i/>
          <w:iCs/>
        </w:rPr>
        <w:t xml:space="preserve"> </w:t>
      </w:r>
      <w:r w:rsidR="00E52029" w:rsidRPr="00780BBC">
        <w:t xml:space="preserve">The net cost saving observed is largely driven by the estimated offsets due to displacement of current ERTs (agalsidase alfa and agalsidase beta) listed on the LSDP and the assumed higher price for these ERTs </w:t>
      </w:r>
      <w:r w:rsidR="00E52029" w:rsidRPr="003074CF">
        <w:t>(50%</w:t>
      </w:r>
      <w:r w:rsidR="00E52029" w:rsidRPr="00780BBC">
        <w:t xml:space="preserve"> above the price of migalastat).</w:t>
      </w:r>
      <w:r w:rsidR="006D4AA0" w:rsidRPr="00780BBC">
        <w:t xml:space="preserve"> </w:t>
      </w:r>
    </w:p>
    <w:p w14:paraId="7560CA36" w14:textId="77777777" w:rsidR="00E52029" w:rsidRPr="00780BBC" w:rsidRDefault="00E52029" w:rsidP="009D09F4">
      <w:pPr>
        <w:pStyle w:val="3-BodyText"/>
      </w:pPr>
      <w:r w:rsidRPr="00780BBC">
        <w:t xml:space="preserve"> These financial estimates are uncertain and should be interpreted with caution because:</w:t>
      </w:r>
    </w:p>
    <w:p w14:paraId="1D3A7CBF" w14:textId="7329F129" w:rsidR="00E52029" w:rsidRPr="00780BBC" w:rsidRDefault="00E52029" w:rsidP="00372B81">
      <w:pPr>
        <w:pStyle w:val="ListParagraph"/>
        <w:numPr>
          <w:ilvl w:val="0"/>
          <w:numId w:val="10"/>
        </w:numPr>
        <w:jc w:val="both"/>
      </w:pPr>
      <w:r w:rsidRPr="00780BBC">
        <w:t xml:space="preserve">The price of </w:t>
      </w:r>
      <w:r w:rsidR="007F59DF" w:rsidRPr="00780BBC">
        <w:t>pegunigalsidase</w:t>
      </w:r>
      <w:r w:rsidRPr="00780BBC">
        <w:t xml:space="preserve"> alfa applied was based on the </w:t>
      </w:r>
      <w:r w:rsidR="005E1D71" w:rsidRPr="00780BBC">
        <w:t>estimated annual cost of migalastat</w:t>
      </w:r>
      <w:r w:rsidRPr="00780BBC">
        <w:t xml:space="preserve"> with a </w:t>
      </w:r>
      <w:r w:rsidR="0067772E" w:rsidRPr="00F3513A">
        <w:rPr>
          <w:color w:val="000000"/>
          <w:w w:val="15"/>
          <w:shd w:val="solid" w:color="000000" w:fill="000000"/>
          <w:fitText w:val="-20" w:id="-628909556"/>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6"/>
          <w14:textFill>
            <w14:solidFill>
              <w14:srgbClr w14:val="000000">
                <w14:alpha w14:val="100000"/>
              </w14:srgbClr>
            </w14:solidFill>
          </w14:textFill>
        </w:rPr>
        <w:t>|</w:t>
      </w:r>
      <w:r w:rsidRPr="00780BBC">
        <w:t>% price premium (</w:t>
      </w:r>
      <w:r w:rsidRPr="00780BBC">
        <w:fldChar w:fldCharType="begin" w:fldLock="1"/>
      </w:r>
      <w:r w:rsidRPr="00780BBC">
        <w:instrText xml:space="preserve"> REF _Ref194580374 \h </w:instrText>
      </w:r>
      <w:r w:rsidR="00780BBC" w:rsidRPr="00780BBC">
        <w:instrText xml:space="preserve"> \* MERGEFORMAT </w:instrText>
      </w:r>
      <w:r w:rsidRPr="00780BBC">
        <w:fldChar w:fldCharType="separate"/>
      </w:r>
      <w:r w:rsidR="009F0E3C" w:rsidRPr="00780BBC">
        <w:t xml:space="preserve">Table </w:t>
      </w:r>
      <w:r w:rsidR="009F0E3C" w:rsidRPr="00780BBC">
        <w:rPr>
          <w:noProof/>
        </w:rPr>
        <w:t>11</w:t>
      </w:r>
      <w:r w:rsidRPr="00780BBC">
        <w:fldChar w:fldCharType="end"/>
      </w:r>
      <w:r w:rsidRPr="00780BBC">
        <w:t>). As discussed in para</w:t>
      </w:r>
      <w:r w:rsidR="005E1D71" w:rsidRPr="00780BBC">
        <w:t>graphs</w:t>
      </w:r>
      <w:r w:rsidRPr="00780BBC">
        <w:t xml:space="preserve"> </w:t>
      </w:r>
      <w:r w:rsidRPr="00780BBC">
        <w:fldChar w:fldCharType="begin" w:fldLock="1"/>
      </w:r>
      <w:r w:rsidRPr="00780BBC">
        <w:instrText xml:space="preserve"> REF _Ref195629892 \n \h </w:instrText>
      </w:r>
      <w:r w:rsidR="00780BBC" w:rsidRPr="00780BBC">
        <w:instrText xml:space="preserve"> \* MERGEFORMAT </w:instrText>
      </w:r>
      <w:r w:rsidRPr="00780BBC">
        <w:fldChar w:fldCharType="separate"/>
      </w:r>
      <w:r w:rsidR="00881387">
        <w:t>6.58</w:t>
      </w:r>
      <w:r w:rsidRPr="00780BBC">
        <w:fldChar w:fldCharType="end"/>
      </w:r>
      <w:r w:rsidRPr="00780BBC" w:rsidDel="00037B01">
        <w:t xml:space="preserve"> </w:t>
      </w:r>
      <w:r w:rsidRPr="00780BBC">
        <w:t xml:space="preserve">and </w:t>
      </w:r>
      <w:r w:rsidRPr="00780BBC">
        <w:fldChar w:fldCharType="begin" w:fldLock="1"/>
      </w:r>
      <w:r w:rsidRPr="00780BBC">
        <w:instrText xml:space="preserve"> REF _Ref195630537 \n \h </w:instrText>
      </w:r>
      <w:r w:rsidR="00780BBC" w:rsidRPr="00780BBC">
        <w:instrText xml:space="preserve"> \* MERGEFORMAT </w:instrText>
      </w:r>
      <w:r w:rsidRPr="00780BBC">
        <w:fldChar w:fldCharType="separate"/>
      </w:r>
      <w:r w:rsidR="00881387">
        <w:t>6.63</w:t>
      </w:r>
      <w:r w:rsidRPr="00780BBC">
        <w:fldChar w:fldCharType="end"/>
      </w:r>
      <w:r w:rsidRPr="00780BBC">
        <w:t xml:space="preserve">, there is </w:t>
      </w:r>
      <w:r w:rsidR="00F56B79">
        <w:t>no</w:t>
      </w:r>
      <w:r w:rsidR="00F56B79" w:rsidRPr="00780BBC">
        <w:t xml:space="preserve"> </w:t>
      </w:r>
      <w:r w:rsidRPr="00780BBC">
        <w:t xml:space="preserve">evidence to support the request for a price premium. </w:t>
      </w:r>
    </w:p>
    <w:p w14:paraId="67D05A11" w14:textId="4BD00E95" w:rsidR="00E52029" w:rsidRPr="00780BBC" w:rsidRDefault="00B224AB" w:rsidP="00372B81">
      <w:pPr>
        <w:pStyle w:val="ListParagraph"/>
        <w:numPr>
          <w:ilvl w:val="0"/>
          <w:numId w:val="10"/>
        </w:numPr>
        <w:jc w:val="both"/>
      </w:pPr>
      <w:r w:rsidRPr="00780BBC">
        <w:t xml:space="preserve">The submission applied a </w:t>
      </w:r>
      <w:r w:rsidR="00E52029" w:rsidRPr="00780BBC">
        <w:t xml:space="preserve">baseline prevalence </w:t>
      </w:r>
      <w:r w:rsidR="00EA3EC4" w:rsidRPr="00780BBC">
        <w:t xml:space="preserve">of </w:t>
      </w:r>
      <w:r w:rsidR="00192853" w:rsidRPr="00780BBC">
        <w:t>2.</w:t>
      </w:r>
      <w:r w:rsidR="00221404" w:rsidRPr="00780BBC">
        <w:t>41 per 100,000 based on data presented in the migalastat March 2024 PSD.</w:t>
      </w:r>
      <w:r w:rsidR="00C62D77" w:rsidRPr="00780BBC">
        <w:t xml:space="preserve"> There is uncertainty in the prevalence</w:t>
      </w:r>
      <w:r w:rsidR="006F036D" w:rsidRPr="00780BBC">
        <w:t xml:space="preserve"> that has been</w:t>
      </w:r>
      <w:r w:rsidR="00C62D77" w:rsidRPr="00780BBC">
        <w:t xml:space="preserve"> applied</w:t>
      </w:r>
      <w:r w:rsidR="003A2ECB" w:rsidRPr="00780BBC">
        <w:t>.</w:t>
      </w:r>
      <w:r w:rsidR="00C62D77" w:rsidRPr="00780BBC">
        <w:t xml:space="preserve"> </w:t>
      </w:r>
      <w:r w:rsidR="003A2ECB" w:rsidRPr="00780BBC">
        <w:t>T</w:t>
      </w:r>
      <w:r w:rsidR="00C62D77" w:rsidRPr="00780BBC">
        <w:t>he LSDP Expert Panel has determined, based on recently available evidence, that Fabry disease no longer meets the prevalence criterion for the LSDP</w:t>
      </w:r>
      <w:r w:rsidR="00E52029" w:rsidRPr="00780BBC">
        <w:t xml:space="preserve">. </w:t>
      </w:r>
    </w:p>
    <w:p w14:paraId="3F1C1E3C" w14:textId="5A3DFE13" w:rsidR="00E52029" w:rsidRPr="00780BBC" w:rsidRDefault="00E52029" w:rsidP="00372B81">
      <w:pPr>
        <w:pStyle w:val="ListParagraph"/>
        <w:numPr>
          <w:ilvl w:val="0"/>
          <w:numId w:val="10"/>
        </w:numPr>
        <w:jc w:val="both"/>
      </w:pPr>
      <w:r w:rsidRPr="00780BBC">
        <w:t>The prevalence growth rate (8.4%) applied in the submission is high compared to 6.9% that was considered in the migalastat March 2024 PBAC meeting consideration (para</w:t>
      </w:r>
      <w:r w:rsidR="00C75631" w:rsidRPr="00780BBC">
        <w:t>graph</w:t>
      </w:r>
      <w:r w:rsidRPr="00780BBC">
        <w:t xml:space="preserve"> 6.40, migalastat, PSD, March 2024 PBAC meeting with May 2024 addendum). When a 6.9% growth rate was applied, the net financial estimates across six years decreased by 7% from base case.</w:t>
      </w:r>
    </w:p>
    <w:p w14:paraId="34C0B864" w14:textId="54F20AA1" w:rsidR="00E52029" w:rsidRPr="00780BBC" w:rsidRDefault="00E52029" w:rsidP="00310FDC">
      <w:pPr>
        <w:pStyle w:val="ListParagraph"/>
        <w:ind w:left="1080"/>
        <w:jc w:val="both"/>
      </w:pPr>
      <w:r w:rsidRPr="00780BBC">
        <w:t xml:space="preserve">The submission assumed that 0% of migalastat utilisation will be displaced </w:t>
      </w:r>
      <w:r w:rsidR="0011434F" w:rsidRPr="00780BBC">
        <w:t xml:space="preserve">if </w:t>
      </w:r>
      <w:r w:rsidRPr="00780BBC">
        <w:t>pegunigalsidase alfa</w:t>
      </w:r>
      <w:r w:rsidR="0011434F" w:rsidRPr="00780BBC">
        <w:t xml:space="preserve"> is listed on the</w:t>
      </w:r>
      <w:r w:rsidRPr="00780BBC">
        <w:t xml:space="preserve"> PBS. Migalastat has the administrative advantage over pegunigalsidase alfa (oral versus IV); therefore, it may be reasonable to assume that no use of migalastat would be displaced. There is no evidence, however, to suggest that there is a difference in effectiveness between the treatments, and while it is likely that more patients would opt for migalastat</w:t>
      </w:r>
      <w:r w:rsidR="0005009F" w:rsidRPr="00780BBC">
        <w:t xml:space="preserve"> as it is an oral therapy</w:t>
      </w:r>
      <w:r w:rsidRPr="00780BBC">
        <w:t>, there may still be a small number of patients and/or clinicians who switch to pegunigalsidase alfa (for example patients who struggle with fasting two hours before and after taking migalastat or patients that experience IRRs).</w:t>
      </w:r>
    </w:p>
    <w:p w14:paraId="606EB0F0" w14:textId="2318CCC3" w:rsidR="00E52029" w:rsidRPr="00780BBC" w:rsidRDefault="00E52029" w:rsidP="00372B81">
      <w:pPr>
        <w:pStyle w:val="ListParagraph"/>
        <w:numPr>
          <w:ilvl w:val="0"/>
          <w:numId w:val="10"/>
        </w:numPr>
        <w:jc w:val="both"/>
      </w:pPr>
      <w:r w:rsidRPr="00780BBC">
        <w:t xml:space="preserve">The submission assumed that </w:t>
      </w:r>
      <w:r w:rsidR="0067772E" w:rsidRPr="00F3513A">
        <w:rPr>
          <w:color w:val="000000"/>
          <w:w w:val="15"/>
          <w:shd w:val="solid" w:color="000000" w:fill="000000"/>
          <w:fitText w:val="-20" w:id="-628909555"/>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5"/>
          <w14:textFill>
            <w14:solidFill>
              <w14:srgbClr w14:val="000000">
                <w14:alpha w14:val="100000"/>
              </w14:srgbClr>
            </w14:solidFill>
          </w14:textFill>
        </w:rPr>
        <w:t>|</w:t>
      </w:r>
      <w:r w:rsidRPr="00E8275D">
        <w:t>-</w:t>
      </w:r>
      <w:r w:rsidR="0067772E" w:rsidRPr="00F3513A">
        <w:rPr>
          <w:color w:val="000000"/>
          <w:w w:val="15"/>
          <w:shd w:val="solid" w:color="000000" w:fill="000000"/>
          <w:fitText w:val="-20" w:id="-628909554"/>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4"/>
          <w14:textFill>
            <w14:solidFill>
              <w14:srgbClr w14:val="000000">
                <w14:alpha w14:val="100000"/>
              </w14:srgbClr>
            </w14:solidFill>
          </w14:textFill>
        </w:rPr>
        <w:t>|</w:t>
      </w:r>
      <w:r w:rsidRPr="00E8275D">
        <w:t>%</w:t>
      </w:r>
      <w:r w:rsidRPr="00780BBC">
        <w:t xml:space="preserve"> of agalsidase alfa and agalsidase beta utilisation will be displaced by pegunigalsidase alfa</w:t>
      </w:r>
      <w:r w:rsidR="00A7136E" w:rsidRPr="00780BBC">
        <w:t xml:space="preserve"> if it is listed on the PBS</w:t>
      </w:r>
      <w:r w:rsidRPr="00780BBC">
        <w:t xml:space="preserve"> (i.e.,</w:t>
      </w:r>
      <w:r w:rsidR="00892603">
        <w:br/>
      </w:r>
      <w:r w:rsidR="0067772E" w:rsidRPr="00F3513A">
        <w:rPr>
          <w:color w:val="000000"/>
          <w:w w:val="15"/>
          <w:shd w:val="solid" w:color="000000" w:fill="000000"/>
          <w:fitText w:val="-20" w:id="-628909553"/>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3"/>
          <w14:textFill>
            <w14:solidFill>
              <w14:srgbClr w14:val="000000">
                <w14:alpha w14:val="100000"/>
              </w14:srgbClr>
            </w14:solidFill>
          </w14:textFill>
        </w:rPr>
        <w:t>|</w:t>
      </w:r>
      <w:r w:rsidRPr="006962AF">
        <w:t>-</w:t>
      </w:r>
      <w:r w:rsidR="0067772E" w:rsidRPr="00F3513A">
        <w:rPr>
          <w:color w:val="000000"/>
          <w:w w:val="15"/>
          <w:shd w:val="solid" w:color="000000" w:fill="000000"/>
          <w:fitText w:val="-20" w:id="-628909552"/>
          <w14:textFill>
            <w14:solidFill>
              <w14:srgbClr w14:val="000000">
                <w14:alpha w14:val="100000"/>
              </w14:srgbClr>
            </w14:solidFill>
          </w14:textFill>
        </w:rPr>
        <w:t xml:space="preserve">|  </w:t>
      </w:r>
      <w:r w:rsidR="0067772E" w:rsidRPr="00F3513A">
        <w:rPr>
          <w:color w:val="000000"/>
          <w:spacing w:val="-69"/>
          <w:w w:val="15"/>
          <w:shd w:val="solid" w:color="000000" w:fill="000000"/>
          <w:fitText w:val="-20" w:id="-628909552"/>
          <w14:textFill>
            <w14:solidFill>
              <w14:srgbClr w14:val="000000">
                <w14:alpha w14:val="100000"/>
              </w14:srgbClr>
            </w14:solidFill>
          </w14:textFill>
        </w:rPr>
        <w:t>|</w:t>
      </w:r>
      <w:r w:rsidRPr="006962AF">
        <w:t xml:space="preserve">% </w:t>
      </w:r>
      <w:r w:rsidRPr="00780BBC">
        <w:t>uptake rate across Years 1 to 6 assumed for pegunigalsidase alfa). The uptake rates and, ultimately, the market share of pegunigalsidase alfa with the other ERTs, is assumed and is uncertain. When this was decreased by 10%, the net financial estimates across six years decreased by 10% from</w:t>
      </w:r>
      <w:r w:rsidR="006B40ED" w:rsidRPr="00780BBC">
        <w:t xml:space="preserve"> the</w:t>
      </w:r>
      <w:r w:rsidRPr="00780BBC">
        <w:t xml:space="preserve"> base case.</w:t>
      </w:r>
    </w:p>
    <w:p w14:paraId="1186D483" w14:textId="44077F5E" w:rsidR="00E52029" w:rsidRDefault="7640C756" w:rsidP="009D09F4">
      <w:pPr>
        <w:pStyle w:val="3-BodyText"/>
      </w:pPr>
      <w:r>
        <w:lastRenderedPageBreak/>
        <w:t xml:space="preserve">Both pegunigalsidase alfa and the existing ERTs (agalsidase alfa and agalsidase beta) require IV administration at the same frequency of once per fortnight. The submission has assumed that because these treatments utilise the same MBS item, the net impact to the MBS would be zero as the additional cost of administering </w:t>
      </w:r>
      <w:r w:rsidR="7EDCD883">
        <w:t>pegunigalsidase</w:t>
      </w:r>
      <w:r>
        <w:t xml:space="preserve"> alfa will be offset by the reduced IV administration costs associated with the reduction in utilisation of agalsidase alfa and agalsidase beta. This may be reasonable, however, given the uncertainty in the assumption that </w:t>
      </w:r>
      <w:r w:rsidR="2D7B9CD8">
        <w:t xml:space="preserve">the </w:t>
      </w:r>
      <w:r>
        <w:t xml:space="preserve">use of migalastat will not be displaced </w:t>
      </w:r>
      <w:r w:rsidR="45A744DC">
        <w:t>if</w:t>
      </w:r>
      <w:r>
        <w:t xml:space="preserve"> pegunigalsidase alfa</w:t>
      </w:r>
      <w:r w:rsidR="45A744DC">
        <w:t xml:space="preserve"> is PBS-listed</w:t>
      </w:r>
      <w:r>
        <w:t>, the impact on the MBS</w:t>
      </w:r>
      <w:r w:rsidR="74223E9F">
        <w:t xml:space="preserve"> if </w:t>
      </w:r>
      <w:r w:rsidR="7EDCD883">
        <w:t>pegunigalsidase</w:t>
      </w:r>
      <w:r w:rsidR="74223E9F">
        <w:t xml:space="preserve"> alfa is PBS-listed</w:t>
      </w:r>
      <w:r>
        <w:t xml:space="preserve"> is uncertain. The magnitude of this impact is likely to be small relative to the cost of the medications. </w:t>
      </w:r>
    </w:p>
    <w:p w14:paraId="2B124335" w14:textId="54E7039B" w:rsidR="00152EA9" w:rsidRPr="00A344C1" w:rsidRDefault="2BF0707A" w:rsidP="5396A253">
      <w:pPr>
        <w:pStyle w:val="3-BodyText"/>
      </w:pPr>
      <w:r w:rsidRPr="00A344C1">
        <w:t xml:space="preserve">The PSCR maintained </w:t>
      </w:r>
      <w:r w:rsidR="1C46771D" w:rsidRPr="00A344C1">
        <w:t xml:space="preserve">the price requested </w:t>
      </w:r>
      <w:r w:rsidR="4EEB9DFF" w:rsidRPr="00A344C1">
        <w:t xml:space="preserve">for pegunigalsidase alfa </w:t>
      </w:r>
      <w:r w:rsidR="1C46771D" w:rsidRPr="00A344C1">
        <w:t xml:space="preserve">is lower than </w:t>
      </w:r>
      <w:r w:rsidR="4EEB9DFF" w:rsidRPr="00A344C1">
        <w:t xml:space="preserve">the price of </w:t>
      </w:r>
      <w:r w:rsidR="1C46771D" w:rsidRPr="00A344C1">
        <w:t xml:space="preserve">ERTs currently on the LSDP, </w:t>
      </w:r>
      <w:r w:rsidR="4EEB9DFF" w:rsidRPr="00A344C1">
        <w:t xml:space="preserve">and listing pegunigalsidase alfa </w:t>
      </w:r>
      <w:r w:rsidR="4D95F918" w:rsidRPr="00A344C1">
        <w:t>at the price requested will result in a cost saving to Government.</w:t>
      </w:r>
    </w:p>
    <w:p w14:paraId="763B8A3B" w14:textId="26FD29AF" w:rsidR="001E7B41" w:rsidRPr="00A344C1" w:rsidRDefault="13FF1DFB" w:rsidP="5396A253">
      <w:pPr>
        <w:pStyle w:val="3-BodyText"/>
      </w:pPr>
      <w:r w:rsidRPr="00A344C1">
        <w:t xml:space="preserve">The ESC note that the submission applied an arbitrary </w:t>
      </w:r>
      <w:r w:rsidRPr="006962AF">
        <w:t>50</w:t>
      </w:r>
      <w:r w:rsidRPr="00A344C1">
        <w:t>% premium to the cost of mig</w:t>
      </w:r>
      <w:r w:rsidR="00433741" w:rsidRPr="00A344C1">
        <w:t>a</w:t>
      </w:r>
      <w:r w:rsidRPr="00A344C1">
        <w:t>lastat to estimate cost of agalsidase alf</w:t>
      </w:r>
      <w:r w:rsidR="00712AA5" w:rsidRPr="00A344C1">
        <w:t>a</w:t>
      </w:r>
      <w:r w:rsidRPr="00A344C1">
        <w:t xml:space="preserve"> and agalsidase beta on the LSDP.</w:t>
      </w:r>
    </w:p>
    <w:p w14:paraId="6DEE257C" w14:textId="2DE1F54F" w:rsidR="00615897" w:rsidRPr="00A344C1" w:rsidRDefault="034A429A" w:rsidP="5396A253">
      <w:pPr>
        <w:pStyle w:val="3-BodyText"/>
      </w:pPr>
      <w:r w:rsidRPr="00A344C1">
        <w:t>The ESC considered that the uptake rate</w:t>
      </w:r>
      <w:r w:rsidR="00A947B7" w:rsidRPr="00A344C1">
        <w:t xml:space="preserve"> of</w:t>
      </w:r>
      <w:r w:rsidR="003C3770" w:rsidRPr="00A344C1">
        <w:t xml:space="preserve"> pegunigalsidase alfa from </w:t>
      </w:r>
      <w:r w:rsidR="00F05799" w:rsidRPr="00A344C1">
        <w:t xml:space="preserve">other </w:t>
      </w:r>
      <w:r w:rsidR="003C3770" w:rsidRPr="00A344C1">
        <w:t xml:space="preserve">ERTs </w:t>
      </w:r>
      <w:r w:rsidRPr="00A344C1">
        <w:t>w</w:t>
      </w:r>
      <w:r w:rsidR="00B06694" w:rsidRPr="00A344C1">
        <w:t>as</w:t>
      </w:r>
      <w:r w:rsidR="057AFBFA" w:rsidRPr="00A344C1">
        <w:t xml:space="preserve"> assumed and</w:t>
      </w:r>
      <w:r w:rsidRPr="00A344C1">
        <w:t xml:space="preserve"> uncertain</w:t>
      </w:r>
      <w:r w:rsidR="057AFBFA" w:rsidRPr="00A344C1">
        <w:t xml:space="preserve">. </w:t>
      </w:r>
      <w:r w:rsidR="00594211">
        <w:t xml:space="preserve">The pre-PBAC response stated that </w:t>
      </w:r>
      <w:r w:rsidR="00A47D67">
        <w:t xml:space="preserve">the uptake figures were based on </w:t>
      </w:r>
      <w:r w:rsidR="009A2531">
        <w:t xml:space="preserve">estimates from the sponsor, which were informed by discussions with local clinicians and uptake rates internationally. </w:t>
      </w:r>
      <w:r w:rsidR="00595E83">
        <w:t>The pre-PBAC response acknowledge</w:t>
      </w:r>
      <w:r w:rsidR="00A06DD1">
        <w:t>d</w:t>
      </w:r>
      <w:r w:rsidR="00595E83">
        <w:t xml:space="preserve"> the uptake rate was uncertain, but maintained that pegunigalsidase </w:t>
      </w:r>
      <w:r w:rsidR="007A5D7D">
        <w:t>alfa would replace the higher-priced ERTs on the LSDP, resulting in a cost-saving</w:t>
      </w:r>
      <w:r w:rsidR="00A06DD1">
        <w:t>s</w:t>
      </w:r>
      <w:r w:rsidR="007A5D7D">
        <w:t xml:space="preserve"> regard</w:t>
      </w:r>
      <w:r w:rsidR="00A06DD1">
        <w:t>less</w:t>
      </w:r>
      <w:r w:rsidR="007A5D7D">
        <w:t xml:space="preserve"> of uptake rate.</w:t>
      </w:r>
    </w:p>
    <w:p w14:paraId="5F79E273" w14:textId="1957A764" w:rsidR="00E5189F" w:rsidRPr="00A344C1" w:rsidRDefault="6B810727" w:rsidP="5396A253">
      <w:pPr>
        <w:pStyle w:val="3-BodyText"/>
      </w:pPr>
      <w:r w:rsidRPr="00A344C1">
        <w:t xml:space="preserve">The ESC </w:t>
      </w:r>
      <w:r w:rsidR="18BD1916" w:rsidRPr="00A344C1">
        <w:t xml:space="preserve">considered that the prevalence growth rate </w:t>
      </w:r>
      <w:r w:rsidR="5121C5AC" w:rsidRPr="00A344C1">
        <w:t xml:space="preserve">of </w:t>
      </w:r>
      <w:r w:rsidR="0E8F7927" w:rsidRPr="00A344C1">
        <w:t xml:space="preserve">8.4% applied in the </w:t>
      </w:r>
      <w:r w:rsidR="1FD344CE" w:rsidRPr="00A344C1">
        <w:t>submission</w:t>
      </w:r>
      <w:r w:rsidR="76677834" w:rsidRPr="00A344C1">
        <w:t>’</w:t>
      </w:r>
      <w:r w:rsidR="1FD344CE" w:rsidRPr="00A344C1">
        <w:t xml:space="preserve">s </w:t>
      </w:r>
      <w:r w:rsidR="0E8F7927" w:rsidRPr="00A344C1">
        <w:t>financial</w:t>
      </w:r>
      <w:r w:rsidR="03600CAA" w:rsidRPr="00A344C1">
        <w:t xml:space="preserve"> estimates model </w:t>
      </w:r>
      <w:r w:rsidR="275F7F4C" w:rsidRPr="00A344C1">
        <w:t xml:space="preserve">was </w:t>
      </w:r>
      <w:r w:rsidR="4929996A" w:rsidRPr="00A344C1">
        <w:t>high</w:t>
      </w:r>
      <w:r w:rsidR="65876222" w:rsidRPr="00A344C1">
        <w:t xml:space="preserve"> and uncertain</w:t>
      </w:r>
      <w:r w:rsidR="27364911" w:rsidRPr="00A344C1">
        <w:t>.</w:t>
      </w:r>
      <w:r w:rsidR="65876222" w:rsidRPr="00A344C1">
        <w:t xml:space="preserve"> </w:t>
      </w:r>
      <w:r w:rsidR="17C961C9" w:rsidRPr="00A344C1">
        <w:t xml:space="preserve">The ESC </w:t>
      </w:r>
      <w:r w:rsidR="3D9199B4" w:rsidRPr="00A344C1">
        <w:t>advised tha</w:t>
      </w:r>
      <w:r w:rsidR="143DD753" w:rsidRPr="00A344C1">
        <w:t>t</w:t>
      </w:r>
      <w:r w:rsidR="3D9199B4" w:rsidRPr="00A344C1">
        <w:t xml:space="preserve"> the</w:t>
      </w:r>
      <w:r w:rsidR="143DD753" w:rsidRPr="00A344C1">
        <w:t xml:space="preserve"> submission </w:t>
      </w:r>
      <w:r w:rsidR="2AFC5091" w:rsidRPr="00A344C1">
        <w:t xml:space="preserve">had </w:t>
      </w:r>
      <w:r w:rsidR="143DD753" w:rsidRPr="00A344C1">
        <w:t xml:space="preserve">overestimated </w:t>
      </w:r>
      <w:r w:rsidR="5811E945" w:rsidRPr="00A344C1">
        <w:t>the number of patients</w:t>
      </w:r>
      <w:r w:rsidR="2AFC5091" w:rsidRPr="00A344C1">
        <w:t xml:space="preserve"> and that </w:t>
      </w:r>
      <w:r w:rsidR="1CA09D2B" w:rsidRPr="00A344C1">
        <w:t>the financial impact was therefore also overestimated</w:t>
      </w:r>
      <w:r w:rsidR="5811E945" w:rsidRPr="00A344C1">
        <w:t xml:space="preserve">. </w:t>
      </w:r>
      <w:r w:rsidR="000308C7">
        <w:t xml:space="preserve">The pre-PBAC response acknowledged this, and stated that to address this uncertainty, sensitivity analyses varying the estimate by </w:t>
      </w:r>
      <w:r w:rsidR="00745332">
        <w:rPr>
          <w:rFonts w:cstheme="minorHAnsi"/>
        </w:rPr>
        <w:t>±</w:t>
      </w:r>
      <w:r w:rsidR="00745332">
        <w:t>10% were provided</w:t>
      </w:r>
      <w:r w:rsidR="00A548EA">
        <w:t>.</w:t>
      </w:r>
    </w:p>
    <w:p w14:paraId="7C1FE77B" w14:textId="0E8D8978" w:rsidR="00BB4BCB" w:rsidRDefault="27364911" w:rsidP="5396A253">
      <w:pPr>
        <w:pStyle w:val="3-BodyText"/>
      </w:pPr>
      <w:r w:rsidRPr="00A344C1">
        <w:t xml:space="preserve"> </w:t>
      </w:r>
      <w:r w:rsidR="684145C2" w:rsidRPr="00A344C1">
        <w:t>The ESC advised that</w:t>
      </w:r>
      <w:r w:rsidR="1D10297C" w:rsidRPr="00A344C1">
        <w:t xml:space="preserve"> </w:t>
      </w:r>
      <w:r w:rsidR="0FA4DF59" w:rsidRPr="00A344C1">
        <w:t>a</w:t>
      </w:r>
      <w:r w:rsidR="1D10297C" w:rsidRPr="00A344C1">
        <w:t xml:space="preserve"> prevalence growth rate</w:t>
      </w:r>
      <w:r w:rsidR="45602C1F" w:rsidRPr="00A344C1">
        <w:t xml:space="preserve"> of</w:t>
      </w:r>
      <w:r w:rsidR="1D10297C" w:rsidRPr="00A344C1">
        <w:t xml:space="preserve"> </w:t>
      </w:r>
      <w:r w:rsidR="5F2BD230" w:rsidRPr="00A344C1">
        <w:t>6.9%</w:t>
      </w:r>
      <w:r w:rsidR="00D5CA4E" w:rsidRPr="00A344C1">
        <w:t xml:space="preserve"> </w:t>
      </w:r>
      <w:r w:rsidR="2F09B1C0" w:rsidRPr="00A344C1">
        <w:t xml:space="preserve">(as </w:t>
      </w:r>
      <w:r w:rsidR="00D5CA4E" w:rsidRPr="00A344C1">
        <w:t xml:space="preserve">applied </w:t>
      </w:r>
      <w:r w:rsidR="2F09B1C0" w:rsidRPr="00A344C1">
        <w:t>to</w:t>
      </w:r>
      <w:r w:rsidR="00D5CA4E" w:rsidRPr="00A344C1">
        <w:t xml:space="preserve"> the financial estimate</w:t>
      </w:r>
      <w:r w:rsidR="1B99542A" w:rsidRPr="00A344C1">
        <w:t>s</w:t>
      </w:r>
      <w:r w:rsidR="00D5CA4E" w:rsidRPr="00A344C1">
        <w:t xml:space="preserve"> for the migalastat March 2024 </w:t>
      </w:r>
      <w:r w:rsidR="7476852C" w:rsidRPr="00A344C1">
        <w:t>PBAC consideration</w:t>
      </w:r>
      <w:r w:rsidR="030352BF" w:rsidRPr="00A344C1">
        <w:t>) would be appropriate</w:t>
      </w:r>
      <w:r w:rsidR="09CFA059" w:rsidRPr="00A344C1">
        <w:t>.</w:t>
      </w:r>
      <w:r w:rsidR="7A015995" w:rsidRPr="00A344C1">
        <w:t xml:space="preserve"> The ESC advised that data from the </w:t>
      </w:r>
      <w:r w:rsidR="2AEED2C5" w:rsidRPr="00A344C1">
        <w:t>LSDP</w:t>
      </w:r>
      <w:r w:rsidR="7A015995" w:rsidRPr="00A344C1">
        <w:t xml:space="preserve"> should be used to inform the</w:t>
      </w:r>
      <w:r w:rsidR="359B0519" w:rsidRPr="00A344C1">
        <w:t xml:space="preserve"> financial</w:t>
      </w:r>
      <w:r w:rsidR="7A015995" w:rsidRPr="00A344C1">
        <w:t xml:space="preserve"> estimates</w:t>
      </w:r>
      <w:r w:rsidR="0BCE04C0" w:rsidRPr="00A344C1">
        <w:t>, however thi</w:t>
      </w:r>
      <w:r w:rsidR="359B0519" w:rsidRPr="00A344C1">
        <w:t xml:space="preserve">s </w:t>
      </w:r>
      <w:r w:rsidR="2A87B8EC" w:rsidRPr="00A344C1">
        <w:t>data is held in-confidence by the Depart</w:t>
      </w:r>
      <w:r w:rsidR="4A671680" w:rsidRPr="00A344C1">
        <w:t>ment</w:t>
      </w:r>
      <w:r w:rsidR="7A015995" w:rsidRPr="00A344C1">
        <w:t>.</w:t>
      </w:r>
      <w:r w:rsidR="00B82555">
        <w:t xml:space="preserve"> The pre-PBAC response stated that, </w:t>
      </w:r>
      <w:r w:rsidR="005F0D70">
        <w:t xml:space="preserve">using a scenario with a lower 6.9% </w:t>
      </w:r>
      <w:r w:rsidR="00182815">
        <w:t xml:space="preserve">growth rate resulted in a </w:t>
      </w:r>
      <w:r w:rsidR="00B03271" w:rsidRPr="00B03271">
        <w:t>$20 million to &lt; $30 million</w:t>
      </w:r>
      <w:r w:rsidR="003C5BD9">
        <w:t xml:space="preserve"> </w:t>
      </w:r>
      <w:r w:rsidR="00182815">
        <w:t xml:space="preserve">cost saving over 6 years, </w:t>
      </w:r>
      <w:r w:rsidR="001726CA">
        <w:t xml:space="preserve">and a 7% reduction from the base case. The pre-PBAC response also acknowledged that this estimate was based on </w:t>
      </w:r>
      <w:r w:rsidR="00A03132">
        <w:t xml:space="preserve">an assumed </w:t>
      </w:r>
      <w:r w:rsidR="00A03132" w:rsidRPr="00EC7A19">
        <w:t>50</w:t>
      </w:r>
      <w:r w:rsidR="00A03132">
        <w:t>% price premium for ERTs compared to migalastat.</w:t>
      </w:r>
    </w:p>
    <w:p w14:paraId="033EFB83" w14:textId="188BB21F" w:rsidR="000F533E" w:rsidRDefault="000F533E" w:rsidP="5396A253">
      <w:pPr>
        <w:pStyle w:val="3-BodyText"/>
      </w:pPr>
      <w:r>
        <w:t>The PBAC agreed that a prevalence growth rate of 6.9% was appropriate</w:t>
      </w:r>
      <w:r w:rsidR="00847CB9">
        <w:t xml:space="preserve"> for the financial estimates.</w:t>
      </w:r>
    </w:p>
    <w:p w14:paraId="21BE6589" w14:textId="1F9A74D9" w:rsidR="00CE7C0D" w:rsidRPr="00A344C1" w:rsidRDefault="00CE7C0D" w:rsidP="5396A253">
      <w:pPr>
        <w:pStyle w:val="3-BodyText"/>
      </w:pPr>
      <w:r>
        <w:t xml:space="preserve">The pre-PBAC response maintained that </w:t>
      </w:r>
      <w:r w:rsidR="00A906B0">
        <w:t xml:space="preserve">listing pegunigalsidase alfa would provide clinical value and potential cost savings </w:t>
      </w:r>
      <w:r w:rsidR="00152CA9">
        <w:t>by replacing ERTs currently on the LSDP.</w:t>
      </w:r>
    </w:p>
    <w:p w14:paraId="2238DEE9" w14:textId="3E6A228B" w:rsidR="00576972" w:rsidRPr="0098262F" w:rsidRDefault="00576972" w:rsidP="009D09F4">
      <w:pPr>
        <w:pStyle w:val="4-SubsectionHeading"/>
        <w:keepNext w:val="0"/>
      </w:pPr>
      <w:bookmarkStart w:id="81" w:name="_Toc198734231"/>
      <w:r w:rsidRPr="0098262F">
        <w:t>Quality Use of Medicines</w:t>
      </w:r>
      <w:bookmarkEnd w:id="77"/>
      <w:bookmarkEnd w:id="81"/>
    </w:p>
    <w:p w14:paraId="04A5958C" w14:textId="3FBDBF2D" w:rsidR="00734FB2" w:rsidRPr="001E7D4C" w:rsidRDefault="00734FB2" w:rsidP="009D09F4">
      <w:pPr>
        <w:pStyle w:val="3-BodyText"/>
        <w:rPr>
          <w:i/>
          <w:iCs/>
        </w:rPr>
      </w:pPr>
      <w:bookmarkStart w:id="82" w:name="_Toc22897649"/>
      <w:r w:rsidRPr="00696DD7">
        <w:lastRenderedPageBreak/>
        <w:t>The sponsor has proposed to provide a web-based patient support program to support home infusion for patients prescribed pegunigalsidase alfa</w:t>
      </w:r>
      <w:r w:rsidR="00585E34">
        <w:t>,</w:t>
      </w:r>
      <w:r w:rsidRPr="00696DD7">
        <w:t xml:space="preserve"> following</w:t>
      </w:r>
      <w:r w:rsidR="00585E34">
        <w:t xml:space="preserve"> its</w:t>
      </w:r>
      <w:r w:rsidRPr="00696DD7">
        <w:t xml:space="preserve"> TGA registration. </w:t>
      </w:r>
      <w:r>
        <w:t>T</w:t>
      </w:r>
      <w:r w:rsidRPr="00696DD7">
        <w:t>he option to enrol in a home infusion program may only be considered in patients tolerating their infusions well with no history of moderate or severe IRRs. The patient is required to have had at least six infusions of pegunigalsidase alfa in a hospital setting prior to consideration for the program and the decision to move to home infusion will be made after evaluation and recommendation by the treating physician. Home infusions must be conducted by a trained healthcare professional, under the direction of the treating physician. The sponsor will coordinate this program (through a third-party provider) and provide accredited nurses to deliver infusions.</w:t>
      </w:r>
    </w:p>
    <w:p w14:paraId="5F66CF42" w14:textId="5B1DDD35" w:rsidR="00734FB2" w:rsidRPr="00716C88" w:rsidRDefault="00734FB2" w:rsidP="7DB0E811">
      <w:pPr>
        <w:pStyle w:val="3-BodyText"/>
        <w:rPr>
          <w:i/>
          <w:iCs/>
        </w:rPr>
      </w:pPr>
      <w:r>
        <w:t xml:space="preserve">The submission has estimated that four patients will initially enrol in the program in 2026, with up to 38 patients in 2030. </w:t>
      </w:r>
      <w:r w:rsidRPr="00110841">
        <w:t>The estimated number of patients from the submission that will enrol in the program is lower than the 40% of patients that underwent home infusion in the BALANCE trial. It is possible that the number of enrolments will be higher than anticipated based on this trial data.</w:t>
      </w:r>
    </w:p>
    <w:p w14:paraId="062A080C" w14:textId="51A5A980" w:rsidR="00734FB2" w:rsidRDefault="00734FB2" w:rsidP="009D09F4">
      <w:pPr>
        <w:pStyle w:val="3-BodyText"/>
      </w:pPr>
      <w:r w:rsidRPr="009E2B16">
        <w:rPr>
          <w:iCs/>
        </w:rPr>
        <w:t>The sponsor has also proposed to develop</w:t>
      </w:r>
      <w:r w:rsidR="00A45EA0">
        <w:rPr>
          <w:iCs/>
        </w:rPr>
        <w:t xml:space="preserve"> healthcare professional</w:t>
      </w:r>
      <w:r w:rsidRPr="009E2B16">
        <w:rPr>
          <w:iCs/>
        </w:rPr>
        <w:t xml:space="preserve"> </w:t>
      </w:r>
      <w:r w:rsidR="00A45EA0">
        <w:rPr>
          <w:iCs/>
        </w:rPr>
        <w:t>(</w:t>
      </w:r>
      <w:r w:rsidRPr="009E2B16">
        <w:rPr>
          <w:iCs/>
        </w:rPr>
        <w:t>HCP</w:t>
      </w:r>
      <w:r w:rsidR="00A45EA0">
        <w:rPr>
          <w:iCs/>
        </w:rPr>
        <w:t>)</w:t>
      </w:r>
      <w:r w:rsidRPr="009E2B16">
        <w:rPr>
          <w:iCs/>
        </w:rPr>
        <w:t xml:space="preserve"> and patient material in consultation with local experts and Fabry Australia that will be disseminated through company sponsored educational events and third-party sponsorships, including local congresses such as the Lysosomal Storage Disorder Summit. All activities will comply with the Medicines Australia Code of Conduct.</w:t>
      </w:r>
    </w:p>
    <w:p w14:paraId="15836B82" w14:textId="2D2DD1D4" w:rsidR="00734FB2" w:rsidRPr="009E2B16" w:rsidRDefault="00734FB2" w:rsidP="009D09F4">
      <w:pPr>
        <w:pStyle w:val="3-BodyText"/>
        <w:rPr>
          <w:iCs/>
        </w:rPr>
      </w:pPr>
      <w:r w:rsidRPr="00DB0025">
        <w:rPr>
          <w:iCs/>
        </w:rPr>
        <w:t>Local patient brochure</w:t>
      </w:r>
      <w:r w:rsidR="00CA520A">
        <w:rPr>
          <w:iCs/>
        </w:rPr>
        <w:t>s</w:t>
      </w:r>
      <w:r w:rsidRPr="00DB0025">
        <w:rPr>
          <w:iCs/>
        </w:rPr>
        <w:t xml:space="preserve"> for any patient commencing treatment with pegunigalsidase alfa will be developed and supplied to the treating physician by the sponsor. Materials will conta</w:t>
      </w:r>
      <w:r w:rsidR="00693DA7">
        <w:rPr>
          <w:iCs/>
        </w:rPr>
        <w:t>in</w:t>
      </w:r>
      <w:r w:rsidRPr="00DB0025">
        <w:rPr>
          <w:iCs/>
        </w:rPr>
        <w:t xml:space="preserve"> relevant links to the Consumer Medicines Information and the packaging will be as per the approved PI and TGA requirements.</w:t>
      </w:r>
    </w:p>
    <w:p w14:paraId="6015A395" w14:textId="2EDB6A4E" w:rsidR="00576972" w:rsidRPr="0098262F" w:rsidRDefault="00576972" w:rsidP="009D09F4">
      <w:pPr>
        <w:pStyle w:val="4-SubsectionHeading"/>
        <w:keepNext w:val="0"/>
      </w:pPr>
      <w:bookmarkStart w:id="83" w:name="_Toc198734232"/>
      <w:r w:rsidRPr="0098262F">
        <w:t>Financial Management – Risk Sharing Arrangements</w:t>
      </w:r>
      <w:bookmarkEnd w:id="82"/>
      <w:bookmarkEnd w:id="83"/>
    </w:p>
    <w:p w14:paraId="0000855F" w14:textId="77777777" w:rsidR="00AE3CDE" w:rsidRDefault="00AE3CDE" w:rsidP="009D09F4">
      <w:pPr>
        <w:pStyle w:val="3-BodyText"/>
      </w:pPr>
      <w:bookmarkStart w:id="84" w:name="_Toc22897650"/>
      <w:r w:rsidRPr="00681FE8">
        <w:t xml:space="preserve">No risk-sharing arrangements </w:t>
      </w:r>
      <w:r>
        <w:t>(RSA)</w:t>
      </w:r>
      <w:r w:rsidRPr="00681FE8">
        <w:t xml:space="preserve"> were proposed in the submission. The submission noted that migalastat </w:t>
      </w:r>
      <w:r>
        <w:t>has an</w:t>
      </w:r>
      <w:r w:rsidRPr="00681FE8">
        <w:t xml:space="preserve"> RSA in place; however, </w:t>
      </w:r>
      <w:r>
        <w:t xml:space="preserve">the submission argued that </w:t>
      </w:r>
      <w:r w:rsidRPr="00681FE8">
        <w:t>it would not be appropriate for pegunigalsidase alfa to be included in that RSA given that it is only relevant for a proportion of FD patients (i.e., those with an amenable mutation).</w:t>
      </w:r>
    </w:p>
    <w:bookmarkEnd w:id="84"/>
    <w:p w14:paraId="3DEF8C43" w14:textId="60D5D236" w:rsidR="00310FDC" w:rsidRDefault="00310FDC" w:rsidP="00310FDC">
      <w:pPr>
        <w:pStyle w:val="3-BodyText"/>
        <w:keepNext/>
        <w:keepLines/>
        <w:numPr>
          <w:ilvl w:val="0"/>
          <w:numId w:val="0"/>
        </w:numPr>
        <w:rPr>
          <w:i/>
        </w:rPr>
        <w:sectPr w:rsidR="00310FDC" w:rsidSect="005E3347">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pPr>
    </w:p>
    <w:p w14:paraId="36F922E5" w14:textId="7352E83E" w:rsidR="00576972" w:rsidRPr="0098262F" w:rsidRDefault="00576972" w:rsidP="009D09F4">
      <w:pPr>
        <w:pStyle w:val="3-BodyText"/>
        <w:numPr>
          <w:ilvl w:val="0"/>
          <w:numId w:val="0"/>
        </w:numPr>
        <w:ind w:left="720" w:hanging="11"/>
        <w:rPr>
          <w:i/>
        </w:rPr>
      </w:pPr>
    </w:p>
    <w:p w14:paraId="147CD629" w14:textId="6101B8EA" w:rsidR="00DE5DC6" w:rsidRDefault="008A3C3E" w:rsidP="006A20DE">
      <w:pPr>
        <w:pStyle w:val="5-SubsectionSubheading"/>
        <w:keepNext w:val="0"/>
        <w:jc w:val="center"/>
      </w:pPr>
      <w:bookmarkStart w:id="85" w:name="_Toc198734234"/>
      <w:r w:rsidRPr="0098262F">
        <w:t>Committee-In-</w:t>
      </w:r>
      <w:r w:rsidRPr="009C426B">
        <w:t>Confidence</w:t>
      </w:r>
      <w:r w:rsidRPr="0098262F">
        <w:t xml:space="preserve"> information</w:t>
      </w:r>
      <w:bookmarkEnd w:id="85"/>
    </w:p>
    <w:p w14:paraId="14309194" w14:textId="5255E87E" w:rsidR="00DE5DC6" w:rsidRPr="00106763" w:rsidRDefault="00DE5DC6" w:rsidP="009D09F4">
      <w:r w:rsidRPr="00E514D2">
        <w:rPr>
          <w:highlight w:val="yellow"/>
        </w:rPr>
        <w:fldChar w:fldCharType="begin" w:fldLock="1"/>
      </w:r>
      <w:r w:rsidRPr="00E514D2">
        <w:rPr>
          <w:highlight w:val="yellow"/>
        </w:rPr>
        <w:instrText xml:space="preserve"> REF _Ref197011114 \h </w:instrText>
      </w:r>
      <w:r w:rsidR="00E514D2">
        <w:rPr>
          <w:highlight w:val="yellow"/>
        </w:rPr>
        <w:instrText xml:space="preserve"> \* MERGEFORMAT </w:instrText>
      </w:r>
      <w:r w:rsidRPr="00E514D2">
        <w:rPr>
          <w:highlight w:val="yellow"/>
        </w:rPr>
      </w:r>
      <w:r w:rsidRPr="00E514D2">
        <w:rPr>
          <w:highlight w:val="yellow"/>
        </w:rPr>
        <w:fldChar w:fldCharType="separate"/>
      </w:r>
      <w:r w:rsidR="00FC2779" w:rsidRPr="00FC2779">
        <w:t xml:space="preserve"> </w:t>
      </w:r>
      <w:r w:rsidRPr="00E514D2">
        <w:rPr>
          <w:highlight w:val="yellow"/>
        </w:rPr>
        <w:fldChar w:fldCharType="end"/>
      </w:r>
      <w:r w:rsidR="006114E5" w:rsidRPr="00700ECA">
        <w:rPr>
          <w:color w:val="000000"/>
          <w:w w:val="61"/>
          <w:shd w:val="solid" w:color="000000" w:fill="000000"/>
          <w:fitText w:val="475" w:id="-664556800"/>
          <w14:textFill>
            <w14:solidFill>
              <w14:srgbClr w14:val="000000">
                <w14:alpha w14:val="100000"/>
              </w14:srgbClr>
            </w14:solidFill>
          </w14:textFill>
        </w:rPr>
        <w:t>|||  ||</w:t>
      </w:r>
      <w:r w:rsidR="006114E5" w:rsidRPr="00700ECA">
        <w:rPr>
          <w:color w:val="000000"/>
          <w:spacing w:val="5"/>
          <w:w w:val="61"/>
          <w:shd w:val="solid" w:color="000000" w:fill="000000"/>
          <w:fitText w:val="475" w:id="-664556800"/>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9"/>
          <w14:textFill>
            <w14:solidFill>
              <w14:srgbClr w14:val="000000">
                <w14:alpha w14:val="100000"/>
              </w14:srgbClr>
            </w14:solidFill>
          </w14:textFill>
        </w:rPr>
        <w:t>|||  ||</w:t>
      </w:r>
      <w:r w:rsidR="006114E5" w:rsidRPr="00700ECA">
        <w:rPr>
          <w:color w:val="000000"/>
          <w:spacing w:val="5"/>
          <w:w w:val="61"/>
          <w:shd w:val="solid" w:color="000000" w:fill="000000"/>
          <w:fitText w:val="475" w:id="-664556799"/>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8"/>
          <w14:textFill>
            <w14:solidFill>
              <w14:srgbClr w14:val="000000">
                <w14:alpha w14:val="100000"/>
              </w14:srgbClr>
            </w14:solidFill>
          </w14:textFill>
        </w:rPr>
        <w:t>|||  ||</w:t>
      </w:r>
      <w:r w:rsidR="006114E5" w:rsidRPr="00700ECA">
        <w:rPr>
          <w:color w:val="000000"/>
          <w:spacing w:val="5"/>
          <w:w w:val="61"/>
          <w:shd w:val="solid" w:color="000000" w:fill="000000"/>
          <w:fitText w:val="475" w:id="-664556798"/>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7"/>
          <w14:textFill>
            <w14:solidFill>
              <w14:srgbClr w14:val="000000">
                <w14:alpha w14:val="100000"/>
              </w14:srgbClr>
            </w14:solidFill>
          </w14:textFill>
        </w:rPr>
        <w:t>|||  ||</w:t>
      </w:r>
      <w:r w:rsidR="006114E5" w:rsidRPr="00700ECA">
        <w:rPr>
          <w:color w:val="000000"/>
          <w:spacing w:val="5"/>
          <w:w w:val="61"/>
          <w:shd w:val="solid" w:color="000000" w:fill="000000"/>
          <w:fitText w:val="475" w:id="-664556797"/>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6"/>
          <w14:textFill>
            <w14:solidFill>
              <w14:srgbClr w14:val="000000">
                <w14:alpha w14:val="100000"/>
              </w14:srgbClr>
            </w14:solidFill>
          </w14:textFill>
        </w:rPr>
        <w:t>|||  ||</w:t>
      </w:r>
      <w:r w:rsidR="006114E5" w:rsidRPr="00700ECA">
        <w:rPr>
          <w:color w:val="000000"/>
          <w:spacing w:val="5"/>
          <w:w w:val="61"/>
          <w:shd w:val="solid" w:color="000000" w:fill="000000"/>
          <w:fitText w:val="475" w:id="-664556796"/>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5"/>
          <w14:textFill>
            <w14:solidFill>
              <w14:srgbClr w14:val="000000">
                <w14:alpha w14:val="100000"/>
              </w14:srgbClr>
            </w14:solidFill>
          </w14:textFill>
        </w:rPr>
        <w:t>|||  ||</w:t>
      </w:r>
      <w:r w:rsidR="006114E5" w:rsidRPr="00700ECA">
        <w:rPr>
          <w:color w:val="000000"/>
          <w:spacing w:val="5"/>
          <w:w w:val="61"/>
          <w:shd w:val="solid" w:color="000000" w:fill="000000"/>
          <w:fitText w:val="475" w:id="-664556795"/>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4"/>
          <w14:textFill>
            <w14:solidFill>
              <w14:srgbClr w14:val="000000">
                <w14:alpha w14:val="100000"/>
              </w14:srgbClr>
            </w14:solidFill>
          </w14:textFill>
        </w:rPr>
        <w:t>|||  ||</w:t>
      </w:r>
      <w:r w:rsidR="006114E5" w:rsidRPr="00700ECA">
        <w:rPr>
          <w:color w:val="000000"/>
          <w:spacing w:val="5"/>
          <w:w w:val="61"/>
          <w:shd w:val="solid" w:color="000000" w:fill="000000"/>
          <w:fitText w:val="475" w:id="-664556794"/>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3"/>
          <w14:textFill>
            <w14:solidFill>
              <w14:srgbClr w14:val="000000">
                <w14:alpha w14:val="100000"/>
              </w14:srgbClr>
            </w14:solidFill>
          </w14:textFill>
        </w:rPr>
        <w:t>|||  ||</w:t>
      </w:r>
      <w:r w:rsidR="006114E5" w:rsidRPr="00700ECA">
        <w:rPr>
          <w:color w:val="000000"/>
          <w:spacing w:val="5"/>
          <w:w w:val="61"/>
          <w:shd w:val="solid" w:color="000000" w:fill="000000"/>
          <w:fitText w:val="475" w:id="-664556793"/>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2"/>
          <w14:textFill>
            <w14:solidFill>
              <w14:srgbClr w14:val="000000">
                <w14:alpha w14:val="100000"/>
              </w14:srgbClr>
            </w14:solidFill>
          </w14:textFill>
        </w:rPr>
        <w:t>|||  ||</w:t>
      </w:r>
      <w:r w:rsidR="006114E5" w:rsidRPr="00700ECA">
        <w:rPr>
          <w:color w:val="000000"/>
          <w:spacing w:val="5"/>
          <w:w w:val="61"/>
          <w:shd w:val="solid" w:color="000000" w:fill="000000"/>
          <w:fitText w:val="475" w:id="-664556792"/>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91"/>
          <w14:textFill>
            <w14:solidFill>
              <w14:srgbClr w14:val="000000">
                <w14:alpha w14:val="100000"/>
              </w14:srgbClr>
            </w14:solidFill>
          </w14:textFill>
        </w:rPr>
        <w:t>|||  ||</w:t>
      </w:r>
      <w:r w:rsidR="006114E5" w:rsidRPr="00700ECA">
        <w:rPr>
          <w:color w:val="000000"/>
          <w:spacing w:val="5"/>
          <w:w w:val="59"/>
          <w:shd w:val="solid" w:color="000000" w:fill="000000"/>
          <w:fitText w:val="460" w:id="-664556791"/>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90"/>
          <w14:textFill>
            <w14:solidFill>
              <w14:srgbClr w14:val="000000">
                <w14:alpha w14:val="100000"/>
              </w14:srgbClr>
            </w14:solidFill>
          </w14:textFill>
        </w:rPr>
        <w:t>|||  ||</w:t>
      </w:r>
      <w:r w:rsidR="006114E5" w:rsidRPr="00700ECA">
        <w:rPr>
          <w:color w:val="000000"/>
          <w:spacing w:val="5"/>
          <w:w w:val="59"/>
          <w:shd w:val="solid" w:color="000000" w:fill="000000"/>
          <w:fitText w:val="460" w:id="-664556790"/>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9"/>
          <w14:textFill>
            <w14:solidFill>
              <w14:srgbClr w14:val="000000">
                <w14:alpha w14:val="100000"/>
              </w14:srgbClr>
            </w14:solidFill>
          </w14:textFill>
        </w:rPr>
        <w:t>|||  ||</w:t>
      </w:r>
      <w:r w:rsidR="006114E5" w:rsidRPr="00700ECA">
        <w:rPr>
          <w:color w:val="000000"/>
          <w:spacing w:val="5"/>
          <w:w w:val="61"/>
          <w:shd w:val="solid" w:color="000000" w:fill="000000"/>
          <w:fitText w:val="475" w:id="-664556789"/>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8"/>
          <w14:textFill>
            <w14:solidFill>
              <w14:srgbClr w14:val="000000">
                <w14:alpha w14:val="100000"/>
              </w14:srgbClr>
            </w14:solidFill>
          </w14:textFill>
        </w:rPr>
        <w:t>|||  ||</w:t>
      </w:r>
      <w:r w:rsidR="006114E5" w:rsidRPr="00700ECA">
        <w:rPr>
          <w:color w:val="000000"/>
          <w:spacing w:val="5"/>
          <w:w w:val="61"/>
          <w:shd w:val="solid" w:color="000000" w:fill="000000"/>
          <w:fitText w:val="475" w:id="-664556788"/>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7"/>
          <w14:textFill>
            <w14:solidFill>
              <w14:srgbClr w14:val="000000">
                <w14:alpha w14:val="100000"/>
              </w14:srgbClr>
            </w14:solidFill>
          </w14:textFill>
        </w:rPr>
        <w:t>|||  ||</w:t>
      </w:r>
      <w:r w:rsidR="006114E5" w:rsidRPr="00700ECA">
        <w:rPr>
          <w:color w:val="000000"/>
          <w:spacing w:val="5"/>
          <w:w w:val="61"/>
          <w:shd w:val="solid" w:color="000000" w:fill="000000"/>
          <w:fitText w:val="475" w:id="-664556787"/>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6"/>
          <w14:textFill>
            <w14:solidFill>
              <w14:srgbClr w14:val="000000">
                <w14:alpha w14:val="100000"/>
              </w14:srgbClr>
            </w14:solidFill>
          </w14:textFill>
        </w:rPr>
        <w:t>|||  ||</w:t>
      </w:r>
      <w:r w:rsidR="006114E5" w:rsidRPr="00700ECA">
        <w:rPr>
          <w:color w:val="000000"/>
          <w:spacing w:val="5"/>
          <w:w w:val="61"/>
          <w:shd w:val="solid" w:color="000000" w:fill="000000"/>
          <w:fitText w:val="475" w:id="-664556786"/>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5"/>
          <w14:textFill>
            <w14:solidFill>
              <w14:srgbClr w14:val="000000">
                <w14:alpha w14:val="100000"/>
              </w14:srgbClr>
            </w14:solidFill>
          </w14:textFill>
        </w:rPr>
        <w:t>|||  ||</w:t>
      </w:r>
      <w:r w:rsidR="006114E5" w:rsidRPr="00700ECA">
        <w:rPr>
          <w:color w:val="000000"/>
          <w:spacing w:val="5"/>
          <w:w w:val="61"/>
          <w:shd w:val="solid" w:color="000000" w:fill="000000"/>
          <w:fitText w:val="475" w:id="-664556785"/>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4"/>
          <w14:textFill>
            <w14:solidFill>
              <w14:srgbClr w14:val="000000">
                <w14:alpha w14:val="100000"/>
              </w14:srgbClr>
            </w14:solidFill>
          </w14:textFill>
        </w:rPr>
        <w:t>|||  ||</w:t>
      </w:r>
      <w:r w:rsidR="006114E5" w:rsidRPr="00700ECA">
        <w:rPr>
          <w:color w:val="000000"/>
          <w:spacing w:val="5"/>
          <w:w w:val="61"/>
          <w:shd w:val="solid" w:color="000000" w:fill="000000"/>
          <w:fitText w:val="475" w:id="-664556784"/>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800"/>
          <w14:textFill>
            <w14:solidFill>
              <w14:srgbClr w14:val="000000">
                <w14:alpha w14:val="100000"/>
              </w14:srgbClr>
            </w14:solidFill>
          </w14:textFill>
        </w:rPr>
        <w:t>|||  ||</w:t>
      </w:r>
      <w:r w:rsidR="006114E5" w:rsidRPr="00700ECA">
        <w:rPr>
          <w:color w:val="000000"/>
          <w:spacing w:val="5"/>
          <w:w w:val="61"/>
          <w:shd w:val="solid" w:color="000000" w:fill="000000"/>
          <w:fitText w:val="475" w:id="-664556800"/>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9"/>
          <w14:textFill>
            <w14:solidFill>
              <w14:srgbClr w14:val="000000">
                <w14:alpha w14:val="100000"/>
              </w14:srgbClr>
            </w14:solidFill>
          </w14:textFill>
        </w:rPr>
        <w:t>|||  ||</w:t>
      </w:r>
      <w:r w:rsidR="006114E5" w:rsidRPr="00700ECA">
        <w:rPr>
          <w:color w:val="000000"/>
          <w:spacing w:val="5"/>
          <w:w w:val="61"/>
          <w:shd w:val="solid" w:color="000000" w:fill="000000"/>
          <w:fitText w:val="475" w:id="-664556799"/>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8"/>
          <w14:textFill>
            <w14:solidFill>
              <w14:srgbClr w14:val="000000">
                <w14:alpha w14:val="100000"/>
              </w14:srgbClr>
            </w14:solidFill>
          </w14:textFill>
        </w:rPr>
        <w:t>|||  ||</w:t>
      </w:r>
      <w:r w:rsidR="006114E5" w:rsidRPr="00700ECA">
        <w:rPr>
          <w:color w:val="000000"/>
          <w:spacing w:val="5"/>
          <w:w w:val="61"/>
          <w:shd w:val="solid" w:color="000000" w:fill="000000"/>
          <w:fitText w:val="475" w:id="-664556798"/>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7"/>
          <w14:textFill>
            <w14:solidFill>
              <w14:srgbClr w14:val="000000">
                <w14:alpha w14:val="100000"/>
              </w14:srgbClr>
            </w14:solidFill>
          </w14:textFill>
        </w:rPr>
        <w:t>|||  ||</w:t>
      </w:r>
      <w:r w:rsidR="006114E5" w:rsidRPr="00700ECA">
        <w:rPr>
          <w:color w:val="000000"/>
          <w:spacing w:val="5"/>
          <w:w w:val="61"/>
          <w:shd w:val="solid" w:color="000000" w:fill="000000"/>
          <w:fitText w:val="475" w:id="-664556797"/>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96"/>
          <w14:textFill>
            <w14:solidFill>
              <w14:srgbClr w14:val="000000">
                <w14:alpha w14:val="100000"/>
              </w14:srgbClr>
            </w14:solidFill>
          </w14:textFill>
        </w:rPr>
        <w:t>|||  ||</w:t>
      </w:r>
      <w:r w:rsidR="006114E5" w:rsidRPr="00700ECA">
        <w:rPr>
          <w:color w:val="000000"/>
          <w:spacing w:val="5"/>
          <w:w w:val="59"/>
          <w:shd w:val="solid" w:color="000000" w:fill="000000"/>
          <w:fitText w:val="460" w:id="-664556796"/>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5"/>
          <w14:textFill>
            <w14:solidFill>
              <w14:srgbClr w14:val="000000">
                <w14:alpha w14:val="100000"/>
              </w14:srgbClr>
            </w14:solidFill>
          </w14:textFill>
        </w:rPr>
        <w:t>|||  ||</w:t>
      </w:r>
      <w:r w:rsidR="006114E5" w:rsidRPr="00700ECA">
        <w:rPr>
          <w:color w:val="000000"/>
          <w:spacing w:val="5"/>
          <w:w w:val="61"/>
          <w:shd w:val="solid" w:color="000000" w:fill="000000"/>
          <w:fitText w:val="475" w:id="-664556795"/>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4"/>
          <w14:textFill>
            <w14:solidFill>
              <w14:srgbClr w14:val="000000">
                <w14:alpha w14:val="100000"/>
              </w14:srgbClr>
            </w14:solidFill>
          </w14:textFill>
        </w:rPr>
        <w:t>|||  ||</w:t>
      </w:r>
      <w:r w:rsidR="006114E5" w:rsidRPr="00700ECA">
        <w:rPr>
          <w:color w:val="000000"/>
          <w:spacing w:val="5"/>
          <w:w w:val="61"/>
          <w:shd w:val="solid" w:color="000000" w:fill="000000"/>
          <w:fitText w:val="475" w:id="-664556794"/>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3"/>
          <w14:textFill>
            <w14:solidFill>
              <w14:srgbClr w14:val="000000">
                <w14:alpha w14:val="100000"/>
              </w14:srgbClr>
            </w14:solidFill>
          </w14:textFill>
        </w:rPr>
        <w:t>|||  ||</w:t>
      </w:r>
      <w:r w:rsidR="006114E5" w:rsidRPr="00700ECA">
        <w:rPr>
          <w:color w:val="000000"/>
          <w:spacing w:val="5"/>
          <w:w w:val="61"/>
          <w:shd w:val="solid" w:color="000000" w:fill="000000"/>
          <w:fitText w:val="475" w:id="-664556793"/>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2"/>
          <w14:textFill>
            <w14:solidFill>
              <w14:srgbClr w14:val="000000">
                <w14:alpha w14:val="100000"/>
              </w14:srgbClr>
            </w14:solidFill>
          </w14:textFill>
        </w:rPr>
        <w:t>|||  ||</w:t>
      </w:r>
      <w:r w:rsidR="006114E5" w:rsidRPr="00700ECA">
        <w:rPr>
          <w:color w:val="000000"/>
          <w:spacing w:val="5"/>
          <w:w w:val="61"/>
          <w:shd w:val="solid" w:color="000000" w:fill="000000"/>
          <w:fitText w:val="475" w:id="-664556792"/>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1"/>
          <w14:textFill>
            <w14:solidFill>
              <w14:srgbClr w14:val="000000">
                <w14:alpha w14:val="100000"/>
              </w14:srgbClr>
            </w14:solidFill>
          </w14:textFill>
        </w:rPr>
        <w:t>|||  ||</w:t>
      </w:r>
      <w:r w:rsidR="006114E5" w:rsidRPr="00700ECA">
        <w:rPr>
          <w:color w:val="000000"/>
          <w:spacing w:val="5"/>
          <w:w w:val="61"/>
          <w:shd w:val="solid" w:color="000000" w:fill="000000"/>
          <w:fitText w:val="475" w:id="-664556791"/>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0"/>
          <w14:textFill>
            <w14:solidFill>
              <w14:srgbClr w14:val="000000">
                <w14:alpha w14:val="100000"/>
              </w14:srgbClr>
            </w14:solidFill>
          </w14:textFill>
        </w:rPr>
        <w:t>|||  ||</w:t>
      </w:r>
      <w:r w:rsidR="006114E5" w:rsidRPr="00700ECA">
        <w:rPr>
          <w:color w:val="000000"/>
          <w:spacing w:val="5"/>
          <w:w w:val="61"/>
          <w:shd w:val="solid" w:color="000000" w:fill="000000"/>
          <w:fitText w:val="475" w:id="-664556790"/>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9"/>
          <w14:textFill>
            <w14:solidFill>
              <w14:srgbClr w14:val="000000">
                <w14:alpha w14:val="100000"/>
              </w14:srgbClr>
            </w14:solidFill>
          </w14:textFill>
        </w:rPr>
        <w:t>|||  ||</w:t>
      </w:r>
      <w:r w:rsidR="006114E5" w:rsidRPr="00700ECA">
        <w:rPr>
          <w:color w:val="000000"/>
          <w:spacing w:val="5"/>
          <w:w w:val="61"/>
          <w:shd w:val="solid" w:color="000000" w:fill="000000"/>
          <w:fitText w:val="475" w:id="-664556789"/>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88"/>
          <w14:textFill>
            <w14:solidFill>
              <w14:srgbClr w14:val="000000">
                <w14:alpha w14:val="100000"/>
              </w14:srgbClr>
            </w14:solidFill>
          </w14:textFill>
        </w:rPr>
        <w:t>|||  ||</w:t>
      </w:r>
      <w:r w:rsidR="006114E5" w:rsidRPr="00700ECA">
        <w:rPr>
          <w:color w:val="000000"/>
          <w:spacing w:val="5"/>
          <w:w w:val="59"/>
          <w:shd w:val="solid" w:color="000000" w:fill="000000"/>
          <w:fitText w:val="460" w:id="-664556788"/>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87"/>
          <w14:textFill>
            <w14:solidFill>
              <w14:srgbClr w14:val="000000">
                <w14:alpha w14:val="100000"/>
              </w14:srgbClr>
            </w14:solidFill>
          </w14:textFill>
        </w:rPr>
        <w:t>|||  ||</w:t>
      </w:r>
      <w:r w:rsidR="006114E5" w:rsidRPr="00700ECA">
        <w:rPr>
          <w:color w:val="000000"/>
          <w:spacing w:val="5"/>
          <w:w w:val="59"/>
          <w:shd w:val="solid" w:color="000000" w:fill="000000"/>
          <w:fitText w:val="460" w:id="-664556787"/>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6"/>
          <w14:textFill>
            <w14:solidFill>
              <w14:srgbClr w14:val="000000">
                <w14:alpha w14:val="100000"/>
              </w14:srgbClr>
            </w14:solidFill>
          </w14:textFill>
        </w:rPr>
        <w:t>|||  ||</w:t>
      </w:r>
      <w:r w:rsidR="006114E5" w:rsidRPr="00700ECA">
        <w:rPr>
          <w:color w:val="000000"/>
          <w:spacing w:val="5"/>
          <w:w w:val="61"/>
          <w:shd w:val="solid" w:color="000000" w:fill="000000"/>
          <w:fitText w:val="475" w:id="-664556786"/>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5"/>
          <w14:textFill>
            <w14:solidFill>
              <w14:srgbClr w14:val="000000">
                <w14:alpha w14:val="100000"/>
              </w14:srgbClr>
            </w14:solidFill>
          </w14:textFill>
        </w:rPr>
        <w:t>|||  ||</w:t>
      </w:r>
      <w:r w:rsidR="006114E5" w:rsidRPr="00700ECA">
        <w:rPr>
          <w:color w:val="000000"/>
          <w:spacing w:val="5"/>
          <w:w w:val="61"/>
          <w:shd w:val="solid" w:color="000000" w:fill="000000"/>
          <w:fitText w:val="475" w:id="-664556785"/>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84"/>
          <w14:textFill>
            <w14:solidFill>
              <w14:srgbClr w14:val="000000">
                <w14:alpha w14:val="100000"/>
              </w14:srgbClr>
            </w14:solidFill>
          </w14:textFill>
        </w:rPr>
        <w:t>|||  ||</w:t>
      </w:r>
      <w:r w:rsidR="006114E5" w:rsidRPr="00700ECA">
        <w:rPr>
          <w:color w:val="000000"/>
          <w:spacing w:val="5"/>
          <w:w w:val="61"/>
          <w:shd w:val="solid" w:color="000000" w:fill="000000"/>
          <w:fitText w:val="475" w:id="-664556784"/>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800"/>
          <w14:textFill>
            <w14:solidFill>
              <w14:srgbClr w14:val="000000">
                <w14:alpha w14:val="100000"/>
              </w14:srgbClr>
            </w14:solidFill>
          </w14:textFill>
        </w:rPr>
        <w:t>|||  ||</w:t>
      </w:r>
      <w:r w:rsidR="006114E5" w:rsidRPr="00700ECA">
        <w:rPr>
          <w:color w:val="000000"/>
          <w:spacing w:val="5"/>
          <w:w w:val="61"/>
          <w:shd w:val="solid" w:color="000000" w:fill="000000"/>
          <w:fitText w:val="475" w:id="-664556800"/>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9"/>
          <w14:textFill>
            <w14:solidFill>
              <w14:srgbClr w14:val="000000">
                <w14:alpha w14:val="100000"/>
              </w14:srgbClr>
            </w14:solidFill>
          </w14:textFill>
        </w:rPr>
        <w:t>|||  ||</w:t>
      </w:r>
      <w:r w:rsidR="006114E5" w:rsidRPr="00700ECA">
        <w:rPr>
          <w:color w:val="000000"/>
          <w:spacing w:val="5"/>
          <w:w w:val="61"/>
          <w:shd w:val="solid" w:color="000000" w:fill="000000"/>
          <w:fitText w:val="475" w:id="-664556799"/>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98"/>
          <w14:textFill>
            <w14:solidFill>
              <w14:srgbClr w14:val="000000">
                <w14:alpha w14:val="100000"/>
              </w14:srgbClr>
            </w14:solidFill>
          </w14:textFill>
        </w:rPr>
        <w:t>|||  ||</w:t>
      </w:r>
      <w:r w:rsidR="006114E5" w:rsidRPr="00700ECA">
        <w:rPr>
          <w:color w:val="000000"/>
          <w:spacing w:val="5"/>
          <w:w w:val="59"/>
          <w:shd w:val="solid" w:color="000000" w:fill="000000"/>
          <w:fitText w:val="460" w:id="-664556798"/>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7"/>
          <w14:textFill>
            <w14:solidFill>
              <w14:srgbClr w14:val="000000">
                <w14:alpha w14:val="100000"/>
              </w14:srgbClr>
            </w14:solidFill>
          </w14:textFill>
        </w:rPr>
        <w:t>|||  ||</w:t>
      </w:r>
      <w:r w:rsidR="006114E5" w:rsidRPr="00700ECA">
        <w:rPr>
          <w:color w:val="000000"/>
          <w:spacing w:val="5"/>
          <w:w w:val="61"/>
          <w:shd w:val="solid" w:color="000000" w:fill="000000"/>
          <w:fitText w:val="475" w:id="-664556797"/>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6"/>
          <w14:textFill>
            <w14:solidFill>
              <w14:srgbClr w14:val="000000">
                <w14:alpha w14:val="100000"/>
              </w14:srgbClr>
            </w14:solidFill>
          </w14:textFill>
        </w:rPr>
        <w:t>|||  ||</w:t>
      </w:r>
      <w:r w:rsidR="006114E5" w:rsidRPr="00700ECA">
        <w:rPr>
          <w:color w:val="000000"/>
          <w:spacing w:val="5"/>
          <w:w w:val="61"/>
          <w:shd w:val="solid" w:color="000000" w:fill="000000"/>
          <w:fitText w:val="475" w:id="-664556796"/>
          <w14:textFill>
            <w14:solidFill>
              <w14:srgbClr w14:val="000000">
                <w14:alpha w14:val="100000"/>
              </w14:srgbClr>
            </w14:solidFill>
          </w14:textFill>
        </w:rPr>
        <w:t>|</w:t>
      </w:r>
      <w:r w:rsidR="00FC2779" w:rsidRPr="00FC2779">
        <w:t xml:space="preserve"> </w:t>
      </w:r>
      <w:r w:rsidR="006114E5" w:rsidRPr="00700ECA">
        <w:rPr>
          <w:color w:val="000000"/>
          <w:w w:val="59"/>
          <w:shd w:val="solid" w:color="000000" w:fill="000000"/>
          <w:fitText w:val="460" w:id="-664556795"/>
          <w14:textFill>
            <w14:solidFill>
              <w14:srgbClr w14:val="000000">
                <w14:alpha w14:val="100000"/>
              </w14:srgbClr>
            </w14:solidFill>
          </w14:textFill>
        </w:rPr>
        <w:t>|||  ||</w:t>
      </w:r>
      <w:r w:rsidR="006114E5" w:rsidRPr="00700ECA">
        <w:rPr>
          <w:color w:val="000000"/>
          <w:spacing w:val="5"/>
          <w:w w:val="59"/>
          <w:shd w:val="solid" w:color="000000" w:fill="000000"/>
          <w:fitText w:val="460" w:id="-664556795"/>
          <w14:textFill>
            <w14:solidFill>
              <w14:srgbClr w14:val="000000">
                <w14:alpha w14:val="100000"/>
              </w14:srgbClr>
            </w14:solidFill>
          </w14:textFill>
        </w:rPr>
        <w:t>|</w:t>
      </w:r>
      <w:r w:rsidR="00FC2779" w:rsidRPr="00FC2779">
        <w:t xml:space="preserve"> </w:t>
      </w:r>
      <w:r w:rsidR="006114E5" w:rsidRPr="00700ECA">
        <w:rPr>
          <w:color w:val="000000"/>
          <w:w w:val="61"/>
          <w:shd w:val="solid" w:color="000000" w:fill="000000"/>
          <w:fitText w:val="475" w:id="-664556794"/>
          <w14:textFill>
            <w14:solidFill>
              <w14:srgbClr w14:val="000000">
                <w14:alpha w14:val="100000"/>
              </w14:srgbClr>
            </w14:solidFill>
          </w14:textFill>
        </w:rPr>
        <w:t>|||  ||</w:t>
      </w:r>
      <w:r w:rsidR="006114E5" w:rsidRPr="00700ECA">
        <w:rPr>
          <w:color w:val="000000"/>
          <w:spacing w:val="5"/>
          <w:w w:val="61"/>
          <w:shd w:val="solid" w:color="000000" w:fill="000000"/>
          <w:fitText w:val="475" w:id="-664556794"/>
          <w14:textFill>
            <w14:solidFill>
              <w14:srgbClr w14:val="000000">
                <w14:alpha w14:val="100000"/>
              </w14:srgbClr>
            </w14:solidFill>
          </w14:textFill>
        </w:rPr>
        <w:t>|</w:t>
      </w:r>
    </w:p>
    <w:p w14:paraId="264D9476" w14:textId="77777777" w:rsidR="00DE5DC6" w:rsidRPr="00106763" w:rsidRDefault="00DE5DC6" w:rsidP="009D09F4"/>
    <w:p w14:paraId="09454777" w14:textId="0A1309D6" w:rsidR="00DE5DC6" w:rsidRPr="00106763" w:rsidRDefault="006114E5" w:rsidP="007F0B21">
      <w:pPr>
        <w:pStyle w:val="Caption"/>
      </w:pPr>
      <w:bookmarkStart w:id="86" w:name="_Ref197011114"/>
      <w:r w:rsidRPr="006114E5">
        <w:rPr>
          <w:color w:val="000000"/>
          <w:shd w:val="solid" w:color="000000" w:fill="000000"/>
          <w:fitText w:val="340" w:id="-664556793"/>
          <w14:textFill>
            <w14:solidFill>
              <w14:srgbClr w14:val="000000">
                <w14:alpha w14:val="100000"/>
              </w14:srgbClr>
            </w14:solidFill>
          </w14:textFill>
        </w:rPr>
        <w:t>||  |</w:t>
      </w:r>
      <w:r w:rsidRPr="006114E5">
        <w:rPr>
          <w:color w:val="000000"/>
          <w:spacing w:val="60"/>
          <w:shd w:val="solid" w:color="000000" w:fill="000000"/>
          <w:fitText w:val="340" w:id="-664556793"/>
          <w14:textFill>
            <w14:solidFill>
              <w14:srgbClr w14:val="000000">
                <w14:alpha w14:val="100000"/>
              </w14:srgbClr>
            </w14:solidFill>
          </w14:textFill>
        </w:rPr>
        <w:t>|</w:t>
      </w:r>
      <w:r w:rsidR="00FC2779" w:rsidRPr="00FC2779">
        <w:t xml:space="preserve"> </w:t>
      </w:r>
      <w:bookmarkEnd w:id="86"/>
      <w:r w:rsidRPr="006114E5">
        <w:rPr>
          <w:color w:val="000000"/>
          <w:spacing w:val="15"/>
          <w:shd w:val="solid" w:color="000000" w:fill="000000"/>
          <w:fitText w:val="715" w:id="-664556791"/>
          <w14:textFill>
            <w14:solidFill>
              <w14:srgbClr w14:val="000000">
                <w14:alpha w14:val="100000"/>
              </w14:srgbClr>
            </w14:solidFill>
          </w14:textFill>
        </w:rPr>
        <w:t>|||||  ||||</w:t>
      </w:r>
      <w:r w:rsidRPr="006114E5">
        <w:rPr>
          <w:color w:val="000000"/>
          <w:shd w:val="solid" w:color="000000" w:fill="000000"/>
          <w:fitText w:val="715" w:id="-664556791"/>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0"/>
          <w14:textFill>
            <w14:solidFill>
              <w14:srgbClr w14:val="000000">
                <w14:alpha w14:val="100000"/>
              </w14:srgbClr>
            </w14:solidFill>
          </w14:textFill>
        </w:rPr>
        <w:t>||  |</w:t>
      </w:r>
      <w:r w:rsidRPr="006114E5">
        <w:rPr>
          <w:color w:val="000000"/>
          <w:spacing w:val="60"/>
          <w:shd w:val="solid" w:color="000000" w:fill="000000"/>
          <w:fitText w:val="340" w:id="-664556790"/>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9"/>
          <w14:textFill>
            <w14:solidFill>
              <w14:srgbClr w14:val="000000">
                <w14:alpha w14:val="100000"/>
              </w14:srgbClr>
            </w14:solidFill>
          </w14:textFill>
        </w:rPr>
        <w:t>||  |</w:t>
      </w:r>
      <w:r w:rsidRPr="006114E5">
        <w:rPr>
          <w:color w:val="000000"/>
          <w:spacing w:val="60"/>
          <w:shd w:val="solid" w:color="000000" w:fill="000000"/>
          <w:fitText w:val="340" w:id="-664556789"/>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8"/>
          <w14:textFill>
            <w14:solidFill>
              <w14:srgbClr w14:val="000000">
                <w14:alpha w14:val="100000"/>
              </w14:srgbClr>
            </w14:solidFill>
          </w14:textFill>
        </w:rPr>
        <w:t>||  |</w:t>
      </w:r>
      <w:r w:rsidRPr="006114E5">
        <w:rPr>
          <w:color w:val="000000"/>
          <w:spacing w:val="60"/>
          <w:shd w:val="solid" w:color="000000" w:fill="000000"/>
          <w:fitText w:val="340" w:id="-664556788"/>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7"/>
          <w14:textFill>
            <w14:solidFill>
              <w14:srgbClr w14:val="000000">
                <w14:alpha w14:val="100000"/>
              </w14:srgbClr>
            </w14:solidFill>
          </w14:textFill>
        </w:rPr>
        <w:t>||  |</w:t>
      </w:r>
      <w:r w:rsidRPr="006114E5">
        <w:rPr>
          <w:color w:val="000000"/>
          <w:spacing w:val="60"/>
          <w:shd w:val="solid" w:color="000000" w:fill="000000"/>
          <w:fitText w:val="340" w:id="-664556787"/>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786"/>
          <w14:textFill>
            <w14:solidFill>
              <w14:srgbClr w14:val="000000">
                <w14:alpha w14:val="100000"/>
              </w14:srgbClr>
            </w14:solidFill>
          </w14:textFill>
        </w:rPr>
        <w:t>||  |</w:t>
      </w:r>
      <w:r w:rsidRPr="006114E5">
        <w:rPr>
          <w:color w:val="000000"/>
          <w:spacing w:val="45"/>
          <w:shd w:val="solid" w:color="000000" w:fill="000000"/>
          <w:fitText w:val="325" w:id="-664556786"/>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5"/>
          <w14:textFill>
            <w14:solidFill>
              <w14:srgbClr w14:val="000000">
                <w14:alpha w14:val="100000"/>
              </w14:srgbClr>
            </w14:solidFill>
          </w14:textFill>
        </w:rPr>
        <w:t>||  |</w:t>
      </w:r>
      <w:r w:rsidRPr="006114E5">
        <w:rPr>
          <w:color w:val="000000"/>
          <w:spacing w:val="60"/>
          <w:shd w:val="solid" w:color="000000" w:fill="000000"/>
          <w:fitText w:val="340" w:id="-664556785"/>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4"/>
          <w14:textFill>
            <w14:solidFill>
              <w14:srgbClr w14:val="000000">
                <w14:alpha w14:val="100000"/>
              </w14:srgbClr>
            </w14:solidFill>
          </w14:textFill>
        </w:rPr>
        <w:t>||  |</w:t>
      </w:r>
      <w:r w:rsidRPr="006114E5">
        <w:rPr>
          <w:color w:val="000000"/>
          <w:spacing w:val="60"/>
          <w:shd w:val="solid" w:color="000000" w:fill="000000"/>
          <w:fitText w:val="340" w:id="-664556784"/>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800"/>
          <w14:textFill>
            <w14:solidFill>
              <w14:srgbClr w14:val="000000">
                <w14:alpha w14:val="100000"/>
              </w14:srgbClr>
            </w14:solidFill>
          </w14:textFill>
        </w:rPr>
        <w:t>||  |</w:t>
      </w:r>
      <w:r w:rsidRPr="006114E5">
        <w:rPr>
          <w:color w:val="000000"/>
          <w:spacing w:val="60"/>
          <w:shd w:val="solid" w:color="000000" w:fill="000000"/>
          <w:fitText w:val="340" w:id="-664556800"/>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9"/>
          <w14:textFill>
            <w14:solidFill>
              <w14:srgbClr w14:val="000000">
                <w14:alpha w14:val="100000"/>
              </w14:srgbClr>
            </w14:solidFill>
          </w14:textFill>
        </w:rPr>
        <w:t>||  |</w:t>
      </w:r>
      <w:r w:rsidRPr="006114E5">
        <w:rPr>
          <w:color w:val="000000"/>
          <w:spacing w:val="60"/>
          <w:shd w:val="solid" w:color="000000" w:fill="000000"/>
          <w:fitText w:val="340" w:id="-664556799"/>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8"/>
          <w14:textFill>
            <w14:solidFill>
              <w14:srgbClr w14:val="000000">
                <w14:alpha w14:val="100000"/>
              </w14:srgbClr>
            </w14:solidFill>
          </w14:textFill>
        </w:rPr>
        <w:t>||  |</w:t>
      </w:r>
      <w:r w:rsidRPr="006114E5">
        <w:rPr>
          <w:color w:val="000000"/>
          <w:spacing w:val="60"/>
          <w:shd w:val="solid" w:color="000000" w:fill="000000"/>
          <w:fitText w:val="340" w:id="-664556798"/>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797"/>
          <w14:textFill>
            <w14:solidFill>
              <w14:srgbClr w14:val="000000">
                <w14:alpha w14:val="100000"/>
              </w14:srgbClr>
            </w14:solidFill>
          </w14:textFill>
        </w:rPr>
        <w:t>||  |</w:t>
      </w:r>
      <w:r w:rsidRPr="006114E5">
        <w:rPr>
          <w:color w:val="000000"/>
          <w:spacing w:val="45"/>
          <w:shd w:val="solid" w:color="000000" w:fill="000000"/>
          <w:fitText w:val="325" w:id="-664556797"/>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6"/>
          <w14:textFill>
            <w14:solidFill>
              <w14:srgbClr w14:val="000000">
                <w14:alpha w14:val="100000"/>
              </w14:srgbClr>
            </w14:solidFill>
          </w14:textFill>
        </w:rPr>
        <w:t>||  |</w:t>
      </w:r>
      <w:r w:rsidRPr="006114E5">
        <w:rPr>
          <w:color w:val="000000"/>
          <w:spacing w:val="60"/>
          <w:shd w:val="solid" w:color="000000" w:fill="000000"/>
          <w:fitText w:val="340" w:id="-664556796"/>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795"/>
          <w14:textFill>
            <w14:solidFill>
              <w14:srgbClr w14:val="000000">
                <w14:alpha w14:val="100000"/>
              </w14:srgbClr>
            </w14:solidFill>
          </w14:textFill>
        </w:rPr>
        <w:t>||  |</w:t>
      </w:r>
      <w:r w:rsidRPr="006114E5">
        <w:rPr>
          <w:color w:val="000000"/>
          <w:spacing w:val="45"/>
          <w:shd w:val="solid" w:color="000000" w:fill="000000"/>
          <w:fitText w:val="325" w:id="-664556795"/>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4"/>
          <w14:textFill>
            <w14:solidFill>
              <w14:srgbClr w14:val="000000">
                <w14:alpha w14:val="100000"/>
              </w14:srgbClr>
            </w14:solidFill>
          </w14:textFill>
        </w:rPr>
        <w:t>||  |</w:t>
      </w:r>
      <w:r w:rsidRPr="006114E5">
        <w:rPr>
          <w:color w:val="000000"/>
          <w:spacing w:val="60"/>
          <w:shd w:val="solid" w:color="000000" w:fill="000000"/>
          <w:fitText w:val="340" w:id="-664556794"/>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793"/>
          <w14:textFill>
            <w14:solidFill>
              <w14:srgbClr w14:val="000000">
                <w14:alpha w14:val="100000"/>
              </w14:srgbClr>
            </w14:solidFill>
          </w14:textFill>
        </w:rPr>
        <w:t>||  |</w:t>
      </w:r>
      <w:r w:rsidRPr="006114E5">
        <w:rPr>
          <w:color w:val="000000"/>
          <w:spacing w:val="45"/>
          <w:shd w:val="solid" w:color="000000" w:fill="000000"/>
          <w:fitText w:val="325" w:id="-664556793"/>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792"/>
          <w14:textFill>
            <w14:solidFill>
              <w14:srgbClr w14:val="000000">
                <w14:alpha w14:val="100000"/>
              </w14:srgbClr>
            </w14:solidFill>
          </w14:textFill>
        </w:rPr>
        <w:t>||  |</w:t>
      </w:r>
      <w:r w:rsidRPr="006114E5">
        <w:rPr>
          <w:color w:val="000000"/>
          <w:spacing w:val="45"/>
          <w:shd w:val="solid" w:color="000000" w:fill="000000"/>
          <w:fitText w:val="325" w:id="-664556792"/>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1"/>
          <w14:textFill>
            <w14:solidFill>
              <w14:srgbClr w14:val="000000">
                <w14:alpha w14:val="100000"/>
              </w14:srgbClr>
            </w14:solidFill>
          </w14:textFill>
        </w:rPr>
        <w:t>||  |</w:t>
      </w:r>
      <w:r w:rsidRPr="006114E5">
        <w:rPr>
          <w:color w:val="000000"/>
          <w:spacing w:val="60"/>
          <w:shd w:val="solid" w:color="000000" w:fill="000000"/>
          <w:fitText w:val="340" w:id="-664556791"/>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90"/>
          <w14:textFill>
            <w14:solidFill>
              <w14:srgbClr w14:val="000000">
                <w14:alpha w14:val="100000"/>
              </w14:srgbClr>
            </w14:solidFill>
          </w14:textFill>
        </w:rPr>
        <w:t>||  |</w:t>
      </w:r>
      <w:r w:rsidRPr="006114E5">
        <w:rPr>
          <w:color w:val="000000"/>
          <w:spacing w:val="60"/>
          <w:shd w:val="solid" w:color="000000" w:fill="000000"/>
          <w:fitText w:val="340" w:id="-664556790"/>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9"/>
          <w14:textFill>
            <w14:solidFill>
              <w14:srgbClr w14:val="000000">
                <w14:alpha w14:val="100000"/>
              </w14:srgbClr>
            </w14:solidFill>
          </w14:textFill>
        </w:rPr>
        <w:t>||  |</w:t>
      </w:r>
      <w:r w:rsidRPr="006114E5">
        <w:rPr>
          <w:color w:val="000000"/>
          <w:spacing w:val="60"/>
          <w:shd w:val="solid" w:color="000000" w:fill="000000"/>
          <w:fitText w:val="340" w:id="-664556789"/>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788"/>
          <w14:textFill>
            <w14:solidFill>
              <w14:srgbClr w14:val="000000">
                <w14:alpha w14:val="100000"/>
              </w14:srgbClr>
            </w14:solidFill>
          </w14:textFill>
        </w:rPr>
        <w:t>||  |</w:t>
      </w:r>
      <w:r w:rsidRPr="006114E5">
        <w:rPr>
          <w:color w:val="000000"/>
          <w:spacing w:val="60"/>
          <w:shd w:val="solid" w:color="000000" w:fill="000000"/>
          <w:fitText w:val="340" w:id="-664556788"/>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44"/>
          <w14:textFill>
            <w14:solidFill>
              <w14:srgbClr w14:val="000000">
                <w14:alpha w14:val="100000"/>
              </w14:srgbClr>
            </w14:solidFill>
          </w14:textFill>
        </w:rPr>
        <w:t>||  |</w:t>
      </w:r>
      <w:r w:rsidRPr="006114E5">
        <w:rPr>
          <w:color w:val="000000"/>
          <w:spacing w:val="60"/>
          <w:shd w:val="solid" w:color="000000" w:fill="000000"/>
          <w:fitText w:val="340" w:id="-664556544"/>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43"/>
          <w14:textFill>
            <w14:solidFill>
              <w14:srgbClr w14:val="000000">
                <w14:alpha w14:val="100000"/>
              </w14:srgbClr>
            </w14:solidFill>
          </w14:textFill>
        </w:rPr>
        <w:t>||  |</w:t>
      </w:r>
      <w:r w:rsidRPr="006114E5">
        <w:rPr>
          <w:color w:val="000000"/>
          <w:spacing w:val="60"/>
          <w:shd w:val="solid" w:color="000000" w:fill="000000"/>
          <w:fitText w:val="340" w:id="-664556543"/>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542"/>
          <w14:textFill>
            <w14:solidFill>
              <w14:srgbClr w14:val="000000">
                <w14:alpha w14:val="100000"/>
              </w14:srgbClr>
            </w14:solidFill>
          </w14:textFill>
        </w:rPr>
        <w:t>||  |</w:t>
      </w:r>
      <w:r w:rsidRPr="006114E5">
        <w:rPr>
          <w:color w:val="000000"/>
          <w:spacing w:val="45"/>
          <w:shd w:val="solid" w:color="000000" w:fill="000000"/>
          <w:fitText w:val="325" w:id="-664556542"/>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41"/>
          <w14:textFill>
            <w14:solidFill>
              <w14:srgbClr w14:val="000000">
                <w14:alpha w14:val="100000"/>
              </w14:srgbClr>
            </w14:solidFill>
          </w14:textFill>
        </w:rPr>
        <w:t>||  |</w:t>
      </w:r>
      <w:r w:rsidRPr="006114E5">
        <w:rPr>
          <w:color w:val="000000"/>
          <w:spacing w:val="60"/>
          <w:shd w:val="solid" w:color="000000" w:fill="000000"/>
          <w:fitText w:val="340" w:id="-664556541"/>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40"/>
          <w14:textFill>
            <w14:solidFill>
              <w14:srgbClr w14:val="000000">
                <w14:alpha w14:val="100000"/>
              </w14:srgbClr>
            </w14:solidFill>
          </w14:textFill>
        </w:rPr>
        <w:t>||  |</w:t>
      </w:r>
      <w:r w:rsidRPr="006114E5">
        <w:rPr>
          <w:color w:val="000000"/>
          <w:spacing w:val="60"/>
          <w:shd w:val="solid" w:color="000000" w:fill="000000"/>
          <w:fitText w:val="340" w:id="-664556540"/>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539"/>
          <w14:textFill>
            <w14:solidFill>
              <w14:srgbClr w14:val="000000">
                <w14:alpha w14:val="100000"/>
              </w14:srgbClr>
            </w14:solidFill>
          </w14:textFill>
        </w:rPr>
        <w:t>||  |</w:t>
      </w:r>
      <w:r w:rsidRPr="006114E5">
        <w:rPr>
          <w:color w:val="000000"/>
          <w:spacing w:val="45"/>
          <w:shd w:val="solid" w:color="000000" w:fill="000000"/>
          <w:fitText w:val="325" w:id="-664556539"/>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38"/>
          <w14:textFill>
            <w14:solidFill>
              <w14:srgbClr w14:val="000000">
                <w14:alpha w14:val="100000"/>
              </w14:srgbClr>
            </w14:solidFill>
          </w14:textFill>
        </w:rPr>
        <w:t>||  |</w:t>
      </w:r>
      <w:r w:rsidRPr="006114E5">
        <w:rPr>
          <w:color w:val="000000"/>
          <w:spacing w:val="60"/>
          <w:shd w:val="solid" w:color="000000" w:fill="000000"/>
          <w:fitText w:val="340" w:id="-664556538"/>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37"/>
          <w14:textFill>
            <w14:solidFill>
              <w14:srgbClr w14:val="000000">
                <w14:alpha w14:val="100000"/>
              </w14:srgbClr>
            </w14:solidFill>
          </w14:textFill>
        </w:rPr>
        <w:t>||  |</w:t>
      </w:r>
      <w:r w:rsidRPr="006114E5">
        <w:rPr>
          <w:color w:val="000000"/>
          <w:spacing w:val="60"/>
          <w:shd w:val="solid" w:color="000000" w:fill="000000"/>
          <w:fitText w:val="340" w:id="-664556537"/>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36"/>
          <w14:textFill>
            <w14:solidFill>
              <w14:srgbClr w14:val="000000">
                <w14:alpha w14:val="100000"/>
              </w14:srgbClr>
            </w14:solidFill>
          </w14:textFill>
        </w:rPr>
        <w:t>||  |</w:t>
      </w:r>
      <w:r w:rsidRPr="006114E5">
        <w:rPr>
          <w:color w:val="000000"/>
          <w:spacing w:val="60"/>
          <w:shd w:val="solid" w:color="000000" w:fill="000000"/>
          <w:fitText w:val="340" w:id="-664556536"/>
          <w14:textFill>
            <w14:solidFill>
              <w14:srgbClr w14:val="000000">
                <w14:alpha w14:val="100000"/>
              </w14:srgbClr>
            </w14:solidFill>
          </w14:textFill>
        </w:rPr>
        <w:t>|</w:t>
      </w:r>
      <w:r w:rsidR="00FC2779" w:rsidRPr="00FC2779">
        <w:t xml:space="preserve"> </w:t>
      </w:r>
      <w:r w:rsidRPr="006114E5">
        <w:rPr>
          <w:color w:val="000000"/>
          <w:shd w:val="solid" w:color="000000" w:fill="000000"/>
          <w:fitText w:val="325" w:id="-664556535"/>
          <w14:textFill>
            <w14:solidFill>
              <w14:srgbClr w14:val="000000">
                <w14:alpha w14:val="100000"/>
              </w14:srgbClr>
            </w14:solidFill>
          </w14:textFill>
        </w:rPr>
        <w:t>||  |</w:t>
      </w:r>
      <w:r w:rsidRPr="006114E5">
        <w:rPr>
          <w:color w:val="000000"/>
          <w:spacing w:val="45"/>
          <w:shd w:val="solid" w:color="000000" w:fill="000000"/>
          <w:fitText w:val="325" w:id="-664556535"/>
          <w14:textFill>
            <w14:solidFill>
              <w14:srgbClr w14:val="000000">
                <w14:alpha w14:val="100000"/>
              </w14:srgbClr>
            </w14:solidFill>
          </w14:textFill>
        </w:rPr>
        <w:t>|</w:t>
      </w:r>
      <w:r w:rsidR="00FC2779" w:rsidRPr="00FC2779">
        <w:t xml:space="preserve"> </w:t>
      </w:r>
      <w:r w:rsidRPr="006114E5">
        <w:rPr>
          <w:color w:val="000000"/>
          <w:shd w:val="solid" w:color="000000" w:fill="000000"/>
          <w:fitText w:val="340" w:id="-664556534"/>
          <w14:textFill>
            <w14:solidFill>
              <w14:srgbClr w14:val="000000">
                <w14:alpha w14:val="100000"/>
              </w14:srgbClr>
            </w14:solidFill>
          </w14:textFill>
        </w:rPr>
        <w:t>||  |</w:t>
      </w:r>
      <w:r w:rsidRPr="006114E5">
        <w:rPr>
          <w:color w:val="000000"/>
          <w:spacing w:val="60"/>
          <w:shd w:val="solid" w:color="000000" w:fill="000000"/>
          <w:fitText w:val="340" w:id="-664556534"/>
          <w14:textFill>
            <w14:solidFill>
              <w14:srgbClr w14:val="000000">
                <w14:alpha w14:val="100000"/>
              </w14:srgbClr>
            </w14:solidFill>
          </w14:textFill>
        </w:rPr>
        <w:t>|</w:t>
      </w:r>
    </w:p>
    <w:tbl>
      <w:tblPr>
        <w:tblStyle w:val="DossierTable1"/>
        <w:tblW w:w="9017" w:type="dxa"/>
        <w:tblLayout w:type="fixed"/>
        <w:tblLook w:val="04A0" w:firstRow="1" w:lastRow="0" w:firstColumn="1" w:lastColumn="0" w:noHBand="0" w:noVBand="1"/>
      </w:tblPr>
      <w:tblGrid>
        <w:gridCol w:w="883"/>
        <w:gridCol w:w="625"/>
        <w:gridCol w:w="626"/>
        <w:gridCol w:w="626"/>
        <w:gridCol w:w="625"/>
        <w:gridCol w:w="626"/>
        <w:gridCol w:w="626"/>
        <w:gridCol w:w="625"/>
        <w:gridCol w:w="626"/>
        <w:gridCol w:w="626"/>
        <w:gridCol w:w="625"/>
        <w:gridCol w:w="626"/>
        <w:gridCol w:w="626"/>
        <w:gridCol w:w="626"/>
      </w:tblGrid>
      <w:tr w:rsidR="006114E5" w:rsidRPr="005F7FBD" w14:paraId="00DE8CDD" w14:textId="77777777" w:rsidTr="006114E5">
        <w:tc>
          <w:tcPr>
            <w:tcW w:w="883" w:type="dxa"/>
            <w:tcMar>
              <w:left w:w="20" w:type="dxa"/>
              <w:right w:w="20" w:type="dxa"/>
            </w:tcMar>
          </w:tcPr>
          <w:p w14:paraId="18066964" w14:textId="77777777" w:rsidR="005F7FBD" w:rsidRPr="005F7FBD" w:rsidRDefault="005F7FBD" w:rsidP="005F7FBD">
            <w:pPr>
              <w:keepNext/>
              <w:keepLines/>
              <w:spacing w:before="40" w:after="40"/>
              <w:jc w:val="left"/>
              <w:rPr>
                <w:rFonts w:ascii="Arial Narrow" w:hAnsi="Arial Narrow" w:cs="Arial Narrow"/>
                <w:b/>
                <w:bCs/>
                <w:snapToGrid w:val="0"/>
                <w:sz w:val="20"/>
                <w:highlight w:val="yellow"/>
              </w:rPr>
            </w:pPr>
          </w:p>
        </w:tc>
        <w:tc>
          <w:tcPr>
            <w:tcW w:w="625" w:type="dxa"/>
            <w:shd w:val="solid" w:color="000000" w:fill="000000"/>
            <w:tcMar>
              <w:left w:w="20" w:type="dxa"/>
              <w:right w:w="20" w:type="dxa"/>
            </w:tcMar>
          </w:tcPr>
          <w:p w14:paraId="4905F1CD" w14:textId="1071A7CD" w:rsidR="005F7FBD" w:rsidRPr="005F7FBD" w:rsidRDefault="006114E5" w:rsidP="005F7FBD">
            <w:pPr>
              <w:keepNext/>
              <w:keepLines/>
              <w:spacing w:before="40" w:after="40"/>
              <w:jc w:val="left"/>
              <w:rPr>
                <w:rFonts w:ascii="Arial Narrow" w:hAnsi="Arial Narrow" w:cs="Arial Narrow"/>
                <w:b/>
                <w:bCs/>
                <w:snapToGrid w:val="0"/>
                <w:sz w:val="18"/>
                <w:szCs w:val="18"/>
                <w:highlight w:val="yellow"/>
                <w:vertAlign w:val="superscript"/>
              </w:rPr>
            </w:pPr>
            <w:r w:rsidRPr="006114E5">
              <w:rPr>
                <w:rFonts w:ascii="Arial Narrow" w:hAnsi="Arial Narrow" w:cs="Arial Narrow"/>
                <w:b/>
                <w:bCs/>
                <w:snapToGrid w:val="0"/>
                <w:color w:val="000000"/>
                <w:spacing w:val="49"/>
                <w:sz w:val="18"/>
                <w:szCs w:val="18"/>
                <w:fitText w:val="315" w:id="-664556533"/>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3"/>
                <w14:textFill>
                  <w14:solidFill>
                    <w14:srgbClr w14:val="000000">
                      <w14:alpha w14:val="100000"/>
                    </w14:srgbClr>
                  </w14:solidFill>
                </w14:textFill>
              </w:rPr>
              <w:t>|</w:t>
            </w:r>
          </w:p>
        </w:tc>
        <w:tc>
          <w:tcPr>
            <w:tcW w:w="626" w:type="dxa"/>
            <w:shd w:val="solid" w:color="000000" w:fill="000000"/>
            <w:tcMar>
              <w:left w:w="20" w:type="dxa"/>
              <w:right w:w="20" w:type="dxa"/>
            </w:tcMar>
          </w:tcPr>
          <w:p w14:paraId="041A2276" w14:textId="31A13D0F"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32"/>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2"/>
                <w14:textFill>
                  <w14:solidFill>
                    <w14:srgbClr w14:val="000000">
                      <w14:alpha w14:val="100000"/>
                    </w14:srgbClr>
                  </w14:solidFill>
                </w14:textFill>
              </w:rPr>
              <w:t>|</w:t>
            </w:r>
          </w:p>
        </w:tc>
        <w:tc>
          <w:tcPr>
            <w:tcW w:w="626" w:type="dxa"/>
            <w:shd w:val="solid" w:color="000000" w:fill="000000"/>
            <w:tcMar>
              <w:left w:w="20" w:type="dxa"/>
              <w:right w:w="20" w:type="dxa"/>
            </w:tcMar>
          </w:tcPr>
          <w:p w14:paraId="79A8CC4D" w14:textId="0F001D64"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31"/>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1"/>
                <w14:textFill>
                  <w14:solidFill>
                    <w14:srgbClr w14:val="000000">
                      <w14:alpha w14:val="100000"/>
                    </w14:srgbClr>
                  </w14:solidFill>
                </w14:textFill>
              </w:rPr>
              <w:t>|</w:t>
            </w:r>
          </w:p>
        </w:tc>
        <w:tc>
          <w:tcPr>
            <w:tcW w:w="625" w:type="dxa"/>
            <w:shd w:val="solid" w:color="000000" w:fill="000000"/>
            <w:tcMar>
              <w:left w:w="20" w:type="dxa"/>
              <w:right w:w="20" w:type="dxa"/>
            </w:tcMar>
          </w:tcPr>
          <w:p w14:paraId="5BB29218" w14:textId="0492049B"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30"/>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0"/>
                <w14:textFill>
                  <w14:solidFill>
                    <w14:srgbClr w14:val="000000">
                      <w14:alpha w14:val="100000"/>
                    </w14:srgbClr>
                  </w14:solidFill>
                </w14:textFill>
              </w:rPr>
              <w:t>|</w:t>
            </w:r>
          </w:p>
        </w:tc>
        <w:tc>
          <w:tcPr>
            <w:tcW w:w="626" w:type="dxa"/>
            <w:shd w:val="solid" w:color="000000" w:fill="000000"/>
            <w:tcMar>
              <w:left w:w="20" w:type="dxa"/>
              <w:right w:w="20" w:type="dxa"/>
            </w:tcMar>
          </w:tcPr>
          <w:p w14:paraId="6C9B80C0" w14:textId="1B8ECE8B"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29"/>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29"/>
                <w14:textFill>
                  <w14:solidFill>
                    <w14:srgbClr w14:val="000000">
                      <w14:alpha w14:val="100000"/>
                    </w14:srgbClr>
                  </w14:solidFill>
                </w14:textFill>
              </w:rPr>
              <w:t>|</w:t>
            </w:r>
          </w:p>
        </w:tc>
        <w:tc>
          <w:tcPr>
            <w:tcW w:w="626" w:type="dxa"/>
            <w:shd w:val="solid" w:color="000000" w:fill="000000"/>
            <w:tcMar>
              <w:left w:w="20" w:type="dxa"/>
              <w:right w:w="20" w:type="dxa"/>
            </w:tcMar>
          </w:tcPr>
          <w:p w14:paraId="24A74461" w14:textId="38FB962A" w:rsidR="005F7FBD" w:rsidRPr="005F7FBD" w:rsidRDefault="006114E5" w:rsidP="005F7FBD">
            <w:pPr>
              <w:keepNext/>
              <w:keepLines/>
              <w:spacing w:before="40" w:after="40"/>
              <w:jc w:val="left"/>
              <w:rPr>
                <w:rFonts w:ascii="Arial Narrow" w:hAnsi="Arial Narrow" w:cs="Arial Narrow"/>
                <w:b/>
                <w:bCs/>
                <w:snapToGrid w:val="0"/>
                <w:sz w:val="18"/>
                <w:szCs w:val="18"/>
                <w:highlight w:val="yellow"/>
                <w:vertAlign w:val="superscript"/>
              </w:rPr>
            </w:pPr>
            <w:r w:rsidRPr="006114E5">
              <w:rPr>
                <w:rFonts w:ascii="Arial Narrow" w:hAnsi="Arial Narrow" w:cs="Arial Narrow"/>
                <w:b/>
                <w:bCs/>
                <w:snapToGrid w:val="0"/>
                <w:color w:val="000000"/>
                <w:spacing w:val="49"/>
                <w:sz w:val="18"/>
                <w:szCs w:val="18"/>
                <w:fitText w:val="315" w:id="-664556528"/>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28"/>
                <w14:textFill>
                  <w14:solidFill>
                    <w14:srgbClr w14:val="000000">
                      <w14:alpha w14:val="100000"/>
                    </w14:srgbClr>
                  </w14:solidFill>
                </w14:textFill>
              </w:rPr>
              <w:t>|</w:t>
            </w:r>
          </w:p>
        </w:tc>
        <w:tc>
          <w:tcPr>
            <w:tcW w:w="625" w:type="dxa"/>
            <w:shd w:val="solid" w:color="000000" w:fill="000000"/>
            <w:tcMar>
              <w:left w:w="20" w:type="dxa"/>
              <w:right w:w="20" w:type="dxa"/>
            </w:tcMar>
          </w:tcPr>
          <w:p w14:paraId="3FF7162E" w14:textId="204CECEA"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44"/>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44"/>
                <w14:textFill>
                  <w14:solidFill>
                    <w14:srgbClr w14:val="000000">
                      <w14:alpha w14:val="100000"/>
                    </w14:srgbClr>
                  </w14:solidFill>
                </w14:textFill>
              </w:rPr>
              <w:t>|</w:t>
            </w:r>
          </w:p>
        </w:tc>
        <w:tc>
          <w:tcPr>
            <w:tcW w:w="626" w:type="dxa"/>
            <w:shd w:val="solid" w:color="000000" w:fill="000000"/>
            <w:tcMar>
              <w:left w:w="20" w:type="dxa"/>
              <w:right w:w="20" w:type="dxa"/>
            </w:tcMar>
          </w:tcPr>
          <w:p w14:paraId="051AAD7E" w14:textId="08339962"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43"/>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43"/>
                <w14:textFill>
                  <w14:solidFill>
                    <w14:srgbClr w14:val="000000">
                      <w14:alpha w14:val="100000"/>
                    </w14:srgbClr>
                  </w14:solidFill>
                </w14:textFill>
              </w:rPr>
              <w:t>|</w:t>
            </w:r>
          </w:p>
        </w:tc>
        <w:tc>
          <w:tcPr>
            <w:tcW w:w="626" w:type="dxa"/>
            <w:shd w:val="solid" w:color="000000" w:fill="000000"/>
            <w:tcMar>
              <w:left w:w="20" w:type="dxa"/>
              <w:right w:w="20" w:type="dxa"/>
            </w:tcMar>
          </w:tcPr>
          <w:p w14:paraId="6B7E78E3" w14:textId="7E495798"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42"/>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42"/>
                <w14:textFill>
                  <w14:solidFill>
                    <w14:srgbClr w14:val="000000">
                      <w14:alpha w14:val="100000"/>
                    </w14:srgbClr>
                  </w14:solidFill>
                </w14:textFill>
              </w:rPr>
              <w:t>|</w:t>
            </w:r>
          </w:p>
        </w:tc>
        <w:tc>
          <w:tcPr>
            <w:tcW w:w="625" w:type="dxa"/>
            <w:shd w:val="solid" w:color="000000" w:fill="000000"/>
            <w:tcMar>
              <w:left w:w="20" w:type="dxa"/>
              <w:right w:w="20" w:type="dxa"/>
            </w:tcMar>
          </w:tcPr>
          <w:p w14:paraId="6DF08C8E" w14:textId="79F47F7D"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41"/>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41"/>
                <w14:textFill>
                  <w14:solidFill>
                    <w14:srgbClr w14:val="000000">
                      <w14:alpha w14:val="100000"/>
                    </w14:srgbClr>
                  </w14:solidFill>
                </w14:textFill>
              </w:rPr>
              <w:t>|</w:t>
            </w:r>
          </w:p>
        </w:tc>
        <w:tc>
          <w:tcPr>
            <w:tcW w:w="626" w:type="dxa"/>
            <w:shd w:val="solid" w:color="000000" w:fill="000000"/>
            <w:tcMar>
              <w:left w:w="20" w:type="dxa"/>
              <w:right w:w="20" w:type="dxa"/>
            </w:tcMar>
          </w:tcPr>
          <w:p w14:paraId="404D1999" w14:textId="718C615C"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40"/>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40"/>
                <w14:textFill>
                  <w14:solidFill>
                    <w14:srgbClr w14:val="000000">
                      <w14:alpha w14:val="100000"/>
                    </w14:srgbClr>
                  </w14:solidFill>
                </w14:textFill>
              </w:rPr>
              <w:t>|</w:t>
            </w:r>
          </w:p>
        </w:tc>
        <w:tc>
          <w:tcPr>
            <w:tcW w:w="626" w:type="dxa"/>
            <w:shd w:val="solid" w:color="000000" w:fill="000000"/>
            <w:tcMar>
              <w:left w:w="20" w:type="dxa"/>
              <w:right w:w="20" w:type="dxa"/>
            </w:tcMar>
          </w:tcPr>
          <w:p w14:paraId="68DBDFB7" w14:textId="735DC8D4"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39"/>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9"/>
                <w14:textFill>
                  <w14:solidFill>
                    <w14:srgbClr w14:val="000000">
                      <w14:alpha w14:val="100000"/>
                    </w14:srgbClr>
                  </w14:solidFill>
                </w14:textFill>
              </w:rPr>
              <w:t>|</w:t>
            </w:r>
          </w:p>
        </w:tc>
        <w:tc>
          <w:tcPr>
            <w:tcW w:w="626" w:type="dxa"/>
            <w:shd w:val="solid" w:color="000000" w:fill="000000"/>
            <w:tcMar>
              <w:left w:w="20" w:type="dxa"/>
              <w:right w:w="20" w:type="dxa"/>
            </w:tcMar>
          </w:tcPr>
          <w:p w14:paraId="56226737" w14:textId="43176DC4"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49"/>
                <w:sz w:val="18"/>
                <w:szCs w:val="18"/>
                <w:fitText w:val="315" w:id="-664556538"/>
                <w14:textFill>
                  <w14:solidFill>
                    <w14:srgbClr w14:val="000000">
                      <w14:alpha w14:val="100000"/>
                    </w14:srgbClr>
                  </w14:solidFill>
                </w14:textFill>
              </w:rPr>
              <w:t>|||</w:t>
            </w:r>
            <w:r w:rsidRPr="006114E5">
              <w:rPr>
                <w:rFonts w:ascii="Arial Narrow" w:hAnsi="Arial Narrow" w:cs="Arial Narrow"/>
                <w:b/>
                <w:bCs/>
                <w:snapToGrid w:val="0"/>
                <w:color w:val="000000"/>
                <w:spacing w:val="3"/>
                <w:sz w:val="18"/>
                <w:szCs w:val="18"/>
                <w:fitText w:val="315" w:id="-664556538"/>
                <w14:textFill>
                  <w14:solidFill>
                    <w14:srgbClr w14:val="000000">
                      <w14:alpha w14:val="100000"/>
                    </w14:srgbClr>
                  </w14:solidFill>
                </w14:textFill>
              </w:rPr>
              <w:t>|</w:t>
            </w:r>
          </w:p>
        </w:tc>
      </w:tr>
      <w:tr w:rsidR="005F7FBD" w:rsidRPr="005F7FBD" w14:paraId="38A7BB1C" w14:textId="77777777" w:rsidTr="007B26D6">
        <w:trPr>
          <w:trHeight w:val="251"/>
        </w:trPr>
        <w:tc>
          <w:tcPr>
            <w:tcW w:w="9017" w:type="dxa"/>
            <w:gridSpan w:val="14"/>
            <w:tcMar>
              <w:left w:w="20" w:type="dxa"/>
              <w:right w:w="20" w:type="dxa"/>
            </w:tcMar>
          </w:tcPr>
          <w:p w14:paraId="74CEB2A1" w14:textId="1BA81DD7" w:rsidR="005F7FBD" w:rsidRPr="005F7FBD" w:rsidRDefault="006114E5" w:rsidP="005F7FBD">
            <w:pPr>
              <w:keepNext/>
              <w:keepLines/>
              <w:spacing w:before="40" w:after="40"/>
              <w:jc w:val="left"/>
              <w:rPr>
                <w:rFonts w:ascii="Arial Narrow" w:hAnsi="Arial Narrow" w:cs="Arial Narrow"/>
                <w:b/>
                <w:bCs/>
                <w:snapToGrid w:val="0"/>
                <w:sz w:val="18"/>
                <w:szCs w:val="18"/>
                <w:highlight w:val="yellow"/>
              </w:rPr>
            </w:pPr>
            <w:r w:rsidRPr="006114E5">
              <w:rPr>
                <w:rFonts w:ascii="Arial Narrow" w:hAnsi="Arial Narrow" w:cs="Arial Narrow"/>
                <w:b/>
                <w:bCs/>
                <w:snapToGrid w:val="0"/>
                <w:color w:val="000000"/>
                <w:spacing w:val="58"/>
                <w:sz w:val="20"/>
                <w:shd w:val="solid" w:color="000000" w:fill="000000"/>
                <w:fitText w:val="360" w:id="-664556537"/>
                <w14:textFill>
                  <w14:solidFill>
                    <w14:srgbClr w14:val="000000">
                      <w14:alpha w14:val="100000"/>
                    </w14:srgbClr>
                  </w14:solidFill>
                </w14:textFill>
              </w:rPr>
              <w:t>|||</w:t>
            </w:r>
            <w:r w:rsidRPr="006114E5">
              <w:rPr>
                <w:rFonts w:ascii="Arial Narrow" w:hAnsi="Arial Narrow" w:cs="Arial Narrow"/>
                <w:b/>
                <w:bCs/>
                <w:snapToGrid w:val="0"/>
                <w:color w:val="000000"/>
                <w:spacing w:val="3"/>
                <w:sz w:val="20"/>
                <w:shd w:val="solid" w:color="000000" w:fill="000000"/>
                <w:fitText w:val="360" w:id="-664556537"/>
                <w14:textFill>
                  <w14:solidFill>
                    <w14:srgbClr w14:val="000000">
                      <w14:alpha w14:val="100000"/>
                    </w14:srgbClr>
                  </w14:solidFill>
                </w14:textFill>
              </w:rPr>
              <w:t>|</w:t>
            </w:r>
            <w:r w:rsidR="00FC2779" w:rsidRPr="00FC2779">
              <w:rPr>
                <w:rFonts w:ascii="Arial Narrow" w:hAnsi="Arial Narrow" w:cs="Arial Narrow"/>
                <w:b/>
                <w:bCs/>
                <w:snapToGrid w:val="0"/>
                <w:sz w:val="20"/>
              </w:rPr>
              <w:t xml:space="preserve"> </w:t>
            </w:r>
            <w:r w:rsidRPr="006114E5">
              <w:rPr>
                <w:rFonts w:ascii="Arial Narrow" w:hAnsi="Arial Narrow" w:cs="Arial Narrow"/>
                <w:b/>
                <w:bCs/>
                <w:snapToGrid w:val="0"/>
                <w:color w:val="000000"/>
                <w:spacing w:val="58"/>
                <w:sz w:val="20"/>
                <w:shd w:val="solid" w:color="000000" w:fill="000000"/>
                <w:fitText w:val="360" w:id="-664556536"/>
                <w14:textFill>
                  <w14:solidFill>
                    <w14:srgbClr w14:val="000000">
                      <w14:alpha w14:val="100000"/>
                    </w14:srgbClr>
                  </w14:solidFill>
                </w14:textFill>
              </w:rPr>
              <w:t>|||</w:t>
            </w:r>
            <w:r w:rsidRPr="006114E5">
              <w:rPr>
                <w:rFonts w:ascii="Arial Narrow" w:hAnsi="Arial Narrow" w:cs="Arial Narrow"/>
                <w:b/>
                <w:bCs/>
                <w:snapToGrid w:val="0"/>
                <w:color w:val="000000"/>
                <w:spacing w:val="3"/>
                <w:sz w:val="20"/>
                <w:shd w:val="solid" w:color="000000" w:fill="000000"/>
                <w:fitText w:val="360" w:id="-664556536"/>
                <w14:textFill>
                  <w14:solidFill>
                    <w14:srgbClr w14:val="000000">
                      <w14:alpha w14:val="100000"/>
                    </w14:srgbClr>
                  </w14:solidFill>
                </w14:textFill>
              </w:rPr>
              <w:t>|</w:t>
            </w:r>
            <w:r w:rsidR="00FC2779" w:rsidRPr="00FC2779">
              <w:rPr>
                <w:rFonts w:ascii="Arial Narrow" w:hAnsi="Arial Narrow" w:cs="Arial Narrow"/>
                <w:b/>
                <w:bCs/>
                <w:snapToGrid w:val="0"/>
                <w:sz w:val="20"/>
              </w:rPr>
              <w:t xml:space="preserve"> </w:t>
            </w:r>
            <w:r w:rsidRPr="006114E5">
              <w:rPr>
                <w:rFonts w:ascii="Arial Narrow" w:hAnsi="Arial Narrow" w:cs="Arial Narrow"/>
                <w:b/>
                <w:bCs/>
                <w:snapToGrid w:val="0"/>
                <w:color w:val="000000"/>
                <w:spacing w:val="58"/>
                <w:sz w:val="20"/>
                <w:shd w:val="solid" w:color="000000" w:fill="000000"/>
                <w:fitText w:val="360" w:id="-664556535"/>
                <w14:textFill>
                  <w14:solidFill>
                    <w14:srgbClr w14:val="000000">
                      <w14:alpha w14:val="100000"/>
                    </w14:srgbClr>
                  </w14:solidFill>
                </w14:textFill>
              </w:rPr>
              <w:t>|||</w:t>
            </w:r>
            <w:r w:rsidRPr="006114E5">
              <w:rPr>
                <w:rFonts w:ascii="Arial Narrow" w:hAnsi="Arial Narrow" w:cs="Arial Narrow"/>
                <w:b/>
                <w:bCs/>
                <w:snapToGrid w:val="0"/>
                <w:color w:val="000000"/>
                <w:spacing w:val="3"/>
                <w:sz w:val="20"/>
                <w:shd w:val="solid" w:color="000000" w:fill="000000"/>
                <w:fitText w:val="360" w:id="-664556535"/>
                <w14:textFill>
                  <w14:solidFill>
                    <w14:srgbClr w14:val="000000">
                      <w14:alpha w14:val="100000"/>
                    </w14:srgbClr>
                  </w14:solidFill>
                </w14:textFill>
              </w:rPr>
              <w:t>|</w:t>
            </w:r>
          </w:p>
        </w:tc>
      </w:tr>
      <w:tr w:rsidR="005F7FBD" w:rsidRPr="005F7FBD" w14:paraId="5F64068D" w14:textId="77777777" w:rsidTr="006114E5">
        <w:tc>
          <w:tcPr>
            <w:tcW w:w="883" w:type="dxa"/>
            <w:tcMar>
              <w:left w:w="20" w:type="dxa"/>
              <w:right w:w="20" w:type="dxa"/>
            </w:tcMar>
            <w:vAlign w:val="center"/>
          </w:tcPr>
          <w:p w14:paraId="15C1E07D" w14:textId="39AF06F6" w:rsidR="005F7FBD" w:rsidRPr="005F7FBD" w:rsidRDefault="006114E5" w:rsidP="005F7FBD">
            <w:pPr>
              <w:keepNext/>
              <w:keepLines/>
              <w:jc w:val="left"/>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45"/>
                <w:sz w:val="20"/>
                <w:shd w:val="solid" w:color="000000" w:fill="000000"/>
                <w:fitText w:val="330" w:id="-664556534"/>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4"/>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3"/>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3"/>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2"/>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2"/>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1"/>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1"/>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0"/>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0"/>
                <w14:textFill>
                  <w14:solidFill>
                    <w14:srgbClr w14:val="000000">
                      <w14:alpha w14:val="100000"/>
                    </w14:srgbClr>
                  </w14:solidFill>
                </w14:textFill>
              </w:rPr>
              <w:t>|</w:t>
            </w:r>
          </w:p>
        </w:tc>
        <w:tc>
          <w:tcPr>
            <w:tcW w:w="625" w:type="dxa"/>
            <w:tcBorders>
              <w:bottom w:val="single" w:sz="4" w:space="0" w:color="auto"/>
            </w:tcBorders>
            <w:shd w:val="solid" w:color="000000" w:fill="000000"/>
            <w:tcMar>
              <w:left w:w="20" w:type="dxa"/>
              <w:right w:w="20" w:type="dxa"/>
            </w:tcMar>
            <w:vAlign w:val="center"/>
          </w:tcPr>
          <w:p w14:paraId="49CDE18B" w14:textId="01635C25" w:rsidR="005F7FBD" w:rsidRPr="005F7FBD" w:rsidRDefault="006114E5" w:rsidP="005F7FBD">
            <w:pPr>
              <w:keepNext/>
              <w:keepLines/>
              <w:jc w:val="center"/>
              <w:rPr>
                <w:rFonts w:ascii="Arial Narrow" w:hAnsi="Arial Narrow" w:cs="Times New Roman"/>
                <w:snapToGrid w:val="0"/>
                <w:sz w:val="20"/>
                <w:szCs w:val="20"/>
                <w:highlight w:val="yellow"/>
              </w:rPr>
            </w:pPr>
            <w:r w:rsidRPr="006114E5">
              <w:rPr>
                <w:rFonts w:ascii="Arial Narrow" w:hAnsi="Arial Narrow" w:cs="Times New Roman"/>
                <w:snapToGrid w:val="0"/>
                <w:color w:val="000000"/>
                <w:spacing w:val="169"/>
                <w:sz w:val="20"/>
                <w:szCs w:val="20"/>
                <w:fitText w:val="255" w:id="-664556529"/>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29"/>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7A526BEE" w14:textId="7D138B02" w:rsidR="005F7FBD" w:rsidRPr="005F7FBD" w:rsidRDefault="006114E5" w:rsidP="005F7FBD">
            <w:pPr>
              <w:keepNext/>
              <w:keepLines/>
              <w:jc w:val="center"/>
              <w:rPr>
                <w:rFonts w:ascii="Arial Narrow" w:hAnsi="Arial Narrow" w:cs="Times New Roman"/>
                <w:snapToGrid w:val="0"/>
                <w:sz w:val="20"/>
                <w:szCs w:val="20"/>
                <w:highlight w:val="yellow"/>
              </w:rPr>
            </w:pPr>
            <w:r w:rsidRPr="006114E5">
              <w:rPr>
                <w:rFonts w:ascii="Arial Narrow" w:hAnsi="Arial Narrow" w:cs="Times New Roman"/>
                <w:snapToGrid w:val="0"/>
                <w:color w:val="000000"/>
                <w:spacing w:val="169"/>
                <w:sz w:val="20"/>
                <w:szCs w:val="20"/>
                <w:fitText w:val="255" w:id="-664556528"/>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28"/>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470392E1" w14:textId="031E021D" w:rsidR="005F7FBD" w:rsidRPr="005F7FBD" w:rsidRDefault="006114E5" w:rsidP="005F7FBD">
            <w:pPr>
              <w:keepNext/>
              <w:keepLines/>
              <w:jc w:val="center"/>
              <w:rPr>
                <w:rFonts w:ascii="Arial Narrow" w:hAnsi="Arial Narrow" w:cs="Times New Roman"/>
                <w:snapToGrid w:val="0"/>
                <w:sz w:val="20"/>
                <w:szCs w:val="20"/>
                <w:highlight w:val="yellow"/>
              </w:rPr>
            </w:pPr>
            <w:r w:rsidRPr="00700ECA">
              <w:rPr>
                <w:rFonts w:ascii="Arial Narrow" w:hAnsi="Arial Narrow" w:cs="Times New Roman"/>
                <w:snapToGrid w:val="0"/>
                <w:color w:val="000000"/>
                <w:spacing w:val="44"/>
                <w:sz w:val="20"/>
                <w:szCs w:val="20"/>
                <w:shd w:val="solid" w:color="000000" w:fill="000000"/>
                <w:fitText w:val="480" w:id="-664556543"/>
                <w14:textFill>
                  <w14:solidFill>
                    <w14:srgbClr w14:val="000000">
                      <w14:alpha w14:val="100000"/>
                    </w14:srgbClr>
                  </w14:solidFill>
                </w14:textFill>
              </w:rPr>
              <w:t>|||||</w:t>
            </w:r>
            <w:r w:rsidRPr="00700ECA">
              <w:rPr>
                <w:rFonts w:ascii="Arial Narrow" w:hAnsi="Arial Narrow" w:cs="Times New Roman"/>
                <w:snapToGrid w:val="0"/>
                <w:color w:val="000000"/>
                <w:spacing w:val="5"/>
                <w:sz w:val="20"/>
                <w:szCs w:val="20"/>
                <w:shd w:val="solid" w:color="000000" w:fill="000000"/>
                <w:fitText w:val="480" w:id="-664556543"/>
                <w14:textFill>
                  <w14:solidFill>
                    <w14:srgbClr w14:val="000000">
                      <w14:alpha w14:val="100000"/>
                    </w14:srgbClr>
                  </w14:solidFill>
                </w14:textFill>
              </w:rPr>
              <w:t>|</w:t>
            </w:r>
          </w:p>
        </w:tc>
        <w:tc>
          <w:tcPr>
            <w:tcW w:w="625" w:type="dxa"/>
            <w:tcBorders>
              <w:bottom w:val="single" w:sz="4" w:space="0" w:color="auto"/>
            </w:tcBorders>
            <w:shd w:val="solid" w:color="000000" w:fill="000000"/>
            <w:tcMar>
              <w:left w:w="20" w:type="dxa"/>
              <w:right w:w="20" w:type="dxa"/>
            </w:tcMar>
            <w:vAlign w:val="center"/>
          </w:tcPr>
          <w:p w14:paraId="6F26A0AB" w14:textId="4BFC7910" w:rsidR="005F7FBD" w:rsidRPr="005F7FBD" w:rsidRDefault="006114E5" w:rsidP="005F7FBD">
            <w:pPr>
              <w:keepNext/>
              <w:keepLines/>
              <w:jc w:val="center"/>
              <w:rPr>
                <w:rFonts w:ascii="Arial Narrow" w:hAnsi="Arial Narrow" w:cs="Times New Roman"/>
                <w:snapToGrid w:val="0"/>
                <w:sz w:val="20"/>
                <w:szCs w:val="20"/>
                <w:highlight w:val="yellow"/>
              </w:rPr>
            </w:pPr>
            <w:r w:rsidRPr="006114E5">
              <w:rPr>
                <w:rFonts w:ascii="Arial Narrow" w:hAnsi="Arial Narrow" w:cs="Times New Roman"/>
                <w:snapToGrid w:val="0"/>
                <w:color w:val="000000"/>
                <w:spacing w:val="169"/>
                <w:sz w:val="20"/>
                <w:szCs w:val="20"/>
                <w:fitText w:val="255" w:id="-664556542"/>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42"/>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37EEC5A5" w14:textId="54BF837F" w:rsidR="005F7FBD" w:rsidRPr="005F7FBD" w:rsidRDefault="006114E5" w:rsidP="005F7FBD">
            <w:pPr>
              <w:keepNext/>
              <w:keepLines/>
              <w:jc w:val="center"/>
              <w:rPr>
                <w:rFonts w:ascii="Arial Narrow" w:hAnsi="Arial Narrow" w:cs="Times New Roman"/>
                <w:snapToGrid w:val="0"/>
                <w:sz w:val="20"/>
                <w:szCs w:val="20"/>
                <w:highlight w:val="yellow"/>
              </w:rPr>
            </w:pPr>
            <w:r w:rsidRPr="006114E5">
              <w:rPr>
                <w:rFonts w:ascii="Arial Narrow" w:hAnsi="Arial Narrow" w:cs="Times New Roman"/>
                <w:snapToGrid w:val="0"/>
                <w:color w:val="000000"/>
                <w:spacing w:val="169"/>
                <w:sz w:val="20"/>
                <w:szCs w:val="20"/>
                <w:fitText w:val="255" w:id="-664556541"/>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41"/>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5E2118CA" w14:textId="4D56777F" w:rsidR="005F7FBD" w:rsidRPr="005F7FBD" w:rsidRDefault="006114E5" w:rsidP="005F7FBD">
            <w:pPr>
              <w:keepNext/>
              <w:keepLines/>
              <w:jc w:val="center"/>
              <w:rPr>
                <w:rFonts w:ascii="Arial Narrow" w:hAnsi="Arial Narrow" w:cs="Times New Roman"/>
                <w:snapToGrid w:val="0"/>
                <w:sz w:val="20"/>
                <w:szCs w:val="20"/>
                <w:highlight w:val="yellow"/>
              </w:rPr>
            </w:pPr>
            <w:r w:rsidRPr="006114E5">
              <w:rPr>
                <w:rFonts w:ascii="Arial Narrow" w:hAnsi="Arial Narrow" w:cs="Times New Roman"/>
                <w:snapToGrid w:val="0"/>
                <w:color w:val="000000"/>
                <w:spacing w:val="169"/>
                <w:sz w:val="20"/>
                <w:szCs w:val="20"/>
                <w:fitText w:val="255" w:id="-664556540"/>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40"/>
                <w14:textFill>
                  <w14:solidFill>
                    <w14:srgbClr w14:val="000000">
                      <w14:alpha w14:val="100000"/>
                    </w14:srgbClr>
                  </w14:solidFill>
                </w14:textFill>
              </w:rPr>
              <w:t>|</w:t>
            </w:r>
          </w:p>
        </w:tc>
        <w:tc>
          <w:tcPr>
            <w:tcW w:w="625" w:type="dxa"/>
            <w:tcMar>
              <w:left w:w="20" w:type="dxa"/>
              <w:right w:w="20" w:type="dxa"/>
            </w:tcMar>
            <w:vAlign w:val="center"/>
          </w:tcPr>
          <w:p w14:paraId="36C0F305"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2337E767" w14:textId="77777777" w:rsidR="005F7FBD" w:rsidRPr="005F7FBD" w:rsidRDefault="005F7FBD" w:rsidP="005F7FBD">
            <w:pPr>
              <w:keepNext/>
              <w:keepLines/>
              <w:jc w:val="center"/>
              <w:rPr>
                <w:rFonts w:ascii="Arial Narrow" w:hAnsi="Arial Narrow" w:cs="Times New Roman"/>
                <w:snapToGrid w:val="0"/>
                <w:sz w:val="20"/>
              </w:rPr>
            </w:pPr>
          </w:p>
        </w:tc>
        <w:tc>
          <w:tcPr>
            <w:tcW w:w="626" w:type="dxa"/>
            <w:tcMar>
              <w:left w:w="20" w:type="dxa"/>
              <w:right w:w="20" w:type="dxa"/>
            </w:tcMar>
            <w:vAlign w:val="center"/>
          </w:tcPr>
          <w:p w14:paraId="32B51311" w14:textId="77777777" w:rsidR="005F7FBD" w:rsidRPr="005F7FBD" w:rsidRDefault="005F7FBD" w:rsidP="005F7FBD">
            <w:pPr>
              <w:keepNext/>
              <w:keepLines/>
              <w:jc w:val="center"/>
              <w:rPr>
                <w:rFonts w:ascii="Arial Narrow" w:hAnsi="Arial Narrow" w:cs="Times New Roman"/>
                <w:snapToGrid w:val="0"/>
                <w:sz w:val="20"/>
              </w:rPr>
            </w:pPr>
          </w:p>
        </w:tc>
        <w:tc>
          <w:tcPr>
            <w:tcW w:w="625" w:type="dxa"/>
            <w:tcMar>
              <w:left w:w="20" w:type="dxa"/>
              <w:right w:w="20" w:type="dxa"/>
            </w:tcMar>
            <w:vAlign w:val="center"/>
          </w:tcPr>
          <w:p w14:paraId="67A932F0" w14:textId="77777777" w:rsidR="005F7FBD" w:rsidRPr="005F7FBD" w:rsidRDefault="005F7FBD" w:rsidP="005F7FBD">
            <w:pPr>
              <w:keepNext/>
              <w:keepLines/>
              <w:jc w:val="center"/>
              <w:rPr>
                <w:rFonts w:ascii="Arial Narrow" w:hAnsi="Arial Narrow" w:cs="Times New Roman"/>
                <w:snapToGrid w:val="0"/>
                <w:sz w:val="20"/>
              </w:rPr>
            </w:pPr>
          </w:p>
        </w:tc>
        <w:tc>
          <w:tcPr>
            <w:tcW w:w="626" w:type="dxa"/>
            <w:tcMar>
              <w:left w:w="20" w:type="dxa"/>
              <w:right w:w="20" w:type="dxa"/>
            </w:tcMar>
            <w:vAlign w:val="center"/>
          </w:tcPr>
          <w:p w14:paraId="61141121"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59E20710"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4F35D61D" w14:textId="77777777" w:rsidR="005F7FBD" w:rsidRPr="005F7FBD" w:rsidRDefault="005F7FBD" w:rsidP="005F7FBD">
            <w:pPr>
              <w:keepNext/>
              <w:keepLines/>
              <w:jc w:val="center"/>
              <w:rPr>
                <w:rFonts w:ascii="Arial Narrow" w:hAnsi="Arial Narrow" w:cs="Times New Roman"/>
                <w:snapToGrid w:val="0"/>
                <w:sz w:val="20"/>
                <w:highlight w:val="yellow"/>
              </w:rPr>
            </w:pPr>
          </w:p>
        </w:tc>
      </w:tr>
      <w:tr w:rsidR="005F7FBD" w:rsidRPr="005F7FBD" w14:paraId="4AB457EB" w14:textId="77777777" w:rsidTr="006114E5">
        <w:tc>
          <w:tcPr>
            <w:tcW w:w="883" w:type="dxa"/>
            <w:tcMar>
              <w:left w:w="20" w:type="dxa"/>
              <w:right w:w="20" w:type="dxa"/>
            </w:tcMar>
            <w:vAlign w:val="center"/>
          </w:tcPr>
          <w:p w14:paraId="1B5C3E45" w14:textId="738C4248" w:rsidR="005F7FBD" w:rsidRPr="005F7FBD" w:rsidRDefault="006114E5" w:rsidP="005F7FBD">
            <w:pPr>
              <w:keepNext/>
              <w:keepLines/>
              <w:jc w:val="left"/>
              <w:rPr>
                <w:rFonts w:ascii="Arial Narrow" w:hAnsi="Arial Narrow" w:cs="Times New Roman"/>
                <w:snapToGrid w:val="0"/>
                <w:sz w:val="20"/>
                <w:highlight w:val="yellow"/>
              </w:rPr>
            </w:pPr>
            <w:r w:rsidRPr="006114E5">
              <w:rPr>
                <w:rFonts w:ascii="Arial Narrow" w:hAnsi="Arial Narrow" w:cs="Times New Roman"/>
                <w:snapToGrid w:val="0"/>
                <w:color w:val="000000"/>
                <w:spacing w:val="45"/>
                <w:sz w:val="20"/>
                <w:shd w:val="solid" w:color="000000" w:fill="000000"/>
                <w:fitText w:val="330" w:id="-664556539"/>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9"/>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8"/>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8"/>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7"/>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7"/>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6"/>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6"/>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5"/>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5"/>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p>
        </w:tc>
        <w:tc>
          <w:tcPr>
            <w:tcW w:w="625" w:type="dxa"/>
            <w:tcBorders>
              <w:bottom w:val="single" w:sz="4" w:space="0" w:color="auto"/>
            </w:tcBorders>
            <w:shd w:val="solid" w:color="000000" w:fill="000000"/>
            <w:tcMar>
              <w:left w:w="20" w:type="dxa"/>
              <w:right w:w="20" w:type="dxa"/>
            </w:tcMar>
            <w:vAlign w:val="center"/>
          </w:tcPr>
          <w:p w14:paraId="3CCD97E3" w14:textId="799F4A8C"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4"/>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4"/>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3648A97F" w14:textId="1CF62D8C"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3"/>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3"/>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1C9B324C" w14:textId="2A3EACA3"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2"/>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2"/>
                <w14:textFill>
                  <w14:solidFill>
                    <w14:srgbClr w14:val="000000">
                      <w14:alpha w14:val="100000"/>
                    </w14:srgbClr>
                  </w14:solidFill>
                </w14:textFill>
              </w:rPr>
              <w:t>|</w:t>
            </w:r>
          </w:p>
        </w:tc>
        <w:tc>
          <w:tcPr>
            <w:tcW w:w="625" w:type="dxa"/>
            <w:tcBorders>
              <w:bottom w:val="single" w:sz="4" w:space="0" w:color="auto"/>
            </w:tcBorders>
            <w:shd w:val="solid" w:color="000000" w:fill="000000"/>
            <w:tcMar>
              <w:left w:w="20" w:type="dxa"/>
              <w:right w:w="20" w:type="dxa"/>
            </w:tcMar>
            <w:vAlign w:val="center"/>
          </w:tcPr>
          <w:p w14:paraId="08E55A31" w14:textId="41C11A45"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1"/>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1"/>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61C1AF57" w14:textId="7CCDAD52"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0"/>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0"/>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5E707685" w14:textId="3B501842"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fitText w:val="255" w:id="-664556529"/>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29"/>
                <w14:textFill>
                  <w14:solidFill>
                    <w14:srgbClr w14:val="000000">
                      <w14:alpha w14:val="100000"/>
                    </w14:srgbClr>
                  </w14:solidFill>
                </w14:textFill>
              </w:rPr>
              <w:t>|</w:t>
            </w:r>
          </w:p>
        </w:tc>
        <w:tc>
          <w:tcPr>
            <w:tcW w:w="625" w:type="dxa"/>
            <w:tcMar>
              <w:left w:w="20" w:type="dxa"/>
              <w:right w:w="20" w:type="dxa"/>
            </w:tcMar>
            <w:vAlign w:val="center"/>
          </w:tcPr>
          <w:p w14:paraId="1B7FA4F6"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0AE82047" w14:textId="77777777" w:rsidR="005F7FBD" w:rsidRPr="005F7FBD" w:rsidRDefault="005F7FBD" w:rsidP="005F7FBD">
            <w:pPr>
              <w:keepNext/>
              <w:keepLines/>
              <w:jc w:val="center"/>
              <w:rPr>
                <w:rFonts w:ascii="Arial Narrow" w:hAnsi="Arial Narrow" w:cs="Times New Roman"/>
                <w:snapToGrid w:val="0"/>
                <w:sz w:val="20"/>
              </w:rPr>
            </w:pPr>
          </w:p>
        </w:tc>
        <w:tc>
          <w:tcPr>
            <w:tcW w:w="626" w:type="dxa"/>
            <w:tcMar>
              <w:left w:w="20" w:type="dxa"/>
              <w:right w:w="20" w:type="dxa"/>
            </w:tcMar>
            <w:vAlign w:val="center"/>
          </w:tcPr>
          <w:p w14:paraId="062AEC09" w14:textId="77777777" w:rsidR="005F7FBD" w:rsidRPr="005F7FBD" w:rsidRDefault="005F7FBD" w:rsidP="005F7FBD">
            <w:pPr>
              <w:keepNext/>
              <w:keepLines/>
              <w:jc w:val="center"/>
              <w:rPr>
                <w:rFonts w:ascii="Arial Narrow" w:hAnsi="Arial Narrow" w:cs="Times New Roman"/>
                <w:snapToGrid w:val="0"/>
                <w:sz w:val="20"/>
              </w:rPr>
            </w:pPr>
          </w:p>
        </w:tc>
        <w:tc>
          <w:tcPr>
            <w:tcW w:w="625" w:type="dxa"/>
            <w:tcMar>
              <w:left w:w="20" w:type="dxa"/>
              <w:right w:w="20" w:type="dxa"/>
            </w:tcMar>
            <w:vAlign w:val="center"/>
          </w:tcPr>
          <w:p w14:paraId="37ADB723" w14:textId="77777777" w:rsidR="005F7FBD" w:rsidRPr="005F7FBD" w:rsidRDefault="005F7FBD" w:rsidP="005F7FBD">
            <w:pPr>
              <w:keepNext/>
              <w:keepLines/>
              <w:jc w:val="center"/>
              <w:rPr>
                <w:rFonts w:ascii="Arial Narrow" w:hAnsi="Arial Narrow" w:cs="Times New Roman"/>
                <w:snapToGrid w:val="0"/>
                <w:sz w:val="20"/>
              </w:rPr>
            </w:pPr>
          </w:p>
        </w:tc>
        <w:tc>
          <w:tcPr>
            <w:tcW w:w="626" w:type="dxa"/>
            <w:tcMar>
              <w:left w:w="20" w:type="dxa"/>
              <w:right w:w="20" w:type="dxa"/>
            </w:tcMar>
            <w:vAlign w:val="center"/>
          </w:tcPr>
          <w:p w14:paraId="1E579774"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2159F989"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13C6BFAF" w14:textId="77777777" w:rsidR="005F7FBD" w:rsidRPr="005F7FBD" w:rsidRDefault="005F7FBD" w:rsidP="005F7FBD">
            <w:pPr>
              <w:keepNext/>
              <w:keepLines/>
              <w:jc w:val="center"/>
              <w:rPr>
                <w:rFonts w:ascii="Arial Narrow" w:hAnsi="Arial Narrow" w:cs="Times New Roman"/>
                <w:snapToGrid w:val="0"/>
                <w:sz w:val="20"/>
                <w:highlight w:val="yellow"/>
              </w:rPr>
            </w:pPr>
          </w:p>
        </w:tc>
      </w:tr>
      <w:tr w:rsidR="006114E5" w:rsidRPr="005F7FBD" w14:paraId="5122A6B6" w14:textId="77777777" w:rsidTr="006114E5">
        <w:tc>
          <w:tcPr>
            <w:tcW w:w="883" w:type="dxa"/>
            <w:tcMar>
              <w:left w:w="20" w:type="dxa"/>
              <w:right w:w="20" w:type="dxa"/>
            </w:tcMar>
            <w:vAlign w:val="center"/>
          </w:tcPr>
          <w:p w14:paraId="039DA6D2" w14:textId="29FBC3CC" w:rsidR="005F7FBD" w:rsidRPr="005F7FBD" w:rsidRDefault="006114E5" w:rsidP="005F7FBD">
            <w:pPr>
              <w:keepNext/>
              <w:keepLines/>
              <w:jc w:val="left"/>
              <w:rPr>
                <w:rFonts w:ascii="Arial Narrow" w:hAnsi="Arial Narrow" w:cs="Times New Roman"/>
                <w:snapToGrid w:val="0"/>
                <w:sz w:val="20"/>
                <w:highlight w:val="yellow"/>
              </w:rPr>
            </w:pPr>
            <w:r w:rsidRPr="006114E5">
              <w:rPr>
                <w:rFonts w:ascii="Arial Narrow" w:hAnsi="Arial Narrow" w:cs="Times New Roman"/>
                <w:snapToGrid w:val="0"/>
                <w:color w:val="000000"/>
                <w:spacing w:val="45"/>
                <w:sz w:val="20"/>
                <w:shd w:val="solid" w:color="000000" w:fill="000000"/>
                <w:fitText w:val="330" w:id="-664556528"/>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28"/>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4"/>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4"/>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3"/>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3"/>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2"/>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2"/>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1"/>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1"/>
                <w14:textFill>
                  <w14:solidFill>
                    <w14:srgbClr w14:val="000000">
                      <w14:alpha w14:val="100000"/>
                    </w14:srgbClr>
                  </w14:solidFill>
                </w14:textFill>
              </w:rPr>
              <w:t>|</w:t>
            </w:r>
          </w:p>
        </w:tc>
        <w:tc>
          <w:tcPr>
            <w:tcW w:w="625" w:type="dxa"/>
            <w:tcBorders>
              <w:bottom w:val="single" w:sz="4" w:space="0" w:color="auto"/>
            </w:tcBorders>
            <w:shd w:val="solid" w:color="000000" w:fill="000000"/>
            <w:tcMar>
              <w:left w:w="20" w:type="dxa"/>
              <w:right w:w="20" w:type="dxa"/>
            </w:tcMar>
            <w:vAlign w:val="center"/>
          </w:tcPr>
          <w:p w14:paraId="52156E9A" w14:textId="13CE7299"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40"/>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40"/>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1B40D926" w14:textId="54567D8C"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9"/>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9"/>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21D73A0F" w14:textId="6F5FFAD7"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8"/>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8"/>
                <w14:textFill>
                  <w14:solidFill>
                    <w14:srgbClr w14:val="000000">
                      <w14:alpha w14:val="100000"/>
                    </w14:srgbClr>
                  </w14:solidFill>
                </w14:textFill>
              </w:rPr>
              <w:t>|</w:t>
            </w:r>
          </w:p>
        </w:tc>
        <w:tc>
          <w:tcPr>
            <w:tcW w:w="625" w:type="dxa"/>
            <w:tcBorders>
              <w:bottom w:val="single" w:sz="4" w:space="0" w:color="auto"/>
            </w:tcBorders>
            <w:shd w:val="solid" w:color="000000" w:fill="000000"/>
            <w:tcMar>
              <w:left w:w="20" w:type="dxa"/>
              <w:right w:w="20" w:type="dxa"/>
            </w:tcMar>
            <w:vAlign w:val="center"/>
          </w:tcPr>
          <w:p w14:paraId="58DB0E37" w14:textId="6B960FD3"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7"/>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7"/>
                <w14:textFill>
                  <w14:solidFill>
                    <w14:srgbClr w14:val="000000">
                      <w14:alpha w14:val="100000"/>
                    </w14:srgbClr>
                  </w14:solidFill>
                </w14:textFill>
              </w:rPr>
              <w:t>|</w:t>
            </w:r>
          </w:p>
        </w:tc>
        <w:tc>
          <w:tcPr>
            <w:tcW w:w="626" w:type="dxa"/>
            <w:tcBorders>
              <w:bottom w:val="single" w:sz="4" w:space="0" w:color="auto"/>
            </w:tcBorders>
            <w:shd w:val="solid" w:color="000000" w:fill="000000"/>
            <w:tcMar>
              <w:left w:w="20" w:type="dxa"/>
              <w:right w:w="20" w:type="dxa"/>
            </w:tcMar>
            <w:vAlign w:val="center"/>
          </w:tcPr>
          <w:p w14:paraId="66BD39BB" w14:textId="6145DE6E"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fitText w:val="255" w:id="-664556536"/>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6"/>
                <w14:textFill>
                  <w14:solidFill>
                    <w14:srgbClr w14:val="000000">
                      <w14:alpha w14:val="100000"/>
                    </w14:srgbClr>
                  </w14:solidFill>
                </w14:textFill>
              </w:rPr>
              <w:t>|</w:t>
            </w:r>
          </w:p>
        </w:tc>
        <w:tc>
          <w:tcPr>
            <w:tcW w:w="626" w:type="dxa"/>
            <w:tcMar>
              <w:left w:w="20" w:type="dxa"/>
              <w:right w:w="20" w:type="dxa"/>
            </w:tcMar>
            <w:vAlign w:val="center"/>
          </w:tcPr>
          <w:p w14:paraId="045CAE67" w14:textId="77777777" w:rsidR="005F7FBD" w:rsidRPr="005F7FBD" w:rsidRDefault="005F7FBD" w:rsidP="005F7FBD">
            <w:pPr>
              <w:keepNext/>
              <w:keepLines/>
              <w:jc w:val="center"/>
              <w:rPr>
                <w:rFonts w:ascii="Arial Narrow" w:hAnsi="Arial Narrow" w:cs="Times New Roman"/>
                <w:snapToGrid w:val="0"/>
                <w:color w:val="000000"/>
                <w:sz w:val="20"/>
                <w:szCs w:val="20"/>
                <w:highlight w:val="yellow"/>
              </w:rPr>
            </w:pPr>
          </w:p>
        </w:tc>
        <w:tc>
          <w:tcPr>
            <w:tcW w:w="625" w:type="dxa"/>
            <w:tcBorders>
              <w:bottom w:val="single" w:sz="4" w:space="0" w:color="auto"/>
            </w:tcBorders>
            <w:tcMar>
              <w:left w:w="20" w:type="dxa"/>
              <w:right w:w="20" w:type="dxa"/>
            </w:tcMar>
            <w:vAlign w:val="center"/>
          </w:tcPr>
          <w:p w14:paraId="729B555F"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Borders>
              <w:bottom w:val="single" w:sz="4" w:space="0" w:color="auto"/>
            </w:tcBorders>
            <w:tcMar>
              <w:left w:w="20" w:type="dxa"/>
              <w:right w:w="20" w:type="dxa"/>
            </w:tcMar>
            <w:vAlign w:val="center"/>
          </w:tcPr>
          <w:p w14:paraId="4C2700F1" w14:textId="77777777" w:rsidR="005F7FBD" w:rsidRPr="005F7FBD" w:rsidRDefault="005F7FBD" w:rsidP="005F7FBD">
            <w:pPr>
              <w:keepNext/>
              <w:keepLines/>
              <w:jc w:val="center"/>
              <w:rPr>
                <w:rFonts w:ascii="Arial Narrow" w:hAnsi="Arial Narrow" w:cs="Times New Roman"/>
                <w:snapToGrid w:val="0"/>
                <w:sz w:val="20"/>
              </w:rPr>
            </w:pPr>
          </w:p>
        </w:tc>
        <w:tc>
          <w:tcPr>
            <w:tcW w:w="626" w:type="dxa"/>
            <w:tcBorders>
              <w:bottom w:val="single" w:sz="4" w:space="0" w:color="auto"/>
            </w:tcBorders>
            <w:tcMar>
              <w:left w:w="20" w:type="dxa"/>
              <w:right w:w="20" w:type="dxa"/>
            </w:tcMar>
            <w:vAlign w:val="center"/>
          </w:tcPr>
          <w:p w14:paraId="0F5BF8E4" w14:textId="77777777" w:rsidR="005F7FBD" w:rsidRPr="005F7FBD" w:rsidRDefault="005F7FBD" w:rsidP="005F7FBD">
            <w:pPr>
              <w:keepNext/>
              <w:keepLines/>
              <w:jc w:val="center"/>
              <w:rPr>
                <w:rFonts w:ascii="Arial Narrow" w:hAnsi="Arial Narrow" w:cs="Times New Roman"/>
                <w:snapToGrid w:val="0"/>
                <w:sz w:val="20"/>
              </w:rPr>
            </w:pPr>
          </w:p>
        </w:tc>
        <w:tc>
          <w:tcPr>
            <w:tcW w:w="625" w:type="dxa"/>
            <w:tcBorders>
              <w:bottom w:val="single" w:sz="4" w:space="0" w:color="auto"/>
            </w:tcBorders>
            <w:tcMar>
              <w:left w:w="20" w:type="dxa"/>
              <w:right w:w="20" w:type="dxa"/>
            </w:tcMar>
            <w:vAlign w:val="center"/>
          </w:tcPr>
          <w:p w14:paraId="5668066A" w14:textId="77777777" w:rsidR="005F7FBD" w:rsidRPr="005F7FBD" w:rsidRDefault="005F7FBD" w:rsidP="005F7FBD">
            <w:pPr>
              <w:keepNext/>
              <w:keepLines/>
              <w:jc w:val="center"/>
              <w:rPr>
                <w:rFonts w:ascii="Arial Narrow" w:hAnsi="Arial Narrow" w:cs="Times New Roman"/>
                <w:snapToGrid w:val="0"/>
                <w:sz w:val="20"/>
              </w:rPr>
            </w:pPr>
          </w:p>
        </w:tc>
        <w:tc>
          <w:tcPr>
            <w:tcW w:w="626" w:type="dxa"/>
            <w:tcBorders>
              <w:bottom w:val="single" w:sz="4" w:space="0" w:color="auto"/>
            </w:tcBorders>
            <w:tcMar>
              <w:left w:w="20" w:type="dxa"/>
              <w:right w:w="20" w:type="dxa"/>
            </w:tcMar>
            <w:vAlign w:val="center"/>
          </w:tcPr>
          <w:p w14:paraId="6FCAE433"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Borders>
              <w:bottom w:val="single" w:sz="4" w:space="0" w:color="auto"/>
            </w:tcBorders>
            <w:tcMar>
              <w:left w:w="20" w:type="dxa"/>
              <w:right w:w="20" w:type="dxa"/>
            </w:tcMar>
            <w:vAlign w:val="center"/>
          </w:tcPr>
          <w:p w14:paraId="55A1749C"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Borders>
              <w:bottom w:val="single" w:sz="4" w:space="0" w:color="auto"/>
            </w:tcBorders>
            <w:tcMar>
              <w:left w:w="20" w:type="dxa"/>
              <w:right w:w="20" w:type="dxa"/>
            </w:tcMar>
            <w:vAlign w:val="center"/>
          </w:tcPr>
          <w:p w14:paraId="2E0356B8" w14:textId="77777777" w:rsidR="005F7FBD" w:rsidRPr="005F7FBD" w:rsidRDefault="005F7FBD" w:rsidP="005F7FBD">
            <w:pPr>
              <w:keepNext/>
              <w:keepLines/>
              <w:jc w:val="center"/>
              <w:rPr>
                <w:rFonts w:ascii="Arial Narrow" w:hAnsi="Arial Narrow" w:cs="Times New Roman"/>
                <w:snapToGrid w:val="0"/>
                <w:sz w:val="20"/>
                <w:highlight w:val="yellow"/>
              </w:rPr>
            </w:pPr>
          </w:p>
        </w:tc>
      </w:tr>
      <w:tr w:rsidR="006114E5" w:rsidRPr="005F7FBD" w14:paraId="2CC13CF5" w14:textId="77777777" w:rsidTr="006114E5">
        <w:tc>
          <w:tcPr>
            <w:tcW w:w="883" w:type="dxa"/>
            <w:tcMar>
              <w:left w:w="20" w:type="dxa"/>
              <w:right w:w="20" w:type="dxa"/>
            </w:tcMar>
            <w:vAlign w:val="center"/>
          </w:tcPr>
          <w:p w14:paraId="3962741A" w14:textId="0FDB07DC" w:rsidR="005F7FBD" w:rsidRPr="005F7FBD" w:rsidRDefault="006114E5" w:rsidP="005F7FBD">
            <w:pPr>
              <w:keepNext/>
              <w:keepLines/>
              <w:jc w:val="left"/>
              <w:rPr>
                <w:rFonts w:ascii="Arial Narrow" w:hAnsi="Arial Narrow" w:cs="Times New Roman"/>
                <w:snapToGrid w:val="0"/>
                <w:sz w:val="20"/>
                <w:highlight w:val="yellow"/>
              </w:rPr>
            </w:pPr>
            <w:r w:rsidRPr="006114E5">
              <w:rPr>
                <w:rFonts w:ascii="Arial Narrow" w:hAnsi="Arial Narrow" w:cs="Times New Roman"/>
                <w:snapToGrid w:val="0"/>
                <w:color w:val="000000"/>
                <w:spacing w:val="45"/>
                <w:sz w:val="20"/>
                <w:shd w:val="solid" w:color="000000" w:fill="000000"/>
                <w:fitText w:val="330" w:id="-664556535"/>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5"/>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4"/>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4"/>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3"/>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3"/>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2"/>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2"/>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31"/>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31"/>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p>
        </w:tc>
        <w:tc>
          <w:tcPr>
            <w:tcW w:w="625" w:type="dxa"/>
            <w:shd w:val="solid" w:color="000000" w:fill="000000"/>
            <w:tcMar>
              <w:left w:w="20" w:type="dxa"/>
              <w:right w:w="20" w:type="dxa"/>
            </w:tcMar>
            <w:vAlign w:val="center"/>
          </w:tcPr>
          <w:p w14:paraId="110CD713" w14:textId="6D44BEE3" w:rsidR="005F7FBD" w:rsidRPr="005F7FBD" w:rsidRDefault="006114E5" w:rsidP="005F7FBD">
            <w:pPr>
              <w:keepNext/>
              <w:keepLines/>
              <w:jc w:val="center"/>
              <w:rPr>
                <w:rFonts w:ascii="Arial Narrow" w:hAnsi="Arial Narrow" w:cs="Times New Roman"/>
                <w:snapToGrid w:val="0"/>
                <w:color w:val="000000"/>
                <w:sz w:val="20"/>
                <w:szCs w:val="20"/>
                <w:highlight w:val="yellow"/>
                <w:vertAlign w:val="superscript"/>
              </w:rPr>
            </w:pPr>
            <w:r w:rsidRPr="006114E5">
              <w:rPr>
                <w:rFonts w:ascii="Arial Narrow" w:hAnsi="Arial Narrow" w:cs="Times New Roman"/>
                <w:snapToGrid w:val="0"/>
                <w:color w:val="000000"/>
                <w:spacing w:val="169"/>
                <w:sz w:val="20"/>
                <w:szCs w:val="20"/>
                <w:fitText w:val="255" w:id="-664556530"/>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30"/>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34A3AE46" w14:textId="1FA2C1A5"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fitText w:val="255" w:id="-664556529"/>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29"/>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06617A04" w14:textId="4C00B8C1"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fitText w:val="255" w:id="-664556528"/>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28"/>
                <w14:textFill>
                  <w14:solidFill>
                    <w14:srgbClr w14:val="000000">
                      <w14:alpha w14:val="100000"/>
                    </w14:srgbClr>
                  </w14:solidFill>
                </w14:textFill>
              </w:rPr>
              <w:t>|</w:t>
            </w:r>
          </w:p>
        </w:tc>
        <w:tc>
          <w:tcPr>
            <w:tcW w:w="625" w:type="dxa"/>
            <w:shd w:val="solid" w:color="000000" w:fill="000000"/>
            <w:tcMar>
              <w:left w:w="20" w:type="dxa"/>
              <w:right w:w="20" w:type="dxa"/>
            </w:tcMar>
            <w:vAlign w:val="center"/>
          </w:tcPr>
          <w:p w14:paraId="6492A2F9" w14:textId="5E75B093"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fitText w:val="255" w:id="-664556544"/>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44"/>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68831B26" w14:textId="22F94443"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fitText w:val="255" w:id="-664556543"/>
                <w14:textFill>
                  <w14:solidFill>
                    <w14:srgbClr w14:val="000000">
                      <w14:alpha w14:val="100000"/>
                    </w14:srgbClr>
                  </w14:solidFill>
                </w14:textFill>
              </w:rPr>
              <w:t>|</w:t>
            </w:r>
            <w:r w:rsidRPr="006114E5">
              <w:rPr>
                <w:rFonts w:ascii="Arial Narrow" w:hAnsi="Arial Narrow" w:cs="Times New Roman"/>
                <w:snapToGrid w:val="0"/>
                <w:color w:val="000000"/>
                <w:sz w:val="20"/>
                <w:szCs w:val="20"/>
                <w:fitText w:val="255" w:id="-664556543"/>
                <w14:textFill>
                  <w14:solidFill>
                    <w14:srgbClr w14:val="000000">
                      <w14:alpha w14:val="100000"/>
                    </w14:srgbClr>
                  </w14:solidFill>
                </w14:textFill>
              </w:rPr>
              <w:t>|</w:t>
            </w:r>
          </w:p>
        </w:tc>
        <w:tc>
          <w:tcPr>
            <w:tcW w:w="626" w:type="dxa"/>
            <w:tcMar>
              <w:left w:w="20" w:type="dxa"/>
              <w:right w:w="20" w:type="dxa"/>
            </w:tcMar>
            <w:vAlign w:val="center"/>
          </w:tcPr>
          <w:p w14:paraId="5F2A86A9" w14:textId="2C321504" w:rsidR="00FC2779" w:rsidRPr="00FC2779" w:rsidRDefault="006114E5" w:rsidP="005F7FBD">
            <w:pPr>
              <w:keepNext/>
              <w:keepLines/>
              <w:jc w:val="center"/>
              <w:rPr>
                <w:rFonts w:ascii="Arial Narrow" w:hAnsi="Arial Narrow" w:cs="Times New Roman"/>
                <w:snapToGrid w:val="0"/>
                <w:color w:val="000000"/>
                <w:sz w:val="20"/>
                <w:szCs w:val="20"/>
                <w:vertAlign w:val="superscript"/>
              </w:rPr>
            </w:pPr>
            <w:r w:rsidRPr="006114E5">
              <w:rPr>
                <w:rFonts w:ascii="Arial Narrow" w:hAnsi="Arial Narrow" w:cs="Times New Roman"/>
                <w:snapToGrid w:val="0"/>
                <w:color w:val="000000"/>
                <w:spacing w:val="169"/>
                <w:sz w:val="20"/>
                <w:szCs w:val="20"/>
                <w:shd w:val="solid" w:color="000000" w:fill="000000"/>
                <w:fitText w:val="255" w:id="-664556542"/>
                <w14:textFill>
                  <w14:solidFill>
                    <w14:srgbClr w14:val="000000">
                      <w14:alpha w14:val="100000"/>
                    </w14:srgbClr>
                  </w14:solidFill>
                </w14:textFill>
              </w:rPr>
              <w:t>|</w:t>
            </w:r>
            <w:r w:rsidRPr="006114E5">
              <w:rPr>
                <w:rFonts w:ascii="Arial Narrow" w:hAnsi="Arial Narrow" w:cs="Times New Roman"/>
                <w:snapToGrid w:val="0"/>
                <w:color w:val="000000"/>
                <w:spacing w:val="1"/>
                <w:sz w:val="20"/>
                <w:szCs w:val="20"/>
                <w:shd w:val="solid" w:color="000000" w:fill="000000"/>
                <w:fitText w:val="255" w:id="-664556542"/>
                <w14:textFill>
                  <w14:solidFill>
                    <w14:srgbClr w14:val="000000">
                      <w14:alpha w14:val="100000"/>
                    </w14:srgbClr>
                  </w14:solidFill>
                </w14:textFill>
              </w:rPr>
              <w:t>|</w:t>
            </w:r>
          </w:p>
          <w:p w14:paraId="31773133" w14:textId="5FE70C86" w:rsidR="005F7FBD" w:rsidRPr="005F7FBD" w:rsidRDefault="006114E5" w:rsidP="005F7FBD">
            <w:pPr>
              <w:keepNext/>
              <w:keepLines/>
              <w:jc w:val="center"/>
              <w:rPr>
                <w:rFonts w:ascii="Arial Narrow" w:hAnsi="Arial Narrow" w:cs="Times New Roman"/>
                <w:snapToGrid w:val="0"/>
                <w:color w:val="000000"/>
                <w:sz w:val="20"/>
                <w:szCs w:val="20"/>
                <w:highlight w:val="yellow"/>
              </w:rPr>
            </w:pPr>
            <w:r w:rsidRPr="006114E5">
              <w:rPr>
                <w:rFonts w:ascii="Arial Narrow" w:hAnsi="Arial Narrow" w:cs="Times New Roman"/>
                <w:snapToGrid w:val="0"/>
                <w:color w:val="000000"/>
                <w:spacing w:val="169"/>
                <w:sz w:val="20"/>
                <w:szCs w:val="20"/>
                <w:shd w:val="solid" w:color="000000" w:fill="000000"/>
                <w:fitText w:val="255" w:id="-664556541"/>
                <w14:textFill>
                  <w14:solidFill>
                    <w14:srgbClr w14:val="000000">
                      <w14:alpha w14:val="100000"/>
                    </w14:srgbClr>
                  </w14:solidFill>
                </w14:textFill>
              </w:rPr>
              <w:t>|</w:t>
            </w:r>
            <w:r w:rsidRPr="006114E5">
              <w:rPr>
                <w:rFonts w:ascii="Arial Narrow" w:hAnsi="Arial Narrow" w:cs="Times New Roman"/>
                <w:snapToGrid w:val="0"/>
                <w:color w:val="000000"/>
                <w:spacing w:val="1"/>
                <w:sz w:val="20"/>
                <w:szCs w:val="20"/>
                <w:shd w:val="solid" w:color="000000" w:fill="000000"/>
                <w:fitText w:val="255" w:id="-664556541"/>
                <w14:textFill>
                  <w14:solidFill>
                    <w14:srgbClr w14:val="000000">
                      <w14:alpha w14:val="100000"/>
                    </w14:srgbClr>
                  </w14:solidFill>
                </w14:textFill>
              </w:rPr>
              <w:t>|</w:t>
            </w:r>
            <w:r w:rsidR="00FC2779" w:rsidRPr="00FC2779">
              <w:rPr>
                <w:rFonts w:ascii="Arial Narrow" w:hAnsi="Arial Narrow" w:cs="Times New Roman"/>
                <w:snapToGrid w:val="0"/>
                <w:color w:val="000000"/>
                <w:sz w:val="20"/>
                <w:szCs w:val="20"/>
              </w:rPr>
              <w:t xml:space="preserve"> </w:t>
            </w:r>
            <w:r w:rsidRPr="006114E5">
              <w:rPr>
                <w:rFonts w:ascii="Arial Narrow" w:hAnsi="Arial Narrow" w:cs="Times New Roman"/>
                <w:snapToGrid w:val="0"/>
                <w:color w:val="000000"/>
                <w:spacing w:val="169"/>
                <w:sz w:val="20"/>
                <w:szCs w:val="20"/>
                <w:shd w:val="solid" w:color="000000" w:fill="000000"/>
                <w:fitText w:val="255" w:id="-664556540"/>
                <w14:textFill>
                  <w14:solidFill>
                    <w14:srgbClr w14:val="000000">
                      <w14:alpha w14:val="100000"/>
                    </w14:srgbClr>
                  </w14:solidFill>
                </w14:textFill>
              </w:rPr>
              <w:t>|</w:t>
            </w:r>
            <w:r w:rsidRPr="006114E5">
              <w:rPr>
                <w:rFonts w:ascii="Arial Narrow" w:hAnsi="Arial Narrow" w:cs="Times New Roman"/>
                <w:snapToGrid w:val="0"/>
                <w:color w:val="000000"/>
                <w:spacing w:val="1"/>
                <w:sz w:val="20"/>
                <w:szCs w:val="20"/>
                <w:shd w:val="solid" w:color="000000" w:fill="000000"/>
                <w:fitText w:val="255" w:id="-664556540"/>
                <w14:textFill>
                  <w14:solidFill>
                    <w14:srgbClr w14:val="000000">
                      <w14:alpha w14:val="100000"/>
                    </w14:srgbClr>
                  </w14:solidFill>
                </w14:textFill>
              </w:rPr>
              <w:t>|</w:t>
            </w:r>
          </w:p>
        </w:tc>
        <w:tc>
          <w:tcPr>
            <w:tcW w:w="625" w:type="dxa"/>
            <w:shd w:val="solid" w:color="000000" w:fill="000000"/>
            <w:tcMar>
              <w:left w:w="20" w:type="dxa"/>
              <w:right w:w="20" w:type="dxa"/>
            </w:tcMar>
          </w:tcPr>
          <w:p w14:paraId="44A73EEE" w14:textId="64BCC6F0"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9"/>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9"/>
                <w14:textFill>
                  <w14:solidFill>
                    <w14:srgbClr w14:val="000000">
                      <w14:alpha w14:val="100000"/>
                    </w14:srgbClr>
                  </w14:solidFill>
                </w14:textFill>
              </w:rPr>
              <w:t>|</w:t>
            </w:r>
          </w:p>
        </w:tc>
        <w:tc>
          <w:tcPr>
            <w:tcW w:w="626" w:type="dxa"/>
            <w:shd w:val="solid" w:color="000000" w:fill="000000"/>
            <w:tcMar>
              <w:left w:w="20" w:type="dxa"/>
              <w:right w:w="20" w:type="dxa"/>
            </w:tcMar>
          </w:tcPr>
          <w:p w14:paraId="5F25FC49" w14:textId="536969D1"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8"/>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8"/>
                <w14:textFill>
                  <w14:solidFill>
                    <w14:srgbClr w14:val="000000">
                      <w14:alpha w14:val="100000"/>
                    </w14:srgbClr>
                  </w14:solidFill>
                </w14:textFill>
              </w:rPr>
              <w:t>|</w:t>
            </w:r>
          </w:p>
        </w:tc>
        <w:tc>
          <w:tcPr>
            <w:tcW w:w="626" w:type="dxa"/>
            <w:shd w:val="solid" w:color="000000" w:fill="000000"/>
            <w:tcMar>
              <w:left w:w="20" w:type="dxa"/>
              <w:right w:w="20" w:type="dxa"/>
            </w:tcMar>
          </w:tcPr>
          <w:p w14:paraId="4F4C75D4" w14:textId="3B66FBD7"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7"/>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7"/>
                <w14:textFill>
                  <w14:solidFill>
                    <w14:srgbClr w14:val="000000">
                      <w14:alpha w14:val="100000"/>
                    </w14:srgbClr>
                  </w14:solidFill>
                </w14:textFill>
              </w:rPr>
              <w:t>|</w:t>
            </w:r>
          </w:p>
        </w:tc>
        <w:tc>
          <w:tcPr>
            <w:tcW w:w="625" w:type="dxa"/>
            <w:shd w:val="solid" w:color="000000" w:fill="000000"/>
            <w:tcMar>
              <w:left w:w="20" w:type="dxa"/>
              <w:right w:w="20" w:type="dxa"/>
            </w:tcMar>
          </w:tcPr>
          <w:p w14:paraId="435122C7" w14:textId="17E3704E"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6"/>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6"/>
                <w14:textFill>
                  <w14:solidFill>
                    <w14:srgbClr w14:val="000000">
                      <w14:alpha w14:val="100000"/>
                    </w14:srgbClr>
                  </w14:solidFill>
                </w14:textFill>
              </w:rPr>
              <w:t>|</w:t>
            </w:r>
          </w:p>
        </w:tc>
        <w:tc>
          <w:tcPr>
            <w:tcW w:w="626" w:type="dxa"/>
            <w:shd w:val="solid" w:color="000000" w:fill="000000"/>
            <w:tcMar>
              <w:left w:w="20" w:type="dxa"/>
              <w:right w:w="20" w:type="dxa"/>
            </w:tcMar>
          </w:tcPr>
          <w:p w14:paraId="1AB00130" w14:textId="3AD796F2"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5"/>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5"/>
                <w14:textFill>
                  <w14:solidFill>
                    <w14:srgbClr w14:val="000000">
                      <w14:alpha w14:val="100000"/>
                    </w14:srgbClr>
                  </w14:solidFill>
                </w14:textFill>
              </w:rPr>
              <w:t>|</w:t>
            </w:r>
          </w:p>
        </w:tc>
        <w:tc>
          <w:tcPr>
            <w:tcW w:w="626" w:type="dxa"/>
            <w:shd w:val="solid" w:color="000000" w:fill="000000"/>
            <w:tcMar>
              <w:left w:w="20" w:type="dxa"/>
              <w:right w:w="20" w:type="dxa"/>
            </w:tcMar>
          </w:tcPr>
          <w:p w14:paraId="6D2A608E" w14:textId="1EBE3268"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4"/>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4"/>
                <w14:textFill>
                  <w14:solidFill>
                    <w14:srgbClr w14:val="000000">
                      <w14:alpha w14:val="100000"/>
                    </w14:srgbClr>
                  </w14:solidFill>
                </w14:textFill>
              </w:rPr>
              <w:t>|</w:t>
            </w:r>
          </w:p>
        </w:tc>
        <w:tc>
          <w:tcPr>
            <w:tcW w:w="626" w:type="dxa"/>
            <w:shd w:val="solid" w:color="000000" w:fill="000000"/>
            <w:tcMar>
              <w:left w:w="20" w:type="dxa"/>
              <w:right w:w="20" w:type="dxa"/>
            </w:tcMar>
          </w:tcPr>
          <w:p w14:paraId="0DC72ACA" w14:textId="636AEFC5" w:rsidR="005F7FBD" w:rsidRPr="005F7FBD" w:rsidRDefault="006114E5" w:rsidP="005F7FBD">
            <w:pPr>
              <w:keepNext/>
              <w:keepLines/>
              <w:jc w:val="center"/>
              <w:rPr>
                <w:rFonts w:ascii="Arial Narrow" w:hAnsi="Arial Narrow" w:cs="Times New Roman"/>
                <w:snapToGrid w:val="0"/>
                <w:sz w:val="20"/>
                <w:highlight w:val="yellow"/>
                <w:vertAlign w:val="superscript"/>
              </w:rPr>
            </w:pPr>
            <w:r w:rsidRPr="006114E5">
              <w:rPr>
                <w:rFonts w:ascii="Arial Narrow" w:hAnsi="Arial Narrow" w:cs="Times New Roman"/>
                <w:snapToGrid w:val="0"/>
                <w:color w:val="000000"/>
                <w:spacing w:val="169"/>
                <w:sz w:val="20"/>
                <w:fitText w:val="255" w:id="-664556533"/>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533"/>
                <w14:textFill>
                  <w14:solidFill>
                    <w14:srgbClr w14:val="000000">
                      <w14:alpha w14:val="100000"/>
                    </w14:srgbClr>
                  </w14:solidFill>
                </w14:textFill>
              </w:rPr>
              <w:t>|</w:t>
            </w:r>
          </w:p>
        </w:tc>
      </w:tr>
      <w:tr w:rsidR="005F7FBD" w:rsidRPr="005F7FBD" w14:paraId="67D7C48B" w14:textId="77777777" w:rsidTr="007B26D6">
        <w:tc>
          <w:tcPr>
            <w:tcW w:w="9017" w:type="dxa"/>
            <w:gridSpan w:val="14"/>
            <w:tcMar>
              <w:left w:w="20" w:type="dxa"/>
              <w:right w:w="20" w:type="dxa"/>
            </w:tcMar>
            <w:vAlign w:val="center"/>
          </w:tcPr>
          <w:p w14:paraId="0C4C57FA" w14:textId="3955EF84" w:rsidR="005F7FBD" w:rsidRPr="005F7FBD" w:rsidRDefault="006114E5" w:rsidP="005F7FBD">
            <w:pPr>
              <w:keepNext/>
              <w:keepLines/>
              <w:jc w:val="left"/>
              <w:rPr>
                <w:rFonts w:ascii="Arial Narrow" w:hAnsi="Arial Narrow" w:cs="Times New Roman"/>
                <w:b/>
                <w:bCs/>
                <w:snapToGrid w:val="0"/>
                <w:sz w:val="20"/>
                <w:highlight w:val="yellow"/>
              </w:rPr>
            </w:pPr>
            <w:r w:rsidRPr="006114E5">
              <w:rPr>
                <w:rFonts w:ascii="Arial Narrow" w:hAnsi="Arial Narrow" w:cs="Times New Roman"/>
                <w:b/>
                <w:bCs/>
                <w:snapToGrid w:val="0"/>
                <w:color w:val="000000"/>
                <w:spacing w:val="58"/>
                <w:sz w:val="20"/>
                <w:shd w:val="solid" w:color="000000" w:fill="000000"/>
                <w:fitText w:val="360" w:id="-664556532"/>
                <w14:textFill>
                  <w14:solidFill>
                    <w14:srgbClr w14:val="000000">
                      <w14:alpha w14:val="100000"/>
                    </w14:srgbClr>
                  </w14:solidFill>
                </w14:textFill>
              </w:rPr>
              <w:t>|||</w:t>
            </w:r>
            <w:r w:rsidRPr="006114E5">
              <w:rPr>
                <w:rFonts w:ascii="Arial Narrow" w:hAnsi="Arial Narrow" w:cs="Times New Roman"/>
                <w:b/>
                <w:bCs/>
                <w:snapToGrid w:val="0"/>
                <w:color w:val="000000"/>
                <w:spacing w:val="3"/>
                <w:sz w:val="20"/>
                <w:shd w:val="solid" w:color="000000" w:fill="000000"/>
                <w:fitText w:val="360" w:id="-664556532"/>
                <w14:textFill>
                  <w14:solidFill>
                    <w14:srgbClr w14:val="000000">
                      <w14:alpha w14:val="100000"/>
                    </w14:srgbClr>
                  </w14:solidFill>
                </w14:textFill>
              </w:rPr>
              <w:t>|</w:t>
            </w:r>
            <w:r w:rsidR="00FC2779" w:rsidRPr="00FC2779">
              <w:rPr>
                <w:rFonts w:ascii="Arial Narrow" w:hAnsi="Arial Narrow" w:cs="Times New Roman"/>
                <w:b/>
                <w:bCs/>
                <w:snapToGrid w:val="0"/>
                <w:sz w:val="20"/>
              </w:rPr>
              <w:t xml:space="preserve"> </w:t>
            </w:r>
            <w:r w:rsidRPr="006114E5">
              <w:rPr>
                <w:rFonts w:ascii="Arial Narrow" w:hAnsi="Arial Narrow" w:cs="Times New Roman"/>
                <w:b/>
                <w:bCs/>
                <w:snapToGrid w:val="0"/>
                <w:color w:val="000000"/>
                <w:spacing w:val="58"/>
                <w:sz w:val="20"/>
                <w:shd w:val="solid" w:color="000000" w:fill="000000"/>
                <w:fitText w:val="360" w:id="-664556531"/>
                <w14:textFill>
                  <w14:solidFill>
                    <w14:srgbClr w14:val="000000">
                      <w14:alpha w14:val="100000"/>
                    </w14:srgbClr>
                  </w14:solidFill>
                </w14:textFill>
              </w:rPr>
              <w:t>|||</w:t>
            </w:r>
            <w:r w:rsidRPr="006114E5">
              <w:rPr>
                <w:rFonts w:ascii="Arial Narrow" w:hAnsi="Arial Narrow" w:cs="Times New Roman"/>
                <w:b/>
                <w:bCs/>
                <w:snapToGrid w:val="0"/>
                <w:color w:val="000000"/>
                <w:spacing w:val="3"/>
                <w:sz w:val="20"/>
                <w:shd w:val="solid" w:color="000000" w:fill="000000"/>
                <w:fitText w:val="360" w:id="-664556531"/>
                <w14:textFill>
                  <w14:solidFill>
                    <w14:srgbClr w14:val="000000">
                      <w14:alpha w14:val="100000"/>
                    </w14:srgbClr>
                  </w14:solidFill>
                </w14:textFill>
              </w:rPr>
              <w:t>|</w:t>
            </w:r>
            <w:r w:rsidR="00FC2779" w:rsidRPr="00FC2779">
              <w:rPr>
                <w:rFonts w:ascii="Arial Narrow" w:hAnsi="Arial Narrow" w:cs="Times New Roman"/>
                <w:b/>
                <w:bCs/>
                <w:snapToGrid w:val="0"/>
                <w:sz w:val="20"/>
              </w:rPr>
              <w:t xml:space="preserve"> </w:t>
            </w:r>
            <w:r w:rsidRPr="006114E5">
              <w:rPr>
                <w:rFonts w:ascii="Arial Narrow" w:hAnsi="Arial Narrow" w:cs="Times New Roman"/>
                <w:b/>
                <w:bCs/>
                <w:snapToGrid w:val="0"/>
                <w:color w:val="000000"/>
                <w:spacing w:val="58"/>
                <w:sz w:val="20"/>
                <w:shd w:val="solid" w:color="000000" w:fill="000000"/>
                <w:fitText w:val="360" w:id="-664556530"/>
                <w14:textFill>
                  <w14:solidFill>
                    <w14:srgbClr w14:val="000000">
                      <w14:alpha w14:val="100000"/>
                    </w14:srgbClr>
                  </w14:solidFill>
                </w14:textFill>
              </w:rPr>
              <w:t>|||</w:t>
            </w:r>
            <w:r w:rsidRPr="006114E5">
              <w:rPr>
                <w:rFonts w:ascii="Arial Narrow" w:hAnsi="Arial Narrow" w:cs="Times New Roman"/>
                <w:b/>
                <w:bCs/>
                <w:snapToGrid w:val="0"/>
                <w:color w:val="000000"/>
                <w:spacing w:val="3"/>
                <w:sz w:val="20"/>
                <w:shd w:val="solid" w:color="000000" w:fill="000000"/>
                <w:fitText w:val="360" w:id="-664556530"/>
                <w14:textFill>
                  <w14:solidFill>
                    <w14:srgbClr w14:val="000000">
                      <w14:alpha w14:val="100000"/>
                    </w14:srgbClr>
                  </w14:solidFill>
                </w14:textFill>
              </w:rPr>
              <w:t>|</w:t>
            </w:r>
          </w:p>
        </w:tc>
      </w:tr>
      <w:tr w:rsidR="005F7FBD" w:rsidRPr="005F7FBD" w14:paraId="7155875B" w14:textId="77777777" w:rsidTr="006114E5">
        <w:tc>
          <w:tcPr>
            <w:tcW w:w="883" w:type="dxa"/>
            <w:tcMar>
              <w:left w:w="20" w:type="dxa"/>
              <w:right w:w="20" w:type="dxa"/>
            </w:tcMar>
            <w:vAlign w:val="center"/>
          </w:tcPr>
          <w:p w14:paraId="5B9C0793" w14:textId="67A0F2B4" w:rsidR="005F7FBD" w:rsidRPr="005F7FBD" w:rsidRDefault="006114E5" w:rsidP="005F7FBD">
            <w:pPr>
              <w:keepNext/>
              <w:keepLines/>
              <w:jc w:val="left"/>
              <w:rPr>
                <w:rFonts w:ascii="Arial Narrow" w:hAnsi="Arial Narrow" w:cs="Times New Roman"/>
                <w:snapToGrid w:val="0"/>
                <w:sz w:val="20"/>
                <w:highlight w:val="yellow"/>
              </w:rPr>
            </w:pPr>
            <w:r w:rsidRPr="006114E5">
              <w:rPr>
                <w:rFonts w:ascii="Arial Narrow" w:hAnsi="Arial Narrow" w:cs="Times New Roman"/>
                <w:snapToGrid w:val="0"/>
                <w:color w:val="000000"/>
                <w:spacing w:val="45"/>
                <w:sz w:val="20"/>
                <w:shd w:val="solid" w:color="000000" w:fill="000000"/>
                <w:fitText w:val="330" w:id="-664556529"/>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29"/>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28"/>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28"/>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4"/>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4"/>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r w:rsidRPr="006114E5">
              <w:rPr>
                <w:rFonts w:ascii="Arial Narrow" w:hAnsi="Arial Narrow" w:cs="Times New Roman"/>
                <w:snapToGrid w:val="0"/>
                <w:color w:val="000000"/>
                <w:spacing w:val="45"/>
                <w:sz w:val="20"/>
                <w:shd w:val="solid" w:color="000000" w:fill="000000"/>
                <w:fitText w:val="330" w:id="-664556543"/>
                <w14:textFill>
                  <w14:solidFill>
                    <w14:srgbClr w14:val="000000">
                      <w14:alpha w14:val="100000"/>
                    </w14:srgbClr>
                  </w14:solidFill>
                </w14:textFill>
              </w:rPr>
              <w:t>|||</w:t>
            </w:r>
            <w:r w:rsidRPr="006114E5">
              <w:rPr>
                <w:rFonts w:ascii="Arial Narrow" w:hAnsi="Arial Narrow" w:cs="Times New Roman"/>
                <w:snapToGrid w:val="0"/>
                <w:color w:val="000000"/>
                <w:spacing w:val="15"/>
                <w:sz w:val="20"/>
                <w:shd w:val="solid" w:color="000000" w:fill="000000"/>
                <w:fitText w:val="330" w:id="-664556543"/>
                <w14:textFill>
                  <w14:solidFill>
                    <w14:srgbClr w14:val="000000">
                      <w14:alpha w14:val="100000"/>
                    </w14:srgbClr>
                  </w14:solidFill>
                </w14:textFill>
              </w:rPr>
              <w:t>|</w:t>
            </w:r>
            <w:r w:rsidR="00FC2779" w:rsidRPr="00FC2779">
              <w:rPr>
                <w:rFonts w:ascii="Arial Narrow" w:hAnsi="Arial Narrow" w:cs="Times New Roman"/>
                <w:snapToGrid w:val="0"/>
                <w:sz w:val="20"/>
              </w:rPr>
              <w:t xml:space="preserve"> </w:t>
            </w:r>
          </w:p>
        </w:tc>
        <w:tc>
          <w:tcPr>
            <w:tcW w:w="625" w:type="dxa"/>
            <w:tcMar>
              <w:left w:w="20" w:type="dxa"/>
              <w:right w:w="20" w:type="dxa"/>
            </w:tcMar>
            <w:vAlign w:val="center"/>
          </w:tcPr>
          <w:p w14:paraId="0BDB6EA5"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7C30540E"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65158C0E"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5" w:type="dxa"/>
            <w:tcMar>
              <w:left w:w="20" w:type="dxa"/>
              <w:right w:w="20" w:type="dxa"/>
            </w:tcMar>
            <w:vAlign w:val="center"/>
          </w:tcPr>
          <w:p w14:paraId="06AACF61"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tcMar>
              <w:left w:w="20" w:type="dxa"/>
              <w:right w:w="20" w:type="dxa"/>
            </w:tcMar>
            <w:vAlign w:val="center"/>
          </w:tcPr>
          <w:p w14:paraId="61E26AFE" w14:textId="77777777" w:rsidR="005F7FBD" w:rsidRPr="005F7FBD" w:rsidRDefault="005F7FBD" w:rsidP="005F7FBD">
            <w:pPr>
              <w:keepNext/>
              <w:keepLines/>
              <w:jc w:val="center"/>
              <w:rPr>
                <w:rFonts w:ascii="Arial Narrow" w:hAnsi="Arial Narrow" w:cs="Times New Roman"/>
                <w:snapToGrid w:val="0"/>
                <w:sz w:val="20"/>
                <w:highlight w:val="yellow"/>
              </w:rPr>
            </w:pPr>
          </w:p>
        </w:tc>
        <w:tc>
          <w:tcPr>
            <w:tcW w:w="626" w:type="dxa"/>
            <w:shd w:val="solid" w:color="000000" w:fill="000000"/>
            <w:tcMar>
              <w:left w:w="20" w:type="dxa"/>
              <w:right w:w="20" w:type="dxa"/>
            </w:tcMar>
            <w:vAlign w:val="center"/>
          </w:tcPr>
          <w:p w14:paraId="462F794D" w14:textId="1A30862B"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8"/>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8"/>
                <w14:textFill>
                  <w14:solidFill>
                    <w14:srgbClr w14:val="000000">
                      <w14:alpha w14:val="100000"/>
                    </w14:srgbClr>
                  </w14:solidFill>
                </w14:textFill>
              </w:rPr>
              <w:t>|</w:t>
            </w:r>
          </w:p>
        </w:tc>
        <w:tc>
          <w:tcPr>
            <w:tcW w:w="625" w:type="dxa"/>
            <w:shd w:val="solid" w:color="000000" w:fill="000000"/>
            <w:tcMar>
              <w:left w:w="20" w:type="dxa"/>
              <w:right w:w="20" w:type="dxa"/>
            </w:tcMar>
            <w:vAlign w:val="center"/>
          </w:tcPr>
          <w:p w14:paraId="264D4F73" w14:textId="7BF1011F"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7"/>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7"/>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7EEDA566" w14:textId="0F1190A6"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6"/>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6"/>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7DEF23DA" w14:textId="46371B69"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5"/>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5"/>
                <w14:textFill>
                  <w14:solidFill>
                    <w14:srgbClr w14:val="000000">
                      <w14:alpha w14:val="100000"/>
                    </w14:srgbClr>
                  </w14:solidFill>
                </w14:textFill>
              </w:rPr>
              <w:t>|</w:t>
            </w:r>
          </w:p>
        </w:tc>
        <w:tc>
          <w:tcPr>
            <w:tcW w:w="625" w:type="dxa"/>
            <w:shd w:val="solid" w:color="000000" w:fill="000000"/>
            <w:tcMar>
              <w:left w:w="20" w:type="dxa"/>
              <w:right w:w="20" w:type="dxa"/>
            </w:tcMar>
            <w:vAlign w:val="center"/>
          </w:tcPr>
          <w:p w14:paraId="5A3F4E51" w14:textId="108190B2"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4"/>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4"/>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49AC5776" w14:textId="5B176A79"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3"/>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3"/>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73A42221" w14:textId="609ECD18"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2"/>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2"/>
                <w14:textFill>
                  <w14:solidFill>
                    <w14:srgbClr w14:val="000000">
                      <w14:alpha w14:val="100000"/>
                    </w14:srgbClr>
                  </w14:solidFill>
                </w14:textFill>
              </w:rPr>
              <w:t>|</w:t>
            </w:r>
          </w:p>
        </w:tc>
        <w:tc>
          <w:tcPr>
            <w:tcW w:w="626" w:type="dxa"/>
            <w:shd w:val="solid" w:color="000000" w:fill="000000"/>
            <w:tcMar>
              <w:left w:w="20" w:type="dxa"/>
              <w:right w:w="20" w:type="dxa"/>
            </w:tcMar>
            <w:vAlign w:val="center"/>
          </w:tcPr>
          <w:p w14:paraId="7ABE4B23" w14:textId="2973DF9C" w:rsidR="005F7FBD" w:rsidRPr="005F7FBD" w:rsidRDefault="006114E5" w:rsidP="005F7FBD">
            <w:pPr>
              <w:keepNext/>
              <w:keepLines/>
              <w:jc w:val="center"/>
              <w:rPr>
                <w:rFonts w:ascii="Arial Narrow" w:hAnsi="Arial Narrow" w:cs="Times New Roman"/>
                <w:snapToGrid w:val="0"/>
                <w:sz w:val="20"/>
                <w:highlight w:val="yellow"/>
              </w:rPr>
            </w:pPr>
            <w:r w:rsidRPr="006114E5">
              <w:rPr>
                <w:rFonts w:ascii="Arial Narrow" w:hAnsi="Arial Narrow" w:cs="Times New Roman"/>
                <w:snapToGrid w:val="0"/>
                <w:color w:val="000000"/>
                <w:spacing w:val="169"/>
                <w:sz w:val="20"/>
                <w:fitText w:val="255" w:id="-664556281"/>
                <w14:textFill>
                  <w14:solidFill>
                    <w14:srgbClr w14:val="000000">
                      <w14:alpha w14:val="100000"/>
                    </w14:srgbClr>
                  </w14:solidFill>
                </w14:textFill>
              </w:rPr>
              <w:t>|</w:t>
            </w:r>
            <w:r w:rsidRPr="006114E5">
              <w:rPr>
                <w:rFonts w:ascii="Arial Narrow" w:hAnsi="Arial Narrow" w:cs="Times New Roman"/>
                <w:snapToGrid w:val="0"/>
                <w:color w:val="000000"/>
                <w:sz w:val="20"/>
                <w:fitText w:val="255" w:id="-664556281"/>
                <w14:textFill>
                  <w14:solidFill>
                    <w14:srgbClr w14:val="000000">
                      <w14:alpha w14:val="100000"/>
                    </w14:srgbClr>
                  </w14:solidFill>
                </w14:textFill>
              </w:rPr>
              <w:t>|</w:t>
            </w:r>
          </w:p>
        </w:tc>
      </w:tr>
      <w:tr w:rsidR="005F7FBD" w:rsidRPr="005F7FBD" w14:paraId="6A3C094A" w14:textId="77777777" w:rsidTr="007B26D6">
        <w:trPr>
          <w:trHeight w:val="1204"/>
        </w:trPr>
        <w:tc>
          <w:tcPr>
            <w:tcW w:w="9017" w:type="dxa"/>
            <w:gridSpan w:val="14"/>
            <w:tcMar>
              <w:left w:w="20" w:type="dxa"/>
              <w:right w:w="20" w:type="dxa"/>
            </w:tcMar>
            <w:vAlign w:val="center"/>
          </w:tcPr>
          <w:p w14:paraId="7B777D35" w14:textId="000F8802" w:rsidR="00FC2779" w:rsidRPr="00FC2779" w:rsidRDefault="006114E5" w:rsidP="005F7FBD">
            <w:pPr>
              <w:rPr>
                <w:rFonts w:ascii="Arial Narrow" w:hAnsi="Arial Narrow"/>
                <w:sz w:val="18"/>
              </w:rPr>
            </w:pPr>
            <w:r w:rsidRPr="00700ECA">
              <w:rPr>
                <w:rFonts w:ascii="Arial Narrow" w:hAnsi="Arial Narrow"/>
                <w:color w:val="000000"/>
                <w:spacing w:val="35"/>
                <w:sz w:val="18"/>
                <w:shd w:val="solid" w:color="000000" w:fill="000000"/>
                <w:fitText w:val="265" w:id="-66455628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4"/>
                <w14:textFill>
                  <w14:solidFill>
                    <w14:srgbClr w14:val="000000">
                      <w14:alpha w14:val="100000"/>
                    </w14:srgbClr>
                  </w14:solidFill>
                </w14:textFill>
              </w:rPr>
              <w:t>|</w:t>
            </w:r>
          </w:p>
          <w:p w14:paraId="390FD35D" w14:textId="46E06088" w:rsidR="00FC2779" w:rsidRPr="00FC2779" w:rsidRDefault="006114E5" w:rsidP="005F7FBD">
            <w:pPr>
              <w:rPr>
                <w:rFonts w:ascii="Arial Narrow" w:hAnsi="Arial Narrow"/>
                <w:sz w:val="18"/>
              </w:rPr>
            </w:pPr>
            <w:r w:rsidRPr="00700ECA">
              <w:rPr>
                <w:rFonts w:ascii="Arial Narrow" w:hAnsi="Arial Narrow"/>
                <w:color w:val="000000"/>
                <w:spacing w:val="35"/>
                <w:sz w:val="18"/>
                <w:shd w:val="solid" w:color="000000" w:fill="000000"/>
                <w:fitText w:val="265" w:id="-66455628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1"/>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1"/>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5"/>
                <w14:textFill>
                  <w14:solidFill>
                    <w14:srgbClr w14:val="000000">
                      <w14:alpha w14:val="100000"/>
                    </w14:srgbClr>
                  </w14:solidFill>
                </w14:textFill>
              </w:rPr>
              <w:t>|</w:t>
            </w:r>
          </w:p>
          <w:p w14:paraId="6D2E21B1" w14:textId="3B946194" w:rsidR="00FC2779" w:rsidRPr="00FC2779" w:rsidRDefault="006114E5" w:rsidP="005F7FBD">
            <w:pPr>
              <w:rPr>
                <w:rFonts w:ascii="Arial Narrow" w:hAnsi="Arial Narrow"/>
                <w:sz w:val="18"/>
              </w:rPr>
            </w:pPr>
            <w:r w:rsidRPr="00700ECA">
              <w:rPr>
                <w:rFonts w:ascii="Arial Narrow" w:hAnsi="Arial Narrow"/>
                <w:color w:val="000000"/>
                <w:w w:val="91"/>
                <w:sz w:val="18"/>
                <w:shd w:val="solid" w:color="000000" w:fill="000000"/>
                <w:fitText w:val="190" w:id="-664556284"/>
                <w:vertAlign w:val="superscript"/>
                <w14:textFill>
                  <w14:solidFill>
                    <w14:srgbClr w14:val="000000">
                      <w14:alpha w14:val="100000"/>
                    </w14:srgbClr>
                  </w14:solidFill>
                </w14:textFill>
              </w:rPr>
              <w:t>|||  |||</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1"/>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1"/>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7"/>
                <w14:textFill>
                  <w14:solidFill>
                    <w14:srgbClr w14:val="000000">
                      <w14:alpha w14:val="100000"/>
                    </w14:srgbClr>
                  </w14:solidFill>
                </w14:textFill>
              </w:rPr>
              <w:t>|</w:t>
            </w:r>
          </w:p>
          <w:p w14:paraId="7A754C74" w14:textId="6D4E5AD7" w:rsidR="00FC2779" w:rsidRPr="00FC2779" w:rsidRDefault="006114E5" w:rsidP="005F7FBD">
            <w:pPr>
              <w:rPr>
                <w:rFonts w:ascii="Arial Narrow" w:hAnsi="Arial Narrow"/>
                <w:sz w:val="18"/>
              </w:rPr>
            </w:pPr>
            <w:r w:rsidRPr="00700ECA">
              <w:rPr>
                <w:rFonts w:ascii="Arial Narrow" w:hAnsi="Arial Narrow"/>
                <w:color w:val="000000"/>
                <w:w w:val="91"/>
                <w:sz w:val="18"/>
                <w:shd w:val="solid" w:color="000000" w:fill="000000"/>
                <w:fitText w:val="190" w:id="-664556286"/>
                <w:vertAlign w:val="superscript"/>
                <w14:textFill>
                  <w14:solidFill>
                    <w14:srgbClr w14:val="000000">
                      <w14:alpha w14:val="100000"/>
                    </w14:srgbClr>
                  </w14:solidFill>
                </w14:textFill>
              </w:rPr>
              <w:t>|||  |||</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1"/>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1"/>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3"/>
                <w14:textFill>
                  <w14:solidFill>
                    <w14:srgbClr w14:val="000000">
                      <w14:alpha w14:val="100000"/>
                    </w14:srgbClr>
                  </w14:solidFill>
                </w14:textFill>
              </w:rPr>
              <w:t>|</w:t>
            </w:r>
          </w:p>
          <w:p w14:paraId="2B1EA9D4" w14:textId="3B95691D" w:rsidR="00FC2779" w:rsidRPr="00FC2779" w:rsidRDefault="006114E5" w:rsidP="005F7FBD">
            <w:pPr>
              <w:rPr>
                <w:rFonts w:ascii="Arial Narrow" w:hAnsi="Arial Narrow"/>
                <w:sz w:val="18"/>
              </w:rPr>
            </w:pPr>
            <w:r w:rsidRPr="00700ECA">
              <w:rPr>
                <w:rFonts w:ascii="Arial Narrow" w:hAnsi="Arial Narrow"/>
                <w:color w:val="000000"/>
                <w:w w:val="91"/>
                <w:sz w:val="18"/>
                <w:shd w:val="solid" w:color="000000" w:fill="000000"/>
                <w:fitText w:val="190" w:id="-664556272"/>
                <w:vertAlign w:val="superscript"/>
                <w14:textFill>
                  <w14:solidFill>
                    <w14:srgbClr w14:val="000000">
                      <w14:alpha w14:val="100000"/>
                    </w14:srgbClr>
                  </w14:solidFill>
                </w14:textFill>
              </w:rPr>
              <w:t>|||  |||</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3"/>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8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82"/>
                <w14:textFill>
                  <w14:solidFill>
                    <w14:srgbClr w14:val="000000">
                      <w14:alpha w14:val="100000"/>
                    </w14:srgbClr>
                  </w14:solidFill>
                </w14:textFill>
              </w:rPr>
              <w:t>|</w:t>
            </w:r>
          </w:p>
          <w:p w14:paraId="1B92983A" w14:textId="5BE99E04" w:rsidR="00FC2779" w:rsidRPr="00FC2779" w:rsidRDefault="006114E5" w:rsidP="005F7FBD">
            <w:pPr>
              <w:rPr>
                <w:rFonts w:ascii="Arial Narrow" w:hAnsi="Arial Narrow"/>
                <w:sz w:val="18"/>
              </w:rPr>
            </w:pPr>
            <w:r w:rsidRPr="00700ECA">
              <w:rPr>
                <w:rFonts w:ascii="Arial Narrow" w:hAnsi="Arial Narrow"/>
                <w:color w:val="000000"/>
                <w:w w:val="91"/>
                <w:sz w:val="18"/>
                <w:shd w:val="solid" w:color="000000" w:fill="000000"/>
                <w:fitText w:val="190" w:id="-664556281"/>
                <w:vertAlign w:val="superscript"/>
                <w14:textFill>
                  <w14:solidFill>
                    <w14:srgbClr w14:val="000000">
                      <w14:alpha w14:val="100000"/>
                    </w14:srgbClr>
                  </w14:solidFill>
                </w14:textFill>
              </w:rPr>
              <w:t>|||  |||</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8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8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27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274"/>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273"/>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273"/>
                <w14:textFill>
                  <w14:solidFill>
                    <w14:srgbClr w14:val="000000">
                      <w14:alpha w14:val="100000"/>
                    </w14:srgbClr>
                  </w14:solidFill>
                </w14:textFill>
              </w:rPr>
              <w:t>|</w:t>
            </w:r>
          </w:p>
          <w:p w14:paraId="5C24DD5E" w14:textId="08E2744A" w:rsidR="005F7FBD" w:rsidRPr="005F7FBD" w:rsidRDefault="006114E5" w:rsidP="005F7FBD">
            <w:pPr>
              <w:rPr>
                <w:rFonts w:ascii="Arial Narrow" w:hAnsi="Arial Narrow"/>
                <w:sz w:val="18"/>
              </w:rPr>
            </w:pPr>
            <w:r w:rsidRPr="00700ECA">
              <w:rPr>
                <w:rFonts w:ascii="Arial Narrow" w:hAnsi="Arial Narrow"/>
                <w:color w:val="000000"/>
                <w:w w:val="91"/>
                <w:sz w:val="18"/>
                <w:shd w:val="solid" w:color="000000" w:fill="000000"/>
                <w:fitText w:val="190" w:id="-664556272"/>
                <w:vertAlign w:val="superscript"/>
                <w14:textFill>
                  <w14:solidFill>
                    <w14:srgbClr w14:val="000000">
                      <w14:alpha w14:val="100000"/>
                    </w14:srgbClr>
                  </w14:solidFill>
                </w14:textFill>
              </w:rPr>
              <w:t>|||  |||</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32"/>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32"/>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31"/>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31"/>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30"/>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30"/>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29"/>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29"/>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028"/>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028"/>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27"/>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27"/>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026"/>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026"/>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40"/>
                <w:sz w:val="18"/>
                <w:shd w:val="solid" w:color="000000" w:fill="000000"/>
                <w:fitText w:val="280" w:id="-664556025"/>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80" w:id="-664556025"/>
                <w14:textFill>
                  <w14:solidFill>
                    <w14:srgbClr w14:val="000000">
                      <w14:alpha w14:val="100000"/>
                    </w14:srgbClr>
                  </w14:solidFill>
                </w14:textFill>
              </w:rPr>
              <w:t>|</w:t>
            </w:r>
            <w:r w:rsidR="00FC2779" w:rsidRPr="00FC2779">
              <w:rPr>
                <w:rFonts w:ascii="Arial Narrow" w:hAnsi="Arial Narrow"/>
                <w:sz w:val="18"/>
              </w:rPr>
              <w:t xml:space="preserve"> </w:t>
            </w:r>
            <w:r w:rsidRPr="00700ECA">
              <w:rPr>
                <w:rFonts w:ascii="Arial Narrow" w:hAnsi="Arial Narrow"/>
                <w:color w:val="000000"/>
                <w:spacing w:val="35"/>
                <w:sz w:val="18"/>
                <w:shd w:val="solid" w:color="000000" w:fill="000000"/>
                <w:fitText w:val="265" w:id="-664556024"/>
                <w14:textFill>
                  <w14:solidFill>
                    <w14:srgbClr w14:val="000000">
                      <w14:alpha w14:val="100000"/>
                    </w14:srgbClr>
                  </w14:solidFill>
                </w14:textFill>
              </w:rPr>
              <w:t xml:space="preserve">|  </w:t>
            </w:r>
            <w:r w:rsidRPr="00700ECA">
              <w:rPr>
                <w:rFonts w:ascii="Arial Narrow" w:hAnsi="Arial Narrow"/>
                <w:color w:val="000000"/>
                <w:spacing w:val="2"/>
                <w:sz w:val="18"/>
                <w:shd w:val="solid" w:color="000000" w:fill="000000"/>
                <w:fitText w:val="265" w:id="-664556024"/>
                <w14:textFill>
                  <w14:solidFill>
                    <w14:srgbClr w14:val="000000">
                      <w14:alpha w14:val="100000"/>
                    </w14:srgbClr>
                  </w14:solidFill>
                </w14:textFill>
              </w:rPr>
              <w:t>|</w:t>
            </w:r>
          </w:p>
          <w:p w14:paraId="0D4D517E" w14:textId="4878A3E5" w:rsidR="005F7FBD" w:rsidRPr="005F7FBD" w:rsidRDefault="005F7FBD" w:rsidP="005F7FBD">
            <w:pPr>
              <w:rPr>
                <w:rFonts w:ascii="Arial Narrow" w:hAnsi="Arial Narrow"/>
                <w:sz w:val="18"/>
              </w:rPr>
            </w:pPr>
            <w:r w:rsidRPr="005F7FBD">
              <w:rPr>
                <w:rFonts w:ascii="Arial Narrow" w:hAnsi="Arial Narrow"/>
                <w:sz w:val="18"/>
                <w:vertAlign w:val="superscript"/>
              </w:rPr>
              <w:t>f</w:t>
            </w:r>
            <w:r w:rsidRPr="005F7FBD">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23"/>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23"/>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35"/>
                <w:sz w:val="18"/>
                <w:shd w:val="solid" w:color="000000" w:fill="000000"/>
                <w:fitText w:val="265" w:id="-664556022"/>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65" w:id="-664556022"/>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21"/>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21"/>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20"/>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20"/>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19"/>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19"/>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18"/>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18"/>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17"/>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17"/>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40"/>
                <w:sz w:val="18"/>
                <w:shd w:val="solid" w:color="000000" w:fill="000000"/>
                <w:fitText w:val="280" w:id="-664556016"/>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80" w:id="-664556016"/>
                <w14:textFill>
                  <w14:solidFill>
                    <w14:srgbClr w14:val="000000">
                      <w14:alpha w14:val="100000"/>
                    </w14:srgbClr>
                  </w14:solidFill>
                </w14:textFill>
              </w:rPr>
              <w:t>|</w:t>
            </w:r>
            <w:r w:rsidR="00FC2779" w:rsidRPr="00FC2779">
              <w:rPr>
                <w:rFonts w:ascii="Arial Narrow" w:hAnsi="Arial Narrow"/>
                <w:sz w:val="18"/>
              </w:rPr>
              <w:t xml:space="preserve"> </w:t>
            </w:r>
            <w:r w:rsidR="006114E5" w:rsidRPr="00700ECA">
              <w:rPr>
                <w:rFonts w:ascii="Arial Narrow" w:hAnsi="Arial Narrow"/>
                <w:color w:val="000000"/>
                <w:spacing w:val="35"/>
                <w:sz w:val="18"/>
                <w:shd w:val="solid" w:color="000000" w:fill="000000"/>
                <w:fitText w:val="265" w:id="-664556032"/>
                <w14:textFill>
                  <w14:solidFill>
                    <w14:srgbClr w14:val="000000">
                      <w14:alpha w14:val="100000"/>
                    </w14:srgbClr>
                  </w14:solidFill>
                </w14:textFill>
              </w:rPr>
              <w:t xml:space="preserve">|  </w:t>
            </w:r>
            <w:r w:rsidR="006114E5" w:rsidRPr="00700ECA">
              <w:rPr>
                <w:rFonts w:ascii="Arial Narrow" w:hAnsi="Arial Narrow"/>
                <w:color w:val="000000"/>
                <w:spacing w:val="2"/>
                <w:sz w:val="18"/>
                <w:shd w:val="solid" w:color="000000" w:fill="000000"/>
                <w:fitText w:val="265" w:id="-664556032"/>
                <w14:textFill>
                  <w14:solidFill>
                    <w14:srgbClr w14:val="000000">
                      <w14:alpha w14:val="100000"/>
                    </w14:srgbClr>
                  </w14:solidFill>
                </w14:textFill>
              </w:rPr>
              <w:t>|</w:t>
            </w:r>
          </w:p>
        </w:tc>
      </w:tr>
    </w:tbl>
    <w:p w14:paraId="54567979" w14:textId="55C4E1C2" w:rsidR="008A3C3E" w:rsidRPr="0098262F" w:rsidRDefault="008A3C3E" w:rsidP="009D09F4">
      <w:pPr>
        <w:rPr>
          <w:color w:val="3366FF"/>
        </w:rPr>
      </w:pPr>
    </w:p>
    <w:p w14:paraId="310868D6" w14:textId="4C8B0705" w:rsidR="007F2368" w:rsidRPr="007F2368" w:rsidRDefault="006114E5" w:rsidP="007F2368">
      <w:r w:rsidRPr="00700ECA">
        <w:rPr>
          <w:color w:val="000000"/>
          <w:w w:val="61"/>
          <w:shd w:val="solid" w:color="000000" w:fill="000000"/>
          <w:fitText w:val="475" w:id="-664556031"/>
          <w14:textFill>
            <w14:solidFill>
              <w14:srgbClr w14:val="000000">
                <w14:alpha w14:val="100000"/>
              </w14:srgbClr>
            </w14:solidFill>
          </w14:textFill>
        </w:rPr>
        <w:t>|||  ||</w:t>
      </w:r>
      <w:r w:rsidRPr="00700ECA">
        <w:rPr>
          <w:color w:val="000000"/>
          <w:spacing w:val="5"/>
          <w:w w:val="61"/>
          <w:shd w:val="solid" w:color="000000" w:fill="000000"/>
          <w:fitText w:val="475" w:id="-664556031"/>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30"/>
          <w14:textFill>
            <w14:solidFill>
              <w14:srgbClr w14:val="000000">
                <w14:alpha w14:val="100000"/>
              </w14:srgbClr>
            </w14:solidFill>
          </w14:textFill>
        </w:rPr>
        <w:t>|||  ||</w:t>
      </w:r>
      <w:r w:rsidRPr="00700ECA">
        <w:rPr>
          <w:color w:val="000000"/>
          <w:spacing w:val="5"/>
          <w:w w:val="61"/>
          <w:shd w:val="solid" w:color="000000" w:fill="000000"/>
          <w:fitText w:val="475" w:id="-664556030"/>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9"/>
          <w14:textFill>
            <w14:solidFill>
              <w14:srgbClr w14:val="000000">
                <w14:alpha w14:val="100000"/>
              </w14:srgbClr>
            </w14:solidFill>
          </w14:textFill>
        </w:rPr>
        <w:t>|||  ||</w:t>
      </w:r>
      <w:r w:rsidRPr="00700ECA">
        <w:rPr>
          <w:color w:val="000000"/>
          <w:spacing w:val="5"/>
          <w:w w:val="61"/>
          <w:shd w:val="solid" w:color="000000" w:fill="000000"/>
          <w:fitText w:val="475" w:id="-664556029"/>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8"/>
          <w14:textFill>
            <w14:solidFill>
              <w14:srgbClr w14:val="000000">
                <w14:alpha w14:val="100000"/>
              </w14:srgbClr>
            </w14:solidFill>
          </w14:textFill>
        </w:rPr>
        <w:t>|||  ||</w:t>
      </w:r>
      <w:r w:rsidRPr="00700ECA">
        <w:rPr>
          <w:color w:val="000000"/>
          <w:spacing w:val="5"/>
          <w:w w:val="61"/>
          <w:shd w:val="solid" w:color="000000" w:fill="000000"/>
          <w:fitText w:val="475" w:id="-664556028"/>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7"/>
          <w14:textFill>
            <w14:solidFill>
              <w14:srgbClr w14:val="000000">
                <w14:alpha w14:val="100000"/>
              </w14:srgbClr>
            </w14:solidFill>
          </w14:textFill>
        </w:rPr>
        <w:t>|||  ||</w:t>
      </w:r>
      <w:r w:rsidRPr="00700ECA">
        <w:rPr>
          <w:color w:val="000000"/>
          <w:spacing w:val="5"/>
          <w:w w:val="61"/>
          <w:shd w:val="solid" w:color="000000" w:fill="000000"/>
          <w:fitText w:val="475" w:id="-664556027"/>
          <w14:textFill>
            <w14:solidFill>
              <w14:srgbClr w14:val="000000">
                <w14:alpha w14:val="100000"/>
              </w14:srgbClr>
            </w14:solidFill>
          </w14:textFill>
        </w:rPr>
        <w:t>|</w:t>
      </w:r>
      <w:r w:rsidR="00FC2779" w:rsidRPr="00FC2779">
        <w:t xml:space="preserve"> </w:t>
      </w:r>
      <w:r w:rsidRPr="00700ECA">
        <w:rPr>
          <w:color w:val="000000"/>
          <w:w w:val="59"/>
          <w:shd w:val="solid" w:color="000000" w:fill="000000"/>
          <w:fitText w:val="460" w:id="-664556026"/>
          <w14:textFill>
            <w14:solidFill>
              <w14:srgbClr w14:val="000000">
                <w14:alpha w14:val="100000"/>
              </w14:srgbClr>
            </w14:solidFill>
          </w14:textFill>
        </w:rPr>
        <w:t>|||  ||</w:t>
      </w:r>
      <w:r w:rsidRPr="00700ECA">
        <w:rPr>
          <w:color w:val="000000"/>
          <w:spacing w:val="5"/>
          <w:w w:val="59"/>
          <w:shd w:val="solid" w:color="000000" w:fill="000000"/>
          <w:fitText w:val="460" w:id="-664556026"/>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5"/>
          <w14:textFill>
            <w14:solidFill>
              <w14:srgbClr w14:val="000000">
                <w14:alpha w14:val="100000"/>
              </w14:srgbClr>
            </w14:solidFill>
          </w14:textFill>
        </w:rPr>
        <w:t>|||  ||</w:t>
      </w:r>
      <w:r w:rsidRPr="00700ECA">
        <w:rPr>
          <w:color w:val="000000"/>
          <w:spacing w:val="5"/>
          <w:w w:val="61"/>
          <w:shd w:val="solid" w:color="000000" w:fill="000000"/>
          <w:fitText w:val="475" w:id="-664556025"/>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4"/>
          <w14:textFill>
            <w14:solidFill>
              <w14:srgbClr w14:val="000000">
                <w14:alpha w14:val="100000"/>
              </w14:srgbClr>
            </w14:solidFill>
          </w14:textFill>
        </w:rPr>
        <w:t>|||  ||</w:t>
      </w:r>
      <w:r w:rsidRPr="00700ECA">
        <w:rPr>
          <w:color w:val="000000"/>
          <w:spacing w:val="5"/>
          <w:w w:val="61"/>
          <w:shd w:val="solid" w:color="000000" w:fill="000000"/>
          <w:fitText w:val="475" w:id="-664556024"/>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3"/>
          <w14:textFill>
            <w14:solidFill>
              <w14:srgbClr w14:val="000000">
                <w14:alpha w14:val="100000"/>
              </w14:srgbClr>
            </w14:solidFill>
          </w14:textFill>
        </w:rPr>
        <w:t>|||  ||</w:t>
      </w:r>
      <w:r w:rsidRPr="00700ECA">
        <w:rPr>
          <w:color w:val="000000"/>
          <w:spacing w:val="5"/>
          <w:w w:val="61"/>
          <w:shd w:val="solid" w:color="000000" w:fill="000000"/>
          <w:fitText w:val="475" w:id="-664556023"/>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2"/>
          <w14:textFill>
            <w14:solidFill>
              <w14:srgbClr w14:val="000000">
                <w14:alpha w14:val="100000"/>
              </w14:srgbClr>
            </w14:solidFill>
          </w14:textFill>
        </w:rPr>
        <w:t>|||  ||</w:t>
      </w:r>
      <w:r w:rsidRPr="00700ECA">
        <w:rPr>
          <w:color w:val="000000"/>
          <w:spacing w:val="5"/>
          <w:w w:val="61"/>
          <w:shd w:val="solid" w:color="000000" w:fill="000000"/>
          <w:fitText w:val="475" w:id="-664556022"/>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1"/>
          <w14:textFill>
            <w14:solidFill>
              <w14:srgbClr w14:val="000000">
                <w14:alpha w14:val="100000"/>
              </w14:srgbClr>
            </w14:solidFill>
          </w14:textFill>
        </w:rPr>
        <w:t>|||  ||</w:t>
      </w:r>
      <w:r w:rsidRPr="00700ECA">
        <w:rPr>
          <w:color w:val="000000"/>
          <w:spacing w:val="5"/>
          <w:w w:val="61"/>
          <w:shd w:val="solid" w:color="000000" w:fill="000000"/>
          <w:fitText w:val="475" w:id="-664556021"/>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0"/>
          <w14:textFill>
            <w14:solidFill>
              <w14:srgbClr w14:val="000000">
                <w14:alpha w14:val="100000"/>
              </w14:srgbClr>
            </w14:solidFill>
          </w14:textFill>
        </w:rPr>
        <w:t>|||  ||</w:t>
      </w:r>
      <w:r w:rsidRPr="00700ECA">
        <w:rPr>
          <w:color w:val="000000"/>
          <w:spacing w:val="5"/>
          <w:w w:val="61"/>
          <w:shd w:val="solid" w:color="000000" w:fill="000000"/>
          <w:fitText w:val="475" w:id="-664556020"/>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19"/>
          <w14:textFill>
            <w14:solidFill>
              <w14:srgbClr w14:val="000000">
                <w14:alpha w14:val="100000"/>
              </w14:srgbClr>
            </w14:solidFill>
          </w14:textFill>
        </w:rPr>
        <w:t>|||  ||</w:t>
      </w:r>
      <w:r w:rsidRPr="00700ECA">
        <w:rPr>
          <w:color w:val="000000"/>
          <w:spacing w:val="5"/>
          <w:w w:val="61"/>
          <w:shd w:val="solid" w:color="000000" w:fill="000000"/>
          <w:fitText w:val="475" w:id="-664556019"/>
          <w14:textFill>
            <w14:solidFill>
              <w14:srgbClr w14:val="000000">
                <w14:alpha w14:val="100000"/>
              </w14:srgbClr>
            </w14:solidFill>
          </w14:textFill>
        </w:rPr>
        <w:t>|</w:t>
      </w:r>
      <w:r w:rsidR="00FC2779" w:rsidRPr="00FC2779">
        <w:t xml:space="preserve"> </w:t>
      </w:r>
      <w:r w:rsidRPr="00700ECA">
        <w:rPr>
          <w:color w:val="000000"/>
          <w:w w:val="59"/>
          <w:shd w:val="solid" w:color="000000" w:fill="000000"/>
          <w:fitText w:val="460" w:id="-664556018"/>
          <w14:textFill>
            <w14:solidFill>
              <w14:srgbClr w14:val="000000">
                <w14:alpha w14:val="100000"/>
              </w14:srgbClr>
            </w14:solidFill>
          </w14:textFill>
        </w:rPr>
        <w:t>|||  ||</w:t>
      </w:r>
      <w:r w:rsidRPr="00700ECA">
        <w:rPr>
          <w:color w:val="000000"/>
          <w:spacing w:val="5"/>
          <w:w w:val="59"/>
          <w:shd w:val="solid" w:color="000000" w:fill="000000"/>
          <w:fitText w:val="460" w:id="-664556018"/>
          <w14:textFill>
            <w14:solidFill>
              <w14:srgbClr w14:val="000000">
                <w14:alpha w14:val="100000"/>
              </w14:srgbClr>
            </w14:solidFill>
          </w14:textFill>
        </w:rPr>
        <w:t>|</w:t>
      </w:r>
      <w:r w:rsidR="00FC2779" w:rsidRPr="00FC2779">
        <w:t xml:space="preserve"> </w:t>
      </w:r>
      <w:r w:rsidRPr="00700ECA">
        <w:rPr>
          <w:color w:val="000000"/>
          <w:w w:val="59"/>
          <w:shd w:val="solid" w:color="000000" w:fill="000000"/>
          <w:fitText w:val="460" w:id="-664556017"/>
          <w14:textFill>
            <w14:solidFill>
              <w14:srgbClr w14:val="000000">
                <w14:alpha w14:val="100000"/>
              </w14:srgbClr>
            </w14:solidFill>
          </w14:textFill>
        </w:rPr>
        <w:t>|||  ||</w:t>
      </w:r>
      <w:r w:rsidRPr="00700ECA">
        <w:rPr>
          <w:color w:val="000000"/>
          <w:spacing w:val="5"/>
          <w:w w:val="59"/>
          <w:shd w:val="solid" w:color="000000" w:fill="000000"/>
          <w:fitText w:val="460" w:id="-664556017"/>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16"/>
          <w14:textFill>
            <w14:solidFill>
              <w14:srgbClr w14:val="000000">
                <w14:alpha w14:val="100000"/>
              </w14:srgbClr>
            </w14:solidFill>
          </w14:textFill>
        </w:rPr>
        <w:t>|||  ||</w:t>
      </w:r>
      <w:r w:rsidRPr="00700ECA">
        <w:rPr>
          <w:color w:val="000000"/>
          <w:spacing w:val="5"/>
          <w:w w:val="61"/>
          <w:shd w:val="solid" w:color="000000" w:fill="000000"/>
          <w:fitText w:val="475" w:id="-664556016"/>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32"/>
          <w14:textFill>
            <w14:solidFill>
              <w14:srgbClr w14:val="000000">
                <w14:alpha w14:val="100000"/>
              </w14:srgbClr>
            </w14:solidFill>
          </w14:textFill>
        </w:rPr>
        <w:t>|||  ||</w:t>
      </w:r>
      <w:r w:rsidRPr="00700ECA">
        <w:rPr>
          <w:color w:val="000000"/>
          <w:spacing w:val="5"/>
          <w:w w:val="61"/>
          <w:shd w:val="solid" w:color="000000" w:fill="000000"/>
          <w:fitText w:val="475" w:id="-664556032"/>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31"/>
          <w14:textFill>
            <w14:solidFill>
              <w14:srgbClr w14:val="000000">
                <w14:alpha w14:val="100000"/>
              </w14:srgbClr>
            </w14:solidFill>
          </w14:textFill>
        </w:rPr>
        <w:t>|||  ||</w:t>
      </w:r>
      <w:r w:rsidRPr="00700ECA">
        <w:rPr>
          <w:color w:val="000000"/>
          <w:spacing w:val="5"/>
          <w:w w:val="61"/>
          <w:shd w:val="solid" w:color="000000" w:fill="000000"/>
          <w:fitText w:val="475" w:id="-664556031"/>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30"/>
          <w14:textFill>
            <w14:solidFill>
              <w14:srgbClr w14:val="000000">
                <w14:alpha w14:val="100000"/>
              </w14:srgbClr>
            </w14:solidFill>
          </w14:textFill>
        </w:rPr>
        <w:t>|||  ||</w:t>
      </w:r>
      <w:r w:rsidRPr="00700ECA">
        <w:rPr>
          <w:color w:val="000000"/>
          <w:spacing w:val="5"/>
          <w:w w:val="61"/>
          <w:shd w:val="solid" w:color="000000" w:fill="000000"/>
          <w:fitText w:val="475" w:id="-664556030"/>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9"/>
          <w14:textFill>
            <w14:solidFill>
              <w14:srgbClr w14:val="000000">
                <w14:alpha w14:val="100000"/>
              </w14:srgbClr>
            </w14:solidFill>
          </w14:textFill>
        </w:rPr>
        <w:t>|||  ||</w:t>
      </w:r>
      <w:r w:rsidRPr="00700ECA">
        <w:rPr>
          <w:color w:val="000000"/>
          <w:spacing w:val="5"/>
          <w:w w:val="61"/>
          <w:shd w:val="solid" w:color="000000" w:fill="000000"/>
          <w:fitText w:val="475" w:id="-664556029"/>
          <w14:textFill>
            <w14:solidFill>
              <w14:srgbClr w14:val="000000">
                <w14:alpha w14:val="100000"/>
              </w14:srgbClr>
            </w14:solidFill>
          </w14:textFill>
        </w:rPr>
        <w:t>|</w:t>
      </w:r>
      <w:r w:rsidR="00FC2779" w:rsidRPr="00FC2779">
        <w:t xml:space="preserve"> </w:t>
      </w:r>
      <w:r w:rsidRPr="00700ECA">
        <w:rPr>
          <w:color w:val="000000"/>
          <w:w w:val="59"/>
          <w:shd w:val="solid" w:color="000000" w:fill="000000"/>
          <w:fitText w:val="460" w:id="-664556028"/>
          <w14:textFill>
            <w14:solidFill>
              <w14:srgbClr w14:val="000000">
                <w14:alpha w14:val="100000"/>
              </w14:srgbClr>
            </w14:solidFill>
          </w14:textFill>
        </w:rPr>
        <w:t>|||  ||</w:t>
      </w:r>
      <w:r w:rsidRPr="00700ECA">
        <w:rPr>
          <w:color w:val="000000"/>
          <w:spacing w:val="5"/>
          <w:w w:val="59"/>
          <w:shd w:val="solid" w:color="000000" w:fill="000000"/>
          <w:fitText w:val="460" w:id="-664556028"/>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7"/>
          <w14:textFill>
            <w14:solidFill>
              <w14:srgbClr w14:val="000000">
                <w14:alpha w14:val="100000"/>
              </w14:srgbClr>
            </w14:solidFill>
          </w14:textFill>
        </w:rPr>
        <w:t>|||  ||</w:t>
      </w:r>
      <w:r w:rsidRPr="00700ECA">
        <w:rPr>
          <w:color w:val="000000"/>
          <w:spacing w:val="5"/>
          <w:w w:val="61"/>
          <w:shd w:val="solid" w:color="000000" w:fill="000000"/>
          <w:fitText w:val="475" w:id="-664556027"/>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6"/>
          <w14:textFill>
            <w14:solidFill>
              <w14:srgbClr w14:val="000000">
                <w14:alpha w14:val="100000"/>
              </w14:srgbClr>
            </w14:solidFill>
          </w14:textFill>
        </w:rPr>
        <w:t>|||  ||</w:t>
      </w:r>
      <w:r w:rsidRPr="00700ECA">
        <w:rPr>
          <w:color w:val="000000"/>
          <w:spacing w:val="5"/>
          <w:w w:val="61"/>
          <w:shd w:val="solid" w:color="000000" w:fill="000000"/>
          <w:fitText w:val="475" w:id="-664556026"/>
          <w14:textFill>
            <w14:solidFill>
              <w14:srgbClr w14:val="000000">
                <w14:alpha w14:val="100000"/>
              </w14:srgbClr>
            </w14:solidFill>
          </w14:textFill>
        </w:rPr>
        <w:t>|</w:t>
      </w:r>
      <w:r w:rsidR="00FC2779" w:rsidRPr="00FC2779">
        <w:t xml:space="preserve"> </w:t>
      </w:r>
      <w:r w:rsidRPr="00700ECA">
        <w:rPr>
          <w:color w:val="000000"/>
          <w:w w:val="59"/>
          <w:shd w:val="solid" w:color="000000" w:fill="000000"/>
          <w:fitText w:val="460" w:id="-664556025"/>
          <w14:textFill>
            <w14:solidFill>
              <w14:srgbClr w14:val="000000">
                <w14:alpha w14:val="100000"/>
              </w14:srgbClr>
            </w14:solidFill>
          </w14:textFill>
        </w:rPr>
        <w:t>|||  ||</w:t>
      </w:r>
      <w:r w:rsidRPr="00700ECA">
        <w:rPr>
          <w:color w:val="000000"/>
          <w:spacing w:val="5"/>
          <w:w w:val="59"/>
          <w:shd w:val="solid" w:color="000000" w:fill="000000"/>
          <w:fitText w:val="460" w:id="-664556025"/>
          <w14:textFill>
            <w14:solidFill>
              <w14:srgbClr w14:val="000000">
                <w14:alpha w14:val="100000"/>
              </w14:srgbClr>
            </w14:solidFill>
          </w14:textFill>
        </w:rPr>
        <w:t>|</w:t>
      </w:r>
      <w:r w:rsidR="00FC2779" w:rsidRPr="00FC2779">
        <w:t xml:space="preserve"> </w:t>
      </w:r>
      <w:r w:rsidRPr="00700ECA">
        <w:rPr>
          <w:color w:val="000000"/>
          <w:w w:val="61"/>
          <w:shd w:val="solid" w:color="000000" w:fill="000000"/>
          <w:fitText w:val="475" w:id="-664556024"/>
          <w14:textFill>
            <w14:solidFill>
              <w14:srgbClr w14:val="000000">
                <w14:alpha w14:val="100000"/>
              </w14:srgbClr>
            </w14:solidFill>
          </w14:textFill>
        </w:rPr>
        <w:t>|||  ||</w:t>
      </w:r>
      <w:r w:rsidRPr="00700ECA">
        <w:rPr>
          <w:color w:val="000000"/>
          <w:spacing w:val="5"/>
          <w:w w:val="61"/>
          <w:shd w:val="solid" w:color="000000" w:fill="000000"/>
          <w:fitText w:val="475" w:id="-664556024"/>
          <w14:textFill>
            <w14:solidFill>
              <w14:srgbClr w14:val="000000">
                <w14:alpha w14:val="100000"/>
              </w14:srgbClr>
            </w14:solidFill>
          </w14:textFill>
        </w:rPr>
        <w:t>|</w:t>
      </w:r>
      <w:r w:rsidR="007F2368" w:rsidRPr="007F2368">
        <w:t xml:space="preserve"> </w:t>
      </w:r>
    </w:p>
    <w:p w14:paraId="2AAAADF7" w14:textId="77777777" w:rsidR="007F2368" w:rsidRPr="007F2368" w:rsidRDefault="007F2368" w:rsidP="007F2368">
      <w:pPr>
        <w:rPr>
          <w:rFonts w:ascii="Arial" w:hAnsi="Arial"/>
        </w:rPr>
      </w:pPr>
    </w:p>
    <w:p w14:paraId="70E0967F" w14:textId="6EAE6A87" w:rsidR="007F2368" w:rsidRPr="00FE5714" w:rsidRDefault="006114E5" w:rsidP="007F2368">
      <w:pPr>
        <w:keepNext/>
        <w:keepLines/>
        <w:jc w:val="left"/>
        <w:rPr>
          <w:rFonts w:ascii="Arial Narrow" w:hAnsi="Arial Narrow" w:cs="Aptos"/>
          <w:b/>
          <w:sz w:val="20"/>
          <w:szCs w:val="20"/>
          <w:highlight w:val="yellow"/>
        </w:rPr>
      </w:pPr>
      <w:r w:rsidRPr="00BD4FD7">
        <w:rPr>
          <w:rFonts w:ascii="Arial Narrow" w:hAnsi="Arial Narrow" w:cs="Aptos"/>
          <w:b/>
          <w:color w:val="000000"/>
          <w:spacing w:val="58"/>
          <w:sz w:val="20"/>
          <w:szCs w:val="20"/>
          <w:shd w:val="solid" w:color="000000" w:fill="000000"/>
          <w:fitText w:val="360" w:id="-664556023"/>
          <w14:textFill>
            <w14:solidFill>
              <w14:srgbClr w14:val="000000">
                <w14:alpha w14:val="100000"/>
              </w14:srgbClr>
            </w14:solidFill>
          </w14:textFill>
        </w:rPr>
        <w:lastRenderedPageBreak/>
        <w:t>|||</w:t>
      </w:r>
      <w:r w:rsidRPr="00BD4FD7">
        <w:rPr>
          <w:rFonts w:ascii="Arial Narrow" w:hAnsi="Arial Narrow" w:cs="Aptos"/>
          <w:b/>
          <w:color w:val="000000"/>
          <w:spacing w:val="3"/>
          <w:sz w:val="20"/>
          <w:szCs w:val="20"/>
          <w:shd w:val="solid" w:color="000000" w:fill="000000"/>
          <w:fitText w:val="360" w:id="-664556023"/>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30"/>
          <w:sz w:val="20"/>
          <w:szCs w:val="20"/>
          <w:shd w:val="solid" w:color="000000" w:fill="000000"/>
          <w:fitText w:val="630" w:id="-664556021"/>
          <w14:textFill>
            <w14:solidFill>
              <w14:srgbClr w14:val="000000">
                <w14:alpha w14:val="100000"/>
              </w14:srgbClr>
            </w14:solidFill>
          </w14:textFill>
        </w:rPr>
        <w:t>|||||||</w:t>
      </w:r>
      <w:r w:rsidRPr="006114E5">
        <w:rPr>
          <w:rFonts w:ascii="Arial Narrow" w:hAnsi="Arial Narrow" w:cs="Aptos"/>
          <w:b/>
          <w:color w:val="000000"/>
          <w:spacing w:val="60"/>
          <w:sz w:val="20"/>
          <w:szCs w:val="20"/>
          <w:shd w:val="solid" w:color="000000" w:fill="000000"/>
          <w:fitText w:val="630" w:id="-664556021"/>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58"/>
          <w:sz w:val="20"/>
          <w:szCs w:val="20"/>
          <w:shd w:val="solid" w:color="000000" w:fill="000000"/>
          <w:fitText w:val="360" w:id="-664556020"/>
          <w14:textFill>
            <w14:solidFill>
              <w14:srgbClr w14:val="000000">
                <w14:alpha w14:val="100000"/>
              </w14:srgbClr>
            </w14:solidFill>
          </w14:textFill>
        </w:rPr>
        <w:t>|||</w:t>
      </w:r>
      <w:r w:rsidRPr="006114E5">
        <w:rPr>
          <w:rFonts w:ascii="Arial Narrow" w:hAnsi="Arial Narrow" w:cs="Aptos"/>
          <w:b/>
          <w:color w:val="000000"/>
          <w:spacing w:val="3"/>
          <w:sz w:val="20"/>
          <w:szCs w:val="20"/>
          <w:shd w:val="solid" w:color="000000" w:fill="000000"/>
          <w:fitText w:val="360" w:id="-664556020"/>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58"/>
          <w:sz w:val="20"/>
          <w:szCs w:val="20"/>
          <w:shd w:val="solid" w:color="000000" w:fill="000000"/>
          <w:fitText w:val="360" w:id="-664556019"/>
          <w14:textFill>
            <w14:solidFill>
              <w14:srgbClr w14:val="000000">
                <w14:alpha w14:val="100000"/>
              </w14:srgbClr>
            </w14:solidFill>
          </w14:textFill>
        </w:rPr>
        <w:t>|||</w:t>
      </w:r>
      <w:r w:rsidRPr="006114E5">
        <w:rPr>
          <w:rFonts w:ascii="Arial Narrow" w:hAnsi="Arial Narrow" w:cs="Aptos"/>
          <w:b/>
          <w:color w:val="000000"/>
          <w:spacing w:val="3"/>
          <w:sz w:val="20"/>
          <w:szCs w:val="20"/>
          <w:shd w:val="solid" w:color="000000" w:fill="000000"/>
          <w:fitText w:val="360" w:id="-664556019"/>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58"/>
          <w:sz w:val="20"/>
          <w:szCs w:val="20"/>
          <w:shd w:val="solid" w:color="000000" w:fill="000000"/>
          <w:fitText w:val="360" w:id="-664556018"/>
          <w14:textFill>
            <w14:solidFill>
              <w14:srgbClr w14:val="000000">
                <w14:alpha w14:val="100000"/>
              </w14:srgbClr>
            </w14:solidFill>
          </w14:textFill>
        </w:rPr>
        <w:t>|||</w:t>
      </w:r>
      <w:r w:rsidRPr="006114E5">
        <w:rPr>
          <w:rFonts w:ascii="Arial Narrow" w:hAnsi="Arial Narrow" w:cs="Aptos"/>
          <w:b/>
          <w:color w:val="000000"/>
          <w:spacing w:val="3"/>
          <w:sz w:val="20"/>
          <w:szCs w:val="20"/>
          <w:shd w:val="solid" w:color="000000" w:fill="000000"/>
          <w:fitText w:val="360" w:id="-664556018"/>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58"/>
          <w:sz w:val="20"/>
          <w:szCs w:val="20"/>
          <w:shd w:val="solid" w:color="000000" w:fill="000000"/>
          <w:fitText w:val="360" w:id="-664556017"/>
          <w14:textFill>
            <w14:solidFill>
              <w14:srgbClr w14:val="000000">
                <w14:alpha w14:val="100000"/>
              </w14:srgbClr>
            </w14:solidFill>
          </w14:textFill>
        </w:rPr>
        <w:t>|||</w:t>
      </w:r>
      <w:r w:rsidRPr="006114E5">
        <w:rPr>
          <w:rFonts w:ascii="Arial Narrow" w:hAnsi="Arial Narrow" w:cs="Aptos"/>
          <w:b/>
          <w:color w:val="000000"/>
          <w:spacing w:val="3"/>
          <w:sz w:val="20"/>
          <w:szCs w:val="20"/>
          <w:shd w:val="solid" w:color="000000" w:fill="000000"/>
          <w:fitText w:val="360" w:id="-664556017"/>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58"/>
          <w:sz w:val="20"/>
          <w:szCs w:val="20"/>
          <w:shd w:val="solid" w:color="000000" w:fill="000000"/>
          <w:fitText w:val="360" w:id="-664556016"/>
          <w14:textFill>
            <w14:solidFill>
              <w14:srgbClr w14:val="000000">
                <w14:alpha w14:val="100000"/>
              </w14:srgbClr>
            </w14:solidFill>
          </w14:textFill>
        </w:rPr>
        <w:t>|||</w:t>
      </w:r>
      <w:r w:rsidRPr="006114E5">
        <w:rPr>
          <w:rFonts w:ascii="Arial Narrow" w:hAnsi="Arial Narrow" w:cs="Aptos"/>
          <w:b/>
          <w:color w:val="000000"/>
          <w:spacing w:val="3"/>
          <w:sz w:val="20"/>
          <w:szCs w:val="20"/>
          <w:shd w:val="solid" w:color="000000" w:fill="000000"/>
          <w:fitText w:val="360" w:id="-664556016"/>
          <w14:textFill>
            <w14:solidFill>
              <w14:srgbClr w14:val="000000">
                <w14:alpha w14:val="100000"/>
              </w14:srgbClr>
            </w14:solidFill>
          </w14:textFill>
        </w:rPr>
        <w:t>|</w:t>
      </w:r>
      <w:r w:rsidR="009A4581" w:rsidRPr="009A4581">
        <w:rPr>
          <w:rFonts w:ascii="Arial Narrow" w:hAnsi="Arial Narrow" w:cs="Aptos"/>
          <w:b/>
          <w:sz w:val="20"/>
          <w:szCs w:val="20"/>
        </w:rPr>
        <w:t xml:space="preserve"> </w:t>
      </w:r>
      <w:r w:rsidRPr="006114E5">
        <w:rPr>
          <w:rFonts w:ascii="Arial Narrow" w:hAnsi="Arial Narrow" w:cs="Aptos"/>
          <w:b/>
          <w:color w:val="000000"/>
          <w:spacing w:val="45"/>
          <w:sz w:val="20"/>
          <w:szCs w:val="20"/>
          <w:shd w:val="solid" w:color="000000" w:fill="000000"/>
          <w:fitText w:val="345" w:id="-664556032"/>
          <w14:textFill>
            <w14:solidFill>
              <w14:srgbClr w14:val="000000">
                <w14:alpha w14:val="100000"/>
              </w14:srgbClr>
            </w14:solidFill>
          </w14:textFill>
        </w:rPr>
        <w:t>|||</w:t>
      </w:r>
      <w:r w:rsidRPr="006114E5">
        <w:rPr>
          <w:rFonts w:ascii="Arial Narrow" w:hAnsi="Arial Narrow" w:cs="Aptos"/>
          <w:b/>
          <w:color w:val="000000"/>
          <w:spacing w:val="30"/>
          <w:sz w:val="20"/>
          <w:szCs w:val="20"/>
          <w:shd w:val="solid" w:color="000000" w:fill="000000"/>
          <w:fitText w:val="345" w:id="-664556032"/>
          <w14:textFill>
            <w14:solidFill>
              <w14:srgbClr w14:val="000000">
                <w14:alpha w14:val="100000"/>
              </w14:srgbClr>
            </w14:solidFill>
          </w14:textFill>
        </w:rPr>
        <w:t>|</w:t>
      </w:r>
    </w:p>
    <w:tbl>
      <w:tblPr>
        <w:tblW w:w="0" w:type="auto"/>
        <w:tblLayout w:type="fixed"/>
        <w:tblLook w:val="04A0" w:firstRow="1" w:lastRow="0" w:firstColumn="1" w:lastColumn="0" w:noHBand="0" w:noVBand="1"/>
      </w:tblPr>
      <w:tblGrid>
        <w:gridCol w:w="1829"/>
        <w:gridCol w:w="552"/>
        <w:gridCol w:w="553"/>
        <w:gridCol w:w="553"/>
        <w:gridCol w:w="553"/>
        <w:gridCol w:w="553"/>
        <w:gridCol w:w="553"/>
        <w:gridCol w:w="552"/>
        <w:gridCol w:w="553"/>
        <w:gridCol w:w="553"/>
        <w:gridCol w:w="553"/>
        <w:gridCol w:w="553"/>
        <w:gridCol w:w="553"/>
        <w:gridCol w:w="553"/>
      </w:tblGrid>
      <w:tr w:rsidR="007F2368" w:rsidRPr="00FE5714" w14:paraId="7AAFDD12" w14:textId="77777777" w:rsidTr="006114E5">
        <w:trPr>
          <w:trHeight w:val="285"/>
        </w:trPr>
        <w:tc>
          <w:tcPr>
            <w:tcW w:w="1829"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72FA880F" w14:textId="0C66DDBE" w:rsidR="007F2368" w:rsidRPr="00FE5714" w:rsidRDefault="006114E5" w:rsidP="007F2368">
            <w:pPr>
              <w:keepNext/>
              <w:keepLines/>
              <w:spacing w:line="256" w:lineRule="auto"/>
              <w:jc w:val="left"/>
              <w:rPr>
                <w:rFonts w:ascii="Arial Narrow" w:hAnsi="Arial Narrow" w:cs="Aptos"/>
                <w:b/>
                <w:kern w:val="2"/>
                <w:sz w:val="20"/>
                <w:szCs w:val="20"/>
                <w:highlight w:val="yellow"/>
                <w:lang w:eastAsia="en-US"/>
                <w14:ligatures w14:val="standardContextual"/>
              </w:rPr>
            </w:pPr>
            <w:r w:rsidRPr="006114E5">
              <w:rPr>
                <w:rFonts w:ascii="Arial Narrow" w:hAnsi="Arial Narrow" w:cs="Aptos"/>
                <w:b/>
                <w:color w:val="000000"/>
                <w:spacing w:val="58"/>
                <w:sz w:val="20"/>
                <w:szCs w:val="20"/>
                <w:fitText w:val="360" w:id="-664556031"/>
                <w:lang w:eastAsia="en-US"/>
                <w14:textFill>
                  <w14:solidFill>
                    <w14:srgbClr w14:val="000000">
                      <w14:alpha w14:val="100000"/>
                    </w14:srgbClr>
                  </w14:solidFill>
                </w14:textFill>
                <w14:ligatures w14:val="standardContextual"/>
              </w:rPr>
              <w:t>|||</w:t>
            </w:r>
            <w:r w:rsidRPr="006114E5">
              <w:rPr>
                <w:rFonts w:ascii="Arial Narrow" w:hAnsi="Arial Narrow" w:cs="Aptos"/>
                <w:b/>
                <w:color w:val="000000"/>
                <w:spacing w:val="3"/>
                <w:sz w:val="20"/>
                <w:szCs w:val="20"/>
                <w:fitText w:val="360" w:id="-664556031"/>
                <w:lang w:eastAsia="en-US"/>
                <w14:textFill>
                  <w14:solidFill>
                    <w14:srgbClr w14:val="000000">
                      <w14:alpha w14:val="100000"/>
                    </w14:srgbClr>
                  </w14:solidFill>
                </w14:textFill>
                <w14:ligatures w14:val="standardContextual"/>
              </w:rPr>
              <w:t>|</w:t>
            </w:r>
          </w:p>
        </w:tc>
        <w:tc>
          <w:tcPr>
            <w:tcW w:w="552" w:type="dxa"/>
            <w:tcBorders>
              <w:top w:val="single" w:sz="4" w:space="0" w:color="auto"/>
              <w:left w:val="nil"/>
              <w:bottom w:val="single" w:sz="4" w:space="0" w:color="auto"/>
              <w:right w:val="single" w:sz="4" w:space="0" w:color="auto"/>
            </w:tcBorders>
            <w:vAlign w:val="center"/>
            <w:hideMark/>
          </w:tcPr>
          <w:p w14:paraId="1042A675" w14:textId="05DC156E"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30"/>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9"/>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9"/>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67F8857B" w14:textId="47EADF25"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8"/>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7"/>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7"/>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4425BB9D" w14:textId="2D13B851"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6"/>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5"/>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5"/>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769B6081" w14:textId="63DFC178"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4"/>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3"/>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3"/>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41D23956" w14:textId="5226E749"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2"/>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1"/>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1"/>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38EE777A" w14:textId="1D28487D"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0"/>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19"/>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19"/>
                <w:lang w:eastAsia="en-US"/>
                <w14:textFill>
                  <w14:solidFill>
                    <w14:srgbClr w14:val="000000">
                      <w14:alpha w14:val="100000"/>
                    </w14:srgbClr>
                  </w14:solidFill>
                </w14:textFill>
                <w14:ligatures w14:val="standardContextual"/>
              </w:rPr>
              <w:t xml:space="preserve">　</w:t>
            </w:r>
          </w:p>
        </w:tc>
        <w:tc>
          <w:tcPr>
            <w:tcW w:w="552" w:type="dxa"/>
            <w:tcBorders>
              <w:top w:val="single" w:sz="4" w:space="0" w:color="auto"/>
              <w:left w:val="nil"/>
              <w:bottom w:val="single" w:sz="4" w:space="0" w:color="auto"/>
              <w:right w:val="single" w:sz="4" w:space="0" w:color="auto"/>
            </w:tcBorders>
            <w:vAlign w:val="center"/>
            <w:hideMark/>
          </w:tcPr>
          <w:p w14:paraId="2F6A57FE" w14:textId="4A1F2224"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18"/>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17"/>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17"/>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1DBE687E" w14:textId="580A8526"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16"/>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32"/>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32"/>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2CBB6C9C" w14:textId="69FFE128"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31"/>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30"/>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30"/>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2D427769" w14:textId="0A2378F3"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9"/>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8"/>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8"/>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69EBCFB5" w14:textId="29874C5E"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7"/>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6"/>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6"/>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168C476C" w14:textId="319911F5"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5"/>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4"/>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4"/>
                <w:lang w:eastAsia="en-US"/>
                <w14:textFill>
                  <w14:solidFill>
                    <w14:srgbClr w14:val="000000">
                      <w14:alpha w14:val="100000"/>
                    </w14:srgbClr>
                  </w14:solidFill>
                </w14:textFill>
                <w14:ligatures w14:val="standardContextual"/>
              </w:rPr>
              <w:t xml:space="preserve">　</w:t>
            </w:r>
          </w:p>
        </w:tc>
        <w:tc>
          <w:tcPr>
            <w:tcW w:w="553" w:type="dxa"/>
            <w:tcBorders>
              <w:top w:val="single" w:sz="4" w:space="0" w:color="auto"/>
              <w:left w:val="nil"/>
              <w:bottom w:val="single" w:sz="4" w:space="0" w:color="auto"/>
              <w:right w:val="single" w:sz="4" w:space="0" w:color="auto"/>
            </w:tcBorders>
            <w:vAlign w:val="center"/>
            <w:hideMark/>
          </w:tcPr>
          <w:p w14:paraId="1E9CA698" w14:textId="1CE9DA49" w:rsidR="007F2368" w:rsidRPr="00FE5714" w:rsidRDefault="006114E5" w:rsidP="007F2368">
            <w:pPr>
              <w:keepNext/>
              <w:keepLines/>
              <w:spacing w:line="256" w:lineRule="auto"/>
              <w:jc w:val="left"/>
              <w:rPr>
                <w:rFonts w:ascii="Arial Narrow" w:hAnsi="Arial Narrow" w:cs="Aptos"/>
                <w:b/>
                <w:kern w:val="2"/>
                <w:sz w:val="18"/>
                <w:szCs w:val="18"/>
                <w:highlight w:val="yellow"/>
                <w:lang w:eastAsia="en-US"/>
                <w14:ligatures w14:val="standardContextual"/>
              </w:rPr>
            </w:pPr>
            <w:r w:rsidRPr="00700ECA">
              <w:rPr>
                <w:rFonts w:ascii="Arial Narrow" w:hAnsi="Arial Narrow" w:cs="Aptos"/>
                <w:b/>
                <w:color w:val="000000"/>
                <w:spacing w:val="-75"/>
                <w:sz w:val="18"/>
                <w:szCs w:val="18"/>
                <w:shd w:val="solid" w:color="000000" w:fill="000000"/>
                <w:fitText w:val="105" w:id="-664556023"/>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w w:val="37"/>
                <w:sz w:val="18"/>
                <w:szCs w:val="18"/>
                <w:shd w:val="solid" w:color="000000" w:fill="000000"/>
                <w:fitText w:val="150" w:id="-664556022"/>
                <w:lang w:eastAsia="en-US"/>
                <w14:textFill>
                  <w14:solidFill>
                    <w14:srgbClr w14:val="000000">
                      <w14:alpha w14:val="100000"/>
                    </w14:srgbClr>
                  </w14:solidFill>
                </w14:textFill>
                <w14:ligatures w14:val="standardContextual"/>
              </w:rPr>
              <w:t xml:space="preserve">　|</w:t>
            </w:r>
            <w:r w:rsidRPr="00700ECA">
              <w:rPr>
                <w:rFonts w:ascii="Arial Narrow" w:hAnsi="Arial Narrow" w:cs="Aptos"/>
                <w:b/>
                <w:color w:val="000000"/>
                <w:spacing w:val="2"/>
                <w:w w:val="37"/>
                <w:sz w:val="18"/>
                <w:szCs w:val="18"/>
                <w:shd w:val="solid" w:color="000000" w:fill="000000"/>
                <w:fitText w:val="150" w:id="-664556022"/>
                <w:lang w:eastAsia="en-US"/>
                <w14:textFill>
                  <w14:solidFill>
                    <w14:srgbClr w14:val="000000">
                      <w14:alpha w14:val="100000"/>
                    </w14:srgbClr>
                  </w14:solidFill>
                </w14:textFill>
                <w14:ligatures w14:val="standardContextual"/>
              </w:rPr>
              <w:t xml:space="preserve">　</w:t>
            </w:r>
          </w:p>
        </w:tc>
      </w:tr>
      <w:tr w:rsidR="007F2368" w:rsidRPr="00FE5714" w14:paraId="22E6753D" w14:textId="77777777" w:rsidTr="009A4581">
        <w:trPr>
          <w:trHeight w:val="285"/>
        </w:trPr>
        <w:tc>
          <w:tcPr>
            <w:tcW w:w="1829" w:type="dxa"/>
            <w:tcBorders>
              <w:top w:val="nil"/>
              <w:left w:val="single" w:sz="4" w:space="0" w:color="auto"/>
              <w:bottom w:val="single" w:sz="4" w:space="0" w:color="auto"/>
              <w:right w:val="single" w:sz="4" w:space="0" w:color="auto"/>
            </w:tcBorders>
            <w:vAlign w:val="center"/>
            <w:hideMark/>
          </w:tcPr>
          <w:p w14:paraId="47C10329" w14:textId="56877D56"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45"/>
                <w:sz w:val="20"/>
                <w:szCs w:val="20"/>
                <w:shd w:val="solid" w:color="000000" w:fill="000000"/>
                <w:fitText w:val="330" w:id="-66455602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21"/>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2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2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1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19"/>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1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18"/>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1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17"/>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1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1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603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6032"/>
                <w:lang w:eastAsia="en-US"/>
                <w14:textFill>
                  <w14:solidFill>
                    <w14:srgbClr w14:val="000000">
                      <w14:alpha w14:val="100000"/>
                    </w14:srgbClr>
                  </w14:solidFill>
                </w14:textFill>
                <w14:ligatures w14:val="standardContextual"/>
              </w:rPr>
              <w:t>|</w:t>
            </w:r>
          </w:p>
        </w:tc>
        <w:tc>
          <w:tcPr>
            <w:tcW w:w="552" w:type="dxa"/>
            <w:tcBorders>
              <w:top w:val="nil"/>
              <w:left w:val="nil"/>
              <w:bottom w:val="single" w:sz="4" w:space="0" w:color="auto"/>
              <w:right w:val="single" w:sz="4" w:space="0" w:color="auto"/>
            </w:tcBorders>
            <w:vAlign w:val="center"/>
            <w:hideMark/>
          </w:tcPr>
          <w:p w14:paraId="52A30D0B" w14:textId="6216751A"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6031"/>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3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30"/>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vAlign w:val="center"/>
            <w:hideMark/>
          </w:tcPr>
          <w:p w14:paraId="54382DF8" w14:textId="29997F48"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6029"/>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8"/>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vAlign w:val="center"/>
            <w:hideMark/>
          </w:tcPr>
          <w:p w14:paraId="0A486E2B" w14:textId="3A696DC7"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6027"/>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6"/>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vAlign w:val="center"/>
            <w:hideMark/>
          </w:tcPr>
          <w:p w14:paraId="17B730C1" w14:textId="71BC5958"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6025"/>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4"/>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vAlign w:val="center"/>
            <w:hideMark/>
          </w:tcPr>
          <w:p w14:paraId="69D61A60" w14:textId="3FEB906F"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6023"/>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2"/>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55BED2E7" w14:textId="452CB259"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6021"/>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0"/>
                <w:lang w:eastAsia="en-US"/>
                <w14:textFill>
                  <w14:solidFill>
                    <w14:srgbClr w14:val="000000">
                      <w14:alpha w14:val="100000"/>
                    </w14:srgbClr>
                  </w14:solidFill>
                </w14:textFill>
                <w14:ligatures w14:val="standardContextual"/>
              </w:rPr>
              <w:t>|</w:t>
            </w:r>
          </w:p>
        </w:tc>
        <w:tc>
          <w:tcPr>
            <w:tcW w:w="552" w:type="dxa"/>
            <w:tcBorders>
              <w:top w:val="nil"/>
              <w:left w:val="nil"/>
              <w:bottom w:val="single" w:sz="4" w:space="0" w:color="auto"/>
              <w:right w:val="single" w:sz="4" w:space="0" w:color="auto"/>
            </w:tcBorders>
            <w:noWrap/>
            <w:vAlign w:val="center"/>
            <w:hideMark/>
          </w:tcPr>
          <w:p w14:paraId="14ADD5B1" w14:textId="43095F75"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6019"/>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1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18"/>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6BEB9EBF" w14:textId="27CA8C99"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6017"/>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1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16"/>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4935EF1C" w14:textId="38777DFC"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603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3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31"/>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3522EA67" w14:textId="713E7332"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6030"/>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602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6029"/>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1787341B" w14:textId="15A002FE"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6"/>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5"/>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38E6BC9C" w14:textId="540AE388"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4"/>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3"/>
                <w:lang w:eastAsia="en-US"/>
                <w14:textFill>
                  <w14:solidFill>
                    <w14:srgbClr w14:val="000000">
                      <w14:alpha w14:val="100000"/>
                    </w14:srgbClr>
                  </w14:solidFill>
                </w14:textFill>
                <w14:ligatures w14:val="standardContextual"/>
              </w:rPr>
              <w:t>|</w:t>
            </w:r>
          </w:p>
        </w:tc>
        <w:tc>
          <w:tcPr>
            <w:tcW w:w="553" w:type="dxa"/>
            <w:tcBorders>
              <w:top w:val="nil"/>
              <w:left w:val="nil"/>
              <w:bottom w:val="single" w:sz="4" w:space="0" w:color="auto"/>
              <w:right w:val="single" w:sz="4" w:space="0" w:color="auto"/>
            </w:tcBorders>
            <w:noWrap/>
            <w:vAlign w:val="center"/>
            <w:hideMark/>
          </w:tcPr>
          <w:p w14:paraId="06DE8D7C" w14:textId="1A61CB23" w:rsidR="007F2368" w:rsidRPr="00AE115A" w:rsidRDefault="006114E5" w:rsidP="007F2368">
            <w:pPr>
              <w:keepNext/>
              <w:keepLines/>
              <w:spacing w:line="256" w:lineRule="auto"/>
              <w:jc w:val="left"/>
              <w:rPr>
                <w:rFonts w:ascii="Arial Narrow" w:hAnsi="Arial Narrow" w:cs="Aptos"/>
                <w:bCs/>
                <w:kern w:val="2"/>
                <w:sz w:val="20"/>
                <w:szCs w:val="20"/>
                <w:highlight w:val="cya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1"/>
                <w:lang w:eastAsia="en-US"/>
                <w14:textFill>
                  <w14:solidFill>
                    <w14:srgbClr w14:val="000000">
                      <w14:alpha w14:val="100000"/>
                    </w14:srgbClr>
                  </w14:solidFill>
                </w14:textFill>
                <w14:ligatures w14:val="standardContextual"/>
              </w:rPr>
              <w:t>|</w:t>
            </w:r>
          </w:p>
        </w:tc>
      </w:tr>
      <w:tr w:rsidR="007F2368" w:rsidRPr="00FE5714" w14:paraId="43EA52DC" w14:textId="77777777" w:rsidTr="009A4581">
        <w:trPr>
          <w:trHeight w:val="285"/>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7E2C588F" w14:textId="323881B7"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45"/>
                <w:sz w:val="20"/>
                <w:szCs w:val="20"/>
                <w:shd w:val="solid" w:color="000000" w:fill="000000"/>
                <w:fitText w:val="330" w:id="-66455577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9"/>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8"/>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4"/>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3"/>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2"/>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1"/>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5"/>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hideMark/>
          </w:tcPr>
          <w:p w14:paraId="064E5705" w14:textId="77777777" w:rsidR="007F2368" w:rsidRPr="00FE5714" w:rsidRDefault="007F2368" w:rsidP="007F2368">
            <w:pPr>
              <w:rPr>
                <w:kern w:val="2"/>
                <w:highlight w:val="yellow"/>
                <w:lang w:eastAsia="en-US"/>
                <w14:ligatures w14:val="standardContextual"/>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66D120B" w14:textId="61289BFA"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4"/>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color w:val="000000"/>
                <w:spacing w:val="79"/>
                <w:sz w:val="20"/>
                <w:szCs w:val="20"/>
                <w:shd w:val="solid" w:color="000000" w:fill="000000"/>
                <w:fitText w:val="165" w:id="-664555773"/>
                <w:lang w:eastAsia="en-US"/>
                <w14:textFill>
                  <w14:solidFill>
                    <w14:srgbClr w14:val="000000">
                      <w14:alpha w14:val="100000"/>
                    </w14:srgbClr>
                  </w14:solidFill>
                </w14:textFill>
                <w14:ligatures w14:val="standardContextual"/>
              </w:rPr>
              <w:t>|</w:t>
            </w:r>
            <w:r w:rsidRPr="00774455">
              <w:rPr>
                <w:rFonts w:ascii="Arial Narrow" w:hAnsi="Arial Narrow" w:cs="Aptos"/>
                <w:bCs/>
                <w:color w:val="000000"/>
                <w:sz w:val="20"/>
                <w:szCs w:val="20"/>
                <w:shd w:val="solid" w:color="000000" w:fill="000000"/>
                <w:fitText w:val="165" w:id="-664555773"/>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159DE74" w14:textId="77545387"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1"/>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FB7D34C" w14:textId="1E2DFDEE"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0"/>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9"/>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A31C535" w14:textId="3760B7EA"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8"/>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7"/>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2673762" w14:textId="4FE90EC7"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6"/>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5"/>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hideMark/>
          </w:tcPr>
          <w:p w14:paraId="4CC455C3" w14:textId="40A391F8"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4"/>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3"/>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31AE54C" w14:textId="33D5287F"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1"/>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59DB5BB7" w14:textId="30308CB4"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0"/>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6"/>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4F5A63C8" w14:textId="29355934"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5"/>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4"/>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59B2C380" w14:textId="7353995B"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3"/>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2"/>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3A02E928" w14:textId="4C4E3CC2"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1"/>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0"/>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CB76D57" w14:textId="579BFC7A"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9"/>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8"/>
                <w:lang w:eastAsia="en-US"/>
                <w14:textFill>
                  <w14:solidFill>
                    <w14:srgbClr w14:val="000000">
                      <w14:alpha w14:val="100000"/>
                    </w14:srgbClr>
                  </w14:solidFill>
                </w14:textFill>
                <w14:ligatures w14:val="standardContextual"/>
              </w:rPr>
              <w:t>|</w:t>
            </w:r>
          </w:p>
        </w:tc>
      </w:tr>
      <w:tr w:rsidR="007F2368" w:rsidRPr="00FE5714" w14:paraId="168E88B7" w14:textId="77777777" w:rsidTr="009A4581">
        <w:trPr>
          <w:trHeight w:val="285"/>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0F799ADD" w14:textId="7148289D"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4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4"/>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3"/>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2"/>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1"/>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5"/>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4"/>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3"/>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2"/>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1"/>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7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0"/>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hideMark/>
          </w:tcPr>
          <w:p w14:paraId="4736DB10" w14:textId="77777777" w:rsidR="007F2368" w:rsidRPr="00FE5714" w:rsidRDefault="007F2368" w:rsidP="007F2368">
            <w:pPr>
              <w:rPr>
                <w:kern w:val="2"/>
                <w:highlight w:val="yellow"/>
                <w:lang w:eastAsia="en-US"/>
                <w14:ligatures w14:val="standardContextual"/>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1E7ED94B"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362DBFB"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29DD579"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7C1339A7"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0897AC71" w14:textId="29F389CF"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9"/>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8"/>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hideMark/>
          </w:tcPr>
          <w:p w14:paraId="3DBF1D54" w14:textId="706A7704"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7"/>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6"/>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7D4F4C8" w14:textId="15200E36"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5"/>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4"/>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FBF919E" w14:textId="01BF8F42"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3"/>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2"/>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234248FF" w14:textId="5D994CE8"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61"/>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6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60"/>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40F71602" w14:textId="5CF39736"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6"/>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5"/>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62142D7B" w14:textId="5B6885F1"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4"/>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3"/>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hideMark/>
          </w:tcPr>
          <w:p w14:paraId="3B21B0F5" w14:textId="3E5E7662"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77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77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771"/>
                <w:lang w:eastAsia="en-US"/>
                <w14:textFill>
                  <w14:solidFill>
                    <w14:srgbClr w14:val="000000">
                      <w14:alpha w14:val="100000"/>
                    </w14:srgbClr>
                  </w14:solidFill>
                </w14:textFill>
                <w14:ligatures w14:val="standardContextual"/>
              </w:rPr>
              <w:t>|</w:t>
            </w:r>
          </w:p>
        </w:tc>
      </w:tr>
      <w:tr w:rsidR="007F2368" w:rsidRPr="00FE5714" w14:paraId="7F9CD9E8" w14:textId="77777777" w:rsidTr="009A4581">
        <w:trPr>
          <w:trHeight w:val="285"/>
        </w:trPr>
        <w:tc>
          <w:tcPr>
            <w:tcW w:w="1829" w:type="dxa"/>
            <w:tcBorders>
              <w:top w:val="single" w:sz="4" w:space="0" w:color="auto"/>
              <w:left w:val="single" w:sz="4" w:space="0" w:color="auto"/>
              <w:bottom w:val="single" w:sz="4" w:space="0" w:color="auto"/>
              <w:right w:val="single" w:sz="4" w:space="0" w:color="auto"/>
            </w:tcBorders>
            <w:noWrap/>
            <w:vAlign w:val="center"/>
          </w:tcPr>
          <w:p w14:paraId="4E522F7F" w14:textId="144F055A"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45"/>
                <w:sz w:val="20"/>
                <w:szCs w:val="20"/>
                <w:shd w:val="solid" w:color="000000" w:fill="000000"/>
                <w:fitText w:val="330" w:id="-66455577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7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9"/>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8"/>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7"/>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5"/>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76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764"/>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tcPr>
          <w:p w14:paraId="41F503F6" w14:textId="77777777" w:rsidR="007F2368" w:rsidRPr="00FE5714" w:rsidRDefault="007F2368" w:rsidP="007F2368">
            <w:pPr>
              <w:rPr>
                <w:kern w:val="2"/>
                <w:highlight w:val="yellow"/>
                <w:lang w:eastAsia="en-US"/>
                <w14:ligatures w14:val="standardContextual"/>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6FA5D2A0"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78E314C"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3505FD1D"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1CC0678"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B2107A1" w14:textId="4087EF2D"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20"/>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9"/>
                <w:lang w:eastAsia="en-US"/>
                <w14:textFill>
                  <w14:solidFill>
                    <w14:srgbClr w14:val="000000">
                      <w14:alpha w14:val="100000"/>
                    </w14:srgbClr>
                  </w14:solidFill>
                </w14:textFill>
                <w14:ligatures w14:val="standardContextual"/>
              </w:rPr>
              <w:t>|</w:t>
            </w:r>
          </w:p>
        </w:tc>
        <w:tc>
          <w:tcPr>
            <w:tcW w:w="552" w:type="dxa"/>
            <w:tcBorders>
              <w:top w:val="single" w:sz="4" w:space="0" w:color="auto"/>
              <w:left w:val="single" w:sz="4" w:space="0" w:color="auto"/>
              <w:bottom w:val="single" w:sz="4" w:space="0" w:color="auto"/>
              <w:right w:val="single" w:sz="4" w:space="0" w:color="auto"/>
            </w:tcBorders>
            <w:noWrap/>
            <w:vAlign w:val="center"/>
          </w:tcPr>
          <w:p w14:paraId="4D2E83C1" w14:textId="406DC93C"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8"/>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7"/>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0C815BE8" w14:textId="1028741F"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6"/>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5"/>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59AF901F" w14:textId="169191BC"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4"/>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3"/>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3"/>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3F38E1FC" w14:textId="79922F02"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2"/>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1"/>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1"/>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04424988" w14:textId="1EA1CEDB"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0"/>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9"/>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7E0B96BB" w14:textId="12D50376"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08"/>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7"/>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1DA28A35" w14:textId="18A18B07"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06"/>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5"/>
                <w:lang w:eastAsia="en-US"/>
                <w14:textFill>
                  <w14:solidFill>
                    <w14:srgbClr w14:val="000000">
                      <w14:alpha w14:val="100000"/>
                    </w14:srgbClr>
                  </w14:solidFill>
                </w14:textFill>
                <w14:ligatures w14:val="standardContextual"/>
              </w:rPr>
              <w:t>|</w:t>
            </w:r>
          </w:p>
        </w:tc>
      </w:tr>
      <w:tr w:rsidR="007F2368" w:rsidRPr="007F2368" w14:paraId="7D418042" w14:textId="77777777" w:rsidTr="009A4581">
        <w:trPr>
          <w:trHeight w:val="285"/>
        </w:trPr>
        <w:tc>
          <w:tcPr>
            <w:tcW w:w="1829" w:type="dxa"/>
            <w:tcBorders>
              <w:top w:val="single" w:sz="4" w:space="0" w:color="auto"/>
              <w:left w:val="single" w:sz="4" w:space="0" w:color="auto"/>
              <w:bottom w:val="single" w:sz="4" w:space="0" w:color="auto"/>
              <w:right w:val="single" w:sz="4" w:space="0" w:color="auto"/>
            </w:tcBorders>
            <w:noWrap/>
            <w:vAlign w:val="center"/>
          </w:tcPr>
          <w:p w14:paraId="06FB5BB4" w14:textId="785513B8" w:rsidR="007F2368" w:rsidRPr="00FE5714" w:rsidRDefault="006114E5" w:rsidP="007F2368">
            <w:pPr>
              <w:keepNext/>
              <w:keepLines/>
              <w:spacing w:line="256" w:lineRule="auto"/>
              <w:jc w:val="left"/>
              <w:rPr>
                <w:rFonts w:ascii="Arial Narrow" w:hAnsi="Arial Narrow" w:cs="Aptos"/>
                <w:bCs/>
                <w:kern w:val="2"/>
                <w:sz w:val="20"/>
                <w:szCs w:val="20"/>
                <w:highlight w:val="yellow"/>
                <w:lang w:eastAsia="en-US"/>
                <w14:ligatures w14:val="standardContextual"/>
              </w:rPr>
            </w:pPr>
            <w:r w:rsidRPr="006114E5">
              <w:rPr>
                <w:rFonts w:ascii="Arial Narrow" w:hAnsi="Arial Narrow" w:cs="Aptos"/>
                <w:bCs/>
                <w:color w:val="000000"/>
                <w:spacing w:val="45"/>
                <w:sz w:val="20"/>
                <w:szCs w:val="20"/>
                <w:shd w:val="solid" w:color="000000" w:fill="000000"/>
                <w:fitText w:val="330" w:id="-66455550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04"/>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2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20"/>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9"/>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9"/>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8"/>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7"/>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7"/>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6"/>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5"/>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5"/>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r w:rsidRPr="006114E5">
              <w:rPr>
                <w:rFonts w:ascii="Arial Narrow" w:hAnsi="Arial Narrow" w:cs="Aptos"/>
                <w:bCs/>
                <w:color w:val="000000"/>
                <w:spacing w:val="45"/>
                <w:sz w:val="20"/>
                <w:szCs w:val="20"/>
                <w:shd w:val="solid" w:color="000000" w:fill="000000"/>
                <w:fitText w:val="330" w:id="-66455551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5"/>
                <w:sz w:val="20"/>
                <w:szCs w:val="20"/>
                <w:shd w:val="solid" w:color="000000" w:fill="000000"/>
                <w:fitText w:val="330" w:id="-664555514"/>
                <w:lang w:eastAsia="en-US"/>
                <w14:textFill>
                  <w14:solidFill>
                    <w14:srgbClr w14:val="000000">
                      <w14:alpha w14:val="100000"/>
                    </w14:srgbClr>
                  </w14:solidFill>
                </w14:textFill>
                <w14:ligatures w14:val="standardContextual"/>
              </w:rPr>
              <w:t>|</w:t>
            </w:r>
            <w:r w:rsidR="009A4581" w:rsidRPr="009A4581">
              <w:rPr>
                <w:rFonts w:ascii="Arial Narrow" w:hAnsi="Arial Narrow" w:cs="Aptos"/>
                <w:bCs/>
                <w:kern w:val="2"/>
                <w:sz w:val="20"/>
                <w:szCs w:val="20"/>
                <w:lang w:eastAsia="en-US"/>
                <w14:ligatures w14:val="standardContextual"/>
              </w:rPr>
              <w:t xml:space="preserve"> </w:t>
            </w:r>
          </w:p>
        </w:tc>
        <w:tc>
          <w:tcPr>
            <w:tcW w:w="552" w:type="dxa"/>
            <w:tcBorders>
              <w:top w:val="single" w:sz="4" w:space="0" w:color="auto"/>
              <w:left w:val="single" w:sz="4" w:space="0" w:color="auto"/>
              <w:bottom w:val="single" w:sz="4" w:space="0" w:color="auto"/>
              <w:right w:val="single" w:sz="4" w:space="0" w:color="auto"/>
            </w:tcBorders>
            <w:noWrap/>
            <w:vAlign w:val="center"/>
          </w:tcPr>
          <w:p w14:paraId="73F9B9C4" w14:textId="77777777" w:rsidR="007F2368" w:rsidRPr="00FE5714" w:rsidRDefault="007F2368" w:rsidP="007F2368">
            <w:pPr>
              <w:rPr>
                <w:kern w:val="2"/>
                <w:highlight w:val="yellow"/>
                <w:lang w:eastAsia="en-US"/>
                <w14:ligatures w14:val="standardContextual"/>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E5888F1"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358A5F64"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187A5101"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27824664" w14:textId="77777777" w:rsidR="007F2368" w:rsidRPr="00FE5714" w:rsidRDefault="007F2368" w:rsidP="007F2368">
            <w:pPr>
              <w:spacing w:line="256" w:lineRule="auto"/>
              <w:jc w:val="left"/>
              <w:rPr>
                <w:rFonts w:ascii="Aptos" w:eastAsia="Aptos" w:hAnsi="Aptos" w:cs="Times New Roman"/>
                <w:sz w:val="20"/>
                <w:szCs w:val="20"/>
                <w:highlight w:val="yellow"/>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BD3388E" w14:textId="57EDE8FB" w:rsidR="007F2368" w:rsidRPr="00FE5714" w:rsidRDefault="007F2368" w:rsidP="007F2368">
            <w:pPr>
              <w:keepNext/>
              <w:keepLines/>
              <w:spacing w:line="256" w:lineRule="auto"/>
              <w:jc w:val="left"/>
              <w:rPr>
                <w:rFonts w:ascii="Arial Narrow" w:hAnsi="Arial Narrow" w:cs="Aptos"/>
                <w:bCs/>
                <w:kern w:val="2"/>
                <w:sz w:val="20"/>
                <w:szCs w:val="20"/>
                <w:highlight w:val="yellow"/>
                <w:lang w:eastAsia="en-US"/>
                <w14:ligatures w14:val="standardContextual"/>
              </w:rPr>
            </w:pPr>
          </w:p>
        </w:tc>
        <w:tc>
          <w:tcPr>
            <w:tcW w:w="552" w:type="dxa"/>
            <w:tcBorders>
              <w:top w:val="single" w:sz="4" w:space="0" w:color="auto"/>
              <w:left w:val="single" w:sz="4" w:space="0" w:color="auto"/>
              <w:bottom w:val="single" w:sz="4" w:space="0" w:color="auto"/>
              <w:right w:val="single" w:sz="4" w:space="0" w:color="auto"/>
            </w:tcBorders>
            <w:noWrap/>
            <w:vAlign w:val="center"/>
          </w:tcPr>
          <w:p w14:paraId="012D6B58" w14:textId="403BF9E0" w:rsidR="007F2368" w:rsidRPr="00FE5714" w:rsidRDefault="007F2368" w:rsidP="007F2368">
            <w:pPr>
              <w:keepNext/>
              <w:keepLines/>
              <w:spacing w:line="256" w:lineRule="auto"/>
              <w:jc w:val="left"/>
              <w:rPr>
                <w:rFonts w:ascii="Arial Narrow" w:hAnsi="Arial Narrow" w:cs="Aptos"/>
                <w:bCs/>
                <w:kern w:val="2"/>
                <w:sz w:val="20"/>
                <w:szCs w:val="20"/>
                <w:highlight w:val="yellow"/>
                <w:lang w:eastAsia="en-US"/>
                <w14:ligatures w14:val="standardContextual"/>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467BB495" w14:textId="55F26119"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3"/>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2"/>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2"/>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12CB9904" w14:textId="459A5441"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11"/>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10"/>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10"/>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27B9E813" w14:textId="320E5F91"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09"/>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8"/>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8"/>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2208EE88" w14:textId="4A2D2493"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07"/>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6"/>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6"/>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4BB391C6" w14:textId="3F7ED76E"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05"/>
                <w:lang w:eastAsia="en-US"/>
                <w14:textFill>
                  <w14:solidFill>
                    <w14:srgbClr w14:val="000000">
                      <w14:alpha w14:val="100000"/>
                    </w14:srgbClr>
                  </w14:solidFill>
                </w14:textFill>
                <w14:ligatures w14:val="standardContextual"/>
              </w:rPr>
              <w:t xml:space="preserve">　</w:t>
            </w:r>
            <w:r w:rsidRPr="006114E5">
              <w:rPr>
                <w:rFonts w:ascii="Arial Narrow" w:hAnsi="Arial Narrow" w:cs="Aptos"/>
                <w:bCs/>
                <w:color w:val="000000"/>
                <w:spacing w:val="79"/>
                <w:sz w:val="20"/>
                <w:szCs w:val="20"/>
                <w:shd w:val="solid" w:color="000000" w:fill="000000"/>
                <w:fitText w:val="165" w:id="-664555504"/>
                <w:lang w:eastAsia="en-US"/>
                <w14:textFill>
                  <w14:solidFill>
                    <w14:srgbClr w14:val="000000">
                      <w14:alpha w14:val="100000"/>
                    </w14:srgbClr>
                  </w14:solidFill>
                </w14:textFill>
                <w14:ligatures w14:val="standardContextual"/>
              </w:rPr>
              <w:t>|</w:t>
            </w:r>
            <w:r w:rsidRPr="006114E5">
              <w:rPr>
                <w:rFonts w:ascii="Arial Narrow" w:hAnsi="Arial Narrow" w:cs="Aptos"/>
                <w:bCs/>
                <w:color w:val="000000"/>
                <w:spacing w:val="1"/>
                <w:sz w:val="20"/>
                <w:szCs w:val="20"/>
                <w:shd w:val="solid" w:color="000000" w:fill="000000"/>
                <w:fitText w:val="165" w:id="-664555504"/>
                <w:lang w:eastAsia="en-US"/>
                <w14:textFill>
                  <w14:solidFill>
                    <w14:srgbClr w14:val="000000">
                      <w14:alpha w14:val="100000"/>
                    </w14:srgbClr>
                  </w14:solidFill>
                </w14:textFill>
                <w14:ligatures w14:val="standardContextual"/>
              </w:rPr>
              <w:t>|</w:t>
            </w:r>
          </w:p>
        </w:tc>
        <w:tc>
          <w:tcPr>
            <w:tcW w:w="553" w:type="dxa"/>
            <w:tcBorders>
              <w:top w:val="single" w:sz="4" w:space="0" w:color="auto"/>
              <w:left w:val="single" w:sz="4" w:space="0" w:color="auto"/>
              <w:bottom w:val="single" w:sz="4" w:space="0" w:color="auto"/>
              <w:right w:val="single" w:sz="4" w:space="0" w:color="auto"/>
            </w:tcBorders>
            <w:noWrap/>
            <w:vAlign w:val="center"/>
          </w:tcPr>
          <w:p w14:paraId="42EC45E0" w14:textId="57364A13" w:rsidR="007F2368" w:rsidRPr="00AE115A" w:rsidRDefault="006114E5" w:rsidP="007F2368">
            <w:pPr>
              <w:keepNext/>
              <w:keepLines/>
              <w:spacing w:line="256" w:lineRule="auto"/>
              <w:jc w:val="left"/>
              <w:rPr>
                <w:rFonts w:ascii="Arial Narrow" w:hAnsi="Arial Narrow" w:cs="Aptos"/>
                <w:bCs/>
                <w:kern w:val="2"/>
                <w:sz w:val="20"/>
                <w:szCs w:val="20"/>
                <w:highlight w:val="green"/>
                <w:lang w:eastAsia="en-US"/>
                <w14:ligatures w14:val="standardContextual"/>
              </w:rPr>
            </w:pPr>
            <w:r w:rsidRPr="006114E5">
              <w:rPr>
                <w:rFonts w:ascii="Arial Narrow" w:hAnsi="Arial Narrow" w:cs="Aptos"/>
                <w:bCs/>
                <w:color w:val="000000"/>
                <w:spacing w:val="-90"/>
                <w:sz w:val="20"/>
                <w:szCs w:val="20"/>
                <w:shd w:val="solid" w:color="000000" w:fill="000000"/>
                <w:fitText w:val="120" w:id="-664555520"/>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color w:val="000000"/>
                <w:spacing w:val="79"/>
                <w:sz w:val="20"/>
                <w:szCs w:val="20"/>
                <w:shd w:val="solid" w:color="000000" w:fill="000000"/>
                <w:fitText w:val="165" w:id="-664555519"/>
                <w:lang w:eastAsia="en-US"/>
                <w14:textFill>
                  <w14:solidFill>
                    <w14:srgbClr w14:val="000000">
                      <w14:alpha w14:val="100000"/>
                    </w14:srgbClr>
                  </w14:solidFill>
                </w14:textFill>
                <w14:ligatures w14:val="standardContextual"/>
              </w:rPr>
              <w:t>|</w:t>
            </w:r>
            <w:r w:rsidRPr="00774455">
              <w:rPr>
                <w:rFonts w:ascii="Arial Narrow" w:hAnsi="Arial Narrow" w:cs="Aptos"/>
                <w:bCs/>
                <w:color w:val="000000"/>
                <w:sz w:val="20"/>
                <w:szCs w:val="20"/>
                <w:shd w:val="solid" w:color="000000" w:fill="000000"/>
                <w:fitText w:val="165" w:id="-664555519"/>
                <w:lang w:eastAsia="en-US"/>
                <w14:textFill>
                  <w14:solidFill>
                    <w14:srgbClr w14:val="000000">
                      <w14:alpha w14:val="100000"/>
                    </w14:srgbClr>
                  </w14:solidFill>
                </w14:textFill>
                <w14:ligatures w14:val="standardContextual"/>
              </w:rPr>
              <w:t>|</w:t>
            </w:r>
          </w:p>
        </w:tc>
      </w:tr>
    </w:tbl>
    <w:p w14:paraId="7E135A21" w14:textId="63254F1E" w:rsidR="00FC2779" w:rsidRPr="00FC2779" w:rsidRDefault="006114E5" w:rsidP="007F2368">
      <w:pPr>
        <w:keepLines/>
        <w:snapToGrid w:val="0"/>
        <w:spacing w:after="120"/>
        <w:contextualSpacing/>
        <w:jc w:val="left"/>
        <w:rPr>
          <w:rFonts w:ascii="Arial Narrow" w:hAnsi="Arial Narrow"/>
          <w:sz w:val="18"/>
          <w:szCs w:val="20"/>
        </w:rPr>
      </w:pPr>
      <w:r w:rsidRPr="00700ECA">
        <w:rPr>
          <w:rFonts w:ascii="Arial Narrow" w:hAnsi="Arial Narrow"/>
          <w:color w:val="000000"/>
          <w:spacing w:val="208"/>
          <w:sz w:val="18"/>
          <w:szCs w:val="20"/>
          <w:shd w:val="solid" w:color="000000" w:fill="000000"/>
          <w:fitText w:val="285" w:id="-664555518"/>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8"/>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7"/>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7"/>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6"/>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6"/>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5"/>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5"/>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4"/>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3"/>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3"/>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2"/>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2"/>
          <w14:textFill>
            <w14:solidFill>
              <w14:srgbClr w14:val="000000">
                <w14:alpha w14:val="100000"/>
              </w14:srgbClr>
            </w14:solidFill>
          </w14:textFill>
        </w:rPr>
        <w:t>|</w:t>
      </w:r>
    </w:p>
    <w:p w14:paraId="4FA75FBF" w14:textId="25816F46" w:rsidR="00FC2779" w:rsidRPr="00FC2779" w:rsidRDefault="006114E5" w:rsidP="007F2368">
      <w:pPr>
        <w:keepLines/>
        <w:snapToGrid w:val="0"/>
        <w:spacing w:after="120"/>
        <w:contextualSpacing/>
        <w:jc w:val="left"/>
        <w:rPr>
          <w:rFonts w:ascii="Arial Narrow" w:hAnsi="Arial Narrow"/>
          <w:sz w:val="18"/>
          <w:szCs w:val="20"/>
        </w:rPr>
      </w:pPr>
      <w:r w:rsidRPr="00700ECA">
        <w:rPr>
          <w:rFonts w:ascii="Arial Narrow" w:hAnsi="Arial Narrow"/>
          <w:color w:val="000000"/>
          <w:spacing w:val="208"/>
          <w:sz w:val="18"/>
          <w:szCs w:val="20"/>
          <w:shd w:val="solid" w:color="000000" w:fill="000000"/>
          <w:fitText w:val="285" w:id="-664555511"/>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1"/>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0"/>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0"/>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9"/>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9"/>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8"/>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8"/>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07"/>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07"/>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6"/>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6"/>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5"/>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5"/>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4"/>
          <w14:textFill>
            <w14:solidFill>
              <w14:srgbClr w14:val="000000">
                <w14:alpha w14:val="100000"/>
              </w14:srgbClr>
            </w14:solidFill>
          </w14:textFill>
        </w:rPr>
        <w:t>|</w:t>
      </w:r>
    </w:p>
    <w:p w14:paraId="14490694" w14:textId="76DD1742" w:rsidR="00FC2779" w:rsidRPr="00FC2779" w:rsidRDefault="006114E5" w:rsidP="007F2368">
      <w:pPr>
        <w:keepLines/>
        <w:snapToGrid w:val="0"/>
        <w:spacing w:after="120"/>
        <w:contextualSpacing/>
        <w:jc w:val="left"/>
        <w:rPr>
          <w:rFonts w:ascii="Arial Narrow" w:hAnsi="Arial Narrow"/>
          <w:sz w:val="18"/>
          <w:szCs w:val="20"/>
        </w:rPr>
      </w:pPr>
      <w:r w:rsidRPr="00700ECA">
        <w:rPr>
          <w:rFonts w:ascii="Arial Narrow" w:hAnsi="Arial Narrow"/>
          <w:color w:val="000000"/>
          <w:spacing w:val="208"/>
          <w:sz w:val="18"/>
          <w:szCs w:val="20"/>
          <w:shd w:val="solid" w:color="000000" w:fill="000000"/>
          <w:fitText w:val="285" w:id="-664555520"/>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20"/>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9"/>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9"/>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8"/>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8"/>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7"/>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7"/>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6"/>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6"/>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5"/>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5"/>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4"/>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3"/>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3"/>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2"/>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2"/>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1"/>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1"/>
          <w14:textFill>
            <w14:solidFill>
              <w14:srgbClr w14:val="000000">
                <w14:alpha w14:val="100000"/>
              </w14:srgbClr>
            </w14:solidFill>
          </w14:textFill>
        </w:rPr>
        <w:t>|</w:t>
      </w:r>
    </w:p>
    <w:p w14:paraId="100EC6D1" w14:textId="7A0E00C5" w:rsidR="007F2368" w:rsidRPr="007F2368" w:rsidRDefault="006114E5" w:rsidP="007F2368">
      <w:pPr>
        <w:keepLines/>
        <w:snapToGrid w:val="0"/>
        <w:spacing w:after="120"/>
        <w:contextualSpacing/>
        <w:jc w:val="left"/>
        <w:rPr>
          <w:rFonts w:ascii="Arial Narrow" w:hAnsi="Arial Narrow"/>
          <w:sz w:val="18"/>
          <w:szCs w:val="20"/>
        </w:rPr>
      </w:pPr>
      <w:r w:rsidRPr="00700ECA">
        <w:rPr>
          <w:rFonts w:ascii="Arial Narrow" w:hAnsi="Arial Narrow"/>
          <w:color w:val="000000"/>
          <w:spacing w:val="208"/>
          <w:sz w:val="18"/>
          <w:szCs w:val="20"/>
          <w:shd w:val="solid" w:color="000000" w:fill="000000"/>
          <w:fitText w:val="285" w:id="-664555510"/>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0"/>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9"/>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9"/>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8"/>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8"/>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7"/>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7"/>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06"/>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06"/>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5"/>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5"/>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0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04"/>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20"/>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20"/>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9"/>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9"/>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8"/>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8"/>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7"/>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7"/>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6"/>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6"/>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5"/>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5"/>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4"/>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3"/>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3"/>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2"/>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2"/>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511"/>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511"/>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510"/>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510"/>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08"/>
          <w:sz w:val="18"/>
          <w:szCs w:val="20"/>
          <w:shd w:val="solid" w:color="000000" w:fill="000000"/>
          <w:fitText w:val="285" w:id="-664555264"/>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285" w:id="-664555264"/>
          <w14:textFill>
            <w14:solidFill>
              <w14:srgbClr w14:val="000000">
                <w14:alpha w14:val="100000"/>
              </w14:srgbClr>
            </w14:solidFill>
          </w14:textFill>
        </w:rPr>
        <w:t>|</w:t>
      </w:r>
      <w:r w:rsidR="00FC2779" w:rsidRPr="00FC2779">
        <w:rPr>
          <w:rFonts w:ascii="Arial Narrow" w:hAnsi="Arial Narrow"/>
          <w:sz w:val="18"/>
          <w:szCs w:val="20"/>
        </w:rPr>
        <w:t xml:space="preserve"> </w:t>
      </w:r>
      <w:r w:rsidRPr="00700ECA">
        <w:rPr>
          <w:rFonts w:ascii="Arial Narrow" w:hAnsi="Arial Narrow"/>
          <w:color w:val="000000"/>
          <w:spacing w:val="223"/>
          <w:sz w:val="18"/>
          <w:szCs w:val="20"/>
          <w:shd w:val="solid" w:color="000000" w:fill="000000"/>
          <w:fitText w:val="300" w:id="-664555263"/>
          <w14:textFill>
            <w14:solidFill>
              <w14:srgbClr w14:val="000000">
                <w14:alpha w14:val="100000"/>
              </w14:srgbClr>
            </w14:solidFill>
          </w14:textFill>
        </w:rPr>
        <w:t>|</w:t>
      </w:r>
      <w:r w:rsidRPr="00700ECA">
        <w:rPr>
          <w:rFonts w:ascii="Arial Narrow" w:hAnsi="Arial Narrow"/>
          <w:color w:val="000000"/>
          <w:spacing w:val="1"/>
          <w:sz w:val="18"/>
          <w:szCs w:val="20"/>
          <w:shd w:val="solid" w:color="000000" w:fill="000000"/>
          <w:fitText w:val="300" w:id="-664555263"/>
          <w14:textFill>
            <w14:solidFill>
              <w14:srgbClr w14:val="000000">
                <w14:alpha w14:val="100000"/>
              </w14:srgbClr>
            </w14:solidFill>
          </w14:textFill>
        </w:rPr>
        <w:t>|</w:t>
      </w:r>
      <w:r w:rsidR="00FC2779" w:rsidRPr="00FC2779">
        <w:rPr>
          <w:rFonts w:ascii="Arial Narrow" w:hAnsi="Arial Narrow"/>
          <w:sz w:val="18"/>
          <w:szCs w:val="20"/>
        </w:rPr>
        <w:t xml:space="preserve"> </w:t>
      </w:r>
      <w:r w:rsidRPr="00774455">
        <w:rPr>
          <w:rFonts w:ascii="Arial Narrow" w:hAnsi="Arial Narrow"/>
          <w:color w:val="000000"/>
          <w:spacing w:val="223"/>
          <w:sz w:val="18"/>
          <w:szCs w:val="20"/>
          <w:shd w:val="solid" w:color="000000" w:fill="000000"/>
          <w:fitText w:val="300" w:id="-664555262"/>
          <w14:textFill>
            <w14:solidFill>
              <w14:srgbClr w14:val="000000">
                <w14:alpha w14:val="100000"/>
              </w14:srgbClr>
            </w14:solidFill>
          </w14:textFill>
        </w:rPr>
        <w:t>|</w:t>
      </w:r>
      <w:r w:rsidRPr="00774455">
        <w:rPr>
          <w:rFonts w:ascii="Arial Narrow" w:hAnsi="Arial Narrow"/>
          <w:color w:val="000000"/>
          <w:sz w:val="18"/>
          <w:szCs w:val="20"/>
          <w:shd w:val="solid" w:color="000000" w:fill="000000"/>
          <w:fitText w:val="300" w:id="-664555262"/>
          <w14:textFill>
            <w14:solidFill>
              <w14:srgbClr w14:val="000000">
                <w14:alpha w14:val="100000"/>
              </w14:srgbClr>
            </w14:solidFill>
          </w14:textFill>
        </w:rPr>
        <w:t>|</w:t>
      </w:r>
    </w:p>
    <w:p w14:paraId="64132288" w14:textId="77777777" w:rsidR="007F2368" w:rsidRDefault="007F2368" w:rsidP="009D09F4">
      <w:pPr>
        <w:rPr>
          <w:color w:val="3366FF"/>
        </w:rPr>
      </w:pPr>
    </w:p>
    <w:p w14:paraId="4849D122" w14:textId="733A374A" w:rsidR="00171572" w:rsidRPr="00171572" w:rsidRDefault="00171572" w:rsidP="00171572">
      <w:r w:rsidRPr="00171572">
        <w:rPr>
          <w:highlight w:val="yellow"/>
        </w:rPr>
        <w:fldChar w:fldCharType="begin" w:fldLock="1"/>
      </w:r>
      <w:r w:rsidRPr="00171572">
        <w:rPr>
          <w:highlight w:val="yellow"/>
        </w:rPr>
        <w:instrText xml:space="preserve"> REF _Ref197010997 \h  \* MERGEFORMAT </w:instrText>
      </w:r>
      <w:r w:rsidRPr="00171572">
        <w:rPr>
          <w:highlight w:val="yellow"/>
        </w:rPr>
      </w:r>
      <w:r w:rsidRPr="00171572">
        <w:rPr>
          <w:highlight w:val="yellow"/>
        </w:rPr>
        <w:fldChar w:fldCharType="separate"/>
      </w:r>
      <w:r w:rsidR="00FC2779" w:rsidRPr="00FC2779">
        <w:t xml:space="preserve"> </w:t>
      </w:r>
      <w:r w:rsidRPr="00171572">
        <w:rPr>
          <w:highlight w:val="yellow"/>
        </w:rPr>
        <w:fldChar w:fldCharType="end"/>
      </w:r>
      <w:r w:rsidR="006114E5" w:rsidRPr="00700ECA">
        <w:rPr>
          <w:color w:val="000000"/>
          <w:w w:val="61"/>
          <w:shd w:val="solid" w:color="000000" w:fill="000000"/>
          <w:fitText w:val="475" w:id="-664555261"/>
          <w14:textFill>
            <w14:solidFill>
              <w14:srgbClr w14:val="000000">
                <w14:alpha w14:val="100000"/>
              </w14:srgbClr>
            </w14:solidFill>
          </w14:textFill>
        </w:rPr>
        <w:t>|||  ||</w:t>
      </w:r>
      <w:r w:rsidR="006114E5" w:rsidRPr="00700ECA">
        <w:rPr>
          <w:color w:val="000000"/>
          <w:spacing w:val="5"/>
          <w:w w:val="61"/>
          <w:shd w:val="solid" w:color="000000" w:fill="000000"/>
          <w:fitText w:val="475" w:id="-664555261"/>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0"/>
          <w14:textFill>
            <w14:solidFill>
              <w14:srgbClr w14:val="000000">
                <w14:alpha w14:val="100000"/>
              </w14:srgbClr>
            </w14:solidFill>
          </w14:textFill>
        </w:rPr>
        <w:t>|||  ||</w:t>
      </w:r>
      <w:r w:rsidR="006114E5" w:rsidRPr="00700ECA">
        <w:rPr>
          <w:color w:val="000000"/>
          <w:spacing w:val="5"/>
          <w:w w:val="61"/>
          <w:shd w:val="solid" w:color="000000" w:fill="000000"/>
          <w:fitText w:val="475" w:id="-664555260"/>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9"/>
          <w14:textFill>
            <w14:solidFill>
              <w14:srgbClr w14:val="000000">
                <w14:alpha w14:val="100000"/>
              </w14:srgbClr>
            </w14:solidFill>
          </w14:textFill>
        </w:rPr>
        <w:t>|||  ||</w:t>
      </w:r>
      <w:r w:rsidR="006114E5" w:rsidRPr="00700ECA">
        <w:rPr>
          <w:color w:val="000000"/>
          <w:spacing w:val="5"/>
          <w:w w:val="61"/>
          <w:shd w:val="solid" w:color="000000" w:fill="000000"/>
          <w:fitText w:val="475" w:id="-664555259"/>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8"/>
          <w14:textFill>
            <w14:solidFill>
              <w14:srgbClr w14:val="000000">
                <w14:alpha w14:val="100000"/>
              </w14:srgbClr>
            </w14:solidFill>
          </w14:textFill>
        </w:rPr>
        <w:t>|||  ||</w:t>
      </w:r>
      <w:r w:rsidR="006114E5" w:rsidRPr="00700ECA">
        <w:rPr>
          <w:color w:val="000000"/>
          <w:spacing w:val="5"/>
          <w:w w:val="61"/>
          <w:shd w:val="solid" w:color="000000" w:fill="000000"/>
          <w:fitText w:val="475" w:id="-664555258"/>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7"/>
          <w14:textFill>
            <w14:solidFill>
              <w14:srgbClr w14:val="000000">
                <w14:alpha w14:val="100000"/>
              </w14:srgbClr>
            </w14:solidFill>
          </w14:textFill>
        </w:rPr>
        <w:t>|||  ||</w:t>
      </w:r>
      <w:r w:rsidR="006114E5" w:rsidRPr="00700ECA">
        <w:rPr>
          <w:color w:val="000000"/>
          <w:spacing w:val="5"/>
          <w:w w:val="61"/>
          <w:shd w:val="solid" w:color="000000" w:fill="000000"/>
          <w:fitText w:val="475" w:id="-664555257"/>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6"/>
          <w14:textFill>
            <w14:solidFill>
              <w14:srgbClr w14:val="000000">
                <w14:alpha w14:val="100000"/>
              </w14:srgbClr>
            </w14:solidFill>
          </w14:textFill>
        </w:rPr>
        <w:t>|||  ||</w:t>
      </w:r>
      <w:r w:rsidR="006114E5" w:rsidRPr="00700ECA">
        <w:rPr>
          <w:color w:val="000000"/>
          <w:spacing w:val="5"/>
          <w:w w:val="61"/>
          <w:shd w:val="solid" w:color="000000" w:fill="000000"/>
          <w:fitText w:val="475" w:id="-664555256"/>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5"/>
          <w14:textFill>
            <w14:solidFill>
              <w14:srgbClr w14:val="000000">
                <w14:alpha w14:val="100000"/>
              </w14:srgbClr>
            </w14:solidFill>
          </w14:textFill>
        </w:rPr>
        <w:t>|||  ||</w:t>
      </w:r>
      <w:r w:rsidR="006114E5" w:rsidRPr="00700ECA">
        <w:rPr>
          <w:color w:val="000000"/>
          <w:spacing w:val="5"/>
          <w:w w:val="61"/>
          <w:shd w:val="solid" w:color="000000" w:fill="000000"/>
          <w:fitText w:val="475" w:id="-664555255"/>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4"/>
          <w14:textFill>
            <w14:solidFill>
              <w14:srgbClr w14:val="000000">
                <w14:alpha w14:val="100000"/>
              </w14:srgbClr>
            </w14:solidFill>
          </w14:textFill>
        </w:rPr>
        <w:t>|||  ||</w:t>
      </w:r>
      <w:r w:rsidR="006114E5" w:rsidRPr="00700ECA">
        <w:rPr>
          <w:color w:val="000000"/>
          <w:spacing w:val="5"/>
          <w:w w:val="61"/>
          <w:shd w:val="solid" w:color="000000" w:fill="000000"/>
          <w:fitText w:val="475" w:id="-664555254"/>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3"/>
          <w14:textFill>
            <w14:solidFill>
              <w14:srgbClr w14:val="000000">
                <w14:alpha w14:val="100000"/>
              </w14:srgbClr>
            </w14:solidFill>
          </w14:textFill>
        </w:rPr>
        <w:t>|||  ||</w:t>
      </w:r>
      <w:r w:rsidR="006114E5" w:rsidRPr="00700ECA">
        <w:rPr>
          <w:color w:val="000000"/>
          <w:spacing w:val="5"/>
          <w:w w:val="61"/>
          <w:shd w:val="solid" w:color="000000" w:fill="000000"/>
          <w:fitText w:val="475" w:id="-664555253"/>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2"/>
          <w14:textFill>
            <w14:solidFill>
              <w14:srgbClr w14:val="000000">
                <w14:alpha w14:val="100000"/>
              </w14:srgbClr>
            </w14:solidFill>
          </w14:textFill>
        </w:rPr>
        <w:t>|||  ||</w:t>
      </w:r>
      <w:r w:rsidR="006114E5" w:rsidRPr="00700ECA">
        <w:rPr>
          <w:color w:val="000000"/>
          <w:spacing w:val="5"/>
          <w:w w:val="59"/>
          <w:shd w:val="solid" w:color="000000" w:fill="000000"/>
          <w:fitText w:val="460" w:id="-664555252"/>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1"/>
          <w14:textFill>
            <w14:solidFill>
              <w14:srgbClr w14:val="000000">
                <w14:alpha w14:val="100000"/>
              </w14:srgbClr>
            </w14:solidFill>
          </w14:textFill>
        </w:rPr>
        <w:t>|||  ||</w:t>
      </w:r>
      <w:r w:rsidR="006114E5" w:rsidRPr="00700ECA">
        <w:rPr>
          <w:color w:val="000000"/>
          <w:spacing w:val="5"/>
          <w:w w:val="59"/>
          <w:shd w:val="solid" w:color="000000" w:fill="000000"/>
          <w:fitText w:val="460" w:id="-664555251"/>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0"/>
          <w14:textFill>
            <w14:solidFill>
              <w14:srgbClr w14:val="000000">
                <w14:alpha w14:val="100000"/>
              </w14:srgbClr>
            </w14:solidFill>
          </w14:textFill>
        </w:rPr>
        <w:t>|||  ||</w:t>
      </w:r>
      <w:r w:rsidR="006114E5" w:rsidRPr="00700ECA">
        <w:rPr>
          <w:color w:val="000000"/>
          <w:spacing w:val="5"/>
          <w:w w:val="61"/>
          <w:shd w:val="solid" w:color="000000" w:fill="000000"/>
          <w:fitText w:val="475" w:id="-664555250"/>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49"/>
          <w14:textFill>
            <w14:solidFill>
              <w14:srgbClr w14:val="000000">
                <w14:alpha w14:val="100000"/>
              </w14:srgbClr>
            </w14:solidFill>
          </w14:textFill>
        </w:rPr>
        <w:t>|||  ||</w:t>
      </w:r>
      <w:r w:rsidR="006114E5" w:rsidRPr="00700ECA">
        <w:rPr>
          <w:color w:val="000000"/>
          <w:spacing w:val="5"/>
          <w:w w:val="61"/>
          <w:shd w:val="solid" w:color="000000" w:fill="000000"/>
          <w:fitText w:val="475" w:id="-664555249"/>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48"/>
          <w14:textFill>
            <w14:solidFill>
              <w14:srgbClr w14:val="000000">
                <w14:alpha w14:val="100000"/>
              </w14:srgbClr>
            </w14:solidFill>
          </w14:textFill>
        </w:rPr>
        <w:t>|||  ||</w:t>
      </w:r>
      <w:r w:rsidR="006114E5" w:rsidRPr="00700ECA">
        <w:rPr>
          <w:color w:val="000000"/>
          <w:spacing w:val="5"/>
          <w:w w:val="61"/>
          <w:shd w:val="solid" w:color="000000" w:fill="000000"/>
          <w:fitText w:val="475" w:id="-664555248"/>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4"/>
          <w14:textFill>
            <w14:solidFill>
              <w14:srgbClr w14:val="000000">
                <w14:alpha w14:val="100000"/>
              </w14:srgbClr>
            </w14:solidFill>
          </w14:textFill>
        </w:rPr>
        <w:t>|||  ||</w:t>
      </w:r>
      <w:r w:rsidR="006114E5" w:rsidRPr="00700ECA">
        <w:rPr>
          <w:color w:val="000000"/>
          <w:spacing w:val="5"/>
          <w:w w:val="61"/>
          <w:shd w:val="solid" w:color="000000" w:fill="000000"/>
          <w:fitText w:val="475" w:id="-664555264"/>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3"/>
          <w14:textFill>
            <w14:solidFill>
              <w14:srgbClr w14:val="000000">
                <w14:alpha w14:val="100000"/>
              </w14:srgbClr>
            </w14:solidFill>
          </w14:textFill>
        </w:rPr>
        <w:t>|||  ||</w:t>
      </w:r>
      <w:r w:rsidR="006114E5" w:rsidRPr="00700ECA">
        <w:rPr>
          <w:color w:val="000000"/>
          <w:spacing w:val="5"/>
          <w:w w:val="61"/>
          <w:shd w:val="solid" w:color="000000" w:fill="000000"/>
          <w:fitText w:val="475" w:id="-664555263"/>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2"/>
          <w14:textFill>
            <w14:solidFill>
              <w14:srgbClr w14:val="000000">
                <w14:alpha w14:val="100000"/>
              </w14:srgbClr>
            </w14:solidFill>
          </w14:textFill>
        </w:rPr>
        <w:t>|||  ||</w:t>
      </w:r>
      <w:r w:rsidR="006114E5" w:rsidRPr="00700ECA">
        <w:rPr>
          <w:color w:val="000000"/>
          <w:spacing w:val="5"/>
          <w:w w:val="61"/>
          <w:shd w:val="solid" w:color="000000" w:fill="000000"/>
          <w:fitText w:val="475" w:id="-664555262"/>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1"/>
          <w14:textFill>
            <w14:solidFill>
              <w14:srgbClr w14:val="000000">
                <w14:alpha w14:val="100000"/>
              </w14:srgbClr>
            </w14:solidFill>
          </w14:textFill>
        </w:rPr>
        <w:t>|||  ||</w:t>
      </w:r>
      <w:r w:rsidR="006114E5" w:rsidRPr="00700ECA">
        <w:rPr>
          <w:color w:val="000000"/>
          <w:spacing w:val="5"/>
          <w:w w:val="61"/>
          <w:shd w:val="solid" w:color="000000" w:fill="000000"/>
          <w:fitText w:val="475" w:id="-664555261"/>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0"/>
          <w14:textFill>
            <w14:solidFill>
              <w14:srgbClr w14:val="000000">
                <w14:alpha w14:val="100000"/>
              </w14:srgbClr>
            </w14:solidFill>
          </w14:textFill>
        </w:rPr>
        <w:t>|||  ||</w:t>
      </w:r>
      <w:r w:rsidR="006114E5" w:rsidRPr="00700ECA">
        <w:rPr>
          <w:color w:val="000000"/>
          <w:spacing w:val="5"/>
          <w:w w:val="61"/>
          <w:shd w:val="solid" w:color="000000" w:fill="000000"/>
          <w:fitText w:val="475" w:id="-664555260"/>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9"/>
          <w14:textFill>
            <w14:solidFill>
              <w14:srgbClr w14:val="000000">
                <w14:alpha w14:val="100000"/>
              </w14:srgbClr>
            </w14:solidFill>
          </w14:textFill>
        </w:rPr>
        <w:t>|||  ||</w:t>
      </w:r>
      <w:r w:rsidR="006114E5" w:rsidRPr="00700ECA">
        <w:rPr>
          <w:color w:val="000000"/>
          <w:spacing w:val="5"/>
          <w:w w:val="61"/>
          <w:shd w:val="solid" w:color="000000" w:fill="000000"/>
          <w:fitText w:val="475" w:id="-664555259"/>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8"/>
          <w14:textFill>
            <w14:solidFill>
              <w14:srgbClr w14:val="000000">
                <w14:alpha w14:val="100000"/>
              </w14:srgbClr>
            </w14:solidFill>
          </w14:textFill>
        </w:rPr>
        <w:t>|||  ||</w:t>
      </w:r>
      <w:r w:rsidR="006114E5" w:rsidRPr="00700ECA">
        <w:rPr>
          <w:color w:val="000000"/>
          <w:spacing w:val="5"/>
          <w:w w:val="61"/>
          <w:shd w:val="solid" w:color="000000" w:fill="000000"/>
          <w:fitText w:val="475" w:id="-664555258"/>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7"/>
          <w14:textFill>
            <w14:solidFill>
              <w14:srgbClr w14:val="000000">
                <w14:alpha w14:val="100000"/>
              </w14:srgbClr>
            </w14:solidFill>
          </w14:textFill>
        </w:rPr>
        <w:t>|||  ||</w:t>
      </w:r>
      <w:r w:rsidR="006114E5" w:rsidRPr="00700ECA">
        <w:rPr>
          <w:color w:val="000000"/>
          <w:spacing w:val="5"/>
          <w:w w:val="59"/>
          <w:shd w:val="solid" w:color="000000" w:fill="000000"/>
          <w:fitText w:val="460" w:id="-664555257"/>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6"/>
          <w14:textFill>
            <w14:solidFill>
              <w14:srgbClr w14:val="000000">
                <w14:alpha w14:val="100000"/>
              </w14:srgbClr>
            </w14:solidFill>
          </w14:textFill>
        </w:rPr>
        <w:t>|||  ||</w:t>
      </w:r>
      <w:r w:rsidR="006114E5" w:rsidRPr="00700ECA">
        <w:rPr>
          <w:color w:val="000000"/>
          <w:spacing w:val="5"/>
          <w:w w:val="61"/>
          <w:shd w:val="solid" w:color="000000" w:fill="000000"/>
          <w:fitText w:val="475" w:id="-664555256"/>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5"/>
          <w14:textFill>
            <w14:solidFill>
              <w14:srgbClr w14:val="000000">
                <w14:alpha w14:val="100000"/>
              </w14:srgbClr>
            </w14:solidFill>
          </w14:textFill>
        </w:rPr>
        <w:t>|||  ||</w:t>
      </w:r>
      <w:r w:rsidR="006114E5" w:rsidRPr="00700ECA">
        <w:rPr>
          <w:color w:val="000000"/>
          <w:spacing w:val="5"/>
          <w:w w:val="61"/>
          <w:shd w:val="solid" w:color="000000" w:fill="000000"/>
          <w:fitText w:val="475" w:id="-664555255"/>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4"/>
          <w14:textFill>
            <w14:solidFill>
              <w14:srgbClr w14:val="000000">
                <w14:alpha w14:val="100000"/>
              </w14:srgbClr>
            </w14:solidFill>
          </w14:textFill>
        </w:rPr>
        <w:t>|||  ||</w:t>
      </w:r>
      <w:r w:rsidR="006114E5" w:rsidRPr="00700ECA">
        <w:rPr>
          <w:color w:val="000000"/>
          <w:spacing w:val="5"/>
          <w:w w:val="61"/>
          <w:shd w:val="solid" w:color="000000" w:fill="000000"/>
          <w:fitText w:val="475" w:id="-664555254"/>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3"/>
          <w14:textFill>
            <w14:solidFill>
              <w14:srgbClr w14:val="000000">
                <w14:alpha w14:val="100000"/>
              </w14:srgbClr>
            </w14:solidFill>
          </w14:textFill>
        </w:rPr>
        <w:t>|||  ||</w:t>
      </w:r>
      <w:r w:rsidR="006114E5" w:rsidRPr="00700ECA">
        <w:rPr>
          <w:color w:val="000000"/>
          <w:spacing w:val="5"/>
          <w:w w:val="61"/>
          <w:shd w:val="solid" w:color="000000" w:fill="000000"/>
          <w:fitText w:val="475" w:id="-664555253"/>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2"/>
          <w14:textFill>
            <w14:solidFill>
              <w14:srgbClr w14:val="000000">
                <w14:alpha w14:val="100000"/>
              </w14:srgbClr>
            </w14:solidFill>
          </w14:textFill>
        </w:rPr>
        <w:t>|||  ||</w:t>
      </w:r>
      <w:r w:rsidR="006114E5" w:rsidRPr="00700ECA">
        <w:rPr>
          <w:color w:val="000000"/>
          <w:spacing w:val="5"/>
          <w:w w:val="61"/>
          <w:shd w:val="solid" w:color="000000" w:fill="000000"/>
          <w:fitText w:val="475" w:id="-664555252"/>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1"/>
          <w14:textFill>
            <w14:solidFill>
              <w14:srgbClr w14:val="000000">
                <w14:alpha w14:val="100000"/>
              </w14:srgbClr>
            </w14:solidFill>
          </w14:textFill>
        </w:rPr>
        <w:t>|||  ||</w:t>
      </w:r>
      <w:r w:rsidR="006114E5" w:rsidRPr="00700ECA">
        <w:rPr>
          <w:color w:val="000000"/>
          <w:spacing w:val="5"/>
          <w:w w:val="61"/>
          <w:shd w:val="solid" w:color="000000" w:fill="000000"/>
          <w:fitText w:val="475" w:id="-664555251"/>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0"/>
          <w14:textFill>
            <w14:solidFill>
              <w14:srgbClr w14:val="000000">
                <w14:alpha w14:val="100000"/>
              </w14:srgbClr>
            </w14:solidFill>
          </w14:textFill>
        </w:rPr>
        <w:t>|||  ||</w:t>
      </w:r>
      <w:r w:rsidR="006114E5" w:rsidRPr="00700ECA">
        <w:rPr>
          <w:color w:val="000000"/>
          <w:spacing w:val="5"/>
          <w:w w:val="61"/>
          <w:shd w:val="solid" w:color="000000" w:fill="000000"/>
          <w:fitText w:val="475" w:id="-664555250"/>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49"/>
          <w14:textFill>
            <w14:solidFill>
              <w14:srgbClr w14:val="000000">
                <w14:alpha w14:val="100000"/>
              </w14:srgbClr>
            </w14:solidFill>
          </w14:textFill>
        </w:rPr>
        <w:t>|||  ||</w:t>
      </w:r>
      <w:r w:rsidR="006114E5" w:rsidRPr="00700ECA">
        <w:rPr>
          <w:color w:val="000000"/>
          <w:spacing w:val="5"/>
          <w:w w:val="59"/>
          <w:shd w:val="solid" w:color="000000" w:fill="000000"/>
          <w:fitText w:val="460" w:id="-664555249"/>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48"/>
          <w14:textFill>
            <w14:solidFill>
              <w14:srgbClr w14:val="000000">
                <w14:alpha w14:val="100000"/>
              </w14:srgbClr>
            </w14:solidFill>
          </w14:textFill>
        </w:rPr>
        <w:t>|||  ||</w:t>
      </w:r>
      <w:r w:rsidR="006114E5" w:rsidRPr="00700ECA">
        <w:rPr>
          <w:color w:val="000000"/>
          <w:spacing w:val="5"/>
          <w:w w:val="59"/>
          <w:shd w:val="solid" w:color="000000" w:fill="000000"/>
          <w:fitText w:val="460" w:id="-664555248"/>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4"/>
          <w14:textFill>
            <w14:solidFill>
              <w14:srgbClr w14:val="000000">
                <w14:alpha w14:val="100000"/>
              </w14:srgbClr>
            </w14:solidFill>
          </w14:textFill>
        </w:rPr>
        <w:t>|||  ||</w:t>
      </w:r>
      <w:r w:rsidR="006114E5" w:rsidRPr="00700ECA">
        <w:rPr>
          <w:color w:val="000000"/>
          <w:spacing w:val="5"/>
          <w:w w:val="61"/>
          <w:shd w:val="solid" w:color="000000" w:fill="000000"/>
          <w:fitText w:val="475" w:id="-664555264"/>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3"/>
          <w14:textFill>
            <w14:solidFill>
              <w14:srgbClr w14:val="000000">
                <w14:alpha w14:val="100000"/>
              </w14:srgbClr>
            </w14:solidFill>
          </w14:textFill>
        </w:rPr>
        <w:t>|||  ||</w:t>
      </w:r>
      <w:r w:rsidR="006114E5" w:rsidRPr="00700ECA">
        <w:rPr>
          <w:color w:val="000000"/>
          <w:spacing w:val="5"/>
          <w:w w:val="61"/>
          <w:shd w:val="solid" w:color="000000" w:fill="000000"/>
          <w:fitText w:val="475" w:id="-664555263"/>
          <w14:textFill>
            <w14:solidFill>
              <w14:srgbClr w14:val="000000">
                <w14:alpha w14:val="100000"/>
              </w14:srgbClr>
            </w14:solidFill>
          </w14:textFill>
        </w:rPr>
        <w:t>|</w:t>
      </w:r>
      <w:r w:rsidR="00FC2779" w:rsidRPr="00700ECA">
        <w:t xml:space="preserve"> </w:t>
      </w:r>
      <w:bookmarkStart w:id="87" w:name="_Hlk201736217"/>
      <w:r w:rsidR="006114E5" w:rsidRPr="00700ECA">
        <w:rPr>
          <w:color w:val="000000"/>
          <w:w w:val="61"/>
          <w:shd w:val="solid" w:color="000000" w:fill="000000"/>
          <w:fitText w:val="475" w:id="-664555262"/>
          <w14:textFill>
            <w14:solidFill>
              <w14:srgbClr w14:val="000000">
                <w14:alpha w14:val="100000"/>
              </w14:srgbClr>
            </w14:solidFill>
          </w14:textFill>
        </w:rPr>
        <w:t>|||  ||</w:t>
      </w:r>
      <w:r w:rsidR="006114E5" w:rsidRPr="00700ECA">
        <w:rPr>
          <w:color w:val="000000"/>
          <w:spacing w:val="5"/>
          <w:w w:val="61"/>
          <w:shd w:val="solid" w:color="000000" w:fill="000000"/>
          <w:fitText w:val="475" w:id="-664555262"/>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1"/>
          <w14:textFill>
            <w14:solidFill>
              <w14:srgbClr w14:val="000000">
                <w14:alpha w14:val="100000"/>
              </w14:srgbClr>
            </w14:solidFill>
          </w14:textFill>
        </w:rPr>
        <w:t>|||  ||</w:t>
      </w:r>
      <w:r w:rsidR="006114E5" w:rsidRPr="00700ECA">
        <w:rPr>
          <w:color w:val="000000"/>
          <w:spacing w:val="5"/>
          <w:w w:val="61"/>
          <w:shd w:val="solid" w:color="000000" w:fill="000000"/>
          <w:fitText w:val="475" w:id="-664555261"/>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60"/>
          <w14:textFill>
            <w14:solidFill>
              <w14:srgbClr w14:val="000000">
                <w14:alpha w14:val="100000"/>
              </w14:srgbClr>
            </w14:solidFill>
          </w14:textFill>
        </w:rPr>
        <w:t>|||  ||</w:t>
      </w:r>
      <w:r w:rsidR="006114E5" w:rsidRPr="00700ECA">
        <w:rPr>
          <w:color w:val="000000"/>
          <w:spacing w:val="5"/>
          <w:w w:val="61"/>
          <w:shd w:val="solid" w:color="000000" w:fill="000000"/>
          <w:fitText w:val="475" w:id="-664555260"/>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9"/>
          <w14:textFill>
            <w14:solidFill>
              <w14:srgbClr w14:val="000000">
                <w14:alpha w14:val="100000"/>
              </w14:srgbClr>
            </w14:solidFill>
          </w14:textFill>
        </w:rPr>
        <w:t>|||  ||</w:t>
      </w:r>
      <w:r w:rsidR="006114E5" w:rsidRPr="00700ECA">
        <w:rPr>
          <w:color w:val="000000"/>
          <w:spacing w:val="5"/>
          <w:w w:val="59"/>
          <w:shd w:val="solid" w:color="000000" w:fill="000000"/>
          <w:fitText w:val="460" w:id="-664555259"/>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8"/>
          <w14:textFill>
            <w14:solidFill>
              <w14:srgbClr w14:val="000000">
                <w14:alpha w14:val="100000"/>
              </w14:srgbClr>
            </w14:solidFill>
          </w14:textFill>
        </w:rPr>
        <w:t>|||  ||</w:t>
      </w:r>
      <w:r w:rsidR="006114E5" w:rsidRPr="00700ECA">
        <w:rPr>
          <w:color w:val="000000"/>
          <w:spacing w:val="5"/>
          <w:w w:val="61"/>
          <w:shd w:val="solid" w:color="000000" w:fill="000000"/>
          <w:fitText w:val="475" w:id="-664555258"/>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7"/>
          <w14:textFill>
            <w14:solidFill>
              <w14:srgbClr w14:val="000000">
                <w14:alpha w14:val="100000"/>
              </w14:srgbClr>
            </w14:solidFill>
          </w14:textFill>
        </w:rPr>
        <w:t>|||  ||</w:t>
      </w:r>
      <w:r w:rsidR="006114E5" w:rsidRPr="00700ECA">
        <w:rPr>
          <w:color w:val="000000"/>
          <w:spacing w:val="5"/>
          <w:w w:val="61"/>
          <w:shd w:val="solid" w:color="000000" w:fill="000000"/>
          <w:fitText w:val="475" w:id="-664555257"/>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6"/>
          <w14:textFill>
            <w14:solidFill>
              <w14:srgbClr w14:val="000000">
                <w14:alpha w14:val="100000"/>
              </w14:srgbClr>
            </w14:solidFill>
          </w14:textFill>
        </w:rPr>
        <w:t>|||  ||</w:t>
      </w:r>
      <w:r w:rsidR="006114E5" w:rsidRPr="00700ECA">
        <w:rPr>
          <w:color w:val="000000"/>
          <w:spacing w:val="5"/>
          <w:w w:val="59"/>
          <w:shd w:val="solid" w:color="000000" w:fill="000000"/>
          <w:fitText w:val="460" w:id="-664555256"/>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5"/>
          <w14:textFill>
            <w14:solidFill>
              <w14:srgbClr w14:val="000000">
                <w14:alpha w14:val="100000"/>
              </w14:srgbClr>
            </w14:solidFill>
          </w14:textFill>
        </w:rPr>
        <w:t>|||  ||</w:t>
      </w:r>
      <w:r w:rsidR="006114E5" w:rsidRPr="00700ECA">
        <w:rPr>
          <w:color w:val="000000"/>
          <w:spacing w:val="5"/>
          <w:w w:val="61"/>
          <w:shd w:val="solid" w:color="000000" w:fill="000000"/>
          <w:fitText w:val="475" w:id="-664555255"/>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4"/>
          <w14:textFill>
            <w14:solidFill>
              <w14:srgbClr w14:val="000000">
                <w14:alpha w14:val="100000"/>
              </w14:srgbClr>
            </w14:solidFill>
          </w14:textFill>
        </w:rPr>
        <w:t>|||  ||</w:t>
      </w:r>
      <w:r w:rsidR="006114E5" w:rsidRPr="00700ECA">
        <w:rPr>
          <w:color w:val="000000"/>
          <w:spacing w:val="5"/>
          <w:w w:val="61"/>
          <w:shd w:val="solid" w:color="000000" w:fill="000000"/>
          <w:fitText w:val="475" w:id="-664555254"/>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3"/>
          <w14:textFill>
            <w14:solidFill>
              <w14:srgbClr w14:val="000000">
                <w14:alpha w14:val="100000"/>
              </w14:srgbClr>
            </w14:solidFill>
          </w14:textFill>
        </w:rPr>
        <w:t>|||  ||</w:t>
      </w:r>
      <w:r w:rsidR="006114E5" w:rsidRPr="00700ECA">
        <w:rPr>
          <w:color w:val="000000"/>
          <w:spacing w:val="5"/>
          <w:w w:val="61"/>
          <w:shd w:val="solid" w:color="000000" w:fill="000000"/>
          <w:fitText w:val="475" w:id="-664555253"/>
          <w14:textFill>
            <w14:solidFill>
              <w14:srgbClr w14:val="000000">
                <w14:alpha w14:val="100000"/>
              </w14:srgbClr>
            </w14:solidFill>
          </w14:textFill>
        </w:rPr>
        <w:t>|</w:t>
      </w:r>
      <w:r w:rsidR="00FC2779" w:rsidRPr="00700ECA">
        <w:t xml:space="preserve"> </w:t>
      </w:r>
      <w:r w:rsidR="006114E5" w:rsidRPr="00700ECA">
        <w:rPr>
          <w:color w:val="000000"/>
          <w:w w:val="59"/>
          <w:shd w:val="solid" w:color="000000" w:fill="000000"/>
          <w:fitText w:val="460" w:id="-664555252"/>
          <w14:textFill>
            <w14:solidFill>
              <w14:srgbClr w14:val="000000">
                <w14:alpha w14:val="100000"/>
              </w14:srgbClr>
            </w14:solidFill>
          </w14:textFill>
        </w:rPr>
        <w:t>|||  ||</w:t>
      </w:r>
      <w:r w:rsidR="006114E5" w:rsidRPr="00700ECA">
        <w:rPr>
          <w:color w:val="000000"/>
          <w:spacing w:val="5"/>
          <w:w w:val="59"/>
          <w:shd w:val="solid" w:color="000000" w:fill="000000"/>
          <w:fitText w:val="460" w:id="-664555252"/>
          <w14:textFill>
            <w14:solidFill>
              <w14:srgbClr w14:val="000000">
                <w14:alpha w14:val="100000"/>
              </w14:srgbClr>
            </w14:solidFill>
          </w14:textFill>
        </w:rPr>
        <w:t>|</w:t>
      </w:r>
      <w:r w:rsidR="00FC2779" w:rsidRPr="00700ECA">
        <w:t xml:space="preserve"> </w:t>
      </w:r>
      <w:r w:rsidR="006114E5" w:rsidRPr="00700ECA">
        <w:rPr>
          <w:color w:val="000000"/>
          <w:w w:val="61"/>
          <w:shd w:val="solid" w:color="000000" w:fill="000000"/>
          <w:fitText w:val="475" w:id="-664555251"/>
          <w14:textFill>
            <w14:solidFill>
              <w14:srgbClr w14:val="000000">
                <w14:alpha w14:val="100000"/>
              </w14:srgbClr>
            </w14:solidFill>
          </w14:textFill>
        </w:rPr>
        <w:t>|||  ||</w:t>
      </w:r>
      <w:r w:rsidR="006114E5" w:rsidRPr="00700ECA">
        <w:rPr>
          <w:color w:val="000000"/>
          <w:spacing w:val="5"/>
          <w:w w:val="61"/>
          <w:shd w:val="solid" w:color="000000" w:fill="000000"/>
          <w:fitText w:val="475" w:id="-664555251"/>
          <w14:textFill>
            <w14:solidFill>
              <w14:srgbClr w14:val="000000">
                <w14:alpha w14:val="100000"/>
              </w14:srgbClr>
            </w14:solidFill>
          </w14:textFill>
        </w:rPr>
        <w:t>|</w:t>
      </w:r>
      <w:r w:rsidRPr="00171572">
        <w:t xml:space="preserve"> </w:t>
      </w:r>
      <w:bookmarkEnd w:id="87"/>
    </w:p>
    <w:p w14:paraId="52E8F06C" w14:textId="77777777" w:rsidR="00171572" w:rsidRPr="00171572" w:rsidRDefault="00171572" w:rsidP="00171572"/>
    <w:p w14:paraId="4D5C4EBA" w14:textId="1E8811EB" w:rsidR="00171572" w:rsidRPr="00171572" w:rsidRDefault="006114E5" w:rsidP="00171572">
      <w:pPr>
        <w:keepNext/>
        <w:keepLines/>
        <w:rPr>
          <w:rFonts w:ascii="Arial Narrow" w:hAnsi="Arial Narrow"/>
          <w:b/>
          <w:bCs/>
          <w:sz w:val="20"/>
          <w:szCs w:val="18"/>
        </w:rPr>
      </w:pPr>
      <w:r w:rsidRPr="006114E5">
        <w:rPr>
          <w:rFonts w:ascii="Arial Narrow" w:hAnsi="Arial Narrow"/>
          <w:b/>
          <w:bCs/>
          <w:color w:val="000000"/>
          <w:sz w:val="20"/>
          <w:szCs w:val="18"/>
          <w:shd w:val="solid" w:color="000000" w:fill="000000"/>
          <w:fitText w:val="340" w:id="-664555250"/>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0"/>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pacing w:val="15"/>
          <w:sz w:val="20"/>
          <w:szCs w:val="18"/>
          <w:shd w:val="solid" w:color="000000" w:fill="000000"/>
          <w:fitText w:val="715" w:id="-664555248"/>
          <w14:textFill>
            <w14:solidFill>
              <w14:srgbClr w14:val="000000">
                <w14:alpha w14:val="100000"/>
              </w14:srgbClr>
            </w14:solidFill>
          </w14:textFill>
        </w:rPr>
        <w:t>|||||  ||||</w:t>
      </w:r>
      <w:r w:rsidRPr="006114E5">
        <w:rPr>
          <w:rFonts w:ascii="Arial Narrow" w:hAnsi="Arial Narrow"/>
          <w:b/>
          <w:bCs/>
          <w:color w:val="000000"/>
          <w:sz w:val="20"/>
          <w:szCs w:val="18"/>
          <w:shd w:val="solid" w:color="000000" w:fill="000000"/>
          <w:fitText w:val="715" w:id="-664555248"/>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64"/>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64"/>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63"/>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63"/>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62"/>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62"/>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61"/>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61"/>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60"/>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60"/>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9"/>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9"/>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25" w:id="-664555258"/>
          <w14:textFill>
            <w14:solidFill>
              <w14:srgbClr w14:val="000000">
                <w14:alpha w14:val="100000"/>
              </w14:srgbClr>
            </w14:solidFill>
          </w14:textFill>
        </w:rPr>
        <w:t>||  |</w:t>
      </w:r>
      <w:r w:rsidRPr="006114E5">
        <w:rPr>
          <w:rFonts w:ascii="Arial Narrow" w:hAnsi="Arial Narrow"/>
          <w:b/>
          <w:bCs/>
          <w:color w:val="000000"/>
          <w:spacing w:val="45"/>
          <w:sz w:val="20"/>
          <w:szCs w:val="18"/>
          <w:shd w:val="solid" w:color="000000" w:fill="000000"/>
          <w:fitText w:val="325" w:id="-664555258"/>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7"/>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7"/>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6"/>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6"/>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25" w:id="-664555255"/>
          <w14:textFill>
            <w14:solidFill>
              <w14:srgbClr w14:val="000000">
                <w14:alpha w14:val="100000"/>
              </w14:srgbClr>
            </w14:solidFill>
          </w14:textFill>
        </w:rPr>
        <w:t>||  |</w:t>
      </w:r>
      <w:r w:rsidRPr="006114E5">
        <w:rPr>
          <w:rFonts w:ascii="Arial Narrow" w:hAnsi="Arial Narrow"/>
          <w:b/>
          <w:bCs/>
          <w:color w:val="000000"/>
          <w:spacing w:val="45"/>
          <w:sz w:val="20"/>
          <w:szCs w:val="18"/>
          <w:shd w:val="solid" w:color="000000" w:fill="000000"/>
          <w:fitText w:val="325" w:id="-664555255"/>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25" w:id="-664555254"/>
          <w14:textFill>
            <w14:solidFill>
              <w14:srgbClr w14:val="000000">
                <w14:alpha w14:val="100000"/>
              </w14:srgbClr>
            </w14:solidFill>
          </w14:textFill>
        </w:rPr>
        <w:t>||  |</w:t>
      </w:r>
      <w:r w:rsidRPr="006114E5">
        <w:rPr>
          <w:rFonts w:ascii="Arial Narrow" w:hAnsi="Arial Narrow"/>
          <w:b/>
          <w:bCs/>
          <w:color w:val="000000"/>
          <w:spacing w:val="45"/>
          <w:sz w:val="20"/>
          <w:szCs w:val="18"/>
          <w:shd w:val="solid" w:color="000000" w:fill="000000"/>
          <w:fitText w:val="325" w:id="-664555254"/>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3"/>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3"/>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2"/>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2"/>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25" w:id="-664555251"/>
          <w14:textFill>
            <w14:solidFill>
              <w14:srgbClr w14:val="000000">
                <w14:alpha w14:val="100000"/>
              </w14:srgbClr>
            </w14:solidFill>
          </w14:textFill>
        </w:rPr>
        <w:t>||  |</w:t>
      </w:r>
      <w:r w:rsidRPr="006114E5">
        <w:rPr>
          <w:rFonts w:ascii="Arial Narrow" w:hAnsi="Arial Narrow"/>
          <w:b/>
          <w:bCs/>
          <w:color w:val="000000"/>
          <w:spacing w:val="45"/>
          <w:sz w:val="20"/>
          <w:szCs w:val="18"/>
          <w:shd w:val="solid" w:color="000000" w:fill="000000"/>
          <w:fitText w:val="325" w:id="-664555251"/>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50"/>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50"/>
          <w14:textFill>
            <w14:solidFill>
              <w14:srgbClr w14:val="000000">
                <w14:alpha w14:val="100000"/>
              </w14:srgbClr>
            </w14:solidFill>
          </w14:textFill>
        </w:rPr>
        <w:t>|</w:t>
      </w:r>
      <w:r w:rsidR="00FC2779" w:rsidRPr="00FC2779">
        <w:rPr>
          <w:rFonts w:ascii="Arial Narrow" w:hAnsi="Arial Narrow"/>
          <w:b/>
          <w:bCs/>
          <w:sz w:val="20"/>
          <w:szCs w:val="18"/>
        </w:rPr>
        <w:t xml:space="preserve"> </w:t>
      </w:r>
      <w:r w:rsidRPr="006114E5">
        <w:rPr>
          <w:rFonts w:ascii="Arial Narrow" w:hAnsi="Arial Narrow"/>
          <w:b/>
          <w:bCs/>
          <w:color w:val="000000"/>
          <w:sz w:val="20"/>
          <w:szCs w:val="18"/>
          <w:shd w:val="solid" w:color="000000" w:fill="000000"/>
          <w:fitText w:val="340" w:id="-664555249"/>
          <w14:textFill>
            <w14:solidFill>
              <w14:srgbClr w14:val="000000">
                <w14:alpha w14:val="100000"/>
              </w14:srgbClr>
            </w14:solidFill>
          </w14:textFill>
        </w:rPr>
        <w:t>||  |</w:t>
      </w:r>
      <w:r w:rsidRPr="006114E5">
        <w:rPr>
          <w:rFonts w:ascii="Arial Narrow" w:hAnsi="Arial Narrow"/>
          <w:b/>
          <w:bCs/>
          <w:color w:val="000000"/>
          <w:spacing w:val="60"/>
          <w:sz w:val="20"/>
          <w:szCs w:val="18"/>
          <w:shd w:val="solid" w:color="000000" w:fill="000000"/>
          <w:fitText w:val="340" w:id="-664555249"/>
          <w14:textFill>
            <w14:solidFill>
              <w14:srgbClr w14:val="000000">
                <w14:alpha w14:val="100000"/>
              </w14:srgbClr>
            </w14:solidFill>
          </w14:textFill>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6"/>
        <w:gridCol w:w="1085"/>
        <w:gridCol w:w="1086"/>
        <w:gridCol w:w="1086"/>
        <w:gridCol w:w="1085"/>
        <w:gridCol w:w="1086"/>
        <w:gridCol w:w="1086"/>
      </w:tblGrid>
      <w:tr w:rsidR="00171572" w:rsidRPr="00171572" w14:paraId="0AAD1CF3" w14:textId="77777777" w:rsidTr="006114E5">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69451A32" w14:textId="77777777" w:rsidR="00171572" w:rsidRPr="00700ECA" w:rsidRDefault="00171572" w:rsidP="00171572">
            <w:pPr>
              <w:keepLines/>
              <w:spacing w:line="256" w:lineRule="auto"/>
              <w:jc w:val="left"/>
              <w:rPr>
                <w:rFonts w:ascii="Arial Narrow" w:hAnsi="Arial Narrow" w:cs="Times New Roman"/>
                <w:b/>
                <w:kern w:val="2"/>
                <w:sz w:val="20"/>
                <w:lang w:eastAsia="en-US"/>
                <w14:ligatures w14:val="standardContextual"/>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1B0AEE32" w14:textId="4F458072" w:rsidR="00171572" w:rsidRPr="00774455" w:rsidRDefault="006114E5" w:rsidP="00171572">
            <w:pPr>
              <w:keepLines/>
              <w:spacing w:line="256" w:lineRule="auto"/>
              <w:jc w:val="left"/>
              <w:rPr>
                <w:rFonts w:ascii="Arial Narrow" w:hAnsi="Arial Narrow" w:cs="Times New Roman"/>
                <w:b/>
                <w:kern w:val="2"/>
                <w:sz w:val="20"/>
                <w:lang w:eastAsia="en-US"/>
                <w14:ligatures w14:val="standardContextual"/>
              </w:rPr>
            </w:pPr>
            <w:r w:rsidRPr="00774455">
              <w:rPr>
                <w:rFonts w:ascii="Arial Narrow" w:hAnsi="Arial Narrow" w:cs="Times New Roman"/>
                <w:b/>
                <w:color w:val="000000"/>
                <w:spacing w:val="58"/>
                <w:sz w:val="20"/>
                <w:shd w:val="solid" w:color="000000" w:fill="000000"/>
                <w:fitText w:val="360" w:id="-664555248"/>
                <w:lang w:eastAsia="en-US"/>
                <w14:textFill>
                  <w14:solidFill>
                    <w14:srgbClr w14:val="000000">
                      <w14:alpha w14:val="100000"/>
                    </w14:srgbClr>
                  </w14:solidFill>
                </w14:textFill>
                <w14:ligatures w14:val="standardContextual"/>
              </w:rPr>
              <w:t>|||</w:t>
            </w:r>
            <w:r w:rsidRPr="00774455">
              <w:rPr>
                <w:rFonts w:ascii="Arial Narrow" w:hAnsi="Arial Narrow" w:cs="Times New Roman"/>
                <w:b/>
                <w:color w:val="000000"/>
                <w:spacing w:val="3"/>
                <w:sz w:val="20"/>
                <w:shd w:val="solid" w:color="000000" w:fill="000000"/>
                <w:fitText w:val="360" w:id="-664555248"/>
                <w:lang w:eastAsia="en-US"/>
                <w14:textFill>
                  <w14:solidFill>
                    <w14:srgbClr w14:val="000000">
                      <w14:alpha w14:val="100000"/>
                    </w14:srgbClr>
                  </w14:solidFill>
                </w14:textFill>
                <w14:ligatures w14:val="standardContextual"/>
              </w:rPr>
              <w:t>|</w:t>
            </w:r>
            <w:r w:rsidR="00FC2779" w:rsidRPr="00774455">
              <w:rPr>
                <w:rFonts w:ascii="Arial Narrow" w:hAnsi="Arial Narrow" w:cs="Times New Roman"/>
                <w:b/>
                <w:kern w:val="2"/>
                <w:sz w:val="20"/>
                <w:lang w:eastAsia="en-US"/>
                <w14:ligatures w14:val="standardContextual"/>
              </w:rPr>
              <w:t xml:space="preserve"> </w:t>
            </w:r>
            <w:r w:rsidRPr="00774455">
              <w:rPr>
                <w:rFonts w:ascii="Arial Narrow" w:hAnsi="Arial Narrow" w:cs="Times New Roman"/>
                <w:b/>
                <w:color w:val="000000"/>
                <w:spacing w:val="58"/>
                <w:sz w:val="20"/>
                <w:shd w:val="solid" w:color="000000" w:fill="000000"/>
                <w:fitText w:val="360" w:id="-664555264"/>
                <w:lang w:eastAsia="en-US"/>
                <w14:textFill>
                  <w14:solidFill>
                    <w14:srgbClr w14:val="000000">
                      <w14:alpha w14:val="100000"/>
                    </w14:srgbClr>
                  </w14:solidFill>
                </w14:textFill>
                <w14:ligatures w14:val="standardContextual"/>
              </w:rPr>
              <w:t>|||</w:t>
            </w:r>
            <w:r w:rsidRPr="00774455">
              <w:rPr>
                <w:rFonts w:ascii="Arial Narrow" w:hAnsi="Arial Narrow" w:cs="Times New Roman"/>
                <w:b/>
                <w:color w:val="000000"/>
                <w:spacing w:val="3"/>
                <w:sz w:val="20"/>
                <w:shd w:val="solid" w:color="000000" w:fill="000000"/>
                <w:fitText w:val="360" w:id="-664555264"/>
                <w:lang w:eastAsia="en-US"/>
                <w14:textFill>
                  <w14:solidFill>
                    <w14:srgbClr w14:val="000000">
                      <w14:alpha w14:val="100000"/>
                    </w14:srgbClr>
                  </w14:solidFill>
                </w14:textFill>
                <w14:ligatures w14:val="standardContextual"/>
              </w:rPr>
              <w:t>|</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D60BB93" w14:textId="3765E805" w:rsidR="00171572" w:rsidRPr="00171572" w:rsidRDefault="006114E5" w:rsidP="00171572">
            <w:pPr>
              <w:keepLines/>
              <w:spacing w:line="256" w:lineRule="auto"/>
              <w:jc w:val="left"/>
              <w:rPr>
                <w:rFonts w:ascii="Arial Narrow" w:hAnsi="Arial Narrow" w:cs="Times New Roman"/>
                <w:b/>
                <w:kern w:val="2"/>
                <w:sz w:val="20"/>
                <w:highlight w:val="yellow"/>
                <w:lang w:eastAsia="en-US"/>
                <w14:ligatures w14:val="standardContextual"/>
              </w:rPr>
            </w:pPr>
            <w:r w:rsidRPr="006114E5">
              <w:rPr>
                <w:rFonts w:ascii="Arial Narrow" w:hAnsi="Arial Narrow" w:cs="Times New Roman"/>
                <w:b/>
                <w:color w:val="000000"/>
                <w:spacing w:val="58"/>
                <w:sz w:val="20"/>
                <w:shd w:val="solid" w:color="000000" w:fill="000000"/>
                <w:fitText w:val="360" w:id="-664555263"/>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263"/>
                <w:lang w:eastAsia="en-US"/>
                <w14:textFill>
                  <w14:solidFill>
                    <w14:srgbClr w14:val="000000">
                      <w14:alpha w14:val="100000"/>
                    </w14:srgbClr>
                  </w14:solidFill>
                </w14:textFill>
                <w14:ligatures w14:val="standardContextual"/>
              </w:rPr>
              <w:t>|</w:t>
            </w:r>
            <w:r w:rsidR="00FC2779" w:rsidRPr="00FC2779">
              <w:rPr>
                <w:rFonts w:ascii="Arial Narrow" w:hAnsi="Arial Narrow" w:cs="Times New Roman"/>
                <w:b/>
                <w:kern w:val="2"/>
                <w:sz w:val="20"/>
                <w:lang w:eastAsia="en-US"/>
                <w14:ligatures w14:val="standardContextual"/>
              </w:rPr>
              <w:t xml:space="preserve"> </w:t>
            </w:r>
            <w:r w:rsidRPr="006114E5">
              <w:rPr>
                <w:rFonts w:ascii="Arial Narrow" w:hAnsi="Arial Narrow" w:cs="Times New Roman"/>
                <w:b/>
                <w:color w:val="000000"/>
                <w:spacing w:val="58"/>
                <w:sz w:val="20"/>
                <w:shd w:val="solid" w:color="000000" w:fill="000000"/>
                <w:fitText w:val="360" w:id="-664555262"/>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262"/>
                <w:lang w:eastAsia="en-US"/>
                <w14:textFill>
                  <w14:solidFill>
                    <w14:srgbClr w14:val="000000">
                      <w14:alpha w14:val="100000"/>
                    </w14:srgbClr>
                  </w14:solidFill>
                </w14:textFill>
                <w14:ligatures w14:val="standardContextual"/>
              </w:rPr>
              <w:t>|</w:t>
            </w:r>
          </w:p>
        </w:tc>
        <w:tc>
          <w:tcPr>
            <w:tcW w:w="1087" w:type="dxa"/>
            <w:tcBorders>
              <w:top w:val="single" w:sz="4" w:space="0" w:color="auto"/>
              <w:left w:val="single" w:sz="4" w:space="0" w:color="auto"/>
              <w:bottom w:val="single" w:sz="4" w:space="0" w:color="auto"/>
              <w:right w:val="single" w:sz="4" w:space="0" w:color="auto"/>
            </w:tcBorders>
            <w:vAlign w:val="center"/>
            <w:hideMark/>
          </w:tcPr>
          <w:p w14:paraId="5308ADD9" w14:textId="2BFCB4CF" w:rsidR="00171572" w:rsidRPr="00171572" w:rsidRDefault="006114E5" w:rsidP="00171572">
            <w:pPr>
              <w:keepLines/>
              <w:spacing w:line="256" w:lineRule="auto"/>
              <w:jc w:val="left"/>
              <w:rPr>
                <w:rFonts w:ascii="Arial Narrow" w:hAnsi="Arial Narrow" w:cs="Times New Roman"/>
                <w:b/>
                <w:kern w:val="2"/>
                <w:sz w:val="20"/>
                <w:highlight w:val="yellow"/>
                <w:lang w:eastAsia="en-US"/>
                <w14:ligatures w14:val="standardContextual"/>
              </w:rPr>
            </w:pPr>
            <w:r w:rsidRPr="006114E5">
              <w:rPr>
                <w:rFonts w:ascii="Arial Narrow" w:hAnsi="Arial Narrow" w:cs="Times New Roman"/>
                <w:b/>
                <w:color w:val="000000"/>
                <w:spacing w:val="58"/>
                <w:sz w:val="20"/>
                <w:shd w:val="solid" w:color="000000" w:fill="000000"/>
                <w:fitText w:val="360" w:id="-664555261"/>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261"/>
                <w:lang w:eastAsia="en-US"/>
                <w14:textFill>
                  <w14:solidFill>
                    <w14:srgbClr w14:val="000000">
                      <w14:alpha w14:val="100000"/>
                    </w14:srgbClr>
                  </w14:solidFill>
                </w14:textFill>
                <w14:ligatures w14:val="standardContextual"/>
              </w:rPr>
              <w:t>|</w:t>
            </w:r>
            <w:r w:rsidR="00FC2779" w:rsidRPr="00FC2779">
              <w:rPr>
                <w:rFonts w:ascii="Arial Narrow" w:hAnsi="Arial Narrow" w:cs="Times New Roman"/>
                <w:b/>
                <w:kern w:val="2"/>
                <w:sz w:val="20"/>
                <w:lang w:eastAsia="en-US"/>
                <w14:ligatures w14:val="standardContextual"/>
              </w:rPr>
              <w:t xml:space="preserve"> </w:t>
            </w:r>
            <w:r w:rsidRPr="006114E5">
              <w:rPr>
                <w:rFonts w:ascii="Arial Narrow" w:hAnsi="Arial Narrow" w:cs="Times New Roman"/>
                <w:b/>
                <w:color w:val="000000"/>
                <w:spacing w:val="58"/>
                <w:sz w:val="20"/>
                <w:shd w:val="solid" w:color="000000" w:fill="000000"/>
                <w:fitText w:val="360" w:id="-664555260"/>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260"/>
                <w:lang w:eastAsia="en-US"/>
                <w14:textFill>
                  <w14:solidFill>
                    <w14:srgbClr w14:val="000000">
                      <w14:alpha w14:val="100000"/>
                    </w14:srgbClr>
                  </w14:solidFill>
                </w14:textFill>
                <w14:ligatures w14:val="standardContextual"/>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F02478F" w14:textId="759E5688" w:rsidR="00171572" w:rsidRPr="00171572" w:rsidRDefault="006114E5" w:rsidP="00171572">
            <w:pPr>
              <w:keepLines/>
              <w:spacing w:line="256" w:lineRule="auto"/>
              <w:jc w:val="left"/>
              <w:rPr>
                <w:rFonts w:ascii="Arial Narrow" w:hAnsi="Arial Narrow" w:cs="Times New Roman"/>
                <w:b/>
                <w:kern w:val="2"/>
                <w:sz w:val="20"/>
                <w:highlight w:val="yellow"/>
                <w:lang w:eastAsia="en-US"/>
                <w14:ligatures w14:val="standardContextual"/>
              </w:rPr>
            </w:pPr>
            <w:r w:rsidRPr="006114E5">
              <w:rPr>
                <w:rFonts w:ascii="Arial Narrow" w:hAnsi="Arial Narrow" w:cs="Times New Roman"/>
                <w:b/>
                <w:color w:val="000000"/>
                <w:spacing w:val="58"/>
                <w:sz w:val="20"/>
                <w:shd w:val="solid" w:color="000000" w:fill="000000"/>
                <w:fitText w:val="360" w:id="-664555259"/>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259"/>
                <w:lang w:eastAsia="en-US"/>
                <w14:textFill>
                  <w14:solidFill>
                    <w14:srgbClr w14:val="000000">
                      <w14:alpha w14:val="100000"/>
                    </w14:srgbClr>
                  </w14:solidFill>
                </w14:textFill>
                <w14:ligatures w14:val="standardContextual"/>
              </w:rPr>
              <w:t>|</w:t>
            </w:r>
            <w:r w:rsidR="00FC2779" w:rsidRPr="00FC2779">
              <w:rPr>
                <w:rFonts w:ascii="Arial Narrow" w:hAnsi="Arial Narrow" w:cs="Times New Roman"/>
                <w:b/>
                <w:kern w:val="2"/>
                <w:sz w:val="20"/>
                <w:lang w:eastAsia="en-US"/>
                <w14:ligatures w14:val="standardContextual"/>
              </w:rPr>
              <w:t xml:space="preserve"> </w:t>
            </w:r>
            <w:r w:rsidRPr="00935CDA">
              <w:rPr>
                <w:rFonts w:ascii="Arial Narrow" w:hAnsi="Arial Narrow" w:cs="Times New Roman"/>
                <w:b/>
                <w:color w:val="000000"/>
                <w:spacing w:val="60"/>
                <w:sz w:val="20"/>
                <w:shd w:val="solid" w:color="000000" w:fill="000000"/>
                <w:fitText w:val="360" w:id="-664555008"/>
                <w:lang w:eastAsia="en-US"/>
                <w14:textFill>
                  <w14:solidFill>
                    <w14:srgbClr w14:val="000000">
                      <w14:alpha w14:val="100000"/>
                    </w14:srgbClr>
                  </w14:solidFill>
                </w14:textFill>
                <w14:ligatures w14:val="standardContextual"/>
              </w:rPr>
              <w:t>|||</w:t>
            </w:r>
            <w:r w:rsidRPr="00935CDA">
              <w:rPr>
                <w:rFonts w:ascii="Arial Narrow" w:hAnsi="Arial Narrow" w:cs="Times New Roman"/>
                <w:b/>
                <w:color w:val="000000"/>
                <w:sz w:val="20"/>
                <w:shd w:val="solid" w:color="000000" w:fill="000000"/>
                <w:fitText w:val="360" w:id="-664555008"/>
                <w:lang w:eastAsia="en-US"/>
                <w14:textFill>
                  <w14:solidFill>
                    <w14:srgbClr w14:val="000000">
                      <w14:alpha w14:val="100000"/>
                    </w14:srgbClr>
                  </w14:solidFill>
                </w14:textFill>
                <w14:ligatures w14:val="standardContextual"/>
              </w:rPr>
              <w:t>|</w:t>
            </w:r>
          </w:p>
        </w:tc>
        <w:tc>
          <w:tcPr>
            <w:tcW w:w="1087" w:type="dxa"/>
            <w:tcBorders>
              <w:top w:val="single" w:sz="4" w:space="0" w:color="auto"/>
              <w:left w:val="single" w:sz="4" w:space="0" w:color="auto"/>
              <w:bottom w:val="single" w:sz="4" w:space="0" w:color="auto"/>
              <w:right w:val="single" w:sz="4" w:space="0" w:color="auto"/>
            </w:tcBorders>
            <w:vAlign w:val="center"/>
            <w:hideMark/>
          </w:tcPr>
          <w:p w14:paraId="657FF7BD" w14:textId="1728B589" w:rsidR="00171572" w:rsidRPr="00171572" w:rsidRDefault="006114E5" w:rsidP="00171572">
            <w:pPr>
              <w:keepLines/>
              <w:spacing w:line="256" w:lineRule="auto"/>
              <w:jc w:val="left"/>
              <w:rPr>
                <w:rFonts w:ascii="Arial Narrow" w:hAnsi="Arial Narrow" w:cs="Times New Roman"/>
                <w:b/>
                <w:kern w:val="2"/>
                <w:sz w:val="20"/>
                <w:highlight w:val="yellow"/>
                <w:lang w:eastAsia="en-US"/>
                <w14:ligatures w14:val="standardContextual"/>
              </w:rPr>
            </w:pPr>
            <w:r w:rsidRPr="006114E5">
              <w:rPr>
                <w:rFonts w:ascii="Arial Narrow" w:hAnsi="Arial Narrow" w:cs="Times New Roman"/>
                <w:b/>
                <w:color w:val="000000"/>
                <w:spacing w:val="58"/>
                <w:sz w:val="20"/>
                <w:shd w:val="solid" w:color="000000" w:fill="000000"/>
                <w:fitText w:val="360" w:id="-664555007"/>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007"/>
                <w:lang w:eastAsia="en-US"/>
                <w14:textFill>
                  <w14:solidFill>
                    <w14:srgbClr w14:val="000000">
                      <w14:alpha w14:val="100000"/>
                    </w14:srgbClr>
                  </w14:solidFill>
                </w14:textFill>
                <w14:ligatures w14:val="standardContextual"/>
              </w:rPr>
              <w:t>|</w:t>
            </w:r>
            <w:r w:rsidR="00FC2779" w:rsidRPr="00FC2779">
              <w:rPr>
                <w:rFonts w:ascii="Arial Narrow" w:hAnsi="Arial Narrow" w:cs="Times New Roman"/>
                <w:b/>
                <w:kern w:val="2"/>
                <w:sz w:val="20"/>
                <w:lang w:eastAsia="en-US"/>
                <w14:ligatures w14:val="standardContextual"/>
              </w:rPr>
              <w:t xml:space="preserve"> </w:t>
            </w:r>
            <w:r w:rsidRPr="006114E5">
              <w:rPr>
                <w:rFonts w:ascii="Arial Narrow" w:hAnsi="Arial Narrow" w:cs="Times New Roman"/>
                <w:b/>
                <w:color w:val="000000"/>
                <w:spacing w:val="58"/>
                <w:sz w:val="20"/>
                <w:shd w:val="solid" w:color="000000" w:fill="000000"/>
                <w:fitText w:val="360" w:id="-664555006"/>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006"/>
                <w:lang w:eastAsia="en-US"/>
                <w14:textFill>
                  <w14:solidFill>
                    <w14:srgbClr w14:val="000000">
                      <w14:alpha w14:val="100000"/>
                    </w14:srgbClr>
                  </w14:solidFill>
                </w14:textFill>
                <w14:ligatures w14:val="standardContextual"/>
              </w:rPr>
              <w:t>|</w:t>
            </w:r>
          </w:p>
        </w:tc>
        <w:tc>
          <w:tcPr>
            <w:tcW w:w="1087" w:type="dxa"/>
            <w:tcBorders>
              <w:top w:val="single" w:sz="4" w:space="0" w:color="auto"/>
              <w:left w:val="single" w:sz="4" w:space="0" w:color="auto"/>
              <w:bottom w:val="single" w:sz="4" w:space="0" w:color="auto"/>
              <w:right w:val="single" w:sz="4" w:space="0" w:color="auto"/>
            </w:tcBorders>
            <w:vAlign w:val="center"/>
            <w:hideMark/>
          </w:tcPr>
          <w:p w14:paraId="794FEFBD" w14:textId="6EA566B0" w:rsidR="00171572" w:rsidRPr="00171572" w:rsidRDefault="006114E5" w:rsidP="00171572">
            <w:pPr>
              <w:keepLines/>
              <w:spacing w:line="256" w:lineRule="auto"/>
              <w:jc w:val="left"/>
              <w:rPr>
                <w:rFonts w:ascii="Arial Narrow" w:hAnsi="Arial Narrow" w:cs="Times New Roman"/>
                <w:b/>
                <w:kern w:val="2"/>
                <w:sz w:val="20"/>
                <w:highlight w:val="yellow"/>
                <w:lang w:eastAsia="en-US"/>
                <w14:ligatures w14:val="standardContextual"/>
              </w:rPr>
            </w:pPr>
            <w:r w:rsidRPr="006114E5">
              <w:rPr>
                <w:rFonts w:ascii="Arial Narrow" w:hAnsi="Arial Narrow" w:cs="Times New Roman"/>
                <w:b/>
                <w:color w:val="000000"/>
                <w:spacing w:val="58"/>
                <w:sz w:val="20"/>
                <w:shd w:val="solid" w:color="000000" w:fill="000000"/>
                <w:fitText w:val="360" w:id="-664555005"/>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005"/>
                <w:lang w:eastAsia="en-US"/>
                <w14:textFill>
                  <w14:solidFill>
                    <w14:srgbClr w14:val="000000">
                      <w14:alpha w14:val="100000"/>
                    </w14:srgbClr>
                  </w14:solidFill>
                </w14:textFill>
                <w14:ligatures w14:val="standardContextual"/>
              </w:rPr>
              <w:t>|</w:t>
            </w:r>
            <w:r w:rsidR="00FC2779" w:rsidRPr="00FC2779">
              <w:rPr>
                <w:rFonts w:ascii="Arial Narrow" w:hAnsi="Arial Narrow" w:cs="Times New Roman"/>
                <w:b/>
                <w:kern w:val="2"/>
                <w:sz w:val="20"/>
                <w:lang w:eastAsia="en-US"/>
                <w14:ligatures w14:val="standardContextual"/>
              </w:rPr>
              <w:t xml:space="preserve"> </w:t>
            </w:r>
            <w:r w:rsidRPr="006114E5">
              <w:rPr>
                <w:rFonts w:ascii="Arial Narrow" w:hAnsi="Arial Narrow" w:cs="Times New Roman"/>
                <w:b/>
                <w:color w:val="000000"/>
                <w:spacing w:val="58"/>
                <w:sz w:val="20"/>
                <w:shd w:val="solid" w:color="000000" w:fill="000000"/>
                <w:fitText w:val="360" w:id="-664555004"/>
                <w:lang w:eastAsia="en-US"/>
                <w14:textFill>
                  <w14:solidFill>
                    <w14:srgbClr w14:val="000000">
                      <w14:alpha w14:val="100000"/>
                    </w14:srgbClr>
                  </w14:solidFill>
                </w14:textFill>
                <w14:ligatures w14:val="standardContextual"/>
              </w:rPr>
              <w:t>|||</w:t>
            </w:r>
            <w:r w:rsidRPr="006114E5">
              <w:rPr>
                <w:rFonts w:ascii="Arial Narrow" w:hAnsi="Arial Narrow" w:cs="Times New Roman"/>
                <w:b/>
                <w:color w:val="000000"/>
                <w:spacing w:val="3"/>
                <w:sz w:val="20"/>
                <w:shd w:val="solid" w:color="000000" w:fill="000000"/>
                <w:fitText w:val="360" w:id="-664555004"/>
                <w:lang w:eastAsia="en-US"/>
                <w14:textFill>
                  <w14:solidFill>
                    <w14:srgbClr w14:val="000000">
                      <w14:alpha w14:val="100000"/>
                    </w14:srgbClr>
                  </w14:solidFill>
                </w14:textFill>
                <w14:ligatures w14:val="standardContextual"/>
              </w:rPr>
              <w:t>|</w:t>
            </w:r>
          </w:p>
        </w:tc>
      </w:tr>
      <w:tr w:rsidR="00171572" w:rsidRPr="00171572" w14:paraId="56883A8B" w14:textId="77777777" w:rsidTr="006114E5">
        <w:tc>
          <w:tcPr>
            <w:tcW w:w="2547" w:type="dxa"/>
            <w:tcBorders>
              <w:top w:val="single" w:sz="4" w:space="0" w:color="auto"/>
              <w:left w:val="single" w:sz="4" w:space="0" w:color="auto"/>
              <w:bottom w:val="single" w:sz="4" w:space="0" w:color="auto"/>
              <w:right w:val="single" w:sz="4" w:space="0" w:color="auto"/>
            </w:tcBorders>
            <w:hideMark/>
          </w:tcPr>
          <w:p w14:paraId="2E3C5059" w14:textId="0EFBE5FB" w:rsidR="00171572" w:rsidRPr="00700ECA" w:rsidRDefault="006114E5" w:rsidP="00171572">
            <w:pPr>
              <w:spacing w:line="256" w:lineRule="auto"/>
              <w:jc w:val="left"/>
              <w:rPr>
                <w:rFonts w:ascii="Arial Narrow" w:hAnsi="Arial Narrow" w:cs="Times New Roman"/>
                <w:kern w:val="2"/>
                <w:sz w:val="20"/>
                <w:lang w:eastAsia="en-US"/>
                <w14:ligatures w14:val="standardContextual"/>
              </w:rPr>
            </w:pPr>
            <w:r w:rsidRPr="00700ECA">
              <w:rPr>
                <w:rFonts w:ascii="Arial Narrow" w:hAnsi="Arial Narrow" w:cs="Times New Roman"/>
                <w:color w:val="000000"/>
                <w:spacing w:val="45"/>
                <w:sz w:val="20"/>
                <w:shd w:val="solid" w:color="000000" w:fill="000000"/>
                <w:fitText w:val="330" w:id="-664555003"/>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3"/>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2"/>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2"/>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1"/>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1"/>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0"/>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0"/>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8"/>
                <w:sz w:val="20"/>
                <w:shd w:val="solid" w:color="000000" w:fill="000000"/>
                <w:fitText w:val="315" w:id="-664554999"/>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
                <w:sz w:val="20"/>
                <w:shd w:val="solid" w:color="000000" w:fill="000000"/>
                <w:fitText w:val="315" w:id="-664554999"/>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8"/>
                <w:sz w:val="20"/>
                <w:shd w:val="solid" w:color="000000" w:fill="000000"/>
                <w:fitText w:val="315" w:id="-664554998"/>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
                <w:sz w:val="20"/>
                <w:shd w:val="solid" w:color="000000" w:fill="000000"/>
                <w:fitText w:val="315" w:id="-664554998"/>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4997"/>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4997"/>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4996"/>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4996"/>
                <w:lang w:eastAsia="en-US"/>
                <w14:textFill>
                  <w14:solidFill>
                    <w14:srgbClr w14:val="000000">
                      <w14:alpha w14:val="100000"/>
                    </w14:srgbClr>
                  </w14:solidFill>
                </w14:textFill>
                <w14:ligatures w14:val="standardContextual"/>
              </w:rPr>
              <w:t>|</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5AE33767" w14:textId="2B425828" w:rsidR="00171572" w:rsidRPr="00774455" w:rsidRDefault="006114E5" w:rsidP="00171572">
            <w:pPr>
              <w:keepNext/>
              <w:keepLines/>
              <w:spacing w:line="256" w:lineRule="auto"/>
              <w:jc w:val="center"/>
              <w:rPr>
                <w:rFonts w:ascii="Arial Narrow" w:hAnsi="Arial Narrow" w:cs="Aptos"/>
                <w:bCs/>
                <w:i/>
                <w:iCs/>
                <w:kern w:val="2"/>
                <w:sz w:val="20"/>
                <w:szCs w:val="20"/>
                <w:lang w:eastAsia="en-US"/>
                <w14:ligatures w14:val="standardContextual"/>
              </w:rPr>
            </w:pPr>
            <w:r w:rsidRPr="00774455">
              <w:rPr>
                <w:rFonts w:ascii="Arial Narrow" w:hAnsi="Arial Narrow" w:cs="Aptos"/>
                <w:bCs/>
                <w:color w:val="000000"/>
                <w:w w:val="15"/>
                <w:sz w:val="20"/>
                <w:szCs w:val="20"/>
                <w:fitText w:val="30" w:id="-664554995"/>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color w:val="000000"/>
                <w:spacing w:val="-45"/>
                <w:w w:val="15"/>
                <w:sz w:val="20"/>
                <w:szCs w:val="20"/>
                <w:fitText w:val="30" w:id="-664554995"/>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59D158C9" w14:textId="63297A4C"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color w:val="000000"/>
                <w:w w:val="15"/>
                <w:sz w:val="20"/>
                <w:szCs w:val="20"/>
                <w:fitText w:val="30" w:id="-664554994"/>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color w:val="000000"/>
                <w:spacing w:val="-45"/>
                <w:w w:val="15"/>
                <w:sz w:val="20"/>
                <w:szCs w:val="20"/>
                <w:fitText w:val="30" w:id="-664554994"/>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4F480636" w14:textId="53430DBC"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color w:val="000000"/>
                <w:w w:val="15"/>
                <w:sz w:val="20"/>
                <w:szCs w:val="20"/>
                <w:fitText w:val="30" w:id="-664554993"/>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color w:val="000000"/>
                <w:spacing w:val="-45"/>
                <w:w w:val="15"/>
                <w:sz w:val="20"/>
                <w:szCs w:val="20"/>
                <w:fitText w:val="30" w:id="-664554993"/>
                <w:lang w:eastAsia="en-US"/>
                <w14:textFill>
                  <w14:solidFill>
                    <w14:srgbClr w14:val="000000">
                      <w14:alpha w14:val="100000"/>
                    </w14:srgbClr>
                  </w14:solidFill>
                </w14:textFill>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192334BD" w14:textId="546DB670"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color w:val="000000"/>
                <w:w w:val="15"/>
                <w:sz w:val="20"/>
                <w:szCs w:val="20"/>
                <w:fitText w:val="30" w:id="-664554992"/>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color w:val="000000"/>
                <w:spacing w:val="-45"/>
                <w:w w:val="15"/>
                <w:sz w:val="20"/>
                <w:szCs w:val="20"/>
                <w:fitText w:val="30" w:id="-664554992"/>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76AAF872" w14:textId="2F401888"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color w:val="000000"/>
                <w:w w:val="15"/>
                <w:sz w:val="20"/>
                <w:szCs w:val="20"/>
                <w:fitText w:val="30" w:id="-664555008"/>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color w:val="000000"/>
                <w:spacing w:val="-45"/>
                <w:w w:val="15"/>
                <w:sz w:val="20"/>
                <w:szCs w:val="20"/>
                <w:fitText w:val="30" w:id="-664555008"/>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180A19B0" w14:textId="6749F81A"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color w:val="000000"/>
                <w:w w:val="15"/>
                <w:sz w:val="20"/>
                <w:szCs w:val="20"/>
                <w:fitText w:val="30" w:id="-664555007"/>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color w:val="000000"/>
                <w:spacing w:val="-45"/>
                <w:w w:val="15"/>
                <w:sz w:val="20"/>
                <w:szCs w:val="20"/>
                <w:fitText w:val="30" w:id="-664555007"/>
                <w:lang w:eastAsia="en-US"/>
                <w14:textFill>
                  <w14:solidFill>
                    <w14:srgbClr w14:val="000000">
                      <w14:alpha w14:val="100000"/>
                    </w14:srgbClr>
                  </w14:solidFill>
                </w14:textFill>
                <w14:ligatures w14:val="standardContextual"/>
              </w:rPr>
              <w:t xml:space="preserve">　</w:t>
            </w:r>
          </w:p>
        </w:tc>
      </w:tr>
      <w:tr w:rsidR="00171572" w:rsidRPr="00171572" w14:paraId="2670DA2A" w14:textId="77777777" w:rsidTr="006114E5">
        <w:tc>
          <w:tcPr>
            <w:tcW w:w="2547" w:type="dxa"/>
            <w:tcBorders>
              <w:top w:val="single" w:sz="4" w:space="0" w:color="auto"/>
              <w:left w:val="single" w:sz="4" w:space="0" w:color="auto"/>
              <w:bottom w:val="single" w:sz="4" w:space="0" w:color="auto"/>
              <w:right w:val="single" w:sz="4" w:space="0" w:color="auto"/>
            </w:tcBorders>
            <w:hideMark/>
          </w:tcPr>
          <w:p w14:paraId="433ADCE2" w14:textId="60E3A0EB" w:rsidR="00171572" w:rsidRPr="00700ECA" w:rsidRDefault="006114E5" w:rsidP="00171572">
            <w:pPr>
              <w:spacing w:line="256" w:lineRule="auto"/>
              <w:jc w:val="left"/>
              <w:rPr>
                <w:rFonts w:ascii="Arial Narrow" w:hAnsi="Arial Narrow" w:cs="Times New Roman"/>
                <w:kern w:val="2"/>
                <w:sz w:val="20"/>
                <w:lang w:eastAsia="en-US"/>
                <w14:ligatures w14:val="standardContextual"/>
              </w:rPr>
            </w:pPr>
            <w:r w:rsidRPr="00700ECA">
              <w:rPr>
                <w:rFonts w:ascii="Arial Narrow" w:hAnsi="Arial Narrow" w:cs="Times New Roman"/>
                <w:color w:val="000000"/>
                <w:spacing w:val="45"/>
                <w:sz w:val="20"/>
                <w:shd w:val="solid" w:color="000000" w:fill="000000"/>
                <w:fitText w:val="330" w:id="-664555006"/>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6"/>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5"/>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5"/>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4"/>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4"/>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4438A3A4" w14:textId="449CC5C2" w:rsidR="00171572" w:rsidRPr="00774455" w:rsidRDefault="006114E5" w:rsidP="00171572">
            <w:pPr>
              <w:keepNext/>
              <w:keepLines/>
              <w:spacing w:line="256" w:lineRule="auto"/>
              <w:jc w:val="center"/>
              <w:rPr>
                <w:rFonts w:ascii="Arial Narrow" w:hAnsi="Arial Narrow" w:cs="Aptos"/>
                <w:bCs/>
                <w:i/>
                <w:iCs/>
                <w:kern w:val="2"/>
                <w:sz w:val="20"/>
                <w:szCs w:val="20"/>
                <w:lang w:eastAsia="en-US"/>
                <w14:ligatures w14:val="standardContextual"/>
              </w:rPr>
            </w:pPr>
            <w:r w:rsidRPr="00774455">
              <w:rPr>
                <w:rFonts w:ascii="Arial Narrow" w:hAnsi="Arial Narrow" w:cs="Aptos"/>
                <w:bCs/>
                <w:i/>
                <w:iCs/>
                <w:color w:val="000000"/>
                <w:w w:val="15"/>
                <w:sz w:val="20"/>
                <w:szCs w:val="20"/>
                <w:fitText w:val="30" w:id="-664555003"/>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i/>
                <w:iCs/>
                <w:color w:val="000000"/>
                <w:spacing w:val="-45"/>
                <w:w w:val="15"/>
                <w:sz w:val="20"/>
                <w:szCs w:val="20"/>
                <w:fitText w:val="30" w:id="-664555003"/>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4BEAA6BD" w14:textId="2749FB70"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2"/>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2"/>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040B8A8A" w14:textId="1203ADE9"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1"/>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1"/>
                <w:lang w:eastAsia="en-US"/>
                <w14:textFill>
                  <w14:solidFill>
                    <w14:srgbClr w14:val="000000">
                      <w14:alpha w14:val="100000"/>
                    </w14:srgbClr>
                  </w14:solidFill>
                </w14:textFill>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49CE767F" w14:textId="291E833F"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0"/>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0"/>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10A4BFFB" w14:textId="4A18E046"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9"/>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9"/>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1B65AB7F" w14:textId="667B1388"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8"/>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8"/>
                <w:lang w:eastAsia="en-US"/>
                <w14:textFill>
                  <w14:solidFill>
                    <w14:srgbClr w14:val="000000">
                      <w14:alpha w14:val="100000"/>
                    </w14:srgbClr>
                  </w14:solidFill>
                </w14:textFill>
                <w14:ligatures w14:val="standardContextual"/>
              </w:rPr>
              <w:t xml:space="preserve">　</w:t>
            </w:r>
          </w:p>
        </w:tc>
      </w:tr>
      <w:tr w:rsidR="00171572" w:rsidRPr="00171572" w14:paraId="5222051D" w14:textId="77777777" w:rsidTr="006114E5">
        <w:tc>
          <w:tcPr>
            <w:tcW w:w="2547" w:type="dxa"/>
            <w:tcBorders>
              <w:top w:val="single" w:sz="4" w:space="0" w:color="auto"/>
              <w:left w:val="single" w:sz="4" w:space="0" w:color="auto"/>
              <w:bottom w:val="single" w:sz="4" w:space="0" w:color="auto"/>
              <w:right w:val="single" w:sz="4" w:space="0" w:color="auto"/>
            </w:tcBorders>
            <w:hideMark/>
          </w:tcPr>
          <w:p w14:paraId="526E4B7B" w14:textId="24CD11F5" w:rsidR="00171572" w:rsidRPr="00700ECA" w:rsidRDefault="006114E5" w:rsidP="00171572">
            <w:pPr>
              <w:spacing w:line="256" w:lineRule="auto"/>
              <w:jc w:val="left"/>
              <w:rPr>
                <w:rFonts w:ascii="Arial Narrow" w:hAnsi="Arial Narrow" w:cs="Times New Roman"/>
                <w:kern w:val="2"/>
                <w:sz w:val="20"/>
                <w:lang w:eastAsia="en-US"/>
                <w14:ligatures w14:val="standardContextual"/>
              </w:rPr>
            </w:pPr>
            <w:r w:rsidRPr="00700ECA">
              <w:rPr>
                <w:rFonts w:ascii="Arial Narrow" w:hAnsi="Arial Narrow" w:cs="Times New Roman"/>
                <w:color w:val="000000"/>
                <w:spacing w:val="45"/>
                <w:sz w:val="20"/>
                <w:shd w:val="solid" w:color="000000" w:fill="000000"/>
                <w:fitText w:val="330" w:id="-664554997"/>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4997"/>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4996"/>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4996"/>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4995"/>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4995"/>
                <w:lang w:eastAsia="en-US"/>
                <w14:textFill>
                  <w14:solidFill>
                    <w14:srgbClr w14:val="000000">
                      <w14:alpha w14:val="100000"/>
                    </w14:srgbClr>
                  </w14:solidFill>
                </w14:textFill>
                <w14:ligatures w14:val="standardContextual"/>
              </w:rPr>
              <w:t>|</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6C529FCC" w14:textId="58A5415A" w:rsidR="00171572" w:rsidRPr="00774455" w:rsidRDefault="006114E5" w:rsidP="00171572">
            <w:pPr>
              <w:keepNext/>
              <w:keepLines/>
              <w:spacing w:line="256" w:lineRule="auto"/>
              <w:jc w:val="center"/>
              <w:rPr>
                <w:rFonts w:ascii="Arial Narrow" w:hAnsi="Arial Narrow" w:cs="Times New Roman"/>
                <w:bCs/>
                <w:i/>
                <w:iCs/>
                <w:kern w:val="2"/>
                <w:sz w:val="20"/>
                <w:szCs w:val="20"/>
                <w:lang w:eastAsia="en-US"/>
                <w14:ligatures w14:val="standardContextual"/>
              </w:rPr>
            </w:pPr>
            <w:r w:rsidRPr="00774455">
              <w:rPr>
                <w:rFonts w:ascii="Arial Narrow" w:hAnsi="Arial Narrow" w:cs="Aptos"/>
                <w:bCs/>
                <w:i/>
                <w:iCs/>
                <w:color w:val="000000"/>
                <w:w w:val="15"/>
                <w:sz w:val="20"/>
                <w:szCs w:val="20"/>
                <w:fitText w:val="30" w:id="-664554994"/>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i/>
                <w:iCs/>
                <w:color w:val="000000"/>
                <w:spacing w:val="-45"/>
                <w:w w:val="15"/>
                <w:sz w:val="20"/>
                <w:szCs w:val="20"/>
                <w:fitText w:val="30" w:id="-664554994"/>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38C94773" w14:textId="2C0222EE" w:rsidR="00171572" w:rsidRPr="00171572" w:rsidRDefault="006114E5" w:rsidP="00171572">
            <w:pPr>
              <w:keepNext/>
              <w:keepLines/>
              <w:spacing w:line="256" w:lineRule="auto"/>
              <w:jc w:val="center"/>
              <w:rPr>
                <w:rFonts w:ascii="Arial Narrow" w:hAnsi="Arial Narrow" w:cs="Times New Roman"/>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3"/>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3"/>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1CC6E7D0" w14:textId="7DA3EE90" w:rsidR="00171572" w:rsidRPr="00171572" w:rsidRDefault="006114E5" w:rsidP="00171572">
            <w:pPr>
              <w:keepNext/>
              <w:keepLines/>
              <w:spacing w:line="256" w:lineRule="auto"/>
              <w:jc w:val="center"/>
              <w:rPr>
                <w:rFonts w:ascii="Arial Narrow" w:hAnsi="Arial Narrow" w:cs="Times New Roman"/>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2"/>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2"/>
                <w:lang w:eastAsia="en-US"/>
                <w14:textFill>
                  <w14:solidFill>
                    <w14:srgbClr w14:val="000000">
                      <w14:alpha w14:val="100000"/>
                    </w14:srgbClr>
                  </w14:solidFill>
                </w14:textFill>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15B7D2A8" w14:textId="09AA7707" w:rsidR="00171572" w:rsidRPr="00171572" w:rsidRDefault="006114E5" w:rsidP="00171572">
            <w:pPr>
              <w:keepNext/>
              <w:keepLines/>
              <w:spacing w:line="256" w:lineRule="auto"/>
              <w:jc w:val="center"/>
              <w:rPr>
                <w:rFonts w:ascii="Arial Narrow" w:hAnsi="Arial Narrow" w:cs="Times New Roman"/>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8"/>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8"/>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4819446F" w14:textId="369F1FB8" w:rsidR="00171572" w:rsidRPr="00171572" w:rsidRDefault="006114E5" w:rsidP="00171572">
            <w:pPr>
              <w:keepNext/>
              <w:keepLines/>
              <w:spacing w:line="256" w:lineRule="auto"/>
              <w:jc w:val="center"/>
              <w:rPr>
                <w:rFonts w:ascii="Arial Narrow" w:hAnsi="Arial Narrow" w:cs="Times New Roman"/>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7"/>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7"/>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0C632228" w14:textId="06E3973E" w:rsidR="00171572" w:rsidRPr="00171572" w:rsidRDefault="006114E5" w:rsidP="00171572">
            <w:pPr>
              <w:keepNext/>
              <w:keepLines/>
              <w:spacing w:line="256" w:lineRule="auto"/>
              <w:jc w:val="center"/>
              <w:rPr>
                <w:rFonts w:ascii="Arial Narrow" w:hAnsi="Arial Narrow" w:cs="Times New Roman"/>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6"/>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6"/>
                <w:lang w:eastAsia="en-US"/>
                <w14:textFill>
                  <w14:solidFill>
                    <w14:srgbClr w14:val="000000">
                      <w14:alpha w14:val="100000"/>
                    </w14:srgbClr>
                  </w14:solidFill>
                </w14:textFill>
                <w14:ligatures w14:val="standardContextual"/>
              </w:rPr>
              <w:t xml:space="preserve">　</w:t>
            </w:r>
          </w:p>
        </w:tc>
      </w:tr>
      <w:tr w:rsidR="00171572" w:rsidRPr="00171572" w14:paraId="41516F01" w14:textId="77777777" w:rsidTr="006114E5">
        <w:tc>
          <w:tcPr>
            <w:tcW w:w="2547" w:type="dxa"/>
            <w:tcBorders>
              <w:top w:val="single" w:sz="4" w:space="0" w:color="auto"/>
              <w:left w:val="single" w:sz="4" w:space="0" w:color="auto"/>
              <w:bottom w:val="single" w:sz="4" w:space="0" w:color="auto"/>
              <w:right w:val="single" w:sz="4" w:space="0" w:color="auto"/>
            </w:tcBorders>
            <w:hideMark/>
          </w:tcPr>
          <w:p w14:paraId="7E2B064B" w14:textId="53A9CB18" w:rsidR="00171572" w:rsidRPr="00700ECA" w:rsidRDefault="006114E5" w:rsidP="00171572">
            <w:pPr>
              <w:spacing w:line="256" w:lineRule="auto"/>
              <w:jc w:val="left"/>
              <w:rPr>
                <w:rFonts w:ascii="Arial Narrow" w:hAnsi="Arial Narrow" w:cs="Times New Roman"/>
                <w:kern w:val="2"/>
                <w:sz w:val="20"/>
                <w:vertAlign w:val="superscript"/>
                <w:lang w:eastAsia="en-US"/>
                <w14:ligatures w14:val="standardContextual"/>
              </w:rPr>
            </w:pPr>
            <w:r w:rsidRPr="00700ECA">
              <w:rPr>
                <w:rFonts w:ascii="Arial Narrow" w:hAnsi="Arial Narrow" w:cs="Times New Roman"/>
                <w:color w:val="000000"/>
                <w:spacing w:val="45"/>
                <w:sz w:val="20"/>
                <w:shd w:val="solid" w:color="000000" w:fill="000000"/>
                <w:fitText w:val="330" w:id="-664555005"/>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5"/>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4"/>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4"/>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kern w:val="2"/>
                <w:sz w:val="20"/>
                <w:lang w:eastAsia="en-US"/>
                <w14:ligatures w14:val="standardContextual"/>
              </w:rPr>
              <w:t xml:space="preserve"> </w:t>
            </w:r>
            <w:r w:rsidRPr="00700ECA">
              <w:rPr>
                <w:rFonts w:ascii="Arial Narrow" w:hAnsi="Arial Narrow" w:cs="Times New Roman"/>
                <w:color w:val="000000"/>
                <w:spacing w:val="45"/>
                <w:sz w:val="20"/>
                <w:shd w:val="solid" w:color="000000" w:fill="000000"/>
                <w:fitText w:val="330" w:id="-664555003"/>
                <w:lang w:eastAsia="en-US"/>
                <w14:textFill>
                  <w14:solidFill>
                    <w14:srgbClr w14:val="000000">
                      <w14:alpha w14:val="100000"/>
                    </w14:srgbClr>
                  </w14:solidFill>
                </w14:textFill>
                <w14:ligatures w14:val="standardContextual"/>
              </w:rPr>
              <w:t>|||</w:t>
            </w:r>
            <w:r w:rsidRPr="00700ECA">
              <w:rPr>
                <w:rFonts w:ascii="Arial Narrow" w:hAnsi="Arial Narrow" w:cs="Times New Roman"/>
                <w:color w:val="000000"/>
                <w:spacing w:val="15"/>
                <w:sz w:val="20"/>
                <w:shd w:val="solid" w:color="000000" w:fill="000000"/>
                <w:fitText w:val="330" w:id="-664555003"/>
                <w:lang w:eastAsia="en-US"/>
                <w14:textFill>
                  <w14:solidFill>
                    <w14:srgbClr w14:val="000000">
                      <w14:alpha w14:val="100000"/>
                    </w14:srgbClr>
                  </w14:solidFill>
                </w14:textFill>
                <w14:ligatures w14:val="standardContextual"/>
              </w:rPr>
              <w:t>|</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539D6681" w14:textId="65782AD4" w:rsidR="00171572" w:rsidRPr="00774455" w:rsidRDefault="006114E5" w:rsidP="00171572">
            <w:pPr>
              <w:keepNext/>
              <w:keepLines/>
              <w:spacing w:line="256" w:lineRule="auto"/>
              <w:jc w:val="center"/>
              <w:rPr>
                <w:rFonts w:ascii="Arial Narrow" w:hAnsi="Arial Narrow" w:cs="Aptos"/>
                <w:bCs/>
                <w:i/>
                <w:iCs/>
                <w:kern w:val="2"/>
                <w:sz w:val="20"/>
                <w:szCs w:val="20"/>
                <w:lang w:eastAsia="en-US"/>
                <w14:ligatures w14:val="standardContextual"/>
              </w:rPr>
            </w:pPr>
            <w:r w:rsidRPr="00774455">
              <w:rPr>
                <w:rFonts w:ascii="Arial Narrow" w:hAnsi="Arial Narrow" w:cs="Aptos"/>
                <w:bCs/>
                <w:i/>
                <w:iCs/>
                <w:color w:val="000000"/>
                <w:w w:val="15"/>
                <w:sz w:val="20"/>
                <w:szCs w:val="20"/>
                <w:fitText w:val="30" w:id="-664555002"/>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i/>
                <w:iCs/>
                <w:color w:val="000000"/>
                <w:spacing w:val="-45"/>
                <w:w w:val="15"/>
                <w:sz w:val="20"/>
                <w:szCs w:val="20"/>
                <w:fitText w:val="30" w:id="-664555002"/>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5872350F" w14:textId="02668EA1"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1"/>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1"/>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306A6441" w14:textId="379C4059"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0"/>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0"/>
                <w:lang w:eastAsia="en-US"/>
                <w14:textFill>
                  <w14:solidFill>
                    <w14:srgbClr w14:val="000000">
                      <w14:alpha w14:val="100000"/>
                    </w14:srgbClr>
                  </w14:solidFill>
                </w14:textFill>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7C94E95A" w14:textId="4C387997"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9"/>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9"/>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77C9166E" w14:textId="58D5D110"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8"/>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8"/>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786E7A29" w14:textId="7BC1EEDE" w:rsidR="00171572" w:rsidRPr="00171572" w:rsidRDefault="006114E5" w:rsidP="00171572">
            <w:pPr>
              <w:keepNext/>
              <w:keepLines/>
              <w:spacing w:line="256" w:lineRule="auto"/>
              <w:jc w:val="center"/>
              <w:rPr>
                <w:rFonts w:ascii="Arial Narrow" w:hAnsi="Arial Narrow" w:cs="Aptos"/>
                <w:bCs/>
                <w:i/>
                <w:iCs/>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7"/>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7"/>
                <w:lang w:eastAsia="en-US"/>
                <w14:textFill>
                  <w14:solidFill>
                    <w14:srgbClr w14:val="000000">
                      <w14:alpha w14:val="100000"/>
                    </w14:srgbClr>
                  </w14:solidFill>
                </w14:textFill>
                <w14:ligatures w14:val="standardContextual"/>
              </w:rPr>
              <w:t xml:space="preserve">　</w:t>
            </w:r>
          </w:p>
        </w:tc>
      </w:tr>
      <w:tr w:rsidR="00171572" w:rsidRPr="00171572" w14:paraId="422003CB" w14:textId="77777777" w:rsidTr="006114E5">
        <w:tc>
          <w:tcPr>
            <w:tcW w:w="2547" w:type="dxa"/>
            <w:tcBorders>
              <w:top w:val="single" w:sz="4" w:space="0" w:color="auto"/>
              <w:left w:val="single" w:sz="4" w:space="0" w:color="auto"/>
              <w:bottom w:val="single" w:sz="4" w:space="0" w:color="auto"/>
              <w:right w:val="single" w:sz="4" w:space="0" w:color="auto"/>
            </w:tcBorders>
            <w:hideMark/>
          </w:tcPr>
          <w:p w14:paraId="6C1C59CB" w14:textId="06F5F4F9" w:rsidR="00171572" w:rsidRPr="00700ECA" w:rsidRDefault="006114E5" w:rsidP="00171572">
            <w:pPr>
              <w:spacing w:line="256" w:lineRule="auto"/>
              <w:jc w:val="left"/>
              <w:rPr>
                <w:rFonts w:ascii="Arial Narrow" w:hAnsi="Arial Narrow" w:cs="Times New Roman"/>
                <w:b/>
                <w:kern w:val="2"/>
                <w:sz w:val="20"/>
                <w:lang w:eastAsia="en-US"/>
                <w14:ligatures w14:val="standardContextual"/>
              </w:rPr>
            </w:pPr>
            <w:r w:rsidRPr="00700ECA">
              <w:rPr>
                <w:rFonts w:ascii="Arial Narrow" w:hAnsi="Arial Narrow" w:cs="Times New Roman"/>
                <w:b/>
                <w:color w:val="000000"/>
                <w:spacing w:val="58"/>
                <w:sz w:val="20"/>
                <w:shd w:val="solid" w:color="000000" w:fill="000000"/>
                <w:fitText w:val="360" w:id="-664554996"/>
                <w:lang w:eastAsia="en-US"/>
                <w14:textFill>
                  <w14:solidFill>
                    <w14:srgbClr w14:val="000000">
                      <w14:alpha w14:val="100000"/>
                    </w14:srgbClr>
                  </w14:solidFill>
                </w14:textFill>
                <w14:ligatures w14:val="standardContextual"/>
              </w:rPr>
              <w:t>|||</w:t>
            </w:r>
            <w:r w:rsidRPr="00700ECA">
              <w:rPr>
                <w:rFonts w:ascii="Arial Narrow" w:hAnsi="Arial Narrow" w:cs="Times New Roman"/>
                <w:b/>
                <w:color w:val="000000"/>
                <w:spacing w:val="3"/>
                <w:sz w:val="20"/>
                <w:shd w:val="solid" w:color="000000" w:fill="000000"/>
                <w:fitText w:val="360" w:id="-664554996"/>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b/>
                <w:kern w:val="2"/>
                <w:sz w:val="20"/>
                <w:lang w:eastAsia="en-US"/>
                <w14:ligatures w14:val="standardContextual"/>
              </w:rPr>
              <w:t xml:space="preserve"> </w:t>
            </w:r>
            <w:r w:rsidRPr="00700ECA">
              <w:rPr>
                <w:rFonts w:ascii="Arial Narrow" w:hAnsi="Arial Narrow" w:cs="Times New Roman"/>
                <w:b/>
                <w:color w:val="000000"/>
                <w:spacing w:val="58"/>
                <w:sz w:val="20"/>
                <w:shd w:val="solid" w:color="000000" w:fill="000000"/>
                <w:fitText w:val="360" w:id="-664554995"/>
                <w:lang w:eastAsia="en-US"/>
                <w14:textFill>
                  <w14:solidFill>
                    <w14:srgbClr w14:val="000000">
                      <w14:alpha w14:val="100000"/>
                    </w14:srgbClr>
                  </w14:solidFill>
                </w14:textFill>
                <w14:ligatures w14:val="standardContextual"/>
              </w:rPr>
              <w:t>|||</w:t>
            </w:r>
            <w:r w:rsidRPr="00700ECA">
              <w:rPr>
                <w:rFonts w:ascii="Arial Narrow" w:hAnsi="Arial Narrow" w:cs="Times New Roman"/>
                <w:b/>
                <w:color w:val="000000"/>
                <w:spacing w:val="3"/>
                <w:sz w:val="20"/>
                <w:shd w:val="solid" w:color="000000" w:fill="000000"/>
                <w:fitText w:val="360" w:id="-664554995"/>
                <w:lang w:eastAsia="en-US"/>
                <w14:textFill>
                  <w14:solidFill>
                    <w14:srgbClr w14:val="000000">
                      <w14:alpha w14:val="100000"/>
                    </w14:srgbClr>
                  </w14:solidFill>
                </w14:textFill>
                <w14:ligatures w14:val="standardContextual"/>
              </w:rPr>
              <w:t>|</w:t>
            </w:r>
            <w:r w:rsidR="00FC2779" w:rsidRPr="00700ECA">
              <w:rPr>
                <w:rFonts w:ascii="Arial Narrow" w:hAnsi="Arial Narrow" w:cs="Times New Roman"/>
                <w:b/>
                <w:kern w:val="2"/>
                <w:sz w:val="20"/>
                <w:lang w:eastAsia="en-US"/>
                <w14:ligatures w14:val="standardContextual"/>
              </w:rPr>
              <w:t xml:space="preserve"> </w:t>
            </w:r>
            <w:r w:rsidRPr="00700ECA">
              <w:rPr>
                <w:rFonts w:ascii="Arial Narrow" w:hAnsi="Arial Narrow" w:cs="Times New Roman"/>
                <w:b/>
                <w:color w:val="000000"/>
                <w:spacing w:val="58"/>
                <w:sz w:val="20"/>
                <w:shd w:val="solid" w:color="000000" w:fill="000000"/>
                <w:fitText w:val="360" w:id="-664554994"/>
                <w:lang w:eastAsia="en-US"/>
                <w14:textFill>
                  <w14:solidFill>
                    <w14:srgbClr w14:val="000000">
                      <w14:alpha w14:val="100000"/>
                    </w14:srgbClr>
                  </w14:solidFill>
                </w14:textFill>
                <w14:ligatures w14:val="standardContextual"/>
              </w:rPr>
              <w:t>|||</w:t>
            </w:r>
            <w:r w:rsidRPr="00700ECA">
              <w:rPr>
                <w:rFonts w:ascii="Arial Narrow" w:hAnsi="Arial Narrow" w:cs="Times New Roman"/>
                <w:b/>
                <w:color w:val="000000"/>
                <w:spacing w:val="3"/>
                <w:sz w:val="20"/>
                <w:shd w:val="solid" w:color="000000" w:fill="000000"/>
                <w:fitText w:val="360" w:id="-664554994"/>
                <w:lang w:eastAsia="en-US"/>
                <w14:textFill>
                  <w14:solidFill>
                    <w14:srgbClr w14:val="000000">
                      <w14:alpha w14:val="100000"/>
                    </w14:srgbClr>
                  </w14:solidFill>
                </w14:textFill>
                <w14:ligatures w14:val="standardContextual"/>
              </w:rPr>
              <w:t>|</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16ADB82F" w14:textId="60207BC7" w:rsidR="00171572" w:rsidRPr="00774455" w:rsidRDefault="006114E5" w:rsidP="00171572">
            <w:pPr>
              <w:keepNext/>
              <w:keepLines/>
              <w:spacing w:line="256" w:lineRule="auto"/>
              <w:jc w:val="center"/>
              <w:rPr>
                <w:rFonts w:ascii="Arial Narrow" w:hAnsi="Arial Narrow" w:cs="Aptos"/>
                <w:b/>
                <w:bCs/>
                <w:i/>
                <w:iCs/>
                <w:color w:val="000000"/>
                <w:kern w:val="2"/>
                <w:sz w:val="20"/>
                <w:szCs w:val="20"/>
                <w:lang w:eastAsia="en-US"/>
                <w14:ligatures w14:val="standardContextual"/>
              </w:rPr>
            </w:pPr>
            <w:r w:rsidRPr="00774455">
              <w:rPr>
                <w:rFonts w:ascii="Arial Narrow" w:hAnsi="Arial Narrow" w:cs="Aptos"/>
                <w:bCs/>
                <w:i/>
                <w:iCs/>
                <w:color w:val="000000"/>
                <w:w w:val="15"/>
                <w:sz w:val="20"/>
                <w:szCs w:val="20"/>
                <w:fitText w:val="30" w:id="-664554993"/>
                <w:lang w:eastAsia="en-US"/>
                <w14:textFill>
                  <w14:solidFill>
                    <w14:srgbClr w14:val="000000">
                      <w14:alpha w14:val="100000"/>
                    </w14:srgbClr>
                  </w14:solidFill>
                </w14:textFill>
                <w14:ligatures w14:val="standardContextual"/>
              </w:rPr>
              <w:t xml:space="preserve">　|</w:t>
            </w:r>
            <w:r w:rsidRPr="00774455">
              <w:rPr>
                <w:rFonts w:ascii="Arial Narrow" w:hAnsi="Arial Narrow" w:cs="Aptos"/>
                <w:bCs/>
                <w:i/>
                <w:iCs/>
                <w:color w:val="000000"/>
                <w:spacing w:val="-45"/>
                <w:w w:val="15"/>
                <w:sz w:val="20"/>
                <w:szCs w:val="20"/>
                <w:fitText w:val="30" w:id="-664554993"/>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217FAB3B" w14:textId="636E1AB1" w:rsidR="00171572" w:rsidRPr="00171572" w:rsidRDefault="006114E5" w:rsidP="00171572">
            <w:pPr>
              <w:keepNext/>
              <w:keepLines/>
              <w:spacing w:line="256" w:lineRule="auto"/>
              <w:jc w:val="center"/>
              <w:rPr>
                <w:rFonts w:ascii="Arial Narrow" w:hAnsi="Arial Narrow" w:cs="Aptos"/>
                <w:b/>
                <w:bCs/>
                <w:i/>
                <w:iCs/>
                <w:color w:val="000000"/>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4992"/>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4992"/>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39D8CD34" w14:textId="4E53CA10" w:rsidR="00171572" w:rsidRPr="00171572" w:rsidRDefault="006114E5" w:rsidP="00171572">
            <w:pPr>
              <w:keepNext/>
              <w:keepLines/>
              <w:spacing w:line="256" w:lineRule="auto"/>
              <w:jc w:val="center"/>
              <w:rPr>
                <w:rFonts w:ascii="Arial Narrow" w:hAnsi="Arial Narrow" w:cs="Aptos"/>
                <w:b/>
                <w:bCs/>
                <w:i/>
                <w:iCs/>
                <w:color w:val="000000"/>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8"/>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8"/>
                <w:lang w:eastAsia="en-US"/>
                <w14:textFill>
                  <w14:solidFill>
                    <w14:srgbClr w14:val="000000">
                      <w14:alpha w14:val="100000"/>
                    </w14:srgbClr>
                  </w14:solidFill>
                </w14:textFill>
                <w14:ligatures w14:val="standardContextual"/>
              </w:rPr>
              <w:t xml:space="preserve">　</w:t>
            </w:r>
          </w:p>
        </w:tc>
        <w:tc>
          <w:tcPr>
            <w:tcW w:w="1086" w:type="dxa"/>
            <w:tcBorders>
              <w:top w:val="single" w:sz="4" w:space="0" w:color="auto"/>
              <w:left w:val="single" w:sz="4" w:space="0" w:color="auto"/>
              <w:bottom w:val="single" w:sz="4" w:space="0" w:color="auto"/>
              <w:right w:val="single" w:sz="4" w:space="0" w:color="auto"/>
            </w:tcBorders>
            <w:shd w:val="solid" w:color="000000" w:fill="000000"/>
            <w:hideMark/>
          </w:tcPr>
          <w:p w14:paraId="4D450467" w14:textId="0EC041BA" w:rsidR="00171572" w:rsidRPr="00171572" w:rsidRDefault="006114E5" w:rsidP="00171572">
            <w:pPr>
              <w:keepNext/>
              <w:keepLines/>
              <w:spacing w:line="256" w:lineRule="auto"/>
              <w:jc w:val="center"/>
              <w:rPr>
                <w:rFonts w:ascii="Arial Narrow" w:hAnsi="Arial Narrow" w:cs="Aptos"/>
                <w:b/>
                <w:bCs/>
                <w:i/>
                <w:iCs/>
                <w:color w:val="000000"/>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7"/>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7"/>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6BC6CC51" w14:textId="7E44710F" w:rsidR="00171572" w:rsidRPr="00171572" w:rsidRDefault="006114E5" w:rsidP="00171572">
            <w:pPr>
              <w:keepNext/>
              <w:keepLines/>
              <w:spacing w:line="256" w:lineRule="auto"/>
              <w:jc w:val="center"/>
              <w:rPr>
                <w:rFonts w:ascii="Arial Narrow" w:hAnsi="Arial Narrow" w:cs="Aptos"/>
                <w:b/>
                <w:bCs/>
                <w:i/>
                <w:iCs/>
                <w:color w:val="000000"/>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6"/>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6"/>
                <w:lang w:eastAsia="en-US"/>
                <w14:textFill>
                  <w14:solidFill>
                    <w14:srgbClr w14:val="000000">
                      <w14:alpha w14:val="100000"/>
                    </w14:srgbClr>
                  </w14:solidFill>
                </w14:textFill>
                <w14:ligatures w14:val="standardContextual"/>
              </w:rPr>
              <w:t xml:space="preserve">　</w:t>
            </w:r>
          </w:p>
        </w:tc>
        <w:tc>
          <w:tcPr>
            <w:tcW w:w="1087" w:type="dxa"/>
            <w:tcBorders>
              <w:top w:val="single" w:sz="4" w:space="0" w:color="auto"/>
              <w:left w:val="single" w:sz="4" w:space="0" w:color="auto"/>
              <w:bottom w:val="single" w:sz="4" w:space="0" w:color="auto"/>
              <w:right w:val="single" w:sz="4" w:space="0" w:color="auto"/>
            </w:tcBorders>
            <w:shd w:val="solid" w:color="000000" w:fill="000000"/>
            <w:hideMark/>
          </w:tcPr>
          <w:p w14:paraId="449924A7" w14:textId="3076CD8A" w:rsidR="00171572" w:rsidRPr="00171572" w:rsidRDefault="006114E5" w:rsidP="00171572">
            <w:pPr>
              <w:keepNext/>
              <w:keepLines/>
              <w:spacing w:line="256" w:lineRule="auto"/>
              <w:jc w:val="center"/>
              <w:rPr>
                <w:rFonts w:ascii="Arial Narrow" w:hAnsi="Arial Narrow" w:cs="Aptos"/>
                <w:b/>
                <w:bCs/>
                <w:i/>
                <w:iCs/>
                <w:color w:val="000000"/>
                <w:kern w:val="2"/>
                <w:sz w:val="20"/>
                <w:szCs w:val="20"/>
                <w:highlight w:val="yellow"/>
                <w:lang w:eastAsia="en-US"/>
                <w14:ligatures w14:val="standardContextual"/>
              </w:rPr>
            </w:pPr>
            <w:r w:rsidRPr="00935CDA">
              <w:rPr>
                <w:rFonts w:ascii="Arial Narrow" w:hAnsi="Arial Narrow" w:cs="Aptos"/>
                <w:bCs/>
                <w:i/>
                <w:iCs/>
                <w:color w:val="000000"/>
                <w:w w:val="15"/>
                <w:sz w:val="20"/>
                <w:szCs w:val="20"/>
                <w:fitText w:val="30" w:id="-664555005"/>
                <w:lang w:eastAsia="en-US"/>
                <w14:textFill>
                  <w14:solidFill>
                    <w14:srgbClr w14:val="000000">
                      <w14:alpha w14:val="100000"/>
                    </w14:srgbClr>
                  </w14:solidFill>
                </w14:textFill>
                <w14:ligatures w14:val="standardContextual"/>
              </w:rPr>
              <w:t xml:space="preserve">　|</w:t>
            </w:r>
            <w:r w:rsidRPr="00935CDA">
              <w:rPr>
                <w:rFonts w:ascii="Arial Narrow" w:hAnsi="Arial Narrow" w:cs="Aptos"/>
                <w:bCs/>
                <w:i/>
                <w:iCs/>
                <w:color w:val="000000"/>
                <w:spacing w:val="-45"/>
                <w:w w:val="15"/>
                <w:sz w:val="20"/>
                <w:szCs w:val="20"/>
                <w:fitText w:val="30" w:id="-664555005"/>
                <w:lang w:eastAsia="en-US"/>
                <w14:textFill>
                  <w14:solidFill>
                    <w14:srgbClr w14:val="000000">
                      <w14:alpha w14:val="100000"/>
                    </w14:srgbClr>
                  </w14:solidFill>
                </w14:textFill>
                <w14:ligatures w14:val="standardContextual"/>
              </w:rPr>
              <w:t xml:space="preserve">　</w:t>
            </w:r>
          </w:p>
        </w:tc>
      </w:tr>
      <w:tr w:rsidR="00171572" w:rsidRPr="00171572" w14:paraId="06812676" w14:textId="77777777" w:rsidTr="00171572">
        <w:tc>
          <w:tcPr>
            <w:tcW w:w="9067" w:type="dxa"/>
            <w:gridSpan w:val="7"/>
            <w:tcBorders>
              <w:top w:val="single" w:sz="4" w:space="0" w:color="auto"/>
              <w:left w:val="single" w:sz="4" w:space="0" w:color="auto"/>
              <w:bottom w:val="single" w:sz="4" w:space="0" w:color="auto"/>
              <w:right w:val="single" w:sz="4" w:space="0" w:color="auto"/>
            </w:tcBorders>
            <w:hideMark/>
          </w:tcPr>
          <w:p w14:paraId="0CD7C9DD" w14:textId="66D0B0B4" w:rsidR="00FC2779" w:rsidRPr="00774455" w:rsidRDefault="006114E5" w:rsidP="00171572">
            <w:pPr>
              <w:keepLines/>
              <w:snapToGrid w:val="0"/>
              <w:spacing w:after="120" w:line="256" w:lineRule="auto"/>
              <w:contextualSpacing/>
              <w:jc w:val="left"/>
              <w:rPr>
                <w:rFonts w:ascii="Arial Narrow" w:hAnsi="Arial Narrow"/>
                <w:kern w:val="2"/>
                <w:sz w:val="18"/>
                <w:szCs w:val="20"/>
                <w:lang w:eastAsia="en-US"/>
                <w14:ligatures w14:val="standardContextual"/>
              </w:rPr>
            </w:pPr>
            <w:r w:rsidRPr="00774455">
              <w:rPr>
                <w:rFonts w:ascii="Arial Narrow" w:hAnsi="Arial Narrow"/>
                <w:color w:val="000000"/>
                <w:spacing w:val="208"/>
                <w:sz w:val="18"/>
                <w:szCs w:val="20"/>
                <w:shd w:val="solid" w:color="000000" w:fill="000000"/>
                <w:fitText w:val="285" w:id="-664555004"/>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5004"/>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3"/>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500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500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99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99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995"/>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995"/>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4"/>
                <w:lang w:eastAsia="en-US"/>
                <w14:textFill>
                  <w14:solidFill>
                    <w14:srgbClr w14:val="000000">
                      <w14:alpha w14:val="100000"/>
                    </w14:srgbClr>
                  </w14:solidFill>
                </w14:textFill>
                <w14:ligatures w14:val="standardContextual"/>
              </w:rPr>
              <w:t>|</w:t>
            </w:r>
            <w:r w:rsidRPr="00774455">
              <w:rPr>
                <w:rFonts w:ascii="Arial Narrow" w:hAnsi="Arial Narrow"/>
                <w:color w:val="000000"/>
                <w:sz w:val="18"/>
                <w:szCs w:val="20"/>
                <w:shd w:val="solid" w:color="000000" w:fill="000000"/>
                <w:fitText w:val="300" w:id="-664554994"/>
                <w:lang w:eastAsia="en-US"/>
                <w14:textFill>
                  <w14:solidFill>
                    <w14:srgbClr w14:val="000000">
                      <w14:alpha w14:val="100000"/>
                    </w14:srgbClr>
                  </w14:solidFill>
                </w14:textFill>
                <w14:ligatures w14:val="standardContextual"/>
              </w:rPr>
              <w:t>|</w:t>
            </w:r>
          </w:p>
          <w:p w14:paraId="3173C63D" w14:textId="0203D8E3" w:rsidR="00FC2779" w:rsidRPr="00774455" w:rsidRDefault="006114E5" w:rsidP="00171572">
            <w:pPr>
              <w:keepLines/>
              <w:snapToGrid w:val="0"/>
              <w:spacing w:after="120" w:line="256" w:lineRule="auto"/>
              <w:contextualSpacing/>
              <w:jc w:val="left"/>
              <w:rPr>
                <w:rFonts w:ascii="Arial Narrow" w:hAnsi="Arial Narrow"/>
                <w:kern w:val="2"/>
                <w:sz w:val="18"/>
                <w:szCs w:val="20"/>
                <w:lang w:eastAsia="en-US"/>
                <w14:ligatures w14:val="standardContextual"/>
              </w:rPr>
            </w:pPr>
            <w:r w:rsidRPr="00774455">
              <w:rPr>
                <w:rFonts w:ascii="Arial Narrow" w:hAnsi="Arial Narrow"/>
                <w:color w:val="000000"/>
                <w:spacing w:val="208"/>
                <w:sz w:val="18"/>
                <w:szCs w:val="20"/>
                <w:shd w:val="solid" w:color="000000" w:fill="000000"/>
                <w:fitText w:val="285" w:id="-66455499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993"/>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500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500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5"/>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5"/>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4"/>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4"/>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3"/>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500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500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500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500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500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500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99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99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5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5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4"/>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4"/>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3"/>
                <w:lang w:eastAsia="en-US"/>
                <w14:textFill>
                  <w14:solidFill>
                    <w14:srgbClr w14:val="000000">
                      <w14:alpha w14:val="100000"/>
                    </w14:srgbClr>
                  </w14:solidFill>
                </w14:textFill>
                <w14:ligatures w14:val="standardContextual"/>
              </w:rPr>
              <w:t>|</w:t>
            </w:r>
          </w:p>
          <w:p w14:paraId="31500905" w14:textId="7950EB55" w:rsidR="00FC2779" w:rsidRPr="00774455" w:rsidRDefault="006114E5" w:rsidP="00171572">
            <w:pPr>
              <w:keepLines/>
              <w:snapToGrid w:val="0"/>
              <w:spacing w:after="120" w:line="256" w:lineRule="auto"/>
              <w:contextualSpacing/>
              <w:jc w:val="left"/>
              <w:rPr>
                <w:rFonts w:ascii="Arial Narrow" w:hAnsi="Arial Narrow"/>
                <w:kern w:val="2"/>
                <w:sz w:val="18"/>
                <w:szCs w:val="20"/>
                <w:lang w:eastAsia="en-US"/>
                <w14:ligatures w14:val="standardContextual"/>
              </w:rPr>
            </w:pPr>
            <w:r w:rsidRPr="00774455">
              <w:rPr>
                <w:rFonts w:ascii="Arial Narrow" w:hAnsi="Arial Narrow"/>
                <w:color w:val="000000"/>
                <w:spacing w:val="66"/>
                <w:sz w:val="18"/>
                <w:szCs w:val="20"/>
                <w:shd w:val="solid" w:color="000000" w:fill="000000"/>
                <w:fitText w:val="210" w:id="-664554742"/>
                <w:vertAlign w:val="superscript"/>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2"/>
                <w:sz w:val="18"/>
                <w:szCs w:val="20"/>
                <w:shd w:val="solid" w:color="000000" w:fill="000000"/>
                <w:fitText w:val="210" w:id="-664554742"/>
                <w:vertAlign w:val="superscript"/>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3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3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6"/>
                <w:lang w:eastAsia="en-US"/>
                <w14:textFill>
                  <w14:solidFill>
                    <w14:srgbClr w14:val="000000">
                      <w14:alpha w14:val="100000"/>
                    </w14:srgbClr>
                  </w14:solidFill>
                </w14:textFill>
                <w14:ligatures w14:val="standardContextual"/>
              </w:rPr>
              <w:t>|</w:t>
            </w:r>
            <w:r w:rsidRPr="00774455">
              <w:rPr>
                <w:rFonts w:ascii="Arial Narrow" w:hAnsi="Arial Narrow"/>
                <w:color w:val="000000"/>
                <w:sz w:val="18"/>
                <w:szCs w:val="20"/>
                <w:shd w:val="solid" w:color="000000" w:fill="000000"/>
                <w:fitText w:val="300" w:id="-664554736"/>
                <w:lang w:eastAsia="en-US"/>
                <w14:textFill>
                  <w14:solidFill>
                    <w14:srgbClr w14:val="000000">
                      <w14:alpha w14:val="100000"/>
                    </w14:srgbClr>
                  </w14:solidFill>
                </w14:textFill>
                <w14:ligatures w14:val="standardContextual"/>
              </w:rPr>
              <w:t>|</w:t>
            </w:r>
          </w:p>
          <w:p w14:paraId="0BB99426" w14:textId="2F0B5C6A" w:rsidR="00FC2779" w:rsidRPr="00774455" w:rsidRDefault="006114E5" w:rsidP="00171572">
            <w:pPr>
              <w:keepLines/>
              <w:snapToGrid w:val="0"/>
              <w:spacing w:after="120" w:line="256" w:lineRule="auto"/>
              <w:contextualSpacing/>
              <w:jc w:val="left"/>
              <w:rPr>
                <w:rFonts w:ascii="Arial Narrow" w:hAnsi="Arial Narrow"/>
                <w:kern w:val="2"/>
                <w:sz w:val="18"/>
                <w:szCs w:val="20"/>
                <w:lang w:eastAsia="en-US"/>
                <w14:ligatures w14:val="standardContextual"/>
              </w:rPr>
            </w:pPr>
            <w:r w:rsidRPr="00774455">
              <w:rPr>
                <w:rFonts w:ascii="Arial Narrow" w:hAnsi="Arial Narrow"/>
                <w:color w:val="000000"/>
                <w:spacing w:val="66"/>
                <w:sz w:val="18"/>
                <w:szCs w:val="20"/>
                <w:shd w:val="solid" w:color="000000" w:fill="000000"/>
                <w:fitText w:val="210" w:id="-664554752"/>
                <w:vertAlign w:val="superscript"/>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2"/>
                <w:sz w:val="18"/>
                <w:szCs w:val="20"/>
                <w:shd w:val="solid" w:color="000000" w:fill="000000"/>
                <w:fitText w:val="210" w:id="-664554752"/>
                <w:vertAlign w:val="superscript"/>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Pr="00774455">
              <w:rPr>
                <w:rFonts w:ascii="Arial Narrow" w:hAnsi="Arial Narrow"/>
                <w:color w:val="000000"/>
                <w:sz w:val="18"/>
                <w:szCs w:val="20"/>
                <w:shd w:val="solid" w:color="000000" w:fill="000000"/>
                <w:fitText w:val="300" w:id="-664554749"/>
                <w:lang w:eastAsia="en-US"/>
                <w14:textFill>
                  <w14:solidFill>
                    <w14:srgbClr w14:val="000000">
                      <w14:alpha w14:val="100000"/>
                    </w14:srgbClr>
                  </w14:solidFill>
                </w14:textFill>
                <w14:ligatures w14:val="standardContextual"/>
              </w:rPr>
              <w:t>|</w:t>
            </w:r>
          </w:p>
          <w:p w14:paraId="06C86CDE" w14:textId="1FABB871" w:rsidR="00FC2779" w:rsidRPr="00774455" w:rsidRDefault="006114E5" w:rsidP="00171572">
            <w:pPr>
              <w:keepLines/>
              <w:snapToGrid w:val="0"/>
              <w:spacing w:after="120" w:line="256" w:lineRule="auto"/>
              <w:contextualSpacing/>
              <w:jc w:val="left"/>
              <w:rPr>
                <w:rFonts w:ascii="Arial Narrow" w:hAnsi="Arial Narrow"/>
                <w:kern w:val="2"/>
                <w:sz w:val="18"/>
                <w:szCs w:val="20"/>
                <w:lang w:eastAsia="en-US"/>
                <w14:ligatures w14:val="standardContextual"/>
              </w:rPr>
            </w:pPr>
            <w:r w:rsidRPr="00774455">
              <w:rPr>
                <w:rFonts w:ascii="Arial Narrow" w:hAnsi="Arial Narrow"/>
                <w:color w:val="000000"/>
                <w:spacing w:val="66"/>
                <w:sz w:val="18"/>
                <w:szCs w:val="20"/>
                <w:shd w:val="solid" w:color="000000" w:fill="000000"/>
                <w:fitText w:val="210" w:id="-664554748"/>
                <w:vertAlign w:val="superscript"/>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2"/>
                <w:sz w:val="18"/>
                <w:szCs w:val="20"/>
                <w:shd w:val="solid" w:color="000000" w:fill="000000"/>
                <w:fitText w:val="210" w:id="-664554748"/>
                <w:vertAlign w:val="superscript"/>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4"/>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4"/>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3"/>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3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3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5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5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5"/>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4"/>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4"/>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43"/>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43"/>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3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39"/>
                <w:lang w:eastAsia="en-US"/>
                <w14:textFill>
                  <w14:solidFill>
                    <w14:srgbClr w14:val="000000">
                      <w14:alpha w14:val="100000"/>
                    </w14:srgbClr>
                  </w14:solidFill>
                </w14:textFill>
                <w14:ligatures w14:val="standardContextual"/>
              </w:rPr>
              <w:t>|</w:t>
            </w:r>
          </w:p>
          <w:p w14:paraId="4BAEA873" w14:textId="60B2E24A" w:rsidR="00171572" w:rsidRPr="00774455" w:rsidRDefault="006114E5" w:rsidP="00171572">
            <w:pPr>
              <w:keepLines/>
              <w:snapToGrid w:val="0"/>
              <w:spacing w:after="120" w:line="256" w:lineRule="auto"/>
              <w:contextualSpacing/>
              <w:jc w:val="left"/>
              <w:rPr>
                <w:rFonts w:ascii="Arial Narrow" w:hAnsi="Arial Narrow"/>
                <w:i/>
                <w:kern w:val="2"/>
                <w:sz w:val="18"/>
                <w:szCs w:val="20"/>
                <w:lang w:eastAsia="en-US"/>
                <w14:ligatures w14:val="standardContextual"/>
              </w:rPr>
            </w:pPr>
            <w:r w:rsidRPr="00774455">
              <w:rPr>
                <w:rFonts w:ascii="Arial Narrow" w:hAnsi="Arial Narrow"/>
                <w:color w:val="000000"/>
                <w:spacing w:val="208"/>
                <w:sz w:val="18"/>
                <w:szCs w:val="20"/>
                <w:shd w:val="solid" w:color="000000" w:fill="000000"/>
                <w:fitText w:val="285" w:id="-664554738"/>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38"/>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7"/>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36"/>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36"/>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2"/>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2"/>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08"/>
                <w:sz w:val="18"/>
                <w:szCs w:val="20"/>
                <w:shd w:val="solid" w:color="000000" w:fill="000000"/>
                <w:fitText w:val="285" w:id="-664554751"/>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285" w:id="-664554751"/>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50"/>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Pr="00774455">
              <w:rPr>
                <w:rFonts w:ascii="Arial Narrow" w:hAnsi="Arial Narrow"/>
                <w:color w:val="000000"/>
                <w:spacing w:val="1"/>
                <w:sz w:val="18"/>
                <w:szCs w:val="20"/>
                <w:shd w:val="solid" w:color="000000" w:fill="000000"/>
                <w:fitText w:val="300" w:id="-664554749"/>
                <w:lang w:eastAsia="en-US"/>
                <w14:textFill>
                  <w14:solidFill>
                    <w14:srgbClr w14:val="000000">
                      <w14:alpha w14:val="100000"/>
                    </w14:srgbClr>
                  </w14:solidFill>
                </w14:textFill>
                <w14:ligatures w14:val="standardContextual"/>
              </w:rPr>
              <w:t>|</w:t>
            </w:r>
            <w:r w:rsidR="00FC2779" w:rsidRPr="00774455">
              <w:rPr>
                <w:rFonts w:ascii="Arial Narrow" w:hAnsi="Arial Narrow"/>
                <w:kern w:val="2"/>
                <w:sz w:val="18"/>
                <w:szCs w:val="20"/>
                <w:lang w:eastAsia="en-US"/>
                <w14:ligatures w14:val="standardContextual"/>
              </w:rPr>
              <w:t xml:space="preserve"> </w:t>
            </w:r>
            <w:r w:rsidRPr="00774455">
              <w:rPr>
                <w:rFonts w:ascii="Arial Narrow" w:hAnsi="Arial Narrow"/>
                <w:color w:val="000000"/>
                <w:spacing w:val="223"/>
                <w:sz w:val="18"/>
                <w:szCs w:val="20"/>
                <w:shd w:val="solid" w:color="000000" w:fill="000000"/>
                <w:fitText w:val="300" w:id="-664554748"/>
                <w:lang w:eastAsia="en-US"/>
                <w14:textFill>
                  <w14:solidFill>
                    <w14:srgbClr w14:val="000000">
                      <w14:alpha w14:val="100000"/>
                    </w14:srgbClr>
                  </w14:solidFill>
                </w14:textFill>
                <w14:ligatures w14:val="standardContextual"/>
              </w:rPr>
              <w:t>|</w:t>
            </w:r>
            <w:r w:rsidRPr="00774455">
              <w:rPr>
                <w:rFonts w:ascii="Arial Narrow" w:hAnsi="Arial Narrow"/>
                <w:color w:val="000000"/>
                <w:sz w:val="18"/>
                <w:szCs w:val="20"/>
                <w:shd w:val="solid" w:color="000000" w:fill="000000"/>
                <w:fitText w:val="300" w:id="-664554748"/>
                <w:lang w:eastAsia="en-US"/>
                <w14:textFill>
                  <w14:solidFill>
                    <w14:srgbClr w14:val="000000">
                      <w14:alpha w14:val="100000"/>
                    </w14:srgbClr>
                  </w14:solidFill>
                </w14:textFill>
                <w14:ligatures w14:val="standardContextual"/>
              </w:rPr>
              <w:t>|</w:t>
            </w:r>
          </w:p>
        </w:tc>
      </w:tr>
    </w:tbl>
    <w:p w14:paraId="23AD38D0" w14:textId="77777777" w:rsidR="00171572" w:rsidRPr="00171572" w:rsidRDefault="00171572" w:rsidP="00171572">
      <w:pPr>
        <w:rPr>
          <w:rFonts w:ascii="Arial" w:hAnsi="Arial"/>
        </w:rPr>
      </w:pPr>
    </w:p>
    <w:p w14:paraId="56F24BE5" w14:textId="77777777" w:rsidR="00171572" w:rsidRPr="0098262F" w:rsidRDefault="00171572" w:rsidP="009D09F4">
      <w:pPr>
        <w:rPr>
          <w:color w:val="3366FF"/>
        </w:rPr>
      </w:pPr>
    </w:p>
    <w:p w14:paraId="3D741587" w14:textId="0FCA5E41" w:rsidR="008A3C3E" w:rsidRDefault="008A3C3E" w:rsidP="009D09F4">
      <w:pPr>
        <w:pStyle w:val="5-SubsectionSubheading"/>
        <w:keepNext w:val="0"/>
        <w:jc w:val="center"/>
      </w:pPr>
      <w:bookmarkStart w:id="88" w:name="_Toc198734235"/>
      <w:r w:rsidRPr="0098262F">
        <w:t>End Committee-In-</w:t>
      </w:r>
      <w:r w:rsidRPr="009C426B">
        <w:t>Confidence</w:t>
      </w:r>
      <w:r w:rsidRPr="0098262F">
        <w:t xml:space="preserve"> information</w:t>
      </w:r>
      <w:bookmarkEnd w:id="88"/>
    </w:p>
    <w:p w14:paraId="020F0D3B" w14:textId="77777777" w:rsidR="00935CDA" w:rsidRPr="00935CDA" w:rsidRDefault="00935CDA" w:rsidP="00935CDA">
      <w:pPr>
        <w:pStyle w:val="3-BodyText"/>
        <w:numPr>
          <w:ilvl w:val="0"/>
          <w:numId w:val="0"/>
        </w:numPr>
        <w:ind w:left="720"/>
      </w:pPr>
    </w:p>
    <w:p w14:paraId="587A4348" w14:textId="6D238D17" w:rsidR="00C07EA8" w:rsidRDefault="00B17BA5" w:rsidP="009E1370">
      <w:pPr>
        <w:contextualSpacing/>
        <w:rPr>
          <w:rFonts w:eastAsia="Calibri"/>
          <w:i/>
          <w:szCs w:val="22"/>
        </w:rPr>
      </w:pPr>
      <w:bookmarkStart w:id="89" w:name="_Hlk103934877"/>
      <w:r>
        <w:rPr>
          <w:rFonts w:eastAsia="Calibri"/>
          <w:iCs/>
          <w:szCs w:val="22"/>
        </w:rPr>
        <w:tab/>
      </w:r>
      <w:r w:rsidRPr="00B17BA5">
        <w:rPr>
          <w:rFonts w:eastAsia="Calibri"/>
          <w:i/>
          <w:szCs w:val="22"/>
        </w:rPr>
        <w:t>For more detail on PBAC’s view, see section 7 PBAC outcome.</w:t>
      </w:r>
    </w:p>
    <w:p w14:paraId="576A8889" w14:textId="11BC2095" w:rsidR="009A4AFD" w:rsidRPr="00507C59" w:rsidRDefault="00C07EA8" w:rsidP="00507C59">
      <w:pPr>
        <w:pStyle w:val="2-SectionHeading"/>
        <w:numPr>
          <w:ilvl w:val="0"/>
          <w:numId w:val="1"/>
        </w:numPr>
      </w:pPr>
      <w:r w:rsidRPr="0090150D">
        <w:t>PBAC Outcome</w:t>
      </w:r>
    </w:p>
    <w:p w14:paraId="7F1D2E63" w14:textId="1FE79DBA" w:rsidR="00993875" w:rsidRPr="00D2098F" w:rsidRDefault="00993875">
      <w:pPr>
        <w:pStyle w:val="3-BodyText"/>
        <w:rPr>
          <w:snapToGrid w:val="0"/>
        </w:rPr>
      </w:pPr>
      <w:r w:rsidRPr="00D2098F">
        <w:rPr>
          <w:snapToGrid w:val="0"/>
        </w:rPr>
        <w:t xml:space="preserve">The PBAC recommended the listing of pegunigalsidase alfa </w:t>
      </w:r>
      <w:r w:rsidR="00AF1EDF" w:rsidRPr="00D2098F">
        <w:rPr>
          <w:snapToGrid w:val="0"/>
        </w:rPr>
        <w:t xml:space="preserve">for the treatment of Fabry Disease (FD) </w:t>
      </w:r>
      <w:r w:rsidRPr="00D2098F">
        <w:rPr>
          <w:snapToGrid w:val="0"/>
        </w:rPr>
        <w:t xml:space="preserve">as an Authority Required (Written) listing for initial treatment and an </w:t>
      </w:r>
      <w:r w:rsidRPr="00D2098F">
        <w:rPr>
          <w:snapToGrid w:val="0"/>
        </w:rPr>
        <w:lastRenderedPageBreak/>
        <w:t>Authority Required (telephone/electronic) listing for continuing treatment, on the basis that it should be available only under Section 100 (Highly Specialised Drugs Program (Public and Private))</w:t>
      </w:r>
      <w:r w:rsidR="001B2E35" w:rsidRPr="00D2098F">
        <w:rPr>
          <w:snapToGrid w:val="0"/>
        </w:rPr>
        <w:t>.</w:t>
      </w:r>
      <w:r w:rsidR="001B2E35" w:rsidRPr="001B2E35">
        <w:t xml:space="preserve"> </w:t>
      </w:r>
      <w:r w:rsidR="001B2E35" w:rsidRPr="00D2098F">
        <w:rPr>
          <w:rFonts w:eastAsia="Times New Roman" w:cs="Arial"/>
          <w:snapToGrid w:val="0"/>
        </w:rPr>
        <w:t xml:space="preserve">The PBAC’s recommendation for listing was based on, among other matters, its assessment that the cost-effectiveness of </w:t>
      </w:r>
      <w:r w:rsidR="00183C50" w:rsidRPr="00D2098F">
        <w:rPr>
          <w:rFonts w:eastAsia="Times New Roman" w:cs="Arial"/>
          <w:snapToGrid w:val="0"/>
        </w:rPr>
        <w:t>pegunigalsidase alfa</w:t>
      </w:r>
      <w:r w:rsidR="001B2E35" w:rsidRPr="00D2098F">
        <w:rPr>
          <w:rFonts w:eastAsia="Times New Roman" w:cs="Arial"/>
          <w:snapToGrid w:val="0"/>
        </w:rPr>
        <w:t xml:space="preserve"> would be acceptable if it were cost minimised</w:t>
      </w:r>
      <w:r w:rsidR="001B2E35" w:rsidRPr="00D2098F">
        <w:rPr>
          <w:snapToGrid w:val="0"/>
        </w:rPr>
        <w:t xml:space="preserve"> </w:t>
      </w:r>
      <w:r w:rsidRPr="00D2098F">
        <w:rPr>
          <w:snapToGrid w:val="0"/>
        </w:rPr>
        <w:t xml:space="preserve">to migalastat. </w:t>
      </w:r>
    </w:p>
    <w:p w14:paraId="67151693" w14:textId="59A02CB5" w:rsidR="00350901" w:rsidRPr="00D2098F" w:rsidRDefault="00350901"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noted that </w:t>
      </w:r>
      <w:r w:rsidR="009F60A2" w:rsidRPr="00D2098F">
        <w:rPr>
          <w:rFonts w:asciiTheme="minorHAnsi" w:hAnsiTheme="minorHAnsi"/>
          <w:snapToGrid w:val="0"/>
        </w:rPr>
        <w:t xml:space="preserve">two other enzyme replacement therapies (ERTs) – agalsidase alfa and agalsidase beta </w:t>
      </w:r>
      <w:r w:rsidR="00FF1C27" w:rsidRPr="00D2098F">
        <w:rPr>
          <w:rFonts w:asciiTheme="minorHAnsi" w:hAnsiTheme="minorHAnsi"/>
          <w:snapToGrid w:val="0"/>
        </w:rPr>
        <w:t>–</w:t>
      </w:r>
      <w:r w:rsidR="009F60A2" w:rsidRPr="00D2098F">
        <w:rPr>
          <w:rFonts w:asciiTheme="minorHAnsi" w:hAnsiTheme="minorHAnsi"/>
          <w:snapToGrid w:val="0"/>
        </w:rPr>
        <w:t xml:space="preserve"> </w:t>
      </w:r>
      <w:r w:rsidR="00FF1C27" w:rsidRPr="00D2098F">
        <w:rPr>
          <w:rFonts w:asciiTheme="minorHAnsi" w:hAnsiTheme="minorHAnsi"/>
          <w:snapToGrid w:val="0"/>
        </w:rPr>
        <w:t xml:space="preserve">are currently </w:t>
      </w:r>
      <w:r w:rsidR="00F05BF4" w:rsidRPr="00D2098F">
        <w:rPr>
          <w:rFonts w:asciiTheme="minorHAnsi" w:hAnsiTheme="minorHAnsi"/>
          <w:snapToGrid w:val="0"/>
        </w:rPr>
        <w:t>available through</w:t>
      </w:r>
      <w:r w:rsidR="00FF1C27" w:rsidRPr="00D2098F">
        <w:rPr>
          <w:rFonts w:asciiTheme="minorHAnsi" w:hAnsiTheme="minorHAnsi"/>
          <w:snapToGrid w:val="0"/>
        </w:rPr>
        <w:t xml:space="preserve"> the Life Saving Drugs Program (LSDP), and migala</w:t>
      </w:r>
      <w:r w:rsidR="00B80FED" w:rsidRPr="00D2098F">
        <w:rPr>
          <w:rFonts w:asciiTheme="minorHAnsi" w:hAnsiTheme="minorHAnsi"/>
          <w:snapToGrid w:val="0"/>
        </w:rPr>
        <w:t xml:space="preserve">stat is the only </w:t>
      </w:r>
      <w:r w:rsidR="00F05BF4" w:rsidRPr="00D2098F">
        <w:rPr>
          <w:rFonts w:asciiTheme="minorHAnsi" w:hAnsiTheme="minorHAnsi"/>
          <w:snapToGrid w:val="0"/>
        </w:rPr>
        <w:t xml:space="preserve">medicine </w:t>
      </w:r>
      <w:r w:rsidR="00B80FED" w:rsidRPr="00D2098F">
        <w:rPr>
          <w:rFonts w:asciiTheme="minorHAnsi" w:hAnsiTheme="minorHAnsi"/>
          <w:snapToGrid w:val="0"/>
        </w:rPr>
        <w:t xml:space="preserve">listed on the PBS for FD. </w:t>
      </w:r>
      <w:r w:rsidR="001F7CA1" w:rsidRPr="00D2098F">
        <w:rPr>
          <w:rFonts w:asciiTheme="minorHAnsi" w:hAnsiTheme="minorHAnsi"/>
          <w:snapToGrid w:val="0"/>
        </w:rPr>
        <w:t>The PBAC considered p</w:t>
      </w:r>
      <w:r w:rsidR="00B80FED" w:rsidRPr="00D2098F">
        <w:rPr>
          <w:rFonts w:asciiTheme="minorHAnsi" w:hAnsiTheme="minorHAnsi"/>
          <w:snapToGrid w:val="0"/>
        </w:rPr>
        <w:t xml:space="preserve">egunigalsidase alfa </w:t>
      </w:r>
      <w:r w:rsidR="005D5B4A" w:rsidRPr="00D2098F">
        <w:rPr>
          <w:rFonts w:asciiTheme="minorHAnsi" w:hAnsiTheme="minorHAnsi"/>
          <w:snapToGrid w:val="0"/>
        </w:rPr>
        <w:t>provides a</w:t>
      </w:r>
      <w:r w:rsidR="004C4C9D" w:rsidRPr="00D2098F">
        <w:rPr>
          <w:rFonts w:asciiTheme="minorHAnsi" w:hAnsiTheme="minorHAnsi"/>
          <w:snapToGrid w:val="0"/>
        </w:rPr>
        <w:t xml:space="preserve">n alternative therapy </w:t>
      </w:r>
      <w:r w:rsidR="001F7CA1" w:rsidRPr="00D2098F">
        <w:rPr>
          <w:rFonts w:asciiTheme="minorHAnsi" w:hAnsiTheme="minorHAnsi"/>
          <w:snapToGrid w:val="0"/>
        </w:rPr>
        <w:t>for FD.</w:t>
      </w:r>
    </w:p>
    <w:p w14:paraId="4C418A51" w14:textId="4B21E67E" w:rsidR="00C80B9F" w:rsidRPr="00D2098F" w:rsidRDefault="00C80B9F" w:rsidP="00807648">
      <w:pPr>
        <w:numPr>
          <w:ilvl w:val="1"/>
          <w:numId w:val="1"/>
        </w:numPr>
        <w:spacing w:after="120"/>
        <w:rPr>
          <w:rFonts w:asciiTheme="minorHAnsi" w:hAnsiTheme="minorHAnsi"/>
          <w:snapToGrid w:val="0"/>
        </w:rPr>
      </w:pPr>
      <w:r w:rsidRPr="00D2098F">
        <w:rPr>
          <w:rFonts w:asciiTheme="minorHAnsi" w:hAnsiTheme="minorHAnsi"/>
          <w:snapToGrid w:val="0"/>
        </w:rPr>
        <w:t>The PBAC noted consumer comments received which described the challenges with living with FD, including difficulties in carrying out daily living activities (e.g. work, socialising), and the need for access to effective treatments. The PBAC further noted that having medications for FD available on the PBS would make them more accessible to patients.</w:t>
      </w:r>
    </w:p>
    <w:p w14:paraId="5EA0E09E" w14:textId="01B65777" w:rsidR="00B417E6" w:rsidRPr="00D2098F" w:rsidRDefault="008F699E"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considered the claim that </w:t>
      </w:r>
      <w:r w:rsidR="007F1D94" w:rsidRPr="00D2098F">
        <w:rPr>
          <w:rFonts w:asciiTheme="minorHAnsi" w:hAnsiTheme="minorHAnsi"/>
          <w:snapToGrid w:val="0"/>
        </w:rPr>
        <w:t>pegunigalsidase</w:t>
      </w:r>
      <w:r w:rsidRPr="00D2098F">
        <w:rPr>
          <w:rFonts w:asciiTheme="minorHAnsi" w:hAnsiTheme="minorHAnsi"/>
          <w:snapToGrid w:val="0"/>
        </w:rPr>
        <w:t xml:space="preserve"> alfa</w:t>
      </w:r>
      <w:r w:rsidR="001E11A6" w:rsidRPr="00D2098F">
        <w:rPr>
          <w:rFonts w:asciiTheme="minorHAnsi" w:hAnsiTheme="minorHAnsi"/>
          <w:snapToGrid w:val="0"/>
        </w:rPr>
        <w:t xml:space="preserve"> has non-inferior efficacy compared to agalsidase </w:t>
      </w:r>
      <w:r w:rsidR="00D20701" w:rsidRPr="00D2098F">
        <w:rPr>
          <w:rFonts w:asciiTheme="minorHAnsi" w:hAnsiTheme="minorHAnsi"/>
          <w:snapToGrid w:val="0"/>
        </w:rPr>
        <w:t>beta</w:t>
      </w:r>
      <w:r w:rsidR="001E11A6" w:rsidRPr="00D2098F">
        <w:rPr>
          <w:rFonts w:asciiTheme="minorHAnsi" w:hAnsiTheme="minorHAnsi"/>
          <w:snapToGrid w:val="0"/>
        </w:rPr>
        <w:t xml:space="preserve"> was adequately supported</w:t>
      </w:r>
      <w:r w:rsidR="003B0E58" w:rsidRPr="00D2098F">
        <w:rPr>
          <w:rFonts w:asciiTheme="minorHAnsi" w:hAnsiTheme="minorHAnsi"/>
          <w:snapToGrid w:val="0"/>
        </w:rPr>
        <w:t>. The PBAC</w:t>
      </w:r>
      <w:r w:rsidR="001E11A6" w:rsidRPr="00D2098F">
        <w:rPr>
          <w:rFonts w:asciiTheme="minorHAnsi" w:hAnsiTheme="minorHAnsi"/>
          <w:snapToGrid w:val="0"/>
        </w:rPr>
        <w:t xml:space="preserve"> considered the</w:t>
      </w:r>
      <w:r w:rsidR="003B0E58" w:rsidRPr="00D2098F">
        <w:rPr>
          <w:rFonts w:asciiTheme="minorHAnsi" w:hAnsiTheme="minorHAnsi"/>
          <w:snapToGrid w:val="0"/>
        </w:rPr>
        <w:t xml:space="preserve">re was </w:t>
      </w:r>
      <w:r w:rsidR="00A40C66" w:rsidRPr="00D2098F">
        <w:rPr>
          <w:rFonts w:asciiTheme="minorHAnsi" w:hAnsiTheme="minorHAnsi"/>
          <w:snapToGrid w:val="0"/>
        </w:rPr>
        <w:t>a lack of clinical evidence to support the</w:t>
      </w:r>
      <w:r w:rsidR="001E11A6" w:rsidRPr="00D2098F">
        <w:rPr>
          <w:rFonts w:asciiTheme="minorHAnsi" w:hAnsiTheme="minorHAnsi"/>
          <w:snapToGrid w:val="0"/>
        </w:rPr>
        <w:t xml:space="preserve"> claim of non-inferior efficacy compared to </w:t>
      </w:r>
      <w:r w:rsidR="00A93BB7" w:rsidRPr="00D2098F">
        <w:rPr>
          <w:rFonts w:asciiTheme="minorHAnsi" w:hAnsiTheme="minorHAnsi"/>
          <w:snapToGrid w:val="0"/>
        </w:rPr>
        <w:t>agalsidase alf</w:t>
      </w:r>
      <w:r w:rsidR="006847CF" w:rsidRPr="00D2098F">
        <w:rPr>
          <w:rFonts w:asciiTheme="minorHAnsi" w:hAnsiTheme="minorHAnsi"/>
          <w:snapToGrid w:val="0"/>
        </w:rPr>
        <w:t>a, however it was reasonable to conclude that agalsidase alfa has similar efficacy to agalsidase beta, and therefore pegunigalsidase alfa</w:t>
      </w:r>
      <w:r w:rsidR="00A93BB7" w:rsidRPr="00D2098F">
        <w:rPr>
          <w:rFonts w:asciiTheme="minorHAnsi" w:hAnsiTheme="minorHAnsi"/>
          <w:snapToGrid w:val="0"/>
        </w:rPr>
        <w:t xml:space="preserve">. </w:t>
      </w:r>
    </w:p>
    <w:p w14:paraId="047E9FA9" w14:textId="1D15D778" w:rsidR="008F699E" w:rsidRPr="00D2098F" w:rsidRDefault="00C667BD"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considered the claim of </w:t>
      </w:r>
      <w:r w:rsidR="00D92644" w:rsidRPr="00D2098F">
        <w:rPr>
          <w:rFonts w:asciiTheme="minorHAnsi" w:hAnsiTheme="minorHAnsi"/>
          <w:snapToGrid w:val="0"/>
        </w:rPr>
        <w:t>non-inferior</w:t>
      </w:r>
      <w:r w:rsidR="0029552E" w:rsidRPr="00D2098F">
        <w:rPr>
          <w:rFonts w:asciiTheme="minorHAnsi" w:hAnsiTheme="minorHAnsi"/>
          <w:snapToGrid w:val="0"/>
        </w:rPr>
        <w:t xml:space="preserve"> comparative effectiveness</w:t>
      </w:r>
      <w:r w:rsidR="00D92644" w:rsidRPr="00D2098F">
        <w:rPr>
          <w:rFonts w:asciiTheme="minorHAnsi" w:hAnsiTheme="minorHAnsi"/>
          <w:snapToGrid w:val="0"/>
        </w:rPr>
        <w:t xml:space="preserve"> compared to migalastat was </w:t>
      </w:r>
      <w:r w:rsidR="004761DD" w:rsidRPr="00D2098F">
        <w:rPr>
          <w:rFonts w:asciiTheme="minorHAnsi" w:hAnsiTheme="minorHAnsi"/>
          <w:snapToGrid w:val="0"/>
        </w:rPr>
        <w:t>supported by the data provided, with a high level of uncertainty. The PBAC noted</w:t>
      </w:r>
      <w:r w:rsidR="00B40F64" w:rsidRPr="00D2098F">
        <w:rPr>
          <w:rFonts w:asciiTheme="minorHAnsi" w:hAnsiTheme="minorHAnsi"/>
          <w:snapToGrid w:val="0"/>
        </w:rPr>
        <w:t xml:space="preserve"> the submission did not present an indirect treatment comparison or robust evidence</w:t>
      </w:r>
      <w:r w:rsidR="004761DD" w:rsidRPr="00D2098F">
        <w:rPr>
          <w:rFonts w:asciiTheme="minorHAnsi" w:hAnsiTheme="minorHAnsi"/>
          <w:snapToGrid w:val="0"/>
        </w:rPr>
        <w:t>, and</w:t>
      </w:r>
      <w:r w:rsidR="003D746A" w:rsidRPr="00D2098F">
        <w:rPr>
          <w:rFonts w:asciiTheme="minorHAnsi" w:hAnsiTheme="minorHAnsi"/>
          <w:snapToGrid w:val="0"/>
        </w:rPr>
        <w:t xml:space="preserve"> the s</w:t>
      </w:r>
      <w:r w:rsidR="00B417E6" w:rsidRPr="00D2098F">
        <w:rPr>
          <w:rFonts w:asciiTheme="minorHAnsi" w:hAnsiTheme="minorHAnsi"/>
          <w:snapToGrid w:val="0"/>
        </w:rPr>
        <w:t xml:space="preserve">ide-by-side comparison </w:t>
      </w:r>
      <w:r w:rsidR="00792C8C" w:rsidRPr="00D2098F">
        <w:rPr>
          <w:rFonts w:asciiTheme="minorHAnsi" w:hAnsiTheme="minorHAnsi"/>
          <w:snapToGrid w:val="0"/>
        </w:rPr>
        <w:t>presented</w:t>
      </w:r>
      <w:r w:rsidR="003D746A" w:rsidRPr="00D2098F">
        <w:rPr>
          <w:rFonts w:asciiTheme="minorHAnsi" w:hAnsiTheme="minorHAnsi"/>
          <w:snapToGrid w:val="0"/>
        </w:rPr>
        <w:t xml:space="preserve"> was difficult to interpret</w:t>
      </w:r>
      <w:r w:rsidR="00747D0C" w:rsidRPr="00D2098F">
        <w:rPr>
          <w:rFonts w:asciiTheme="minorHAnsi" w:hAnsiTheme="minorHAnsi"/>
          <w:snapToGrid w:val="0"/>
        </w:rPr>
        <w:t xml:space="preserve"> due to diversity in the patient populations of the studies.</w:t>
      </w:r>
    </w:p>
    <w:p w14:paraId="450526C1" w14:textId="5E77EE12" w:rsidR="00747D0C" w:rsidRPr="00D2098F" w:rsidRDefault="00D20701"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considered the claim of non-inferior safety compared to </w:t>
      </w:r>
      <w:r w:rsidR="00EB3493" w:rsidRPr="00D2098F">
        <w:rPr>
          <w:rFonts w:asciiTheme="minorHAnsi" w:hAnsiTheme="minorHAnsi"/>
          <w:snapToGrid w:val="0"/>
        </w:rPr>
        <w:t>agalsidase alfa, agalsidase beta and migalastat</w:t>
      </w:r>
      <w:r w:rsidR="00497803" w:rsidRPr="00D2098F">
        <w:rPr>
          <w:rFonts w:asciiTheme="minorHAnsi" w:hAnsiTheme="minorHAnsi"/>
          <w:snapToGrid w:val="0"/>
        </w:rPr>
        <w:t>,</w:t>
      </w:r>
      <w:r w:rsidR="00EB3493" w:rsidRPr="00D2098F">
        <w:rPr>
          <w:rFonts w:asciiTheme="minorHAnsi" w:hAnsiTheme="minorHAnsi"/>
          <w:snapToGrid w:val="0"/>
        </w:rPr>
        <w:t xml:space="preserve"> to be reasonable.</w:t>
      </w:r>
    </w:p>
    <w:p w14:paraId="594E6CCA" w14:textId="1CFD52ED" w:rsidR="007C4874" w:rsidRPr="00D2098F" w:rsidRDefault="007C4874"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w:t>
      </w:r>
      <w:r w:rsidR="009063DB" w:rsidRPr="00D2098F">
        <w:rPr>
          <w:rFonts w:asciiTheme="minorHAnsi" w:hAnsiTheme="minorHAnsi"/>
          <w:snapToGrid w:val="0"/>
        </w:rPr>
        <w:t>considered that while the other ERTs would be appropriate clinical comparators, as they are not listed on the PBS</w:t>
      </w:r>
      <w:r w:rsidR="00493454" w:rsidRPr="00D2098F">
        <w:rPr>
          <w:rFonts w:asciiTheme="minorHAnsi" w:hAnsiTheme="minorHAnsi"/>
          <w:snapToGrid w:val="0"/>
        </w:rPr>
        <w:t>,</w:t>
      </w:r>
      <w:r w:rsidR="00A30CAC" w:rsidRPr="00D2098F">
        <w:rPr>
          <w:rFonts w:asciiTheme="minorHAnsi" w:hAnsiTheme="minorHAnsi"/>
          <w:snapToGrid w:val="0"/>
        </w:rPr>
        <w:t xml:space="preserve"> PBS-listed</w:t>
      </w:r>
      <w:r w:rsidR="00493454" w:rsidRPr="00D2098F">
        <w:rPr>
          <w:rFonts w:asciiTheme="minorHAnsi" w:hAnsiTheme="minorHAnsi"/>
          <w:snapToGrid w:val="0"/>
        </w:rPr>
        <w:t xml:space="preserve"> migalastat is an appropriate comparator.</w:t>
      </w:r>
      <w:r w:rsidR="008117BF" w:rsidRPr="00D2098F">
        <w:rPr>
          <w:rFonts w:asciiTheme="minorHAnsi" w:hAnsiTheme="minorHAnsi"/>
          <w:snapToGrid w:val="0"/>
        </w:rPr>
        <w:t xml:space="preserve"> The PBAC noted that migalastat is listed on the PBS only for FD with an amenable mutation, which accounts for approximately half of the FD population.</w:t>
      </w:r>
    </w:p>
    <w:p w14:paraId="4B18B6E3" w14:textId="2C6FBAFF" w:rsidR="00AF5998" w:rsidRPr="00D2098F" w:rsidRDefault="00AF5998" w:rsidP="00807648">
      <w:pPr>
        <w:numPr>
          <w:ilvl w:val="1"/>
          <w:numId w:val="1"/>
        </w:numPr>
        <w:spacing w:after="120"/>
        <w:rPr>
          <w:rFonts w:asciiTheme="minorHAnsi" w:hAnsiTheme="minorHAnsi"/>
          <w:snapToGrid w:val="0"/>
        </w:rPr>
      </w:pPr>
      <w:r w:rsidRPr="00D2098F">
        <w:rPr>
          <w:rFonts w:asciiTheme="minorHAnsi" w:hAnsiTheme="minorHAnsi"/>
          <w:snapToGrid w:val="0"/>
        </w:rPr>
        <w:t>The PBAC</w:t>
      </w:r>
      <w:r w:rsidR="00EE32E0" w:rsidRPr="00D2098F">
        <w:rPr>
          <w:rFonts w:asciiTheme="minorHAnsi" w:hAnsiTheme="minorHAnsi"/>
          <w:snapToGrid w:val="0"/>
        </w:rPr>
        <w:t xml:space="preserve"> noted the submission requested a price </w:t>
      </w:r>
      <w:r w:rsidR="00675F91" w:rsidRPr="00D2098F">
        <w:rPr>
          <w:rFonts w:asciiTheme="minorHAnsi" w:hAnsiTheme="minorHAnsi"/>
          <w:snapToGrid w:val="0"/>
        </w:rPr>
        <w:t xml:space="preserve">that was a </w:t>
      </w:r>
      <w:r w:rsidR="0067772E" w:rsidRPr="00652EC5">
        <w:rPr>
          <w:rFonts w:asciiTheme="minorHAnsi" w:hAnsiTheme="minorHAnsi"/>
          <w:snapToGrid w:val="0"/>
          <w:color w:val="000000"/>
          <w:w w:val="60"/>
          <w:shd w:val="solid" w:color="000000" w:fill="000000"/>
          <w:fitText w:val="469" w:id="-628909568"/>
          <w14:textFill>
            <w14:solidFill>
              <w14:srgbClr w14:val="000000">
                <w14:alpha w14:val="100000"/>
              </w14:srgbClr>
            </w14:solidFill>
          </w14:textFill>
        </w:rPr>
        <w:t>|||  ||</w:t>
      </w:r>
      <w:r w:rsidR="0067772E" w:rsidRPr="00652EC5">
        <w:rPr>
          <w:rFonts w:asciiTheme="minorHAnsi" w:hAnsiTheme="minorHAnsi"/>
          <w:snapToGrid w:val="0"/>
          <w:color w:val="000000"/>
          <w:spacing w:val="5"/>
          <w:w w:val="60"/>
          <w:shd w:val="solid" w:color="000000" w:fill="000000"/>
          <w:fitText w:val="469" w:id="-628909568"/>
          <w14:textFill>
            <w14:solidFill>
              <w14:srgbClr w14:val="000000">
                <w14:alpha w14:val="100000"/>
              </w14:srgbClr>
            </w14:solidFill>
          </w14:textFill>
        </w:rPr>
        <w:t>|</w:t>
      </w:r>
      <w:r w:rsidR="009A0513" w:rsidRPr="00D2098F">
        <w:rPr>
          <w:rFonts w:asciiTheme="minorHAnsi" w:hAnsiTheme="minorHAnsi"/>
          <w:snapToGrid w:val="0"/>
        </w:rPr>
        <w:t xml:space="preserve">% price premium over the annual cost of migalastat. </w:t>
      </w:r>
      <w:r w:rsidR="001C28D8" w:rsidRPr="00D2098F">
        <w:rPr>
          <w:rFonts w:asciiTheme="minorHAnsi" w:hAnsiTheme="minorHAnsi"/>
          <w:snapToGrid w:val="0"/>
        </w:rPr>
        <w:t xml:space="preserve">However, </w:t>
      </w:r>
      <w:r w:rsidR="00C937E6" w:rsidRPr="00D2098F">
        <w:rPr>
          <w:rFonts w:asciiTheme="minorHAnsi" w:hAnsiTheme="minorHAnsi"/>
          <w:snapToGrid w:val="0"/>
        </w:rPr>
        <w:t>the PBAC considered</w:t>
      </w:r>
      <w:r w:rsidR="001C28D8" w:rsidRPr="00D2098F">
        <w:rPr>
          <w:rFonts w:asciiTheme="minorHAnsi" w:hAnsiTheme="minorHAnsi"/>
          <w:snapToGrid w:val="0"/>
        </w:rPr>
        <w:t xml:space="preserve"> there was </w:t>
      </w:r>
      <w:r w:rsidR="0079496D" w:rsidRPr="00D2098F">
        <w:rPr>
          <w:rFonts w:asciiTheme="minorHAnsi" w:hAnsiTheme="minorHAnsi"/>
          <w:snapToGrid w:val="0"/>
        </w:rPr>
        <w:t>a lack of evidence demonstrating that</w:t>
      </w:r>
      <w:r w:rsidR="0068500D" w:rsidRPr="00D2098F">
        <w:rPr>
          <w:rFonts w:asciiTheme="minorHAnsi" w:hAnsiTheme="minorHAnsi"/>
          <w:snapToGrid w:val="0"/>
        </w:rPr>
        <w:t xml:space="preserve"> pegunigalsidase alfa </w:t>
      </w:r>
      <w:r w:rsidR="00284AED" w:rsidRPr="00D2098F">
        <w:rPr>
          <w:rFonts w:asciiTheme="minorHAnsi" w:hAnsiTheme="minorHAnsi"/>
          <w:snapToGrid w:val="0"/>
        </w:rPr>
        <w:t xml:space="preserve">had </w:t>
      </w:r>
      <w:r w:rsidR="0068500D" w:rsidRPr="00D2098F">
        <w:rPr>
          <w:rFonts w:asciiTheme="minorHAnsi" w:hAnsiTheme="minorHAnsi"/>
          <w:snapToGrid w:val="0"/>
        </w:rPr>
        <w:t>superior efficacy, or a</w:t>
      </w:r>
      <w:r w:rsidR="005A5BA8" w:rsidRPr="00D2098F">
        <w:rPr>
          <w:rFonts w:asciiTheme="minorHAnsi" w:hAnsiTheme="minorHAnsi"/>
          <w:snapToGrid w:val="0"/>
        </w:rPr>
        <w:t xml:space="preserve"> superior safety profile, compared to migalastat,</w:t>
      </w:r>
      <w:r w:rsidRPr="00D2098F">
        <w:rPr>
          <w:rFonts w:asciiTheme="minorHAnsi" w:hAnsiTheme="minorHAnsi"/>
          <w:snapToGrid w:val="0"/>
        </w:rPr>
        <w:t xml:space="preserve"> </w:t>
      </w:r>
      <w:r w:rsidR="00C937E6" w:rsidRPr="00D2098F">
        <w:rPr>
          <w:rFonts w:asciiTheme="minorHAnsi" w:hAnsiTheme="minorHAnsi"/>
          <w:snapToGrid w:val="0"/>
        </w:rPr>
        <w:t xml:space="preserve">and therefore </w:t>
      </w:r>
      <w:r w:rsidR="002E1726" w:rsidRPr="00D2098F">
        <w:rPr>
          <w:rFonts w:asciiTheme="minorHAnsi" w:hAnsiTheme="minorHAnsi"/>
          <w:snapToGrid w:val="0"/>
        </w:rPr>
        <w:t>a higher price than</w:t>
      </w:r>
      <w:r w:rsidR="00C937E6" w:rsidRPr="00D2098F">
        <w:rPr>
          <w:rFonts w:asciiTheme="minorHAnsi" w:hAnsiTheme="minorHAnsi"/>
          <w:snapToGrid w:val="0"/>
        </w:rPr>
        <w:t xml:space="preserve"> </w:t>
      </w:r>
      <w:r w:rsidR="00B90686" w:rsidRPr="00D2098F">
        <w:rPr>
          <w:rFonts w:asciiTheme="minorHAnsi" w:hAnsiTheme="minorHAnsi"/>
          <w:snapToGrid w:val="0"/>
        </w:rPr>
        <w:t>that of migalastat was not justified.</w:t>
      </w:r>
      <w:r w:rsidRPr="00D2098F">
        <w:rPr>
          <w:rFonts w:asciiTheme="minorHAnsi" w:hAnsiTheme="minorHAnsi"/>
          <w:snapToGrid w:val="0"/>
        </w:rPr>
        <w:t xml:space="preserve"> </w:t>
      </w:r>
      <w:r w:rsidR="00B90686" w:rsidRPr="00D2098F">
        <w:rPr>
          <w:rFonts w:asciiTheme="minorHAnsi" w:hAnsiTheme="minorHAnsi"/>
          <w:snapToGrid w:val="0"/>
        </w:rPr>
        <w:t>T</w:t>
      </w:r>
      <w:r w:rsidRPr="00D2098F">
        <w:rPr>
          <w:rFonts w:asciiTheme="minorHAnsi" w:hAnsiTheme="minorHAnsi"/>
          <w:snapToGrid w:val="0"/>
        </w:rPr>
        <w:t>he</w:t>
      </w:r>
      <w:r w:rsidR="005A5BA8" w:rsidRPr="00D2098F">
        <w:rPr>
          <w:rFonts w:asciiTheme="minorHAnsi" w:hAnsiTheme="minorHAnsi"/>
          <w:snapToGrid w:val="0"/>
        </w:rPr>
        <w:t xml:space="preserve"> PBAC</w:t>
      </w:r>
      <w:r w:rsidR="00B90686" w:rsidRPr="00D2098F">
        <w:rPr>
          <w:rFonts w:asciiTheme="minorHAnsi" w:hAnsiTheme="minorHAnsi"/>
          <w:snapToGrid w:val="0"/>
        </w:rPr>
        <w:t xml:space="preserve"> considered pegunigalsidase alfa </w:t>
      </w:r>
      <w:r w:rsidR="00C1342D" w:rsidRPr="00D2098F">
        <w:rPr>
          <w:rFonts w:asciiTheme="minorHAnsi" w:hAnsiTheme="minorHAnsi"/>
          <w:snapToGrid w:val="0"/>
        </w:rPr>
        <w:t>to have non-inferior comparative efficacy and safety to migalastat, and</w:t>
      </w:r>
      <w:r w:rsidRPr="00D2098F">
        <w:rPr>
          <w:rFonts w:asciiTheme="minorHAnsi" w:hAnsiTheme="minorHAnsi"/>
          <w:snapToGrid w:val="0"/>
        </w:rPr>
        <w:t xml:space="preserve"> recommended listing </w:t>
      </w:r>
      <w:r w:rsidR="00490AD0" w:rsidRPr="00D2098F">
        <w:rPr>
          <w:rFonts w:asciiTheme="minorHAnsi" w:hAnsiTheme="minorHAnsi"/>
          <w:snapToGrid w:val="0"/>
        </w:rPr>
        <w:t>pegunigalsidase alfa on a cost-minimisation basis to migalastat</w:t>
      </w:r>
      <w:r w:rsidR="009F1563" w:rsidRPr="00D2098F">
        <w:rPr>
          <w:rFonts w:asciiTheme="minorHAnsi" w:hAnsiTheme="minorHAnsi"/>
          <w:snapToGrid w:val="0"/>
        </w:rPr>
        <w:t>.</w:t>
      </w:r>
      <w:r w:rsidR="009702C7" w:rsidRPr="00D2098F">
        <w:rPr>
          <w:rFonts w:asciiTheme="minorHAnsi" w:hAnsiTheme="minorHAnsi"/>
          <w:snapToGrid w:val="0"/>
        </w:rPr>
        <w:t xml:space="preserve"> The PBAC </w:t>
      </w:r>
      <w:r w:rsidR="008F5D3F" w:rsidRPr="00D2098F">
        <w:rPr>
          <w:rFonts w:asciiTheme="minorHAnsi" w:hAnsiTheme="minorHAnsi"/>
          <w:snapToGrid w:val="0"/>
        </w:rPr>
        <w:t>recalled</w:t>
      </w:r>
      <w:r w:rsidR="006A20DE" w:rsidRPr="00D2098F">
        <w:rPr>
          <w:rFonts w:asciiTheme="minorHAnsi" w:hAnsiTheme="minorHAnsi"/>
          <w:snapToGrid w:val="0"/>
        </w:rPr>
        <w:t xml:space="preserve"> </w:t>
      </w:r>
      <w:r w:rsidR="00E255AE" w:rsidRPr="00D2098F">
        <w:rPr>
          <w:rFonts w:asciiTheme="minorHAnsi" w:hAnsiTheme="minorHAnsi"/>
          <w:snapToGrid w:val="0"/>
        </w:rPr>
        <w:t>that</w:t>
      </w:r>
      <w:r w:rsidR="00AB3E07" w:rsidRPr="00D2098F">
        <w:rPr>
          <w:rFonts w:asciiTheme="minorHAnsi" w:hAnsiTheme="minorHAnsi"/>
          <w:snapToGrid w:val="0"/>
        </w:rPr>
        <w:t xml:space="preserve"> migalastat </w:t>
      </w:r>
      <w:r w:rsidR="716C4BAD" w:rsidRPr="00D2098F">
        <w:rPr>
          <w:rFonts w:asciiTheme="minorHAnsi" w:hAnsiTheme="minorHAnsi"/>
          <w:snapToGrid w:val="0"/>
        </w:rPr>
        <w:t>was recommende</w:t>
      </w:r>
      <w:r w:rsidR="4FCEA67F" w:rsidRPr="00D2098F">
        <w:rPr>
          <w:rFonts w:asciiTheme="minorHAnsi" w:hAnsiTheme="minorHAnsi"/>
          <w:snapToGrid w:val="0"/>
        </w:rPr>
        <w:t>d</w:t>
      </w:r>
      <w:r w:rsidR="008857DB" w:rsidRPr="00D2098F">
        <w:rPr>
          <w:rFonts w:asciiTheme="minorHAnsi" w:hAnsiTheme="minorHAnsi"/>
          <w:snapToGrid w:val="0"/>
        </w:rPr>
        <w:t xml:space="preserve"> </w:t>
      </w:r>
      <w:r w:rsidR="001954F6" w:rsidRPr="00D2098F">
        <w:rPr>
          <w:rFonts w:asciiTheme="minorHAnsi" w:hAnsiTheme="minorHAnsi"/>
          <w:snapToGrid w:val="0"/>
        </w:rPr>
        <w:t xml:space="preserve">with </w:t>
      </w:r>
      <w:r w:rsidR="006461FE" w:rsidRPr="00D2098F">
        <w:rPr>
          <w:rFonts w:asciiTheme="minorHAnsi" w:hAnsiTheme="minorHAnsi"/>
          <w:snapToGrid w:val="0"/>
        </w:rPr>
        <w:t xml:space="preserve">a </w:t>
      </w:r>
      <w:r w:rsidR="001954F6" w:rsidRPr="00D2098F">
        <w:rPr>
          <w:rFonts w:asciiTheme="minorHAnsi" w:hAnsiTheme="minorHAnsi"/>
          <w:snapToGrid w:val="0"/>
        </w:rPr>
        <w:t>cost</w:t>
      </w:r>
      <w:r w:rsidR="008857DB" w:rsidRPr="00D2098F">
        <w:rPr>
          <w:rFonts w:asciiTheme="minorHAnsi" w:hAnsiTheme="minorHAnsi"/>
          <w:snapToGrid w:val="0"/>
        </w:rPr>
        <w:t xml:space="preserve"> per patient per year </w:t>
      </w:r>
      <w:r w:rsidR="001954F6" w:rsidRPr="00D2098F">
        <w:rPr>
          <w:rFonts w:asciiTheme="minorHAnsi" w:hAnsiTheme="minorHAnsi"/>
          <w:snapToGrid w:val="0"/>
        </w:rPr>
        <w:t>based on 12 packs per year of migal</w:t>
      </w:r>
      <w:r w:rsidR="009A7073" w:rsidRPr="00D2098F">
        <w:rPr>
          <w:rFonts w:asciiTheme="minorHAnsi" w:hAnsiTheme="minorHAnsi"/>
          <w:snapToGrid w:val="0"/>
        </w:rPr>
        <w:t>astat</w:t>
      </w:r>
      <w:r w:rsidR="0017001D" w:rsidRPr="00D2098F">
        <w:rPr>
          <w:rFonts w:asciiTheme="minorHAnsi" w:hAnsiTheme="minorHAnsi"/>
          <w:snapToGrid w:val="0"/>
        </w:rPr>
        <w:t xml:space="preserve">, </w:t>
      </w:r>
      <w:r w:rsidR="00EC58C2" w:rsidRPr="00D2098F">
        <w:rPr>
          <w:rFonts w:asciiTheme="minorHAnsi" w:hAnsiTheme="minorHAnsi"/>
          <w:snapToGrid w:val="0"/>
        </w:rPr>
        <w:t>consistent with</w:t>
      </w:r>
      <w:r w:rsidR="003B2A07" w:rsidRPr="00D2098F">
        <w:rPr>
          <w:rFonts w:asciiTheme="minorHAnsi" w:hAnsiTheme="minorHAnsi"/>
          <w:snapToGrid w:val="0"/>
        </w:rPr>
        <w:t xml:space="preserve"> </w:t>
      </w:r>
      <w:r w:rsidR="00CA60A2" w:rsidRPr="00D2098F">
        <w:rPr>
          <w:rFonts w:asciiTheme="minorHAnsi" w:hAnsiTheme="minorHAnsi"/>
          <w:snapToGrid w:val="0"/>
        </w:rPr>
        <w:t xml:space="preserve">the financial estimates </w:t>
      </w:r>
      <w:r w:rsidR="00834DBD" w:rsidRPr="00D2098F">
        <w:rPr>
          <w:rFonts w:asciiTheme="minorHAnsi" w:hAnsiTheme="minorHAnsi"/>
          <w:snapToGrid w:val="0"/>
        </w:rPr>
        <w:t>provided</w:t>
      </w:r>
      <w:r w:rsidR="00CA60A2" w:rsidRPr="00D2098F">
        <w:rPr>
          <w:rFonts w:asciiTheme="minorHAnsi" w:hAnsiTheme="minorHAnsi"/>
          <w:snapToGrid w:val="0"/>
        </w:rPr>
        <w:t xml:space="preserve"> for migalastat</w:t>
      </w:r>
      <w:r w:rsidR="64A5CACE" w:rsidRPr="00D2098F">
        <w:rPr>
          <w:rFonts w:asciiTheme="minorHAnsi" w:hAnsiTheme="minorHAnsi"/>
          <w:snapToGrid w:val="0"/>
        </w:rPr>
        <w:t xml:space="preserve"> and </w:t>
      </w:r>
      <w:r w:rsidR="48AFE740" w:rsidRPr="00D2098F">
        <w:rPr>
          <w:rFonts w:asciiTheme="minorHAnsi" w:hAnsiTheme="minorHAnsi"/>
          <w:snapToGrid w:val="0"/>
        </w:rPr>
        <w:t xml:space="preserve">the basis for the </w:t>
      </w:r>
      <w:r w:rsidR="64A5CACE" w:rsidRPr="00D2098F">
        <w:rPr>
          <w:rFonts w:asciiTheme="minorHAnsi" w:hAnsiTheme="minorHAnsi"/>
          <w:snapToGrid w:val="0"/>
        </w:rPr>
        <w:t>RSA</w:t>
      </w:r>
      <w:r w:rsidR="00C34A70" w:rsidRPr="00D2098F">
        <w:rPr>
          <w:rFonts w:asciiTheme="minorHAnsi" w:hAnsiTheme="minorHAnsi"/>
          <w:snapToGrid w:val="0"/>
        </w:rPr>
        <w:t xml:space="preserve"> </w:t>
      </w:r>
      <w:r w:rsidR="007E0A8F" w:rsidRPr="00D2098F">
        <w:rPr>
          <w:rFonts w:asciiTheme="minorHAnsi" w:hAnsiTheme="minorHAnsi"/>
          <w:snapToGrid w:val="0"/>
        </w:rPr>
        <w:t>(paragraph 7.7</w:t>
      </w:r>
      <w:r w:rsidR="1DBD647E" w:rsidRPr="00D2098F">
        <w:rPr>
          <w:rFonts w:asciiTheme="minorHAnsi" w:hAnsiTheme="minorHAnsi"/>
          <w:snapToGrid w:val="0"/>
        </w:rPr>
        <w:t>,</w:t>
      </w:r>
      <w:r w:rsidR="00883840" w:rsidRPr="00D2098F">
        <w:rPr>
          <w:rFonts w:asciiTheme="minorHAnsi" w:hAnsiTheme="minorHAnsi"/>
          <w:snapToGrid w:val="0"/>
        </w:rPr>
        <w:t xml:space="preserve"> 7.8</w:t>
      </w:r>
      <w:r w:rsidR="5F1799D5" w:rsidRPr="00D2098F">
        <w:rPr>
          <w:rFonts w:asciiTheme="minorHAnsi" w:hAnsiTheme="minorHAnsi"/>
          <w:snapToGrid w:val="0"/>
        </w:rPr>
        <w:t xml:space="preserve"> and 7.10</w:t>
      </w:r>
      <w:r w:rsidR="007E0A8F" w:rsidRPr="00D2098F">
        <w:rPr>
          <w:rFonts w:asciiTheme="minorHAnsi" w:hAnsiTheme="minorHAnsi"/>
          <w:snapToGrid w:val="0"/>
        </w:rPr>
        <w:t xml:space="preserve">, migalastat, PSD, </w:t>
      </w:r>
      <w:r w:rsidR="008A68EB" w:rsidRPr="00D2098F">
        <w:rPr>
          <w:rFonts w:asciiTheme="minorHAnsi" w:hAnsiTheme="minorHAnsi"/>
          <w:snapToGrid w:val="0"/>
        </w:rPr>
        <w:t xml:space="preserve">March 2024 PBAC </w:t>
      </w:r>
      <w:r w:rsidR="008A68EB" w:rsidRPr="00D2098F">
        <w:rPr>
          <w:rFonts w:asciiTheme="minorHAnsi" w:hAnsiTheme="minorHAnsi"/>
          <w:snapToGrid w:val="0"/>
        </w:rPr>
        <w:lastRenderedPageBreak/>
        <w:t>meeting with May 2024 Addendum).</w:t>
      </w:r>
      <w:r w:rsidR="00773FEC" w:rsidRPr="00D2098F">
        <w:rPr>
          <w:rFonts w:asciiTheme="minorHAnsi" w:hAnsiTheme="minorHAnsi"/>
          <w:snapToGrid w:val="0"/>
        </w:rPr>
        <w:t xml:space="preserve"> The PBAC advised that the</w:t>
      </w:r>
      <w:r w:rsidR="000560E3" w:rsidRPr="00D2098F">
        <w:rPr>
          <w:rFonts w:asciiTheme="minorHAnsi" w:hAnsiTheme="minorHAnsi"/>
          <w:snapToGrid w:val="0"/>
        </w:rPr>
        <w:t xml:space="preserve"> </w:t>
      </w:r>
      <w:r w:rsidR="09379C50" w:rsidRPr="00D2098F">
        <w:rPr>
          <w:rFonts w:asciiTheme="minorHAnsi" w:hAnsiTheme="minorHAnsi"/>
          <w:snapToGrid w:val="0"/>
        </w:rPr>
        <w:t xml:space="preserve">annual </w:t>
      </w:r>
      <w:r w:rsidR="001C5030" w:rsidRPr="00D2098F">
        <w:rPr>
          <w:rFonts w:asciiTheme="minorHAnsi" w:hAnsiTheme="minorHAnsi"/>
          <w:snapToGrid w:val="0"/>
        </w:rPr>
        <w:t>cost f</w:t>
      </w:r>
      <w:r w:rsidR="00EC1579" w:rsidRPr="00D2098F">
        <w:rPr>
          <w:rFonts w:asciiTheme="minorHAnsi" w:hAnsiTheme="minorHAnsi"/>
          <w:snapToGrid w:val="0"/>
        </w:rPr>
        <w:t>or</w:t>
      </w:r>
      <w:r w:rsidR="001C5030" w:rsidRPr="00D2098F">
        <w:rPr>
          <w:rFonts w:asciiTheme="minorHAnsi" w:hAnsiTheme="minorHAnsi"/>
          <w:snapToGrid w:val="0"/>
        </w:rPr>
        <w:t xml:space="preserve"> pegunigalsidase </w:t>
      </w:r>
      <w:r w:rsidR="00DD33BF" w:rsidRPr="00D2098F">
        <w:rPr>
          <w:rFonts w:asciiTheme="minorHAnsi" w:hAnsiTheme="minorHAnsi"/>
          <w:snapToGrid w:val="0"/>
        </w:rPr>
        <w:t xml:space="preserve">alfa </w:t>
      </w:r>
      <w:r w:rsidR="00A55297" w:rsidRPr="00D2098F">
        <w:rPr>
          <w:rFonts w:asciiTheme="minorHAnsi" w:hAnsiTheme="minorHAnsi"/>
          <w:snapToGrid w:val="0"/>
        </w:rPr>
        <w:t xml:space="preserve">should </w:t>
      </w:r>
      <w:r w:rsidR="3EE90EB5" w:rsidRPr="00D2098F">
        <w:rPr>
          <w:rFonts w:asciiTheme="minorHAnsi" w:hAnsiTheme="minorHAnsi"/>
          <w:snapToGrid w:val="0"/>
        </w:rPr>
        <w:t>not exceed the cost of</w:t>
      </w:r>
      <w:r w:rsidR="00A55297" w:rsidRPr="00D2098F">
        <w:rPr>
          <w:rFonts w:asciiTheme="minorHAnsi" w:hAnsiTheme="minorHAnsi"/>
          <w:snapToGrid w:val="0"/>
        </w:rPr>
        <w:t xml:space="preserve"> 12 packs </w:t>
      </w:r>
      <w:r w:rsidR="39C23E90" w:rsidRPr="00D2098F">
        <w:rPr>
          <w:rFonts w:asciiTheme="minorHAnsi" w:hAnsiTheme="minorHAnsi"/>
          <w:snapToGrid w:val="0"/>
        </w:rPr>
        <w:t xml:space="preserve">of migalastat </w:t>
      </w:r>
      <w:r w:rsidR="00A55297" w:rsidRPr="00D2098F">
        <w:rPr>
          <w:rFonts w:asciiTheme="minorHAnsi" w:hAnsiTheme="minorHAnsi"/>
          <w:snapToGrid w:val="0"/>
        </w:rPr>
        <w:t>per year.</w:t>
      </w:r>
      <w:r w:rsidR="00451596" w:rsidRPr="00D2098F">
        <w:rPr>
          <w:rFonts w:asciiTheme="minorHAnsi" w:hAnsiTheme="minorHAnsi"/>
          <w:snapToGrid w:val="0"/>
        </w:rPr>
        <w:t xml:space="preserve"> </w:t>
      </w:r>
    </w:p>
    <w:p w14:paraId="02691F16" w14:textId="2DFFDC44" w:rsidR="00C07EA8" w:rsidRPr="00D2098F" w:rsidRDefault="00F95F24"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advised the equi-effective doses </w:t>
      </w:r>
      <w:r w:rsidR="00F62D91" w:rsidRPr="00D2098F">
        <w:rPr>
          <w:rFonts w:asciiTheme="minorHAnsi" w:hAnsiTheme="minorHAnsi"/>
          <w:snapToGrid w:val="0"/>
        </w:rPr>
        <w:t xml:space="preserve">are </w:t>
      </w:r>
      <w:r w:rsidRPr="00D2098F">
        <w:rPr>
          <w:rFonts w:asciiTheme="minorHAnsi" w:hAnsiTheme="minorHAnsi"/>
          <w:snapToGrid w:val="0"/>
        </w:rPr>
        <w:t>pegunigalsidase</w:t>
      </w:r>
      <w:r w:rsidR="00F62D91" w:rsidRPr="00D2098F">
        <w:rPr>
          <w:rFonts w:asciiTheme="minorHAnsi" w:hAnsiTheme="minorHAnsi"/>
          <w:snapToGrid w:val="0"/>
        </w:rPr>
        <w:t xml:space="preserve"> alfa 78.9 mg every 2 weeks to migalastat </w:t>
      </w:r>
      <w:r w:rsidR="00022ED0" w:rsidRPr="00D2098F">
        <w:rPr>
          <w:rFonts w:asciiTheme="minorHAnsi" w:hAnsiTheme="minorHAnsi"/>
          <w:snapToGrid w:val="0"/>
        </w:rPr>
        <w:t>123 mg every other day.</w:t>
      </w:r>
    </w:p>
    <w:p w14:paraId="1019ABEC" w14:textId="2D0301D7" w:rsidR="00424791" w:rsidRPr="00D2098F" w:rsidRDefault="0088413C" w:rsidP="00807648">
      <w:pPr>
        <w:numPr>
          <w:ilvl w:val="1"/>
          <w:numId w:val="1"/>
        </w:numPr>
        <w:spacing w:after="120"/>
        <w:rPr>
          <w:rFonts w:asciiTheme="minorHAnsi" w:hAnsiTheme="minorHAnsi"/>
          <w:snapToGrid w:val="0"/>
        </w:rPr>
      </w:pPr>
      <w:r w:rsidRPr="00D2098F">
        <w:rPr>
          <w:rFonts w:asciiTheme="minorHAnsi" w:hAnsiTheme="minorHAnsi"/>
          <w:snapToGrid w:val="0"/>
        </w:rPr>
        <w:t xml:space="preserve">The PBAC </w:t>
      </w:r>
      <w:r w:rsidR="0080613C" w:rsidRPr="00D2098F">
        <w:rPr>
          <w:rFonts w:asciiTheme="minorHAnsi" w:hAnsiTheme="minorHAnsi"/>
          <w:snapToGrid w:val="0"/>
        </w:rPr>
        <w:t xml:space="preserve">advised that the </w:t>
      </w:r>
      <w:r w:rsidR="00343AD4" w:rsidRPr="00D2098F">
        <w:rPr>
          <w:rFonts w:asciiTheme="minorHAnsi" w:hAnsiTheme="minorHAnsi"/>
          <w:snapToGrid w:val="0"/>
        </w:rPr>
        <w:t>listing for pegunigalsidase alfa should align with the listing for migalastat where appropriate</w:t>
      </w:r>
      <w:r w:rsidR="00BD4034" w:rsidRPr="00D2098F">
        <w:rPr>
          <w:rFonts w:asciiTheme="minorHAnsi" w:hAnsiTheme="minorHAnsi"/>
          <w:snapToGrid w:val="0"/>
        </w:rPr>
        <w:t>. The PBAC recommended:</w:t>
      </w:r>
    </w:p>
    <w:p w14:paraId="10353EC7" w14:textId="5993E56D" w:rsidR="00BD4034" w:rsidRPr="00D2098F" w:rsidRDefault="00BD4034" w:rsidP="00807648">
      <w:pPr>
        <w:pStyle w:val="ListParagraph"/>
        <w:numPr>
          <w:ilvl w:val="0"/>
          <w:numId w:val="10"/>
        </w:numPr>
      </w:pPr>
      <w:r w:rsidRPr="00D2098F">
        <w:t xml:space="preserve">a Grandfather (Authority Required (Written)) listing for </w:t>
      </w:r>
      <w:r w:rsidR="003E4183" w:rsidRPr="00D2098F">
        <w:t xml:space="preserve">patients who are currently on </w:t>
      </w:r>
      <w:r w:rsidR="00FD2E61" w:rsidRPr="00D2098F">
        <w:t xml:space="preserve">a different </w:t>
      </w:r>
      <w:r w:rsidR="0068535B" w:rsidRPr="00D2098F">
        <w:t xml:space="preserve">enzyme replacement therapy </w:t>
      </w:r>
      <w:r w:rsidR="0040037D" w:rsidRPr="00D2098F">
        <w:t xml:space="preserve">through the LSDP </w:t>
      </w:r>
      <w:r w:rsidR="00FD2E61" w:rsidRPr="00D2098F">
        <w:t>and wishing to transition to pegunigalsidase alfa</w:t>
      </w:r>
      <w:r w:rsidR="001C096E" w:rsidRPr="00D2098F">
        <w:t xml:space="preserve"> on the PBS</w:t>
      </w:r>
      <w:r w:rsidR="00FD2E61" w:rsidRPr="00D2098F">
        <w:t>.</w:t>
      </w:r>
      <w:r w:rsidR="0040037D" w:rsidRPr="00D2098F">
        <w:t xml:space="preserve"> The PBAC </w:t>
      </w:r>
      <w:r w:rsidR="008F457F" w:rsidRPr="00D2098F">
        <w:t xml:space="preserve">recalled that it had previously advised </w:t>
      </w:r>
      <w:r w:rsidR="00536F65" w:rsidRPr="00D2098F">
        <w:t>in March 2024 that</w:t>
      </w:r>
      <w:r w:rsidR="00E629F7" w:rsidRPr="00D2098F">
        <w:t xml:space="preserve"> the</w:t>
      </w:r>
      <w:r w:rsidR="00536F65" w:rsidRPr="00D2098F">
        <w:t xml:space="preserve"> Grandfather restriction for migalastat may need to be in place for longer than the </w:t>
      </w:r>
      <w:r w:rsidR="0077295C" w:rsidRPr="00D2098F">
        <w:t>standard timeframe of 12 months, depending on the transition of other treatments for FD on</w:t>
      </w:r>
      <w:r w:rsidR="00DE1196" w:rsidRPr="00D2098F">
        <w:t>to</w:t>
      </w:r>
      <w:r w:rsidR="0077295C" w:rsidRPr="00D2098F">
        <w:t xml:space="preserve"> the PBS</w:t>
      </w:r>
      <w:r w:rsidR="00C76A36" w:rsidRPr="00D2098F">
        <w:t>. The PBAC advised the Grandfather restriction for pegunigalsidase alfa should also not be time limited.</w:t>
      </w:r>
    </w:p>
    <w:p w14:paraId="409D2928" w14:textId="598376A6" w:rsidR="00C76A36" w:rsidRPr="00D2098F" w:rsidRDefault="007C56A3" w:rsidP="00807648">
      <w:pPr>
        <w:pStyle w:val="ListParagraph"/>
        <w:numPr>
          <w:ilvl w:val="0"/>
          <w:numId w:val="10"/>
        </w:numPr>
      </w:pPr>
      <w:r w:rsidRPr="00D2098F">
        <w:t>t</w:t>
      </w:r>
      <w:r w:rsidR="008C1635" w:rsidRPr="00D2098F">
        <w:t xml:space="preserve">he maximum quantity in the listing be 1 </w:t>
      </w:r>
      <w:r w:rsidRPr="00D2098F">
        <w:t>x 10 mL</w:t>
      </w:r>
      <w:r w:rsidR="00C72820" w:rsidRPr="00D2098F">
        <w:t xml:space="preserve"> vial</w:t>
      </w:r>
      <w:r w:rsidRPr="00D2098F">
        <w:t xml:space="preserve">, with </w:t>
      </w:r>
      <w:r w:rsidR="001200EC" w:rsidRPr="00D2098F">
        <w:t xml:space="preserve">prescribers able to request the </w:t>
      </w:r>
      <w:r w:rsidR="00136933" w:rsidRPr="00D2098F">
        <w:t xml:space="preserve">number of vials required, based on </w:t>
      </w:r>
      <w:r w:rsidR="0006138F" w:rsidRPr="00D2098F">
        <w:t xml:space="preserve">the </w:t>
      </w:r>
      <w:r w:rsidR="00136933" w:rsidRPr="00D2098F">
        <w:t>patient’s weight, to allow for 4 weeks of treatment.</w:t>
      </w:r>
      <w:r w:rsidR="00014DD0" w:rsidRPr="00D2098F">
        <w:t xml:space="preserve"> Each treatment phase would allow up to 5 repeats. </w:t>
      </w:r>
    </w:p>
    <w:p w14:paraId="411DCA0B" w14:textId="55A831AD" w:rsidR="003E7718" w:rsidRPr="00D2098F" w:rsidRDefault="003E7718" w:rsidP="00807648">
      <w:pPr>
        <w:pStyle w:val="ListParagraph"/>
        <w:numPr>
          <w:ilvl w:val="0"/>
          <w:numId w:val="10"/>
        </w:numPr>
      </w:pPr>
      <w:r w:rsidRPr="00D2098F">
        <w:t>the listing be age-agnostic.</w:t>
      </w:r>
    </w:p>
    <w:p w14:paraId="3F0B53BA" w14:textId="2535D5CF" w:rsidR="00AF3390" w:rsidRPr="00D2098F" w:rsidRDefault="00764C13" w:rsidP="00807648">
      <w:pPr>
        <w:pStyle w:val="ListParagraph"/>
        <w:numPr>
          <w:ilvl w:val="0"/>
          <w:numId w:val="10"/>
        </w:numPr>
      </w:pPr>
      <w:r w:rsidRPr="00D2098F">
        <w:t xml:space="preserve">removal of the </w:t>
      </w:r>
      <w:r w:rsidR="007D4A72" w:rsidRPr="00D2098F">
        <w:t xml:space="preserve">requested </w:t>
      </w:r>
      <w:r w:rsidRPr="00D2098F">
        <w:t>clinical criteri</w:t>
      </w:r>
      <w:r w:rsidR="007D4A72" w:rsidRPr="00D2098F">
        <w:t>on</w:t>
      </w:r>
      <w:r w:rsidRPr="00D2098F">
        <w:t xml:space="preserve"> ‘Patient must have an estimated glomerular filtration rate (eGFR) of at least 30 mL/min/1.73m</w:t>
      </w:r>
      <w:r w:rsidRPr="00D2098F">
        <w:rPr>
          <w:vertAlign w:val="superscript"/>
        </w:rPr>
        <w:t>2</w:t>
      </w:r>
      <w:r w:rsidR="00D07209" w:rsidRPr="00D2098F">
        <w:t>’</w:t>
      </w:r>
      <w:r w:rsidR="00EF098F" w:rsidRPr="00D2098F">
        <w:t>, as the Product Information states that no dose adjustment is needed in patients with renal impairment.</w:t>
      </w:r>
    </w:p>
    <w:p w14:paraId="17A4AA57" w14:textId="77777777" w:rsidR="00931680" w:rsidRPr="00D2098F" w:rsidRDefault="005268B3" w:rsidP="00807648">
      <w:pPr>
        <w:pStyle w:val="ListParagraph"/>
        <w:numPr>
          <w:ilvl w:val="0"/>
          <w:numId w:val="10"/>
        </w:numPr>
      </w:pPr>
      <w:r w:rsidRPr="00D2098F">
        <w:t>the clinical criterion relating to Fabry-related cardiac disease be aligned to the clinical criterion in the migalastat listing</w:t>
      </w:r>
      <w:r w:rsidR="00931680" w:rsidRPr="00D2098F">
        <w:t>.</w:t>
      </w:r>
    </w:p>
    <w:p w14:paraId="07DD3C64" w14:textId="55D41E7F" w:rsidR="0026070B" w:rsidRPr="00D2098F" w:rsidRDefault="009F5089" w:rsidP="00807648">
      <w:pPr>
        <w:pStyle w:val="ListParagraph"/>
        <w:numPr>
          <w:ilvl w:val="0"/>
          <w:numId w:val="10"/>
        </w:numPr>
      </w:pPr>
      <w:r w:rsidRPr="00D2098F">
        <w:t>inclusion of the clinical criterion</w:t>
      </w:r>
      <w:r w:rsidR="009B0549" w:rsidRPr="00D2098F">
        <w:t xml:space="preserve"> ‘The treatment must be the sole PBS-subsidised therapy for this condition’</w:t>
      </w:r>
      <w:r w:rsidR="005E2FD6" w:rsidRPr="00D2098F">
        <w:t xml:space="preserve"> to prevent </w:t>
      </w:r>
      <w:r w:rsidR="00C972D6" w:rsidRPr="00D2098F">
        <w:t xml:space="preserve">the </w:t>
      </w:r>
      <w:r w:rsidR="005E2FD6" w:rsidRPr="00D2098F">
        <w:t>concomitant</w:t>
      </w:r>
      <w:r w:rsidR="00C972D6" w:rsidRPr="00D2098F">
        <w:t xml:space="preserve"> use of FD therapies</w:t>
      </w:r>
      <w:r w:rsidR="009B0549" w:rsidRPr="00D2098F">
        <w:t>.</w:t>
      </w:r>
    </w:p>
    <w:p w14:paraId="53893A86" w14:textId="37515573" w:rsidR="003E7718" w:rsidRPr="00D2098F" w:rsidRDefault="00B42823" w:rsidP="00807648">
      <w:pPr>
        <w:pStyle w:val="ListParagraph"/>
        <w:numPr>
          <w:ilvl w:val="0"/>
          <w:numId w:val="10"/>
        </w:numPr>
      </w:pPr>
      <w:r w:rsidRPr="00D2098F">
        <w:t xml:space="preserve">a separate </w:t>
      </w:r>
      <w:r w:rsidR="00737FDF" w:rsidRPr="00D2098F">
        <w:t xml:space="preserve">treatment phase </w:t>
      </w:r>
      <w:r w:rsidR="0026070B" w:rsidRPr="00D2098F">
        <w:t>allowing patients to switch from using pegunigalsidase alfa to migalastat and vice versa.</w:t>
      </w:r>
      <w:r w:rsidR="009F5089" w:rsidRPr="00D2098F">
        <w:t xml:space="preserve"> </w:t>
      </w:r>
    </w:p>
    <w:p w14:paraId="48166E76" w14:textId="3615B472" w:rsidR="006D3CF0" w:rsidRPr="00D2098F" w:rsidRDefault="006D3CF0" w:rsidP="00807648">
      <w:pPr>
        <w:numPr>
          <w:ilvl w:val="1"/>
          <w:numId w:val="1"/>
        </w:numPr>
        <w:contextualSpacing/>
        <w:rPr>
          <w:rFonts w:asciiTheme="minorHAnsi" w:hAnsiTheme="minorHAnsi"/>
          <w:snapToGrid w:val="0"/>
        </w:rPr>
      </w:pPr>
      <w:r w:rsidRPr="00D2098F">
        <w:rPr>
          <w:rFonts w:asciiTheme="minorHAnsi" w:hAnsiTheme="minorHAnsi"/>
          <w:snapToGrid w:val="0"/>
        </w:rPr>
        <w:t>The PBAC recommended</w:t>
      </w:r>
      <w:r w:rsidR="00F672AA" w:rsidRPr="00D2098F">
        <w:rPr>
          <w:rFonts w:asciiTheme="minorHAnsi" w:hAnsiTheme="minorHAnsi"/>
          <w:snapToGrid w:val="0"/>
        </w:rPr>
        <w:t xml:space="preserve"> the following flow-on change</w:t>
      </w:r>
      <w:r w:rsidR="00E17B41" w:rsidRPr="00D2098F">
        <w:rPr>
          <w:rFonts w:asciiTheme="minorHAnsi" w:hAnsiTheme="minorHAnsi"/>
          <w:snapToGrid w:val="0"/>
        </w:rPr>
        <w:t>s</w:t>
      </w:r>
      <w:r w:rsidR="00F672AA" w:rsidRPr="00D2098F">
        <w:rPr>
          <w:rFonts w:asciiTheme="minorHAnsi" w:hAnsiTheme="minorHAnsi"/>
          <w:snapToGrid w:val="0"/>
        </w:rPr>
        <w:t xml:space="preserve"> to the migalastat listing:</w:t>
      </w:r>
    </w:p>
    <w:p w14:paraId="269FD98D" w14:textId="5D8CDE38" w:rsidR="00F672AA" w:rsidRPr="00D2098F" w:rsidRDefault="00F15ADA" w:rsidP="00807648">
      <w:pPr>
        <w:pStyle w:val="ListParagraph"/>
        <w:numPr>
          <w:ilvl w:val="0"/>
          <w:numId w:val="10"/>
        </w:numPr>
        <w:contextualSpacing/>
      </w:pPr>
      <w:r w:rsidRPr="00D2098F">
        <w:t>Addition of the clinical criterion ‘</w:t>
      </w:r>
      <w:r w:rsidR="008964AC" w:rsidRPr="00D2098F">
        <w:t>T</w:t>
      </w:r>
      <w:r w:rsidRPr="00D2098F">
        <w:t>he treatment must be the sole PBS subsidised therapy for this condition’</w:t>
      </w:r>
      <w:r w:rsidR="00C972D6" w:rsidRPr="00D2098F">
        <w:t xml:space="preserve"> to prevent the concomitant use of FD therapies</w:t>
      </w:r>
      <w:r w:rsidRPr="00D2098F">
        <w:t>.</w:t>
      </w:r>
    </w:p>
    <w:p w14:paraId="28256407" w14:textId="5356AB5A" w:rsidR="00621EBF" w:rsidRPr="00D2098F" w:rsidRDefault="00D04B24" w:rsidP="00807648">
      <w:pPr>
        <w:pStyle w:val="ListParagraph"/>
        <w:numPr>
          <w:ilvl w:val="0"/>
          <w:numId w:val="10"/>
        </w:numPr>
      </w:pPr>
      <w:r w:rsidRPr="00D2098F">
        <w:t xml:space="preserve">A separate treatment phase </w:t>
      </w:r>
      <w:r w:rsidR="00FF7586" w:rsidRPr="00D2098F">
        <w:t xml:space="preserve">allowing patients to switch from using migalastat to pegunigalsidase alfa and vice versa. </w:t>
      </w:r>
    </w:p>
    <w:p w14:paraId="41B823E2" w14:textId="7AAAC868" w:rsidR="0035609D" w:rsidRPr="00FF7586" w:rsidRDefault="00DE2B2C" w:rsidP="00807648">
      <w:pPr>
        <w:pStyle w:val="ListParagraph"/>
        <w:numPr>
          <w:ilvl w:val="0"/>
          <w:numId w:val="10"/>
        </w:numPr>
      </w:pPr>
      <w:r w:rsidRPr="6F284CEC">
        <w:t xml:space="preserve">Amend </w:t>
      </w:r>
      <w:r w:rsidR="0035609D" w:rsidRPr="6F284CEC">
        <w:t xml:space="preserve">the </w:t>
      </w:r>
      <w:r w:rsidR="00BA50CF" w:rsidRPr="6F284CEC">
        <w:t>‘</w:t>
      </w:r>
      <w:r w:rsidR="0035609D" w:rsidRPr="6F284CEC">
        <w:t>antiepileptic</w:t>
      </w:r>
      <w:r w:rsidRPr="6F284CEC">
        <w:t xml:space="preserve">’ </w:t>
      </w:r>
      <w:r w:rsidR="00FC3ADC" w:rsidRPr="6F284CEC">
        <w:t>medications</w:t>
      </w:r>
      <w:r w:rsidRPr="6F284CEC">
        <w:t xml:space="preserve"> </w:t>
      </w:r>
      <w:r w:rsidR="00BA50CF" w:rsidRPr="6F284CEC">
        <w:t xml:space="preserve">terminology to </w:t>
      </w:r>
      <w:r w:rsidR="00FC3ADC" w:rsidRPr="6F284CEC">
        <w:t>‘antiseizure’</w:t>
      </w:r>
      <w:r w:rsidRPr="6F284CEC">
        <w:t xml:space="preserve"> medications</w:t>
      </w:r>
      <w:r w:rsidR="00FC3ADC" w:rsidRPr="6F284CEC">
        <w:t xml:space="preserve"> in</w:t>
      </w:r>
      <w:r w:rsidR="00BA50CF" w:rsidRPr="6F284CEC">
        <w:t xml:space="preserve"> the criterion ‘Patient must have Fabry-related uncontrolled chronic pain despite the use of recommended doses of appropriate analgesia and </w:t>
      </w:r>
      <w:r w:rsidR="00BA50CF" w:rsidRPr="6F284CEC">
        <w:rPr>
          <w:b/>
        </w:rPr>
        <w:t>antiseizure</w:t>
      </w:r>
      <w:r w:rsidR="00BA50CF" w:rsidRPr="6F284CEC">
        <w:t xml:space="preserve"> medications for peripheral neuropathy</w:t>
      </w:r>
      <w:r w:rsidR="00FC3ADC" w:rsidRPr="6F284CEC">
        <w:t>’.</w:t>
      </w:r>
    </w:p>
    <w:p w14:paraId="38DB0042" w14:textId="6F4B27F0" w:rsidR="004E6B63" w:rsidRPr="00D2098F" w:rsidRDefault="004E6B63" w:rsidP="00807648">
      <w:pPr>
        <w:numPr>
          <w:ilvl w:val="1"/>
          <w:numId w:val="1"/>
        </w:numPr>
        <w:spacing w:after="120"/>
        <w:rPr>
          <w:bCs/>
        </w:rPr>
      </w:pPr>
      <w:r w:rsidRPr="00D2098F">
        <w:rPr>
          <w:rFonts w:asciiTheme="minorHAnsi" w:hAnsiTheme="minorHAnsi"/>
          <w:bCs/>
          <w:snapToGrid w:val="0"/>
        </w:rPr>
        <w:lastRenderedPageBreak/>
        <w:t xml:space="preserve">The PBAC advised that pegunigalsidase alfa is suitable for prescribing by medical practitioners only, </w:t>
      </w:r>
      <w:r w:rsidR="00F2755C" w:rsidRPr="00D2098F">
        <w:rPr>
          <w:rFonts w:asciiTheme="minorHAnsi" w:hAnsiTheme="minorHAnsi"/>
          <w:bCs/>
          <w:snapToGrid w:val="0"/>
        </w:rPr>
        <w:t xml:space="preserve">specifically physicians with expertise in the management of Fabry disease </w:t>
      </w:r>
      <w:r w:rsidRPr="00D2098F">
        <w:rPr>
          <w:rFonts w:asciiTheme="minorHAnsi" w:hAnsiTheme="minorHAnsi"/>
          <w:bCs/>
          <w:snapToGrid w:val="0"/>
        </w:rPr>
        <w:t xml:space="preserve">and is not suitable for prescribing by nurse practitioners. </w:t>
      </w:r>
    </w:p>
    <w:p w14:paraId="798B2CD6" w14:textId="1F3D6B96" w:rsidR="002B5F41" w:rsidRDefault="002B5F41" w:rsidP="00807648">
      <w:pPr>
        <w:numPr>
          <w:ilvl w:val="1"/>
          <w:numId w:val="1"/>
        </w:numPr>
        <w:spacing w:after="120"/>
      </w:pPr>
      <w:r>
        <w:t xml:space="preserve">The PBAC considered the financial estimates to be </w:t>
      </w:r>
      <w:r w:rsidR="00F7791F">
        <w:t xml:space="preserve">uncertain. The PBAC </w:t>
      </w:r>
      <w:r w:rsidR="004A65B6">
        <w:t>co</w:t>
      </w:r>
      <w:r w:rsidR="005958DF">
        <w:t>nsidered</w:t>
      </w:r>
      <w:r w:rsidR="009D7468">
        <w:t xml:space="preserve"> the</w:t>
      </w:r>
      <w:r w:rsidR="00311EFE">
        <w:t xml:space="preserve"> number of</w:t>
      </w:r>
      <w:r w:rsidR="009D7468">
        <w:t xml:space="preserve"> patients with FD </w:t>
      </w:r>
      <w:r w:rsidR="00783E03">
        <w:t>to be reasonable</w:t>
      </w:r>
      <w:r w:rsidR="009D7468">
        <w:t>,</w:t>
      </w:r>
      <w:r w:rsidR="00783E03">
        <w:t xml:space="preserve"> and the prevalence growth rate of 6.9% to be appropriate.</w:t>
      </w:r>
      <w:r w:rsidR="00DF2A13">
        <w:t xml:space="preserve"> </w:t>
      </w:r>
      <w:r w:rsidR="00352D3A">
        <w:t>However, t</w:t>
      </w:r>
      <w:r w:rsidR="00AD19E9">
        <w:t xml:space="preserve">he PBAC considered that the estimated number of patients treated with pegunigalsidase alfa should be </w:t>
      </w:r>
      <w:r w:rsidR="009B7D0C">
        <w:t>informed by</w:t>
      </w:r>
      <w:r w:rsidR="00AD19E9">
        <w:t xml:space="preserve"> LSDP data</w:t>
      </w:r>
      <w:r w:rsidR="003D1862">
        <w:t xml:space="preserve"> (noting that </w:t>
      </w:r>
      <w:r w:rsidR="003D1862" w:rsidRPr="00A344C1">
        <w:t>this data is held in-confidence by the Department</w:t>
      </w:r>
      <w:r w:rsidR="003D1862">
        <w:t>)</w:t>
      </w:r>
      <w:r w:rsidR="00AD19E9">
        <w:t>.</w:t>
      </w:r>
      <w:r w:rsidR="007546B0">
        <w:t xml:space="preserve"> </w:t>
      </w:r>
      <w:r w:rsidR="00352D3A">
        <w:t>T</w:t>
      </w:r>
      <w:r w:rsidR="00DF2A13">
        <w:t>he PBAC considered the uptake rate of</w:t>
      </w:r>
      <w:r w:rsidR="00F3523F">
        <w:t xml:space="preserve"> pegunigalsidase alfa</w:t>
      </w:r>
      <w:r w:rsidR="00DA6034">
        <w:t xml:space="preserve"> to be highly uncertain</w:t>
      </w:r>
      <w:r w:rsidR="00F3523F">
        <w:t>,</w:t>
      </w:r>
      <w:r w:rsidR="00941296">
        <w:t xml:space="preserve"> as it was based on the sponsor’s estimate</w:t>
      </w:r>
      <w:r w:rsidR="00871D6E">
        <w:t>s</w:t>
      </w:r>
      <w:r w:rsidR="009D7468">
        <w:t xml:space="preserve"> </w:t>
      </w:r>
      <w:r w:rsidR="00DA6034">
        <w:t>and it was unclear how many</w:t>
      </w:r>
      <w:r w:rsidR="00F3523F">
        <w:t xml:space="preserve"> patients will </w:t>
      </w:r>
      <w:r w:rsidR="00241DC5">
        <w:t xml:space="preserve">switch from using alternative therapies to pegunigalsidase alfa. </w:t>
      </w:r>
      <w:r w:rsidR="006D0C0A">
        <w:t>Listing p</w:t>
      </w:r>
      <w:r w:rsidR="00D17418">
        <w:t xml:space="preserve">egunigalsidase alfa on the PBS may </w:t>
      </w:r>
      <w:r w:rsidR="004412F8">
        <w:t>result in a higher</w:t>
      </w:r>
      <w:r w:rsidR="00D17418">
        <w:t xml:space="preserve"> uptake </w:t>
      </w:r>
      <w:r w:rsidR="006D0C0A">
        <w:t>from ERTs on the LSDP</w:t>
      </w:r>
      <w:r w:rsidR="00D17418">
        <w:t xml:space="preserve"> </w:t>
      </w:r>
      <w:r w:rsidR="000C1AC5">
        <w:t>as it will be easier for clinicians to prescribe compared to treatments on the LSDP</w:t>
      </w:r>
      <w:r w:rsidR="006D0C0A">
        <w:t>.</w:t>
      </w:r>
      <w:r w:rsidR="000C1AC5">
        <w:t xml:space="preserve"> </w:t>
      </w:r>
      <w:r w:rsidR="006D0C0A">
        <w:t>H</w:t>
      </w:r>
      <w:r w:rsidR="00DD43E1">
        <w:t>owever</w:t>
      </w:r>
      <w:r w:rsidR="00A57C73">
        <w:t>,</w:t>
      </w:r>
      <w:r w:rsidR="00DD43E1">
        <w:t xml:space="preserve"> being a newer ERT and prescribers being less familiar with pegunigalsidase alfa compared to alternatives may </w:t>
      </w:r>
      <w:r w:rsidR="00677751">
        <w:t>lower uptake</w:t>
      </w:r>
      <w:r w:rsidR="004E6B63">
        <w:t xml:space="preserve"> rates</w:t>
      </w:r>
      <w:r w:rsidR="00677751">
        <w:t>.</w:t>
      </w:r>
      <w:r w:rsidR="00FA7BF7">
        <w:t xml:space="preserve"> The PBAC noted that </w:t>
      </w:r>
      <w:r w:rsidR="004D41E9">
        <w:t>patients switching from the LSDP to PBS treatment will lead to a net save to the health budget.</w:t>
      </w:r>
    </w:p>
    <w:p w14:paraId="43523E0A" w14:textId="663DDC7A" w:rsidR="00262D89" w:rsidRDefault="006828D2" w:rsidP="00807648">
      <w:pPr>
        <w:numPr>
          <w:ilvl w:val="1"/>
          <w:numId w:val="1"/>
        </w:numPr>
        <w:spacing w:after="120"/>
      </w:pPr>
      <w:r>
        <w:t xml:space="preserve">In light of </w:t>
      </w:r>
      <w:r w:rsidR="000E14C7">
        <w:t>the uncertainties of the financial estimates</w:t>
      </w:r>
      <w:r w:rsidR="00C96D83">
        <w:t xml:space="preserve"> and usage, the PBAC considered it would be appropriate </w:t>
      </w:r>
      <w:r w:rsidR="003D1862">
        <w:t>for there to be a risk shar</w:t>
      </w:r>
      <w:r w:rsidR="6A49F671">
        <w:t>ing</w:t>
      </w:r>
      <w:r w:rsidR="003D1862">
        <w:t xml:space="preserve"> arrangement (RSA) for </w:t>
      </w:r>
      <w:r w:rsidR="00C96D83">
        <w:t>pegunigalsidase</w:t>
      </w:r>
      <w:r w:rsidR="00541711">
        <w:t>.</w:t>
      </w:r>
      <w:r w:rsidR="00CC5C05">
        <w:t xml:space="preserve"> </w:t>
      </w:r>
    </w:p>
    <w:p w14:paraId="37AB732F" w14:textId="21113F64" w:rsidR="00C96D83" w:rsidRDefault="4B9262E3" w:rsidP="00807648">
      <w:pPr>
        <w:numPr>
          <w:ilvl w:val="1"/>
          <w:numId w:val="1"/>
        </w:numPr>
        <w:spacing w:after="120"/>
      </w:pPr>
      <w:r>
        <w:t xml:space="preserve">The PBAC advised that the </w:t>
      </w:r>
      <w:r w:rsidR="5C45BEB3">
        <w:t xml:space="preserve">financial estimates and </w:t>
      </w:r>
      <w:r>
        <w:t>RSA</w:t>
      </w:r>
      <w:r w:rsidR="4625A976">
        <w:t xml:space="preserve"> caps</w:t>
      </w:r>
      <w:r>
        <w:t xml:space="preserve"> </w:t>
      </w:r>
      <w:r w:rsidR="003D1862">
        <w:t xml:space="preserve">should </w:t>
      </w:r>
      <w:r>
        <w:t xml:space="preserve">be </w:t>
      </w:r>
      <w:r w:rsidR="0AFF9E97">
        <w:t xml:space="preserve">based on the estimated </w:t>
      </w:r>
      <w:r w:rsidR="0DF9FB11">
        <w:t xml:space="preserve">uptake </w:t>
      </w:r>
      <w:r w:rsidR="036E5FF5">
        <w:t xml:space="preserve">rate from </w:t>
      </w:r>
      <w:r w:rsidR="111D36BB">
        <w:t>ERT</w:t>
      </w:r>
      <w:r w:rsidR="1CAC09DC">
        <w:t>s</w:t>
      </w:r>
      <w:r w:rsidR="111D36BB">
        <w:t xml:space="preserve"> on the LS</w:t>
      </w:r>
      <w:r w:rsidR="0D0E5998">
        <w:t>DP</w:t>
      </w:r>
      <w:r w:rsidR="111D36BB">
        <w:t xml:space="preserve"> as proposed by the sponsor</w:t>
      </w:r>
      <w:r w:rsidR="0DF9FB11">
        <w:t xml:space="preserve"> </w:t>
      </w:r>
      <w:r w:rsidR="073B6CE2">
        <w:t>(</w:t>
      </w:r>
      <w:r w:rsidR="0067772E" w:rsidRPr="00E80149">
        <w:rPr>
          <w:color w:val="000000"/>
          <w:w w:val="15"/>
          <w:shd w:val="solid" w:color="000000" w:fill="000000"/>
          <w:fitText w:val="-20" w:id="-628909567"/>
          <w14:textFill>
            <w14:solidFill>
              <w14:srgbClr w14:val="000000">
                <w14:alpha w14:val="100000"/>
              </w14:srgbClr>
            </w14:solidFill>
          </w14:textFill>
        </w:rPr>
        <w:t xml:space="preserve">|  </w:t>
      </w:r>
      <w:r w:rsidR="0067772E" w:rsidRPr="00E80149">
        <w:rPr>
          <w:color w:val="000000"/>
          <w:spacing w:val="-69"/>
          <w:w w:val="15"/>
          <w:shd w:val="solid" w:color="000000" w:fill="000000"/>
          <w:fitText w:val="-20" w:id="-628909567"/>
          <w14:textFill>
            <w14:solidFill>
              <w14:srgbClr w14:val="000000">
                <w14:alpha w14:val="100000"/>
              </w14:srgbClr>
            </w14:solidFill>
          </w14:textFill>
        </w:rPr>
        <w:t>|</w:t>
      </w:r>
      <w:r w:rsidR="3BD0D34C" w:rsidRPr="00E348B8">
        <w:t>%</w:t>
      </w:r>
      <w:r w:rsidR="0AFF9E97">
        <w:t xml:space="preserve"> in </w:t>
      </w:r>
      <w:r w:rsidR="3BD0D34C">
        <w:t xml:space="preserve">Year 1, increasing to </w:t>
      </w:r>
      <w:r w:rsidR="0067772E" w:rsidRPr="00E80149">
        <w:rPr>
          <w:color w:val="000000"/>
          <w:w w:val="15"/>
          <w:shd w:val="solid" w:color="000000" w:fill="000000"/>
          <w:fitText w:val="-20" w:id="-628909566"/>
          <w14:textFill>
            <w14:solidFill>
              <w14:srgbClr w14:val="000000">
                <w14:alpha w14:val="100000"/>
              </w14:srgbClr>
            </w14:solidFill>
          </w14:textFill>
        </w:rPr>
        <w:t xml:space="preserve">|  </w:t>
      </w:r>
      <w:r w:rsidR="0067772E" w:rsidRPr="00E80149">
        <w:rPr>
          <w:color w:val="000000"/>
          <w:spacing w:val="-69"/>
          <w:w w:val="15"/>
          <w:shd w:val="solid" w:color="000000" w:fill="000000"/>
          <w:fitText w:val="-20" w:id="-628909566"/>
          <w14:textFill>
            <w14:solidFill>
              <w14:srgbClr w14:val="000000">
                <w14:alpha w14:val="100000"/>
              </w14:srgbClr>
            </w14:solidFill>
          </w14:textFill>
        </w:rPr>
        <w:t>|</w:t>
      </w:r>
      <w:r w:rsidR="3BD0D34C" w:rsidRPr="00E348B8">
        <w:t xml:space="preserve">% </w:t>
      </w:r>
      <w:r w:rsidR="3BD0D34C">
        <w:t>in Year 6</w:t>
      </w:r>
      <w:r w:rsidR="27FA7666">
        <w:t xml:space="preserve">, </w:t>
      </w:r>
      <w:r w:rsidR="3BD0D34C">
        <w:t xml:space="preserve">see </w:t>
      </w:r>
      <w:r>
        <w:fldChar w:fldCharType="begin" w:fldLock="1"/>
      </w:r>
      <w:r>
        <w:instrText xml:space="preserve"> REF _Ref204936926 \h </w:instrText>
      </w:r>
      <w:r>
        <w:fldChar w:fldCharType="separate"/>
      </w:r>
      <w:r w:rsidR="0DF9FB11">
        <w:t>Table 13</w:t>
      </w:r>
      <w:r>
        <w:fldChar w:fldCharType="end"/>
      </w:r>
      <w:r w:rsidR="3BD0D34C">
        <w:t>)</w:t>
      </w:r>
      <w:r w:rsidR="0DF9FB11">
        <w:t>.</w:t>
      </w:r>
      <w:r w:rsidR="3BD0D34C">
        <w:t xml:space="preserve"> </w:t>
      </w:r>
      <w:r w:rsidR="6AAC2349">
        <w:t xml:space="preserve">The PBAC advised a </w:t>
      </w:r>
      <w:r w:rsidR="0067772E" w:rsidRPr="00E80149">
        <w:rPr>
          <w:color w:val="000000"/>
          <w:w w:val="15"/>
          <w:shd w:val="solid" w:color="000000" w:fill="000000"/>
          <w:fitText w:val="-20" w:id="-628909565"/>
          <w14:textFill>
            <w14:solidFill>
              <w14:srgbClr w14:val="000000">
                <w14:alpha w14:val="100000"/>
              </w14:srgbClr>
            </w14:solidFill>
          </w14:textFill>
        </w:rPr>
        <w:t xml:space="preserve">|  </w:t>
      </w:r>
      <w:r w:rsidR="0067772E" w:rsidRPr="00E80149">
        <w:rPr>
          <w:color w:val="000000"/>
          <w:spacing w:val="-69"/>
          <w:w w:val="15"/>
          <w:shd w:val="solid" w:color="000000" w:fill="000000"/>
          <w:fitText w:val="-20" w:id="-628909565"/>
          <w14:textFill>
            <w14:solidFill>
              <w14:srgbClr w14:val="000000">
                <w14:alpha w14:val="100000"/>
              </w14:srgbClr>
            </w14:solidFill>
          </w14:textFill>
        </w:rPr>
        <w:t>|</w:t>
      </w:r>
      <w:r w:rsidR="6AAC2349" w:rsidRPr="00E348B8">
        <w:t>%</w:t>
      </w:r>
      <w:r w:rsidR="6AAC2349">
        <w:t xml:space="preserve"> rebate for </w:t>
      </w:r>
      <w:r w:rsidR="03E83D30">
        <w:t>expenditure</w:t>
      </w:r>
      <w:r w:rsidR="6AAC2349">
        <w:t xml:space="preserve"> over the caps would be appropriate.</w:t>
      </w:r>
    </w:p>
    <w:p w14:paraId="36763A2D" w14:textId="24C9A218" w:rsidR="00C92EFE" w:rsidRPr="002B5F41" w:rsidRDefault="00336FFB" w:rsidP="00807648">
      <w:pPr>
        <w:numPr>
          <w:ilvl w:val="1"/>
          <w:numId w:val="1"/>
        </w:numPr>
        <w:spacing w:after="120"/>
      </w:pPr>
      <w:r>
        <w:t>T</w:t>
      </w:r>
      <w:r w:rsidR="000E14C7">
        <w:t xml:space="preserve">he PBAC requested a review </w:t>
      </w:r>
      <w:r w:rsidR="009D30D6">
        <w:t xml:space="preserve">of the </w:t>
      </w:r>
      <w:r w:rsidR="00884B43">
        <w:t>utilisation</w:t>
      </w:r>
      <w:r w:rsidR="009D30D6">
        <w:t xml:space="preserve"> of medicines for FD on the PBS be undertaken following </w:t>
      </w:r>
      <w:r w:rsidR="00707ADF">
        <w:t>2 years of</w:t>
      </w:r>
      <w:r w:rsidR="009D30D6">
        <w:t xml:space="preserve"> listing </w:t>
      </w:r>
      <w:r>
        <w:t>on the PBS</w:t>
      </w:r>
      <w:r w:rsidR="009D30D6">
        <w:t>.</w:t>
      </w:r>
    </w:p>
    <w:p w14:paraId="1BE6E952" w14:textId="56366244" w:rsidR="00C07EA8" w:rsidRPr="00D2098F" w:rsidRDefault="00C07EA8" w:rsidP="00807648">
      <w:pPr>
        <w:numPr>
          <w:ilvl w:val="1"/>
          <w:numId w:val="1"/>
        </w:numPr>
        <w:spacing w:after="120"/>
        <w:rPr>
          <w:rFonts w:asciiTheme="minorHAnsi" w:hAnsiTheme="minorHAnsi"/>
          <w:bCs/>
          <w:snapToGrid w:val="0"/>
        </w:rPr>
      </w:pPr>
      <w:r w:rsidRPr="00D2098F">
        <w:rPr>
          <w:rFonts w:asciiTheme="minorHAnsi" w:hAnsiTheme="minorHAnsi"/>
          <w:bCs/>
          <w:snapToGrid w:val="0"/>
        </w:rPr>
        <w:t xml:space="preserve">The PBAC recommended that </w:t>
      </w:r>
      <w:r w:rsidR="00691593" w:rsidRPr="00D2098F">
        <w:rPr>
          <w:rFonts w:asciiTheme="minorHAnsi" w:hAnsiTheme="minorHAnsi"/>
          <w:bCs/>
          <w:snapToGrid w:val="0"/>
        </w:rPr>
        <w:t>pegunigalsidase alfa</w:t>
      </w:r>
      <w:r w:rsidRPr="00D2098F">
        <w:rPr>
          <w:rFonts w:asciiTheme="minorHAnsi" w:hAnsiTheme="minorHAnsi"/>
          <w:bCs/>
          <w:snapToGrid w:val="0"/>
        </w:rPr>
        <w:t xml:space="preserve"> should not be treated as interchangeable with any other drugs</w:t>
      </w:r>
      <w:r w:rsidR="001F1D32" w:rsidRPr="00D2098F">
        <w:rPr>
          <w:rFonts w:asciiTheme="minorHAnsi" w:hAnsiTheme="minorHAnsi"/>
          <w:bCs/>
          <w:snapToGrid w:val="0"/>
        </w:rPr>
        <w:t>.</w:t>
      </w:r>
    </w:p>
    <w:p w14:paraId="34C3769A" w14:textId="3A56ECA5" w:rsidR="00041DAA" w:rsidRPr="00D2098F" w:rsidRDefault="002F015B" w:rsidP="00807648">
      <w:pPr>
        <w:numPr>
          <w:ilvl w:val="1"/>
          <w:numId w:val="1"/>
        </w:numPr>
        <w:spacing w:after="120"/>
        <w:rPr>
          <w:bCs/>
        </w:rPr>
      </w:pPr>
      <w:r w:rsidRPr="00D2098F">
        <w:rPr>
          <w:rFonts w:asciiTheme="minorHAnsi" w:hAnsiTheme="minorHAnsi"/>
          <w:bCs/>
          <w:snapToGrid w:val="0"/>
        </w:rPr>
        <w:t>The PBAC recommended that the Early Supply Rule should not apply.</w:t>
      </w:r>
    </w:p>
    <w:p w14:paraId="62B4641A" w14:textId="20743F26" w:rsidR="00C07EA8" w:rsidRPr="00D2098F" w:rsidRDefault="00C07EA8" w:rsidP="00807648">
      <w:pPr>
        <w:numPr>
          <w:ilvl w:val="1"/>
          <w:numId w:val="1"/>
        </w:numPr>
        <w:contextualSpacing/>
        <w:rPr>
          <w:rFonts w:asciiTheme="minorHAnsi" w:hAnsiTheme="minorHAnsi"/>
          <w:b/>
          <w:bCs/>
        </w:rPr>
      </w:pPr>
      <w:r w:rsidRPr="00D2098F">
        <w:rPr>
          <w:rFonts w:asciiTheme="minorHAnsi" w:hAnsiTheme="minorHAnsi" w:cstheme="minorHAnsi"/>
        </w:rPr>
        <w:t xml:space="preserve">The PBAC noted that its recommendation was on a cost-minimisation basis and advised that, because </w:t>
      </w:r>
      <w:r w:rsidR="00566E60" w:rsidRPr="00D2098F">
        <w:rPr>
          <w:rFonts w:asciiTheme="minorHAnsi" w:hAnsiTheme="minorHAnsi" w:cstheme="minorHAnsi"/>
        </w:rPr>
        <w:t xml:space="preserve">pegunigalsidase alfa </w:t>
      </w:r>
      <w:r w:rsidRPr="00D2098F">
        <w:rPr>
          <w:rFonts w:asciiTheme="minorHAnsi" w:hAnsiTheme="minorHAnsi" w:cstheme="minorHAnsi"/>
        </w:rPr>
        <w:t>is not expected to provide a substantial</w:t>
      </w:r>
      <w:r w:rsidRPr="00D2098F">
        <w:rPr>
          <w:rFonts w:asciiTheme="minorHAnsi" w:hAnsiTheme="minorHAnsi"/>
          <w:bCs/>
        </w:rPr>
        <w:t xml:space="preserve"> and clinically relevant improvement in efficacy, or reduction of toxicity, over </w:t>
      </w:r>
      <w:r w:rsidR="00566E60" w:rsidRPr="00D2098F">
        <w:rPr>
          <w:rFonts w:asciiTheme="minorHAnsi" w:hAnsiTheme="minorHAnsi"/>
          <w:bCs/>
        </w:rPr>
        <w:t>migalastat,</w:t>
      </w:r>
      <w:r w:rsidRPr="00D2098F">
        <w:rPr>
          <w:rFonts w:asciiTheme="minorHAnsi" w:hAnsiTheme="minorHAnsi"/>
          <w:bCs/>
        </w:rPr>
        <w:t xml:space="preserve"> or not expected to address a high and urgent unmet clinical need given the presence of an alternative therapy, the criteria prescribed by the </w:t>
      </w:r>
      <w:r w:rsidRPr="00D2098F">
        <w:rPr>
          <w:rFonts w:asciiTheme="minorHAnsi" w:hAnsiTheme="minorHAnsi"/>
          <w:bCs/>
          <w:i/>
        </w:rPr>
        <w:t>National Health (Pharmaceuticals and Vaccines – Cost Recovery) Regulations 2022</w:t>
      </w:r>
      <w:r w:rsidRPr="00D2098F">
        <w:rPr>
          <w:rFonts w:asciiTheme="minorHAnsi" w:hAnsiTheme="minorHAnsi"/>
          <w:bCs/>
        </w:rPr>
        <w:t xml:space="preserve"> for Pricing Pathway</w:t>
      </w:r>
      <w:r w:rsidR="007A779D" w:rsidRPr="00D2098F">
        <w:rPr>
          <w:rFonts w:asciiTheme="minorHAnsi" w:hAnsiTheme="minorHAnsi"/>
          <w:bCs/>
        </w:rPr>
        <w:t> </w:t>
      </w:r>
      <w:r w:rsidRPr="00D2098F">
        <w:rPr>
          <w:rFonts w:asciiTheme="minorHAnsi" w:hAnsiTheme="minorHAnsi"/>
          <w:bCs/>
        </w:rPr>
        <w:t>A were not met.</w:t>
      </w:r>
    </w:p>
    <w:p w14:paraId="7166AF4E" w14:textId="7574D0EE" w:rsidR="00C07EA8" w:rsidRPr="00D2098F" w:rsidRDefault="00C07EA8" w:rsidP="00807648">
      <w:pPr>
        <w:numPr>
          <w:ilvl w:val="1"/>
          <w:numId w:val="1"/>
        </w:numPr>
        <w:spacing w:after="120"/>
        <w:rPr>
          <w:rFonts w:asciiTheme="minorHAnsi" w:hAnsiTheme="minorHAnsi"/>
          <w:bCs/>
          <w:i/>
          <w:snapToGrid w:val="0"/>
        </w:rPr>
      </w:pPr>
      <w:r w:rsidRPr="00D2098F">
        <w:rPr>
          <w:rFonts w:asciiTheme="minorHAnsi" w:hAnsiTheme="minorHAnsi"/>
          <w:bCs/>
          <w:snapToGrid w:val="0"/>
        </w:rPr>
        <w:t>The PBAC noted that this submission is not eligible for an Independent Review</w:t>
      </w:r>
      <w:r w:rsidR="00D3268C" w:rsidRPr="00D2098F">
        <w:rPr>
          <w:rFonts w:asciiTheme="minorHAnsi" w:hAnsiTheme="minorHAnsi"/>
          <w:bCs/>
          <w:snapToGrid w:val="0"/>
        </w:rPr>
        <w:t xml:space="preserve"> because it received a positive recommendation.</w:t>
      </w:r>
    </w:p>
    <w:p w14:paraId="7CB2C9F9" w14:textId="77777777" w:rsidR="00145C37" w:rsidRPr="00D2098F" w:rsidRDefault="00145C37" w:rsidP="00C07EA8">
      <w:pPr>
        <w:spacing w:before="240"/>
        <w:rPr>
          <w:rFonts w:asciiTheme="minorHAnsi" w:hAnsiTheme="minorHAnsi"/>
          <w:b/>
          <w:bCs/>
          <w:snapToGrid w:val="0"/>
        </w:rPr>
      </w:pPr>
    </w:p>
    <w:p w14:paraId="0B6030F6" w14:textId="665C443D" w:rsidR="00C07EA8" w:rsidRPr="00D2098F" w:rsidRDefault="00C07EA8" w:rsidP="00C07EA8">
      <w:pPr>
        <w:spacing w:before="240"/>
        <w:rPr>
          <w:rFonts w:asciiTheme="minorHAnsi" w:hAnsiTheme="minorHAnsi"/>
          <w:b/>
          <w:bCs/>
          <w:snapToGrid w:val="0"/>
        </w:rPr>
      </w:pPr>
      <w:r w:rsidRPr="00D2098F">
        <w:rPr>
          <w:rFonts w:asciiTheme="minorHAnsi" w:hAnsiTheme="minorHAnsi"/>
          <w:b/>
          <w:bCs/>
          <w:snapToGrid w:val="0"/>
        </w:rPr>
        <w:t>Outcome:</w:t>
      </w:r>
    </w:p>
    <w:p w14:paraId="0442F6F5" w14:textId="151278F0" w:rsidR="00C07EA8" w:rsidRPr="00D2098F" w:rsidRDefault="00C07EA8" w:rsidP="00C07EA8">
      <w:pPr>
        <w:rPr>
          <w:rFonts w:asciiTheme="minorHAnsi" w:hAnsiTheme="minorHAnsi"/>
          <w:bCs/>
          <w:snapToGrid w:val="0"/>
        </w:rPr>
      </w:pPr>
      <w:r w:rsidRPr="00D2098F">
        <w:rPr>
          <w:rFonts w:asciiTheme="minorHAnsi" w:hAnsiTheme="minorHAnsi"/>
          <w:bCs/>
          <w:snapToGrid w:val="0"/>
        </w:rPr>
        <w:lastRenderedPageBreak/>
        <w:t>Recommended</w:t>
      </w:r>
    </w:p>
    <w:p w14:paraId="117B2F31" w14:textId="77777777" w:rsidR="00C07EA8" w:rsidRDefault="00C07EA8" w:rsidP="009E1370">
      <w:pPr>
        <w:contextualSpacing/>
        <w:rPr>
          <w:rFonts w:eastAsia="Calibri"/>
          <w:i/>
          <w:szCs w:val="22"/>
        </w:rPr>
      </w:pPr>
    </w:p>
    <w:p w14:paraId="6ABB6F0E" w14:textId="77777777" w:rsidR="005C1535" w:rsidRPr="00907671" w:rsidRDefault="005C1535" w:rsidP="005C1535">
      <w:pPr>
        <w:pStyle w:val="2-SectionHeading"/>
        <w:numPr>
          <w:ilvl w:val="0"/>
          <w:numId w:val="1"/>
        </w:numPr>
      </w:pPr>
      <w:r w:rsidRPr="00907671">
        <w:t>Recommended listing</w:t>
      </w:r>
    </w:p>
    <w:p w14:paraId="2A3C5D84" w14:textId="77777777" w:rsidR="005C1535" w:rsidRPr="00525B39" w:rsidRDefault="005C1535" w:rsidP="00045DE1">
      <w:pPr>
        <w:pStyle w:val="3-BodyText"/>
        <w:rPr>
          <w:snapToGrid w:val="0"/>
        </w:rPr>
      </w:pPr>
      <w:r w:rsidRPr="00525B39">
        <w:rPr>
          <w:snapToGrid w:val="0"/>
        </w:rPr>
        <w:t>Add new item:</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663"/>
        <w:gridCol w:w="811"/>
        <w:gridCol w:w="812"/>
        <w:gridCol w:w="811"/>
        <w:gridCol w:w="812"/>
        <w:gridCol w:w="1836"/>
      </w:tblGrid>
      <w:tr w:rsidR="00E026E5" w:rsidRPr="00446E53" w14:paraId="2F1C5FD1" w14:textId="77777777" w:rsidTr="00A65DE6">
        <w:trPr>
          <w:cantSplit/>
          <w:trHeight w:val="20"/>
        </w:trPr>
        <w:tc>
          <w:tcPr>
            <w:tcW w:w="3940" w:type="dxa"/>
            <w:gridSpan w:val="2"/>
            <w:vAlign w:val="center"/>
          </w:tcPr>
          <w:p w14:paraId="3AAB916F" w14:textId="77777777" w:rsidR="00E026E5" w:rsidRPr="00446E53" w:rsidRDefault="00E026E5">
            <w:pPr>
              <w:keepLines/>
              <w:rPr>
                <w:rFonts w:ascii="Arial Narrow" w:hAnsi="Arial Narrow"/>
                <w:b/>
                <w:bCs/>
                <w:sz w:val="20"/>
                <w:szCs w:val="20"/>
              </w:rPr>
            </w:pPr>
            <w:r w:rsidRPr="00446E53">
              <w:rPr>
                <w:rFonts w:ascii="Arial Narrow" w:hAnsi="Arial Narrow"/>
                <w:b/>
                <w:bCs/>
                <w:sz w:val="20"/>
                <w:szCs w:val="20"/>
              </w:rPr>
              <w:t>MEDICINAL PRODUCT</w:t>
            </w:r>
          </w:p>
          <w:p w14:paraId="62F71CCC" w14:textId="77777777" w:rsidR="00E026E5" w:rsidRPr="00446E53" w:rsidRDefault="00E026E5">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3D18B745" w14:textId="77777777" w:rsidR="00E026E5" w:rsidRPr="00446E53" w:rsidRDefault="00E026E5">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783BA0E3" w14:textId="77777777" w:rsidR="00E026E5" w:rsidRPr="00446E53" w:rsidRDefault="00E026E5">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229827F7" w14:textId="77777777" w:rsidR="00E026E5" w:rsidRPr="00446E53" w:rsidRDefault="00E026E5">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4242002D" w14:textId="77777777" w:rsidR="00E026E5" w:rsidRPr="00446E53" w:rsidRDefault="00E026E5">
            <w:pPr>
              <w:keepLines/>
              <w:jc w:val="center"/>
              <w:rPr>
                <w:rFonts w:ascii="Arial Narrow" w:hAnsi="Arial Narrow"/>
                <w:b/>
                <w:sz w:val="20"/>
                <w:szCs w:val="20"/>
              </w:rPr>
            </w:pPr>
            <w:r w:rsidRPr="00446E53">
              <w:rPr>
                <w:rFonts w:ascii="Arial Narrow" w:hAnsi="Arial Narrow"/>
                <w:b/>
                <w:sz w:val="20"/>
                <w:szCs w:val="20"/>
              </w:rPr>
              <w:t>№.of</w:t>
            </w:r>
          </w:p>
          <w:p w14:paraId="790DA931" w14:textId="77777777" w:rsidR="00E026E5" w:rsidRPr="00446E53" w:rsidRDefault="00E026E5">
            <w:pPr>
              <w:keepLines/>
              <w:jc w:val="center"/>
              <w:rPr>
                <w:rFonts w:ascii="Arial Narrow" w:hAnsi="Arial Narrow"/>
                <w:b/>
                <w:sz w:val="20"/>
                <w:szCs w:val="20"/>
              </w:rPr>
            </w:pPr>
            <w:r w:rsidRPr="00446E53">
              <w:rPr>
                <w:rFonts w:ascii="Arial Narrow" w:hAnsi="Arial Narrow"/>
                <w:b/>
                <w:sz w:val="20"/>
                <w:szCs w:val="20"/>
              </w:rPr>
              <w:t>Rpts</w:t>
            </w:r>
          </w:p>
        </w:tc>
        <w:tc>
          <w:tcPr>
            <w:tcW w:w="1836" w:type="dxa"/>
            <w:vAlign w:val="center"/>
          </w:tcPr>
          <w:p w14:paraId="1C20BDC1" w14:textId="77777777" w:rsidR="00E026E5" w:rsidRPr="00D2098F" w:rsidRDefault="00E026E5">
            <w:pPr>
              <w:keepLines/>
              <w:rPr>
                <w:rFonts w:ascii="Arial Narrow" w:hAnsi="Arial Narrow"/>
                <w:b/>
                <w:sz w:val="20"/>
                <w:szCs w:val="20"/>
              </w:rPr>
            </w:pPr>
            <w:r w:rsidRPr="00446E53">
              <w:rPr>
                <w:rFonts w:ascii="Arial Narrow" w:hAnsi="Arial Narrow"/>
                <w:b/>
                <w:sz w:val="20"/>
                <w:szCs w:val="20"/>
              </w:rPr>
              <w:t>Available brands</w:t>
            </w:r>
          </w:p>
        </w:tc>
      </w:tr>
      <w:tr w:rsidR="00E026E5" w:rsidRPr="00446E53" w14:paraId="598E4089" w14:textId="77777777" w:rsidTr="00A65DE6">
        <w:trPr>
          <w:cantSplit/>
          <w:trHeight w:val="20"/>
        </w:trPr>
        <w:tc>
          <w:tcPr>
            <w:tcW w:w="9022" w:type="dxa"/>
            <w:gridSpan w:val="7"/>
            <w:vAlign w:val="center"/>
          </w:tcPr>
          <w:p w14:paraId="6E94B26F" w14:textId="77777777" w:rsidR="00E026E5" w:rsidRPr="00253418" w:rsidRDefault="00E026E5">
            <w:pPr>
              <w:keepLines/>
              <w:rPr>
                <w:rFonts w:ascii="Arial Narrow" w:hAnsi="Arial Narrow"/>
                <w:sz w:val="20"/>
                <w:szCs w:val="20"/>
              </w:rPr>
            </w:pPr>
            <w:r w:rsidRPr="00253418">
              <w:rPr>
                <w:rFonts w:ascii="Arial Narrow" w:hAnsi="Arial Narrow"/>
                <w:sz w:val="20"/>
                <w:szCs w:val="20"/>
              </w:rPr>
              <w:t>PEGUNIGALSIDASE ALFA</w:t>
            </w:r>
          </w:p>
        </w:tc>
      </w:tr>
      <w:tr w:rsidR="00E026E5" w:rsidRPr="00446E53" w14:paraId="1002C9F1" w14:textId="77777777" w:rsidTr="00A65DE6">
        <w:trPr>
          <w:cantSplit/>
          <w:trHeight w:val="20"/>
        </w:trPr>
        <w:tc>
          <w:tcPr>
            <w:tcW w:w="3940" w:type="dxa"/>
            <w:gridSpan w:val="2"/>
            <w:vAlign w:val="center"/>
          </w:tcPr>
          <w:p w14:paraId="414EBD7B" w14:textId="7890B4FC" w:rsidR="00E026E5" w:rsidRPr="00253418" w:rsidRDefault="00E026E5">
            <w:pPr>
              <w:keepLines/>
              <w:rPr>
                <w:rFonts w:ascii="Arial Narrow" w:hAnsi="Arial Narrow"/>
                <w:sz w:val="20"/>
                <w:szCs w:val="20"/>
              </w:rPr>
            </w:pPr>
            <w:r>
              <w:rPr>
                <w:rFonts w:ascii="Arial Narrow" w:hAnsi="Arial Narrow"/>
                <w:sz w:val="20"/>
                <w:szCs w:val="20"/>
              </w:rPr>
              <w:t xml:space="preserve">pegunigalsidase alfa </w:t>
            </w:r>
            <w:r w:rsidRPr="00253418">
              <w:rPr>
                <w:rFonts w:ascii="Arial Narrow" w:hAnsi="Arial Narrow"/>
                <w:sz w:val="20"/>
                <w:szCs w:val="20"/>
              </w:rPr>
              <w:t xml:space="preserve">20 mg/10 mL </w:t>
            </w:r>
            <w:r>
              <w:rPr>
                <w:rFonts w:ascii="Arial Narrow" w:hAnsi="Arial Narrow"/>
                <w:sz w:val="20"/>
                <w:szCs w:val="20"/>
              </w:rPr>
              <w:t>injection, 10 mL vial</w:t>
            </w:r>
            <w:r w:rsidRPr="00253418">
              <w:rPr>
                <w:rFonts w:ascii="Arial Narrow" w:hAnsi="Arial Narrow"/>
                <w:sz w:val="20"/>
                <w:szCs w:val="20"/>
              </w:rPr>
              <w:t xml:space="preserve"> </w:t>
            </w:r>
          </w:p>
        </w:tc>
        <w:tc>
          <w:tcPr>
            <w:tcW w:w="811" w:type="dxa"/>
            <w:vAlign w:val="center"/>
          </w:tcPr>
          <w:p w14:paraId="04C7FF3D" w14:textId="77777777" w:rsidR="00E026E5" w:rsidRPr="00253418" w:rsidRDefault="00E026E5">
            <w:pPr>
              <w:keepLines/>
              <w:jc w:val="center"/>
              <w:rPr>
                <w:rFonts w:ascii="Arial Narrow" w:hAnsi="Arial Narrow"/>
                <w:sz w:val="20"/>
                <w:szCs w:val="20"/>
              </w:rPr>
            </w:pPr>
            <w:r w:rsidRPr="00253418">
              <w:rPr>
                <w:rFonts w:ascii="Arial Narrow" w:hAnsi="Arial Narrow"/>
                <w:sz w:val="20"/>
                <w:szCs w:val="20"/>
              </w:rPr>
              <w:t>NEW</w:t>
            </w:r>
          </w:p>
        </w:tc>
        <w:tc>
          <w:tcPr>
            <w:tcW w:w="812" w:type="dxa"/>
            <w:vAlign w:val="center"/>
          </w:tcPr>
          <w:p w14:paraId="07977BB0" w14:textId="77777777" w:rsidR="00E026E5" w:rsidRPr="00B96920" w:rsidRDefault="00E026E5">
            <w:pPr>
              <w:keepLines/>
              <w:jc w:val="center"/>
              <w:rPr>
                <w:rFonts w:ascii="Arial Narrow" w:hAnsi="Arial Narrow"/>
                <w:i/>
                <w:iCs/>
                <w:strike/>
                <w:sz w:val="20"/>
                <w:szCs w:val="20"/>
              </w:rPr>
            </w:pPr>
            <w:r w:rsidRPr="00EC678F">
              <w:rPr>
                <w:rFonts w:ascii="Arial Narrow" w:hAnsi="Arial Narrow"/>
                <w:sz w:val="20"/>
                <w:szCs w:val="20"/>
              </w:rPr>
              <w:t>1</w:t>
            </w:r>
          </w:p>
        </w:tc>
        <w:tc>
          <w:tcPr>
            <w:tcW w:w="811" w:type="dxa"/>
            <w:vAlign w:val="center"/>
          </w:tcPr>
          <w:p w14:paraId="5970CF13" w14:textId="77777777" w:rsidR="00E026E5" w:rsidRPr="00D02594" w:rsidRDefault="00E026E5">
            <w:pPr>
              <w:keepLines/>
              <w:jc w:val="center"/>
              <w:rPr>
                <w:rFonts w:ascii="Arial Narrow" w:hAnsi="Arial Narrow"/>
                <w:sz w:val="20"/>
                <w:szCs w:val="20"/>
              </w:rPr>
            </w:pPr>
            <w:r w:rsidRPr="00D02594">
              <w:rPr>
                <w:rFonts w:ascii="Arial Narrow" w:hAnsi="Arial Narrow"/>
                <w:sz w:val="20"/>
                <w:szCs w:val="20"/>
              </w:rPr>
              <w:t xml:space="preserve">1 </w:t>
            </w:r>
          </w:p>
        </w:tc>
        <w:tc>
          <w:tcPr>
            <w:tcW w:w="812" w:type="dxa"/>
            <w:vAlign w:val="center"/>
          </w:tcPr>
          <w:p w14:paraId="57C4F853" w14:textId="77777777" w:rsidR="00E026E5" w:rsidRPr="00253418" w:rsidRDefault="00E026E5">
            <w:pPr>
              <w:keepLines/>
              <w:jc w:val="center"/>
              <w:rPr>
                <w:rFonts w:ascii="Arial Narrow" w:hAnsi="Arial Narrow"/>
                <w:sz w:val="20"/>
                <w:szCs w:val="20"/>
              </w:rPr>
            </w:pPr>
            <w:r w:rsidRPr="00253418">
              <w:rPr>
                <w:rFonts w:ascii="Arial Narrow" w:hAnsi="Arial Narrow"/>
                <w:sz w:val="20"/>
                <w:szCs w:val="20"/>
              </w:rPr>
              <w:t>5</w:t>
            </w:r>
          </w:p>
        </w:tc>
        <w:tc>
          <w:tcPr>
            <w:tcW w:w="1836" w:type="dxa"/>
            <w:vAlign w:val="center"/>
          </w:tcPr>
          <w:p w14:paraId="3A775BA0" w14:textId="77777777" w:rsidR="00E026E5" w:rsidRPr="00253418" w:rsidRDefault="00E026E5">
            <w:pPr>
              <w:keepLines/>
              <w:rPr>
                <w:rFonts w:ascii="Arial Narrow" w:hAnsi="Arial Narrow"/>
                <w:sz w:val="20"/>
                <w:szCs w:val="20"/>
              </w:rPr>
            </w:pPr>
            <w:r>
              <w:rPr>
                <w:rFonts w:ascii="Arial Narrow" w:hAnsi="Arial Narrow"/>
                <w:sz w:val="20"/>
                <w:szCs w:val="20"/>
              </w:rPr>
              <w:t>Elfabrio</w:t>
            </w:r>
          </w:p>
        </w:tc>
      </w:tr>
      <w:tr w:rsidR="00E026E5" w:rsidRPr="00446E53" w14:paraId="5313F453" w14:textId="77777777" w:rsidTr="00A65DE6">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5609DA99" w14:textId="77777777" w:rsidR="00E026E5" w:rsidRPr="00446E53" w:rsidRDefault="00E026E5">
            <w:pPr>
              <w:rPr>
                <w:rFonts w:ascii="Arial Narrow" w:hAnsi="Arial Narrow"/>
                <w:sz w:val="20"/>
                <w:szCs w:val="20"/>
              </w:rPr>
            </w:pPr>
          </w:p>
        </w:tc>
      </w:tr>
      <w:tr w:rsidR="00E026E5" w:rsidRPr="00446E53" w14:paraId="3DC42EC7" w14:textId="77777777" w:rsidTr="00A65DE6">
        <w:tblPrEx>
          <w:tblCellMar>
            <w:top w:w="15" w:type="dxa"/>
            <w:bottom w:w="15" w:type="dxa"/>
          </w:tblCellMar>
          <w:tblLook w:val="04A0" w:firstRow="1" w:lastRow="0" w:firstColumn="1" w:lastColumn="0" w:noHBand="0" w:noVBand="1"/>
        </w:tblPrEx>
        <w:trPr>
          <w:trHeight w:val="20"/>
        </w:trPr>
        <w:tc>
          <w:tcPr>
            <w:tcW w:w="1277" w:type="dxa"/>
            <w:vMerge w:val="restart"/>
            <w:tcBorders>
              <w:top w:val="single" w:sz="4" w:space="0" w:color="auto"/>
              <w:left w:val="single" w:sz="4" w:space="0" w:color="auto"/>
              <w:right w:val="single" w:sz="4" w:space="0" w:color="auto"/>
            </w:tcBorders>
          </w:tcPr>
          <w:p w14:paraId="3F90FEB3" w14:textId="77777777" w:rsidR="00E026E5" w:rsidRPr="00446E53" w:rsidRDefault="00E026E5">
            <w:pPr>
              <w:jc w:val="left"/>
              <w:rPr>
                <w:rFonts w:ascii="Arial Narrow" w:hAnsi="Arial Narrow"/>
                <w:sz w:val="20"/>
                <w:szCs w:val="20"/>
              </w:rPr>
            </w:pPr>
            <w:r w:rsidRPr="00446E53">
              <w:rPr>
                <w:rFonts w:ascii="Arial Narrow" w:hAnsi="Arial Narrow"/>
                <w:b/>
                <w:sz w:val="20"/>
                <w:szCs w:val="20"/>
              </w:rPr>
              <w:t>Concept ID</w:t>
            </w:r>
          </w:p>
          <w:p w14:paraId="3887FE1B" w14:textId="77777777" w:rsidR="00E026E5" w:rsidRPr="00446E53" w:rsidRDefault="00E026E5">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2C2CEC" w14:textId="77777777" w:rsidR="00E026E5" w:rsidRPr="009D1210" w:rsidRDefault="00E026E5">
            <w:pPr>
              <w:keepLines/>
              <w:jc w:val="left"/>
              <w:rPr>
                <w:rFonts w:ascii="Arial Narrow" w:hAnsi="Arial Narrow"/>
                <w:sz w:val="20"/>
                <w:szCs w:val="20"/>
              </w:rPr>
            </w:pPr>
            <w:r w:rsidRPr="00253418">
              <w:rPr>
                <w:rFonts w:ascii="Arial Narrow" w:hAnsi="Arial Narrow"/>
                <w:b/>
                <w:sz w:val="20"/>
                <w:szCs w:val="20"/>
              </w:rPr>
              <w:t>Category / Program:</w:t>
            </w:r>
            <w:r w:rsidRPr="00253418">
              <w:rPr>
                <w:rFonts w:ascii="Arial Narrow" w:hAnsi="Arial Narrow"/>
                <w:sz w:val="20"/>
                <w:szCs w:val="20"/>
              </w:rPr>
              <w:t xml:space="preserve"> </w:t>
            </w:r>
            <w:r w:rsidRPr="00253418">
              <w:rPr>
                <w:rFonts w:ascii="Arial Narrow" w:hAnsi="Arial Narrow"/>
                <w:sz w:val="20"/>
                <w:szCs w:val="20"/>
              </w:rPr>
              <w:fldChar w:fldCharType="begin" w:fldLock="1">
                <w:ffData>
                  <w:name w:val=""/>
                  <w:enabled/>
                  <w:calcOnExit w:val="0"/>
                  <w:checkBox>
                    <w:sizeAuto/>
                    <w:default w:val="1"/>
                  </w:checkBox>
                </w:ffData>
              </w:fldChar>
            </w:r>
            <w:r w:rsidRPr="00253418">
              <w:rPr>
                <w:rFonts w:ascii="Arial Narrow" w:hAnsi="Arial Narrow"/>
                <w:sz w:val="20"/>
                <w:szCs w:val="20"/>
              </w:rPr>
              <w:instrText xml:space="preserve"> FORMCHECKBOX </w:instrText>
            </w:r>
            <w:r w:rsidRPr="00253418">
              <w:rPr>
                <w:rFonts w:ascii="Arial Narrow" w:hAnsi="Arial Narrow"/>
                <w:sz w:val="20"/>
                <w:szCs w:val="20"/>
              </w:rPr>
            </w:r>
            <w:r w:rsidRPr="00253418">
              <w:rPr>
                <w:rFonts w:ascii="Arial Narrow" w:hAnsi="Arial Narrow"/>
                <w:sz w:val="20"/>
                <w:szCs w:val="20"/>
              </w:rPr>
              <w:fldChar w:fldCharType="separate"/>
            </w:r>
            <w:r w:rsidRPr="00253418">
              <w:rPr>
                <w:rFonts w:ascii="Arial Narrow" w:hAnsi="Arial Narrow"/>
                <w:sz w:val="20"/>
                <w:szCs w:val="20"/>
              </w:rPr>
              <w:fldChar w:fldCharType="end"/>
            </w:r>
            <w:r w:rsidRPr="00253418">
              <w:rPr>
                <w:rFonts w:ascii="Arial Narrow" w:hAnsi="Arial Narrow"/>
                <w:sz w:val="20"/>
                <w:szCs w:val="20"/>
              </w:rPr>
              <w:t xml:space="preserve"> </w:t>
            </w:r>
            <w:r w:rsidRPr="00253418">
              <w:rPr>
                <w:rFonts w:ascii="Arial Narrow" w:eastAsia="Calibri" w:hAnsi="Arial Narrow"/>
                <w:sz w:val="20"/>
                <w:szCs w:val="20"/>
              </w:rPr>
              <w:t>Section 100 – Highly Specialised Drugs Program – Public (Code HB) / Private (Code HS)</w:t>
            </w:r>
          </w:p>
        </w:tc>
      </w:tr>
      <w:tr w:rsidR="00E026E5" w:rsidRPr="00446E53" w14:paraId="6662087E" w14:textId="77777777" w:rsidTr="00A65DE6">
        <w:tblPrEx>
          <w:tblCellMar>
            <w:top w:w="15" w:type="dxa"/>
            <w:bottom w:w="15" w:type="dxa"/>
          </w:tblCellMar>
          <w:tblLook w:val="04A0" w:firstRow="1" w:lastRow="0" w:firstColumn="1" w:lastColumn="0" w:noHBand="0" w:noVBand="1"/>
        </w:tblPrEx>
        <w:trPr>
          <w:trHeight w:val="20"/>
        </w:trPr>
        <w:tc>
          <w:tcPr>
            <w:tcW w:w="1277" w:type="dxa"/>
            <w:vMerge/>
            <w:tcBorders>
              <w:left w:val="single" w:sz="4" w:space="0" w:color="auto"/>
              <w:right w:val="single" w:sz="4" w:space="0" w:color="auto"/>
            </w:tcBorders>
          </w:tcPr>
          <w:p w14:paraId="2A43685A" w14:textId="77777777" w:rsidR="00E026E5" w:rsidRPr="00446E53" w:rsidRDefault="00E026E5">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071949" w14:textId="77777777" w:rsidR="00E026E5" w:rsidRPr="00253418" w:rsidRDefault="00E026E5">
            <w:pPr>
              <w:keepLines/>
              <w:jc w:val="left"/>
              <w:rPr>
                <w:rFonts w:ascii="Arial Narrow" w:hAnsi="Arial Narrow"/>
                <w:b/>
                <w:sz w:val="20"/>
                <w:szCs w:val="20"/>
              </w:rPr>
            </w:pPr>
            <w:r w:rsidRPr="00253418">
              <w:rPr>
                <w:rFonts w:ascii="Arial Narrow" w:hAnsi="Arial Narrow"/>
                <w:b/>
                <w:sz w:val="20"/>
                <w:szCs w:val="20"/>
              </w:rPr>
              <w:t xml:space="preserve">Prescriber type: </w:t>
            </w:r>
            <w:r w:rsidRPr="00253418">
              <w:rPr>
                <w:rFonts w:ascii="Arial Narrow" w:hAnsi="Arial Narrow"/>
                <w:sz w:val="20"/>
                <w:szCs w:val="20"/>
              </w:rPr>
              <w:fldChar w:fldCharType="begin" w:fldLock="1">
                <w:ffData>
                  <w:name w:val=""/>
                  <w:enabled/>
                  <w:calcOnExit w:val="0"/>
                  <w:checkBox>
                    <w:sizeAuto/>
                    <w:default w:val="1"/>
                  </w:checkBox>
                </w:ffData>
              </w:fldChar>
            </w:r>
            <w:r w:rsidRPr="00253418">
              <w:rPr>
                <w:rFonts w:ascii="Arial Narrow" w:hAnsi="Arial Narrow"/>
                <w:sz w:val="20"/>
                <w:szCs w:val="20"/>
              </w:rPr>
              <w:instrText xml:space="preserve"> FORMCHECKBOX </w:instrText>
            </w:r>
            <w:r w:rsidRPr="00253418">
              <w:rPr>
                <w:rFonts w:ascii="Arial Narrow" w:hAnsi="Arial Narrow"/>
                <w:sz w:val="20"/>
                <w:szCs w:val="20"/>
              </w:rPr>
            </w:r>
            <w:r w:rsidRPr="00253418">
              <w:rPr>
                <w:rFonts w:ascii="Arial Narrow" w:hAnsi="Arial Narrow"/>
                <w:sz w:val="20"/>
                <w:szCs w:val="20"/>
              </w:rPr>
              <w:fldChar w:fldCharType="separate"/>
            </w:r>
            <w:r w:rsidRPr="00253418">
              <w:rPr>
                <w:rFonts w:ascii="Arial Narrow" w:hAnsi="Arial Narrow"/>
                <w:sz w:val="20"/>
                <w:szCs w:val="20"/>
              </w:rPr>
              <w:fldChar w:fldCharType="end"/>
            </w:r>
            <w:r w:rsidRPr="00253418">
              <w:rPr>
                <w:rFonts w:ascii="Arial Narrow" w:hAnsi="Arial Narrow"/>
                <w:sz w:val="20"/>
                <w:szCs w:val="20"/>
              </w:rPr>
              <w:t xml:space="preserve"> Medical Practitioners </w:t>
            </w:r>
          </w:p>
        </w:tc>
      </w:tr>
      <w:tr w:rsidR="00E026E5" w:rsidRPr="00446E53" w14:paraId="481277B7" w14:textId="77777777" w:rsidTr="00A65DE6">
        <w:tblPrEx>
          <w:tblCellMar>
            <w:top w:w="15" w:type="dxa"/>
            <w:bottom w:w="15" w:type="dxa"/>
          </w:tblCellMar>
          <w:tblLook w:val="04A0" w:firstRow="1" w:lastRow="0" w:firstColumn="1" w:lastColumn="0" w:noHBand="0" w:noVBand="1"/>
        </w:tblPrEx>
        <w:trPr>
          <w:trHeight w:val="20"/>
        </w:trPr>
        <w:tc>
          <w:tcPr>
            <w:tcW w:w="1277" w:type="dxa"/>
            <w:vMerge/>
            <w:tcBorders>
              <w:left w:val="single" w:sz="4" w:space="0" w:color="auto"/>
              <w:right w:val="single" w:sz="4" w:space="0" w:color="auto"/>
            </w:tcBorders>
          </w:tcPr>
          <w:p w14:paraId="59ECB718" w14:textId="77777777" w:rsidR="00E026E5" w:rsidRPr="00446E53" w:rsidRDefault="00E026E5">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38EE15" w14:textId="4F0B0E23" w:rsidR="00E026E5" w:rsidRPr="00CE772D" w:rsidRDefault="00E026E5">
            <w:pPr>
              <w:keepLines/>
              <w:jc w:val="left"/>
              <w:rPr>
                <w:rFonts w:ascii="Arial Narrow" w:eastAsia="Calibri" w:hAnsi="Arial Narrow"/>
                <w:sz w:val="20"/>
                <w:szCs w:val="20"/>
              </w:rPr>
            </w:pPr>
            <w:r w:rsidRPr="00CE772D">
              <w:rPr>
                <w:rFonts w:ascii="Arial Narrow" w:hAnsi="Arial Narrow"/>
                <w:b/>
                <w:sz w:val="20"/>
                <w:szCs w:val="20"/>
              </w:rPr>
              <w:t>Benefit type:</w:t>
            </w:r>
            <w:r w:rsidRPr="00CE772D">
              <w:rPr>
                <w:rFonts w:ascii="Arial Narrow" w:hAnsi="Arial Narrow"/>
                <w:sz w:val="20"/>
                <w:szCs w:val="20"/>
              </w:rPr>
              <w:fldChar w:fldCharType="begin" w:fldLock="1">
                <w:ffData>
                  <w:name w:val=""/>
                  <w:enabled/>
                  <w:calcOnExit w:val="0"/>
                  <w:checkBox>
                    <w:sizeAuto/>
                    <w:default w:val="1"/>
                  </w:checkBox>
                </w:ffData>
              </w:fldChar>
            </w:r>
            <w:r w:rsidRPr="00CE772D">
              <w:rPr>
                <w:rFonts w:ascii="Arial Narrow" w:hAnsi="Arial Narrow"/>
                <w:sz w:val="20"/>
                <w:szCs w:val="20"/>
              </w:rPr>
              <w:instrText xml:space="preserve"> FORMCHECKBOX </w:instrText>
            </w:r>
            <w:r w:rsidRPr="00CE772D">
              <w:rPr>
                <w:rFonts w:ascii="Arial Narrow" w:hAnsi="Arial Narrow"/>
                <w:sz w:val="20"/>
                <w:szCs w:val="20"/>
              </w:rPr>
            </w:r>
            <w:r w:rsidRPr="00CE772D">
              <w:rPr>
                <w:rFonts w:ascii="Arial Narrow" w:hAnsi="Arial Narrow"/>
                <w:sz w:val="20"/>
                <w:szCs w:val="20"/>
              </w:rPr>
              <w:fldChar w:fldCharType="separate"/>
            </w:r>
            <w:r w:rsidRPr="00CE772D">
              <w:rPr>
                <w:rFonts w:ascii="Arial Narrow" w:hAnsi="Arial Narrow"/>
                <w:sz w:val="20"/>
                <w:szCs w:val="20"/>
              </w:rPr>
              <w:fldChar w:fldCharType="end"/>
            </w:r>
            <w:r w:rsidRPr="00CE772D">
              <w:rPr>
                <w:rFonts w:ascii="Arial Narrow" w:hAnsi="Arial Narrow"/>
                <w:sz w:val="20"/>
                <w:szCs w:val="20"/>
              </w:rPr>
              <w:t xml:space="preserve"> </w:t>
            </w:r>
            <w:r w:rsidRPr="00CE772D">
              <w:rPr>
                <w:rFonts w:ascii="Arial Narrow" w:eastAsia="Calibri" w:hAnsi="Arial Narrow"/>
                <w:sz w:val="20"/>
                <w:szCs w:val="20"/>
              </w:rPr>
              <w:t xml:space="preserve">Authority Required (FULL assessment) in writing via </w:t>
            </w:r>
            <w:r>
              <w:rPr>
                <w:rFonts w:ascii="Arial Narrow" w:eastAsia="Calibri" w:hAnsi="Arial Narrow"/>
                <w:sz w:val="20"/>
                <w:szCs w:val="20"/>
              </w:rPr>
              <w:t>OPA/</w:t>
            </w:r>
            <w:r w:rsidRPr="00CE772D">
              <w:rPr>
                <w:rFonts w:ascii="Arial Narrow" w:eastAsia="Calibri" w:hAnsi="Arial Narrow"/>
                <w:sz w:val="20"/>
                <w:szCs w:val="20"/>
              </w:rPr>
              <w:t xml:space="preserve">post/HPOS upload) </w:t>
            </w:r>
          </w:p>
        </w:tc>
      </w:tr>
      <w:tr w:rsidR="00E026E5" w:rsidRPr="00446E53" w14:paraId="7F28AD06" w14:textId="77777777" w:rsidTr="00A65DE6">
        <w:tblPrEx>
          <w:tblCellMar>
            <w:top w:w="15" w:type="dxa"/>
            <w:bottom w:w="15" w:type="dxa"/>
          </w:tblCellMar>
          <w:tblLook w:val="04A0" w:firstRow="1" w:lastRow="0" w:firstColumn="1" w:lastColumn="0" w:noHBand="0" w:noVBand="1"/>
        </w:tblPrEx>
        <w:trPr>
          <w:trHeight w:val="20"/>
        </w:trPr>
        <w:tc>
          <w:tcPr>
            <w:tcW w:w="1277" w:type="dxa"/>
            <w:vMerge/>
            <w:tcBorders>
              <w:left w:val="single" w:sz="4" w:space="0" w:color="auto"/>
              <w:bottom w:val="single" w:sz="4" w:space="0" w:color="auto"/>
              <w:right w:val="single" w:sz="4" w:space="0" w:color="auto"/>
            </w:tcBorders>
          </w:tcPr>
          <w:p w14:paraId="07878A64" w14:textId="77777777" w:rsidR="00E026E5" w:rsidRPr="00446E53" w:rsidRDefault="00E026E5">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D4C8CF" w14:textId="77777777" w:rsidR="00E026E5" w:rsidRPr="009D1210" w:rsidRDefault="00E026E5">
            <w:pPr>
              <w:keepLines/>
              <w:jc w:val="left"/>
              <w:rPr>
                <w:rFonts w:ascii="Arial Narrow" w:eastAsia="Calibri" w:hAnsi="Arial Narrow"/>
                <w:color w:val="FF0000"/>
                <w:sz w:val="20"/>
                <w:szCs w:val="20"/>
              </w:rPr>
            </w:pPr>
            <w:r w:rsidRPr="009D1210">
              <w:rPr>
                <w:rFonts w:ascii="Arial Narrow" w:hAnsi="Arial Narrow"/>
                <w:b/>
                <w:sz w:val="20"/>
                <w:szCs w:val="20"/>
              </w:rPr>
              <w:t xml:space="preserve">Authority type: </w:t>
            </w:r>
            <w:r w:rsidRPr="009D1210">
              <w:rPr>
                <w:rFonts w:ascii="Arial Narrow" w:hAnsi="Arial Narrow"/>
                <w:sz w:val="20"/>
                <w:szCs w:val="20"/>
              </w:rPr>
              <w:fldChar w:fldCharType="begin" w:fldLock="1">
                <w:ffData>
                  <w:name w:val=""/>
                  <w:enabled/>
                  <w:calcOnExit w:val="0"/>
                  <w:checkBox>
                    <w:sizeAuto/>
                    <w:default w:val="1"/>
                  </w:checkBox>
                </w:ffData>
              </w:fldChar>
            </w:r>
            <w:r w:rsidRPr="009D1210">
              <w:rPr>
                <w:rFonts w:ascii="Arial Narrow" w:hAnsi="Arial Narrow"/>
                <w:sz w:val="20"/>
                <w:szCs w:val="20"/>
              </w:rPr>
              <w:instrText xml:space="preserve"> FORMCHECKBOX </w:instrText>
            </w:r>
            <w:r w:rsidRPr="009D1210">
              <w:rPr>
                <w:rFonts w:ascii="Arial Narrow" w:hAnsi="Arial Narrow"/>
                <w:sz w:val="20"/>
                <w:szCs w:val="20"/>
              </w:rPr>
            </w:r>
            <w:r w:rsidRPr="009D1210">
              <w:rPr>
                <w:rFonts w:ascii="Arial Narrow" w:hAnsi="Arial Narrow"/>
                <w:sz w:val="20"/>
                <w:szCs w:val="20"/>
              </w:rPr>
              <w:fldChar w:fldCharType="separate"/>
            </w:r>
            <w:r w:rsidRPr="009D1210">
              <w:rPr>
                <w:rFonts w:ascii="Arial Narrow" w:hAnsi="Arial Narrow"/>
                <w:sz w:val="20"/>
                <w:szCs w:val="20"/>
              </w:rPr>
              <w:fldChar w:fldCharType="end"/>
            </w:r>
            <w:r w:rsidRPr="009D1210">
              <w:rPr>
                <w:rFonts w:ascii="Arial Narrow" w:hAnsi="Arial Narrow"/>
                <w:sz w:val="20"/>
                <w:szCs w:val="20"/>
              </w:rPr>
              <w:t xml:space="preserve"> </w:t>
            </w:r>
            <w:r w:rsidRPr="009D1210">
              <w:rPr>
                <w:rFonts w:ascii="Arial Narrow" w:eastAsia="Calibri" w:hAnsi="Arial Narrow"/>
                <w:sz w:val="20"/>
                <w:szCs w:val="20"/>
              </w:rPr>
              <w:t>Complex Authority Required (CAR)</w:t>
            </w:r>
          </w:p>
        </w:tc>
      </w:tr>
      <w:tr w:rsidR="00E026E5" w:rsidRPr="00446E53" w14:paraId="25683941" w14:textId="77777777" w:rsidTr="00A65DE6">
        <w:tblPrEx>
          <w:tblCellMar>
            <w:top w:w="15" w:type="dxa"/>
            <w:bottom w:w="15" w:type="dxa"/>
          </w:tblCellMar>
          <w:tblLook w:val="04A0" w:firstRow="1" w:lastRow="0" w:firstColumn="1" w:lastColumn="0" w:noHBand="0" w:noVBand="1"/>
        </w:tblPrEx>
        <w:trPr>
          <w:trHeight w:val="20"/>
        </w:trPr>
        <w:tc>
          <w:tcPr>
            <w:tcW w:w="1277" w:type="dxa"/>
            <w:tcBorders>
              <w:left w:val="single" w:sz="4" w:space="0" w:color="auto"/>
              <w:bottom w:val="single" w:sz="4" w:space="0" w:color="auto"/>
              <w:right w:val="single" w:sz="4" w:space="0" w:color="auto"/>
            </w:tcBorders>
          </w:tcPr>
          <w:p w14:paraId="5682BAE3" w14:textId="77777777" w:rsidR="00E026E5" w:rsidRPr="00446E53" w:rsidRDefault="00E026E5">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0486C1B" w14:textId="77777777" w:rsidR="00E026E5" w:rsidRPr="009D1210" w:rsidRDefault="00E026E5">
            <w:pPr>
              <w:keepLines/>
              <w:jc w:val="left"/>
              <w:rPr>
                <w:rFonts w:ascii="Arial Narrow" w:hAnsi="Arial Narrow"/>
                <w:b/>
                <w:sz w:val="20"/>
                <w:szCs w:val="20"/>
              </w:rPr>
            </w:pPr>
            <w:r>
              <w:rPr>
                <w:rFonts w:ascii="Arial Narrow" w:hAnsi="Arial Narrow"/>
                <w:b/>
                <w:sz w:val="20"/>
                <w:szCs w:val="20"/>
              </w:rPr>
              <w:t xml:space="preserve">Prescribing rule level: </w:t>
            </w:r>
          </w:p>
        </w:tc>
      </w:tr>
      <w:tr w:rsidR="00E026E5" w:rsidRPr="00446E53" w14:paraId="562332DC" w14:textId="77777777" w:rsidTr="00A65DE6">
        <w:tblPrEx>
          <w:tblCellMar>
            <w:top w:w="15" w:type="dxa"/>
            <w:bottom w:w="15" w:type="dxa"/>
          </w:tblCellMar>
          <w:tblLook w:val="04A0" w:firstRow="1" w:lastRow="0" w:firstColumn="1" w:lastColumn="0" w:noHBand="0" w:noVBand="1"/>
        </w:tblPrEx>
        <w:trPr>
          <w:trHeight w:val="20"/>
        </w:trPr>
        <w:tc>
          <w:tcPr>
            <w:tcW w:w="1277" w:type="dxa"/>
            <w:tcBorders>
              <w:left w:val="single" w:sz="4" w:space="0" w:color="auto"/>
              <w:right w:val="single" w:sz="4" w:space="0" w:color="auto"/>
            </w:tcBorders>
          </w:tcPr>
          <w:p w14:paraId="2A692664" w14:textId="2317037D" w:rsidR="00E026E5" w:rsidRPr="002B5476" w:rsidRDefault="00E026E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EF29183" w14:textId="77777777" w:rsidR="00E026E5" w:rsidRDefault="00E026E5">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AC5177E" w14:textId="77777777" w:rsidR="00E026E5" w:rsidRPr="0096199A" w:rsidRDefault="00E026E5">
            <w:pPr>
              <w:rPr>
                <w:rFonts w:ascii="Arial Narrow" w:hAnsi="Arial Narrow"/>
                <w:color w:val="333333"/>
                <w:sz w:val="20"/>
                <w:szCs w:val="20"/>
              </w:rPr>
            </w:pPr>
            <w:r>
              <w:rPr>
                <w:rFonts w:ascii="Arial Narrow" w:hAnsi="Arial Narrow"/>
                <w:color w:val="333333"/>
                <w:sz w:val="20"/>
                <w:szCs w:val="20"/>
              </w:rPr>
              <w:t xml:space="preserve">No increase in the maximum number of repeats may be authorised. </w:t>
            </w:r>
          </w:p>
        </w:tc>
      </w:tr>
      <w:tr w:rsidR="00E026E5" w:rsidRPr="00446E53" w14:paraId="2E1019FD" w14:textId="77777777" w:rsidTr="00A65DE6">
        <w:tblPrEx>
          <w:tblCellMar>
            <w:top w:w="15" w:type="dxa"/>
            <w:bottom w:w="15" w:type="dxa"/>
          </w:tblCellMar>
          <w:tblLook w:val="04A0" w:firstRow="1" w:lastRow="0" w:firstColumn="1" w:lastColumn="0" w:noHBand="0" w:noVBand="1"/>
        </w:tblPrEx>
        <w:trPr>
          <w:trHeight w:val="20"/>
        </w:trPr>
        <w:tc>
          <w:tcPr>
            <w:tcW w:w="1277" w:type="dxa"/>
            <w:tcBorders>
              <w:left w:val="single" w:sz="4" w:space="0" w:color="auto"/>
              <w:right w:val="single" w:sz="4" w:space="0" w:color="auto"/>
            </w:tcBorders>
          </w:tcPr>
          <w:p w14:paraId="1F6305F4" w14:textId="44ED9F10" w:rsidR="00E026E5" w:rsidRPr="002B5476" w:rsidRDefault="00E026E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E827ED" w14:textId="77777777" w:rsidR="00E026E5" w:rsidRDefault="00E026E5">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4950711C" w14:textId="77777777" w:rsidR="00E026E5" w:rsidRPr="00500449" w:rsidRDefault="00E026E5">
            <w:pPr>
              <w:keepLines/>
              <w:rPr>
                <w:rFonts w:ascii="Arial Narrow" w:hAnsi="Arial Narrow"/>
                <w:sz w:val="20"/>
                <w:szCs w:val="20"/>
              </w:rPr>
            </w:pPr>
            <w:r>
              <w:rPr>
                <w:rFonts w:ascii="Arial Narrow" w:hAnsi="Arial Narrow"/>
                <w:sz w:val="20"/>
                <w:szCs w:val="20"/>
              </w:rPr>
              <w:t>Special Pricing Arrangements apply.</w:t>
            </w:r>
          </w:p>
        </w:tc>
      </w:tr>
      <w:tr w:rsidR="00E026E5" w:rsidRPr="00446E53" w14:paraId="34BFC7CF" w14:textId="77777777" w:rsidTr="00A65DE6">
        <w:tblPrEx>
          <w:tblCellMar>
            <w:top w:w="15" w:type="dxa"/>
            <w:bottom w:w="15" w:type="dxa"/>
          </w:tblCellMar>
          <w:tblLook w:val="04A0" w:firstRow="1" w:lastRow="0" w:firstColumn="1" w:lastColumn="0" w:noHBand="0" w:noVBand="1"/>
        </w:tblPrEx>
        <w:trPr>
          <w:trHeight w:val="20"/>
        </w:trPr>
        <w:tc>
          <w:tcPr>
            <w:tcW w:w="9022" w:type="dxa"/>
            <w:gridSpan w:val="7"/>
            <w:tcBorders>
              <w:left w:val="single" w:sz="4" w:space="0" w:color="auto"/>
              <w:bottom w:val="single" w:sz="4" w:space="0" w:color="auto"/>
              <w:right w:val="single" w:sz="4" w:space="0" w:color="auto"/>
            </w:tcBorders>
            <w:shd w:val="clear" w:color="auto" w:fill="BFBFBF" w:themeFill="background1" w:themeFillShade="BF"/>
          </w:tcPr>
          <w:p w14:paraId="3AC1B815" w14:textId="77777777" w:rsidR="00E026E5" w:rsidRPr="00446E53" w:rsidRDefault="00E026E5">
            <w:pPr>
              <w:keepLines/>
              <w:rPr>
                <w:rFonts w:ascii="Arial Narrow" w:hAnsi="Arial Narrow"/>
                <w:b/>
                <w:bCs/>
                <w:color w:val="333333"/>
                <w:sz w:val="20"/>
                <w:szCs w:val="20"/>
              </w:rPr>
            </w:pPr>
            <w:r w:rsidRPr="001428E9">
              <w:rPr>
                <w:rFonts w:ascii="Arial Narrow" w:hAnsi="Arial Narrow"/>
                <w:b/>
                <w:sz w:val="20"/>
                <w:szCs w:val="20"/>
              </w:rPr>
              <w:t>Restriction Summary [new</w:t>
            </w:r>
            <w:r>
              <w:rPr>
                <w:rFonts w:ascii="Arial Narrow" w:hAnsi="Arial Narrow"/>
                <w:b/>
                <w:sz w:val="20"/>
                <w:szCs w:val="20"/>
              </w:rPr>
              <w:t>1</w:t>
            </w:r>
            <w:r w:rsidRPr="001428E9">
              <w:rPr>
                <w:rFonts w:ascii="Arial Narrow" w:hAnsi="Arial Narrow"/>
                <w:b/>
                <w:sz w:val="20"/>
                <w:szCs w:val="20"/>
              </w:rPr>
              <w:t>]</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r>
              <w:rPr>
                <w:rFonts w:ascii="Arial Narrow" w:hAnsi="Arial Narrow"/>
                <w:b/>
                <w:sz w:val="20"/>
                <w:szCs w:val="20"/>
              </w:rPr>
              <w:t>1A</w:t>
            </w:r>
            <w:r w:rsidRPr="001428E9">
              <w:rPr>
                <w:rFonts w:ascii="Arial Narrow" w:hAnsi="Arial Narrow"/>
                <w:b/>
                <w:sz w:val="20"/>
                <w:szCs w:val="20"/>
              </w:rPr>
              <w:t>]</w:t>
            </w:r>
          </w:p>
        </w:tc>
      </w:tr>
      <w:tr w:rsidR="00E026E5" w:rsidRPr="00446E53" w14:paraId="44DCB691" w14:textId="77777777" w:rsidTr="00B86CF5">
        <w:tblPrEx>
          <w:tblCellMar>
            <w:top w:w="15" w:type="dxa"/>
            <w:bottom w:w="15" w:type="dxa"/>
          </w:tblCellMar>
          <w:tblLook w:val="04A0" w:firstRow="1" w:lastRow="0" w:firstColumn="1" w:lastColumn="0" w:noHBand="0" w:noVBand="1"/>
        </w:tblPrEx>
        <w:trPr>
          <w:cantSplit/>
          <w:trHeight w:val="20"/>
        </w:trPr>
        <w:tc>
          <w:tcPr>
            <w:tcW w:w="1277" w:type="dxa"/>
          </w:tcPr>
          <w:p w14:paraId="3C61234C" w14:textId="5FF33E5E" w:rsidR="00E026E5" w:rsidRPr="00870AE3" w:rsidRDefault="00E026E5">
            <w:pPr>
              <w:keepLines/>
              <w:jc w:val="center"/>
              <w:rPr>
                <w:rFonts w:ascii="Arial Narrow" w:hAnsi="Arial Narrow"/>
                <w:sz w:val="20"/>
                <w:szCs w:val="20"/>
              </w:rPr>
            </w:pPr>
          </w:p>
        </w:tc>
        <w:tc>
          <w:tcPr>
            <w:tcW w:w="7745" w:type="dxa"/>
            <w:gridSpan w:val="6"/>
            <w:vAlign w:val="center"/>
            <w:hideMark/>
          </w:tcPr>
          <w:p w14:paraId="7593DEF1" w14:textId="77777777" w:rsidR="00E026E5" w:rsidRPr="00870AE3" w:rsidRDefault="00E026E5">
            <w:pPr>
              <w:keepLines/>
              <w:rPr>
                <w:rFonts w:ascii="Arial Narrow" w:hAnsi="Arial Narrow"/>
                <w:sz w:val="20"/>
                <w:szCs w:val="20"/>
              </w:rPr>
            </w:pPr>
            <w:r w:rsidRPr="00870AE3">
              <w:rPr>
                <w:rFonts w:ascii="Arial Narrow" w:hAnsi="Arial Narrow"/>
                <w:b/>
                <w:bCs/>
                <w:sz w:val="20"/>
                <w:szCs w:val="20"/>
              </w:rPr>
              <w:t>Indication:</w:t>
            </w:r>
            <w:r w:rsidRPr="00870AE3">
              <w:rPr>
                <w:rFonts w:ascii="Arial Narrow" w:hAnsi="Arial Narrow"/>
                <w:sz w:val="20"/>
                <w:szCs w:val="20"/>
              </w:rPr>
              <w:t xml:space="preserve"> Fabry disease </w:t>
            </w:r>
          </w:p>
        </w:tc>
      </w:tr>
      <w:tr w:rsidR="00E026E5" w:rsidRPr="00446E53" w14:paraId="354E1C93" w14:textId="77777777" w:rsidTr="00B86CF5">
        <w:tblPrEx>
          <w:tblCellMar>
            <w:top w:w="15" w:type="dxa"/>
            <w:bottom w:w="15" w:type="dxa"/>
          </w:tblCellMar>
          <w:tblLook w:val="04A0" w:firstRow="1" w:lastRow="0" w:firstColumn="1" w:lastColumn="0" w:noHBand="0" w:noVBand="1"/>
        </w:tblPrEx>
        <w:trPr>
          <w:cantSplit/>
          <w:trHeight w:val="20"/>
        </w:trPr>
        <w:tc>
          <w:tcPr>
            <w:tcW w:w="1277" w:type="dxa"/>
          </w:tcPr>
          <w:p w14:paraId="6254AB9F" w14:textId="77777777" w:rsidR="00E026E5" w:rsidRPr="00870AE3" w:rsidRDefault="00E026E5">
            <w:pPr>
              <w:jc w:val="center"/>
              <w:rPr>
                <w:rFonts w:ascii="Arial Narrow" w:hAnsi="Arial Narrow"/>
                <w:sz w:val="20"/>
                <w:szCs w:val="20"/>
              </w:rPr>
            </w:pPr>
          </w:p>
        </w:tc>
        <w:tc>
          <w:tcPr>
            <w:tcW w:w="7745" w:type="dxa"/>
            <w:gridSpan w:val="6"/>
            <w:vAlign w:val="center"/>
            <w:hideMark/>
          </w:tcPr>
          <w:p w14:paraId="6548CF85" w14:textId="77777777" w:rsidR="00E026E5" w:rsidRPr="00870AE3" w:rsidRDefault="00E026E5">
            <w:pPr>
              <w:rPr>
                <w:rFonts w:ascii="Arial Narrow" w:hAnsi="Arial Narrow"/>
                <w:sz w:val="20"/>
                <w:szCs w:val="20"/>
              </w:rPr>
            </w:pPr>
            <w:r w:rsidRPr="00870AE3">
              <w:rPr>
                <w:rFonts w:ascii="Arial Narrow" w:hAnsi="Arial Narrow"/>
                <w:b/>
                <w:bCs/>
                <w:sz w:val="20"/>
                <w:szCs w:val="20"/>
              </w:rPr>
              <w:t>Treatment Phase:</w:t>
            </w:r>
            <w:r w:rsidRPr="00870AE3">
              <w:rPr>
                <w:rFonts w:ascii="Arial Narrow" w:hAnsi="Arial Narrow"/>
                <w:sz w:val="20"/>
                <w:szCs w:val="20"/>
              </w:rPr>
              <w:t xml:space="preserve"> Initial treatment </w:t>
            </w:r>
          </w:p>
        </w:tc>
      </w:tr>
      <w:tr w:rsidR="00E026E5" w:rsidRPr="00446E53" w14:paraId="6DD61DD0"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0AB0587" w14:textId="11AC753E" w:rsidR="00E026E5" w:rsidRPr="009D208A" w:rsidRDefault="00E026E5">
            <w:pPr>
              <w:jc w:val="center"/>
              <w:rPr>
                <w:rFonts w:ascii="Arial Narrow" w:hAnsi="Arial Narrow"/>
                <w:sz w:val="20"/>
                <w:szCs w:val="20"/>
              </w:rPr>
            </w:pPr>
          </w:p>
        </w:tc>
        <w:tc>
          <w:tcPr>
            <w:tcW w:w="7745" w:type="dxa"/>
            <w:gridSpan w:val="6"/>
            <w:vAlign w:val="center"/>
            <w:hideMark/>
          </w:tcPr>
          <w:p w14:paraId="0BFFC285" w14:textId="77777777" w:rsidR="00E026E5" w:rsidRPr="009D208A" w:rsidRDefault="00E026E5">
            <w:pPr>
              <w:rPr>
                <w:rFonts w:ascii="Arial Narrow" w:hAnsi="Arial Narrow"/>
                <w:sz w:val="20"/>
                <w:szCs w:val="20"/>
              </w:rPr>
            </w:pPr>
            <w:r w:rsidRPr="009D208A">
              <w:rPr>
                <w:rFonts w:ascii="Arial Narrow" w:hAnsi="Arial Narrow"/>
                <w:b/>
                <w:bCs/>
                <w:color w:val="333333"/>
                <w:sz w:val="20"/>
                <w:szCs w:val="20"/>
              </w:rPr>
              <w:t xml:space="preserve">Clinical criteria: </w:t>
            </w:r>
          </w:p>
        </w:tc>
      </w:tr>
      <w:tr w:rsidR="00E026E5" w:rsidRPr="00446E53" w14:paraId="0672B3EA"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A42A8ED" w14:textId="201A7DE1" w:rsidR="00E026E5" w:rsidRPr="009D208A" w:rsidRDefault="00E026E5">
            <w:pPr>
              <w:jc w:val="center"/>
              <w:rPr>
                <w:rFonts w:ascii="Arial Narrow" w:hAnsi="Arial Narrow"/>
                <w:sz w:val="20"/>
                <w:szCs w:val="20"/>
              </w:rPr>
            </w:pPr>
          </w:p>
        </w:tc>
        <w:tc>
          <w:tcPr>
            <w:tcW w:w="7745" w:type="dxa"/>
            <w:gridSpan w:val="6"/>
            <w:vAlign w:val="center"/>
            <w:hideMark/>
          </w:tcPr>
          <w:p w14:paraId="7A576961" w14:textId="77777777" w:rsidR="00E026E5" w:rsidRPr="009D208A" w:rsidRDefault="00E026E5">
            <w:pPr>
              <w:rPr>
                <w:rFonts w:ascii="Arial Narrow" w:hAnsi="Arial Narrow"/>
                <w:color w:val="333333"/>
                <w:sz w:val="20"/>
                <w:szCs w:val="20"/>
              </w:rPr>
            </w:pPr>
            <w:r w:rsidRPr="009D208A">
              <w:rPr>
                <w:rFonts w:ascii="Arial Narrow" w:hAnsi="Arial Narrow"/>
                <w:sz w:val="20"/>
                <w:szCs w:val="20"/>
              </w:rPr>
              <w:t>Patient must have at least one of: (i) documented deficiency of alpha-galactosidase enzyme activity in blood, (ii) presence of genetic mutations known to result in deficiency of alpha-galactosidase enzyme activity.</w:t>
            </w:r>
          </w:p>
        </w:tc>
      </w:tr>
      <w:tr w:rsidR="00E026E5" w:rsidRPr="00446E53" w14:paraId="1298CAC3"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96CCD47" w14:textId="77777777" w:rsidR="00E026E5" w:rsidRPr="00446E53" w:rsidRDefault="00E026E5">
            <w:pPr>
              <w:jc w:val="center"/>
              <w:rPr>
                <w:rFonts w:ascii="Arial Narrow" w:hAnsi="Arial Narrow"/>
                <w:color w:val="FF0000"/>
                <w:sz w:val="20"/>
                <w:szCs w:val="20"/>
              </w:rPr>
            </w:pPr>
          </w:p>
        </w:tc>
        <w:tc>
          <w:tcPr>
            <w:tcW w:w="7745" w:type="dxa"/>
            <w:gridSpan w:val="6"/>
            <w:vAlign w:val="center"/>
          </w:tcPr>
          <w:p w14:paraId="5E0C229D" w14:textId="77777777" w:rsidR="00E026E5" w:rsidRPr="00446E53" w:rsidRDefault="00E026E5">
            <w:pPr>
              <w:rPr>
                <w:rFonts w:ascii="Arial Narrow" w:hAnsi="Arial Narrow"/>
                <w:color w:val="FF0000"/>
                <w:sz w:val="20"/>
                <w:szCs w:val="20"/>
              </w:rPr>
            </w:pPr>
            <w:r w:rsidRPr="00446E53">
              <w:rPr>
                <w:rFonts w:ascii="Arial Narrow" w:hAnsi="Arial Narrow" w:cs="Arial Narrow"/>
                <w:b/>
                <w:bCs/>
                <w:iCs/>
                <w:sz w:val="20"/>
                <w:szCs w:val="20"/>
              </w:rPr>
              <w:t>AND</w:t>
            </w:r>
          </w:p>
        </w:tc>
      </w:tr>
      <w:tr w:rsidR="00E026E5" w:rsidRPr="00446E53" w14:paraId="46FA4CF6"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AA759A2" w14:textId="335BD69D" w:rsidR="00E026E5" w:rsidRPr="00DF278A" w:rsidRDefault="00E026E5">
            <w:pPr>
              <w:keepNext/>
              <w:jc w:val="center"/>
              <w:rPr>
                <w:rFonts w:ascii="Arial Narrow" w:hAnsi="Arial Narrow"/>
                <w:sz w:val="20"/>
                <w:szCs w:val="20"/>
              </w:rPr>
            </w:pPr>
          </w:p>
        </w:tc>
        <w:tc>
          <w:tcPr>
            <w:tcW w:w="7745" w:type="dxa"/>
            <w:gridSpan w:val="6"/>
            <w:vAlign w:val="center"/>
            <w:hideMark/>
          </w:tcPr>
          <w:p w14:paraId="51265792" w14:textId="77777777" w:rsidR="00E026E5" w:rsidRPr="00DF278A" w:rsidRDefault="00E026E5">
            <w:pPr>
              <w:keepNext/>
              <w:rPr>
                <w:rFonts w:ascii="Arial Narrow" w:hAnsi="Arial Narrow"/>
                <w:sz w:val="20"/>
                <w:szCs w:val="20"/>
              </w:rPr>
            </w:pPr>
            <w:r w:rsidRPr="00446E53">
              <w:rPr>
                <w:rFonts w:ascii="Arial Narrow" w:hAnsi="Arial Narrow"/>
                <w:b/>
                <w:bCs/>
                <w:color w:val="333333"/>
                <w:sz w:val="20"/>
                <w:szCs w:val="20"/>
              </w:rPr>
              <w:t>Clinical criteria:</w:t>
            </w:r>
          </w:p>
        </w:tc>
      </w:tr>
      <w:tr w:rsidR="00E026E5" w:rsidRPr="00446E53" w14:paraId="182268D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B6759CE" w14:textId="65450F83" w:rsidR="00E026E5" w:rsidRPr="00DF278A" w:rsidRDefault="00E026E5">
            <w:pPr>
              <w:jc w:val="center"/>
              <w:rPr>
                <w:rFonts w:ascii="Arial Narrow" w:hAnsi="Arial Narrow"/>
                <w:sz w:val="20"/>
                <w:szCs w:val="20"/>
              </w:rPr>
            </w:pPr>
          </w:p>
        </w:tc>
        <w:tc>
          <w:tcPr>
            <w:tcW w:w="7745" w:type="dxa"/>
            <w:gridSpan w:val="6"/>
            <w:vAlign w:val="center"/>
          </w:tcPr>
          <w:p w14:paraId="16ECDE8C" w14:textId="77777777" w:rsidR="00E026E5" w:rsidRPr="00DF278A" w:rsidRDefault="00E026E5">
            <w:pPr>
              <w:autoSpaceDE w:val="0"/>
              <w:autoSpaceDN w:val="0"/>
              <w:adjustRightInd w:val="0"/>
              <w:jc w:val="left"/>
              <w:rPr>
                <w:rFonts w:ascii="Arial Narrow" w:hAnsi="Arial Narrow" w:cs="Arial Narrow"/>
                <w:sz w:val="20"/>
                <w:szCs w:val="20"/>
              </w:rPr>
            </w:pPr>
            <w:r w:rsidRPr="00004A64">
              <w:rPr>
                <w:rFonts w:ascii="Arial Narrow" w:hAnsi="Arial Narrow"/>
                <w:sz w:val="20"/>
                <w:szCs w:val="20"/>
              </w:rPr>
              <w:t>Patient must be male with Fabry-related renal disease confirmed by at least one of the following: (i) abnormal albuminuria of more than 20 mcg/min, as determined by 2 separate samples at least 24 hours apart, (ii) abnormal proteinuria of more than 150 mg/24 hours, (iii) albumin: creatinine ratio greater than upper limit of normal in 2 separate samples at least 24 hours apart, (iv) renal disease due to long-term accumulation of glycosphingolipids in the kidneys;</w:t>
            </w:r>
            <w:r>
              <w:rPr>
                <w:rFonts w:ascii="Arial Narrow" w:hAnsi="Arial Narrow"/>
                <w:sz w:val="20"/>
                <w:szCs w:val="20"/>
              </w:rPr>
              <w:t xml:space="preserve"> OR </w:t>
            </w:r>
          </w:p>
        </w:tc>
      </w:tr>
      <w:tr w:rsidR="00E026E5" w:rsidRPr="00446E53" w14:paraId="334BE8EA"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B1DD57A" w14:textId="25710390" w:rsidR="00E026E5" w:rsidRPr="00004A64" w:rsidRDefault="00E026E5">
            <w:pPr>
              <w:jc w:val="center"/>
              <w:rPr>
                <w:rFonts w:ascii="Arial Narrow" w:hAnsi="Arial Narrow"/>
                <w:sz w:val="20"/>
                <w:szCs w:val="20"/>
              </w:rPr>
            </w:pPr>
          </w:p>
        </w:tc>
        <w:tc>
          <w:tcPr>
            <w:tcW w:w="7745" w:type="dxa"/>
            <w:gridSpan w:val="6"/>
            <w:vAlign w:val="center"/>
          </w:tcPr>
          <w:p w14:paraId="42939870" w14:textId="77777777" w:rsidR="00E026E5" w:rsidRPr="00446E53" w:rsidRDefault="00E026E5">
            <w:pPr>
              <w:autoSpaceDE w:val="0"/>
              <w:autoSpaceDN w:val="0"/>
              <w:adjustRightInd w:val="0"/>
              <w:rPr>
                <w:rFonts w:ascii="Arial Narrow" w:hAnsi="Arial Narrow" w:cs="Arial Narrow"/>
                <w:iCs/>
                <w:color w:val="FF0000"/>
                <w:sz w:val="20"/>
                <w:szCs w:val="20"/>
              </w:rPr>
            </w:pPr>
            <w:r w:rsidRPr="003D39C6">
              <w:rPr>
                <w:rFonts w:ascii="Arial Narrow" w:hAnsi="Arial Narrow"/>
                <w:sz w:val="20"/>
                <w:szCs w:val="20"/>
              </w:rPr>
              <w:t>Patient must be female with Fabry-related renal disease confirmed by at least one of the following: (i) proteinuria of more than 300 mg/24 hours with clinical evidence of progression, (ii) renal disease due to long-term accumulation of glycosphingolipids in the kidneys;</w:t>
            </w:r>
            <w:r>
              <w:rPr>
                <w:rFonts w:ascii="Arial Narrow" w:hAnsi="Arial Narrow"/>
                <w:sz w:val="20"/>
                <w:szCs w:val="20"/>
              </w:rPr>
              <w:t xml:space="preserve"> OR</w:t>
            </w:r>
          </w:p>
        </w:tc>
      </w:tr>
      <w:tr w:rsidR="00E026E5" w:rsidRPr="00446E53" w14:paraId="03E31F2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23325E3" w14:textId="7BA25F29" w:rsidR="00E026E5" w:rsidRPr="00004A64" w:rsidRDefault="00E026E5">
            <w:pPr>
              <w:jc w:val="center"/>
              <w:rPr>
                <w:rFonts w:ascii="Arial Narrow" w:hAnsi="Arial Narrow"/>
                <w:sz w:val="20"/>
                <w:szCs w:val="20"/>
              </w:rPr>
            </w:pPr>
          </w:p>
        </w:tc>
        <w:tc>
          <w:tcPr>
            <w:tcW w:w="7745" w:type="dxa"/>
            <w:gridSpan w:val="6"/>
            <w:vAlign w:val="center"/>
          </w:tcPr>
          <w:p w14:paraId="7F4136E0" w14:textId="77777777" w:rsidR="00E026E5" w:rsidRPr="00446E53" w:rsidRDefault="00E026E5">
            <w:pPr>
              <w:autoSpaceDE w:val="0"/>
              <w:autoSpaceDN w:val="0"/>
              <w:adjustRightInd w:val="0"/>
              <w:rPr>
                <w:rFonts w:ascii="Arial Narrow" w:hAnsi="Arial Narrow" w:cs="Arial Narrow"/>
                <w:iCs/>
                <w:color w:val="FF0000"/>
                <w:sz w:val="20"/>
                <w:szCs w:val="20"/>
              </w:rPr>
            </w:pPr>
            <w:r w:rsidRPr="00407AA0">
              <w:rPr>
                <w:rFonts w:ascii="Arial Narrow" w:hAnsi="Arial Narrow"/>
                <w:sz w:val="20"/>
                <w:szCs w:val="20"/>
              </w:rPr>
              <w:t>Patient must have Fabry-related cardiac disease confirmed by at least one of the following: (i) left ventricular hypertrophy, as evidenced by cardiac magnetic resonance imaging (MRI) or echocardiogram data, in the absence of hypertension, (ii) significant life-threatening arrhyth</w:t>
            </w:r>
            <w:r w:rsidRPr="009103B5">
              <w:rPr>
                <w:rFonts w:ascii="Arial Narrow" w:hAnsi="Arial Narrow"/>
                <w:sz w:val="20"/>
                <w:szCs w:val="20"/>
              </w:rPr>
              <w:t>mia or conduction defect, (iii) late gadolinium enhancement or a low T1 on cardiac MRI; OR</w:t>
            </w:r>
          </w:p>
        </w:tc>
      </w:tr>
      <w:tr w:rsidR="00E026E5" w:rsidRPr="00446E53" w14:paraId="68339368"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B2FA5D7" w14:textId="1F299C69" w:rsidR="00E026E5" w:rsidRPr="00004A64" w:rsidRDefault="00E026E5">
            <w:pPr>
              <w:jc w:val="center"/>
              <w:rPr>
                <w:rFonts w:ascii="Arial Narrow" w:hAnsi="Arial Narrow"/>
                <w:sz w:val="20"/>
                <w:szCs w:val="20"/>
              </w:rPr>
            </w:pPr>
          </w:p>
        </w:tc>
        <w:tc>
          <w:tcPr>
            <w:tcW w:w="7745" w:type="dxa"/>
            <w:gridSpan w:val="6"/>
            <w:vAlign w:val="center"/>
          </w:tcPr>
          <w:p w14:paraId="2DF9EE31" w14:textId="2B2ED3E6" w:rsidR="00E026E5" w:rsidRPr="000F1D49" w:rsidRDefault="00E026E5">
            <w:pPr>
              <w:autoSpaceDE w:val="0"/>
              <w:autoSpaceDN w:val="0"/>
              <w:adjustRightInd w:val="0"/>
              <w:rPr>
                <w:rFonts w:ascii="Arial Narrow" w:hAnsi="Arial Narrow"/>
                <w:sz w:val="20"/>
                <w:szCs w:val="20"/>
              </w:rPr>
            </w:pPr>
            <w:r w:rsidRPr="000F1D49">
              <w:rPr>
                <w:rFonts w:ascii="Arial Narrow" w:hAnsi="Arial Narrow"/>
                <w:sz w:val="20"/>
                <w:szCs w:val="20"/>
              </w:rPr>
              <w:t>Patient must have Fabry-related either</w:t>
            </w:r>
            <w:r w:rsidR="00BE1B39">
              <w:rPr>
                <w:rFonts w:ascii="Arial Narrow" w:hAnsi="Arial Narrow"/>
                <w:sz w:val="20"/>
                <w:szCs w:val="20"/>
              </w:rPr>
              <w:t>:</w:t>
            </w:r>
            <w:r w:rsidRPr="000F1D49">
              <w:rPr>
                <w:rFonts w:ascii="Arial Narrow" w:hAnsi="Arial Narrow"/>
                <w:sz w:val="20"/>
                <w:szCs w:val="20"/>
              </w:rPr>
              <w:t xml:space="preserve"> (i) ischaemic disease, (ii) cerebrovascular disease as shown on objective testing with no other cause or risk factors identified;</w:t>
            </w:r>
            <w:r>
              <w:rPr>
                <w:rFonts w:ascii="Arial Narrow" w:hAnsi="Arial Narrow"/>
                <w:sz w:val="20"/>
                <w:szCs w:val="20"/>
              </w:rPr>
              <w:t xml:space="preserve"> OR</w:t>
            </w:r>
          </w:p>
        </w:tc>
      </w:tr>
      <w:tr w:rsidR="00E026E5" w:rsidRPr="00446E53" w14:paraId="1BD70B0F"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DAAF32C" w14:textId="21B1965A" w:rsidR="00E026E5" w:rsidRPr="00830187" w:rsidRDefault="00E026E5">
            <w:pPr>
              <w:jc w:val="center"/>
              <w:rPr>
                <w:rFonts w:ascii="Arial Narrow" w:hAnsi="Arial Narrow"/>
                <w:sz w:val="20"/>
                <w:szCs w:val="20"/>
              </w:rPr>
            </w:pPr>
          </w:p>
        </w:tc>
        <w:tc>
          <w:tcPr>
            <w:tcW w:w="7745" w:type="dxa"/>
            <w:gridSpan w:val="6"/>
            <w:vAlign w:val="center"/>
          </w:tcPr>
          <w:p w14:paraId="423F9229" w14:textId="39728A6E" w:rsidR="00E026E5" w:rsidRPr="00830187" w:rsidRDefault="00E026E5">
            <w:pPr>
              <w:autoSpaceDE w:val="0"/>
              <w:autoSpaceDN w:val="0"/>
              <w:adjustRightInd w:val="0"/>
              <w:rPr>
                <w:rFonts w:ascii="Arial Narrow" w:hAnsi="Arial Narrow"/>
                <w:sz w:val="20"/>
                <w:szCs w:val="20"/>
              </w:rPr>
            </w:pPr>
            <w:r w:rsidRPr="00830187">
              <w:rPr>
                <w:rFonts w:ascii="Arial Narrow" w:hAnsi="Arial Narrow"/>
                <w:sz w:val="20"/>
                <w:szCs w:val="20"/>
              </w:rPr>
              <w:t xml:space="preserve">Patient must have Fabry-related uncontrolled chronic pain despite the use of recommended doses of appropriate analgesia and </w:t>
            </w:r>
            <w:r w:rsidR="00F069B0">
              <w:rPr>
                <w:rFonts w:ascii="Arial Narrow" w:hAnsi="Arial Narrow"/>
                <w:sz w:val="20"/>
                <w:szCs w:val="20"/>
              </w:rPr>
              <w:t>anti</w:t>
            </w:r>
            <w:r w:rsidR="006E33F5">
              <w:rPr>
                <w:rFonts w:ascii="Arial Narrow" w:hAnsi="Arial Narrow"/>
                <w:sz w:val="20"/>
                <w:szCs w:val="20"/>
              </w:rPr>
              <w:t xml:space="preserve">seizure </w:t>
            </w:r>
            <w:r w:rsidRPr="00830187">
              <w:rPr>
                <w:rFonts w:ascii="Arial Narrow" w:hAnsi="Arial Narrow"/>
                <w:sz w:val="20"/>
                <w:szCs w:val="20"/>
              </w:rPr>
              <w:t>medications for peripheral neuropathy;</w:t>
            </w:r>
            <w:r>
              <w:rPr>
                <w:rFonts w:ascii="Arial Narrow" w:hAnsi="Arial Narrow"/>
                <w:sz w:val="20"/>
                <w:szCs w:val="20"/>
              </w:rPr>
              <w:t xml:space="preserve"> OR</w:t>
            </w:r>
          </w:p>
        </w:tc>
      </w:tr>
      <w:tr w:rsidR="00E026E5" w:rsidRPr="00446E53" w14:paraId="4964FD8F"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3D001F6" w14:textId="34E1ACC0" w:rsidR="00E026E5" w:rsidRPr="00830187" w:rsidRDefault="00E026E5">
            <w:pPr>
              <w:jc w:val="center"/>
              <w:rPr>
                <w:rFonts w:ascii="Arial Narrow" w:hAnsi="Arial Narrow"/>
                <w:sz w:val="20"/>
                <w:szCs w:val="20"/>
              </w:rPr>
            </w:pPr>
          </w:p>
        </w:tc>
        <w:tc>
          <w:tcPr>
            <w:tcW w:w="7745" w:type="dxa"/>
            <w:gridSpan w:val="6"/>
            <w:vAlign w:val="center"/>
          </w:tcPr>
          <w:p w14:paraId="7DE80717" w14:textId="77777777" w:rsidR="00E026E5" w:rsidRPr="00830187" w:rsidRDefault="00E026E5">
            <w:pPr>
              <w:autoSpaceDE w:val="0"/>
              <w:autoSpaceDN w:val="0"/>
              <w:adjustRightInd w:val="0"/>
              <w:rPr>
                <w:rFonts w:ascii="Arial Narrow" w:hAnsi="Arial Narrow"/>
                <w:sz w:val="20"/>
                <w:szCs w:val="20"/>
              </w:rPr>
            </w:pPr>
            <w:r w:rsidRPr="00830187">
              <w:rPr>
                <w:rFonts w:ascii="Arial Narrow" w:hAnsi="Arial Narrow"/>
                <w:sz w:val="20"/>
                <w:szCs w:val="20"/>
              </w:rPr>
              <w:t>Patient must have significant Fabry-related gastrointestinal symptoms despite the use of the recommended doses of appropriate pharmacological therapies.</w:t>
            </w:r>
          </w:p>
        </w:tc>
      </w:tr>
      <w:tr w:rsidR="00E026E5" w:rsidRPr="00446E53" w14:paraId="4A615149"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26028B2" w14:textId="77777777" w:rsidR="00E026E5" w:rsidRPr="00A20F4F" w:rsidRDefault="00E026E5">
            <w:pPr>
              <w:jc w:val="center"/>
              <w:rPr>
                <w:rFonts w:ascii="Arial Narrow" w:hAnsi="Arial Narrow"/>
                <w:iCs/>
                <w:color w:val="FF0000"/>
                <w:sz w:val="20"/>
                <w:szCs w:val="20"/>
              </w:rPr>
            </w:pPr>
          </w:p>
        </w:tc>
        <w:tc>
          <w:tcPr>
            <w:tcW w:w="7745" w:type="dxa"/>
            <w:gridSpan w:val="6"/>
            <w:vAlign w:val="center"/>
          </w:tcPr>
          <w:p w14:paraId="7E061505" w14:textId="77777777" w:rsidR="00E026E5" w:rsidRPr="00A20F4F" w:rsidRDefault="00E026E5">
            <w:pPr>
              <w:autoSpaceDE w:val="0"/>
              <w:autoSpaceDN w:val="0"/>
              <w:adjustRightInd w:val="0"/>
              <w:rPr>
                <w:rFonts w:ascii="Arial Narrow" w:hAnsi="Arial Narrow" w:cs="Arial Narrow"/>
                <w:b/>
                <w:bCs/>
                <w:iCs/>
                <w:color w:val="FF0000"/>
                <w:sz w:val="20"/>
                <w:szCs w:val="20"/>
              </w:rPr>
            </w:pPr>
            <w:r w:rsidRPr="00A20F4F">
              <w:rPr>
                <w:rFonts w:ascii="Arial Narrow" w:hAnsi="Arial Narrow" w:cs="Arial Narrow"/>
                <w:b/>
                <w:bCs/>
                <w:iCs/>
                <w:sz w:val="20"/>
                <w:szCs w:val="20"/>
              </w:rPr>
              <w:t>AND</w:t>
            </w:r>
          </w:p>
        </w:tc>
      </w:tr>
      <w:tr w:rsidR="00E026E5" w:rsidRPr="00446E53" w14:paraId="4AABA80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27829BA" w14:textId="50AD021D" w:rsidR="00E026E5" w:rsidRPr="00A20F4F" w:rsidRDefault="00E026E5">
            <w:pPr>
              <w:jc w:val="center"/>
              <w:rPr>
                <w:rFonts w:ascii="Arial Narrow" w:hAnsi="Arial Narrow"/>
                <w:iCs/>
                <w:sz w:val="20"/>
                <w:szCs w:val="20"/>
              </w:rPr>
            </w:pPr>
          </w:p>
        </w:tc>
        <w:tc>
          <w:tcPr>
            <w:tcW w:w="7745" w:type="dxa"/>
            <w:gridSpan w:val="6"/>
            <w:vAlign w:val="center"/>
          </w:tcPr>
          <w:p w14:paraId="26E56DA2" w14:textId="77777777" w:rsidR="00E026E5" w:rsidRPr="00A20F4F" w:rsidRDefault="00E026E5">
            <w:pPr>
              <w:autoSpaceDE w:val="0"/>
              <w:autoSpaceDN w:val="0"/>
              <w:adjustRightInd w:val="0"/>
              <w:rPr>
                <w:rFonts w:ascii="Arial Narrow" w:hAnsi="Arial Narrow" w:cs="Arial Narrow"/>
                <w:b/>
                <w:bCs/>
                <w:iCs/>
                <w:sz w:val="20"/>
                <w:szCs w:val="20"/>
              </w:rPr>
            </w:pPr>
            <w:r w:rsidRPr="00A20F4F">
              <w:rPr>
                <w:rFonts w:ascii="Arial Narrow" w:hAnsi="Arial Narrow" w:cs="Arial Narrow"/>
                <w:b/>
                <w:bCs/>
                <w:iCs/>
                <w:sz w:val="20"/>
                <w:szCs w:val="20"/>
              </w:rPr>
              <w:t>Clinical criteria:</w:t>
            </w:r>
          </w:p>
        </w:tc>
      </w:tr>
      <w:tr w:rsidR="00E026E5" w:rsidRPr="00446E53" w14:paraId="4323343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6592B7F" w14:textId="1836ED80" w:rsidR="00E026E5" w:rsidRPr="00A20F4F" w:rsidRDefault="00E026E5">
            <w:pPr>
              <w:jc w:val="center"/>
              <w:rPr>
                <w:rFonts w:ascii="Arial Narrow" w:hAnsi="Arial Narrow"/>
                <w:iCs/>
                <w:sz w:val="20"/>
                <w:szCs w:val="20"/>
              </w:rPr>
            </w:pPr>
          </w:p>
        </w:tc>
        <w:tc>
          <w:tcPr>
            <w:tcW w:w="7745" w:type="dxa"/>
            <w:gridSpan w:val="6"/>
            <w:vAlign w:val="center"/>
          </w:tcPr>
          <w:p w14:paraId="15E667A7" w14:textId="77777777" w:rsidR="00E026E5" w:rsidRPr="00A20F4F" w:rsidRDefault="00E026E5">
            <w:pPr>
              <w:autoSpaceDE w:val="0"/>
              <w:autoSpaceDN w:val="0"/>
              <w:adjustRightInd w:val="0"/>
              <w:rPr>
                <w:rFonts w:ascii="Arial Narrow" w:hAnsi="Arial Narrow" w:cs="Arial Narrow"/>
                <w:iCs/>
                <w:sz w:val="20"/>
                <w:szCs w:val="20"/>
              </w:rPr>
            </w:pPr>
            <w:r w:rsidRPr="00A20F4F">
              <w:rPr>
                <w:rFonts w:ascii="Arial Narrow" w:hAnsi="Arial Narrow" w:cs="Arial Narrow"/>
                <w:iCs/>
                <w:sz w:val="20"/>
                <w:szCs w:val="20"/>
              </w:rPr>
              <w:t>The treatment must be the sole PBS-subsidised therapy for this condition.</w:t>
            </w:r>
          </w:p>
        </w:tc>
      </w:tr>
      <w:tr w:rsidR="00E026E5" w:rsidRPr="00446E53" w14:paraId="0B4BD615"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896941F" w14:textId="0E420E9C" w:rsidR="00E026E5" w:rsidRPr="000F1D49" w:rsidRDefault="00E026E5">
            <w:pPr>
              <w:jc w:val="center"/>
              <w:rPr>
                <w:rFonts w:ascii="Arial Narrow" w:hAnsi="Arial Narrow"/>
                <w:sz w:val="20"/>
                <w:szCs w:val="20"/>
              </w:rPr>
            </w:pPr>
          </w:p>
        </w:tc>
        <w:tc>
          <w:tcPr>
            <w:tcW w:w="7745" w:type="dxa"/>
            <w:gridSpan w:val="6"/>
            <w:vAlign w:val="center"/>
          </w:tcPr>
          <w:p w14:paraId="03BD2BF4" w14:textId="77777777" w:rsidR="00E026E5" w:rsidRPr="00446E53" w:rsidRDefault="00E026E5">
            <w:pPr>
              <w:autoSpaceDE w:val="0"/>
              <w:autoSpaceDN w:val="0"/>
              <w:adjustRightInd w:val="0"/>
              <w:rPr>
                <w:rFonts w:ascii="Arial Narrow" w:hAnsi="Arial Narrow" w:cs="Arial Narrow"/>
                <w:iCs/>
                <w:color w:val="FF0000"/>
                <w:sz w:val="20"/>
                <w:szCs w:val="20"/>
              </w:rPr>
            </w:pPr>
            <w:r w:rsidRPr="00446E53">
              <w:rPr>
                <w:rFonts w:ascii="Arial Narrow" w:hAnsi="Arial Narrow"/>
                <w:b/>
                <w:bCs/>
                <w:color w:val="333333"/>
                <w:sz w:val="20"/>
                <w:szCs w:val="20"/>
              </w:rPr>
              <w:t>Treatment criteria:</w:t>
            </w:r>
          </w:p>
        </w:tc>
      </w:tr>
      <w:tr w:rsidR="00E026E5" w:rsidRPr="00446E53" w14:paraId="33F397FB"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7609E12" w14:textId="1737389D" w:rsidR="00E026E5" w:rsidRPr="000F1D49" w:rsidRDefault="00E026E5">
            <w:pPr>
              <w:jc w:val="center"/>
              <w:rPr>
                <w:rFonts w:ascii="Arial Narrow" w:hAnsi="Arial Narrow"/>
                <w:sz w:val="20"/>
                <w:szCs w:val="20"/>
              </w:rPr>
            </w:pPr>
          </w:p>
        </w:tc>
        <w:tc>
          <w:tcPr>
            <w:tcW w:w="7745" w:type="dxa"/>
            <w:gridSpan w:val="6"/>
            <w:vAlign w:val="center"/>
          </w:tcPr>
          <w:p w14:paraId="509D0C74" w14:textId="77777777" w:rsidR="00E026E5" w:rsidRPr="00DC0265" w:rsidRDefault="00E026E5">
            <w:pPr>
              <w:autoSpaceDE w:val="0"/>
              <w:autoSpaceDN w:val="0"/>
              <w:adjustRightInd w:val="0"/>
              <w:rPr>
                <w:rFonts w:ascii="Arial Narrow" w:hAnsi="Arial Narrow"/>
                <w:sz w:val="20"/>
                <w:szCs w:val="20"/>
              </w:rPr>
            </w:pPr>
            <w:r w:rsidRPr="00DC0265">
              <w:rPr>
                <w:rFonts w:ascii="Arial Narrow" w:hAnsi="Arial Narrow"/>
                <w:sz w:val="20"/>
                <w:szCs w:val="20"/>
              </w:rPr>
              <w:t>Must be treated by a physician with expertise in the management of Fabry disease.</w:t>
            </w:r>
          </w:p>
        </w:tc>
      </w:tr>
      <w:tr w:rsidR="00E026E5" w:rsidRPr="00446E53" w14:paraId="11395F9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31A49DC" w14:textId="3C838C84" w:rsidR="00E026E5" w:rsidRPr="00446E53" w:rsidRDefault="00E026E5">
            <w:pPr>
              <w:jc w:val="center"/>
              <w:rPr>
                <w:rFonts w:ascii="Arial Narrow" w:hAnsi="Arial Narrow"/>
                <w:color w:val="333333"/>
                <w:sz w:val="20"/>
                <w:szCs w:val="20"/>
              </w:rPr>
            </w:pPr>
          </w:p>
        </w:tc>
        <w:tc>
          <w:tcPr>
            <w:tcW w:w="7745" w:type="dxa"/>
            <w:gridSpan w:val="6"/>
            <w:vAlign w:val="center"/>
          </w:tcPr>
          <w:p w14:paraId="42902FF3" w14:textId="77777777" w:rsidR="00E026E5" w:rsidRDefault="00E026E5">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308C4B81" w14:textId="77777777" w:rsidR="00E026E5" w:rsidRPr="008C6C2C" w:rsidRDefault="00E026E5">
            <w:pPr>
              <w:rPr>
                <w:rFonts w:ascii="Arial Narrow" w:hAnsi="Arial Narrow"/>
                <w:sz w:val="20"/>
                <w:szCs w:val="20"/>
              </w:rPr>
            </w:pPr>
            <w:r w:rsidRPr="00500449">
              <w:rPr>
                <w:rFonts w:ascii="Arial Narrow" w:hAnsi="Arial Narrow"/>
                <w:sz w:val="20"/>
                <w:szCs w:val="20"/>
              </w:rPr>
              <w:t>If hypertension is present in patients relying their eligibility on Fabry-related cardiac disease, the prescriber must treat it optimally for at least 6 months prior to submitting the first PBS authority application.</w:t>
            </w:r>
          </w:p>
        </w:tc>
      </w:tr>
      <w:tr w:rsidR="00E026E5" w:rsidRPr="00446E53" w14:paraId="5DBC2147"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115FC60" w14:textId="1DB2879C" w:rsidR="00E026E5" w:rsidRDefault="00E026E5">
            <w:pPr>
              <w:jc w:val="center"/>
              <w:rPr>
                <w:rFonts w:ascii="Arial Narrow" w:hAnsi="Arial Narrow"/>
                <w:color w:val="333333"/>
                <w:sz w:val="20"/>
                <w:szCs w:val="20"/>
              </w:rPr>
            </w:pPr>
          </w:p>
        </w:tc>
        <w:tc>
          <w:tcPr>
            <w:tcW w:w="7745" w:type="dxa"/>
            <w:gridSpan w:val="6"/>
            <w:vAlign w:val="center"/>
          </w:tcPr>
          <w:p w14:paraId="237FCFC2" w14:textId="77777777" w:rsidR="00E026E5" w:rsidRPr="008C6C2C" w:rsidRDefault="00E026E5">
            <w:pPr>
              <w:rPr>
                <w:rFonts w:ascii="Arial Narrow" w:hAnsi="Arial Narrow"/>
                <w:b/>
                <w:bCs/>
                <w:color w:val="333333"/>
                <w:sz w:val="20"/>
                <w:szCs w:val="20"/>
              </w:rPr>
            </w:pPr>
            <w:r w:rsidRPr="00446E53">
              <w:rPr>
                <w:rFonts w:ascii="Arial Narrow" w:hAnsi="Arial Narrow"/>
                <w:b/>
                <w:bCs/>
                <w:color w:val="333333"/>
                <w:sz w:val="20"/>
                <w:szCs w:val="20"/>
              </w:rPr>
              <w:t>Prescribing Instructions:</w:t>
            </w:r>
          </w:p>
          <w:p w14:paraId="795219FE" w14:textId="77777777" w:rsidR="00E026E5" w:rsidRPr="00446E53" w:rsidRDefault="00E026E5">
            <w:pPr>
              <w:rPr>
                <w:rFonts w:ascii="Arial Narrow" w:hAnsi="Arial Narrow"/>
                <w:b/>
                <w:bCs/>
                <w:color w:val="333333"/>
                <w:sz w:val="20"/>
                <w:szCs w:val="20"/>
              </w:rPr>
            </w:pPr>
            <w:r w:rsidRPr="00500449">
              <w:rPr>
                <w:rFonts w:ascii="Arial Narrow" w:hAnsi="Arial Narrow"/>
                <w:sz w:val="20"/>
                <w:szCs w:val="20"/>
              </w:rPr>
              <w:t>Confirmation of eligibility for treatment with diagnostic reports including the confirmed mutations must be documented in the patient's medical records.</w:t>
            </w:r>
          </w:p>
        </w:tc>
      </w:tr>
      <w:tr w:rsidR="00E026E5" w:rsidRPr="00446E53" w14:paraId="7096D306"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EDAC1A9" w14:textId="3AD7E3C4" w:rsidR="00E026E5" w:rsidRPr="00336E53" w:rsidRDefault="00E026E5">
            <w:pPr>
              <w:jc w:val="center"/>
              <w:rPr>
                <w:rFonts w:ascii="Arial Narrow" w:hAnsi="Arial Narrow"/>
                <w:color w:val="333333"/>
                <w:sz w:val="20"/>
                <w:szCs w:val="20"/>
              </w:rPr>
            </w:pPr>
          </w:p>
        </w:tc>
        <w:tc>
          <w:tcPr>
            <w:tcW w:w="7745" w:type="dxa"/>
            <w:gridSpan w:val="6"/>
            <w:vAlign w:val="center"/>
          </w:tcPr>
          <w:p w14:paraId="79442584" w14:textId="77777777" w:rsidR="00E026E5" w:rsidRPr="00336E53" w:rsidRDefault="00E026E5">
            <w:pPr>
              <w:rPr>
                <w:rFonts w:ascii="Arial Narrow" w:hAnsi="Arial Narrow"/>
                <w:b/>
                <w:bCs/>
                <w:color w:val="333333"/>
                <w:sz w:val="20"/>
                <w:szCs w:val="20"/>
              </w:rPr>
            </w:pPr>
            <w:r w:rsidRPr="00336E53">
              <w:rPr>
                <w:rFonts w:ascii="Arial Narrow" w:hAnsi="Arial Narrow"/>
                <w:b/>
                <w:bCs/>
                <w:color w:val="333333"/>
                <w:sz w:val="20"/>
                <w:szCs w:val="20"/>
              </w:rPr>
              <w:t>Prescribing Instructions:</w:t>
            </w:r>
          </w:p>
          <w:p w14:paraId="466030D7" w14:textId="38655AA8" w:rsidR="00E026E5" w:rsidRPr="00336E53" w:rsidRDefault="00E026E5">
            <w:pPr>
              <w:rPr>
                <w:rFonts w:ascii="Arial Narrow" w:hAnsi="Arial Narrow"/>
                <w:color w:val="333333"/>
                <w:sz w:val="20"/>
                <w:szCs w:val="20"/>
              </w:rPr>
            </w:pPr>
            <w:r w:rsidRPr="00336E53">
              <w:rPr>
                <w:rFonts w:ascii="Arial Narrow" w:hAnsi="Arial Narrow"/>
                <w:color w:val="333333"/>
                <w:sz w:val="20"/>
                <w:szCs w:val="20"/>
              </w:rPr>
              <w:t xml:space="preserve">The authority application must be made </w:t>
            </w:r>
            <w:r w:rsidR="002C53F3">
              <w:rPr>
                <w:rFonts w:ascii="Arial Narrow" w:hAnsi="Arial Narrow"/>
                <w:color w:val="333333"/>
                <w:sz w:val="20"/>
                <w:szCs w:val="20"/>
              </w:rPr>
              <w:t xml:space="preserve">via the Online PBS Authorities System, or </w:t>
            </w:r>
            <w:r w:rsidRPr="00336E53">
              <w:rPr>
                <w:rFonts w:ascii="Arial Narrow" w:hAnsi="Arial Narrow"/>
                <w:color w:val="333333"/>
                <w:sz w:val="20"/>
                <w:szCs w:val="20"/>
              </w:rPr>
              <w:t xml:space="preserve">in writing </w:t>
            </w:r>
            <w:r w:rsidR="002C53F3">
              <w:rPr>
                <w:rFonts w:ascii="Arial Narrow" w:hAnsi="Arial Narrow"/>
                <w:color w:val="333333"/>
                <w:sz w:val="20"/>
                <w:szCs w:val="20"/>
              </w:rPr>
              <w:t xml:space="preserve">via HPOS form upload or mail </w:t>
            </w:r>
            <w:r w:rsidRPr="00336E53">
              <w:rPr>
                <w:rFonts w:ascii="Arial Narrow" w:hAnsi="Arial Narrow"/>
                <w:color w:val="333333"/>
                <w:sz w:val="20"/>
                <w:szCs w:val="20"/>
              </w:rPr>
              <w:t>and must include:</w:t>
            </w:r>
          </w:p>
          <w:p w14:paraId="733E738E" w14:textId="59CA5A9E" w:rsidR="00E026E5" w:rsidRPr="00336E53" w:rsidRDefault="00E026E5">
            <w:pPr>
              <w:rPr>
                <w:rFonts w:ascii="Arial Narrow" w:hAnsi="Arial Narrow"/>
                <w:color w:val="333333"/>
                <w:sz w:val="20"/>
                <w:szCs w:val="20"/>
              </w:rPr>
            </w:pPr>
            <w:r w:rsidRPr="00336E53">
              <w:rPr>
                <w:rFonts w:ascii="Arial Narrow" w:hAnsi="Arial Narrow"/>
                <w:color w:val="333333"/>
                <w:sz w:val="20"/>
                <w:szCs w:val="20"/>
              </w:rPr>
              <w:t>(1) details of the proposed prescription</w:t>
            </w:r>
            <w:r w:rsidR="002C53F3">
              <w:rPr>
                <w:rFonts w:ascii="Arial Narrow" w:hAnsi="Arial Narrow"/>
                <w:color w:val="333333"/>
                <w:sz w:val="20"/>
                <w:szCs w:val="20"/>
              </w:rPr>
              <w:t>(s)</w:t>
            </w:r>
            <w:r w:rsidRPr="00336E53">
              <w:rPr>
                <w:rFonts w:ascii="Arial Narrow" w:hAnsi="Arial Narrow"/>
                <w:color w:val="333333"/>
                <w:sz w:val="20"/>
                <w:szCs w:val="20"/>
              </w:rPr>
              <w:t>; and</w:t>
            </w:r>
          </w:p>
          <w:p w14:paraId="3DE40B6B" w14:textId="771D12B6" w:rsidR="00E026E5" w:rsidRPr="00336E53" w:rsidRDefault="00E026E5">
            <w:pPr>
              <w:rPr>
                <w:rFonts w:ascii="Arial Narrow" w:hAnsi="Arial Narrow"/>
                <w:b/>
                <w:bCs/>
                <w:color w:val="333333"/>
                <w:sz w:val="20"/>
                <w:szCs w:val="20"/>
              </w:rPr>
            </w:pPr>
            <w:r w:rsidRPr="00336E53">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026E5" w:rsidRPr="00446E53" w14:paraId="2E0A661D" w14:textId="77777777" w:rsidTr="00B86CF5">
        <w:tblPrEx>
          <w:tblCellMar>
            <w:top w:w="15" w:type="dxa"/>
            <w:bottom w:w="15" w:type="dxa"/>
          </w:tblCellMar>
          <w:tblLook w:val="04A0" w:firstRow="1" w:lastRow="0" w:firstColumn="1" w:lastColumn="0" w:noHBand="0" w:noVBand="1"/>
        </w:tblPrEx>
        <w:trPr>
          <w:cantSplit/>
          <w:trHeight w:val="20"/>
        </w:trPr>
        <w:tc>
          <w:tcPr>
            <w:tcW w:w="1277" w:type="dxa"/>
          </w:tcPr>
          <w:p w14:paraId="74102C27" w14:textId="77777777" w:rsidR="00E026E5" w:rsidRPr="00336E53" w:rsidRDefault="00E026E5">
            <w:pPr>
              <w:jc w:val="center"/>
              <w:rPr>
                <w:rFonts w:ascii="Arial Narrow" w:hAnsi="Arial Narrow"/>
                <w:color w:val="333333"/>
                <w:sz w:val="20"/>
                <w:szCs w:val="20"/>
              </w:rPr>
            </w:pPr>
          </w:p>
        </w:tc>
        <w:tc>
          <w:tcPr>
            <w:tcW w:w="7745" w:type="dxa"/>
            <w:gridSpan w:val="6"/>
            <w:vAlign w:val="center"/>
            <w:hideMark/>
          </w:tcPr>
          <w:p w14:paraId="2B7ABDBE" w14:textId="77777777" w:rsidR="00E026E5" w:rsidRPr="00336E53" w:rsidRDefault="00E026E5">
            <w:pPr>
              <w:rPr>
                <w:rFonts w:ascii="Arial Narrow" w:hAnsi="Arial Narrow"/>
                <w:b/>
                <w:bCs/>
                <w:sz w:val="20"/>
                <w:szCs w:val="20"/>
              </w:rPr>
            </w:pPr>
            <w:r w:rsidRPr="00336E53">
              <w:rPr>
                <w:rFonts w:ascii="Arial Narrow" w:hAnsi="Arial Narrow"/>
                <w:b/>
                <w:bCs/>
                <w:sz w:val="20"/>
                <w:szCs w:val="20"/>
              </w:rPr>
              <w:t>Prescribing Instructions:</w:t>
            </w:r>
          </w:p>
          <w:p w14:paraId="1ECDF951" w14:textId="77777777" w:rsidR="00E026E5" w:rsidRPr="00336E53" w:rsidRDefault="00E026E5">
            <w:pPr>
              <w:rPr>
                <w:rFonts w:ascii="Arial Narrow" w:hAnsi="Arial Narrow"/>
                <w:sz w:val="20"/>
                <w:szCs w:val="20"/>
              </w:rPr>
            </w:pPr>
            <w:r w:rsidRPr="00336E53">
              <w:rPr>
                <w:rFonts w:ascii="Arial Narrow" w:hAnsi="Arial Narrow"/>
                <w:sz w:val="20"/>
                <w:szCs w:val="20"/>
              </w:rPr>
              <w:t xml:space="preserve">At the time of authority application, prescribers must request the appropriate number of vials, based on the weight of the patient, to provide sufficient drug for 4 weeks of treatment at the dosage regimen specified in the approved Therapeutic Goods Administration (TGA) Product Information (PI). </w:t>
            </w:r>
          </w:p>
          <w:p w14:paraId="5EE2635A" w14:textId="77777777" w:rsidR="00E026E5" w:rsidRPr="00336E53" w:rsidRDefault="00E026E5">
            <w:pPr>
              <w:rPr>
                <w:rFonts w:ascii="Arial Narrow" w:hAnsi="Arial Narrow"/>
                <w:sz w:val="20"/>
                <w:szCs w:val="20"/>
              </w:rPr>
            </w:pPr>
          </w:p>
        </w:tc>
      </w:tr>
      <w:tr w:rsidR="00E026E5" w:rsidRPr="00446E53" w14:paraId="7C2114EB"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FFC2805" w14:textId="2DD8F4BB" w:rsidR="00E026E5" w:rsidRPr="00CF17F7" w:rsidRDefault="00E026E5">
            <w:pPr>
              <w:jc w:val="center"/>
              <w:rPr>
                <w:rFonts w:ascii="Arial Narrow" w:hAnsi="Arial Narrow"/>
                <w:strike/>
                <w:color w:val="333333"/>
                <w:sz w:val="20"/>
                <w:szCs w:val="20"/>
              </w:rPr>
            </w:pPr>
          </w:p>
        </w:tc>
        <w:tc>
          <w:tcPr>
            <w:tcW w:w="7745" w:type="dxa"/>
            <w:gridSpan w:val="6"/>
            <w:vAlign w:val="center"/>
          </w:tcPr>
          <w:p w14:paraId="67983E93" w14:textId="77777777" w:rsidR="00E026E5" w:rsidRPr="00CF17F7" w:rsidRDefault="00E026E5">
            <w:pPr>
              <w:rPr>
                <w:rFonts w:ascii="Arial Narrow" w:hAnsi="Arial Narrow"/>
                <w:b/>
                <w:bCs/>
                <w:sz w:val="20"/>
                <w:szCs w:val="20"/>
              </w:rPr>
            </w:pPr>
            <w:r w:rsidRPr="00CF17F7">
              <w:rPr>
                <w:rFonts w:ascii="Arial Narrow" w:hAnsi="Arial Narrow"/>
                <w:b/>
                <w:bCs/>
                <w:sz w:val="20"/>
                <w:szCs w:val="20"/>
              </w:rPr>
              <w:t>Administrative Advice:</w:t>
            </w:r>
          </w:p>
          <w:p w14:paraId="56A589C8" w14:textId="77777777" w:rsidR="00E026E5" w:rsidRDefault="00E026E5">
            <w:pPr>
              <w:rPr>
                <w:rFonts w:ascii="Arial Narrow" w:hAnsi="Arial Narrow"/>
                <w:sz w:val="20"/>
                <w:szCs w:val="20"/>
              </w:rPr>
            </w:pPr>
            <w:r w:rsidRPr="007B52DA">
              <w:rPr>
                <w:rFonts w:ascii="Arial Narrow" w:hAnsi="Arial Narrow"/>
                <w:sz w:val="20"/>
                <w:szCs w:val="20"/>
              </w:rPr>
              <w:t>Any queries concerning the arrangements to prescribe may be directed to Services Australia on 1800 700 270 (hours of operation 8 a.m. to 5 p.m. Monday to Friday).</w:t>
            </w:r>
          </w:p>
          <w:p w14:paraId="27A3AB94" w14:textId="77777777" w:rsidR="00E026E5" w:rsidRPr="007B52DA" w:rsidRDefault="00E026E5">
            <w:pPr>
              <w:rPr>
                <w:rFonts w:ascii="Arial Narrow" w:hAnsi="Arial Narrow"/>
                <w:sz w:val="20"/>
                <w:szCs w:val="20"/>
              </w:rPr>
            </w:pPr>
          </w:p>
          <w:p w14:paraId="4CFA1226" w14:textId="77777777" w:rsidR="00E026E5" w:rsidRPr="00B23652" w:rsidRDefault="00E026E5">
            <w:pPr>
              <w:rPr>
                <w:rFonts w:ascii="Arial Narrow" w:hAnsi="Arial Narrow"/>
                <w:sz w:val="20"/>
                <w:szCs w:val="20"/>
              </w:rPr>
            </w:pPr>
            <w:r w:rsidRPr="007B52DA">
              <w:rPr>
                <w:rFonts w:ascii="Arial Narrow" w:hAnsi="Arial Narrow"/>
                <w:sz w:val="20"/>
                <w:szCs w:val="20"/>
              </w:rPr>
              <w:t xml:space="preserve">Prescribing information (including Authority Application forms </w:t>
            </w:r>
            <w:r w:rsidRPr="00B23652">
              <w:rPr>
                <w:rFonts w:ascii="Arial Narrow" w:hAnsi="Arial Narrow"/>
                <w:sz w:val="20"/>
                <w:szCs w:val="20"/>
              </w:rPr>
              <w:t xml:space="preserve">and other relevant documentation as applicable) is available on the Services Australia website at </w:t>
            </w:r>
            <w:hyperlink r:id="rId21" w:history="1">
              <w:r w:rsidRPr="00B23652">
                <w:rPr>
                  <w:rStyle w:val="Hyperlink"/>
                  <w:rFonts w:ascii="Arial Narrow" w:hAnsi="Arial Narrow"/>
                  <w:color w:val="auto"/>
                  <w:sz w:val="20"/>
                  <w:szCs w:val="20"/>
                </w:rPr>
                <w:t>www.servicesaustralia.gov.au</w:t>
              </w:r>
            </w:hyperlink>
          </w:p>
          <w:p w14:paraId="30971D4A" w14:textId="77777777" w:rsidR="00E026E5" w:rsidRPr="00B23652" w:rsidRDefault="00E026E5">
            <w:pPr>
              <w:rPr>
                <w:rFonts w:ascii="Arial Narrow" w:hAnsi="Arial Narrow"/>
                <w:sz w:val="20"/>
                <w:szCs w:val="20"/>
              </w:rPr>
            </w:pPr>
          </w:p>
          <w:p w14:paraId="304B5F6C" w14:textId="77777777" w:rsidR="00E026E5" w:rsidRPr="00B23652" w:rsidRDefault="00E026E5">
            <w:pPr>
              <w:rPr>
                <w:rFonts w:ascii="Arial Narrow" w:hAnsi="Arial Narrow"/>
                <w:sz w:val="20"/>
                <w:szCs w:val="20"/>
              </w:rPr>
            </w:pPr>
            <w:r w:rsidRPr="00B23652">
              <w:rPr>
                <w:rFonts w:ascii="Arial Narrow" w:hAnsi="Arial Narrow"/>
                <w:sz w:val="20"/>
                <w:szCs w:val="20"/>
              </w:rPr>
              <w:t xml:space="preserve">Applications for authorisation under this restriction should be made using the Online PBS Authorities system (see </w:t>
            </w:r>
            <w:hyperlink r:id="rId22" w:history="1">
              <w:r w:rsidRPr="00B23652">
                <w:rPr>
                  <w:rStyle w:val="Hyperlink"/>
                  <w:rFonts w:ascii="Arial Narrow" w:hAnsi="Arial Narrow"/>
                  <w:color w:val="auto"/>
                  <w:sz w:val="20"/>
                  <w:szCs w:val="20"/>
                </w:rPr>
                <w:t>www.servicesaustralia.gov.au/hpos</w:t>
              </w:r>
            </w:hyperlink>
            <w:r w:rsidRPr="00B23652">
              <w:rPr>
                <w:rFonts w:ascii="Arial Narrow" w:hAnsi="Arial Narrow"/>
                <w:sz w:val="20"/>
                <w:szCs w:val="20"/>
              </w:rPr>
              <w:t>)</w:t>
            </w:r>
          </w:p>
          <w:p w14:paraId="56988D45" w14:textId="77777777" w:rsidR="00E026E5" w:rsidRPr="00B23652" w:rsidRDefault="00E026E5">
            <w:pPr>
              <w:rPr>
                <w:rFonts w:ascii="Arial Narrow" w:hAnsi="Arial Narrow"/>
                <w:sz w:val="20"/>
                <w:szCs w:val="20"/>
              </w:rPr>
            </w:pPr>
          </w:p>
          <w:p w14:paraId="35708482" w14:textId="77777777" w:rsidR="00E026E5" w:rsidRPr="00B23652" w:rsidRDefault="00E026E5">
            <w:pPr>
              <w:rPr>
                <w:rFonts w:ascii="Arial Narrow" w:hAnsi="Arial Narrow"/>
                <w:sz w:val="20"/>
                <w:szCs w:val="20"/>
              </w:rPr>
            </w:pPr>
            <w:proofErr w:type="gramStart"/>
            <w:r w:rsidRPr="00B23652">
              <w:rPr>
                <w:rFonts w:ascii="Arial Narrow" w:hAnsi="Arial Narrow"/>
                <w:sz w:val="20"/>
                <w:szCs w:val="20"/>
              </w:rPr>
              <w:t>Alternatively</w:t>
            </w:r>
            <w:proofErr w:type="gramEnd"/>
            <w:r w:rsidRPr="00B23652">
              <w:rPr>
                <w:rFonts w:ascii="Arial Narrow" w:hAnsi="Arial Narrow"/>
                <w:sz w:val="20"/>
                <w:szCs w:val="20"/>
              </w:rPr>
              <w:t xml:space="preserve"> applications for authority to prescribe can be submitted online using the form upload facility in Health Professional Online Services (HPOS) at </w:t>
            </w:r>
            <w:hyperlink r:id="rId23" w:history="1">
              <w:r w:rsidRPr="00B23652">
                <w:rPr>
                  <w:rStyle w:val="Hyperlink"/>
                  <w:rFonts w:ascii="Arial Narrow" w:hAnsi="Arial Narrow"/>
                  <w:color w:val="auto"/>
                  <w:sz w:val="20"/>
                  <w:szCs w:val="20"/>
                </w:rPr>
                <w:t>www.servicesaustralia.gov.au/hpos</w:t>
              </w:r>
            </w:hyperlink>
          </w:p>
          <w:p w14:paraId="38982D0B" w14:textId="77777777" w:rsidR="00E026E5" w:rsidRPr="007B52DA" w:rsidRDefault="00E026E5">
            <w:pPr>
              <w:rPr>
                <w:rFonts w:ascii="Arial Narrow" w:hAnsi="Arial Narrow"/>
                <w:sz w:val="20"/>
                <w:szCs w:val="20"/>
              </w:rPr>
            </w:pPr>
          </w:p>
          <w:p w14:paraId="4104D337" w14:textId="77777777" w:rsidR="00E026E5" w:rsidRPr="007B52DA" w:rsidRDefault="00E026E5">
            <w:pPr>
              <w:rPr>
                <w:rFonts w:ascii="Arial Narrow" w:hAnsi="Arial Narrow"/>
                <w:sz w:val="20"/>
                <w:szCs w:val="20"/>
              </w:rPr>
            </w:pPr>
            <w:r w:rsidRPr="007B52DA">
              <w:rPr>
                <w:rFonts w:ascii="Arial Narrow" w:hAnsi="Arial Narrow"/>
                <w:sz w:val="20"/>
                <w:szCs w:val="20"/>
              </w:rPr>
              <w:t>Or mailed to:</w:t>
            </w:r>
          </w:p>
          <w:p w14:paraId="7127C51C" w14:textId="77777777" w:rsidR="00E026E5" w:rsidRPr="007B52DA" w:rsidRDefault="00E026E5">
            <w:pPr>
              <w:rPr>
                <w:rFonts w:ascii="Arial Narrow" w:hAnsi="Arial Narrow"/>
                <w:sz w:val="20"/>
                <w:szCs w:val="20"/>
              </w:rPr>
            </w:pPr>
            <w:r w:rsidRPr="007B52DA">
              <w:rPr>
                <w:rFonts w:ascii="Arial Narrow" w:hAnsi="Arial Narrow"/>
                <w:sz w:val="20"/>
                <w:szCs w:val="20"/>
              </w:rPr>
              <w:t>Services Australia</w:t>
            </w:r>
          </w:p>
          <w:p w14:paraId="1DC1C51A" w14:textId="77777777" w:rsidR="00E026E5" w:rsidRPr="007B52DA" w:rsidRDefault="00E026E5">
            <w:pPr>
              <w:rPr>
                <w:rFonts w:ascii="Arial Narrow" w:hAnsi="Arial Narrow"/>
                <w:sz w:val="20"/>
                <w:szCs w:val="20"/>
              </w:rPr>
            </w:pPr>
            <w:r w:rsidRPr="007B52DA">
              <w:rPr>
                <w:rFonts w:ascii="Arial Narrow" w:hAnsi="Arial Narrow"/>
                <w:sz w:val="20"/>
                <w:szCs w:val="20"/>
              </w:rPr>
              <w:t>Complex Drugs</w:t>
            </w:r>
          </w:p>
          <w:p w14:paraId="2DB328B9" w14:textId="77777777" w:rsidR="00E026E5" w:rsidRPr="007B52DA" w:rsidRDefault="00E026E5">
            <w:pPr>
              <w:rPr>
                <w:rFonts w:ascii="Arial Narrow" w:hAnsi="Arial Narrow"/>
                <w:sz w:val="20"/>
                <w:szCs w:val="20"/>
              </w:rPr>
            </w:pPr>
            <w:r w:rsidRPr="007B52DA">
              <w:rPr>
                <w:rFonts w:ascii="Arial Narrow" w:hAnsi="Arial Narrow"/>
                <w:sz w:val="20"/>
                <w:szCs w:val="20"/>
              </w:rPr>
              <w:t>Reply Paid 9826</w:t>
            </w:r>
          </w:p>
          <w:p w14:paraId="4D2E167A" w14:textId="77777777" w:rsidR="00E026E5" w:rsidRPr="00CF17F7" w:rsidRDefault="00E026E5">
            <w:pPr>
              <w:rPr>
                <w:rFonts w:ascii="Arial Narrow" w:hAnsi="Arial Narrow"/>
                <w:b/>
                <w:bCs/>
                <w:strike/>
                <w:color w:val="333333"/>
                <w:sz w:val="20"/>
                <w:szCs w:val="20"/>
              </w:rPr>
            </w:pPr>
            <w:r w:rsidRPr="007B52DA">
              <w:rPr>
                <w:rFonts w:ascii="Arial Narrow" w:hAnsi="Arial Narrow"/>
                <w:sz w:val="20"/>
                <w:szCs w:val="20"/>
              </w:rPr>
              <w:t>HOBART TAS 7001</w:t>
            </w:r>
          </w:p>
        </w:tc>
      </w:tr>
      <w:tr w:rsidR="00E026E5" w:rsidRPr="00446E53" w14:paraId="2306E5FD" w14:textId="77777777" w:rsidTr="00A65DE6">
        <w:tblPrEx>
          <w:tblCellMar>
            <w:top w:w="15" w:type="dxa"/>
            <w:bottom w:w="15" w:type="dxa"/>
          </w:tblCellMar>
          <w:tblLook w:val="04A0" w:firstRow="1" w:lastRow="0" w:firstColumn="1" w:lastColumn="0" w:noHBand="0" w:noVBand="1"/>
        </w:tblPrEx>
        <w:trPr>
          <w:cantSplit/>
          <w:trHeight w:val="20"/>
        </w:trPr>
        <w:tc>
          <w:tcPr>
            <w:tcW w:w="9022" w:type="dxa"/>
            <w:gridSpan w:val="7"/>
            <w:vAlign w:val="center"/>
          </w:tcPr>
          <w:p w14:paraId="1C2C69F8" w14:textId="77777777" w:rsidR="00E026E5" w:rsidRDefault="00E026E5">
            <w:pPr>
              <w:rPr>
                <w:rFonts w:ascii="Arial Narrow" w:hAnsi="Arial Narrow"/>
                <w:bCs/>
                <w:color w:val="FF0000"/>
                <w:sz w:val="20"/>
                <w:szCs w:val="20"/>
              </w:rPr>
            </w:pPr>
          </w:p>
          <w:p w14:paraId="6EEA0677" w14:textId="77777777" w:rsidR="00E026E5" w:rsidRPr="00446E53" w:rsidRDefault="00E026E5">
            <w:pPr>
              <w:rPr>
                <w:rFonts w:ascii="Arial Narrow" w:hAnsi="Arial Narrow"/>
                <w:bCs/>
                <w:color w:val="FF0000"/>
                <w:sz w:val="20"/>
                <w:szCs w:val="20"/>
              </w:rPr>
            </w:pPr>
          </w:p>
        </w:tc>
      </w:tr>
      <w:tr w:rsidR="00E026E5" w:rsidRPr="00446E53" w14:paraId="749D62BC" w14:textId="77777777" w:rsidTr="00A65DE6">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BFBFBF" w:themeFill="background1" w:themeFillShade="BF"/>
          </w:tcPr>
          <w:p w14:paraId="5AB1DDF8" w14:textId="77777777" w:rsidR="00E026E5" w:rsidRPr="00513FDC" w:rsidRDefault="00E026E5">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2</w:t>
            </w:r>
            <w:r w:rsidRPr="00446E53">
              <w:rPr>
                <w:rFonts w:ascii="Arial Narrow" w:hAnsi="Arial Narrow"/>
                <w:b/>
                <w:bCs/>
                <w:color w:val="333333"/>
                <w:sz w:val="20"/>
                <w:szCs w:val="20"/>
              </w:rPr>
              <w:t>] / Treatment of Concept: [new</w:t>
            </w:r>
            <w:r>
              <w:rPr>
                <w:rFonts w:ascii="Arial Narrow" w:hAnsi="Arial Narrow"/>
                <w:b/>
                <w:bCs/>
                <w:color w:val="333333"/>
                <w:sz w:val="20"/>
                <w:szCs w:val="20"/>
              </w:rPr>
              <w:t>2A</w:t>
            </w:r>
            <w:r w:rsidRPr="00446E53">
              <w:rPr>
                <w:rFonts w:ascii="Arial Narrow" w:hAnsi="Arial Narrow"/>
                <w:b/>
                <w:bCs/>
                <w:color w:val="333333"/>
                <w:sz w:val="20"/>
                <w:szCs w:val="20"/>
              </w:rPr>
              <w:t>]</w:t>
            </w:r>
          </w:p>
        </w:tc>
      </w:tr>
      <w:tr w:rsidR="00E026E5" w:rsidRPr="00446E53" w14:paraId="5E197F24" w14:textId="77777777" w:rsidTr="00B86CF5">
        <w:tblPrEx>
          <w:tblCellMar>
            <w:top w:w="15" w:type="dxa"/>
            <w:bottom w:w="15" w:type="dxa"/>
          </w:tblCellMar>
          <w:tblLook w:val="04A0" w:firstRow="1" w:lastRow="0" w:firstColumn="1" w:lastColumn="0" w:noHBand="0" w:noVBand="1"/>
        </w:tblPrEx>
        <w:trPr>
          <w:cantSplit/>
          <w:trHeight w:val="20"/>
        </w:trPr>
        <w:tc>
          <w:tcPr>
            <w:tcW w:w="1277" w:type="dxa"/>
          </w:tcPr>
          <w:p w14:paraId="54E1B8DC" w14:textId="77316520" w:rsidR="00E026E5" w:rsidRPr="00446E53" w:rsidRDefault="00E026E5">
            <w:pPr>
              <w:jc w:val="center"/>
              <w:rPr>
                <w:rFonts w:ascii="Arial Narrow" w:hAnsi="Arial Narrow"/>
                <w:color w:val="333333"/>
                <w:sz w:val="20"/>
                <w:szCs w:val="20"/>
              </w:rPr>
            </w:pPr>
          </w:p>
        </w:tc>
        <w:tc>
          <w:tcPr>
            <w:tcW w:w="7745" w:type="dxa"/>
            <w:gridSpan w:val="6"/>
            <w:vAlign w:val="center"/>
            <w:hideMark/>
          </w:tcPr>
          <w:p w14:paraId="727DC5C8" w14:textId="77777777" w:rsidR="00E026E5" w:rsidRPr="00446E53" w:rsidRDefault="00E026E5">
            <w:pPr>
              <w:rPr>
                <w:rFonts w:ascii="Arial Narrow" w:hAnsi="Arial Narrow"/>
                <w:color w:val="333333"/>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Pr>
                <w:rFonts w:ascii="Arial Narrow" w:hAnsi="Arial Narrow"/>
                <w:color w:val="333333"/>
                <w:sz w:val="20"/>
                <w:szCs w:val="20"/>
              </w:rPr>
              <w:t xml:space="preserve">Fabry disease </w:t>
            </w:r>
          </w:p>
        </w:tc>
      </w:tr>
      <w:tr w:rsidR="00E026E5" w:rsidRPr="00446E53" w14:paraId="3913FFE7" w14:textId="77777777" w:rsidTr="00B86CF5">
        <w:tblPrEx>
          <w:tblCellMar>
            <w:top w:w="15" w:type="dxa"/>
            <w:bottom w:w="15" w:type="dxa"/>
          </w:tblCellMar>
          <w:tblLook w:val="04A0" w:firstRow="1" w:lastRow="0" w:firstColumn="1" w:lastColumn="0" w:noHBand="0" w:noVBand="1"/>
        </w:tblPrEx>
        <w:trPr>
          <w:cantSplit/>
          <w:trHeight w:val="20"/>
        </w:trPr>
        <w:tc>
          <w:tcPr>
            <w:tcW w:w="1277" w:type="dxa"/>
          </w:tcPr>
          <w:p w14:paraId="132F8117" w14:textId="77777777" w:rsidR="00E026E5" w:rsidRPr="00446E53" w:rsidRDefault="00E026E5">
            <w:pPr>
              <w:jc w:val="center"/>
              <w:rPr>
                <w:rFonts w:ascii="Arial Narrow" w:hAnsi="Arial Narrow"/>
                <w:color w:val="333333"/>
                <w:sz w:val="20"/>
                <w:szCs w:val="20"/>
              </w:rPr>
            </w:pPr>
          </w:p>
        </w:tc>
        <w:tc>
          <w:tcPr>
            <w:tcW w:w="7745" w:type="dxa"/>
            <w:gridSpan w:val="6"/>
            <w:vAlign w:val="center"/>
            <w:hideMark/>
          </w:tcPr>
          <w:p w14:paraId="2078103F" w14:textId="77777777" w:rsidR="00E026E5" w:rsidRPr="00446E53" w:rsidRDefault="00E026E5">
            <w:pPr>
              <w:rPr>
                <w:rFonts w:ascii="Arial Narrow" w:hAnsi="Arial Narrow"/>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sidRPr="009952BE">
              <w:rPr>
                <w:rFonts w:ascii="Arial Narrow" w:hAnsi="Arial Narrow"/>
                <w:sz w:val="20"/>
                <w:szCs w:val="20"/>
              </w:rPr>
              <w:t xml:space="preserve">Continuing treatment </w:t>
            </w:r>
          </w:p>
        </w:tc>
      </w:tr>
      <w:tr w:rsidR="00E026E5" w:rsidRPr="00446E53" w14:paraId="4B08E8A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F4D118A" w14:textId="3D01697F" w:rsidR="00E026E5" w:rsidRPr="009952BE" w:rsidRDefault="00E026E5">
            <w:pPr>
              <w:jc w:val="center"/>
              <w:rPr>
                <w:rFonts w:ascii="Arial Narrow" w:hAnsi="Arial Narrow"/>
                <w:sz w:val="20"/>
                <w:szCs w:val="20"/>
              </w:rPr>
            </w:pPr>
          </w:p>
        </w:tc>
        <w:tc>
          <w:tcPr>
            <w:tcW w:w="7745" w:type="dxa"/>
            <w:gridSpan w:val="6"/>
            <w:vAlign w:val="center"/>
          </w:tcPr>
          <w:p w14:paraId="5AA6C60E"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026E5" w:rsidRPr="00446E53" w14:paraId="101E0D1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FD1C873" w14:textId="7A390420" w:rsidR="00E026E5" w:rsidRPr="009952BE" w:rsidRDefault="00E026E5">
            <w:pPr>
              <w:jc w:val="center"/>
              <w:rPr>
                <w:rFonts w:ascii="Arial Narrow" w:hAnsi="Arial Narrow"/>
                <w:sz w:val="20"/>
                <w:szCs w:val="20"/>
              </w:rPr>
            </w:pPr>
          </w:p>
        </w:tc>
        <w:tc>
          <w:tcPr>
            <w:tcW w:w="7745" w:type="dxa"/>
            <w:gridSpan w:val="6"/>
            <w:vAlign w:val="center"/>
          </w:tcPr>
          <w:p w14:paraId="1E03BAB2" w14:textId="77777777" w:rsidR="00E026E5" w:rsidRPr="00045937" w:rsidRDefault="00E026E5">
            <w:pPr>
              <w:rPr>
                <w:rFonts w:ascii="Arial Narrow" w:hAnsi="Arial Narrow"/>
                <w:color w:val="333333"/>
                <w:sz w:val="20"/>
                <w:szCs w:val="20"/>
              </w:rPr>
            </w:pPr>
            <w:r>
              <w:rPr>
                <w:rFonts w:ascii="Arial Narrow" w:hAnsi="Arial Narrow"/>
                <w:color w:val="333333"/>
                <w:sz w:val="20"/>
                <w:szCs w:val="20"/>
              </w:rPr>
              <w:t xml:space="preserve">Patient must have received prior PBS-subsidised treatment with this drug for this condition </w:t>
            </w:r>
          </w:p>
        </w:tc>
      </w:tr>
      <w:tr w:rsidR="00E026E5" w:rsidRPr="00446E53" w14:paraId="72EBDF5F"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BE9F231" w14:textId="77777777" w:rsidR="00E026E5" w:rsidRPr="00446E53" w:rsidRDefault="00E026E5">
            <w:pPr>
              <w:jc w:val="center"/>
              <w:rPr>
                <w:rFonts w:ascii="Arial Narrow" w:hAnsi="Arial Narrow"/>
                <w:color w:val="333333"/>
                <w:sz w:val="20"/>
                <w:szCs w:val="20"/>
              </w:rPr>
            </w:pPr>
          </w:p>
        </w:tc>
        <w:tc>
          <w:tcPr>
            <w:tcW w:w="7745" w:type="dxa"/>
            <w:gridSpan w:val="6"/>
            <w:vAlign w:val="center"/>
          </w:tcPr>
          <w:p w14:paraId="08FD27C8"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AND</w:t>
            </w:r>
          </w:p>
        </w:tc>
      </w:tr>
      <w:tr w:rsidR="00E026E5" w:rsidRPr="00446E53" w14:paraId="28AB759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DE536CC" w14:textId="78603B67" w:rsidR="00E026E5" w:rsidRPr="00446E53" w:rsidRDefault="00E026E5">
            <w:pPr>
              <w:jc w:val="center"/>
              <w:rPr>
                <w:rFonts w:ascii="Arial Narrow" w:hAnsi="Arial Narrow"/>
                <w:color w:val="333333"/>
                <w:sz w:val="20"/>
                <w:szCs w:val="20"/>
              </w:rPr>
            </w:pPr>
          </w:p>
        </w:tc>
        <w:tc>
          <w:tcPr>
            <w:tcW w:w="7745" w:type="dxa"/>
            <w:gridSpan w:val="6"/>
            <w:vAlign w:val="center"/>
          </w:tcPr>
          <w:p w14:paraId="3D74108B"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026E5" w:rsidRPr="00446E53" w14:paraId="433B3B8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4CA2A0B" w14:textId="1ED3E152" w:rsidR="00E026E5" w:rsidRPr="00446E53" w:rsidRDefault="00E026E5">
            <w:pPr>
              <w:jc w:val="center"/>
              <w:rPr>
                <w:rFonts w:ascii="Arial Narrow" w:hAnsi="Arial Narrow"/>
                <w:color w:val="333333"/>
                <w:sz w:val="20"/>
                <w:szCs w:val="20"/>
              </w:rPr>
            </w:pPr>
          </w:p>
        </w:tc>
        <w:tc>
          <w:tcPr>
            <w:tcW w:w="7745" w:type="dxa"/>
            <w:gridSpan w:val="6"/>
            <w:vAlign w:val="center"/>
          </w:tcPr>
          <w:p w14:paraId="6ABBD730" w14:textId="77777777" w:rsidR="00E026E5" w:rsidRPr="00446E53" w:rsidRDefault="00E026E5">
            <w:pPr>
              <w:rPr>
                <w:rFonts w:ascii="Arial Narrow" w:hAnsi="Arial Narrow"/>
                <w:b/>
                <w:bCs/>
                <w:color w:val="333333"/>
                <w:sz w:val="20"/>
                <w:szCs w:val="20"/>
              </w:rPr>
            </w:pPr>
            <w:r>
              <w:rPr>
                <w:rFonts w:ascii="Arial Narrow" w:hAnsi="Arial Narrow"/>
                <w:color w:val="333333"/>
                <w:sz w:val="20"/>
                <w:szCs w:val="20"/>
              </w:rPr>
              <w:t>Patient must have demonstrated clinical improvement or stabilisation of condition, the details of which must be kept with the patient’s record</w:t>
            </w:r>
          </w:p>
        </w:tc>
      </w:tr>
      <w:tr w:rsidR="00E026E5" w:rsidRPr="00446E53" w14:paraId="656A6C9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2689EBC" w14:textId="77777777" w:rsidR="00E026E5" w:rsidRPr="00446E53" w:rsidRDefault="00E026E5">
            <w:pPr>
              <w:jc w:val="center"/>
              <w:rPr>
                <w:rFonts w:ascii="Arial Narrow" w:hAnsi="Arial Narrow"/>
                <w:color w:val="333333"/>
                <w:sz w:val="20"/>
                <w:szCs w:val="20"/>
              </w:rPr>
            </w:pPr>
          </w:p>
        </w:tc>
        <w:tc>
          <w:tcPr>
            <w:tcW w:w="7745" w:type="dxa"/>
            <w:gridSpan w:val="6"/>
            <w:vAlign w:val="center"/>
          </w:tcPr>
          <w:p w14:paraId="129E7E92"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AND</w:t>
            </w:r>
          </w:p>
        </w:tc>
      </w:tr>
      <w:tr w:rsidR="00E026E5" w:rsidRPr="00446E53" w14:paraId="4D9BA10B"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ED40C75" w14:textId="4177C6DA" w:rsidR="00E026E5" w:rsidRPr="00446E53" w:rsidRDefault="00E026E5">
            <w:pPr>
              <w:jc w:val="center"/>
              <w:rPr>
                <w:rFonts w:ascii="Arial Narrow" w:hAnsi="Arial Narrow"/>
                <w:color w:val="333333"/>
                <w:sz w:val="20"/>
                <w:szCs w:val="20"/>
              </w:rPr>
            </w:pPr>
          </w:p>
        </w:tc>
        <w:tc>
          <w:tcPr>
            <w:tcW w:w="7745" w:type="dxa"/>
            <w:gridSpan w:val="6"/>
            <w:vAlign w:val="center"/>
          </w:tcPr>
          <w:p w14:paraId="67EEC22A"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026E5" w:rsidRPr="00446E53" w14:paraId="11DE045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67E1064" w14:textId="2B147EA6" w:rsidR="00E026E5" w:rsidRPr="00446E53" w:rsidRDefault="00E026E5">
            <w:pPr>
              <w:jc w:val="center"/>
              <w:rPr>
                <w:rFonts w:ascii="Arial Narrow" w:hAnsi="Arial Narrow"/>
                <w:color w:val="333333"/>
                <w:sz w:val="20"/>
                <w:szCs w:val="20"/>
              </w:rPr>
            </w:pPr>
          </w:p>
        </w:tc>
        <w:tc>
          <w:tcPr>
            <w:tcW w:w="7745" w:type="dxa"/>
            <w:gridSpan w:val="6"/>
            <w:vAlign w:val="center"/>
          </w:tcPr>
          <w:p w14:paraId="0D47ADAA" w14:textId="5071D860" w:rsidR="00E026E5" w:rsidRPr="002A2725" w:rsidRDefault="00E026E5">
            <w:pPr>
              <w:rPr>
                <w:rFonts w:ascii="Arial Narrow" w:hAnsi="Arial Narrow"/>
                <w:b/>
                <w:bCs/>
                <w:i/>
                <w:iCs/>
                <w:color w:val="333333"/>
                <w:sz w:val="20"/>
                <w:szCs w:val="20"/>
              </w:rPr>
            </w:pPr>
            <w:r>
              <w:rPr>
                <w:rFonts w:ascii="Arial Narrow" w:hAnsi="Arial Narrow"/>
                <w:color w:val="333333"/>
                <w:sz w:val="20"/>
                <w:szCs w:val="20"/>
              </w:rPr>
              <w:t xml:space="preserve">Patient must not have developed another life threatening/severe disease where long term prognosis is unlikely to be influenced by </w:t>
            </w:r>
            <w:r w:rsidRPr="009103B5">
              <w:rPr>
                <w:rFonts w:ascii="Arial Narrow" w:hAnsi="Arial Narrow"/>
                <w:color w:val="333333"/>
                <w:sz w:val="20"/>
                <w:szCs w:val="20"/>
              </w:rPr>
              <w:t>this drug</w:t>
            </w:r>
            <w:r w:rsidR="0053419A">
              <w:rPr>
                <w:rFonts w:ascii="Arial Narrow" w:hAnsi="Arial Narrow"/>
                <w:color w:val="333333"/>
                <w:sz w:val="20"/>
                <w:szCs w:val="20"/>
              </w:rPr>
              <w:t>.</w:t>
            </w:r>
          </w:p>
        </w:tc>
      </w:tr>
      <w:tr w:rsidR="00E026E5" w:rsidRPr="00446E53" w14:paraId="456265B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D5A20B5" w14:textId="77777777" w:rsidR="00E026E5" w:rsidRPr="009952BE" w:rsidRDefault="00E026E5">
            <w:pPr>
              <w:jc w:val="center"/>
              <w:rPr>
                <w:rFonts w:ascii="Arial Narrow" w:hAnsi="Arial Narrow"/>
                <w:sz w:val="20"/>
                <w:szCs w:val="20"/>
              </w:rPr>
            </w:pPr>
          </w:p>
        </w:tc>
        <w:tc>
          <w:tcPr>
            <w:tcW w:w="7745" w:type="dxa"/>
            <w:gridSpan w:val="6"/>
            <w:vAlign w:val="center"/>
          </w:tcPr>
          <w:p w14:paraId="55A566B7" w14:textId="77777777" w:rsidR="00E026E5" w:rsidRPr="005208DD" w:rsidRDefault="00E026E5">
            <w:pPr>
              <w:rPr>
                <w:rFonts w:ascii="Arial Narrow" w:hAnsi="Arial Narrow"/>
                <w:iCs/>
                <w:color w:val="333333"/>
                <w:sz w:val="20"/>
                <w:szCs w:val="20"/>
              </w:rPr>
            </w:pPr>
            <w:r w:rsidRPr="005208DD">
              <w:rPr>
                <w:rFonts w:ascii="Arial Narrow" w:hAnsi="Arial Narrow" w:cs="Arial Narrow"/>
                <w:b/>
                <w:bCs/>
                <w:iCs/>
                <w:sz w:val="20"/>
                <w:szCs w:val="20"/>
              </w:rPr>
              <w:t>AND</w:t>
            </w:r>
          </w:p>
        </w:tc>
      </w:tr>
      <w:tr w:rsidR="00E026E5" w:rsidRPr="00446E53" w14:paraId="57B7A051"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AE48174" w14:textId="4C4B7DE5" w:rsidR="00E026E5" w:rsidRPr="009103B5" w:rsidRDefault="00E026E5">
            <w:pPr>
              <w:jc w:val="center"/>
              <w:rPr>
                <w:rFonts w:ascii="Arial Narrow" w:hAnsi="Arial Narrow"/>
                <w:sz w:val="20"/>
                <w:szCs w:val="20"/>
              </w:rPr>
            </w:pPr>
          </w:p>
        </w:tc>
        <w:tc>
          <w:tcPr>
            <w:tcW w:w="7745" w:type="dxa"/>
            <w:gridSpan w:val="6"/>
            <w:vAlign w:val="center"/>
          </w:tcPr>
          <w:p w14:paraId="5B4741E4" w14:textId="77777777" w:rsidR="00E026E5" w:rsidRPr="009103B5" w:rsidRDefault="00E026E5">
            <w:pPr>
              <w:rPr>
                <w:rFonts w:ascii="Arial Narrow" w:hAnsi="Arial Narrow"/>
                <w:color w:val="333333"/>
                <w:sz w:val="20"/>
                <w:szCs w:val="20"/>
              </w:rPr>
            </w:pPr>
            <w:r w:rsidRPr="009103B5">
              <w:rPr>
                <w:rFonts w:ascii="Arial Narrow" w:hAnsi="Arial Narrow" w:cs="Arial Narrow"/>
                <w:b/>
                <w:bCs/>
                <w:sz w:val="20"/>
                <w:szCs w:val="20"/>
              </w:rPr>
              <w:t>Clinical criteria:</w:t>
            </w:r>
          </w:p>
        </w:tc>
      </w:tr>
      <w:tr w:rsidR="00E026E5" w:rsidRPr="00446E53" w14:paraId="0BA4584B"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A8E311F" w14:textId="0729A0FF" w:rsidR="00E026E5" w:rsidRPr="009103B5" w:rsidRDefault="00E026E5">
            <w:pPr>
              <w:jc w:val="center"/>
              <w:rPr>
                <w:rFonts w:ascii="Arial Narrow" w:hAnsi="Arial Narrow"/>
                <w:sz w:val="20"/>
                <w:szCs w:val="20"/>
              </w:rPr>
            </w:pPr>
          </w:p>
        </w:tc>
        <w:tc>
          <w:tcPr>
            <w:tcW w:w="7745" w:type="dxa"/>
            <w:gridSpan w:val="6"/>
            <w:vAlign w:val="center"/>
          </w:tcPr>
          <w:p w14:paraId="7BFF491A" w14:textId="77777777" w:rsidR="00E026E5" w:rsidRPr="009103B5" w:rsidRDefault="00E026E5">
            <w:pPr>
              <w:rPr>
                <w:rFonts w:ascii="Arial Narrow" w:hAnsi="Arial Narrow"/>
                <w:color w:val="333333"/>
                <w:sz w:val="20"/>
                <w:szCs w:val="20"/>
              </w:rPr>
            </w:pPr>
            <w:r w:rsidRPr="009103B5">
              <w:rPr>
                <w:rFonts w:ascii="Arial Narrow" w:hAnsi="Arial Narrow" w:cs="Arial Narrow"/>
                <w:sz w:val="20"/>
                <w:szCs w:val="20"/>
              </w:rPr>
              <w:t>The treatment must be the sole PBS-subsidised therapy for this condition.</w:t>
            </w:r>
          </w:p>
        </w:tc>
      </w:tr>
      <w:tr w:rsidR="00E026E5" w:rsidRPr="00446E53" w14:paraId="670B12F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ADBF3D0" w14:textId="63121234" w:rsidR="00E026E5" w:rsidRPr="00B314E5" w:rsidRDefault="00E026E5">
            <w:pPr>
              <w:jc w:val="center"/>
              <w:rPr>
                <w:rFonts w:ascii="Arial Narrow" w:hAnsi="Arial Narrow"/>
                <w:sz w:val="20"/>
                <w:szCs w:val="20"/>
              </w:rPr>
            </w:pPr>
          </w:p>
        </w:tc>
        <w:tc>
          <w:tcPr>
            <w:tcW w:w="7745" w:type="dxa"/>
            <w:gridSpan w:val="6"/>
            <w:vAlign w:val="center"/>
          </w:tcPr>
          <w:p w14:paraId="23253FBE" w14:textId="77777777" w:rsidR="00E026E5" w:rsidRPr="00446E53" w:rsidRDefault="00E026E5">
            <w:pPr>
              <w:rPr>
                <w:rFonts w:ascii="Arial Narrow" w:hAnsi="Arial Narrow"/>
                <w:b/>
                <w:bCs/>
                <w:color w:val="333333"/>
                <w:sz w:val="20"/>
                <w:szCs w:val="20"/>
              </w:rPr>
            </w:pPr>
            <w:r w:rsidRPr="00446E53">
              <w:rPr>
                <w:rFonts w:ascii="Arial Narrow" w:hAnsi="Arial Narrow"/>
                <w:b/>
                <w:bCs/>
                <w:color w:val="333333"/>
                <w:sz w:val="20"/>
                <w:szCs w:val="20"/>
              </w:rPr>
              <w:t>Treatment criteria:</w:t>
            </w:r>
          </w:p>
        </w:tc>
      </w:tr>
      <w:tr w:rsidR="00E026E5" w:rsidRPr="00446E53" w14:paraId="5BB6F26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EE2AD39" w14:textId="47513E3D" w:rsidR="00E026E5" w:rsidRPr="00B314E5" w:rsidRDefault="00E026E5">
            <w:pPr>
              <w:jc w:val="center"/>
              <w:rPr>
                <w:rFonts w:ascii="Arial Narrow" w:hAnsi="Arial Narrow"/>
                <w:sz w:val="20"/>
                <w:szCs w:val="20"/>
              </w:rPr>
            </w:pPr>
          </w:p>
        </w:tc>
        <w:tc>
          <w:tcPr>
            <w:tcW w:w="7745" w:type="dxa"/>
            <w:gridSpan w:val="6"/>
            <w:vAlign w:val="center"/>
          </w:tcPr>
          <w:p w14:paraId="491C3F58" w14:textId="77777777" w:rsidR="00E026E5" w:rsidRPr="00B314E5" w:rsidRDefault="00E026E5">
            <w:pPr>
              <w:jc w:val="left"/>
              <w:rPr>
                <w:rFonts w:ascii="Arial Narrow" w:hAnsi="Arial Narrow"/>
                <w:b/>
                <w:bCs/>
                <w:sz w:val="20"/>
                <w:szCs w:val="20"/>
              </w:rPr>
            </w:pPr>
            <w:r w:rsidRPr="00B314E5">
              <w:rPr>
                <w:rFonts w:ascii="Arial Narrow" w:hAnsi="Arial Narrow" w:cs="Arial Narrow"/>
                <w:iCs/>
                <w:sz w:val="20"/>
                <w:szCs w:val="20"/>
              </w:rPr>
              <w:t>Must be treated by a physician with expertise in the management of Fabry disease</w:t>
            </w:r>
            <w:r>
              <w:rPr>
                <w:rFonts w:ascii="Arial Narrow" w:hAnsi="Arial Narrow" w:cs="Arial Narrow"/>
                <w:iCs/>
                <w:sz w:val="20"/>
                <w:szCs w:val="20"/>
              </w:rPr>
              <w:t>.</w:t>
            </w:r>
          </w:p>
        </w:tc>
      </w:tr>
      <w:tr w:rsidR="00E026E5" w:rsidRPr="00446E53" w14:paraId="39FE0E16"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3BA12D9" w14:textId="77777777" w:rsidR="00E026E5" w:rsidRDefault="00E026E5">
            <w:pPr>
              <w:jc w:val="center"/>
              <w:rPr>
                <w:rFonts w:ascii="Arial Narrow" w:hAnsi="Arial Narrow"/>
                <w:sz w:val="20"/>
                <w:szCs w:val="20"/>
              </w:rPr>
            </w:pPr>
          </w:p>
        </w:tc>
        <w:tc>
          <w:tcPr>
            <w:tcW w:w="7745" w:type="dxa"/>
            <w:gridSpan w:val="6"/>
            <w:vAlign w:val="center"/>
          </w:tcPr>
          <w:p w14:paraId="74720571" w14:textId="77777777" w:rsidR="00E026E5" w:rsidRPr="00336E53" w:rsidRDefault="00E026E5">
            <w:pPr>
              <w:rPr>
                <w:rFonts w:ascii="Arial Narrow" w:hAnsi="Arial Narrow"/>
                <w:b/>
                <w:bCs/>
                <w:sz w:val="20"/>
                <w:szCs w:val="20"/>
              </w:rPr>
            </w:pPr>
            <w:r w:rsidRPr="00336E53">
              <w:rPr>
                <w:rFonts w:ascii="Arial Narrow" w:hAnsi="Arial Narrow"/>
                <w:b/>
                <w:bCs/>
                <w:sz w:val="20"/>
                <w:szCs w:val="20"/>
              </w:rPr>
              <w:t>Prescribing Instructions:</w:t>
            </w:r>
          </w:p>
          <w:p w14:paraId="5547AE7E" w14:textId="77777777" w:rsidR="00E026E5" w:rsidRPr="00CB341C" w:rsidRDefault="00E026E5">
            <w:pPr>
              <w:rPr>
                <w:rFonts w:ascii="Arial Narrow" w:hAnsi="Arial Narrow"/>
                <w:sz w:val="20"/>
                <w:szCs w:val="20"/>
              </w:rPr>
            </w:pPr>
            <w:r w:rsidRPr="00336E53">
              <w:rPr>
                <w:rFonts w:ascii="Arial Narrow" w:hAnsi="Arial Narrow"/>
                <w:sz w:val="20"/>
                <w:szCs w:val="20"/>
              </w:rPr>
              <w:t xml:space="preserve">At the time of authority application, prescribers must request the appropriate number of vials, based on the weight of the patient, to provide sufficient drug for 4 weeks of treatment at the dosage regimen specified in the approved Therapeutic Goods Administration (TGA) Product Information (PI). </w:t>
            </w:r>
          </w:p>
        </w:tc>
      </w:tr>
      <w:tr w:rsidR="00E026E5" w:rsidRPr="00446E53" w14:paraId="18653FC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F405898" w14:textId="45ECAEF6" w:rsidR="00E026E5" w:rsidRDefault="00E026E5">
            <w:pPr>
              <w:jc w:val="center"/>
              <w:rPr>
                <w:rFonts w:ascii="Arial Narrow" w:hAnsi="Arial Narrow"/>
                <w:sz w:val="20"/>
                <w:szCs w:val="20"/>
              </w:rPr>
            </w:pPr>
          </w:p>
        </w:tc>
        <w:tc>
          <w:tcPr>
            <w:tcW w:w="7745" w:type="dxa"/>
            <w:gridSpan w:val="6"/>
            <w:vAlign w:val="center"/>
          </w:tcPr>
          <w:p w14:paraId="4293A8B8" w14:textId="77777777" w:rsidR="00E026E5" w:rsidRPr="00C31500" w:rsidRDefault="00E026E5">
            <w:pPr>
              <w:rPr>
                <w:rFonts w:ascii="Arial Narrow" w:hAnsi="Arial Narrow"/>
                <w:b/>
                <w:bCs/>
                <w:sz w:val="20"/>
                <w:szCs w:val="20"/>
              </w:rPr>
            </w:pPr>
            <w:r w:rsidRPr="00C31500">
              <w:rPr>
                <w:rFonts w:ascii="Arial Narrow" w:hAnsi="Arial Narrow"/>
                <w:b/>
                <w:bCs/>
                <w:sz w:val="20"/>
                <w:szCs w:val="20"/>
              </w:rPr>
              <w:t>Administrative Advice:</w:t>
            </w:r>
          </w:p>
          <w:p w14:paraId="35BC6B18" w14:textId="77777777" w:rsidR="00E026E5" w:rsidRPr="00B314E5" w:rsidRDefault="00E026E5">
            <w:pPr>
              <w:jc w:val="left"/>
              <w:rPr>
                <w:rFonts w:ascii="Arial Narrow" w:hAnsi="Arial Narrow" w:cs="Arial Narrow"/>
                <w:iCs/>
                <w:sz w:val="20"/>
                <w:szCs w:val="20"/>
              </w:rPr>
            </w:pPr>
            <w:r w:rsidRPr="00C31500">
              <w:rPr>
                <w:rFonts w:ascii="Arial Narrow" w:hAnsi="Arial Narrow" w:cs="Arial Narrow"/>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026E5" w:rsidRPr="00446E53" w14:paraId="57164B56" w14:textId="77777777" w:rsidTr="00A65DE6">
        <w:tblPrEx>
          <w:tblCellMar>
            <w:top w:w="15" w:type="dxa"/>
            <w:bottom w:w="15" w:type="dxa"/>
          </w:tblCellMar>
          <w:tblLook w:val="04A0" w:firstRow="1" w:lastRow="0" w:firstColumn="1" w:lastColumn="0" w:noHBand="0" w:noVBand="1"/>
        </w:tblPrEx>
        <w:trPr>
          <w:cantSplit/>
          <w:trHeight w:val="20"/>
        </w:trPr>
        <w:tc>
          <w:tcPr>
            <w:tcW w:w="9022" w:type="dxa"/>
            <w:gridSpan w:val="7"/>
          </w:tcPr>
          <w:p w14:paraId="7F4D6B45" w14:textId="77777777" w:rsidR="00E026E5" w:rsidRDefault="00E026E5">
            <w:pPr>
              <w:jc w:val="left"/>
              <w:rPr>
                <w:rFonts w:ascii="Arial Narrow" w:hAnsi="Arial Narrow" w:cs="Arial Narrow"/>
                <w:iCs/>
                <w:sz w:val="20"/>
                <w:szCs w:val="20"/>
              </w:rPr>
            </w:pPr>
          </w:p>
          <w:p w14:paraId="58192110" w14:textId="77777777" w:rsidR="00E026E5" w:rsidRPr="00B314E5" w:rsidRDefault="00E026E5">
            <w:pPr>
              <w:jc w:val="left"/>
              <w:rPr>
                <w:rFonts w:ascii="Arial Narrow" w:hAnsi="Arial Narrow" w:cs="Arial Narrow"/>
                <w:iCs/>
                <w:sz w:val="20"/>
                <w:szCs w:val="20"/>
              </w:rPr>
            </w:pPr>
          </w:p>
        </w:tc>
      </w:tr>
      <w:tr w:rsidR="00E026E5" w:rsidRPr="00446E53" w14:paraId="12938991" w14:textId="77777777" w:rsidTr="00A65DE6">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BFBFBF" w:themeFill="background1" w:themeFillShade="BF"/>
          </w:tcPr>
          <w:p w14:paraId="0D550AFF" w14:textId="77777777" w:rsidR="00E026E5" w:rsidRPr="00B314E5" w:rsidRDefault="00E026E5">
            <w:pPr>
              <w:jc w:val="left"/>
              <w:rPr>
                <w:rFonts w:ascii="Arial Narrow" w:hAnsi="Arial Narrow" w:cs="Arial Narrow"/>
                <w:iCs/>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3</w:t>
            </w:r>
            <w:r w:rsidRPr="00446E53">
              <w:rPr>
                <w:rFonts w:ascii="Arial Narrow" w:hAnsi="Arial Narrow"/>
                <w:b/>
                <w:bCs/>
                <w:color w:val="333333"/>
                <w:sz w:val="20"/>
                <w:szCs w:val="20"/>
              </w:rPr>
              <w:t>] / Treatment of Concept: [new</w:t>
            </w:r>
            <w:r>
              <w:rPr>
                <w:rFonts w:ascii="Arial Narrow" w:hAnsi="Arial Narrow"/>
                <w:b/>
                <w:bCs/>
                <w:color w:val="333333"/>
                <w:sz w:val="20"/>
                <w:szCs w:val="20"/>
              </w:rPr>
              <w:t>3A</w:t>
            </w:r>
            <w:r w:rsidRPr="00446E53">
              <w:rPr>
                <w:rFonts w:ascii="Arial Narrow" w:hAnsi="Arial Narrow"/>
                <w:b/>
                <w:bCs/>
                <w:color w:val="333333"/>
                <w:sz w:val="20"/>
                <w:szCs w:val="20"/>
              </w:rPr>
              <w:t>]</w:t>
            </w:r>
          </w:p>
        </w:tc>
      </w:tr>
      <w:tr w:rsidR="00E026E5" w:rsidRPr="00446E53" w14:paraId="6049F945"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1114A9B" w14:textId="2400F2FA" w:rsidR="00E026E5" w:rsidRPr="00B314E5" w:rsidRDefault="00E026E5">
            <w:pPr>
              <w:jc w:val="center"/>
              <w:rPr>
                <w:rFonts w:ascii="Arial Narrow" w:hAnsi="Arial Narrow"/>
                <w:sz w:val="20"/>
                <w:szCs w:val="20"/>
              </w:rPr>
            </w:pPr>
          </w:p>
        </w:tc>
        <w:tc>
          <w:tcPr>
            <w:tcW w:w="7745" w:type="dxa"/>
            <w:gridSpan w:val="6"/>
            <w:vAlign w:val="center"/>
          </w:tcPr>
          <w:p w14:paraId="4F67E85C" w14:textId="77777777" w:rsidR="00E026E5" w:rsidRPr="00B314E5" w:rsidRDefault="00E026E5">
            <w:pPr>
              <w:jc w:val="left"/>
              <w:rPr>
                <w:rFonts w:ascii="Arial Narrow" w:hAnsi="Arial Narrow" w:cs="Arial Narrow"/>
                <w:iCs/>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Pr>
                <w:rFonts w:ascii="Arial Narrow" w:hAnsi="Arial Narrow"/>
                <w:color w:val="333333"/>
                <w:sz w:val="20"/>
                <w:szCs w:val="20"/>
              </w:rPr>
              <w:t xml:space="preserve">Fabry disease </w:t>
            </w:r>
          </w:p>
        </w:tc>
      </w:tr>
      <w:tr w:rsidR="00E026E5" w:rsidRPr="00446E53" w14:paraId="6C62C1D3"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0ECC2D5" w14:textId="77777777" w:rsidR="00E026E5" w:rsidRPr="00B314E5" w:rsidRDefault="00E026E5">
            <w:pPr>
              <w:jc w:val="center"/>
              <w:rPr>
                <w:rFonts w:ascii="Arial Narrow" w:hAnsi="Arial Narrow"/>
                <w:sz w:val="20"/>
                <w:szCs w:val="20"/>
              </w:rPr>
            </w:pPr>
          </w:p>
        </w:tc>
        <w:tc>
          <w:tcPr>
            <w:tcW w:w="7745" w:type="dxa"/>
            <w:gridSpan w:val="6"/>
            <w:vAlign w:val="center"/>
          </w:tcPr>
          <w:p w14:paraId="65FB1508" w14:textId="77777777" w:rsidR="00E026E5" w:rsidRPr="00B314E5" w:rsidRDefault="00E026E5">
            <w:pPr>
              <w:jc w:val="left"/>
              <w:rPr>
                <w:rFonts w:ascii="Arial Narrow" w:hAnsi="Arial Narrow" w:cs="Arial Narrow"/>
                <w:iCs/>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Pr>
                <w:rFonts w:ascii="Arial Narrow" w:hAnsi="Arial Narrow"/>
                <w:sz w:val="20"/>
                <w:szCs w:val="20"/>
              </w:rPr>
              <w:t xml:space="preserve">Grandfather </w:t>
            </w:r>
            <w:r w:rsidRPr="00EC678F">
              <w:rPr>
                <w:rFonts w:ascii="Arial Narrow" w:hAnsi="Arial Narrow"/>
                <w:sz w:val="20"/>
                <w:szCs w:val="20"/>
              </w:rPr>
              <w:t>arrangement</w:t>
            </w:r>
            <w:r w:rsidRPr="000A75BA">
              <w:rPr>
                <w:rFonts w:ascii="Arial Narrow" w:hAnsi="Arial Narrow"/>
                <w:sz w:val="20"/>
                <w:szCs w:val="20"/>
              </w:rPr>
              <w:t xml:space="preserve"> </w:t>
            </w:r>
            <w:r>
              <w:rPr>
                <w:rFonts w:ascii="Arial Narrow" w:hAnsi="Arial Narrow"/>
                <w:sz w:val="20"/>
                <w:szCs w:val="20"/>
              </w:rPr>
              <w:t>(transition from LSDP-funded Fabry disease therapy)</w:t>
            </w:r>
          </w:p>
        </w:tc>
      </w:tr>
      <w:tr w:rsidR="00E026E5" w:rsidRPr="00446E53" w14:paraId="282E8E6A"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3B2A767" w14:textId="537631F7" w:rsidR="00E026E5" w:rsidRPr="00B314E5" w:rsidRDefault="00E026E5">
            <w:pPr>
              <w:jc w:val="center"/>
              <w:rPr>
                <w:rFonts w:ascii="Arial Narrow" w:hAnsi="Arial Narrow"/>
                <w:sz w:val="20"/>
                <w:szCs w:val="20"/>
              </w:rPr>
            </w:pPr>
          </w:p>
        </w:tc>
        <w:tc>
          <w:tcPr>
            <w:tcW w:w="7745" w:type="dxa"/>
            <w:gridSpan w:val="6"/>
            <w:vAlign w:val="center"/>
          </w:tcPr>
          <w:p w14:paraId="17CCD5B0" w14:textId="77777777" w:rsidR="00E026E5" w:rsidRPr="00B314E5" w:rsidRDefault="00E026E5">
            <w:pPr>
              <w:jc w:val="left"/>
              <w:rPr>
                <w:rFonts w:ascii="Arial Narrow" w:hAnsi="Arial Narrow" w:cs="Arial Narrow"/>
                <w:iCs/>
                <w:sz w:val="20"/>
                <w:szCs w:val="20"/>
              </w:rPr>
            </w:pPr>
            <w:r w:rsidRPr="00446E53">
              <w:rPr>
                <w:rFonts w:ascii="Arial Narrow" w:hAnsi="Arial Narrow"/>
                <w:b/>
                <w:bCs/>
                <w:color w:val="333333"/>
                <w:sz w:val="20"/>
                <w:szCs w:val="20"/>
              </w:rPr>
              <w:t xml:space="preserve">Clinical criteria: </w:t>
            </w:r>
          </w:p>
        </w:tc>
      </w:tr>
      <w:tr w:rsidR="00E026E5" w:rsidRPr="00446E53" w14:paraId="4DD70808"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D1A4B4E" w14:textId="7867C611" w:rsidR="00E026E5" w:rsidRPr="00B314E5" w:rsidRDefault="00E026E5">
            <w:pPr>
              <w:jc w:val="center"/>
              <w:rPr>
                <w:rFonts w:ascii="Arial Narrow" w:hAnsi="Arial Narrow"/>
                <w:sz w:val="20"/>
                <w:szCs w:val="20"/>
              </w:rPr>
            </w:pPr>
          </w:p>
        </w:tc>
        <w:tc>
          <w:tcPr>
            <w:tcW w:w="7745" w:type="dxa"/>
            <w:gridSpan w:val="6"/>
            <w:vAlign w:val="center"/>
          </w:tcPr>
          <w:p w14:paraId="14C7BE2A" w14:textId="77777777" w:rsidR="00E026E5" w:rsidRPr="009103B5" w:rsidRDefault="00E026E5">
            <w:pPr>
              <w:jc w:val="left"/>
              <w:rPr>
                <w:rFonts w:ascii="Arial Narrow" w:hAnsi="Arial Narrow" w:cs="Arial Narrow"/>
                <w:sz w:val="20"/>
                <w:szCs w:val="20"/>
              </w:rPr>
            </w:pPr>
            <w:r w:rsidRPr="009103B5">
              <w:rPr>
                <w:rFonts w:ascii="Arial Narrow" w:hAnsi="Arial Narrow"/>
                <w:color w:val="333333"/>
                <w:sz w:val="20"/>
                <w:szCs w:val="20"/>
              </w:rPr>
              <w:t>Patient must have previously received treatment with enzyme replacement therapy for this condition funded under the Australian Government’s Life Saving Drugs Program (LSDP) prior to [PBS listing date].</w:t>
            </w:r>
          </w:p>
        </w:tc>
      </w:tr>
      <w:tr w:rsidR="00E026E5" w:rsidRPr="00446E53" w14:paraId="58B0272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E3FE847" w14:textId="77777777" w:rsidR="00E026E5" w:rsidRPr="009103B5" w:rsidRDefault="00E026E5">
            <w:pPr>
              <w:jc w:val="center"/>
              <w:rPr>
                <w:rFonts w:ascii="Arial Narrow" w:hAnsi="Arial Narrow"/>
                <w:sz w:val="20"/>
                <w:szCs w:val="20"/>
              </w:rPr>
            </w:pPr>
          </w:p>
        </w:tc>
        <w:tc>
          <w:tcPr>
            <w:tcW w:w="7745" w:type="dxa"/>
            <w:gridSpan w:val="6"/>
            <w:vAlign w:val="center"/>
          </w:tcPr>
          <w:p w14:paraId="74BED9A3" w14:textId="77777777" w:rsidR="00E026E5" w:rsidRPr="009103B5" w:rsidRDefault="00E026E5">
            <w:pPr>
              <w:jc w:val="left"/>
              <w:rPr>
                <w:rFonts w:ascii="Arial Narrow" w:hAnsi="Arial Narrow"/>
                <w:color w:val="333333"/>
                <w:sz w:val="20"/>
                <w:szCs w:val="20"/>
              </w:rPr>
            </w:pPr>
            <w:r w:rsidRPr="009103B5">
              <w:rPr>
                <w:rFonts w:ascii="Arial Narrow" w:hAnsi="Arial Narrow" w:cs="Arial Narrow"/>
                <w:b/>
                <w:bCs/>
                <w:sz w:val="20"/>
                <w:szCs w:val="20"/>
              </w:rPr>
              <w:t>AND</w:t>
            </w:r>
          </w:p>
        </w:tc>
      </w:tr>
      <w:tr w:rsidR="00E026E5" w:rsidRPr="00446E53" w14:paraId="45777FEC"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8DA83B0" w14:textId="40266540" w:rsidR="00E026E5" w:rsidRPr="009103B5" w:rsidRDefault="00E026E5">
            <w:pPr>
              <w:jc w:val="center"/>
              <w:rPr>
                <w:rFonts w:ascii="Arial Narrow" w:hAnsi="Arial Narrow"/>
                <w:sz w:val="20"/>
                <w:szCs w:val="20"/>
              </w:rPr>
            </w:pPr>
          </w:p>
        </w:tc>
        <w:tc>
          <w:tcPr>
            <w:tcW w:w="7745" w:type="dxa"/>
            <w:gridSpan w:val="6"/>
            <w:vAlign w:val="center"/>
          </w:tcPr>
          <w:p w14:paraId="71FB018D" w14:textId="77777777" w:rsidR="00E026E5" w:rsidRPr="009103B5" w:rsidRDefault="00E026E5">
            <w:pPr>
              <w:jc w:val="left"/>
              <w:rPr>
                <w:rFonts w:ascii="Arial Narrow" w:hAnsi="Arial Narrow"/>
                <w:color w:val="333333"/>
                <w:sz w:val="20"/>
                <w:szCs w:val="20"/>
              </w:rPr>
            </w:pPr>
            <w:r w:rsidRPr="009103B5">
              <w:rPr>
                <w:rFonts w:ascii="Arial Narrow" w:hAnsi="Arial Narrow" w:cs="Arial Narrow"/>
                <w:b/>
                <w:bCs/>
                <w:sz w:val="20"/>
                <w:szCs w:val="20"/>
              </w:rPr>
              <w:t>Clinical criteria:</w:t>
            </w:r>
          </w:p>
        </w:tc>
      </w:tr>
      <w:tr w:rsidR="00E026E5" w:rsidRPr="00446E53" w14:paraId="0C5B89A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4736AC3" w14:textId="1C071175" w:rsidR="00E026E5" w:rsidRPr="009103B5" w:rsidRDefault="00E026E5">
            <w:pPr>
              <w:jc w:val="center"/>
              <w:rPr>
                <w:rFonts w:ascii="Arial Narrow" w:hAnsi="Arial Narrow"/>
                <w:sz w:val="20"/>
                <w:szCs w:val="20"/>
              </w:rPr>
            </w:pPr>
          </w:p>
        </w:tc>
        <w:tc>
          <w:tcPr>
            <w:tcW w:w="7745" w:type="dxa"/>
            <w:gridSpan w:val="6"/>
            <w:vAlign w:val="center"/>
          </w:tcPr>
          <w:p w14:paraId="2AD36F24" w14:textId="77777777" w:rsidR="00E026E5" w:rsidRPr="009103B5" w:rsidRDefault="00E026E5">
            <w:pPr>
              <w:jc w:val="left"/>
              <w:rPr>
                <w:rFonts w:ascii="Arial Narrow" w:hAnsi="Arial Narrow"/>
                <w:color w:val="333333"/>
                <w:sz w:val="20"/>
                <w:szCs w:val="20"/>
              </w:rPr>
            </w:pPr>
            <w:r w:rsidRPr="009103B5">
              <w:rPr>
                <w:rFonts w:ascii="Arial Narrow" w:hAnsi="Arial Narrow" w:cs="Arial Narrow"/>
                <w:sz w:val="20"/>
                <w:szCs w:val="20"/>
              </w:rPr>
              <w:t>The treatment must be the sole PBS-subsidised therapy for this condition.</w:t>
            </w:r>
          </w:p>
        </w:tc>
      </w:tr>
      <w:tr w:rsidR="00E026E5" w:rsidRPr="00446E53" w14:paraId="7BDD36E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EBD8445" w14:textId="56357ABD" w:rsidR="00E026E5" w:rsidRPr="009952BE" w:rsidRDefault="00E026E5">
            <w:pPr>
              <w:jc w:val="center"/>
              <w:rPr>
                <w:rFonts w:ascii="Arial Narrow" w:hAnsi="Arial Narrow"/>
                <w:sz w:val="20"/>
                <w:szCs w:val="20"/>
              </w:rPr>
            </w:pPr>
          </w:p>
        </w:tc>
        <w:tc>
          <w:tcPr>
            <w:tcW w:w="7745" w:type="dxa"/>
            <w:gridSpan w:val="6"/>
            <w:vAlign w:val="center"/>
          </w:tcPr>
          <w:p w14:paraId="37881D6A" w14:textId="77777777" w:rsidR="00E026E5" w:rsidRDefault="00E026E5">
            <w:pPr>
              <w:jc w:val="left"/>
              <w:rPr>
                <w:rFonts w:ascii="Arial Narrow" w:hAnsi="Arial Narrow"/>
                <w:color w:val="333333"/>
                <w:sz w:val="20"/>
                <w:szCs w:val="20"/>
              </w:rPr>
            </w:pPr>
            <w:r w:rsidRPr="00446E53">
              <w:rPr>
                <w:rFonts w:ascii="Arial Narrow" w:hAnsi="Arial Narrow"/>
                <w:b/>
                <w:bCs/>
                <w:color w:val="333333"/>
                <w:sz w:val="20"/>
                <w:szCs w:val="20"/>
              </w:rPr>
              <w:t>Treatment criteria:</w:t>
            </w:r>
          </w:p>
        </w:tc>
      </w:tr>
      <w:tr w:rsidR="00E026E5" w:rsidRPr="00446E53" w14:paraId="77828726"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08F71F6" w14:textId="5CB27834" w:rsidR="00E026E5" w:rsidRPr="009952BE" w:rsidRDefault="00E026E5">
            <w:pPr>
              <w:jc w:val="center"/>
              <w:rPr>
                <w:rFonts w:ascii="Arial Narrow" w:hAnsi="Arial Narrow"/>
                <w:sz w:val="20"/>
                <w:szCs w:val="20"/>
              </w:rPr>
            </w:pPr>
          </w:p>
        </w:tc>
        <w:tc>
          <w:tcPr>
            <w:tcW w:w="7745" w:type="dxa"/>
            <w:gridSpan w:val="6"/>
            <w:vAlign w:val="center"/>
          </w:tcPr>
          <w:p w14:paraId="4A13DFEE" w14:textId="77777777" w:rsidR="00E026E5" w:rsidRDefault="00E026E5">
            <w:pPr>
              <w:jc w:val="left"/>
              <w:rPr>
                <w:rFonts w:ascii="Arial Narrow" w:hAnsi="Arial Narrow"/>
                <w:color w:val="333333"/>
                <w:sz w:val="20"/>
                <w:szCs w:val="20"/>
              </w:rPr>
            </w:pPr>
            <w:r w:rsidRPr="00B314E5">
              <w:rPr>
                <w:rFonts w:ascii="Arial Narrow" w:hAnsi="Arial Narrow" w:cs="Arial Narrow"/>
                <w:iCs/>
                <w:sz w:val="20"/>
                <w:szCs w:val="20"/>
              </w:rPr>
              <w:t>Must be treated by a physician with expertise in the management of Fabry disease</w:t>
            </w:r>
          </w:p>
        </w:tc>
      </w:tr>
      <w:tr w:rsidR="00E026E5" w:rsidRPr="00446E53" w14:paraId="713310D2"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587A6E7" w14:textId="45BA5109" w:rsidR="00E026E5" w:rsidRPr="00CF17F7" w:rsidRDefault="00E026E5">
            <w:pPr>
              <w:jc w:val="center"/>
              <w:rPr>
                <w:rFonts w:ascii="Arial Narrow" w:hAnsi="Arial Narrow"/>
                <w:sz w:val="20"/>
                <w:szCs w:val="20"/>
              </w:rPr>
            </w:pPr>
          </w:p>
        </w:tc>
        <w:tc>
          <w:tcPr>
            <w:tcW w:w="7745" w:type="dxa"/>
            <w:gridSpan w:val="6"/>
            <w:vAlign w:val="center"/>
          </w:tcPr>
          <w:p w14:paraId="201ACD8D" w14:textId="77777777" w:rsidR="00E026E5" w:rsidRPr="00CF17F7" w:rsidRDefault="00E026E5">
            <w:pPr>
              <w:jc w:val="left"/>
              <w:rPr>
                <w:rFonts w:ascii="Arial Narrow" w:hAnsi="Arial Narrow" w:cs="Arial Narrow"/>
                <w:sz w:val="20"/>
                <w:szCs w:val="20"/>
              </w:rPr>
            </w:pPr>
            <w:r w:rsidRPr="00CF17F7">
              <w:rPr>
                <w:rFonts w:ascii="Arial Narrow" w:hAnsi="Arial Narrow" w:cs="Arial Narrow"/>
                <w:b/>
                <w:bCs/>
                <w:sz w:val="20"/>
                <w:szCs w:val="20"/>
              </w:rPr>
              <w:t>Prescribing Instructions:</w:t>
            </w:r>
          </w:p>
          <w:p w14:paraId="3F4C67B3" w14:textId="77777777" w:rsidR="00E026E5" w:rsidRPr="00CF17F7" w:rsidRDefault="00E026E5">
            <w:pPr>
              <w:jc w:val="left"/>
              <w:rPr>
                <w:rFonts w:ascii="Arial Narrow" w:hAnsi="Arial Narrow" w:cs="Arial Narrow"/>
                <w:sz w:val="20"/>
                <w:szCs w:val="20"/>
              </w:rPr>
            </w:pPr>
            <w:r w:rsidRPr="00CF17F7">
              <w:rPr>
                <w:rFonts w:ascii="Arial Narrow" w:hAnsi="Arial Narrow" w:cs="Arial Narrow"/>
                <w:sz w:val="20"/>
                <w:szCs w:val="20"/>
              </w:rPr>
              <w:t>A patient may qualify for PBS-subsidised treatment under this restriction once only. For continuing PBS-subsidised treatment, a Grandfathered patient must qualify under the Continuing treatment criteria.</w:t>
            </w:r>
          </w:p>
        </w:tc>
      </w:tr>
      <w:tr w:rsidR="00E026E5" w:rsidRPr="00446E53" w14:paraId="65560841"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F193D7A" w14:textId="17C3A090" w:rsidR="00E026E5" w:rsidRPr="005208DD" w:rsidRDefault="00E026E5">
            <w:pPr>
              <w:jc w:val="center"/>
              <w:rPr>
                <w:rFonts w:ascii="Arial Narrow" w:hAnsi="Arial Narrow"/>
                <w:sz w:val="20"/>
                <w:szCs w:val="20"/>
              </w:rPr>
            </w:pPr>
          </w:p>
        </w:tc>
        <w:tc>
          <w:tcPr>
            <w:tcW w:w="7745" w:type="dxa"/>
            <w:gridSpan w:val="6"/>
            <w:vAlign w:val="center"/>
          </w:tcPr>
          <w:p w14:paraId="16584E76" w14:textId="77777777" w:rsidR="00E026E5" w:rsidRPr="005208DD" w:rsidRDefault="00E026E5">
            <w:pPr>
              <w:rPr>
                <w:rFonts w:ascii="Arial Narrow" w:hAnsi="Arial Narrow"/>
                <w:b/>
                <w:bCs/>
                <w:sz w:val="20"/>
                <w:szCs w:val="20"/>
              </w:rPr>
            </w:pPr>
            <w:r w:rsidRPr="005208DD">
              <w:rPr>
                <w:rFonts w:ascii="Arial Narrow" w:hAnsi="Arial Narrow"/>
                <w:b/>
                <w:bCs/>
                <w:sz w:val="20"/>
                <w:szCs w:val="20"/>
              </w:rPr>
              <w:t>Prescribing Instructions:</w:t>
            </w:r>
          </w:p>
          <w:p w14:paraId="54C6AFE0" w14:textId="77777777" w:rsidR="00E026E5" w:rsidRPr="005208DD" w:rsidRDefault="00E026E5">
            <w:pPr>
              <w:jc w:val="left"/>
              <w:rPr>
                <w:rFonts w:ascii="Arial Narrow" w:hAnsi="Arial Narrow" w:cs="Arial Narrow"/>
                <w:sz w:val="20"/>
                <w:szCs w:val="20"/>
              </w:rPr>
            </w:pPr>
            <w:r w:rsidRPr="005208DD">
              <w:rPr>
                <w:rFonts w:ascii="Arial Narrow" w:hAnsi="Arial Narrow"/>
                <w:sz w:val="20"/>
                <w:szCs w:val="20"/>
              </w:rPr>
              <w:t>Confirmation of eligibility for treatment with diagnostic reports including the confirmed mutations must be documented in the patient's medical records.</w:t>
            </w:r>
          </w:p>
        </w:tc>
      </w:tr>
      <w:tr w:rsidR="00E026E5" w:rsidRPr="00446E53" w14:paraId="682584B0"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9EC2E68" w14:textId="15BA55C7" w:rsidR="00E026E5" w:rsidRPr="005208DD" w:rsidRDefault="00E026E5">
            <w:pPr>
              <w:jc w:val="center"/>
              <w:rPr>
                <w:rFonts w:ascii="Arial Narrow" w:hAnsi="Arial Narrow"/>
                <w:sz w:val="20"/>
                <w:szCs w:val="20"/>
              </w:rPr>
            </w:pPr>
          </w:p>
        </w:tc>
        <w:tc>
          <w:tcPr>
            <w:tcW w:w="7745" w:type="dxa"/>
            <w:gridSpan w:val="6"/>
            <w:vAlign w:val="center"/>
          </w:tcPr>
          <w:p w14:paraId="54BD25D8" w14:textId="77777777" w:rsidR="00E026E5" w:rsidRPr="005208DD" w:rsidRDefault="00E026E5">
            <w:pPr>
              <w:rPr>
                <w:rFonts w:ascii="Arial Narrow" w:hAnsi="Arial Narrow"/>
                <w:b/>
                <w:bCs/>
                <w:sz w:val="20"/>
                <w:szCs w:val="20"/>
              </w:rPr>
            </w:pPr>
            <w:r w:rsidRPr="005208DD">
              <w:rPr>
                <w:rFonts w:ascii="Arial Narrow" w:hAnsi="Arial Narrow"/>
                <w:b/>
                <w:bCs/>
                <w:sz w:val="20"/>
                <w:szCs w:val="20"/>
              </w:rPr>
              <w:t>Prescribing Instructions:</w:t>
            </w:r>
          </w:p>
          <w:p w14:paraId="7761B60B" w14:textId="603C2D8E" w:rsidR="00E026E5" w:rsidRPr="005208DD" w:rsidRDefault="00E026E5">
            <w:pPr>
              <w:rPr>
                <w:rFonts w:ascii="Arial Narrow" w:hAnsi="Arial Narrow"/>
                <w:sz w:val="20"/>
                <w:szCs w:val="20"/>
              </w:rPr>
            </w:pPr>
            <w:r w:rsidRPr="005208DD">
              <w:rPr>
                <w:rFonts w:ascii="Arial Narrow" w:hAnsi="Arial Narrow"/>
                <w:sz w:val="20"/>
                <w:szCs w:val="20"/>
              </w:rPr>
              <w:t xml:space="preserve">The authority application must be made </w:t>
            </w:r>
            <w:r w:rsidR="002C53F3">
              <w:rPr>
                <w:rFonts w:ascii="Arial Narrow" w:hAnsi="Arial Narrow"/>
                <w:sz w:val="20"/>
                <w:szCs w:val="20"/>
              </w:rPr>
              <w:t xml:space="preserve">via the Online PBS Authorities System, or </w:t>
            </w:r>
            <w:r w:rsidRPr="005208DD">
              <w:rPr>
                <w:rFonts w:ascii="Arial Narrow" w:hAnsi="Arial Narrow"/>
                <w:sz w:val="20"/>
                <w:szCs w:val="20"/>
              </w:rPr>
              <w:t>in writing</w:t>
            </w:r>
            <w:r w:rsidR="002C53F3">
              <w:rPr>
                <w:rFonts w:ascii="Arial Narrow" w:hAnsi="Arial Narrow"/>
                <w:sz w:val="20"/>
                <w:szCs w:val="20"/>
              </w:rPr>
              <w:t xml:space="preserve"> via HPOS form upload or mail and must include</w:t>
            </w:r>
            <w:r w:rsidRPr="005208DD">
              <w:rPr>
                <w:rFonts w:ascii="Arial Narrow" w:hAnsi="Arial Narrow"/>
                <w:sz w:val="20"/>
                <w:szCs w:val="20"/>
              </w:rPr>
              <w:t xml:space="preserve"> and must include:</w:t>
            </w:r>
          </w:p>
          <w:p w14:paraId="7A91B762" w14:textId="524F2C2A" w:rsidR="00E026E5" w:rsidRPr="005208DD" w:rsidRDefault="00E026E5">
            <w:pPr>
              <w:rPr>
                <w:rFonts w:ascii="Arial Narrow" w:hAnsi="Arial Narrow"/>
                <w:sz w:val="20"/>
                <w:szCs w:val="20"/>
              </w:rPr>
            </w:pPr>
            <w:r w:rsidRPr="005208DD">
              <w:rPr>
                <w:rFonts w:ascii="Arial Narrow" w:hAnsi="Arial Narrow"/>
                <w:sz w:val="20"/>
                <w:szCs w:val="20"/>
              </w:rPr>
              <w:t>(1) details of the proposed prescription</w:t>
            </w:r>
            <w:r w:rsidR="002C53F3">
              <w:rPr>
                <w:rFonts w:ascii="Arial Narrow" w:hAnsi="Arial Narrow"/>
                <w:sz w:val="20"/>
                <w:szCs w:val="20"/>
              </w:rPr>
              <w:t>(s)</w:t>
            </w:r>
            <w:r w:rsidRPr="005208DD">
              <w:rPr>
                <w:rFonts w:ascii="Arial Narrow" w:hAnsi="Arial Narrow"/>
                <w:sz w:val="20"/>
                <w:szCs w:val="20"/>
              </w:rPr>
              <w:t>; and</w:t>
            </w:r>
          </w:p>
          <w:p w14:paraId="43352050" w14:textId="77777777" w:rsidR="00E026E5" w:rsidRPr="005208DD" w:rsidRDefault="00E026E5">
            <w:pPr>
              <w:jc w:val="left"/>
              <w:rPr>
                <w:rFonts w:ascii="Arial Narrow" w:hAnsi="Arial Narrow" w:cs="Arial Narrow"/>
                <w:sz w:val="20"/>
                <w:szCs w:val="20"/>
              </w:rPr>
            </w:pPr>
            <w:r w:rsidRPr="005208D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E026E5" w:rsidRPr="00446E53" w14:paraId="57756DBB"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70BAB6C" w14:textId="77777777" w:rsidR="00E026E5" w:rsidRPr="005208DD" w:rsidRDefault="00E026E5">
            <w:pPr>
              <w:jc w:val="center"/>
              <w:rPr>
                <w:rFonts w:ascii="Arial Narrow" w:hAnsi="Arial Narrow"/>
                <w:sz w:val="20"/>
                <w:szCs w:val="20"/>
              </w:rPr>
            </w:pPr>
          </w:p>
        </w:tc>
        <w:tc>
          <w:tcPr>
            <w:tcW w:w="7745" w:type="dxa"/>
            <w:gridSpan w:val="6"/>
            <w:vAlign w:val="center"/>
          </w:tcPr>
          <w:p w14:paraId="75BC352F" w14:textId="77777777" w:rsidR="00E026E5" w:rsidRPr="00336E53" w:rsidRDefault="00E026E5">
            <w:pPr>
              <w:rPr>
                <w:rFonts w:ascii="Arial Narrow" w:hAnsi="Arial Narrow"/>
                <w:b/>
                <w:bCs/>
                <w:sz w:val="20"/>
                <w:szCs w:val="20"/>
              </w:rPr>
            </w:pPr>
            <w:r w:rsidRPr="00336E53">
              <w:rPr>
                <w:rFonts w:ascii="Arial Narrow" w:hAnsi="Arial Narrow"/>
                <w:b/>
                <w:bCs/>
                <w:sz w:val="20"/>
                <w:szCs w:val="20"/>
              </w:rPr>
              <w:t>Prescribing Instructions:</w:t>
            </w:r>
          </w:p>
          <w:p w14:paraId="50513BF1" w14:textId="77777777" w:rsidR="00E026E5" w:rsidRPr="00CB341C" w:rsidRDefault="00E026E5">
            <w:pPr>
              <w:rPr>
                <w:rFonts w:ascii="Arial Narrow" w:hAnsi="Arial Narrow"/>
                <w:sz w:val="20"/>
                <w:szCs w:val="20"/>
              </w:rPr>
            </w:pPr>
            <w:r w:rsidRPr="00336E53">
              <w:rPr>
                <w:rFonts w:ascii="Arial Narrow" w:hAnsi="Arial Narrow"/>
                <w:sz w:val="20"/>
                <w:szCs w:val="20"/>
              </w:rPr>
              <w:t xml:space="preserve">At the time of authority application, prescribers must request the appropriate number of vials, based on the weight of the patient, to provide sufficient drug for 4 weeks of treatment at the dosage regimen specified in the approved Therapeutic Goods Administration (TGA) Product Information (PI). </w:t>
            </w:r>
          </w:p>
        </w:tc>
      </w:tr>
      <w:tr w:rsidR="00E026E5" w:rsidRPr="00446E53" w14:paraId="3D2974E9"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EFF8F53" w14:textId="060BA0A3" w:rsidR="00E026E5" w:rsidRPr="00CF17F7" w:rsidRDefault="00E026E5">
            <w:pPr>
              <w:jc w:val="center"/>
              <w:rPr>
                <w:rFonts w:ascii="Arial Narrow" w:hAnsi="Arial Narrow"/>
                <w:color w:val="333333"/>
                <w:sz w:val="20"/>
                <w:szCs w:val="20"/>
              </w:rPr>
            </w:pPr>
          </w:p>
        </w:tc>
        <w:tc>
          <w:tcPr>
            <w:tcW w:w="7745" w:type="dxa"/>
            <w:gridSpan w:val="6"/>
            <w:vAlign w:val="center"/>
          </w:tcPr>
          <w:p w14:paraId="3D2A4EAD" w14:textId="77777777" w:rsidR="00E026E5" w:rsidRPr="00CF17F7" w:rsidRDefault="00E026E5">
            <w:pPr>
              <w:rPr>
                <w:rFonts w:ascii="Arial Narrow" w:hAnsi="Arial Narrow"/>
                <w:b/>
                <w:bCs/>
                <w:sz w:val="20"/>
                <w:szCs w:val="20"/>
              </w:rPr>
            </w:pPr>
            <w:r w:rsidRPr="00CF17F7">
              <w:rPr>
                <w:rFonts w:ascii="Arial Narrow" w:hAnsi="Arial Narrow"/>
                <w:b/>
                <w:bCs/>
                <w:sz w:val="20"/>
                <w:szCs w:val="20"/>
              </w:rPr>
              <w:t>Administrative Advice:</w:t>
            </w:r>
          </w:p>
          <w:p w14:paraId="1B190F6D" w14:textId="77777777" w:rsidR="00E026E5" w:rsidRDefault="00E026E5">
            <w:pPr>
              <w:rPr>
                <w:rFonts w:ascii="Arial Narrow" w:hAnsi="Arial Narrow"/>
                <w:sz w:val="20"/>
                <w:szCs w:val="20"/>
              </w:rPr>
            </w:pPr>
            <w:r w:rsidRPr="007B52DA">
              <w:rPr>
                <w:rFonts w:ascii="Arial Narrow" w:hAnsi="Arial Narrow"/>
                <w:sz w:val="20"/>
                <w:szCs w:val="20"/>
              </w:rPr>
              <w:t>Any queries concerning the arrangements to prescribe may be directed to Services Australia on 1800 700 270 (hours of operation 8 a.m. to 5 p.m. Monday to Friday).</w:t>
            </w:r>
          </w:p>
          <w:p w14:paraId="2B719480" w14:textId="77777777" w:rsidR="00E026E5" w:rsidRPr="007B52DA" w:rsidRDefault="00E026E5">
            <w:pPr>
              <w:rPr>
                <w:rFonts w:ascii="Arial Narrow" w:hAnsi="Arial Narrow"/>
                <w:sz w:val="20"/>
                <w:szCs w:val="20"/>
              </w:rPr>
            </w:pPr>
          </w:p>
          <w:p w14:paraId="3F5ACC6A" w14:textId="77777777" w:rsidR="00E026E5" w:rsidRPr="00B23652" w:rsidRDefault="00E026E5">
            <w:pPr>
              <w:rPr>
                <w:rFonts w:ascii="Arial Narrow" w:hAnsi="Arial Narrow"/>
                <w:sz w:val="20"/>
                <w:szCs w:val="20"/>
              </w:rPr>
            </w:pPr>
            <w:r w:rsidRPr="007B52DA">
              <w:rPr>
                <w:rFonts w:ascii="Arial Narrow" w:hAnsi="Arial Narrow"/>
                <w:sz w:val="20"/>
                <w:szCs w:val="20"/>
              </w:rPr>
              <w:t xml:space="preserve">Prescribing information (including </w:t>
            </w:r>
            <w:r w:rsidRPr="00B23652">
              <w:rPr>
                <w:rFonts w:ascii="Arial Narrow" w:hAnsi="Arial Narrow"/>
                <w:sz w:val="20"/>
                <w:szCs w:val="20"/>
              </w:rPr>
              <w:t xml:space="preserve">Authority Application forms and other relevant documentation as applicable) is available on the Services Australia website at </w:t>
            </w:r>
            <w:hyperlink r:id="rId24" w:history="1">
              <w:r w:rsidRPr="00B23652">
                <w:rPr>
                  <w:rStyle w:val="Hyperlink"/>
                  <w:rFonts w:ascii="Arial Narrow" w:hAnsi="Arial Narrow"/>
                  <w:color w:val="auto"/>
                  <w:sz w:val="20"/>
                  <w:szCs w:val="20"/>
                </w:rPr>
                <w:t>www.servicesaustralia.gov.au</w:t>
              </w:r>
            </w:hyperlink>
          </w:p>
          <w:p w14:paraId="1960D727" w14:textId="77777777" w:rsidR="00E026E5" w:rsidRPr="00B23652" w:rsidRDefault="00E026E5">
            <w:pPr>
              <w:rPr>
                <w:rFonts w:ascii="Arial Narrow" w:hAnsi="Arial Narrow"/>
                <w:sz w:val="20"/>
                <w:szCs w:val="20"/>
              </w:rPr>
            </w:pPr>
          </w:p>
          <w:p w14:paraId="332AA213" w14:textId="77777777" w:rsidR="00E026E5" w:rsidRPr="00B23652" w:rsidRDefault="00E026E5">
            <w:pPr>
              <w:rPr>
                <w:rFonts w:ascii="Arial Narrow" w:hAnsi="Arial Narrow"/>
                <w:sz w:val="20"/>
                <w:szCs w:val="20"/>
              </w:rPr>
            </w:pPr>
            <w:r w:rsidRPr="00B23652">
              <w:rPr>
                <w:rFonts w:ascii="Arial Narrow" w:hAnsi="Arial Narrow"/>
                <w:sz w:val="20"/>
                <w:szCs w:val="20"/>
              </w:rPr>
              <w:t xml:space="preserve">Applications for authorisation under this restriction should be made using the Online PBS Authorities system (see </w:t>
            </w:r>
            <w:hyperlink r:id="rId25" w:history="1">
              <w:r w:rsidRPr="00B23652">
                <w:rPr>
                  <w:rStyle w:val="Hyperlink"/>
                  <w:rFonts w:ascii="Arial Narrow" w:hAnsi="Arial Narrow"/>
                  <w:color w:val="auto"/>
                  <w:sz w:val="20"/>
                  <w:szCs w:val="20"/>
                </w:rPr>
                <w:t>www.servicesaustralia.gov.au/hpos</w:t>
              </w:r>
            </w:hyperlink>
            <w:r w:rsidRPr="00B23652">
              <w:rPr>
                <w:rFonts w:ascii="Arial Narrow" w:hAnsi="Arial Narrow"/>
                <w:sz w:val="20"/>
                <w:szCs w:val="20"/>
              </w:rPr>
              <w:t>)</w:t>
            </w:r>
          </w:p>
          <w:p w14:paraId="05988182" w14:textId="77777777" w:rsidR="00E026E5" w:rsidRPr="00B23652" w:rsidRDefault="00E026E5">
            <w:pPr>
              <w:rPr>
                <w:rFonts w:ascii="Arial Narrow" w:hAnsi="Arial Narrow"/>
                <w:sz w:val="20"/>
                <w:szCs w:val="20"/>
              </w:rPr>
            </w:pPr>
          </w:p>
          <w:p w14:paraId="46ACFA18" w14:textId="77777777" w:rsidR="00E026E5" w:rsidRPr="00B23652" w:rsidRDefault="00E026E5">
            <w:pPr>
              <w:rPr>
                <w:rFonts w:ascii="Arial Narrow" w:hAnsi="Arial Narrow"/>
                <w:sz w:val="20"/>
                <w:szCs w:val="20"/>
              </w:rPr>
            </w:pPr>
            <w:proofErr w:type="gramStart"/>
            <w:r w:rsidRPr="00B23652">
              <w:rPr>
                <w:rFonts w:ascii="Arial Narrow" w:hAnsi="Arial Narrow"/>
                <w:sz w:val="20"/>
                <w:szCs w:val="20"/>
              </w:rPr>
              <w:t>Alternatively</w:t>
            </w:r>
            <w:proofErr w:type="gramEnd"/>
            <w:r w:rsidRPr="00B23652">
              <w:rPr>
                <w:rFonts w:ascii="Arial Narrow" w:hAnsi="Arial Narrow"/>
                <w:sz w:val="20"/>
                <w:szCs w:val="20"/>
              </w:rPr>
              <w:t xml:space="preserve"> applications for authority to prescribe can be submitted online using the form upload facility in Health Professional Online Services (HPOS) at </w:t>
            </w:r>
            <w:hyperlink r:id="rId26" w:history="1">
              <w:r w:rsidRPr="00B23652">
                <w:rPr>
                  <w:rStyle w:val="Hyperlink"/>
                  <w:rFonts w:ascii="Arial Narrow" w:hAnsi="Arial Narrow"/>
                  <w:color w:val="auto"/>
                  <w:sz w:val="20"/>
                  <w:szCs w:val="20"/>
                </w:rPr>
                <w:t>www.servicesaustralia.gov.au/hpos</w:t>
              </w:r>
            </w:hyperlink>
          </w:p>
          <w:p w14:paraId="75034873" w14:textId="77777777" w:rsidR="00E026E5" w:rsidRPr="00B23652" w:rsidRDefault="00E026E5">
            <w:pPr>
              <w:rPr>
                <w:rFonts w:ascii="Arial Narrow" w:hAnsi="Arial Narrow"/>
                <w:sz w:val="20"/>
                <w:szCs w:val="20"/>
              </w:rPr>
            </w:pPr>
          </w:p>
          <w:p w14:paraId="19FF6CE6" w14:textId="77777777" w:rsidR="00E026E5" w:rsidRPr="00B23652" w:rsidRDefault="00E026E5">
            <w:pPr>
              <w:rPr>
                <w:rFonts w:ascii="Arial Narrow" w:hAnsi="Arial Narrow"/>
                <w:sz w:val="20"/>
                <w:szCs w:val="20"/>
              </w:rPr>
            </w:pPr>
            <w:r w:rsidRPr="00B23652">
              <w:rPr>
                <w:rFonts w:ascii="Arial Narrow" w:hAnsi="Arial Narrow"/>
                <w:sz w:val="20"/>
                <w:szCs w:val="20"/>
              </w:rPr>
              <w:t>Or mailed to:</w:t>
            </w:r>
          </w:p>
          <w:p w14:paraId="7701769D" w14:textId="77777777" w:rsidR="00E026E5" w:rsidRPr="00B23652" w:rsidRDefault="00E026E5">
            <w:pPr>
              <w:rPr>
                <w:rFonts w:ascii="Arial Narrow" w:hAnsi="Arial Narrow"/>
                <w:sz w:val="20"/>
                <w:szCs w:val="20"/>
              </w:rPr>
            </w:pPr>
            <w:r w:rsidRPr="00B23652">
              <w:rPr>
                <w:rFonts w:ascii="Arial Narrow" w:hAnsi="Arial Narrow"/>
                <w:sz w:val="20"/>
                <w:szCs w:val="20"/>
              </w:rPr>
              <w:t>Services Australia</w:t>
            </w:r>
          </w:p>
          <w:p w14:paraId="0E3054AF" w14:textId="77777777" w:rsidR="00E026E5" w:rsidRPr="007B52DA" w:rsidRDefault="00E026E5">
            <w:pPr>
              <w:rPr>
                <w:rFonts w:ascii="Arial Narrow" w:hAnsi="Arial Narrow"/>
                <w:sz w:val="20"/>
                <w:szCs w:val="20"/>
              </w:rPr>
            </w:pPr>
            <w:r w:rsidRPr="007B52DA">
              <w:rPr>
                <w:rFonts w:ascii="Arial Narrow" w:hAnsi="Arial Narrow"/>
                <w:sz w:val="20"/>
                <w:szCs w:val="20"/>
              </w:rPr>
              <w:t>Complex Drugs</w:t>
            </w:r>
          </w:p>
          <w:p w14:paraId="6F2D638F" w14:textId="77777777" w:rsidR="00E026E5" w:rsidRPr="007B52DA" w:rsidRDefault="00E026E5">
            <w:pPr>
              <w:rPr>
                <w:rFonts w:ascii="Arial Narrow" w:hAnsi="Arial Narrow"/>
                <w:sz w:val="20"/>
                <w:szCs w:val="20"/>
              </w:rPr>
            </w:pPr>
            <w:r w:rsidRPr="007B52DA">
              <w:rPr>
                <w:rFonts w:ascii="Arial Narrow" w:hAnsi="Arial Narrow"/>
                <w:sz w:val="20"/>
                <w:szCs w:val="20"/>
              </w:rPr>
              <w:t>Reply Paid 9826</w:t>
            </w:r>
          </w:p>
          <w:p w14:paraId="3B5168AC" w14:textId="77777777" w:rsidR="00E026E5" w:rsidRPr="007B52DA" w:rsidRDefault="00E026E5">
            <w:pPr>
              <w:rPr>
                <w:rFonts w:ascii="Arial Narrow" w:hAnsi="Arial Narrow"/>
                <w:sz w:val="20"/>
                <w:szCs w:val="20"/>
              </w:rPr>
            </w:pPr>
            <w:r w:rsidRPr="007B52DA">
              <w:rPr>
                <w:rFonts w:ascii="Arial Narrow" w:hAnsi="Arial Narrow"/>
                <w:sz w:val="20"/>
                <w:szCs w:val="20"/>
              </w:rPr>
              <w:t>HOBART TAS 7001</w:t>
            </w:r>
          </w:p>
        </w:tc>
      </w:tr>
      <w:tr w:rsidR="006A27A5" w:rsidRPr="00446E53" w14:paraId="0D8C1553" w14:textId="77777777">
        <w:tblPrEx>
          <w:tblCellMar>
            <w:top w:w="15" w:type="dxa"/>
            <w:bottom w:w="15" w:type="dxa"/>
          </w:tblCellMar>
          <w:tblLook w:val="04A0" w:firstRow="1" w:lastRow="0" w:firstColumn="1" w:lastColumn="0" w:noHBand="0" w:noVBand="1"/>
        </w:tblPrEx>
        <w:trPr>
          <w:cantSplit/>
          <w:trHeight w:val="20"/>
        </w:trPr>
        <w:tc>
          <w:tcPr>
            <w:tcW w:w="9022" w:type="dxa"/>
            <w:gridSpan w:val="7"/>
          </w:tcPr>
          <w:p w14:paraId="0CF77179" w14:textId="77777777" w:rsidR="006A27A5" w:rsidRDefault="006A27A5">
            <w:pPr>
              <w:jc w:val="center"/>
              <w:rPr>
                <w:rFonts w:ascii="Arial Narrow" w:hAnsi="Arial Narrow"/>
                <w:color w:val="333333"/>
                <w:sz w:val="20"/>
                <w:szCs w:val="20"/>
              </w:rPr>
            </w:pPr>
          </w:p>
          <w:p w14:paraId="6BFABF5C" w14:textId="77777777" w:rsidR="006A27A5" w:rsidRPr="00CF17F7" w:rsidRDefault="006A27A5">
            <w:pPr>
              <w:rPr>
                <w:rFonts w:ascii="Arial Narrow" w:hAnsi="Arial Narrow"/>
                <w:b/>
                <w:bCs/>
                <w:sz w:val="20"/>
                <w:szCs w:val="20"/>
              </w:rPr>
            </w:pPr>
          </w:p>
        </w:tc>
      </w:tr>
      <w:tr w:rsidR="00E026E5" w:rsidRPr="00446E53" w14:paraId="69AB1280" w14:textId="77777777" w:rsidTr="00A65DE6">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BFBFBF" w:themeFill="background1" w:themeFillShade="BF"/>
          </w:tcPr>
          <w:p w14:paraId="521AD004" w14:textId="77777777" w:rsidR="00E026E5" w:rsidRPr="00CF17F7" w:rsidRDefault="00E026E5">
            <w:pPr>
              <w:rPr>
                <w:rFonts w:ascii="Arial Narrow" w:hAnsi="Arial Narrow"/>
                <w:b/>
                <w:bCs/>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4</w:t>
            </w:r>
            <w:r w:rsidRPr="00446E53">
              <w:rPr>
                <w:rFonts w:ascii="Arial Narrow" w:hAnsi="Arial Narrow"/>
                <w:b/>
                <w:bCs/>
                <w:color w:val="333333"/>
                <w:sz w:val="20"/>
                <w:szCs w:val="20"/>
              </w:rPr>
              <w:t>] / Treatment of Concept: [new</w:t>
            </w:r>
            <w:r>
              <w:rPr>
                <w:rFonts w:ascii="Arial Narrow" w:hAnsi="Arial Narrow"/>
                <w:b/>
                <w:bCs/>
                <w:color w:val="333333"/>
                <w:sz w:val="20"/>
                <w:szCs w:val="20"/>
              </w:rPr>
              <w:t>4A</w:t>
            </w:r>
            <w:r w:rsidRPr="00446E53">
              <w:rPr>
                <w:rFonts w:ascii="Arial Narrow" w:hAnsi="Arial Narrow"/>
                <w:b/>
                <w:bCs/>
                <w:color w:val="333333"/>
                <w:sz w:val="20"/>
                <w:szCs w:val="20"/>
              </w:rPr>
              <w:t>]</w:t>
            </w:r>
          </w:p>
        </w:tc>
      </w:tr>
      <w:tr w:rsidR="00E026E5" w:rsidRPr="00446E53" w14:paraId="596B7D3A"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2F1ABAA" w14:textId="071E3ED2" w:rsidR="00E026E5" w:rsidRPr="00CF17F7" w:rsidRDefault="00E026E5">
            <w:pPr>
              <w:jc w:val="center"/>
              <w:rPr>
                <w:rFonts w:ascii="Arial Narrow" w:hAnsi="Arial Narrow"/>
                <w:color w:val="333333"/>
                <w:sz w:val="20"/>
                <w:szCs w:val="20"/>
              </w:rPr>
            </w:pPr>
          </w:p>
        </w:tc>
        <w:tc>
          <w:tcPr>
            <w:tcW w:w="7745" w:type="dxa"/>
            <w:gridSpan w:val="6"/>
            <w:vAlign w:val="center"/>
          </w:tcPr>
          <w:p w14:paraId="6C537990" w14:textId="77777777" w:rsidR="00E026E5" w:rsidRPr="00CF17F7" w:rsidRDefault="00E026E5">
            <w:pPr>
              <w:rPr>
                <w:rFonts w:ascii="Arial Narrow" w:hAnsi="Arial Narrow"/>
                <w:b/>
                <w:bCs/>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Pr>
                <w:rFonts w:ascii="Arial Narrow" w:hAnsi="Arial Narrow"/>
                <w:color w:val="333333"/>
                <w:sz w:val="20"/>
                <w:szCs w:val="20"/>
              </w:rPr>
              <w:t xml:space="preserve">Fabry disease </w:t>
            </w:r>
          </w:p>
        </w:tc>
      </w:tr>
      <w:tr w:rsidR="00E026E5" w:rsidRPr="00446E53" w14:paraId="71E513D0"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BAFF3EA" w14:textId="77777777" w:rsidR="00E026E5" w:rsidRPr="00CF17F7" w:rsidRDefault="00E026E5">
            <w:pPr>
              <w:jc w:val="center"/>
              <w:rPr>
                <w:rFonts w:ascii="Arial Narrow" w:hAnsi="Arial Narrow"/>
                <w:color w:val="333333"/>
                <w:sz w:val="20"/>
                <w:szCs w:val="20"/>
              </w:rPr>
            </w:pPr>
          </w:p>
        </w:tc>
        <w:tc>
          <w:tcPr>
            <w:tcW w:w="7745" w:type="dxa"/>
            <w:gridSpan w:val="6"/>
            <w:vAlign w:val="center"/>
          </w:tcPr>
          <w:p w14:paraId="782D0350" w14:textId="77777777" w:rsidR="00E026E5" w:rsidRPr="008B4CE6" w:rsidRDefault="00E026E5">
            <w:pPr>
              <w:rPr>
                <w:rFonts w:ascii="Arial Narrow" w:hAnsi="Arial Narrow"/>
                <w:sz w:val="20"/>
                <w:szCs w:val="20"/>
              </w:rPr>
            </w:pPr>
            <w:r w:rsidRPr="00446E53">
              <w:rPr>
                <w:rFonts w:ascii="Arial Narrow" w:hAnsi="Arial Narrow"/>
                <w:b/>
                <w:bCs/>
                <w:color w:val="333333"/>
                <w:sz w:val="20"/>
                <w:szCs w:val="20"/>
              </w:rPr>
              <w:t>Treatment Phase:</w:t>
            </w:r>
            <w:r>
              <w:rPr>
                <w:rFonts w:ascii="Arial Narrow" w:hAnsi="Arial Narrow"/>
                <w:color w:val="333333"/>
                <w:sz w:val="20"/>
                <w:szCs w:val="20"/>
              </w:rPr>
              <w:t xml:space="preserve"> Switching from PBS-subsidised migalastat </w:t>
            </w:r>
          </w:p>
        </w:tc>
      </w:tr>
      <w:tr w:rsidR="00E026E5" w:rsidRPr="00446E53" w14:paraId="4607298C"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C360739" w14:textId="2E5CBB35" w:rsidR="00E026E5" w:rsidRPr="00CF17F7" w:rsidRDefault="00E026E5">
            <w:pPr>
              <w:jc w:val="center"/>
              <w:rPr>
                <w:rFonts w:ascii="Arial Narrow" w:hAnsi="Arial Narrow"/>
                <w:color w:val="333333"/>
                <w:sz w:val="20"/>
                <w:szCs w:val="20"/>
              </w:rPr>
            </w:pPr>
          </w:p>
        </w:tc>
        <w:tc>
          <w:tcPr>
            <w:tcW w:w="7745" w:type="dxa"/>
            <w:gridSpan w:val="6"/>
            <w:vAlign w:val="center"/>
          </w:tcPr>
          <w:p w14:paraId="3FC00EDE" w14:textId="77777777" w:rsidR="00E026E5" w:rsidRPr="005824BE" w:rsidRDefault="00E026E5">
            <w:pPr>
              <w:rPr>
                <w:rFonts w:ascii="Arial Narrow" w:hAnsi="Arial Narrow"/>
                <w:b/>
                <w:bCs/>
                <w:sz w:val="20"/>
                <w:szCs w:val="20"/>
              </w:rPr>
            </w:pPr>
            <w:r>
              <w:rPr>
                <w:rFonts w:ascii="Arial Narrow" w:hAnsi="Arial Narrow"/>
                <w:b/>
                <w:bCs/>
                <w:sz w:val="20"/>
                <w:szCs w:val="20"/>
              </w:rPr>
              <w:t xml:space="preserve">Clinical criteria: </w:t>
            </w:r>
          </w:p>
        </w:tc>
      </w:tr>
      <w:tr w:rsidR="00E026E5" w:rsidRPr="00446E53" w14:paraId="12D42C71"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BD1C3F7" w14:textId="3686AD95" w:rsidR="00E026E5" w:rsidRPr="00CF17F7" w:rsidRDefault="00E026E5">
            <w:pPr>
              <w:jc w:val="center"/>
              <w:rPr>
                <w:rFonts w:ascii="Arial Narrow" w:hAnsi="Arial Narrow"/>
                <w:color w:val="333333"/>
                <w:sz w:val="20"/>
                <w:szCs w:val="20"/>
              </w:rPr>
            </w:pPr>
          </w:p>
        </w:tc>
        <w:tc>
          <w:tcPr>
            <w:tcW w:w="7745" w:type="dxa"/>
            <w:gridSpan w:val="6"/>
            <w:vAlign w:val="center"/>
          </w:tcPr>
          <w:p w14:paraId="5957A7FB" w14:textId="77777777" w:rsidR="00E026E5" w:rsidRPr="005824BE" w:rsidRDefault="00E026E5">
            <w:pPr>
              <w:rPr>
                <w:rFonts w:ascii="Arial Narrow" w:hAnsi="Arial Narrow"/>
                <w:sz w:val="20"/>
                <w:szCs w:val="20"/>
              </w:rPr>
            </w:pPr>
            <w:r>
              <w:rPr>
                <w:rFonts w:ascii="Arial Narrow" w:hAnsi="Arial Narrow"/>
                <w:sz w:val="20"/>
                <w:szCs w:val="20"/>
              </w:rPr>
              <w:t>Patient must have received prior treatment with PBS subsidised migalastat for this condition</w:t>
            </w:r>
          </w:p>
        </w:tc>
      </w:tr>
      <w:tr w:rsidR="00E026E5" w:rsidRPr="00446E53" w14:paraId="0C4821E8"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70B99FDF" w14:textId="77777777" w:rsidR="00E026E5" w:rsidRDefault="00E026E5">
            <w:pPr>
              <w:jc w:val="center"/>
              <w:rPr>
                <w:rFonts w:ascii="Arial Narrow" w:hAnsi="Arial Narrow"/>
                <w:color w:val="333333"/>
                <w:sz w:val="20"/>
                <w:szCs w:val="20"/>
              </w:rPr>
            </w:pPr>
          </w:p>
        </w:tc>
        <w:tc>
          <w:tcPr>
            <w:tcW w:w="7745" w:type="dxa"/>
            <w:gridSpan w:val="6"/>
            <w:vAlign w:val="center"/>
          </w:tcPr>
          <w:p w14:paraId="1C373064" w14:textId="77777777" w:rsidR="00E026E5" w:rsidRDefault="00E026E5">
            <w:pPr>
              <w:rPr>
                <w:rFonts w:ascii="Arial Narrow" w:hAnsi="Arial Narrow"/>
                <w:sz w:val="20"/>
                <w:szCs w:val="20"/>
              </w:rPr>
            </w:pPr>
            <w:r w:rsidRPr="009103B5">
              <w:rPr>
                <w:rFonts w:ascii="Arial Narrow" w:hAnsi="Arial Narrow" w:cs="Arial Narrow"/>
                <w:b/>
                <w:bCs/>
                <w:sz w:val="20"/>
                <w:szCs w:val="20"/>
              </w:rPr>
              <w:t>AND</w:t>
            </w:r>
          </w:p>
        </w:tc>
      </w:tr>
      <w:tr w:rsidR="00E026E5" w:rsidRPr="00446E53" w14:paraId="2791904E"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6496FE3" w14:textId="67BDF1FC" w:rsidR="00E026E5" w:rsidRDefault="00E026E5">
            <w:pPr>
              <w:jc w:val="center"/>
              <w:rPr>
                <w:rFonts w:ascii="Arial Narrow" w:hAnsi="Arial Narrow"/>
                <w:color w:val="333333"/>
                <w:sz w:val="20"/>
                <w:szCs w:val="20"/>
              </w:rPr>
            </w:pPr>
          </w:p>
        </w:tc>
        <w:tc>
          <w:tcPr>
            <w:tcW w:w="7745" w:type="dxa"/>
            <w:gridSpan w:val="6"/>
            <w:vAlign w:val="center"/>
          </w:tcPr>
          <w:p w14:paraId="0A56308F" w14:textId="77777777" w:rsidR="00E026E5" w:rsidRDefault="00E026E5">
            <w:pPr>
              <w:rPr>
                <w:rFonts w:ascii="Arial Narrow" w:hAnsi="Arial Narrow"/>
                <w:sz w:val="20"/>
                <w:szCs w:val="20"/>
              </w:rPr>
            </w:pPr>
            <w:r w:rsidRPr="004C1AF9">
              <w:rPr>
                <w:rFonts w:ascii="Arial Narrow" w:hAnsi="Arial Narrow"/>
                <w:b/>
                <w:bCs/>
                <w:color w:val="333333"/>
                <w:sz w:val="20"/>
                <w:szCs w:val="20"/>
              </w:rPr>
              <w:t xml:space="preserve">Clinical criteria: </w:t>
            </w:r>
          </w:p>
        </w:tc>
      </w:tr>
      <w:tr w:rsidR="00E026E5" w:rsidRPr="00446E53" w14:paraId="1D0087B1"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1659B636" w14:textId="7CF94DF9" w:rsidR="00E026E5" w:rsidRDefault="00E026E5">
            <w:pPr>
              <w:jc w:val="center"/>
              <w:rPr>
                <w:rFonts w:ascii="Arial Narrow" w:hAnsi="Arial Narrow"/>
                <w:color w:val="333333"/>
                <w:sz w:val="20"/>
                <w:szCs w:val="20"/>
              </w:rPr>
            </w:pPr>
          </w:p>
        </w:tc>
        <w:tc>
          <w:tcPr>
            <w:tcW w:w="7745" w:type="dxa"/>
            <w:gridSpan w:val="6"/>
            <w:vAlign w:val="center"/>
          </w:tcPr>
          <w:p w14:paraId="0AB00019" w14:textId="77777777" w:rsidR="00E026E5" w:rsidRDefault="00E026E5">
            <w:pPr>
              <w:rPr>
                <w:rFonts w:ascii="Arial Narrow" w:hAnsi="Arial Narrow"/>
                <w:sz w:val="20"/>
                <w:szCs w:val="20"/>
              </w:rPr>
            </w:pPr>
            <w:r w:rsidRPr="004C1AF9">
              <w:rPr>
                <w:rFonts w:ascii="Arial Narrow" w:hAnsi="Arial Narrow"/>
                <w:color w:val="333333"/>
                <w:sz w:val="20"/>
                <w:szCs w:val="20"/>
              </w:rPr>
              <w:t xml:space="preserve">Patient must not have developed another life threatening/severe disease where long term prognosis is unlikely to be influenced by </w:t>
            </w:r>
            <w:r w:rsidRPr="009103B5">
              <w:rPr>
                <w:rFonts w:ascii="Arial Narrow" w:hAnsi="Arial Narrow"/>
                <w:color w:val="333333"/>
                <w:sz w:val="20"/>
                <w:szCs w:val="20"/>
              </w:rPr>
              <w:t>this drug</w:t>
            </w:r>
            <w:r>
              <w:rPr>
                <w:rFonts w:ascii="Arial Narrow" w:hAnsi="Arial Narrow"/>
                <w:i/>
                <w:iCs/>
                <w:color w:val="333333"/>
                <w:sz w:val="20"/>
                <w:szCs w:val="20"/>
              </w:rPr>
              <w:t xml:space="preserve"> </w:t>
            </w:r>
          </w:p>
        </w:tc>
      </w:tr>
      <w:tr w:rsidR="00E026E5" w:rsidRPr="00446E53" w14:paraId="029C899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8624527" w14:textId="77777777" w:rsidR="00E026E5" w:rsidRPr="00CF17F7" w:rsidRDefault="00E026E5">
            <w:pPr>
              <w:jc w:val="center"/>
              <w:rPr>
                <w:rFonts w:ascii="Arial Narrow" w:hAnsi="Arial Narrow"/>
                <w:color w:val="333333"/>
                <w:sz w:val="20"/>
                <w:szCs w:val="20"/>
              </w:rPr>
            </w:pPr>
          </w:p>
        </w:tc>
        <w:tc>
          <w:tcPr>
            <w:tcW w:w="7745" w:type="dxa"/>
            <w:gridSpan w:val="6"/>
            <w:vAlign w:val="center"/>
          </w:tcPr>
          <w:p w14:paraId="2D03B752" w14:textId="77777777" w:rsidR="00E026E5" w:rsidRPr="00CF17F7" w:rsidRDefault="00E026E5">
            <w:pPr>
              <w:rPr>
                <w:rFonts w:ascii="Arial Narrow" w:hAnsi="Arial Narrow"/>
                <w:b/>
                <w:bCs/>
                <w:sz w:val="20"/>
                <w:szCs w:val="20"/>
              </w:rPr>
            </w:pPr>
            <w:r w:rsidRPr="009103B5">
              <w:rPr>
                <w:rFonts w:ascii="Arial Narrow" w:hAnsi="Arial Narrow" w:cs="Arial Narrow"/>
                <w:b/>
                <w:bCs/>
                <w:sz w:val="20"/>
                <w:szCs w:val="20"/>
              </w:rPr>
              <w:t>AND</w:t>
            </w:r>
          </w:p>
        </w:tc>
      </w:tr>
      <w:tr w:rsidR="00E026E5" w:rsidRPr="00446E53" w14:paraId="6B192AC5"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A569C80" w14:textId="03314C36" w:rsidR="00E026E5" w:rsidRPr="00CF17F7" w:rsidRDefault="00E026E5">
            <w:pPr>
              <w:jc w:val="center"/>
              <w:rPr>
                <w:rFonts w:ascii="Arial Narrow" w:hAnsi="Arial Narrow"/>
                <w:color w:val="333333"/>
                <w:sz w:val="20"/>
                <w:szCs w:val="20"/>
              </w:rPr>
            </w:pPr>
          </w:p>
        </w:tc>
        <w:tc>
          <w:tcPr>
            <w:tcW w:w="7745" w:type="dxa"/>
            <w:gridSpan w:val="6"/>
            <w:vAlign w:val="center"/>
          </w:tcPr>
          <w:p w14:paraId="77BEBB02" w14:textId="77777777" w:rsidR="00E026E5" w:rsidRPr="00CF17F7" w:rsidRDefault="00E026E5">
            <w:pPr>
              <w:rPr>
                <w:rFonts w:ascii="Arial Narrow" w:hAnsi="Arial Narrow"/>
                <w:b/>
                <w:bCs/>
                <w:sz w:val="20"/>
                <w:szCs w:val="20"/>
              </w:rPr>
            </w:pPr>
            <w:r w:rsidRPr="009103B5">
              <w:rPr>
                <w:rFonts w:ascii="Arial Narrow" w:hAnsi="Arial Narrow" w:cs="Arial Narrow"/>
                <w:b/>
                <w:bCs/>
                <w:sz w:val="20"/>
                <w:szCs w:val="20"/>
              </w:rPr>
              <w:t>Clinical criteria:</w:t>
            </w:r>
          </w:p>
        </w:tc>
      </w:tr>
      <w:tr w:rsidR="00E026E5" w:rsidRPr="00446E53" w14:paraId="1AF34C78"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F8AA8E6" w14:textId="154565BF" w:rsidR="00E026E5" w:rsidRPr="00CF17F7" w:rsidRDefault="00E026E5">
            <w:pPr>
              <w:jc w:val="center"/>
              <w:rPr>
                <w:rFonts w:ascii="Arial Narrow" w:hAnsi="Arial Narrow"/>
                <w:color w:val="333333"/>
                <w:sz w:val="20"/>
                <w:szCs w:val="20"/>
              </w:rPr>
            </w:pPr>
          </w:p>
        </w:tc>
        <w:tc>
          <w:tcPr>
            <w:tcW w:w="7745" w:type="dxa"/>
            <w:gridSpan w:val="6"/>
            <w:vAlign w:val="center"/>
          </w:tcPr>
          <w:p w14:paraId="457E5798" w14:textId="77777777" w:rsidR="00E026E5" w:rsidRPr="00CF17F7" w:rsidRDefault="00E026E5">
            <w:pPr>
              <w:rPr>
                <w:rFonts w:ascii="Arial Narrow" w:hAnsi="Arial Narrow"/>
                <w:b/>
                <w:bCs/>
                <w:sz w:val="20"/>
                <w:szCs w:val="20"/>
              </w:rPr>
            </w:pPr>
            <w:r w:rsidRPr="009103B5">
              <w:rPr>
                <w:rFonts w:ascii="Arial Narrow" w:hAnsi="Arial Narrow" w:cs="Arial Narrow"/>
                <w:sz w:val="20"/>
                <w:szCs w:val="20"/>
              </w:rPr>
              <w:t>The treatment must be the sole PBS-subsidised therapy for this condition.</w:t>
            </w:r>
          </w:p>
        </w:tc>
      </w:tr>
      <w:tr w:rsidR="00E026E5" w:rsidRPr="00446E53" w14:paraId="6A7EBC4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02C960CE" w14:textId="77777777" w:rsidR="00E026E5" w:rsidRPr="008C5F0D" w:rsidRDefault="00E026E5">
            <w:pPr>
              <w:jc w:val="center"/>
              <w:rPr>
                <w:rFonts w:ascii="Arial Narrow" w:hAnsi="Arial Narrow"/>
                <w:sz w:val="20"/>
                <w:szCs w:val="20"/>
              </w:rPr>
            </w:pPr>
          </w:p>
        </w:tc>
        <w:tc>
          <w:tcPr>
            <w:tcW w:w="7745" w:type="dxa"/>
            <w:gridSpan w:val="6"/>
            <w:vAlign w:val="center"/>
          </w:tcPr>
          <w:p w14:paraId="02935DB6" w14:textId="77777777" w:rsidR="00E026E5" w:rsidRPr="008C5F0D" w:rsidRDefault="00E026E5">
            <w:pPr>
              <w:rPr>
                <w:rFonts w:ascii="Arial Narrow" w:hAnsi="Arial Narrow"/>
                <w:b/>
                <w:bCs/>
                <w:sz w:val="20"/>
                <w:szCs w:val="20"/>
              </w:rPr>
            </w:pPr>
            <w:r w:rsidRPr="008C5F0D">
              <w:rPr>
                <w:rFonts w:ascii="Arial Narrow" w:hAnsi="Arial Narrow"/>
                <w:b/>
                <w:bCs/>
                <w:sz w:val="20"/>
                <w:szCs w:val="20"/>
              </w:rPr>
              <w:t>AND</w:t>
            </w:r>
          </w:p>
        </w:tc>
      </w:tr>
      <w:tr w:rsidR="00E026E5" w:rsidRPr="00446E53" w14:paraId="18778361" w14:textId="77777777" w:rsidTr="00A65DE6">
        <w:tblPrEx>
          <w:tblCellMar>
            <w:top w:w="15" w:type="dxa"/>
            <w:bottom w:w="15" w:type="dxa"/>
          </w:tblCellMar>
          <w:tblLook w:val="04A0" w:firstRow="1" w:lastRow="0" w:firstColumn="1" w:lastColumn="0" w:noHBand="0" w:noVBand="1"/>
        </w:tblPrEx>
        <w:trPr>
          <w:cantSplit/>
          <w:trHeight w:val="20"/>
        </w:trPr>
        <w:tc>
          <w:tcPr>
            <w:tcW w:w="1277" w:type="dxa"/>
            <w:vAlign w:val="center"/>
          </w:tcPr>
          <w:p w14:paraId="1B0AB4C1" w14:textId="225D17B9" w:rsidR="00E026E5" w:rsidRPr="008C5F0D" w:rsidRDefault="00E026E5">
            <w:pPr>
              <w:jc w:val="center"/>
              <w:rPr>
                <w:rFonts w:ascii="Arial Narrow" w:hAnsi="Arial Narrow"/>
                <w:sz w:val="20"/>
                <w:szCs w:val="20"/>
              </w:rPr>
            </w:pPr>
          </w:p>
        </w:tc>
        <w:tc>
          <w:tcPr>
            <w:tcW w:w="7745" w:type="dxa"/>
            <w:gridSpan w:val="6"/>
            <w:vAlign w:val="center"/>
          </w:tcPr>
          <w:p w14:paraId="04C519B2" w14:textId="77777777" w:rsidR="00E026E5" w:rsidRPr="008C5F0D" w:rsidRDefault="00E026E5">
            <w:pPr>
              <w:rPr>
                <w:rFonts w:ascii="Arial Narrow" w:hAnsi="Arial Narrow"/>
                <w:b/>
                <w:bCs/>
                <w:sz w:val="20"/>
                <w:szCs w:val="20"/>
              </w:rPr>
            </w:pPr>
            <w:r w:rsidRPr="008C5F0D">
              <w:rPr>
                <w:rFonts w:ascii="Arial Narrow" w:hAnsi="Arial Narrow" w:cs="Segoe UI"/>
                <w:b/>
                <w:bCs/>
                <w:sz w:val="20"/>
                <w:szCs w:val="20"/>
              </w:rPr>
              <w:t>Clinical criteria:</w:t>
            </w:r>
          </w:p>
        </w:tc>
      </w:tr>
      <w:tr w:rsidR="00E026E5" w:rsidRPr="00446E53" w14:paraId="53562BD4" w14:textId="77777777" w:rsidTr="00A65DE6">
        <w:tblPrEx>
          <w:tblCellMar>
            <w:top w:w="15" w:type="dxa"/>
            <w:bottom w:w="15" w:type="dxa"/>
          </w:tblCellMar>
          <w:tblLook w:val="04A0" w:firstRow="1" w:lastRow="0" w:firstColumn="1" w:lastColumn="0" w:noHBand="0" w:noVBand="1"/>
        </w:tblPrEx>
        <w:trPr>
          <w:cantSplit/>
          <w:trHeight w:val="20"/>
        </w:trPr>
        <w:tc>
          <w:tcPr>
            <w:tcW w:w="1277" w:type="dxa"/>
            <w:vAlign w:val="center"/>
          </w:tcPr>
          <w:p w14:paraId="3BF7DF2E" w14:textId="6863DBB0" w:rsidR="00E026E5" w:rsidRPr="008C5F0D" w:rsidRDefault="00E026E5">
            <w:pPr>
              <w:jc w:val="center"/>
              <w:rPr>
                <w:rFonts w:ascii="Arial Narrow" w:hAnsi="Arial Narrow"/>
                <w:sz w:val="20"/>
                <w:szCs w:val="20"/>
              </w:rPr>
            </w:pPr>
          </w:p>
        </w:tc>
        <w:tc>
          <w:tcPr>
            <w:tcW w:w="7745" w:type="dxa"/>
            <w:gridSpan w:val="6"/>
            <w:vAlign w:val="center"/>
          </w:tcPr>
          <w:p w14:paraId="2F39B15E" w14:textId="106DB8E6" w:rsidR="00E026E5" w:rsidRPr="008C5F0D" w:rsidRDefault="00E026E5">
            <w:pPr>
              <w:rPr>
                <w:rFonts w:ascii="Arial Narrow" w:hAnsi="Arial Narrow"/>
                <w:b/>
                <w:bCs/>
                <w:sz w:val="20"/>
                <w:szCs w:val="20"/>
              </w:rPr>
            </w:pPr>
            <w:r w:rsidRPr="008C5F0D">
              <w:rPr>
                <w:rFonts w:ascii="Arial Narrow" w:hAnsi="Arial Narrow"/>
                <w:sz w:val="20"/>
                <w:szCs w:val="20"/>
              </w:rPr>
              <w:t xml:space="preserve">Patient must not have </w:t>
            </w:r>
            <w:r w:rsidR="008E7D74">
              <w:rPr>
                <w:rFonts w:ascii="Arial Narrow" w:hAnsi="Arial Narrow"/>
                <w:sz w:val="20"/>
                <w:szCs w:val="20"/>
              </w:rPr>
              <w:t xml:space="preserve">failed </w:t>
            </w:r>
            <w:r w:rsidR="004537B1">
              <w:rPr>
                <w:rFonts w:ascii="Arial Narrow" w:hAnsi="Arial Narrow"/>
                <w:sz w:val="20"/>
                <w:szCs w:val="20"/>
              </w:rPr>
              <w:t xml:space="preserve">to demonstrate clinical improvement or stabilisation of </w:t>
            </w:r>
            <w:r w:rsidR="00C820EC">
              <w:rPr>
                <w:rFonts w:ascii="Arial Narrow" w:hAnsi="Arial Narrow"/>
                <w:sz w:val="20"/>
                <w:szCs w:val="20"/>
              </w:rPr>
              <w:t>this condition with previous PBS-subsidised treatment with this drug.</w:t>
            </w:r>
          </w:p>
        </w:tc>
      </w:tr>
      <w:tr w:rsidR="00E026E5" w:rsidRPr="00446E53" w14:paraId="03C5561D"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BDC4533" w14:textId="0A342416" w:rsidR="00E026E5" w:rsidRPr="008C5F0D" w:rsidRDefault="00E026E5">
            <w:pPr>
              <w:jc w:val="center"/>
              <w:rPr>
                <w:rFonts w:ascii="Arial Narrow" w:hAnsi="Arial Narrow"/>
                <w:sz w:val="20"/>
                <w:szCs w:val="20"/>
              </w:rPr>
            </w:pPr>
          </w:p>
        </w:tc>
        <w:tc>
          <w:tcPr>
            <w:tcW w:w="7745" w:type="dxa"/>
            <w:gridSpan w:val="6"/>
            <w:vAlign w:val="center"/>
          </w:tcPr>
          <w:p w14:paraId="3C577F8F" w14:textId="77777777" w:rsidR="00E026E5" w:rsidRPr="008C5F0D" w:rsidRDefault="00E026E5">
            <w:pPr>
              <w:rPr>
                <w:rFonts w:ascii="Arial Narrow" w:hAnsi="Arial Narrow"/>
                <w:b/>
                <w:bCs/>
                <w:sz w:val="20"/>
                <w:szCs w:val="20"/>
              </w:rPr>
            </w:pPr>
            <w:r w:rsidRPr="00446E53">
              <w:rPr>
                <w:rFonts w:ascii="Arial Narrow" w:hAnsi="Arial Narrow"/>
                <w:b/>
                <w:bCs/>
                <w:color w:val="333333"/>
                <w:sz w:val="20"/>
                <w:szCs w:val="20"/>
              </w:rPr>
              <w:t>Treatment criteria:</w:t>
            </w:r>
          </w:p>
        </w:tc>
      </w:tr>
      <w:tr w:rsidR="00E026E5" w:rsidRPr="00446E53" w14:paraId="12ADA996"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44853CC0" w14:textId="7309C569" w:rsidR="00E026E5" w:rsidRPr="00CF17F7" w:rsidRDefault="00E026E5">
            <w:pPr>
              <w:jc w:val="center"/>
              <w:rPr>
                <w:rFonts w:ascii="Arial Narrow" w:hAnsi="Arial Narrow"/>
                <w:color w:val="333333"/>
                <w:sz w:val="20"/>
                <w:szCs w:val="20"/>
              </w:rPr>
            </w:pPr>
          </w:p>
        </w:tc>
        <w:tc>
          <w:tcPr>
            <w:tcW w:w="7745" w:type="dxa"/>
            <w:gridSpan w:val="6"/>
            <w:vAlign w:val="center"/>
          </w:tcPr>
          <w:p w14:paraId="46785DA7" w14:textId="77777777" w:rsidR="00E026E5" w:rsidRPr="00CF17F7" w:rsidRDefault="00E026E5">
            <w:pPr>
              <w:rPr>
                <w:rFonts w:ascii="Arial Narrow" w:hAnsi="Arial Narrow"/>
                <w:b/>
                <w:bCs/>
                <w:sz w:val="20"/>
                <w:szCs w:val="20"/>
              </w:rPr>
            </w:pPr>
            <w:r w:rsidRPr="00B314E5">
              <w:rPr>
                <w:rFonts w:ascii="Arial Narrow" w:hAnsi="Arial Narrow" w:cs="Arial Narrow"/>
                <w:iCs/>
                <w:sz w:val="20"/>
                <w:szCs w:val="20"/>
              </w:rPr>
              <w:t>Must be treated by a physician with expertise in the management of Fabry disease</w:t>
            </w:r>
          </w:p>
        </w:tc>
      </w:tr>
      <w:tr w:rsidR="00E026E5" w:rsidRPr="00446E53" w14:paraId="672FD733"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2B4F91C5" w14:textId="58E74567" w:rsidR="00E026E5" w:rsidRPr="00CF17F7" w:rsidRDefault="00E026E5">
            <w:pPr>
              <w:jc w:val="center"/>
              <w:rPr>
                <w:rFonts w:ascii="Arial Narrow" w:hAnsi="Arial Narrow"/>
                <w:color w:val="333333"/>
                <w:sz w:val="20"/>
                <w:szCs w:val="20"/>
              </w:rPr>
            </w:pPr>
          </w:p>
        </w:tc>
        <w:tc>
          <w:tcPr>
            <w:tcW w:w="7745" w:type="dxa"/>
            <w:gridSpan w:val="6"/>
            <w:vAlign w:val="center"/>
          </w:tcPr>
          <w:p w14:paraId="269807D6" w14:textId="77777777" w:rsidR="00E026E5" w:rsidRPr="005208DD" w:rsidRDefault="00E026E5">
            <w:pPr>
              <w:rPr>
                <w:rFonts w:ascii="Arial Narrow" w:hAnsi="Arial Narrow"/>
                <w:b/>
                <w:bCs/>
                <w:sz w:val="20"/>
                <w:szCs w:val="20"/>
              </w:rPr>
            </w:pPr>
            <w:r w:rsidRPr="005208DD">
              <w:rPr>
                <w:rFonts w:ascii="Arial Narrow" w:hAnsi="Arial Narrow"/>
                <w:b/>
                <w:bCs/>
                <w:sz w:val="20"/>
                <w:szCs w:val="20"/>
              </w:rPr>
              <w:t>Prescribing Instructions:</w:t>
            </w:r>
          </w:p>
          <w:p w14:paraId="31716B58" w14:textId="77777777" w:rsidR="00E026E5" w:rsidRPr="00CF17F7" w:rsidRDefault="00E026E5">
            <w:pPr>
              <w:rPr>
                <w:rFonts w:ascii="Arial Narrow" w:hAnsi="Arial Narrow"/>
                <w:b/>
                <w:bCs/>
                <w:sz w:val="20"/>
                <w:szCs w:val="20"/>
              </w:rPr>
            </w:pPr>
            <w:r w:rsidRPr="005208DD">
              <w:rPr>
                <w:rFonts w:ascii="Arial Narrow" w:hAnsi="Arial Narrow"/>
                <w:sz w:val="20"/>
                <w:szCs w:val="20"/>
              </w:rPr>
              <w:t>Confirmation of eligibility for treatment with diagnostic reports including the confirmed mutations must be documented in the patient's medical records.</w:t>
            </w:r>
          </w:p>
        </w:tc>
      </w:tr>
      <w:tr w:rsidR="00D72239" w:rsidRPr="00446E53" w14:paraId="4704DF0A"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6EE7B4B1" w14:textId="77777777" w:rsidR="00D72239" w:rsidRPr="005208DD" w:rsidRDefault="00D72239" w:rsidP="00D72239">
            <w:pPr>
              <w:jc w:val="center"/>
              <w:rPr>
                <w:rFonts w:ascii="Arial Narrow" w:hAnsi="Arial Narrow"/>
                <w:sz w:val="20"/>
                <w:szCs w:val="20"/>
              </w:rPr>
            </w:pPr>
          </w:p>
        </w:tc>
        <w:tc>
          <w:tcPr>
            <w:tcW w:w="7745" w:type="dxa"/>
            <w:gridSpan w:val="6"/>
            <w:vAlign w:val="center"/>
          </w:tcPr>
          <w:p w14:paraId="01DEC66E" w14:textId="77777777" w:rsidR="00D72239" w:rsidRPr="00336E53" w:rsidRDefault="00D72239" w:rsidP="00D72239">
            <w:pPr>
              <w:rPr>
                <w:rFonts w:ascii="Arial Narrow" w:hAnsi="Arial Narrow"/>
                <w:b/>
                <w:bCs/>
                <w:sz w:val="20"/>
                <w:szCs w:val="20"/>
              </w:rPr>
            </w:pPr>
            <w:r w:rsidRPr="00336E53">
              <w:rPr>
                <w:rFonts w:ascii="Arial Narrow" w:hAnsi="Arial Narrow"/>
                <w:b/>
                <w:bCs/>
                <w:sz w:val="20"/>
                <w:szCs w:val="20"/>
              </w:rPr>
              <w:t>Prescribing Instructions:</w:t>
            </w:r>
          </w:p>
          <w:p w14:paraId="4A0BF00C" w14:textId="5A6F27ED" w:rsidR="00D72239" w:rsidRPr="005208DD" w:rsidRDefault="00D72239" w:rsidP="00D72239">
            <w:pPr>
              <w:rPr>
                <w:rFonts w:ascii="Arial Narrow" w:hAnsi="Arial Narrow"/>
                <w:b/>
                <w:bCs/>
                <w:sz w:val="20"/>
                <w:szCs w:val="20"/>
              </w:rPr>
            </w:pPr>
            <w:r w:rsidRPr="00336E53">
              <w:rPr>
                <w:rFonts w:ascii="Arial Narrow" w:hAnsi="Arial Narrow"/>
                <w:sz w:val="20"/>
                <w:szCs w:val="20"/>
              </w:rPr>
              <w:t xml:space="preserve">At the time of authority application, prescribers must request the appropriate number of vials, based on the weight of the patient, to provide sufficient drug for 4 weeks of treatment at the dosage regimen specified in the approved Therapeutic Goods Administration (TGA) Product Information (PI). </w:t>
            </w:r>
          </w:p>
        </w:tc>
      </w:tr>
      <w:tr w:rsidR="00E026E5" w:rsidRPr="00446E53" w14:paraId="40D54A54"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3C20F619" w14:textId="2587835D" w:rsidR="00E026E5" w:rsidRPr="00CF17F7" w:rsidRDefault="00E026E5">
            <w:pPr>
              <w:jc w:val="center"/>
              <w:rPr>
                <w:rFonts w:ascii="Arial Narrow" w:hAnsi="Arial Narrow"/>
                <w:color w:val="333333"/>
                <w:sz w:val="20"/>
                <w:szCs w:val="20"/>
              </w:rPr>
            </w:pPr>
          </w:p>
        </w:tc>
        <w:tc>
          <w:tcPr>
            <w:tcW w:w="7745" w:type="dxa"/>
            <w:gridSpan w:val="6"/>
            <w:vAlign w:val="center"/>
          </w:tcPr>
          <w:p w14:paraId="1827903E" w14:textId="5DD55403" w:rsidR="00E026E5" w:rsidRPr="00CF17F7" w:rsidRDefault="00E026E5">
            <w:pPr>
              <w:rPr>
                <w:rFonts w:ascii="Arial Narrow" w:hAnsi="Arial Narrow"/>
                <w:b/>
                <w:bCs/>
                <w:sz w:val="20"/>
                <w:szCs w:val="20"/>
              </w:rPr>
            </w:pPr>
          </w:p>
        </w:tc>
      </w:tr>
      <w:tr w:rsidR="00E026E5" w:rsidRPr="00446E53" w14:paraId="6A3B1613" w14:textId="77777777" w:rsidTr="00A65DE6">
        <w:tblPrEx>
          <w:tblCellMar>
            <w:top w:w="15" w:type="dxa"/>
            <w:bottom w:w="15" w:type="dxa"/>
          </w:tblCellMar>
          <w:tblLook w:val="04A0" w:firstRow="1" w:lastRow="0" w:firstColumn="1" w:lastColumn="0" w:noHBand="0" w:noVBand="1"/>
        </w:tblPrEx>
        <w:trPr>
          <w:cantSplit/>
          <w:trHeight w:val="20"/>
        </w:trPr>
        <w:tc>
          <w:tcPr>
            <w:tcW w:w="1277" w:type="dxa"/>
          </w:tcPr>
          <w:p w14:paraId="51914E02" w14:textId="72BF07B7" w:rsidR="00024D20" w:rsidRPr="005208DD" w:rsidRDefault="00024D20">
            <w:pPr>
              <w:jc w:val="center"/>
              <w:rPr>
                <w:rFonts w:ascii="Arial Narrow" w:hAnsi="Arial Narrow"/>
                <w:sz w:val="20"/>
                <w:szCs w:val="20"/>
              </w:rPr>
            </w:pPr>
          </w:p>
        </w:tc>
        <w:tc>
          <w:tcPr>
            <w:tcW w:w="7745" w:type="dxa"/>
            <w:gridSpan w:val="6"/>
            <w:vAlign w:val="center"/>
          </w:tcPr>
          <w:p w14:paraId="7E613740" w14:textId="735B6681" w:rsidR="00E026E5" w:rsidRDefault="00E026E5">
            <w:pPr>
              <w:rPr>
                <w:rFonts w:ascii="Arial Narrow" w:hAnsi="Arial Narrow"/>
                <w:sz w:val="20"/>
                <w:szCs w:val="20"/>
              </w:rPr>
            </w:pPr>
          </w:p>
          <w:p w14:paraId="62E308C7" w14:textId="77777777" w:rsidR="00472A19" w:rsidRPr="00C31500" w:rsidRDefault="00472A19" w:rsidP="00472A19">
            <w:pPr>
              <w:rPr>
                <w:rFonts w:ascii="Arial Narrow" w:hAnsi="Arial Narrow"/>
                <w:b/>
                <w:bCs/>
                <w:sz w:val="20"/>
                <w:szCs w:val="20"/>
              </w:rPr>
            </w:pPr>
            <w:r w:rsidRPr="00C31500">
              <w:rPr>
                <w:rFonts w:ascii="Arial Narrow" w:hAnsi="Arial Narrow"/>
                <w:b/>
                <w:bCs/>
                <w:sz w:val="20"/>
                <w:szCs w:val="20"/>
              </w:rPr>
              <w:t>Administrative Advice:</w:t>
            </w:r>
          </w:p>
          <w:p w14:paraId="4DA91297" w14:textId="3AD4988E" w:rsidR="005F66F2" w:rsidRPr="005208DD" w:rsidRDefault="00472A19" w:rsidP="00472A19">
            <w:pPr>
              <w:rPr>
                <w:rFonts w:ascii="Arial Narrow" w:hAnsi="Arial Narrow"/>
                <w:b/>
                <w:bCs/>
                <w:sz w:val="20"/>
                <w:szCs w:val="20"/>
              </w:rPr>
            </w:pPr>
            <w:r w:rsidRPr="00C31500">
              <w:rPr>
                <w:rFonts w:ascii="Arial Narrow" w:hAnsi="Arial Narrow" w:cs="Arial Narrow"/>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7CAD454" w14:textId="77777777" w:rsidR="00E026E5" w:rsidRDefault="00E026E5" w:rsidP="00E026E5"/>
    <w:p w14:paraId="38DE1232" w14:textId="5ABDAD47" w:rsidR="00E026E5" w:rsidRPr="00B4588F" w:rsidRDefault="00E026E5" w:rsidP="00E026E5">
      <w:pPr>
        <w:rPr>
          <w:b/>
          <w:bCs/>
        </w:rPr>
      </w:pPr>
      <w:r w:rsidRPr="00B4588F">
        <w:rPr>
          <w:b/>
          <w:bCs/>
        </w:rPr>
        <w:t xml:space="preserve">Flow on changes </w:t>
      </w:r>
    </w:p>
    <w:p w14:paraId="3A6CCF7F" w14:textId="77777777" w:rsidR="00E026E5" w:rsidRDefault="00E026E5" w:rsidP="008141C6">
      <w:pPr>
        <w:pStyle w:val="3-BodyText"/>
      </w:pPr>
      <w:r>
        <w:t>Flow-on changes to the migalastat PBS listing for Fabry disease (FD):</w:t>
      </w:r>
    </w:p>
    <w:p w14:paraId="7B6111FA" w14:textId="77777777" w:rsidR="00E026E5" w:rsidRDefault="00E026E5" w:rsidP="00372B81">
      <w:pPr>
        <w:pStyle w:val="ListParagraph"/>
        <w:numPr>
          <w:ilvl w:val="0"/>
          <w:numId w:val="12"/>
        </w:numPr>
        <w:spacing w:after="0"/>
        <w:contextualSpacing/>
        <w:jc w:val="both"/>
      </w:pPr>
      <w:r>
        <w:t xml:space="preserve">Add a clinical criterion to the migalastat (14573B) restriction to prevent the concomitant use of FD therapies. </w:t>
      </w:r>
    </w:p>
    <w:p w14:paraId="55FB91AA" w14:textId="77777777" w:rsidR="00E026E5" w:rsidRDefault="00E026E5" w:rsidP="00E026E5"/>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6"/>
        <w:gridCol w:w="7746"/>
      </w:tblGrid>
      <w:tr w:rsidR="00E026E5" w:rsidRPr="00CF17F7" w14:paraId="49B231D2" w14:textId="77777777">
        <w:trPr>
          <w:cantSplit/>
          <w:trHeight w:val="20"/>
        </w:trPr>
        <w:tc>
          <w:tcPr>
            <w:tcW w:w="1276" w:type="dxa"/>
          </w:tcPr>
          <w:p w14:paraId="2F100BB0" w14:textId="3790A02C" w:rsidR="00E026E5" w:rsidRPr="00CF17F7" w:rsidRDefault="00E026E5">
            <w:pPr>
              <w:jc w:val="center"/>
              <w:rPr>
                <w:rFonts w:ascii="Arial Narrow" w:hAnsi="Arial Narrow"/>
                <w:color w:val="333333"/>
                <w:sz w:val="20"/>
                <w:szCs w:val="20"/>
              </w:rPr>
            </w:pPr>
          </w:p>
        </w:tc>
        <w:tc>
          <w:tcPr>
            <w:tcW w:w="7745" w:type="dxa"/>
            <w:vAlign w:val="center"/>
          </w:tcPr>
          <w:p w14:paraId="159D2C1E" w14:textId="77777777" w:rsidR="00E026E5" w:rsidRPr="00CF17F7" w:rsidRDefault="00E026E5">
            <w:pPr>
              <w:rPr>
                <w:rFonts w:ascii="Arial Narrow" w:hAnsi="Arial Narrow"/>
                <w:b/>
                <w:bCs/>
                <w:sz w:val="20"/>
                <w:szCs w:val="20"/>
              </w:rPr>
            </w:pPr>
            <w:r w:rsidRPr="009103B5">
              <w:rPr>
                <w:rFonts w:ascii="Arial Narrow" w:hAnsi="Arial Narrow" w:cs="Arial Narrow"/>
                <w:b/>
                <w:bCs/>
                <w:sz w:val="20"/>
                <w:szCs w:val="20"/>
              </w:rPr>
              <w:t>Clinical criteria:</w:t>
            </w:r>
          </w:p>
        </w:tc>
      </w:tr>
      <w:tr w:rsidR="00E026E5" w:rsidRPr="00CF17F7" w14:paraId="4BB98CCD" w14:textId="77777777">
        <w:trPr>
          <w:cantSplit/>
          <w:trHeight w:val="20"/>
        </w:trPr>
        <w:tc>
          <w:tcPr>
            <w:tcW w:w="1276" w:type="dxa"/>
          </w:tcPr>
          <w:p w14:paraId="542E2499" w14:textId="425D7773" w:rsidR="00E026E5" w:rsidRPr="00CF17F7" w:rsidRDefault="00E026E5">
            <w:pPr>
              <w:jc w:val="center"/>
              <w:rPr>
                <w:rFonts w:ascii="Arial Narrow" w:hAnsi="Arial Narrow"/>
                <w:color w:val="333333"/>
                <w:sz w:val="20"/>
                <w:szCs w:val="20"/>
              </w:rPr>
            </w:pPr>
          </w:p>
        </w:tc>
        <w:tc>
          <w:tcPr>
            <w:tcW w:w="7745" w:type="dxa"/>
            <w:vAlign w:val="center"/>
          </w:tcPr>
          <w:p w14:paraId="093EDD39" w14:textId="77777777" w:rsidR="00E026E5" w:rsidRPr="00CF17F7" w:rsidRDefault="00E026E5">
            <w:pPr>
              <w:rPr>
                <w:rFonts w:ascii="Arial Narrow" w:hAnsi="Arial Narrow"/>
                <w:b/>
                <w:bCs/>
                <w:sz w:val="20"/>
                <w:szCs w:val="20"/>
              </w:rPr>
            </w:pPr>
            <w:r w:rsidRPr="009103B5">
              <w:rPr>
                <w:rFonts w:ascii="Arial Narrow" w:hAnsi="Arial Narrow" w:cs="Arial Narrow"/>
                <w:sz w:val="20"/>
                <w:szCs w:val="20"/>
              </w:rPr>
              <w:t>The treatment must be the sole PBS-subsidised therapy for this condition.</w:t>
            </w:r>
          </w:p>
        </w:tc>
      </w:tr>
    </w:tbl>
    <w:p w14:paraId="285B7E0C" w14:textId="77777777" w:rsidR="00E026E5" w:rsidRDefault="00E026E5" w:rsidP="00E026E5"/>
    <w:p w14:paraId="79269EBC" w14:textId="77777777" w:rsidR="00267D55" w:rsidRDefault="00E026E5" w:rsidP="00372B81">
      <w:pPr>
        <w:pStyle w:val="ListParagraph"/>
        <w:numPr>
          <w:ilvl w:val="0"/>
          <w:numId w:val="12"/>
        </w:numPr>
        <w:spacing w:after="0"/>
        <w:contextualSpacing/>
        <w:jc w:val="both"/>
      </w:pPr>
      <w:r>
        <w:t>Add a new ‘switching’ treatment phase to the migalastat (14573B) restriction to allow patients to switch from pegunigalsidase alfa to migalastat and vice versa on the PBS.</w:t>
      </w:r>
    </w:p>
    <w:p w14:paraId="598216B9" w14:textId="77777777" w:rsidR="00E026E5" w:rsidRDefault="00E026E5" w:rsidP="00E026E5"/>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6"/>
        <w:gridCol w:w="7746"/>
      </w:tblGrid>
      <w:tr w:rsidR="00E026E5" w:rsidRPr="00CF17F7" w14:paraId="3E4C3980" w14:textId="77777777" w:rsidTr="00B23652">
        <w:trPr>
          <w:cantSplit/>
          <w:trHeight w:val="20"/>
        </w:trPr>
        <w:tc>
          <w:tcPr>
            <w:tcW w:w="9022" w:type="dxa"/>
            <w:gridSpan w:val="2"/>
            <w:shd w:val="clear" w:color="auto" w:fill="BFBFBF" w:themeFill="background1" w:themeFillShade="BF"/>
          </w:tcPr>
          <w:p w14:paraId="6EAEADBE" w14:textId="77777777" w:rsidR="00E026E5" w:rsidRPr="00CF17F7" w:rsidRDefault="00E026E5">
            <w:pPr>
              <w:rPr>
                <w:rFonts w:ascii="Arial Narrow" w:hAnsi="Arial Narrow"/>
                <w:b/>
                <w:bCs/>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4</w:t>
            </w:r>
            <w:r w:rsidRPr="00446E53">
              <w:rPr>
                <w:rFonts w:ascii="Arial Narrow" w:hAnsi="Arial Narrow"/>
                <w:b/>
                <w:bCs/>
                <w:color w:val="333333"/>
                <w:sz w:val="20"/>
                <w:szCs w:val="20"/>
              </w:rPr>
              <w:t>] / Treatment of Concept: [new</w:t>
            </w:r>
            <w:r>
              <w:rPr>
                <w:rFonts w:ascii="Arial Narrow" w:hAnsi="Arial Narrow"/>
                <w:b/>
                <w:bCs/>
                <w:color w:val="333333"/>
                <w:sz w:val="20"/>
                <w:szCs w:val="20"/>
              </w:rPr>
              <w:t>4A</w:t>
            </w:r>
            <w:r w:rsidRPr="00446E53">
              <w:rPr>
                <w:rFonts w:ascii="Arial Narrow" w:hAnsi="Arial Narrow"/>
                <w:b/>
                <w:bCs/>
                <w:color w:val="333333"/>
                <w:sz w:val="20"/>
                <w:szCs w:val="20"/>
              </w:rPr>
              <w:t>]</w:t>
            </w:r>
          </w:p>
        </w:tc>
      </w:tr>
      <w:tr w:rsidR="00E026E5" w:rsidRPr="00CF17F7" w14:paraId="599D2DB6" w14:textId="77777777" w:rsidTr="00B23652">
        <w:trPr>
          <w:cantSplit/>
          <w:trHeight w:val="20"/>
        </w:trPr>
        <w:tc>
          <w:tcPr>
            <w:tcW w:w="1276" w:type="dxa"/>
          </w:tcPr>
          <w:p w14:paraId="0D46B77F" w14:textId="16BC4ADA" w:rsidR="00E026E5" w:rsidRPr="00CF17F7" w:rsidRDefault="00E026E5">
            <w:pPr>
              <w:jc w:val="center"/>
              <w:rPr>
                <w:rFonts w:ascii="Arial Narrow" w:hAnsi="Arial Narrow"/>
                <w:color w:val="333333"/>
                <w:sz w:val="20"/>
                <w:szCs w:val="20"/>
              </w:rPr>
            </w:pPr>
          </w:p>
        </w:tc>
        <w:tc>
          <w:tcPr>
            <w:tcW w:w="7746" w:type="dxa"/>
            <w:vAlign w:val="center"/>
          </w:tcPr>
          <w:p w14:paraId="6CFA4E5D" w14:textId="77777777" w:rsidR="00E026E5" w:rsidRPr="00CF17F7" w:rsidRDefault="00E026E5">
            <w:pPr>
              <w:rPr>
                <w:rFonts w:ascii="Arial Narrow" w:hAnsi="Arial Narrow"/>
                <w:b/>
                <w:bCs/>
                <w:sz w:val="20"/>
                <w:szCs w:val="20"/>
              </w:rPr>
            </w:pPr>
            <w:r w:rsidRPr="00446E53">
              <w:rPr>
                <w:rFonts w:ascii="Arial Narrow" w:hAnsi="Arial Narrow"/>
                <w:b/>
                <w:bCs/>
                <w:color w:val="333333"/>
                <w:sz w:val="20"/>
                <w:szCs w:val="20"/>
              </w:rPr>
              <w:t>Indication:</w:t>
            </w:r>
            <w:r w:rsidRPr="00446E53">
              <w:rPr>
                <w:rFonts w:ascii="Arial Narrow" w:hAnsi="Arial Narrow"/>
                <w:color w:val="333333"/>
                <w:sz w:val="20"/>
                <w:szCs w:val="20"/>
              </w:rPr>
              <w:t xml:space="preserve"> </w:t>
            </w:r>
            <w:r>
              <w:rPr>
                <w:rFonts w:ascii="Arial Narrow" w:hAnsi="Arial Narrow"/>
                <w:color w:val="333333"/>
                <w:sz w:val="20"/>
                <w:szCs w:val="20"/>
              </w:rPr>
              <w:t xml:space="preserve">Fabry disease </w:t>
            </w:r>
          </w:p>
        </w:tc>
      </w:tr>
      <w:tr w:rsidR="00E026E5" w:rsidRPr="008B4CE6" w14:paraId="422529E3" w14:textId="77777777" w:rsidTr="00B23652">
        <w:trPr>
          <w:cantSplit/>
          <w:trHeight w:val="20"/>
        </w:trPr>
        <w:tc>
          <w:tcPr>
            <w:tcW w:w="1276" w:type="dxa"/>
          </w:tcPr>
          <w:p w14:paraId="7DEF768E" w14:textId="77777777" w:rsidR="00E026E5" w:rsidRPr="00CF17F7" w:rsidRDefault="00E026E5">
            <w:pPr>
              <w:jc w:val="center"/>
              <w:rPr>
                <w:rFonts w:ascii="Arial Narrow" w:hAnsi="Arial Narrow"/>
                <w:color w:val="333333"/>
                <w:sz w:val="20"/>
                <w:szCs w:val="20"/>
              </w:rPr>
            </w:pPr>
          </w:p>
        </w:tc>
        <w:tc>
          <w:tcPr>
            <w:tcW w:w="7746" w:type="dxa"/>
            <w:vAlign w:val="center"/>
          </w:tcPr>
          <w:p w14:paraId="66A424D0" w14:textId="77777777" w:rsidR="00E026E5" w:rsidRPr="008B4CE6" w:rsidRDefault="00E026E5">
            <w:pPr>
              <w:rPr>
                <w:rFonts w:ascii="Arial Narrow" w:hAnsi="Arial Narrow"/>
                <w:sz w:val="20"/>
                <w:szCs w:val="20"/>
              </w:rPr>
            </w:pPr>
            <w:r w:rsidRPr="00446E53">
              <w:rPr>
                <w:rFonts w:ascii="Arial Narrow" w:hAnsi="Arial Narrow"/>
                <w:b/>
                <w:bCs/>
                <w:color w:val="333333"/>
                <w:sz w:val="20"/>
                <w:szCs w:val="20"/>
              </w:rPr>
              <w:t>Treatment Phase:</w:t>
            </w:r>
            <w:r>
              <w:rPr>
                <w:rFonts w:ascii="Arial Narrow" w:hAnsi="Arial Narrow"/>
                <w:color w:val="333333"/>
                <w:sz w:val="20"/>
                <w:szCs w:val="20"/>
              </w:rPr>
              <w:t xml:space="preserve"> Switching from PBS-subsidised pegunigalsidase alfa </w:t>
            </w:r>
          </w:p>
        </w:tc>
      </w:tr>
      <w:tr w:rsidR="00E026E5" w:rsidRPr="005824BE" w14:paraId="36391F39" w14:textId="77777777" w:rsidTr="00B23652">
        <w:trPr>
          <w:cantSplit/>
          <w:trHeight w:val="20"/>
        </w:trPr>
        <w:tc>
          <w:tcPr>
            <w:tcW w:w="1276" w:type="dxa"/>
          </w:tcPr>
          <w:p w14:paraId="26C4B9A4" w14:textId="50903907" w:rsidR="00E026E5" w:rsidRPr="00CF17F7" w:rsidRDefault="00E026E5">
            <w:pPr>
              <w:jc w:val="center"/>
              <w:rPr>
                <w:rFonts w:ascii="Arial Narrow" w:hAnsi="Arial Narrow"/>
                <w:color w:val="333333"/>
                <w:sz w:val="20"/>
                <w:szCs w:val="20"/>
              </w:rPr>
            </w:pPr>
          </w:p>
        </w:tc>
        <w:tc>
          <w:tcPr>
            <w:tcW w:w="7746" w:type="dxa"/>
            <w:vAlign w:val="center"/>
          </w:tcPr>
          <w:p w14:paraId="641289B0" w14:textId="77777777" w:rsidR="00E026E5" w:rsidRPr="005824BE" w:rsidRDefault="00E026E5">
            <w:pPr>
              <w:rPr>
                <w:rFonts w:ascii="Arial Narrow" w:hAnsi="Arial Narrow"/>
                <w:b/>
                <w:bCs/>
                <w:sz w:val="20"/>
                <w:szCs w:val="20"/>
              </w:rPr>
            </w:pPr>
            <w:r>
              <w:rPr>
                <w:rFonts w:ascii="Arial Narrow" w:hAnsi="Arial Narrow"/>
                <w:b/>
                <w:bCs/>
                <w:sz w:val="20"/>
                <w:szCs w:val="20"/>
              </w:rPr>
              <w:t xml:space="preserve">Clinical criteria: </w:t>
            </w:r>
          </w:p>
        </w:tc>
      </w:tr>
      <w:tr w:rsidR="00E026E5" w:rsidRPr="005824BE" w14:paraId="526E5549" w14:textId="77777777" w:rsidTr="00B23652">
        <w:trPr>
          <w:cantSplit/>
          <w:trHeight w:val="20"/>
        </w:trPr>
        <w:tc>
          <w:tcPr>
            <w:tcW w:w="1276" w:type="dxa"/>
          </w:tcPr>
          <w:p w14:paraId="486F91F7" w14:textId="47E8A559" w:rsidR="00E026E5" w:rsidRPr="00CF17F7" w:rsidRDefault="00E026E5">
            <w:pPr>
              <w:jc w:val="center"/>
              <w:rPr>
                <w:rFonts w:ascii="Arial Narrow" w:hAnsi="Arial Narrow"/>
                <w:color w:val="333333"/>
                <w:sz w:val="20"/>
                <w:szCs w:val="20"/>
              </w:rPr>
            </w:pPr>
          </w:p>
        </w:tc>
        <w:tc>
          <w:tcPr>
            <w:tcW w:w="7746" w:type="dxa"/>
            <w:vAlign w:val="center"/>
          </w:tcPr>
          <w:p w14:paraId="7B3F9CC6" w14:textId="77777777" w:rsidR="00E026E5" w:rsidRPr="005824BE" w:rsidRDefault="00E026E5">
            <w:pPr>
              <w:rPr>
                <w:rFonts w:ascii="Arial Narrow" w:hAnsi="Arial Narrow"/>
                <w:sz w:val="20"/>
                <w:szCs w:val="20"/>
              </w:rPr>
            </w:pPr>
            <w:r>
              <w:rPr>
                <w:rFonts w:ascii="Arial Narrow" w:hAnsi="Arial Narrow"/>
                <w:sz w:val="20"/>
                <w:szCs w:val="20"/>
              </w:rPr>
              <w:t>Patient must have received prior treatment with PBS subsidised pegunigalsidase alfa for this condition</w:t>
            </w:r>
          </w:p>
        </w:tc>
      </w:tr>
      <w:tr w:rsidR="00E026E5" w14:paraId="54280673" w14:textId="77777777" w:rsidTr="00B23652">
        <w:trPr>
          <w:cantSplit/>
          <w:trHeight w:val="20"/>
        </w:trPr>
        <w:tc>
          <w:tcPr>
            <w:tcW w:w="1276" w:type="dxa"/>
          </w:tcPr>
          <w:p w14:paraId="6DCAA703" w14:textId="77777777" w:rsidR="00E026E5" w:rsidRDefault="00E026E5">
            <w:pPr>
              <w:jc w:val="center"/>
              <w:rPr>
                <w:rFonts w:ascii="Arial Narrow" w:hAnsi="Arial Narrow"/>
                <w:color w:val="333333"/>
                <w:sz w:val="20"/>
                <w:szCs w:val="20"/>
              </w:rPr>
            </w:pPr>
          </w:p>
        </w:tc>
        <w:tc>
          <w:tcPr>
            <w:tcW w:w="7746" w:type="dxa"/>
            <w:vAlign w:val="center"/>
          </w:tcPr>
          <w:p w14:paraId="12760199" w14:textId="77777777" w:rsidR="00E026E5" w:rsidRDefault="00E026E5">
            <w:pPr>
              <w:rPr>
                <w:rFonts w:ascii="Arial Narrow" w:hAnsi="Arial Narrow"/>
                <w:sz w:val="20"/>
                <w:szCs w:val="20"/>
              </w:rPr>
            </w:pPr>
            <w:r w:rsidRPr="009103B5">
              <w:rPr>
                <w:rFonts w:ascii="Arial Narrow" w:hAnsi="Arial Narrow" w:cs="Arial Narrow"/>
                <w:b/>
                <w:bCs/>
                <w:sz w:val="20"/>
                <w:szCs w:val="20"/>
              </w:rPr>
              <w:t>AND</w:t>
            </w:r>
          </w:p>
        </w:tc>
      </w:tr>
      <w:tr w:rsidR="00E026E5" w14:paraId="4531009A" w14:textId="77777777" w:rsidTr="00B23652">
        <w:trPr>
          <w:cantSplit/>
          <w:trHeight w:val="20"/>
        </w:trPr>
        <w:tc>
          <w:tcPr>
            <w:tcW w:w="1276" w:type="dxa"/>
          </w:tcPr>
          <w:p w14:paraId="1E8C48A4" w14:textId="431C1F13" w:rsidR="00E026E5" w:rsidRDefault="00E026E5">
            <w:pPr>
              <w:jc w:val="center"/>
              <w:rPr>
                <w:rFonts w:ascii="Arial Narrow" w:hAnsi="Arial Narrow"/>
                <w:color w:val="333333"/>
                <w:sz w:val="20"/>
                <w:szCs w:val="20"/>
              </w:rPr>
            </w:pPr>
          </w:p>
        </w:tc>
        <w:tc>
          <w:tcPr>
            <w:tcW w:w="7746" w:type="dxa"/>
            <w:vAlign w:val="center"/>
          </w:tcPr>
          <w:p w14:paraId="06CB6D69" w14:textId="77777777" w:rsidR="00E026E5" w:rsidRDefault="00E026E5">
            <w:pPr>
              <w:rPr>
                <w:rFonts w:ascii="Arial Narrow" w:hAnsi="Arial Narrow"/>
                <w:sz w:val="20"/>
                <w:szCs w:val="20"/>
              </w:rPr>
            </w:pPr>
            <w:r w:rsidRPr="004C1AF9">
              <w:rPr>
                <w:rFonts w:ascii="Arial Narrow" w:hAnsi="Arial Narrow"/>
                <w:b/>
                <w:bCs/>
                <w:color w:val="333333"/>
                <w:sz w:val="20"/>
                <w:szCs w:val="20"/>
              </w:rPr>
              <w:t xml:space="preserve">Clinical criteria: </w:t>
            </w:r>
          </w:p>
        </w:tc>
      </w:tr>
      <w:tr w:rsidR="00E026E5" w14:paraId="2D061903" w14:textId="77777777" w:rsidTr="00B23652">
        <w:trPr>
          <w:cantSplit/>
          <w:trHeight w:val="20"/>
        </w:trPr>
        <w:tc>
          <w:tcPr>
            <w:tcW w:w="1276" w:type="dxa"/>
          </w:tcPr>
          <w:p w14:paraId="03F0FB47" w14:textId="28E0EA47" w:rsidR="00E026E5" w:rsidRDefault="00E026E5">
            <w:pPr>
              <w:jc w:val="center"/>
              <w:rPr>
                <w:rFonts w:ascii="Arial Narrow" w:hAnsi="Arial Narrow"/>
                <w:color w:val="333333"/>
                <w:sz w:val="20"/>
                <w:szCs w:val="20"/>
              </w:rPr>
            </w:pPr>
          </w:p>
        </w:tc>
        <w:tc>
          <w:tcPr>
            <w:tcW w:w="7746" w:type="dxa"/>
            <w:vAlign w:val="center"/>
          </w:tcPr>
          <w:p w14:paraId="4EE4726A" w14:textId="77777777" w:rsidR="00E026E5" w:rsidRDefault="00E026E5">
            <w:pPr>
              <w:rPr>
                <w:rFonts w:ascii="Arial Narrow" w:hAnsi="Arial Narrow"/>
                <w:sz w:val="20"/>
                <w:szCs w:val="20"/>
              </w:rPr>
            </w:pPr>
            <w:r w:rsidRPr="004C1AF9">
              <w:rPr>
                <w:rFonts w:ascii="Arial Narrow" w:hAnsi="Arial Narrow"/>
                <w:color w:val="333333"/>
                <w:sz w:val="20"/>
                <w:szCs w:val="20"/>
              </w:rPr>
              <w:t xml:space="preserve">Patient must not have developed another life threatening/severe disease where long term prognosis is unlikely to be influenced by </w:t>
            </w:r>
            <w:r w:rsidRPr="009103B5">
              <w:rPr>
                <w:rFonts w:ascii="Arial Narrow" w:hAnsi="Arial Narrow"/>
                <w:color w:val="333333"/>
                <w:sz w:val="20"/>
                <w:szCs w:val="20"/>
              </w:rPr>
              <w:t>this drug</w:t>
            </w:r>
            <w:r>
              <w:rPr>
                <w:rFonts w:ascii="Arial Narrow" w:hAnsi="Arial Narrow"/>
                <w:i/>
                <w:iCs/>
                <w:color w:val="333333"/>
                <w:sz w:val="20"/>
                <w:szCs w:val="20"/>
              </w:rPr>
              <w:t xml:space="preserve"> </w:t>
            </w:r>
          </w:p>
        </w:tc>
      </w:tr>
      <w:tr w:rsidR="00E026E5" w:rsidRPr="00CF17F7" w14:paraId="018CBF40" w14:textId="77777777" w:rsidTr="00B23652">
        <w:trPr>
          <w:cantSplit/>
          <w:trHeight w:val="20"/>
        </w:trPr>
        <w:tc>
          <w:tcPr>
            <w:tcW w:w="1276" w:type="dxa"/>
          </w:tcPr>
          <w:p w14:paraId="5DFA4D06" w14:textId="77777777" w:rsidR="00E026E5" w:rsidRPr="00CF17F7" w:rsidRDefault="00E026E5">
            <w:pPr>
              <w:jc w:val="center"/>
              <w:rPr>
                <w:rFonts w:ascii="Arial Narrow" w:hAnsi="Arial Narrow"/>
                <w:color w:val="333333"/>
                <w:sz w:val="20"/>
                <w:szCs w:val="20"/>
              </w:rPr>
            </w:pPr>
          </w:p>
        </w:tc>
        <w:tc>
          <w:tcPr>
            <w:tcW w:w="7746" w:type="dxa"/>
            <w:vAlign w:val="center"/>
          </w:tcPr>
          <w:p w14:paraId="6669BD36" w14:textId="77777777" w:rsidR="00E026E5" w:rsidRPr="00CF17F7" w:rsidRDefault="00E026E5">
            <w:pPr>
              <w:rPr>
                <w:rFonts w:ascii="Arial Narrow" w:hAnsi="Arial Narrow"/>
                <w:b/>
                <w:bCs/>
                <w:sz w:val="20"/>
                <w:szCs w:val="20"/>
              </w:rPr>
            </w:pPr>
            <w:r w:rsidRPr="009103B5">
              <w:rPr>
                <w:rFonts w:ascii="Arial Narrow" w:hAnsi="Arial Narrow" w:cs="Arial Narrow"/>
                <w:b/>
                <w:bCs/>
                <w:sz w:val="20"/>
                <w:szCs w:val="20"/>
              </w:rPr>
              <w:t>AND</w:t>
            </w:r>
          </w:p>
        </w:tc>
      </w:tr>
      <w:tr w:rsidR="00E026E5" w:rsidRPr="00CF17F7" w14:paraId="546486F2" w14:textId="77777777" w:rsidTr="00B23652">
        <w:trPr>
          <w:cantSplit/>
          <w:trHeight w:val="20"/>
        </w:trPr>
        <w:tc>
          <w:tcPr>
            <w:tcW w:w="1276" w:type="dxa"/>
          </w:tcPr>
          <w:p w14:paraId="0F91ACAE" w14:textId="57887F7B" w:rsidR="00E026E5" w:rsidRPr="00CF17F7" w:rsidRDefault="00E026E5">
            <w:pPr>
              <w:jc w:val="center"/>
              <w:rPr>
                <w:rFonts w:ascii="Arial Narrow" w:hAnsi="Arial Narrow"/>
                <w:color w:val="333333"/>
                <w:sz w:val="20"/>
                <w:szCs w:val="20"/>
              </w:rPr>
            </w:pPr>
          </w:p>
        </w:tc>
        <w:tc>
          <w:tcPr>
            <w:tcW w:w="7746" w:type="dxa"/>
            <w:vAlign w:val="center"/>
          </w:tcPr>
          <w:p w14:paraId="629A4C0D" w14:textId="77777777" w:rsidR="00E026E5" w:rsidRPr="009103B5" w:rsidRDefault="00E026E5">
            <w:pPr>
              <w:rPr>
                <w:rFonts w:ascii="Arial Narrow" w:hAnsi="Arial Narrow" w:cs="Arial Narrow"/>
                <w:b/>
                <w:bCs/>
                <w:sz w:val="20"/>
                <w:szCs w:val="20"/>
              </w:rPr>
            </w:pPr>
            <w:r w:rsidRPr="004C1AF9">
              <w:rPr>
                <w:rFonts w:ascii="Arial Narrow" w:hAnsi="Arial Narrow"/>
                <w:b/>
                <w:bCs/>
                <w:color w:val="333333"/>
                <w:sz w:val="20"/>
                <w:szCs w:val="20"/>
              </w:rPr>
              <w:t>Clinical criteria:</w:t>
            </w:r>
          </w:p>
        </w:tc>
      </w:tr>
      <w:tr w:rsidR="00E026E5" w:rsidRPr="00CF17F7" w14:paraId="0D080595" w14:textId="77777777" w:rsidTr="00B23652">
        <w:trPr>
          <w:cantSplit/>
          <w:trHeight w:val="20"/>
        </w:trPr>
        <w:tc>
          <w:tcPr>
            <w:tcW w:w="1276" w:type="dxa"/>
          </w:tcPr>
          <w:p w14:paraId="2F99C995" w14:textId="2A8F7BC9" w:rsidR="00E026E5" w:rsidRPr="00CF17F7" w:rsidRDefault="00E026E5">
            <w:pPr>
              <w:jc w:val="center"/>
              <w:rPr>
                <w:rFonts w:ascii="Arial Narrow" w:hAnsi="Arial Narrow"/>
                <w:color w:val="333333"/>
                <w:sz w:val="20"/>
                <w:szCs w:val="20"/>
              </w:rPr>
            </w:pPr>
          </w:p>
        </w:tc>
        <w:tc>
          <w:tcPr>
            <w:tcW w:w="7746" w:type="dxa"/>
            <w:vAlign w:val="center"/>
          </w:tcPr>
          <w:p w14:paraId="39D72089" w14:textId="77777777" w:rsidR="00E026E5" w:rsidRPr="00761151" w:rsidRDefault="00E026E5">
            <w:pPr>
              <w:rPr>
                <w:rFonts w:ascii="Arial Narrow" w:hAnsi="Arial Narrow" w:cs="Arial Narrow"/>
                <w:sz w:val="20"/>
                <w:szCs w:val="20"/>
              </w:rPr>
            </w:pPr>
            <w:r w:rsidRPr="00761151">
              <w:rPr>
                <w:rFonts w:ascii="Arial Narrow" w:hAnsi="Arial Narrow" w:cs="Arial Narrow"/>
                <w:sz w:val="20"/>
                <w:szCs w:val="20"/>
              </w:rPr>
              <w:t>Patient must have a documented migalastat amenable galactosidase alpha (GLA) gene variant</w:t>
            </w:r>
          </w:p>
        </w:tc>
      </w:tr>
      <w:tr w:rsidR="00E026E5" w:rsidRPr="00CF17F7" w14:paraId="2AF7BE65" w14:textId="77777777" w:rsidTr="00B23652">
        <w:trPr>
          <w:cantSplit/>
          <w:trHeight w:val="20"/>
        </w:trPr>
        <w:tc>
          <w:tcPr>
            <w:tcW w:w="1276" w:type="dxa"/>
          </w:tcPr>
          <w:p w14:paraId="07CAE87E" w14:textId="77777777" w:rsidR="00E026E5" w:rsidRPr="00CF17F7" w:rsidRDefault="00E026E5">
            <w:pPr>
              <w:jc w:val="center"/>
              <w:rPr>
                <w:rFonts w:ascii="Arial Narrow" w:hAnsi="Arial Narrow"/>
                <w:color w:val="333333"/>
                <w:sz w:val="20"/>
                <w:szCs w:val="20"/>
              </w:rPr>
            </w:pPr>
          </w:p>
        </w:tc>
        <w:tc>
          <w:tcPr>
            <w:tcW w:w="7746" w:type="dxa"/>
            <w:vAlign w:val="center"/>
          </w:tcPr>
          <w:p w14:paraId="0E45E891" w14:textId="77777777" w:rsidR="00E026E5" w:rsidRPr="009103B5" w:rsidRDefault="00E026E5">
            <w:pPr>
              <w:rPr>
                <w:rFonts w:ascii="Arial Narrow" w:hAnsi="Arial Narrow" w:cs="Arial Narrow"/>
                <w:b/>
                <w:bCs/>
                <w:sz w:val="20"/>
                <w:szCs w:val="20"/>
              </w:rPr>
            </w:pPr>
            <w:r w:rsidRPr="009103B5">
              <w:rPr>
                <w:rFonts w:ascii="Arial Narrow" w:hAnsi="Arial Narrow" w:cs="Arial Narrow"/>
                <w:b/>
                <w:bCs/>
                <w:sz w:val="20"/>
                <w:szCs w:val="20"/>
              </w:rPr>
              <w:t>AND</w:t>
            </w:r>
          </w:p>
        </w:tc>
      </w:tr>
      <w:tr w:rsidR="00E026E5" w:rsidRPr="00CF17F7" w14:paraId="1441B8BE" w14:textId="77777777" w:rsidTr="00B23652">
        <w:trPr>
          <w:cantSplit/>
          <w:trHeight w:val="20"/>
        </w:trPr>
        <w:tc>
          <w:tcPr>
            <w:tcW w:w="1276" w:type="dxa"/>
          </w:tcPr>
          <w:p w14:paraId="7D4FF99C" w14:textId="5D8C8949" w:rsidR="00E026E5" w:rsidRPr="00CF17F7" w:rsidRDefault="00E026E5">
            <w:pPr>
              <w:jc w:val="center"/>
              <w:rPr>
                <w:rFonts w:ascii="Arial Narrow" w:hAnsi="Arial Narrow"/>
                <w:color w:val="333333"/>
                <w:sz w:val="20"/>
                <w:szCs w:val="20"/>
              </w:rPr>
            </w:pPr>
          </w:p>
        </w:tc>
        <w:tc>
          <w:tcPr>
            <w:tcW w:w="7746" w:type="dxa"/>
            <w:vAlign w:val="center"/>
          </w:tcPr>
          <w:p w14:paraId="0027DC79" w14:textId="77777777" w:rsidR="00E026E5" w:rsidRPr="009103B5" w:rsidRDefault="00E026E5">
            <w:pPr>
              <w:rPr>
                <w:rFonts w:ascii="Arial Narrow" w:hAnsi="Arial Narrow" w:cs="Arial Narrow"/>
                <w:b/>
                <w:bCs/>
                <w:sz w:val="20"/>
                <w:szCs w:val="20"/>
              </w:rPr>
            </w:pPr>
            <w:r w:rsidRPr="004C1AF9">
              <w:rPr>
                <w:rFonts w:ascii="Arial Narrow" w:hAnsi="Arial Narrow"/>
                <w:b/>
                <w:bCs/>
                <w:color w:val="333333"/>
                <w:sz w:val="20"/>
                <w:szCs w:val="20"/>
              </w:rPr>
              <w:t>Clinical criteria:</w:t>
            </w:r>
          </w:p>
        </w:tc>
      </w:tr>
      <w:tr w:rsidR="00E026E5" w:rsidRPr="00CF17F7" w14:paraId="40A49278" w14:textId="77777777" w:rsidTr="00B23652">
        <w:trPr>
          <w:cantSplit/>
          <w:trHeight w:val="20"/>
        </w:trPr>
        <w:tc>
          <w:tcPr>
            <w:tcW w:w="1276" w:type="dxa"/>
          </w:tcPr>
          <w:p w14:paraId="38592000" w14:textId="737BA95B" w:rsidR="00E026E5" w:rsidRPr="00CF17F7" w:rsidRDefault="00E026E5">
            <w:pPr>
              <w:jc w:val="center"/>
              <w:rPr>
                <w:rFonts w:ascii="Arial Narrow" w:hAnsi="Arial Narrow"/>
                <w:color w:val="333333"/>
                <w:sz w:val="20"/>
                <w:szCs w:val="20"/>
              </w:rPr>
            </w:pPr>
          </w:p>
        </w:tc>
        <w:tc>
          <w:tcPr>
            <w:tcW w:w="7746" w:type="dxa"/>
            <w:vAlign w:val="center"/>
          </w:tcPr>
          <w:p w14:paraId="4E2D7314" w14:textId="77777777" w:rsidR="00E026E5" w:rsidRPr="00B27EA6" w:rsidRDefault="00E026E5">
            <w:pPr>
              <w:rPr>
                <w:rFonts w:ascii="Arial Narrow" w:hAnsi="Arial Narrow" w:cs="Arial Narrow"/>
                <w:sz w:val="20"/>
                <w:szCs w:val="20"/>
              </w:rPr>
            </w:pPr>
            <w:r w:rsidRPr="00B27EA6">
              <w:rPr>
                <w:rFonts w:ascii="Arial Narrow" w:hAnsi="Arial Narrow" w:cs="Arial Narrow"/>
                <w:sz w:val="20"/>
                <w:szCs w:val="20"/>
              </w:rPr>
              <w:t>Patient must have an estimated glomerular filtration rate (eGFR) of at least 30 mL/min/1.73 m</w:t>
            </w:r>
            <w:r w:rsidRPr="00457C2B">
              <w:rPr>
                <w:rFonts w:ascii="Arial Narrow" w:hAnsi="Arial Narrow" w:cs="Arial Narrow"/>
                <w:sz w:val="20"/>
                <w:szCs w:val="20"/>
                <w:vertAlign w:val="superscript"/>
              </w:rPr>
              <w:t>2</w:t>
            </w:r>
          </w:p>
        </w:tc>
      </w:tr>
      <w:tr w:rsidR="00E026E5" w:rsidRPr="00CF17F7" w14:paraId="18796F3A" w14:textId="77777777" w:rsidTr="00B23652">
        <w:trPr>
          <w:cantSplit/>
          <w:trHeight w:val="20"/>
        </w:trPr>
        <w:tc>
          <w:tcPr>
            <w:tcW w:w="1276" w:type="dxa"/>
          </w:tcPr>
          <w:p w14:paraId="0493D506" w14:textId="77777777" w:rsidR="00E026E5" w:rsidRPr="00CF17F7" w:rsidRDefault="00E026E5">
            <w:pPr>
              <w:jc w:val="center"/>
              <w:rPr>
                <w:rFonts w:ascii="Arial Narrow" w:hAnsi="Arial Narrow"/>
                <w:color w:val="333333"/>
                <w:sz w:val="20"/>
                <w:szCs w:val="20"/>
              </w:rPr>
            </w:pPr>
          </w:p>
        </w:tc>
        <w:tc>
          <w:tcPr>
            <w:tcW w:w="7746" w:type="dxa"/>
            <w:vAlign w:val="center"/>
          </w:tcPr>
          <w:p w14:paraId="365FE8F9" w14:textId="77777777" w:rsidR="00E026E5" w:rsidRPr="009103B5" w:rsidRDefault="00E026E5">
            <w:pPr>
              <w:rPr>
                <w:rFonts w:ascii="Arial Narrow" w:hAnsi="Arial Narrow" w:cs="Arial Narrow"/>
                <w:b/>
                <w:bCs/>
                <w:sz w:val="20"/>
                <w:szCs w:val="20"/>
              </w:rPr>
            </w:pPr>
            <w:r w:rsidRPr="009103B5">
              <w:rPr>
                <w:rFonts w:ascii="Arial Narrow" w:hAnsi="Arial Narrow" w:cs="Arial Narrow"/>
                <w:b/>
                <w:bCs/>
                <w:sz w:val="20"/>
                <w:szCs w:val="20"/>
              </w:rPr>
              <w:t>AND</w:t>
            </w:r>
          </w:p>
        </w:tc>
      </w:tr>
      <w:tr w:rsidR="00E026E5" w:rsidRPr="00CF17F7" w14:paraId="6F42FEC5" w14:textId="77777777" w:rsidTr="00B23652">
        <w:trPr>
          <w:cantSplit/>
          <w:trHeight w:val="20"/>
        </w:trPr>
        <w:tc>
          <w:tcPr>
            <w:tcW w:w="1276" w:type="dxa"/>
          </w:tcPr>
          <w:p w14:paraId="05ACC496" w14:textId="6A1D0137" w:rsidR="00E026E5" w:rsidRPr="00CF17F7" w:rsidRDefault="00E026E5">
            <w:pPr>
              <w:jc w:val="center"/>
              <w:rPr>
                <w:rFonts w:ascii="Arial Narrow" w:hAnsi="Arial Narrow"/>
                <w:color w:val="333333"/>
                <w:sz w:val="20"/>
                <w:szCs w:val="20"/>
              </w:rPr>
            </w:pPr>
          </w:p>
        </w:tc>
        <w:tc>
          <w:tcPr>
            <w:tcW w:w="7746" w:type="dxa"/>
            <w:vAlign w:val="center"/>
          </w:tcPr>
          <w:p w14:paraId="4FFE7107" w14:textId="77777777" w:rsidR="00E026E5" w:rsidRPr="00CF17F7" w:rsidRDefault="00E026E5">
            <w:pPr>
              <w:rPr>
                <w:rFonts w:ascii="Arial Narrow" w:hAnsi="Arial Narrow"/>
                <w:b/>
                <w:bCs/>
                <w:sz w:val="20"/>
                <w:szCs w:val="20"/>
              </w:rPr>
            </w:pPr>
            <w:r w:rsidRPr="009103B5">
              <w:rPr>
                <w:rFonts w:ascii="Arial Narrow" w:hAnsi="Arial Narrow" w:cs="Arial Narrow"/>
                <w:b/>
                <w:bCs/>
                <w:sz w:val="20"/>
                <w:szCs w:val="20"/>
              </w:rPr>
              <w:t>Clinical criteria:</w:t>
            </w:r>
          </w:p>
        </w:tc>
      </w:tr>
      <w:tr w:rsidR="00E026E5" w:rsidRPr="00CF17F7" w14:paraId="77BBEB26" w14:textId="77777777" w:rsidTr="00B23652">
        <w:trPr>
          <w:cantSplit/>
          <w:trHeight w:val="20"/>
        </w:trPr>
        <w:tc>
          <w:tcPr>
            <w:tcW w:w="1276" w:type="dxa"/>
          </w:tcPr>
          <w:p w14:paraId="7834B49D" w14:textId="75C4903E" w:rsidR="00E026E5" w:rsidRPr="00CF17F7" w:rsidRDefault="00E026E5">
            <w:pPr>
              <w:jc w:val="center"/>
              <w:rPr>
                <w:rFonts w:ascii="Arial Narrow" w:hAnsi="Arial Narrow"/>
                <w:color w:val="333333"/>
                <w:sz w:val="20"/>
                <w:szCs w:val="20"/>
              </w:rPr>
            </w:pPr>
          </w:p>
        </w:tc>
        <w:tc>
          <w:tcPr>
            <w:tcW w:w="7746" w:type="dxa"/>
            <w:vAlign w:val="center"/>
          </w:tcPr>
          <w:p w14:paraId="1901DE5A" w14:textId="77777777" w:rsidR="00E026E5" w:rsidRPr="00CF17F7" w:rsidRDefault="00E026E5">
            <w:pPr>
              <w:rPr>
                <w:rFonts w:ascii="Arial Narrow" w:hAnsi="Arial Narrow"/>
                <w:b/>
                <w:bCs/>
                <w:sz w:val="20"/>
                <w:szCs w:val="20"/>
              </w:rPr>
            </w:pPr>
            <w:r w:rsidRPr="009103B5">
              <w:rPr>
                <w:rFonts w:ascii="Arial Narrow" w:hAnsi="Arial Narrow" w:cs="Arial Narrow"/>
                <w:sz w:val="20"/>
                <w:szCs w:val="20"/>
              </w:rPr>
              <w:t>The treatment must be the sole PBS-subsidised therapy for this condition.</w:t>
            </w:r>
          </w:p>
        </w:tc>
      </w:tr>
      <w:tr w:rsidR="00E026E5" w:rsidRPr="008C5F0D" w14:paraId="1DEC430E" w14:textId="77777777" w:rsidTr="00B23652">
        <w:trPr>
          <w:cantSplit/>
          <w:trHeight w:val="20"/>
        </w:trPr>
        <w:tc>
          <w:tcPr>
            <w:tcW w:w="1276" w:type="dxa"/>
          </w:tcPr>
          <w:p w14:paraId="7F390371" w14:textId="77777777" w:rsidR="00E026E5" w:rsidRPr="008C5F0D" w:rsidRDefault="00E026E5">
            <w:pPr>
              <w:jc w:val="center"/>
              <w:rPr>
                <w:rFonts w:ascii="Arial Narrow" w:hAnsi="Arial Narrow"/>
                <w:sz w:val="20"/>
                <w:szCs w:val="20"/>
              </w:rPr>
            </w:pPr>
          </w:p>
        </w:tc>
        <w:tc>
          <w:tcPr>
            <w:tcW w:w="7746" w:type="dxa"/>
            <w:vAlign w:val="center"/>
          </w:tcPr>
          <w:p w14:paraId="494602F5" w14:textId="77777777" w:rsidR="00E026E5" w:rsidRPr="008C5F0D" w:rsidRDefault="00E026E5">
            <w:pPr>
              <w:rPr>
                <w:rFonts w:ascii="Arial Narrow" w:hAnsi="Arial Narrow"/>
                <w:b/>
                <w:bCs/>
                <w:sz w:val="20"/>
                <w:szCs w:val="20"/>
              </w:rPr>
            </w:pPr>
            <w:r w:rsidRPr="008C5F0D">
              <w:rPr>
                <w:rFonts w:ascii="Arial Narrow" w:hAnsi="Arial Narrow"/>
                <w:b/>
                <w:bCs/>
                <w:sz w:val="20"/>
                <w:szCs w:val="20"/>
              </w:rPr>
              <w:t>AND</w:t>
            </w:r>
          </w:p>
        </w:tc>
      </w:tr>
      <w:tr w:rsidR="00E026E5" w:rsidRPr="008C5F0D" w14:paraId="7F4ADCBA" w14:textId="77777777" w:rsidTr="00B23652">
        <w:trPr>
          <w:cantSplit/>
          <w:trHeight w:val="20"/>
        </w:trPr>
        <w:tc>
          <w:tcPr>
            <w:tcW w:w="1276" w:type="dxa"/>
            <w:vAlign w:val="center"/>
          </w:tcPr>
          <w:p w14:paraId="0BD51F98" w14:textId="10DE7EA1" w:rsidR="00E026E5" w:rsidRPr="008C5F0D" w:rsidRDefault="00E026E5">
            <w:pPr>
              <w:jc w:val="center"/>
              <w:rPr>
                <w:rFonts w:ascii="Arial Narrow" w:hAnsi="Arial Narrow"/>
                <w:sz w:val="20"/>
                <w:szCs w:val="20"/>
              </w:rPr>
            </w:pPr>
          </w:p>
        </w:tc>
        <w:tc>
          <w:tcPr>
            <w:tcW w:w="7746" w:type="dxa"/>
            <w:vAlign w:val="center"/>
          </w:tcPr>
          <w:p w14:paraId="0A29C3D8" w14:textId="77777777" w:rsidR="00E026E5" w:rsidRPr="008C5F0D" w:rsidRDefault="00E026E5">
            <w:pPr>
              <w:rPr>
                <w:rFonts w:ascii="Arial Narrow" w:hAnsi="Arial Narrow"/>
                <w:b/>
                <w:bCs/>
                <w:sz w:val="20"/>
                <w:szCs w:val="20"/>
              </w:rPr>
            </w:pPr>
            <w:r w:rsidRPr="008C5F0D">
              <w:rPr>
                <w:rFonts w:ascii="Arial Narrow" w:hAnsi="Arial Narrow" w:cs="Segoe UI"/>
                <w:b/>
                <w:bCs/>
                <w:sz w:val="20"/>
                <w:szCs w:val="20"/>
              </w:rPr>
              <w:t>Clinical criteria:</w:t>
            </w:r>
          </w:p>
        </w:tc>
      </w:tr>
      <w:tr w:rsidR="00E026E5" w:rsidRPr="008C5F0D" w14:paraId="1682A739" w14:textId="77777777" w:rsidTr="00B23652">
        <w:trPr>
          <w:cantSplit/>
          <w:trHeight w:val="20"/>
        </w:trPr>
        <w:tc>
          <w:tcPr>
            <w:tcW w:w="1276" w:type="dxa"/>
            <w:vAlign w:val="center"/>
          </w:tcPr>
          <w:p w14:paraId="7602D2AA" w14:textId="42ACB3BD" w:rsidR="00E026E5" w:rsidRPr="008C5F0D" w:rsidRDefault="00E026E5">
            <w:pPr>
              <w:jc w:val="center"/>
              <w:rPr>
                <w:rFonts w:ascii="Arial Narrow" w:hAnsi="Arial Narrow"/>
                <w:sz w:val="20"/>
                <w:szCs w:val="20"/>
              </w:rPr>
            </w:pPr>
          </w:p>
        </w:tc>
        <w:tc>
          <w:tcPr>
            <w:tcW w:w="7746" w:type="dxa"/>
            <w:vAlign w:val="center"/>
          </w:tcPr>
          <w:p w14:paraId="6558B0C7" w14:textId="067F8874" w:rsidR="00E026E5" w:rsidRPr="008C5F0D" w:rsidRDefault="00E026E5">
            <w:pPr>
              <w:rPr>
                <w:rFonts w:ascii="Arial Narrow" w:hAnsi="Arial Narrow"/>
                <w:b/>
                <w:bCs/>
                <w:sz w:val="20"/>
                <w:szCs w:val="20"/>
              </w:rPr>
            </w:pPr>
            <w:r w:rsidRPr="008C5F0D">
              <w:rPr>
                <w:rFonts w:ascii="Arial Narrow" w:hAnsi="Arial Narrow"/>
                <w:sz w:val="20"/>
                <w:szCs w:val="20"/>
              </w:rPr>
              <w:t xml:space="preserve">Patient must not have </w:t>
            </w:r>
            <w:r w:rsidR="00C820EC">
              <w:rPr>
                <w:rFonts w:ascii="Arial Narrow" w:hAnsi="Arial Narrow"/>
                <w:sz w:val="20"/>
                <w:szCs w:val="20"/>
              </w:rPr>
              <w:t>failed to demonstrate clinical improvement or stabilisation of this condition with previous PBS-subsidised treatment with this drug</w:t>
            </w:r>
          </w:p>
        </w:tc>
      </w:tr>
      <w:tr w:rsidR="00E026E5" w:rsidRPr="008C5F0D" w14:paraId="00D93647" w14:textId="77777777" w:rsidTr="00B23652">
        <w:trPr>
          <w:cantSplit/>
          <w:trHeight w:val="20"/>
        </w:trPr>
        <w:tc>
          <w:tcPr>
            <w:tcW w:w="1276" w:type="dxa"/>
          </w:tcPr>
          <w:p w14:paraId="2D5602E2" w14:textId="76783DE9" w:rsidR="00E026E5" w:rsidRPr="008C5F0D" w:rsidRDefault="00E026E5">
            <w:pPr>
              <w:jc w:val="center"/>
              <w:rPr>
                <w:rFonts w:ascii="Arial Narrow" w:hAnsi="Arial Narrow"/>
                <w:sz w:val="20"/>
                <w:szCs w:val="20"/>
              </w:rPr>
            </w:pPr>
          </w:p>
        </w:tc>
        <w:tc>
          <w:tcPr>
            <w:tcW w:w="7746" w:type="dxa"/>
            <w:vAlign w:val="center"/>
          </w:tcPr>
          <w:p w14:paraId="57B97563" w14:textId="77777777" w:rsidR="00E026E5" w:rsidRPr="008C5F0D" w:rsidRDefault="00E026E5">
            <w:pPr>
              <w:rPr>
                <w:rFonts w:ascii="Arial Narrow" w:hAnsi="Arial Narrow"/>
                <w:b/>
                <w:bCs/>
                <w:sz w:val="20"/>
                <w:szCs w:val="20"/>
              </w:rPr>
            </w:pPr>
            <w:r w:rsidRPr="00446E53">
              <w:rPr>
                <w:rFonts w:ascii="Arial Narrow" w:hAnsi="Arial Narrow"/>
                <w:b/>
                <w:bCs/>
                <w:color w:val="333333"/>
                <w:sz w:val="20"/>
                <w:szCs w:val="20"/>
              </w:rPr>
              <w:t>Treatment criteria:</w:t>
            </w:r>
          </w:p>
        </w:tc>
      </w:tr>
      <w:tr w:rsidR="00E026E5" w:rsidRPr="00CF17F7" w14:paraId="5B1909ED" w14:textId="77777777" w:rsidTr="00B23652">
        <w:trPr>
          <w:cantSplit/>
          <w:trHeight w:val="20"/>
        </w:trPr>
        <w:tc>
          <w:tcPr>
            <w:tcW w:w="1276" w:type="dxa"/>
          </w:tcPr>
          <w:p w14:paraId="2803F712" w14:textId="7DEC1531" w:rsidR="00E026E5" w:rsidRPr="00CF17F7" w:rsidRDefault="00E026E5">
            <w:pPr>
              <w:jc w:val="center"/>
              <w:rPr>
                <w:rFonts w:ascii="Arial Narrow" w:hAnsi="Arial Narrow"/>
                <w:color w:val="333333"/>
                <w:sz w:val="20"/>
                <w:szCs w:val="20"/>
              </w:rPr>
            </w:pPr>
          </w:p>
        </w:tc>
        <w:tc>
          <w:tcPr>
            <w:tcW w:w="7746" w:type="dxa"/>
            <w:vAlign w:val="center"/>
          </w:tcPr>
          <w:p w14:paraId="3B2A26A3" w14:textId="77777777" w:rsidR="00E026E5" w:rsidRPr="00CF17F7" w:rsidRDefault="00E026E5">
            <w:pPr>
              <w:rPr>
                <w:rFonts w:ascii="Arial Narrow" w:hAnsi="Arial Narrow"/>
                <w:b/>
                <w:bCs/>
                <w:sz w:val="20"/>
                <w:szCs w:val="20"/>
              </w:rPr>
            </w:pPr>
            <w:r w:rsidRPr="00B314E5">
              <w:rPr>
                <w:rFonts w:ascii="Arial Narrow" w:hAnsi="Arial Narrow" w:cs="Arial Narrow"/>
                <w:iCs/>
                <w:sz w:val="20"/>
                <w:szCs w:val="20"/>
              </w:rPr>
              <w:t>Must be treated by a physician with expertise in the management of Fabry disease</w:t>
            </w:r>
          </w:p>
        </w:tc>
      </w:tr>
      <w:tr w:rsidR="00E026E5" w:rsidRPr="00CF17F7" w14:paraId="460643B5" w14:textId="77777777" w:rsidTr="00B23652">
        <w:trPr>
          <w:cantSplit/>
          <w:trHeight w:val="20"/>
        </w:trPr>
        <w:tc>
          <w:tcPr>
            <w:tcW w:w="1276" w:type="dxa"/>
          </w:tcPr>
          <w:p w14:paraId="6A9EAEFF" w14:textId="64F5FB40" w:rsidR="00E026E5" w:rsidRDefault="00E026E5">
            <w:pPr>
              <w:jc w:val="center"/>
              <w:rPr>
                <w:rFonts w:ascii="Arial Narrow" w:hAnsi="Arial Narrow"/>
                <w:sz w:val="20"/>
                <w:szCs w:val="20"/>
              </w:rPr>
            </w:pPr>
          </w:p>
        </w:tc>
        <w:tc>
          <w:tcPr>
            <w:tcW w:w="7746" w:type="dxa"/>
            <w:vAlign w:val="center"/>
          </w:tcPr>
          <w:p w14:paraId="64AC6E09" w14:textId="77777777" w:rsidR="00E026E5" w:rsidRPr="00B314E5" w:rsidRDefault="00E026E5">
            <w:pPr>
              <w:rPr>
                <w:rFonts w:ascii="Arial Narrow" w:hAnsi="Arial Narrow" w:cs="Arial Narrow"/>
                <w:iCs/>
                <w:sz w:val="20"/>
                <w:szCs w:val="20"/>
              </w:rPr>
            </w:pPr>
            <w:r>
              <w:rPr>
                <w:rFonts w:ascii="Arial Narrow" w:hAnsi="Arial Narrow"/>
                <w:b/>
                <w:bCs/>
                <w:color w:val="333333"/>
                <w:sz w:val="20"/>
                <w:szCs w:val="20"/>
              </w:rPr>
              <w:t>Population</w:t>
            </w:r>
            <w:r w:rsidRPr="00446E53">
              <w:rPr>
                <w:rFonts w:ascii="Arial Narrow" w:hAnsi="Arial Narrow"/>
                <w:b/>
                <w:bCs/>
                <w:color w:val="333333"/>
                <w:sz w:val="20"/>
                <w:szCs w:val="20"/>
              </w:rPr>
              <w:t xml:space="preserve"> criteria:</w:t>
            </w:r>
          </w:p>
        </w:tc>
      </w:tr>
      <w:tr w:rsidR="00E026E5" w:rsidRPr="00CF17F7" w14:paraId="49512121" w14:textId="77777777" w:rsidTr="00B23652">
        <w:trPr>
          <w:cantSplit/>
          <w:trHeight w:val="20"/>
        </w:trPr>
        <w:tc>
          <w:tcPr>
            <w:tcW w:w="1276" w:type="dxa"/>
          </w:tcPr>
          <w:p w14:paraId="79605AEE" w14:textId="4BB4A93B" w:rsidR="00E026E5" w:rsidRDefault="00E026E5">
            <w:pPr>
              <w:jc w:val="center"/>
              <w:rPr>
                <w:rFonts w:ascii="Arial Narrow" w:hAnsi="Arial Narrow"/>
                <w:sz w:val="20"/>
                <w:szCs w:val="20"/>
              </w:rPr>
            </w:pPr>
          </w:p>
        </w:tc>
        <w:tc>
          <w:tcPr>
            <w:tcW w:w="7746" w:type="dxa"/>
            <w:vAlign w:val="center"/>
          </w:tcPr>
          <w:p w14:paraId="008D570C" w14:textId="6CCD143F" w:rsidR="00E026E5" w:rsidRPr="00B314E5" w:rsidRDefault="00E026E5">
            <w:pPr>
              <w:rPr>
                <w:rFonts w:ascii="Arial Narrow" w:hAnsi="Arial Narrow" w:cs="Arial Narrow"/>
                <w:iCs/>
                <w:sz w:val="20"/>
                <w:szCs w:val="20"/>
              </w:rPr>
            </w:pPr>
            <w:r w:rsidRPr="00E704CC">
              <w:rPr>
                <w:rFonts w:ascii="Arial Narrow" w:hAnsi="Arial Narrow" w:cs="Arial Narrow"/>
                <w:iCs/>
                <w:sz w:val="20"/>
                <w:szCs w:val="20"/>
              </w:rPr>
              <w:t>Patient must be at least 12 years of age</w:t>
            </w:r>
          </w:p>
        </w:tc>
      </w:tr>
      <w:tr w:rsidR="00E026E5" w:rsidRPr="00CF17F7" w14:paraId="07F345AE" w14:textId="77777777" w:rsidTr="00B23652">
        <w:trPr>
          <w:cantSplit/>
          <w:trHeight w:val="20"/>
        </w:trPr>
        <w:tc>
          <w:tcPr>
            <w:tcW w:w="1276" w:type="dxa"/>
          </w:tcPr>
          <w:p w14:paraId="4870CA8D" w14:textId="128EB099" w:rsidR="00E026E5" w:rsidRPr="00CF17F7" w:rsidRDefault="00E026E5">
            <w:pPr>
              <w:jc w:val="center"/>
              <w:rPr>
                <w:rFonts w:ascii="Arial Narrow" w:hAnsi="Arial Narrow"/>
                <w:color w:val="333333"/>
                <w:sz w:val="20"/>
                <w:szCs w:val="20"/>
              </w:rPr>
            </w:pPr>
          </w:p>
        </w:tc>
        <w:tc>
          <w:tcPr>
            <w:tcW w:w="7746" w:type="dxa"/>
            <w:vAlign w:val="center"/>
          </w:tcPr>
          <w:p w14:paraId="2A17672E" w14:textId="77777777" w:rsidR="00E026E5" w:rsidRPr="005208DD" w:rsidRDefault="00E026E5">
            <w:pPr>
              <w:rPr>
                <w:rFonts w:ascii="Arial Narrow" w:hAnsi="Arial Narrow"/>
                <w:b/>
                <w:bCs/>
                <w:sz w:val="20"/>
                <w:szCs w:val="20"/>
              </w:rPr>
            </w:pPr>
            <w:r w:rsidRPr="005208DD">
              <w:rPr>
                <w:rFonts w:ascii="Arial Narrow" w:hAnsi="Arial Narrow"/>
                <w:b/>
                <w:bCs/>
                <w:sz w:val="20"/>
                <w:szCs w:val="20"/>
              </w:rPr>
              <w:t>Prescribing Instructions:</w:t>
            </w:r>
          </w:p>
          <w:p w14:paraId="5EDE0F06" w14:textId="77777777" w:rsidR="00E026E5" w:rsidRPr="00CF17F7" w:rsidRDefault="00E026E5">
            <w:pPr>
              <w:rPr>
                <w:rFonts w:ascii="Arial Narrow" w:hAnsi="Arial Narrow"/>
                <w:b/>
                <w:bCs/>
                <w:sz w:val="20"/>
                <w:szCs w:val="20"/>
              </w:rPr>
            </w:pPr>
            <w:r w:rsidRPr="005208DD">
              <w:rPr>
                <w:rFonts w:ascii="Arial Narrow" w:hAnsi="Arial Narrow"/>
                <w:sz w:val="20"/>
                <w:szCs w:val="20"/>
              </w:rPr>
              <w:t>Confirmation of eligibility for treatment with diagnostic reports including the confirmed mutations must be documented in the patient's medical records.</w:t>
            </w:r>
          </w:p>
        </w:tc>
      </w:tr>
      <w:tr w:rsidR="00B23652" w:rsidRPr="00CF17F7" w14:paraId="54AE2A67" w14:textId="77777777" w:rsidTr="00B23652">
        <w:trPr>
          <w:cantSplit/>
          <w:trHeight w:val="20"/>
        </w:trPr>
        <w:tc>
          <w:tcPr>
            <w:tcW w:w="1276" w:type="dxa"/>
          </w:tcPr>
          <w:p w14:paraId="240FF8D9" w14:textId="2EC95AC7" w:rsidR="00B23652" w:rsidRPr="005208DD" w:rsidDel="008E2EBD" w:rsidRDefault="00B23652" w:rsidP="00B23652">
            <w:pPr>
              <w:jc w:val="center"/>
              <w:rPr>
                <w:rFonts w:ascii="Arial Narrow" w:hAnsi="Arial Narrow"/>
                <w:sz w:val="20"/>
                <w:szCs w:val="20"/>
              </w:rPr>
            </w:pPr>
          </w:p>
        </w:tc>
        <w:tc>
          <w:tcPr>
            <w:tcW w:w="7746" w:type="dxa"/>
            <w:vAlign w:val="center"/>
          </w:tcPr>
          <w:p w14:paraId="563BA36C" w14:textId="45310D41" w:rsidR="00E12091" w:rsidRPr="00C31500" w:rsidRDefault="00E12091" w:rsidP="00E12091">
            <w:pPr>
              <w:rPr>
                <w:rFonts w:ascii="Arial Narrow" w:hAnsi="Arial Narrow"/>
                <w:b/>
                <w:bCs/>
                <w:sz w:val="20"/>
                <w:szCs w:val="20"/>
              </w:rPr>
            </w:pPr>
            <w:r w:rsidRPr="00C31500">
              <w:rPr>
                <w:rFonts w:ascii="Arial Narrow" w:hAnsi="Arial Narrow"/>
                <w:b/>
                <w:bCs/>
                <w:sz w:val="20"/>
                <w:szCs w:val="20"/>
              </w:rPr>
              <w:t>Administrative Advice:</w:t>
            </w:r>
          </w:p>
          <w:p w14:paraId="13CA5867" w14:textId="48F9508F" w:rsidR="00E12091" w:rsidRPr="005208DD" w:rsidRDefault="00E12091" w:rsidP="00E12091">
            <w:pPr>
              <w:rPr>
                <w:rFonts w:ascii="Arial Narrow" w:hAnsi="Arial Narrow"/>
                <w:b/>
                <w:bCs/>
                <w:sz w:val="20"/>
                <w:szCs w:val="20"/>
              </w:rPr>
            </w:pPr>
            <w:r w:rsidRPr="00C31500">
              <w:rPr>
                <w:rFonts w:ascii="Arial Narrow" w:hAnsi="Arial Narrow" w:cs="Arial Narrow"/>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EBF487C" w14:textId="5E516877" w:rsidR="0045585A" w:rsidRDefault="0045585A" w:rsidP="00372B81">
      <w:pPr>
        <w:pStyle w:val="ListParagraph"/>
        <w:numPr>
          <w:ilvl w:val="0"/>
          <w:numId w:val="13"/>
        </w:numPr>
      </w:pPr>
      <w:r w:rsidRPr="0045585A">
        <w:lastRenderedPageBreak/>
        <w:t xml:space="preserve">Amend the ‘antiepileptic’ medications terminology to ‘antiseizure’ medications in the criterion ‘Patient must have Fabry-related uncontrolled chronic pain despite the use of recommended doses of appropriate analgesia and antiseizure medications for peripheral neuropathy’.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7"/>
        <w:gridCol w:w="7745"/>
      </w:tblGrid>
      <w:tr w:rsidR="00556FC3" w:rsidRPr="00DF278A" w14:paraId="4F818E69" w14:textId="77777777">
        <w:trPr>
          <w:cantSplit/>
          <w:trHeight w:val="20"/>
        </w:trPr>
        <w:tc>
          <w:tcPr>
            <w:tcW w:w="1277" w:type="dxa"/>
          </w:tcPr>
          <w:p w14:paraId="338BB489" w14:textId="4A075DC7" w:rsidR="00556FC3" w:rsidRPr="00DF278A" w:rsidRDefault="00556FC3">
            <w:pPr>
              <w:keepNext/>
              <w:jc w:val="center"/>
              <w:rPr>
                <w:rFonts w:ascii="Arial Narrow" w:hAnsi="Arial Narrow"/>
                <w:sz w:val="20"/>
                <w:szCs w:val="20"/>
              </w:rPr>
            </w:pPr>
          </w:p>
        </w:tc>
        <w:tc>
          <w:tcPr>
            <w:tcW w:w="7745" w:type="dxa"/>
            <w:vAlign w:val="center"/>
            <w:hideMark/>
          </w:tcPr>
          <w:p w14:paraId="1199ACA9" w14:textId="77777777" w:rsidR="00556FC3" w:rsidRPr="00DF278A" w:rsidRDefault="00556FC3">
            <w:pPr>
              <w:keepNext/>
              <w:rPr>
                <w:rFonts w:ascii="Arial Narrow" w:hAnsi="Arial Narrow"/>
                <w:sz w:val="20"/>
                <w:szCs w:val="20"/>
              </w:rPr>
            </w:pPr>
            <w:r w:rsidRPr="00446E53">
              <w:rPr>
                <w:rFonts w:ascii="Arial Narrow" w:hAnsi="Arial Narrow"/>
                <w:b/>
                <w:bCs/>
                <w:color w:val="333333"/>
                <w:sz w:val="20"/>
                <w:szCs w:val="20"/>
              </w:rPr>
              <w:t>Clinical criteria:</w:t>
            </w:r>
          </w:p>
        </w:tc>
      </w:tr>
      <w:tr w:rsidR="00556FC3" w:rsidRPr="00830187" w14:paraId="1D5ECAD3" w14:textId="77777777">
        <w:trPr>
          <w:cantSplit/>
          <w:trHeight w:val="20"/>
        </w:trPr>
        <w:tc>
          <w:tcPr>
            <w:tcW w:w="1277" w:type="dxa"/>
          </w:tcPr>
          <w:p w14:paraId="075AFE3B" w14:textId="1AED5499" w:rsidR="00556FC3" w:rsidRPr="00556FC3" w:rsidRDefault="00556FC3">
            <w:pPr>
              <w:jc w:val="center"/>
              <w:rPr>
                <w:rFonts w:ascii="Arial Narrow" w:hAnsi="Arial Narrow"/>
                <w:i/>
                <w:iCs/>
                <w:sz w:val="20"/>
                <w:szCs w:val="20"/>
              </w:rPr>
            </w:pPr>
          </w:p>
        </w:tc>
        <w:tc>
          <w:tcPr>
            <w:tcW w:w="7745" w:type="dxa"/>
            <w:vAlign w:val="center"/>
          </w:tcPr>
          <w:p w14:paraId="48D7E451" w14:textId="148A15DA" w:rsidR="00556FC3" w:rsidRPr="00830187" w:rsidRDefault="00556FC3">
            <w:pPr>
              <w:autoSpaceDE w:val="0"/>
              <w:autoSpaceDN w:val="0"/>
              <w:adjustRightInd w:val="0"/>
              <w:rPr>
                <w:rFonts w:ascii="Arial Narrow" w:hAnsi="Arial Narrow"/>
                <w:sz w:val="20"/>
                <w:szCs w:val="20"/>
              </w:rPr>
            </w:pPr>
            <w:r w:rsidRPr="00830187">
              <w:rPr>
                <w:rFonts w:ascii="Arial Narrow" w:hAnsi="Arial Narrow"/>
                <w:sz w:val="20"/>
                <w:szCs w:val="20"/>
              </w:rPr>
              <w:t>Patient must have Fabry-related uncontrolled chronic pain despite the use of recommended doses of appropriate analgesia and</w:t>
            </w:r>
            <w:r>
              <w:rPr>
                <w:rFonts w:ascii="Arial Narrow" w:hAnsi="Arial Narrow"/>
                <w:sz w:val="20"/>
                <w:szCs w:val="20"/>
              </w:rPr>
              <w:t xml:space="preserve"> </w:t>
            </w:r>
            <w:r w:rsidRPr="00556FC3">
              <w:rPr>
                <w:rFonts w:ascii="Arial Narrow" w:hAnsi="Arial Narrow"/>
                <w:strike/>
                <w:sz w:val="20"/>
                <w:szCs w:val="20"/>
              </w:rPr>
              <w:t>antiepileptic</w:t>
            </w:r>
            <w:r w:rsidRPr="00830187">
              <w:rPr>
                <w:rFonts w:ascii="Arial Narrow" w:hAnsi="Arial Narrow"/>
                <w:sz w:val="20"/>
                <w:szCs w:val="20"/>
              </w:rPr>
              <w:t xml:space="preserve"> </w:t>
            </w:r>
            <w:r w:rsidRPr="00556FC3">
              <w:rPr>
                <w:rFonts w:ascii="Arial Narrow" w:hAnsi="Arial Narrow"/>
                <w:i/>
                <w:iCs/>
                <w:sz w:val="20"/>
                <w:szCs w:val="20"/>
              </w:rPr>
              <w:t>antiseizure</w:t>
            </w:r>
            <w:r>
              <w:rPr>
                <w:rFonts w:ascii="Arial Narrow" w:hAnsi="Arial Narrow"/>
                <w:sz w:val="20"/>
                <w:szCs w:val="20"/>
              </w:rPr>
              <w:t xml:space="preserve"> </w:t>
            </w:r>
            <w:r w:rsidRPr="00830187">
              <w:rPr>
                <w:rFonts w:ascii="Arial Narrow" w:hAnsi="Arial Narrow"/>
                <w:sz w:val="20"/>
                <w:szCs w:val="20"/>
              </w:rPr>
              <w:t>medications for peripheral neuropathy;</w:t>
            </w:r>
            <w:r>
              <w:rPr>
                <w:rFonts w:ascii="Arial Narrow" w:hAnsi="Arial Narrow"/>
                <w:sz w:val="20"/>
                <w:szCs w:val="20"/>
              </w:rPr>
              <w:t xml:space="preserve"> OR</w:t>
            </w:r>
          </w:p>
        </w:tc>
      </w:tr>
    </w:tbl>
    <w:p w14:paraId="6AE2200F" w14:textId="72571D68" w:rsidR="005C1535" w:rsidRPr="00D2098F" w:rsidRDefault="005C1535" w:rsidP="005C1535">
      <w:pPr>
        <w:spacing w:before="120"/>
        <w:rPr>
          <w:rFonts w:asciiTheme="minorHAnsi" w:hAnsiTheme="minorHAnsi"/>
          <w:b/>
          <w:i/>
          <w:iCs/>
          <w:snapToGrid w:val="0"/>
        </w:rPr>
      </w:pPr>
      <w:r w:rsidRPr="00D2098F">
        <w:rPr>
          <w:rFonts w:asciiTheme="minorHAnsi" w:hAnsiTheme="minorHAnsi"/>
          <w:b/>
          <w:i/>
          <w:iCs/>
          <w:snapToGrid w:val="0"/>
        </w:rPr>
        <w:t>These restrictions may be subject to further review. Should there be any changes made to the restriction the sponsor will be informed.</w:t>
      </w:r>
    </w:p>
    <w:p w14:paraId="76187BBF" w14:textId="77777777" w:rsidR="005E225A" w:rsidRPr="00AD0A34" w:rsidRDefault="005E225A" w:rsidP="005E225A">
      <w:pPr>
        <w:pStyle w:val="2-SectionHeading"/>
        <w:numPr>
          <w:ilvl w:val="0"/>
          <w:numId w:val="1"/>
        </w:numPr>
      </w:pPr>
      <w:r w:rsidRPr="00AD0A34">
        <w:t>Context for Decision</w:t>
      </w:r>
    </w:p>
    <w:p w14:paraId="24503783" w14:textId="77777777" w:rsidR="005E225A" w:rsidRPr="00AD0A34" w:rsidRDefault="005E225A" w:rsidP="005E225A">
      <w:pPr>
        <w:spacing w:after="120"/>
        <w:ind w:left="720"/>
        <w:rPr>
          <w:rFonts w:asciiTheme="minorHAnsi" w:hAnsiTheme="minorHAnsi"/>
          <w:bCs/>
          <w:lang w:val="en-GB"/>
        </w:rPr>
      </w:pPr>
      <w:r w:rsidRPr="00AD0A3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6E7070" w14:textId="77777777" w:rsidR="005E225A" w:rsidRPr="00AD0A34" w:rsidRDefault="005E225A" w:rsidP="005E225A">
      <w:pPr>
        <w:pStyle w:val="2-SectionHeading"/>
        <w:numPr>
          <w:ilvl w:val="0"/>
          <w:numId w:val="1"/>
        </w:numPr>
      </w:pPr>
      <w:r w:rsidRPr="00AD0A34">
        <w:t>Sponsor’s Comment</w:t>
      </w:r>
    </w:p>
    <w:p w14:paraId="3E567E8E" w14:textId="4FE338C4" w:rsidR="002C5099" w:rsidRPr="0098262F" w:rsidRDefault="00A53D1B" w:rsidP="00656573">
      <w:pPr>
        <w:ind w:left="720"/>
        <w:jc w:val="left"/>
      </w:pPr>
      <w:r>
        <w:rPr>
          <w:rFonts w:asciiTheme="minorHAnsi" w:eastAsiaTheme="minorHAnsi" w:hAnsiTheme="minorHAnsi"/>
          <w:bCs/>
          <w:szCs w:val="22"/>
          <w:lang w:eastAsia="en-US"/>
        </w:rPr>
        <w:t xml:space="preserve">The Sponsor welcomes the PBAC’s recommendation of </w:t>
      </w:r>
      <w:r w:rsidRPr="00A53D1B">
        <w:rPr>
          <w:rFonts w:asciiTheme="minorHAnsi" w:eastAsiaTheme="minorHAnsi" w:hAnsiTheme="minorHAnsi"/>
          <w:bCs/>
          <w:szCs w:val="22"/>
          <w:lang w:eastAsia="en-US"/>
        </w:rPr>
        <w:t>pegunigalsidase alfa</w:t>
      </w:r>
      <w:r w:rsidR="002F0A3B">
        <w:rPr>
          <w:rFonts w:asciiTheme="minorHAnsi" w:eastAsiaTheme="minorHAnsi" w:hAnsiTheme="minorHAnsi"/>
          <w:bCs/>
          <w:szCs w:val="22"/>
          <w:lang w:eastAsia="en-US"/>
        </w:rPr>
        <w:t xml:space="preserve"> for the treatment of Fabry Disease. </w:t>
      </w:r>
      <w:bookmarkEnd w:id="89"/>
    </w:p>
    <w:sectPr w:rsidR="002C5099" w:rsidRPr="0098262F" w:rsidSect="007F767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8FAD" w14:textId="77777777" w:rsidR="00AA0B96" w:rsidRDefault="00AA0B96" w:rsidP="00124A51">
      <w:r>
        <w:separator/>
      </w:r>
    </w:p>
    <w:p w14:paraId="447A8E27" w14:textId="77777777" w:rsidR="00AA0B96" w:rsidRDefault="00AA0B96"/>
  </w:endnote>
  <w:endnote w:type="continuationSeparator" w:id="0">
    <w:p w14:paraId="69C8F595" w14:textId="77777777" w:rsidR="00AA0B96" w:rsidRDefault="00AA0B96" w:rsidP="00124A51">
      <w:r>
        <w:continuationSeparator/>
      </w:r>
    </w:p>
    <w:p w14:paraId="5D82563B" w14:textId="77777777" w:rsidR="00AA0B96" w:rsidRDefault="00AA0B96"/>
  </w:endnote>
  <w:endnote w:type="continuationNotice" w:id="1">
    <w:p w14:paraId="78E1444C" w14:textId="77777777" w:rsidR="00AA0B96" w:rsidRDefault="00AA0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EB31" w14:textId="77777777" w:rsidR="0067772E" w:rsidRDefault="0067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58543"/>
      <w:docPartObj>
        <w:docPartGallery w:val="Page Numbers (Bottom of Page)"/>
        <w:docPartUnique/>
      </w:docPartObj>
    </w:sdtPr>
    <w:sdtEndPr>
      <w:rPr>
        <w:b/>
        <w:bCs/>
        <w:noProof/>
      </w:rPr>
    </w:sdtEndPr>
    <w:sdtContent>
      <w:p w14:paraId="0647302B" w14:textId="77777777" w:rsidR="00DF6C35" w:rsidRDefault="00DF6C35">
        <w:pPr>
          <w:pStyle w:val="Footer"/>
          <w:jc w:val="center"/>
        </w:pPr>
      </w:p>
      <w:p w14:paraId="37484CD3" w14:textId="225BC6D1" w:rsidR="00D843F2" w:rsidRPr="00DF6C35" w:rsidRDefault="00DF6C35" w:rsidP="00DF6C35">
        <w:pPr>
          <w:pStyle w:val="Footer"/>
          <w:jc w:val="center"/>
          <w:rPr>
            <w:b/>
            <w:bCs/>
          </w:rPr>
        </w:pPr>
        <w:r w:rsidRPr="00DF6C35">
          <w:rPr>
            <w:b/>
            <w:bCs/>
          </w:rPr>
          <w:fldChar w:fldCharType="begin"/>
        </w:r>
        <w:r w:rsidRPr="00DF6C35">
          <w:rPr>
            <w:b/>
            <w:bCs/>
          </w:rPr>
          <w:instrText xml:space="preserve"> PAGE   \* MERGEFORMAT </w:instrText>
        </w:r>
        <w:r w:rsidRPr="00DF6C35">
          <w:rPr>
            <w:b/>
            <w:bCs/>
          </w:rPr>
          <w:fldChar w:fldCharType="separate"/>
        </w:r>
        <w:r w:rsidRPr="00DF6C35">
          <w:rPr>
            <w:b/>
            <w:bCs/>
            <w:noProof/>
          </w:rPr>
          <w:t>2</w:t>
        </w:r>
        <w:r w:rsidRPr="00DF6C3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D612" w14:textId="77777777" w:rsidR="0067772E" w:rsidRDefault="0067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6972" w14:textId="77777777" w:rsidR="00AA0B96" w:rsidRDefault="00AA0B96" w:rsidP="00124A51">
      <w:r>
        <w:separator/>
      </w:r>
    </w:p>
    <w:p w14:paraId="6F610830" w14:textId="77777777" w:rsidR="00AA0B96" w:rsidRDefault="00AA0B96"/>
  </w:footnote>
  <w:footnote w:type="continuationSeparator" w:id="0">
    <w:p w14:paraId="7C37D895" w14:textId="77777777" w:rsidR="00AA0B96" w:rsidRDefault="00AA0B96" w:rsidP="00124A51">
      <w:r>
        <w:continuationSeparator/>
      </w:r>
    </w:p>
    <w:p w14:paraId="057CD82C" w14:textId="77777777" w:rsidR="00AA0B96" w:rsidRDefault="00AA0B96"/>
  </w:footnote>
  <w:footnote w:type="continuationNotice" w:id="1">
    <w:p w14:paraId="738EF734" w14:textId="77777777" w:rsidR="00AA0B96" w:rsidRDefault="00AA0B96"/>
  </w:footnote>
  <w:footnote w:id="2">
    <w:p w14:paraId="2A546C00" w14:textId="542F5945" w:rsidR="007E47BA" w:rsidRDefault="007E47BA" w:rsidP="007E47BA">
      <w:pPr>
        <w:pStyle w:val="FootnoteText"/>
      </w:pPr>
      <w:r>
        <w:rPr>
          <w:rStyle w:val="FootnoteReference"/>
        </w:rPr>
        <w:footnoteRef/>
      </w:r>
      <w:r w:rsidR="00D72768">
        <w:t xml:space="preserve">Department of Health and Aged Care. Life Saving Drugs Program Fabry Disease Guidelines. Available at </w:t>
      </w:r>
      <w:r w:rsidRPr="00BF36F5">
        <w:t>www.health.gov.au/resources/publications/life-saving-drugs-program-fabry-disease-guidelines?language=en</w:t>
      </w:r>
    </w:p>
  </w:footnote>
  <w:footnote w:id="3">
    <w:p w14:paraId="750457AE" w14:textId="77777777" w:rsidR="003C0A32" w:rsidRDefault="003C0A32" w:rsidP="003C0A32">
      <w:pPr>
        <w:pStyle w:val="FootnoteText"/>
      </w:pPr>
      <w:r>
        <w:rPr>
          <w:rStyle w:val="FootnoteReference"/>
        </w:rPr>
        <w:footnoteRef/>
      </w:r>
      <w:r>
        <w:t xml:space="preserve"> </w:t>
      </w:r>
      <w:r w:rsidRPr="0036254B">
        <w:t>Biegstraaten et al., (2015), 'Recommendations for initiation and cessation of enzyme replacement therapy in patients with Fabry disease: the European Fabry Working Group consensus document', Orphanet J Rare Dis, 10</w:t>
      </w:r>
      <w:r>
        <w:t>.</w:t>
      </w:r>
    </w:p>
  </w:footnote>
  <w:footnote w:id="4">
    <w:p w14:paraId="42A4B1B6" w14:textId="77777777" w:rsidR="003C0A32" w:rsidRDefault="003C0A32" w:rsidP="003C0A32">
      <w:pPr>
        <w:pStyle w:val="FootnoteText"/>
      </w:pPr>
      <w:r>
        <w:rPr>
          <w:rStyle w:val="FootnoteReference"/>
        </w:rPr>
        <w:footnoteRef/>
      </w:r>
      <w:r>
        <w:t xml:space="preserve"> </w:t>
      </w:r>
      <w:r w:rsidRPr="00656E2C">
        <w:t>Laney et al., (2013), 'Fabry disease practice guidelines: recommendations of the National Society of Genetic Counselors', J Genet Couns, 22, 5</w:t>
      </w:r>
      <w:r>
        <w:t>.</w:t>
      </w:r>
    </w:p>
  </w:footnote>
  <w:footnote w:id="5">
    <w:p w14:paraId="43426490" w14:textId="77777777" w:rsidR="003C0A32" w:rsidRDefault="003C0A32" w:rsidP="003C0A32">
      <w:pPr>
        <w:pStyle w:val="FootnoteText"/>
      </w:pPr>
      <w:r>
        <w:rPr>
          <w:rStyle w:val="FootnoteReference"/>
        </w:rPr>
        <w:footnoteRef/>
      </w:r>
      <w:r>
        <w:t xml:space="preserve"> </w:t>
      </w:r>
      <w:r w:rsidRPr="00BB3498">
        <w:t>Ortiz et al., (2018), 'Fabry disease revisited: Management and treatment recommendations for adult patients', Mol Genet Metab, 123, 4</w:t>
      </w:r>
      <w:r>
        <w:t>.</w:t>
      </w:r>
    </w:p>
  </w:footnote>
  <w:footnote w:id="6">
    <w:p w14:paraId="6518D329" w14:textId="77777777" w:rsidR="003C0A32" w:rsidRDefault="003C0A32" w:rsidP="003C0A32">
      <w:pPr>
        <w:pStyle w:val="FootnoteText"/>
      </w:pPr>
      <w:r>
        <w:rPr>
          <w:rStyle w:val="FootnoteReference"/>
        </w:rPr>
        <w:footnoteRef/>
      </w:r>
      <w:r>
        <w:t xml:space="preserve"> </w:t>
      </w:r>
      <w:r w:rsidRPr="005A2037">
        <w:t>Wanner et al., (2018), 'European expert consensus statement on therapeutic goals in Fabry disease', Mol Genet Metab, 124, 3</w:t>
      </w:r>
      <w:r>
        <w:t>.</w:t>
      </w:r>
    </w:p>
  </w:footnote>
  <w:footnote w:id="7">
    <w:p w14:paraId="0469A67D" w14:textId="77777777" w:rsidR="003C0A32" w:rsidRDefault="003C0A32" w:rsidP="003C0A32">
      <w:pPr>
        <w:pStyle w:val="FootnoteText"/>
      </w:pPr>
      <w:r>
        <w:rPr>
          <w:rStyle w:val="FootnoteReference"/>
        </w:rPr>
        <w:footnoteRef/>
      </w:r>
      <w:r>
        <w:t xml:space="preserve"> </w:t>
      </w:r>
      <w:r w:rsidRPr="00B86BE7">
        <w:t>Nicholls et al., (2024), 'Fabry-specific treatment in Australia: time to align eligibility criteria with international best practices', Intern Med J, 54, 6</w:t>
      </w:r>
      <w:r>
        <w:t>.</w:t>
      </w:r>
    </w:p>
  </w:footnote>
  <w:footnote w:id="8">
    <w:p w14:paraId="6424ADAC" w14:textId="77777777" w:rsidR="003C0A32" w:rsidRDefault="003C0A32" w:rsidP="003C0A32">
      <w:pPr>
        <w:pStyle w:val="FootnoteText"/>
      </w:pPr>
      <w:r>
        <w:rPr>
          <w:rStyle w:val="FootnoteReference"/>
        </w:rPr>
        <w:footnoteRef/>
      </w:r>
      <w:r>
        <w:t xml:space="preserve"> </w:t>
      </w:r>
      <w:r w:rsidRPr="00085A35">
        <w:t>Arends et al., (2015), 'Quality of life in patients with Fabry disease: a systematic review of the literature', Orphanet Journal of Rare Diseases, 10, 1, https://doi.org/10.1186/s13023-015-0296-8.</w:t>
      </w:r>
    </w:p>
  </w:footnote>
  <w:footnote w:id="9">
    <w:p w14:paraId="6E279C63" w14:textId="77777777" w:rsidR="003C0A32" w:rsidRDefault="003C0A32" w:rsidP="003C0A32">
      <w:pPr>
        <w:pStyle w:val="FootnoteText"/>
      </w:pPr>
      <w:r>
        <w:rPr>
          <w:rStyle w:val="FootnoteReference"/>
        </w:rPr>
        <w:footnoteRef/>
      </w:r>
      <w:r>
        <w:t xml:space="preserve"> </w:t>
      </w:r>
      <w:r w:rsidRPr="000D1CA5">
        <w:t>Arends et al., (2018), 'Phenotype, disease severity and pain are major determinants of quality of life in Fabry disease: results from a large multicenter cohort study', J Inherit Metab Dis, 41, 1</w:t>
      </w:r>
      <w:r>
        <w:t>.</w:t>
      </w:r>
    </w:p>
  </w:footnote>
  <w:footnote w:id="10">
    <w:p w14:paraId="00A77A4E" w14:textId="77777777" w:rsidR="003C0A32" w:rsidRDefault="003C0A32" w:rsidP="003C0A32">
      <w:pPr>
        <w:pStyle w:val="FootnoteText"/>
      </w:pPr>
      <w:r>
        <w:rPr>
          <w:rStyle w:val="FootnoteReference"/>
        </w:rPr>
        <w:footnoteRef/>
      </w:r>
      <w:r>
        <w:t xml:space="preserve"> </w:t>
      </w:r>
      <w:r w:rsidRPr="00F214DE">
        <w:t>MacDermot et al., (2001), 'Anderson-Fabry disease: clinical manifestations and impact of disease in a cohort of 60 obligate carrier females', J Med Genet, 38, 11</w:t>
      </w:r>
      <w:r>
        <w:t>.</w:t>
      </w:r>
    </w:p>
  </w:footnote>
  <w:footnote w:id="11">
    <w:p w14:paraId="340BAB06" w14:textId="77777777" w:rsidR="003C0A32" w:rsidRDefault="003C0A32" w:rsidP="003C0A32">
      <w:pPr>
        <w:pStyle w:val="FootnoteText"/>
      </w:pPr>
      <w:r>
        <w:rPr>
          <w:rStyle w:val="FootnoteReference"/>
        </w:rPr>
        <w:footnoteRef/>
      </w:r>
      <w:r>
        <w:t xml:space="preserve"> </w:t>
      </w:r>
      <w:r w:rsidRPr="00C62C46">
        <w:t>MacDermot et al., (2001), 'Anderson-Fabry disease: clinical manifestations and impact of disease in a cohort of 98 hemizygous males', J Med Genet, 38, 11</w:t>
      </w:r>
      <w:r>
        <w:t>.</w:t>
      </w:r>
    </w:p>
  </w:footnote>
  <w:footnote w:id="12">
    <w:p w14:paraId="3EACD0DC" w14:textId="1E597FC5" w:rsidR="003C0A32" w:rsidRPr="00B31389" w:rsidRDefault="003C0A32" w:rsidP="003C0A32">
      <w:pPr>
        <w:pStyle w:val="FootnoteText"/>
      </w:pPr>
      <w:r>
        <w:rPr>
          <w:rStyle w:val="FootnoteReference"/>
        </w:rPr>
        <w:footnoteRef/>
      </w:r>
      <w:r w:rsidRPr="00B31389">
        <w:t xml:space="preserve"> </w:t>
      </w:r>
      <w:r w:rsidR="00E1279E">
        <w:t>National Organization for Rare Disorders, (</w:t>
      </w:r>
      <w:r w:rsidR="00913D9A">
        <w:t>20</w:t>
      </w:r>
      <w:r w:rsidR="00D43034">
        <w:t>19</w:t>
      </w:r>
      <w:r w:rsidR="00913D9A">
        <w:t>),</w:t>
      </w:r>
      <w:r w:rsidR="00D43034">
        <w:t xml:space="preserve"> Fabry Disease, available at</w:t>
      </w:r>
      <w:r w:rsidRPr="00B31389">
        <w:t xml:space="preserve"> https://rarediseases.org/rare-diseases/fabry-disease/</w:t>
      </w:r>
    </w:p>
  </w:footnote>
  <w:footnote w:id="13">
    <w:p w14:paraId="3F7A28B0" w14:textId="04DE81E9" w:rsidR="00136B45" w:rsidRDefault="00136B45">
      <w:pPr>
        <w:pStyle w:val="FootnoteText"/>
      </w:pPr>
      <w:r>
        <w:rPr>
          <w:rStyle w:val="FootnoteReference"/>
        </w:rPr>
        <w:footnoteRef/>
      </w:r>
      <w:r>
        <w:t xml:space="preserve"> </w:t>
      </w:r>
      <w:r w:rsidRPr="00136B45">
        <w:t>Australian Government</w:t>
      </w:r>
      <w:r w:rsidR="00AB5FC7">
        <w:t>, (2023),</w:t>
      </w:r>
      <w:r w:rsidRPr="00136B45">
        <w:t xml:space="preserve"> </w:t>
      </w:r>
      <w:r w:rsidR="00AB5FC7">
        <w:t>‘</w:t>
      </w:r>
      <w:r w:rsidRPr="00136B45">
        <w:t>Life Saving Drugs Program (LSDP): Review of Medicines for Fabry disease. Review summary and expert panel recommendations. 2023</w:t>
      </w:r>
      <w:r w:rsidR="00AB5FC7">
        <w:t>’</w:t>
      </w:r>
      <w:r w:rsidR="00357E89">
        <w:t>,</w:t>
      </w:r>
      <w:r w:rsidRPr="00136B45">
        <w:t xml:space="preserve"> Available </w:t>
      </w:r>
      <w:r w:rsidR="00B53C92">
        <w:t xml:space="preserve">at </w:t>
      </w:r>
      <w:r w:rsidR="00B53C92" w:rsidRPr="00B53C92">
        <w:t>www.health.gov.au/sites/default/files/2023-01/life-saving-drugs-program-fabry-disease-review-summary-and-expert-panel-recommendations_0.pdf</w:t>
      </w:r>
    </w:p>
  </w:footnote>
  <w:footnote w:id="14">
    <w:p w14:paraId="0D2A93FC" w14:textId="181BF050" w:rsidR="00DC33C7" w:rsidRDefault="00DC33C7">
      <w:pPr>
        <w:pStyle w:val="FootnoteText"/>
      </w:pPr>
      <w:r>
        <w:rPr>
          <w:rStyle w:val="FootnoteReference"/>
        </w:rPr>
        <w:footnoteRef/>
      </w:r>
      <w:r>
        <w:t xml:space="preserve"> </w:t>
      </w:r>
      <w:r w:rsidRPr="00DC33C7">
        <w:t>Ortiz</w:t>
      </w:r>
      <w:r w:rsidR="008337E7">
        <w:t xml:space="preserve"> </w:t>
      </w:r>
      <w:r w:rsidR="00C304BA">
        <w:t xml:space="preserve">A., Germain D.P., Desnick R.J., </w:t>
      </w:r>
      <w:r w:rsidRPr="00DC33C7">
        <w:t>et al.</w:t>
      </w:r>
      <w:r w:rsidR="008337E7">
        <w:t>,</w:t>
      </w:r>
      <w:r w:rsidRPr="00DC33C7">
        <w:t xml:space="preserve"> </w:t>
      </w:r>
      <w:r w:rsidR="0045345A">
        <w:t>2018, ‘</w:t>
      </w:r>
      <w:r w:rsidRPr="00DC33C7">
        <w:t>Fabry disease revisited: management and treatment recommendations for adult patients</w:t>
      </w:r>
      <w:r w:rsidR="0045345A">
        <w:t>’</w:t>
      </w:r>
      <w:r w:rsidR="00C304BA">
        <w:t>,</w:t>
      </w:r>
      <w:r w:rsidRPr="00DC33C7">
        <w:t xml:space="preserve"> Mol </w:t>
      </w:r>
      <w:r w:rsidR="00C304BA">
        <w:t>Genet</w:t>
      </w:r>
      <w:r w:rsidRPr="00DC33C7">
        <w:t xml:space="preserve"> </w:t>
      </w:r>
      <w:r w:rsidR="00C304BA">
        <w:t>M</w:t>
      </w:r>
      <w:r w:rsidRPr="00DC33C7">
        <w:t>etab123</w:t>
      </w:r>
      <w:r w:rsidR="00C304BA">
        <w:t>(4)</w:t>
      </w:r>
      <w:r w:rsidRPr="00DC33C7">
        <w:t xml:space="preserve">, </w:t>
      </w:r>
      <w:r w:rsidR="00C304BA">
        <w:t xml:space="preserve">pp. </w:t>
      </w:r>
      <w:r w:rsidRPr="00DC33C7">
        <w:t>416-27.</w:t>
      </w:r>
    </w:p>
  </w:footnote>
  <w:footnote w:id="15">
    <w:p w14:paraId="383BB4EE" w14:textId="77777777" w:rsidR="003C7007" w:rsidRPr="00B31389" w:rsidRDefault="003C7007" w:rsidP="003C7007">
      <w:pPr>
        <w:pStyle w:val="FootnoteText"/>
      </w:pPr>
      <w:r>
        <w:rPr>
          <w:rStyle w:val="FootnoteReference"/>
        </w:rPr>
        <w:footnoteRef/>
      </w:r>
      <w:r w:rsidRPr="00B31389">
        <w:t>https://www.ebs.tga.gov.au/ebs/picmi/picmirepository.nsf/pdf?OpenAgent&amp;id=CP-2010-PI-04048-3&amp;d=20250324172310101&amp;d=20250413172310101</w:t>
      </w:r>
    </w:p>
  </w:footnote>
  <w:footnote w:id="16">
    <w:p w14:paraId="6598D98A" w14:textId="77777777" w:rsidR="003C7007" w:rsidRPr="00B31389" w:rsidRDefault="003C7007" w:rsidP="003C7007">
      <w:pPr>
        <w:pStyle w:val="FootnoteText"/>
      </w:pPr>
      <w:r>
        <w:rPr>
          <w:rStyle w:val="FootnoteReference"/>
        </w:rPr>
        <w:footnoteRef/>
      </w:r>
      <w:r w:rsidRPr="00B31389">
        <w:t>https://www.ebs.tga.gov.au/ebs/picmi/picmirepository.nsf/pdf?OpenAgent=&amp;id=CP-2010-PI-04342-3&amp;d=20250321172310101</w:t>
      </w:r>
    </w:p>
  </w:footnote>
  <w:footnote w:id="17">
    <w:p w14:paraId="7BF57928" w14:textId="77777777" w:rsidR="006E09FB" w:rsidRDefault="006E09FB" w:rsidP="006E09FB">
      <w:pPr>
        <w:pStyle w:val="FootnoteText"/>
      </w:pPr>
      <w:r>
        <w:rPr>
          <w:rStyle w:val="FootnoteReference"/>
        </w:rPr>
        <w:footnoteRef/>
      </w:r>
      <w:r w:rsidRPr="00B31389">
        <w:t xml:space="preserve"> Lidove et al. </w:t>
      </w:r>
      <w:r>
        <w:t>(2016), ‘Fabry in the older patient: Clinical consequences and possibilities for treatment’, Molecular Genetics and Metabolism, Volume 118, Issue 4, 2016, Pages 319-325, https://doi.org/10.1016/j.ymgme.2016.05.009.</w:t>
      </w:r>
    </w:p>
  </w:footnote>
  <w:footnote w:id="18">
    <w:p w14:paraId="16531660" w14:textId="77777777" w:rsidR="006E09FB" w:rsidRDefault="006E09FB" w:rsidP="006E09FB">
      <w:pPr>
        <w:pStyle w:val="FootnoteText"/>
      </w:pPr>
      <w:r>
        <w:rPr>
          <w:rStyle w:val="FootnoteReference"/>
        </w:rPr>
        <w:footnoteRef/>
      </w:r>
      <w:r>
        <w:t xml:space="preserve"> </w:t>
      </w:r>
      <w:r w:rsidRPr="00F51246">
        <w:t>Kim SH</w:t>
      </w:r>
      <w:r>
        <w:t xml:space="preserve"> &amp; </w:t>
      </w:r>
      <w:r w:rsidRPr="00F51246">
        <w:t>Choi SJ</w:t>
      </w:r>
      <w:r>
        <w:t xml:space="preserve"> (2023), ‘</w:t>
      </w:r>
      <w:r w:rsidRPr="00F51246">
        <w:t>Management of Hypertension in Fabry Disease</w:t>
      </w:r>
      <w:r>
        <w:t>’</w:t>
      </w:r>
      <w:r w:rsidRPr="00F51246">
        <w:t>. Electrolyte Blood Press. 2023 Jun;21(1):8-17. doi: 10.5049/EBP.2023.21.1.8.</w:t>
      </w:r>
    </w:p>
  </w:footnote>
  <w:footnote w:id="19">
    <w:p w14:paraId="44EE4CFE" w14:textId="77777777" w:rsidR="006E09FB" w:rsidRDefault="006E09FB" w:rsidP="006E09FB">
      <w:pPr>
        <w:pStyle w:val="FootnoteText"/>
      </w:pPr>
      <w:r>
        <w:rPr>
          <w:rStyle w:val="FootnoteReference"/>
        </w:rPr>
        <w:footnoteRef/>
      </w:r>
      <w:r>
        <w:t xml:space="preserve"> </w:t>
      </w:r>
      <w:r w:rsidRPr="00BD3825">
        <w:t xml:space="preserve">Schiffmann </w:t>
      </w:r>
      <w:r>
        <w:t>et al, (2009), ‘</w:t>
      </w:r>
      <w:r w:rsidRPr="00BD3825">
        <w:t>Fabry disease: progression of nephropathy, and prevalence of cardiac and cerebrovascular events before enzyme replacement therapy</w:t>
      </w:r>
      <w:r>
        <w:t>’</w:t>
      </w:r>
      <w:r w:rsidRPr="00BD3825">
        <w:t>. Nephrol Dial Transplant. 2009 Jul;24(7):2102-11. doi: 10.1093/ndt/gfp031</w:t>
      </w:r>
    </w:p>
  </w:footnote>
  <w:footnote w:id="20">
    <w:p w14:paraId="050C83F2" w14:textId="1157627D" w:rsidR="006E09FB" w:rsidRDefault="006E09FB" w:rsidP="006E09FB">
      <w:pPr>
        <w:pStyle w:val="FootnoteText"/>
      </w:pPr>
      <w:r>
        <w:rPr>
          <w:rStyle w:val="FootnoteReference"/>
        </w:rPr>
        <w:footnoteRef/>
      </w:r>
      <w:r>
        <w:t xml:space="preserve"> NICE (2023), ‘</w:t>
      </w:r>
      <w:r w:rsidRPr="00544771">
        <w:t>Pegunigalsidase alfa for treating Fabry disease</w:t>
      </w:r>
      <w:r>
        <w:t xml:space="preserve">: </w:t>
      </w:r>
      <w:r w:rsidRPr="00544771">
        <w:t>Technology appraisal guidance</w:t>
      </w:r>
      <w:r>
        <w:t xml:space="preserve">’, 4 October 2023, </w:t>
      </w:r>
      <w:r w:rsidR="00785BEF">
        <w:t xml:space="preserve">available at </w:t>
      </w:r>
      <w:r w:rsidRPr="00544771">
        <w:t>www.nice.org.uk/guidance/ta915</w:t>
      </w:r>
    </w:p>
  </w:footnote>
  <w:footnote w:id="21">
    <w:p w14:paraId="5E50E862" w14:textId="5E7A4542" w:rsidR="00920729" w:rsidRDefault="00920729" w:rsidP="00920729">
      <w:pPr>
        <w:pStyle w:val="FootnoteText"/>
      </w:pPr>
      <w:r>
        <w:rPr>
          <w:rStyle w:val="FootnoteReference"/>
        </w:rPr>
        <w:footnoteRef/>
      </w:r>
      <w:r>
        <w:t xml:space="preserve"> </w:t>
      </w:r>
      <w:r w:rsidRPr="003F1737">
        <w:t xml:space="preserve">Wallace </w:t>
      </w:r>
      <w:r>
        <w:t>et al, (2024), ‘</w:t>
      </w:r>
      <w:r w:rsidRPr="003F1737">
        <w:t>Head-to-head trial of pegunigalsidase alfa versus agalsidase beta in patients with Fabry disease and deteriorating renal function: results from the 2-year randomised phase III BALANCE study</w:t>
      </w:r>
      <w:r>
        <w:t>’</w:t>
      </w:r>
      <w:r w:rsidRPr="003F1737">
        <w:t>. J Med Genet. 2024 May 21;61(6):520-30. doi: 10.1136/jmg-2023-109445.</w:t>
      </w:r>
    </w:p>
  </w:footnote>
  <w:footnote w:id="22">
    <w:p w14:paraId="60EFDF3A" w14:textId="75A54AD5" w:rsidR="00920729" w:rsidRDefault="00920729" w:rsidP="00920729">
      <w:pPr>
        <w:pStyle w:val="FootnoteText"/>
      </w:pPr>
      <w:r>
        <w:rPr>
          <w:rStyle w:val="FootnoteReference"/>
        </w:rPr>
        <w:footnoteRef/>
      </w:r>
      <w:r>
        <w:t xml:space="preserve"> </w:t>
      </w:r>
      <w:r w:rsidRPr="00921328">
        <w:t xml:space="preserve">Lenders </w:t>
      </w:r>
      <w:r>
        <w:t>et al, (2018), ‘</w:t>
      </w:r>
      <w:r w:rsidRPr="00921328">
        <w:t>Dose-Dependent Effect of Enzyme Replacement Therapy on Neutralizing Antidrug Antibody Titers and Clinical Outcome in Patients with Fabry Disease</w:t>
      </w:r>
      <w:r>
        <w:t xml:space="preserve">’, </w:t>
      </w:r>
      <w:r w:rsidRPr="00921328">
        <w:t>J Am Soc Nephrol. 2018 Dec;29(12):2879-89. doi: 10.1681/ASN.2018070740. </w:t>
      </w:r>
    </w:p>
  </w:footnote>
  <w:footnote w:id="23">
    <w:p w14:paraId="6D5395ED" w14:textId="77777777" w:rsidR="00920729" w:rsidRDefault="00920729" w:rsidP="00920729">
      <w:pPr>
        <w:pStyle w:val="FootnoteText"/>
      </w:pPr>
      <w:r>
        <w:rPr>
          <w:rStyle w:val="FootnoteReference"/>
        </w:rPr>
        <w:footnoteRef/>
      </w:r>
      <w:r>
        <w:t xml:space="preserve"> </w:t>
      </w:r>
      <w:r w:rsidRPr="00B456DC">
        <w:t>Torra R.</w:t>
      </w:r>
      <w:r>
        <w:t>, (2008), ‘</w:t>
      </w:r>
      <w:r w:rsidRPr="00B456DC">
        <w:t>Renal manifestations in Fabry disease and therapeutic options</w:t>
      </w:r>
      <w:r>
        <w:t xml:space="preserve">’, </w:t>
      </w:r>
      <w:r w:rsidRPr="00B456DC">
        <w:t>Kidney Int Suppl. 2008 Dec;(111):S29-32. doi: 10.1038/ki.2008.522.</w:t>
      </w:r>
    </w:p>
  </w:footnote>
  <w:footnote w:id="24">
    <w:p w14:paraId="3AAB877B" w14:textId="77777777" w:rsidR="00920729" w:rsidRPr="00D743B6" w:rsidRDefault="00920729" w:rsidP="00920729">
      <w:pPr>
        <w:pStyle w:val="FootnoteText"/>
        <w:rPr>
          <w:lang w:val="fr-CA"/>
        </w:rPr>
      </w:pPr>
      <w:r>
        <w:rPr>
          <w:rStyle w:val="FootnoteReference"/>
        </w:rPr>
        <w:footnoteRef/>
      </w:r>
      <w:r>
        <w:t xml:space="preserve"> </w:t>
      </w:r>
      <w:r w:rsidRPr="00886E81">
        <w:t>Mauhin</w:t>
      </w:r>
      <w:r>
        <w:t xml:space="preserve"> et al, (2018), ‘</w:t>
      </w:r>
      <w:r w:rsidRPr="00886E81">
        <w:t xml:space="preserve">Deep </w:t>
      </w:r>
      <w:r w:rsidRPr="00690EA3">
        <w:t>characterization of the anti-drug antibodies developed in Fabry disease patients, a prospective analysis from the French multicenter cohort FFABRY’. </w:t>
      </w:r>
      <w:r w:rsidRPr="00D2098F">
        <w:t>Orphanet J Rare Dis 13, 127. https://doi.org/10.1186/s13023-018-0877-4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9C3" w14:textId="77777777" w:rsidR="0067772E" w:rsidRDefault="0067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41EE977" w:rsidR="00D843F2" w:rsidRPr="00195452" w:rsidRDefault="002D4BEE" w:rsidP="00D822E2">
    <w:pPr>
      <w:pStyle w:val="Header"/>
      <w:rPr>
        <w:rFonts w:asciiTheme="minorHAnsi" w:hAnsiTheme="minorHAnsi"/>
        <w:i w:val="0"/>
        <w:color w:val="808080"/>
      </w:rPr>
    </w:pPr>
    <w:r w:rsidRPr="002D4BEE">
      <w:rPr>
        <w:rFonts w:asciiTheme="minorHAnsi" w:hAnsiTheme="minorHAnsi"/>
        <w:color w:val="808080"/>
      </w:rPr>
      <w:t>Public Summary Document</w:t>
    </w:r>
    <w:r w:rsidR="00DF6C35">
      <w:rPr>
        <w:rFonts w:asciiTheme="minorHAnsi" w:hAnsiTheme="minorHAnsi"/>
        <w:color w:val="808080"/>
      </w:rPr>
      <w:t xml:space="preserve">– </w:t>
    </w:r>
    <w:r w:rsidR="00834064">
      <w:rPr>
        <w:rFonts w:asciiTheme="minorHAnsi" w:hAnsiTheme="minorHAnsi"/>
        <w:color w:val="808080"/>
      </w:rPr>
      <w:t>July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BEC4" w14:textId="77777777" w:rsidR="0067772E" w:rsidRDefault="0067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05003"/>
    <w:multiLevelType w:val="hybridMultilevel"/>
    <w:tmpl w:val="7A2C71A2"/>
    <w:lvl w:ilvl="0" w:tplc="B25AA1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43E0F"/>
    <w:multiLevelType w:val="hybridMultilevel"/>
    <w:tmpl w:val="EFE0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31F06"/>
    <w:multiLevelType w:val="hybridMultilevel"/>
    <w:tmpl w:val="AA2CF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1F2101"/>
    <w:multiLevelType w:val="hybridMultilevel"/>
    <w:tmpl w:val="3DFC55EC"/>
    <w:lvl w:ilvl="0" w:tplc="F1AC0FD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346AD7"/>
    <w:multiLevelType w:val="hybridMultilevel"/>
    <w:tmpl w:val="555E7E34"/>
    <w:lvl w:ilvl="0" w:tplc="CFBE442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F44C53"/>
    <w:multiLevelType w:val="hybridMultilevel"/>
    <w:tmpl w:val="E474C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E7610"/>
    <w:multiLevelType w:val="hybridMultilevel"/>
    <w:tmpl w:val="2E2A7FE6"/>
    <w:lvl w:ilvl="0" w:tplc="2A7C2E7A">
      <w:start w:val="3"/>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42B709E"/>
    <w:multiLevelType w:val="hybridMultilevel"/>
    <w:tmpl w:val="ABD0D166"/>
    <w:lvl w:ilvl="0" w:tplc="D9DA43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5251875">
    <w:abstractNumId w:val="11"/>
  </w:num>
  <w:num w:numId="2" w16cid:durableId="1651979797">
    <w:abstractNumId w:val="7"/>
  </w:num>
  <w:num w:numId="3" w16cid:durableId="985469962">
    <w:abstractNumId w:val="0"/>
  </w:num>
  <w:num w:numId="4" w16cid:durableId="1569729365">
    <w:abstractNumId w:val="9"/>
  </w:num>
  <w:num w:numId="5" w16cid:durableId="1485732853">
    <w:abstractNumId w:val="5"/>
  </w:num>
  <w:num w:numId="6" w16cid:durableId="418256758">
    <w:abstractNumId w:val="11"/>
  </w:num>
  <w:num w:numId="7" w16cid:durableId="822896495">
    <w:abstractNumId w:val="6"/>
  </w:num>
  <w:num w:numId="8" w16cid:durableId="86197027">
    <w:abstractNumId w:val="2"/>
  </w:num>
  <w:num w:numId="9" w16cid:durableId="1902671183">
    <w:abstractNumId w:val="1"/>
  </w:num>
  <w:num w:numId="10" w16cid:durableId="2079789032">
    <w:abstractNumId w:val="3"/>
  </w:num>
  <w:num w:numId="11" w16cid:durableId="1268853039">
    <w:abstractNumId w:val="4"/>
  </w:num>
  <w:num w:numId="12" w16cid:durableId="1218861615">
    <w:abstractNumId w:val="10"/>
  </w:num>
  <w:num w:numId="13" w16cid:durableId="10455695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95"/>
    <w:rsid w:val="00000790"/>
    <w:rsid w:val="000007E8"/>
    <w:rsid w:val="0000110B"/>
    <w:rsid w:val="000011BA"/>
    <w:rsid w:val="000017C7"/>
    <w:rsid w:val="00002342"/>
    <w:rsid w:val="000026C7"/>
    <w:rsid w:val="00002C1D"/>
    <w:rsid w:val="00003499"/>
    <w:rsid w:val="000039B7"/>
    <w:rsid w:val="00003BDD"/>
    <w:rsid w:val="00004BCF"/>
    <w:rsid w:val="00004E83"/>
    <w:rsid w:val="000050E4"/>
    <w:rsid w:val="000053CE"/>
    <w:rsid w:val="000056B9"/>
    <w:rsid w:val="00005B04"/>
    <w:rsid w:val="00005D78"/>
    <w:rsid w:val="00005EDC"/>
    <w:rsid w:val="0000633D"/>
    <w:rsid w:val="0000639A"/>
    <w:rsid w:val="000065C6"/>
    <w:rsid w:val="00006A62"/>
    <w:rsid w:val="00007620"/>
    <w:rsid w:val="00007807"/>
    <w:rsid w:val="00007862"/>
    <w:rsid w:val="00007922"/>
    <w:rsid w:val="00007A20"/>
    <w:rsid w:val="00007F6F"/>
    <w:rsid w:val="00010270"/>
    <w:rsid w:val="0001058C"/>
    <w:rsid w:val="0001061C"/>
    <w:rsid w:val="00011C3E"/>
    <w:rsid w:val="00011E28"/>
    <w:rsid w:val="00011E8A"/>
    <w:rsid w:val="000124BF"/>
    <w:rsid w:val="0001285A"/>
    <w:rsid w:val="000128B2"/>
    <w:rsid w:val="00013247"/>
    <w:rsid w:val="000135C5"/>
    <w:rsid w:val="00013C84"/>
    <w:rsid w:val="00014056"/>
    <w:rsid w:val="00014452"/>
    <w:rsid w:val="000146A9"/>
    <w:rsid w:val="00014C35"/>
    <w:rsid w:val="00014DD0"/>
    <w:rsid w:val="000151C9"/>
    <w:rsid w:val="00015407"/>
    <w:rsid w:val="0001564E"/>
    <w:rsid w:val="000156AE"/>
    <w:rsid w:val="00015886"/>
    <w:rsid w:val="00015C8E"/>
    <w:rsid w:val="000162EF"/>
    <w:rsid w:val="0001729E"/>
    <w:rsid w:val="00020642"/>
    <w:rsid w:val="000206B2"/>
    <w:rsid w:val="000207C9"/>
    <w:rsid w:val="00020D06"/>
    <w:rsid w:val="00020F2E"/>
    <w:rsid w:val="00021225"/>
    <w:rsid w:val="000215B9"/>
    <w:rsid w:val="0002186F"/>
    <w:rsid w:val="0002199E"/>
    <w:rsid w:val="00021A97"/>
    <w:rsid w:val="00021C9D"/>
    <w:rsid w:val="0002225F"/>
    <w:rsid w:val="000225E2"/>
    <w:rsid w:val="00022987"/>
    <w:rsid w:val="00022ED0"/>
    <w:rsid w:val="00023763"/>
    <w:rsid w:val="00024A9E"/>
    <w:rsid w:val="00024D20"/>
    <w:rsid w:val="00024EB5"/>
    <w:rsid w:val="00024F0D"/>
    <w:rsid w:val="00025223"/>
    <w:rsid w:val="0002543A"/>
    <w:rsid w:val="00025E49"/>
    <w:rsid w:val="0002604A"/>
    <w:rsid w:val="0002655D"/>
    <w:rsid w:val="00026D60"/>
    <w:rsid w:val="000274B8"/>
    <w:rsid w:val="00027CFD"/>
    <w:rsid w:val="00027FE7"/>
    <w:rsid w:val="000300BF"/>
    <w:rsid w:val="00030764"/>
    <w:rsid w:val="000308C7"/>
    <w:rsid w:val="00030A2F"/>
    <w:rsid w:val="00030BA4"/>
    <w:rsid w:val="00030D04"/>
    <w:rsid w:val="00031816"/>
    <w:rsid w:val="000318FA"/>
    <w:rsid w:val="00031C20"/>
    <w:rsid w:val="0003216F"/>
    <w:rsid w:val="000322B7"/>
    <w:rsid w:val="0003230D"/>
    <w:rsid w:val="00032670"/>
    <w:rsid w:val="00032746"/>
    <w:rsid w:val="00032A42"/>
    <w:rsid w:val="0003347A"/>
    <w:rsid w:val="00033863"/>
    <w:rsid w:val="000339F6"/>
    <w:rsid w:val="00033C2D"/>
    <w:rsid w:val="00033EFB"/>
    <w:rsid w:val="00033FBF"/>
    <w:rsid w:val="00034BCE"/>
    <w:rsid w:val="00034C86"/>
    <w:rsid w:val="0003521A"/>
    <w:rsid w:val="00035A71"/>
    <w:rsid w:val="00035DC0"/>
    <w:rsid w:val="00035F4E"/>
    <w:rsid w:val="000367D4"/>
    <w:rsid w:val="00036829"/>
    <w:rsid w:val="00037007"/>
    <w:rsid w:val="0003708C"/>
    <w:rsid w:val="00037C5F"/>
    <w:rsid w:val="00037DC1"/>
    <w:rsid w:val="000400EB"/>
    <w:rsid w:val="00040225"/>
    <w:rsid w:val="000403F9"/>
    <w:rsid w:val="000406A1"/>
    <w:rsid w:val="00040895"/>
    <w:rsid w:val="000410A0"/>
    <w:rsid w:val="000413A0"/>
    <w:rsid w:val="00041C1B"/>
    <w:rsid w:val="00041DAA"/>
    <w:rsid w:val="000429FF"/>
    <w:rsid w:val="00042A8D"/>
    <w:rsid w:val="00042C7F"/>
    <w:rsid w:val="00042D46"/>
    <w:rsid w:val="00042EFE"/>
    <w:rsid w:val="00043187"/>
    <w:rsid w:val="000435EE"/>
    <w:rsid w:val="0004365F"/>
    <w:rsid w:val="00043974"/>
    <w:rsid w:val="00043C37"/>
    <w:rsid w:val="00043D1F"/>
    <w:rsid w:val="000445DE"/>
    <w:rsid w:val="00044BC3"/>
    <w:rsid w:val="00044CBE"/>
    <w:rsid w:val="00045017"/>
    <w:rsid w:val="00045686"/>
    <w:rsid w:val="00045A2B"/>
    <w:rsid w:val="00045DE1"/>
    <w:rsid w:val="00046177"/>
    <w:rsid w:val="00046465"/>
    <w:rsid w:val="0004698F"/>
    <w:rsid w:val="00046D64"/>
    <w:rsid w:val="00046F6F"/>
    <w:rsid w:val="000474DC"/>
    <w:rsid w:val="00047770"/>
    <w:rsid w:val="00047C4F"/>
    <w:rsid w:val="0005009F"/>
    <w:rsid w:val="0005019D"/>
    <w:rsid w:val="000507D6"/>
    <w:rsid w:val="000508C2"/>
    <w:rsid w:val="00050B6D"/>
    <w:rsid w:val="00050DBE"/>
    <w:rsid w:val="0005160E"/>
    <w:rsid w:val="00052277"/>
    <w:rsid w:val="00052873"/>
    <w:rsid w:val="00052E53"/>
    <w:rsid w:val="0005338A"/>
    <w:rsid w:val="000537E7"/>
    <w:rsid w:val="00053899"/>
    <w:rsid w:val="000539D0"/>
    <w:rsid w:val="000540FF"/>
    <w:rsid w:val="000543A7"/>
    <w:rsid w:val="00054526"/>
    <w:rsid w:val="00054621"/>
    <w:rsid w:val="000546D7"/>
    <w:rsid w:val="00054A8D"/>
    <w:rsid w:val="00054CB0"/>
    <w:rsid w:val="00055709"/>
    <w:rsid w:val="00055918"/>
    <w:rsid w:val="00055978"/>
    <w:rsid w:val="00055C24"/>
    <w:rsid w:val="000560E3"/>
    <w:rsid w:val="00056254"/>
    <w:rsid w:val="000567AB"/>
    <w:rsid w:val="00056922"/>
    <w:rsid w:val="00056E74"/>
    <w:rsid w:val="00056ECF"/>
    <w:rsid w:val="00057256"/>
    <w:rsid w:val="000576E0"/>
    <w:rsid w:val="00060090"/>
    <w:rsid w:val="000603C9"/>
    <w:rsid w:val="000604DF"/>
    <w:rsid w:val="000607AD"/>
    <w:rsid w:val="00060990"/>
    <w:rsid w:val="00060A19"/>
    <w:rsid w:val="00060D45"/>
    <w:rsid w:val="00060F40"/>
    <w:rsid w:val="0006138F"/>
    <w:rsid w:val="00061592"/>
    <w:rsid w:val="0006182F"/>
    <w:rsid w:val="00061A68"/>
    <w:rsid w:val="00061EF3"/>
    <w:rsid w:val="00062324"/>
    <w:rsid w:val="00062B13"/>
    <w:rsid w:val="00062C7C"/>
    <w:rsid w:val="00062E3F"/>
    <w:rsid w:val="00062E54"/>
    <w:rsid w:val="0006325C"/>
    <w:rsid w:val="00064313"/>
    <w:rsid w:val="0006480C"/>
    <w:rsid w:val="00064CAD"/>
    <w:rsid w:val="000653B5"/>
    <w:rsid w:val="000662C6"/>
    <w:rsid w:val="00066360"/>
    <w:rsid w:val="0006658E"/>
    <w:rsid w:val="00066AF8"/>
    <w:rsid w:val="00066CAA"/>
    <w:rsid w:val="000672D9"/>
    <w:rsid w:val="00067339"/>
    <w:rsid w:val="00067616"/>
    <w:rsid w:val="0006788E"/>
    <w:rsid w:val="0007019B"/>
    <w:rsid w:val="000707A5"/>
    <w:rsid w:val="00070838"/>
    <w:rsid w:val="00070B32"/>
    <w:rsid w:val="00071248"/>
    <w:rsid w:val="0007152F"/>
    <w:rsid w:val="00071628"/>
    <w:rsid w:val="0007183F"/>
    <w:rsid w:val="00071ABE"/>
    <w:rsid w:val="000720B9"/>
    <w:rsid w:val="00072142"/>
    <w:rsid w:val="000723B1"/>
    <w:rsid w:val="00072431"/>
    <w:rsid w:val="0007245D"/>
    <w:rsid w:val="000726E4"/>
    <w:rsid w:val="0007335F"/>
    <w:rsid w:val="000737F7"/>
    <w:rsid w:val="000746A1"/>
    <w:rsid w:val="00074E72"/>
    <w:rsid w:val="00074F5F"/>
    <w:rsid w:val="000757FD"/>
    <w:rsid w:val="000759E5"/>
    <w:rsid w:val="00075CF6"/>
    <w:rsid w:val="0007672F"/>
    <w:rsid w:val="0007674C"/>
    <w:rsid w:val="00076B54"/>
    <w:rsid w:val="00076EBD"/>
    <w:rsid w:val="00076F02"/>
    <w:rsid w:val="000772D3"/>
    <w:rsid w:val="000773C2"/>
    <w:rsid w:val="000774F0"/>
    <w:rsid w:val="00077745"/>
    <w:rsid w:val="000779CE"/>
    <w:rsid w:val="00077A55"/>
    <w:rsid w:val="00080021"/>
    <w:rsid w:val="00080909"/>
    <w:rsid w:val="000812BC"/>
    <w:rsid w:val="000812CA"/>
    <w:rsid w:val="000812F9"/>
    <w:rsid w:val="00081642"/>
    <w:rsid w:val="00081874"/>
    <w:rsid w:val="00081E63"/>
    <w:rsid w:val="0008258D"/>
    <w:rsid w:val="000829FF"/>
    <w:rsid w:val="00082D86"/>
    <w:rsid w:val="00083E99"/>
    <w:rsid w:val="00083F56"/>
    <w:rsid w:val="0008445D"/>
    <w:rsid w:val="00084E63"/>
    <w:rsid w:val="00084FA8"/>
    <w:rsid w:val="000856C5"/>
    <w:rsid w:val="00085905"/>
    <w:rsid w:val="00085A71"/>
    <w:rsid w:val="00085C31"/>
    <w:rsid w:val="00085C5E"/>
    <w:rsid w:val="00086184"/>
    <w:rsid w:val="000864DD"/>
    <w:rsid w:val="00086CDA"/>
    <w:rsid w:val="00087081"/>
    <w:rsid w:val="00087382"/>
    <w:rsid w:val="000873DC"/>
    <w:rsid w:val="000875F1"/>
    <w:rsid w:val="00087F78"/>
    <w:rsid w:val="00090174"/>
    <w:rsid w:val="000902D9"/>
    <w:rsid w:val="00090558"/>
    <w:rsid w:val="00090C7E"/>
    <w:rsid w:val="00090D0A"/>
    <w:rsid w:val="00090D10"/>
    <w:rsid w:val="000910B0"/>
    <w:rsid w:val="000911AC"/>
    <w:rsid w:val="000913E3"/>
    <w:rsid w:val="00091543"/>
    <w:rsid w:val="00091886"/>
    <w:rsid w:val="00091947"/>
    <w:rsid w:val="000919E7"/>
    <w:rsid w:val="00091BFB"/>
    <w:rsid w:val="00092063"/>
    <w:rsid w:val="000924D4"/>
    <w:rsid w:val="00092556"/>
    <w:rsid w:val="000925A5"/>
    <w:rsid w:val="00092600"/>
    <w:rsid w:val="0009262B"/>
    <w:rsid w:val="00093207"/>
    <w:rsid w:val="00093310"/>
    <w:rsid w:val="0009445C"/>
    <w:rsid w:val="00094A38"/>
    <w:rsid w:val="000950C6"/>
    <w:rsid w:val="00095200"/>
    <w:rsid w:val="0009520E"/>
    <w:rsid w:val="00095711"/>
    <w:rsid w:val="00095855"/>
    <w:rsid w:val="000959E7"/>
    <w:rsid w:val="00095FE5"/>
    <w:rsid w:val="00096284"/>
    <w:rsid w:val="000964BE"/>
    <w:rsid w:val="0009689C"/>
    <w:rsid w:val="0009696D"/>
    <w:rsid w:val="00096ADF"/>
    <w:rsid w:val="00096E5C"/>
    <w:rsid w:val="00096F2E"/>
    <w:rsid w:val="00097755"/>
    <w:rsid w:val="00097855"/>
    <w:rsid w:val="00097AAD"/>
    <w:rsid w:val="000A0C36"/>
    <w:rsid w:val="000A0E25"/>
    <w:rsid w:val="000A0F7D"/>
    <w:rsid w:val="000A1279"/>
    <w:rsid w:val="000A164C"/>
    <w:rsid w:val="000A19E2"/>
    <w:rsid w:val="000A1BC0"/>
    <w:rsid w:val="000A2149"/>
    <w:rsid w:val="000A23FD"/>
    <w:rsid w:val="000A25D0"/>
    <w:rsid w:val="000A2F9E"/>
    <w:rsid w:val="000A32BD"/>
    <w:rsid w:val="000A360C"/>
    <w:rsid w:val="000A38C0"/>
    <w:rsid w:val="000A38F5"/>
    <w:rsid w:val="000A3B2E"/>
    <w:rsid w:val="000A3E47"/>
    <w:rsid w:val="000A400F"/>
    <w:rsid w:val="000A408C"/>
    <w:rsid w:val="000A492E"/>
    <w:rsid w:val="000A4D8C"/>
    <w:rsid w:val="000A510E"/>
    <w:rsid w:val="000A522B"/>
    <w:rsid w:val="000A5542"/>
    <w:rsid w:val="000A563E"/>
    <w:rsid w:val="000A5649"/>
    <w:rsid w:val="000A5CF9"/>
    <w:rsid w:val="000A5D6B"/>
    <w:rsid w:val="000A6039"/>
    <w:rsid w:val="000A6F5E"/>
    <w:rsid w:val="000A7453"/>
    <w:rsid w:val="000A7D08"/>
    <w:rsid w:val="000B0121"/>
    <w:rsid w:val="000B0670"/>
    <w:rsid w:val="000B08DD"/>
    <w:rsid w:val="000B0B28"/>
    <w:rsid w:val="000B0E75"/>
    <w:rsid w:val="000B1501"/>
    <w:rsid w:val="000B1914"/>
    <w:rsid w:val="000B1C26"/>
    <w:rsid w:val="000B1DDF"/>
    <w:rsid w:val="000B1EF4"/>
    <w:rsid w:val="000B2008"/>
    <w:rsid w:val="000B2AD8"/>
    <w:rsid w:val="000B2BA8"/>
    <w:rsid w:val="000B2DCB"/>
    <w:rsid w:val="000B3211"/>
    <w:rsid w:val="000B34F7"/>
    <w:rsid w:val="000B3AF4"/>
    <w:rsid w:val="000B3FA1"/>
    <w:rsid w:val="000B41B3"/>
    <w:rsid w:val="000B4243"/>
    <w:rsid w:val="000B42B4"/>
    <w:rsid w:val="000B483F"/>
    <w:rsid w:val="000B4F9C"/>
    <w:rsid w:val="000B4FAD"/>
    <w:rsid w:val="000B51AB"/>
    <w:rsid w:val="000B56D0"/>
    <w:rsid w:val="000B5CE0"/>
    <w:rsid w:val="000B6757"/>
    <w:rsid w:val="000B6CAC"/>
    <w:rsid w:val="000B7230"/>
    <w:rsid w:val="000B7428"/>
    <w:rsid w:val="000B7612"/>
    <w:rsid w:val="000B78AE"/>
    <w:rsid w:val="000B7AE6"/>
    <w:rsid w:val="000C054A"/>
    <w:rsid w:val="000C09FE"/>
    <w:rsid w:val="000C0A78"/>
    <w:rsid w:val="000C0BF4"/>
    <w:rsid w:val="000C1420"/>
    <w:rsid w:val="000C1AC5"/>
    <w:rsid w:val="000C215A"/>
    <w:rsid w:val="000C32F9"/>
    <w:rsid w:val="000C3744"/>
    <w:rsid w:val="000C3756"/>
    <w:rsid w:val="000C37BB"/>
    <w:rsid w:val="000C3831"/>
    <w:rsid w:val="000C3DF9"/>
    <w:rsid w:val="000C4043"/>
    <w:rsid w:val="000C4CF2"/>
    <w:rsid w:val="000C50BB"/>
    <w:rsid w:val="000C5529"/>
    <w:rsid w:val="000C56CF"/>
    <w:rsid w:val="000C615D"/>
    <w:rsid w:val="000C6215"/>
    <w:rsid w:val="000C66B1"/>
    <w:rsid w:val="000C66C0"/>
    <w:rsid w:val="000C6713"/>
    <w:rsid w:val="000C6E13"/>
    <w:rsid w:val="000C7306"/>
    <w:rsid w:val="000C76F0"/>
    <w:rsid w:val="000C79CA"/>
    <w:rsid w:val="000C7CDC"/>
    <w:rsid w:val="000C7DF4"/>
    <w:rsid w:val="000D07D0"/>
    <w:rsid w:val="000D1722"/>
    <w:rsid w:val="000D190E"/>
    <w:rsid w:val="000D1BFC"/>
    <w:rsid w:val="000D1D1D"/>
    <w:rsid w:val="000D1D5D"/>
    <w:rsid w:val="000D1E92"/>
    <w:rsid w:val="000D256A"/>
    <w:rsid w:val="000D273D"/>
    <w:rsid w:val="000D281A"/>
    <w:rsid w:val="000D2848"/>
    <w:rsid w:val="000D326A"/>
    <w:rsid w:val="000D351C"/>
    <w:rsid w:val="000D352F"/>
    <w:rsid w:val="000D414D"/>
    <w:rsid w:val="000D4843"/>
    <w:rsid w:val="000D512F"/>
    <w:rsid w:val="000D51FB"/>
    <w:rsid w:val="000D5AB4"/>
    <w:rsid w:val="000D61B6"/>
    <w:rsid w:val="000D6443"/>
    <w:rsid w:val="000D66B6"/>
    <w:rsid w:val="000D682B"/>
    <w:rsid w:val="000D6970"/>
    <w:rsid w:val="000D69B0"/>
    <w:rsid w:val="000D6E72"/>
    <w:rsid w:val="000D6F3E"/>
    <w:rsid w:val="000D765C"/>
    <w:rsid w:val="000D76C7"/>
    <w:rsid w:val="000D7730"/>
    <w:rsid w:val="000D7C43"/>
    <w:rsid w:val="000D7E3E"/>
    <w:rsid w:val="000E0640"/>
    <w:rsid w:val="000E106C"/>
    <w:rsid w:val="000E10D4"/>
    <w:rsid w:val="000E1150"/>
    <w:rsid w:val="000E11AA"/>
    <w:rsid w:val="000E135D"/>
    <w:rsid w:val="000E14C7"/>
    <w:rsid w:val="000E154D"/>
    <w:rsid w:val="000E19CB"/>
    <w:rsid w:val="000E2BF3"/>
    <w:rsid w:val="000E2E31"/>
    <w:rsid w:val="000E368C"/>
    <w:rsid w:val="000E387F"/>
    <w:rsid w:val="000E3964"/>
    <w:rsid w:val="000E4134"/>
    <w:rsid w:val="000E418E"/>
    <w:rsid w:val="000E42B8"/>
    <w:rsid w:val="000E4873"/>
    <w:rsid w:val="000E4F63"/>
    <w:rsid w:val="000E5197"/>
    <w:rsid w:val="000E51FA"/>
    <w:rsid w:val="000E59F1"/>
    <w:rsid w:val="000E5D8F"/>
    <w:rsid w:val="000E6283"/>
    <w:rsid w:val="000E6982"/>
    <w:rsid w:val="000E6C1D"/>
    <w:rsid w:val="000F00BA"/>
    <w:rsid w:val="000F14F2"/>
    <w:rsid w:val="000F1666"/>
    <w:rsid w:val="000F1C34"/>
    <w:rsid w:val="000F24C0"/>
    <w:rsid w:val="000F258A"/>
    <w:rsid w:val="000F25C2"/>
    <w:rsid w:val="000F2745"/>
    <w:rsid w:val="000F27FC"/>
    <w:rsid w:val="000F2EBC"/>
    <w:rsid w:val="000F2FC1"/>
    <w:rsid w:val="000F316A"/>
    <w:rsid w:val="000F3590"/>
    <w:rsid w:val="000F36DA"/>
    <w:rsid w:val="000F3C74"/>
    <w:rsid w:val="000F450A"/>
    <w:rsid w:val="000F46B0"/>
    <w:rsid w:val="000F4717"/>
    <w:rsid w:val="000F4B22"/>
    <w:rsid w:val="000F4BB8"/>
    <w:rsid w:val="000F4FA9"/>
    <w:rsid w:val="000F533E"/>
    <w:rsid w:val="000F53FB"/>
    <w:rsid w:val="000F5557"/>
    <w:rsid w:val="000F5568"/>
    <w:rsid w:val="000F58DD"/>
    <w:rsid w:val="000F5BC2"/>
    <w:rsid w:val="000F6929"/>
    <w:rsid w:val="000F6961"/>
    <w:rsid w:val="000F6CD0"/>
    <w:rsid w:val="000F6EA2"/>
    <w:rsid w:val="000F6EC5"/>
    <w:rsid w:val="000F7127"/>
    <w:rsid w:val="000F746A"/>
    <w:rsid w:val="000F7AFD"/>
    <w:rsid w:val="000F7B54"/>
    <w:rsid w:val="000F7D6E"/>
    <w:rsid w:val="001000B3"/>
    <w:rsid w:val="00100903"/>
    <w:rsid w:val="00100C8A"/>
    <w:rsid w:val="00100F8A"/>
    <w:rsid w:val="00101697"/>
    <w:rsid w:val="00101999"/>
    <w:rsid w:val="00101D95"/>
    <w:rsid w:val="00101EDE"/>
    <w:rsid w:val="00102C46"/>
    <w:rsid w:val="00102D75"/>
    <w:rsid w:val="00103304"/>
    <w:rsid w:val="001033BE"/>
    <w:rsid w:val="0010382B"/>
    <w:rsid w:val="00103854"/>
    <w:rsid w:val="00104287"/>
    <w:rsid w:val="0010433C"/>
    <w:rsid w:val="0010452E"/>
    <w:rsid w:val="00104537"/>
    <w:rsid w:val="00104BB9"/>
    <w:rsid w:val="001056DE"/>
    <w:rsid w:val="001057A5"/>
    <w:rsid w:val="00105AE2"/>
    <w:rsid w:val="00105B03"/>
    <w:rsid w:val="00105D95"/>
    <w:rsid w:val="00105EDE"/>
    <w:rsid w:val="001060C6"/>
    <w:rsid w:val="00106327"/>
    <w:rsid w:val="001063AB"/>
    <w:rsid w:val="00106B80"/>
    <w:rsid w:val="00107C95"/>
    <w:rsid w:val="0011032E"/>
    <w:rsid w:val="001103B7"/>
    <w:rsid w:val="00110841"/>
    <w:rsid w:val="00111330"/>
    <w:rsid w:val="00111B48"/>
    <w:rsid w:val="001126C1"/>
    <w:rsid w:val="00112721"/>
    <w:rsid w:val="001127C6"/>
    <w:rsid w:val="00112860"/>
    <w:rsid w:val="0011313E"/>
    <w:rsid w:val="00113142"/>
    <w:rsid w:val="00113259"/>
    <w:rsid w:val="0011348B"/>
    <w:rsid w:val="0011389C"/>
    <w:rsid w:val="00113A49"/>
    <w:rsid w:val="001140D2"/>
    <w:rsid w:val="0011434F"/>
    <w:rsid w:val="00114400"/>
    <w:rsid w:val="00115342"/>
    <w:rsid w:val="001153CD"/>
    <w:rsid w:val="00115409"/>
    <w:rsid w:val="00115429"/>
    <w:rsid w:val="0011556B"/>
    <w:rsid w:val="0011577A"/>
    <w:rsid w:val="0011594A"/>
    <w:rsid w:val="0011596A"/>
    <w:rsid w:val="00115982"/>
    <w:rsid w:val="00115F2F"/>
    <w:rsid w:val="00116ACA"/>
    <w:rsid w:val="00116C53"/>
    <w:rsid w:val="00116C77"/>
    <w:rsid w:val="00117277"/>
    <w:rsid w:val="001174A9"/>
    <w:rsid w:val="001200EC"/>
    <w:rsid w:val="00120633"/>
    <w:rsid w:val="00120B01"/>
    <w:rsid w:val="00120BA2"/>
    <w:rsid w:val="00120EC7"/>
    <w:rsid w:val="001211FD"/>
    <w:rsid w:val="00121700"/>
    <w:rsid w:val="00121799"/>
    <w:rsid w:val="00122038"/>
    <w:rsid w:val="001222FC"/>
    <w:rsid w:val="00122C0F"/>
    <w:rsid w:val="00122F0E"/>
    <w:rsid w:val="00123902"/>
    <w:rsid w:val="00123DB2"/>
    <w:rsid w:val="00123F1D"/>
    <w:rsid w:val="00124951"/>
    <w:rsid w:val="00124A51"/>
    <w:rsid w:val="00124B6C"/>
    <w:rsid w:val="00124CFA"/>
    <w:rsid w:val="0012512F"/>
    <w:rsid w:val="0012619A"/>
    <w:rsid w:val="0012647A"/>
    <w:rsid w:val="00126621"/>
    <w:rsid w:val="00126775"/>
    <w:rsid w:val="001267A8"/>
    <w:rsid w:val="00126B1D"/>
    <w:rsid w:val="001271F8"/>
    <w:rsid w:val="00127693"/>
    <w:rsid w:val="00127BA5"/>
    <w:rsid w:val="001301E9"/>
    <w:rsid w:val="001304B1"/>
    <w:rsid w:val="00130BF7"/>
    <w:rsid w:val="001312FE"/>
    <w:rsid w:val="00131D3D"/>
    <w:rsid w:val="00131D75"/>
    <w:rsid w:val="00131D82"/>
    <w:rsid w:val="0013222F"/>
    <w:rsid w:val="0013228C"/>
    <w:rsid w:val="0013242C"/>
    <w:rsid w:val="00132B22"/>
    <w:rsid w:val="00132DEE"/>
    <w:rsid w:val="0013334B"/>
    <w:rsid w:val="001334AF"/>
    <w:rsid w:val="00133A64"/>
    <w:rsid w:val="00133D36"/>
    <w:rsid w:val="00133D65"/>
    <w:rsid w:val="0013455D"/>
    <w:rsid w:val="00134D01"/>
    <w:rsid w:val="00134E77"/>
    <w:rsid w:val="0013523B"/>
    <w:rsid w:val="001359A9"/>
    <w:rsid w:val="00136246"/>
    <w:rsid w:val="001363CF"/>
    <w:rsid w:val="00136756"/>
    <w:rsid w:val="00136933"/>
    <w:rsid w:val="00136B06"/>
    <w:rsid w:val="00136B45"/>
    <w:rsid w:val="00136EF2"/>
    <w:rsid w:val="00137549"/>
    <w:rsid w:val="00137645"/>
    <w:rsid w:val="0013781F"/>
    <w:rsid w:val="00137E86"/>
    <w:rsid w:val="00137F4A"/>
    <w:rsid w:val="0014015A"/>
    <w:rsid w:val="001405BF"/>
    <w:rsid w:val="00140A9F"/>
    <w:rsid w:val="00140DB6"/>
    <w:rsid w:val="00140E99"/>
    <w:rsid w:val="00141281"/>
    <w:rsid w:val="0014139B"/>
    <w:rsid w:val="0014152B"/>
    <w:rsid w:val="00141557"/>
    <w:rsid w:val="0014176C"/>
    <w:rsid w:val="001418AC"/>
    <w:rsid w:val="00141E10"/>
    <w:rsid w:val="00142A98"/>
    <w:rsid w:val="00142B02"/>
    <w:rsid w:val="001433B8"/>
    <w:rsid w:val="00143F67"/>
    <w:rsid w:val="001443B2"/>
    <w:rsid w:val="001449F3"/>
    <w:rsid w:val="00145234"/>
    <w:rsid w:val="001454AB"/>
    <w:rsid w:val="00145540"/>
    <w:rsid w:val="001455DD"/>
    <w:rsid w:val="001455EC"/>
    <w:rsid w:val="001456B0"/>
    <w:rsid w:val="00145C37"/>
    <w:rsid w:val="00145D9A"/>
    <w:rsid w:val="0014695D"/>
    <w:rsid w:val="001500A6"/>
    <w:rsid w:val="0015061D"/>
    <w:rsid w:val="00150883"/>
    <w:rsid w:val="0015181B"/>
    <w:rsid w:val="00151C5A"/>
    <w:rsid w:val="00151F78"/>
    <w:rsid w:val="0015220E"/>
    <w:rsid w:val="00152706"/>
    <w:rsid w:val="00152718"/>
    <w:rsid w:val="001527EC"/>
    <w:rsid w:val="00152C5D"/>
    <w:rsid w:val="00152CA9"/>
    <w:rsid w:val="00152DCA"/>
    <w:rsid w:val="00152EA9"/>
    <w:rsid w:val="00153725"/>
    <w:rsid w:val="00153EF5"/>
    <w:rsid w:val="0015426C"/>
    <w:rsid w:val="0015462D"/>
    <w:rsid w:val="001547AB"/>
    <w:rsid w:val="00155D63"/>
    <w:rsid w:val="00155DFB"/>
    <w:rsid w:val="0015600A"/>
    <w:rsid w:val="00156435"/>
    <w:rsid w:val="00156B9F"/>
    <w:rsid w:val="00156F8F"/>
    <w:rsid w:val="00157130"/>
    <w:rsid w:val="001572D1"/>
    <w:rsid w:val="001576B1"/>
    <w:rsid w:val="00157B3D"/>
    <w:rsid w:val="0016047B"/>
    <w:rsid w:val="00160A4C"/>
    <w:rsid w:val="00160ADA"/>
    <w:rsid w:val="00160B8A"/>
    <w:rsid w:val="00160F93"/>
    <w:rsid w:val="0016113E"/>
    <w:rsid w:val="00161871"/>
    <w:rsid w:val="00161891"/>
    <w:rsid w:val="00162909"/>
    <w:rsid w:val="00162913"/>
    <w:rsid w:val="00162A70"/>
    <w:rsid w:val="00162C9E"/>
    <w:rsid w:val="00163474"/>
    <w:rsid w:val="00163D73"/>
    <w:rsid w:val="00163EFF"/>
    <w:rsid w:val="00163F66"/>
    <w:rsid w:val="00164078"/>
    <w:rsid w:val="0016478E"/>
    <w:rsid w:val="00164AAB"/>
    <w:rsid w:val="00165231"/>
    <w:rsid w:val="00165592"/>
    <w:rsid w:val="00165C29"/>
    <w:rsid w:val="00165EC4"/>
    <w:rsid w:val="001661FB"/>
    <w:rsid w:val="00166257"/>
    <w:rsid w:val="00166339"/>
    <w:rsid w:val="001663F9"/>
    <w:rsid w:val="00166BEB"/>
    <w:rsid w:val="001671A0"/>
    <w:rsid w:val="0016767F"/>
    <w:rsid w:val="00167A03"/>
    <w:rsid w:val="00167AEE"/>
    <w:rsid w:val="00167B62"/>
    <w:rsid w:val="00167E01"/>
    <w:rsid w:val="0017001D"/>
    <w:rsid w:val="001701F4"/>
    <w:rsid w:val="00170AF3"/>
    <w:rsid w:val="00170BE7"/>
    <w:rsid w:val="00171572"/>
    <w:rsid w:val="00171D17"/>
    <w:rsid w:val="00172420"/>
    <w:rsid w:val="001726CA"/>
    <w:rsid w:val="0017280D"/>
    <w:rsid w:val="00172BC5"/>
    <w:rsid w:val="00172C9C"/>
    <w:rsid w:val="00173130"/>
    <w:rsid w:val="00173565"/>
    <w:rsid w:val="001737FB"/>
    <w:rsid w:val="00173971"/>
    <w:rsid w:val="001739D0"/>
    <w:rsid w:val="00173B07"/>
    <w:rsid w:val="00174149"/>
    <w:rsid w:val="00174DEC"/>
    <w:rsid w:val="001751FA"/>
    <w:rsid w:val="00175A57"/>
    <w:rsid w:val="00175D2C"/>
    <w:rsid w:val="00175EC9"/>
    <w:rsid w:val="00175FB2"/>
    <w:rsid w:val="00176362"/>
    <w:rsid w:val="00176FFB"/>
    <w:rsid w:val="001770CD"/>
    <w:rsid w:val="001771FD"/>
    <w:rsid w:val="00177EC3"/>
    <w:rsid w:val="0018035E"/>
    <w:rsid w:val="001803A4"/>
    <w:rsid w:val="00181881"/>
    <w:rsid w:val="00181C10"/>
    <w:rsid w:val="00181C7E"/>
    <w:rsid w:val="00181D9C"/>
    <w:rsid w:val="00182789"/>
    <w:rsid w:val="00182815"/>
    <w:rsid w:val="0018283F"/>
    <w:rsid w:val="00182881"/>
    <w:rsid w:val="00182A15"/>
    <w:rsid w:val="001837FF"/>
    <w:rsid w:val="00183A7F"/>
    <w:rsid w:val="00183BC2"/>
    <w:rsid w:val="00183C50"/>
    <w:rsid w:val="0018440D"/>
    <w:rsid w:val="00184B0E"/>
    <w:rsid w:val="00184EA3"/>
    <w:rsid w:val="001850AE"/>
    <w:rsid w:val="001850FA"/>
    <w:rsid w:val="001856ED"/>
    <w:rsid w:val="00185791"/>
    <w:rsid w:val="001865DF"/>
    <w:rsid w:val="0018667D"/>
    <w:rsid w:val="00186752"/>
    <w:rsid w:val="00186A3A"/>
    <w:rsid w:val="0018750F"/>
    <w:rsid w:val="0018752F"/>
    <w:rsid w:val="00187A99"/>
    <w:rsid w:val="00190D45"/>
    <w:rsid w:val="00190FA9"/>
    <w:rsid w:val="0019180E"/>
    <w:rsid w:val="00191B5E"/>
    <w:rsid w:val="00191B88"/>
    <w:rsid w:val="00191C1A"/>
    <w:rsid w:val="00192287"/>
    <w:rsid w:val="00192853"/>
    <w:rsid w:val="001928FF"/>
    <w:rsid w:val="00193838"/>
    <w:rsid w:val="00193964"/>
    <w:rsid w:val="00194131"/>
    <w:rsid w:val="0019421C"/>
    <w:rsid w:val="001943EF"/>
    <w:rsid w:val="00194AD8"/>
    <w:rsid w:val="00194FA2"/>
    <w:rsid w:val="00195082"/>
    <w:rsid w:val="00195222"/>
    <w:rsid w:val="00195260"/>
    <w:rsid w:val="00195452"/>
    <w:rsid w:val="00195492"/>
    <w:rsid w:val="001954D9"/>
    <w:rsid w:val="001954F6"/>
    <w:rsid w:val="001955B6"/>
    <w:rsid w:val="00195E08"/>
    <w:rsid w:val="00195E7D"/>
    <w:rsid w:val="00196073"/>
    <w:rsid w:val="00196236"/>
    <w:rsid w:val="001970BB"/>
    <w:rsid w:val="001975D8"/>
    <w:rsid w:val="00197FE5"/>
    <w:rsid w:val="001A004F"/>
    <w:rsid w:val="001A019B"/>
    <w:rsid w:val="001A0534"/>
    <w:rsid w:val="001A0A3A"/>
    <w:rsid w:val="001A0D13"/>
    <w:rsid w:val="001A10AE"/>
    <w:rsid w:val="001A178E"/>
    <w:rsid w:val="001A2975"/>
    <w:rsid w:val="001A37B2"/>
    <w:rsid w:val="001A3923"/>
    <w:rsid w:val="001A3D44"/>
    <w:rsid w:val="001A43FA"/>
    <w:rsid w:val="001A47C5"/>
    <w:rsid w:val="001A4DE5"/>
    <w:rsid w:val="001A542B"/>
    <w:rsid w:val="001A59FB"/>
    <w:rsid w:val="001A5E9E"/>
    <w:rsid w:val="001A619F"/>
    <w:rsid w:val="001A6210"/>
    <w:rsid w:val="001A6328"/>
    <w:rsid w:val="001A6354"/>
    <w:rsid w:val="001A6366"/>
    <w:rsid w:val="001A685A"/>
    <w:rsid w:val="001A69DB"/>
    <w:rsid w:val="001A6B29"/>
    <w:rsid w:val="001A6F61"/>
    <w:rsid w:val="001A757F"/>
    <w:rsid w:val="001A790B"/>
    <w:rsid w:val="001A7AE8"/>
    <w:rsid w:val="001A7B2E"/>
    <w:rsid w:val="001A7D09"/>
    <w:rsid w:val="001B0D7A"/>
    <w:rsid w:val="001B10E7"/>
    <w:rsid w:val="001B12F1"/>
    <w:rsid w:val="001B1B72"/>
    <w:rsid w:val="001B1F8E"/>
    <w:rsid w:val="001B1FAB"/>
    <w:rsid w:val="001B204E"/>
    <w:rsid w:val="001B207C"/>
    <w:rsid w:val="001B20EC"/>
    <w:rsid w:val="001B2372"/>
    <w:rsid w:val="001B23FC"/>
    <w:rsid w:val="001B2692"/>
    <w:rsid w:val="001B2B70"/>
    <w:rsid w:val="001B2E35"/>
    <w:rsid w:val="001B3443"/>
    <w:rsid w:val="001B3469"/>
    <w:rsid w:val="001B3CAC"/>
    <w:rsid w:val="001B3FE4"/>
    <w:rsid w:val="001B4676"/>
    <w:rsid w:val="001B4AA8"/>
    <w:rsid w:val="001B4D20"/>
    <w:rsid w:val="001B63E0"/>
    <w:rsid w:val="001B7636"/>
    <w:rsid w:val="001B7664"/>
    <w:rsid w:val="001B7F84"/>
    <w:rsid w:val="001C0080"/>
    <w:rsid w:val="001C0392"/>
    <w:rsid w:val="001C096E"/>
    <w:rsid w:val="001C1705"/>
    <w:rsid w:val="001C1A11"/>
    <w:rsid w:val="001C1B3F"/>
    <w:rsid w:val="001C1ECF"/>
    <w:rsid w:val="001C22B6"/>
    <w:rsid w:val="001C266C"/>
    <w:rsid w:val="001C2727"/>
    <w:rsid w:val="001C28D8"/>
    <w:rsid w:val="001C2A22"/>
    <w:rsid w:val="001C2A9B"/>
    <w:rsid w:val="001C3114"/>
    <w:rsid w:val="001C320D"/>
    <w:rsid w:val="001C39AA"/>
    <w:rsid w:val="001C3C46"/>
    <w:rsid w:val="001C3DD6"/>
    <w:rsid w:val="001C40C5"/>
    <w:rsid w:val="001C4299"/>
    <w:rsid w:val="001C4458"/>
    <w:rsid w:val="001C46DB"/>
    <w:rsid w:val="001C4874"/>
    <w:rsid w:val="001C4C77"/>
    <w:rsid w:val="001C4E3A"/>
    <w:rsid w:val="001C5030"/>
    <w:rsid w:val="001C5B23"/>
    <w:rsid w:val="001C5CDF"/>
    <w:rsid w:val="001C5F94"/>
    <w:rsid w:val="001C61D5"/>
    <w:rsid w:val="001C6351"/>
    <w:rsid w:val="001C645E"/>
    <w:rsid w:val="001C6635"/>
    <w:rsid w:val="001C6AD1"/>
    <w:rsid w:val="001C6E66"/>
    <w:rsid w:val="001C6E6C"/>
    <w:rsid w:val="001C7404"/>
    <w:rsid w:val="001C7527"/>
    <w:rsid w:val="001C78CF"/>
    <w:rsid w:val="001C7DFE"/>
    <w:rsid w:val="001D078A"/>
    <w:rsid w:val="001D089F"/>
    <w:rsid w:val="001D0D29"/>
    <w:rsid w:val="001D0ED8"/>
    <w:rsid w:val="001D1024"/>
    <w:rsid w:val="001D1100"/>
    <w:rsid w:val="001D1391"/>
    <w:rsid w:val="001D150F"/>
    <w:rsid w:val="001D1979"/>
    <w:rsid w:val="001D1B59"/>
    <w:rsid w:val="001D2372"/>
    <w:rsid w:val="001D25D7"/>
    <w:rsid w:val="001D2A62"/>
    <w:rsid w:val="001D2FF0"/>
    <w:rsid w:val="001D3072"/>
    <w:rsid w:val="001D322C"/>
    <w:rsid w:val="001D3AAE"/>
    <w:rsid w:val="001D3B16"/>
    <w:rsid w:val="001D3E48"/>
    <w:rsid w:val="001D50B2"/>
    <w:rsid w:val="001D5344"/>
    <w:rsid w:val="001D5411"/>
    <w:rsid w:val="001D57F2"/>
    <w:rsid w:val="001D5D3C"/>
    <w:rsid w:val="001D6066"/>
    <w:rsid w:val="001D6178"/>
    <w:rsid w:val="001D71F4"/>
    <w:rsid w:val="001D7645"/>
    <w:rsid w:val="001E0636"/>
    <w:rsid w:val="001E063B"/>
    <w:rsid w:val="001E0756"/>
    <w:rsid w:val="001E0C54"/>
    <w:rsid w:val="001E0FB5"/>
    <w:rsid w:val="001E1127"/>
    <w:rsid w:val="001E1166"/>
    <w:rsid w:val="001E11A6"/>
    <w:rsid w:val="001E1396"/>
    <w:rsid w:val="001E144A"/>
    <w:rsid w:val="001E180A"/>
    <w:rsid w:val="001E18D6"/>
    <w:rsid w:val="001E1A40"/>
    <w:rsid w:val="001E1E3B"/>
    <w:rsid w:val="001E1E86"/>
    <w:rsid w:val="001E238E"/>
    <w:rsid w:val="001E2483"/>
    <w:rsid w:val="001E26A2"/>
    <w:rsid w:val="001E29BC"/>
    <w:rsid w:val="001E2B1E"/>
    <w:rsid w:val="001E2CFF"/>
    <w:rsid w:val="001E2F24"/>
    <w:rsid w:val="001E30D4"/>
    <w:rsid w:val="001E329C"/>
    <w:rsid w:val="001E34DF"/>
    <w:rsid w:val="001E3568"/>
    <w:rsid w:val="001E4078"/>
    <w:rsid w:val="001E4FE7"/>
    <w:rsid w:val="001E52EB"/>
    <w:rsid w:val="001E5A8A"/>
    <w:rsid w:val="001E60C3"/>
    <w:rsid w:val="001E6175"/>
    <w:rsid w:val="001E61D2"/>
    <w:rsid w:val="001E64FE"/>
    <w:rsid w:val="001E6738"/>
    <w:rsid w:val="001E6A00"/>
    <w:rsid w:val="001E6CFF"/>
    <w:rsid w:val="001E740C"/>
    <w:rsid w:val="001E7822"/>
    <w:rsid w:val="001E7834"/>
    <w:rsid w:val="001E7A7E"/>
    <w:rsid w:val="001E7B41"/>
    <w:rsid w:val="001E7FD3"/>
    <w:rsid w:val="001F016F"/>
    <w:rsid w:val="001F0631"/>
    <w:rsid w:val="001F0975"/>
    <w:rsid w:val="001F0FEC"/>
    <w:rsid w:val="001F1235"/>
    <w:rsid w:val="001F13D7"/>
    <w:rsid w:val="001F169F"/>
    <w:rsid w:val="001F19D0"/>
    <w:rsid w:val="001F1CB3"/>
    <w:rsid w:val="001F1D32"/>
    <w:rsid w:val="001F2211"/>
    <w:rsid w:val="001F2269"/>
    <w:rsid w:val="001F38B5"/>
    <w:rsid w:val="001F4032"/>
    <w:rsid w:val="001F4081"/>
    <w:rsid w:val="001F424E"/>
    <w:rsid w:val="001F4803"/>
    <w:rsid w:val="001F5826"/>
    <w:rsid w:val="001F5C49"/>
    <w:rsid w:val="001F6075"/>
    <w:rsid w:val="001F625C"/>
    <w:rsid w:val="001F632C"/>
    <w:rsid w:val="001F6353"/>
    <w:rsid w:val="001F7136"/>
    <w:rsid w:val="001F7361"/>
    <w:rsid w:val="001F7428"/>
    <w:rsid w:val="001F75B4"/>
    <w:rsid w:val="001F75D4"/>
    <w:rsid w:val="001F75F7"/>
    <w:rsid w:val="001F7811"/>
    <w:rsid w:val="001F79AC"/>
    <w:rsid w:val="001F7CA1"/>
    <w:rsid w:val="001F7D5C"/>
    <w:rsid w:val="00200751"/>
    <w:rsid w:val="00200A49"/>
    <w:rsid w:val="00201002"/>
    <w:rsid w:val="002011B0"/>
    <w:rsid w:val="0020159C"/>
    <w:rsid w:val="002019F9"/>
    <w:rsid w:val="00201EC8"/>
    <w:rsid w:val="002021A9"/>
    <w:rsid w:val="00202373"/>
    <w:rsid w:val="0020280C"/>
    <w:rsid w:val="002028D0"/>
    <w:rsid w:val="00202AD3"/>
    <w:rsid w:val="00202FDB"/>
    <w:rsid w:val="002030CD"/>
    <w:rsid w:val="00203181"/>
    <w:rsid w:val="00203783"/>
    <w:rsid w:val="0020385F"/>
    <w:rsid w:val="00203C80"/>
    <w:rsid w:val="00204903"/>
    <w:rsid w:val="00205C27"/>
    <w:rsid w:val="00205FA5"/>
    <w:rsid w:val="0020627E"/>
    <w:rsid w:val="0020640B"/>
    <w:rsid w:val="002068A0"/>
    <w:rsid w:val="00206D92"/>
    <w:rsid w:val="00207021"/>
    <w:rsid w:val="002071DA"/>
    <w:rsid w:val="0020732F"/>
    <w:rsid w:val="00207950"/>
    <w:rsid w:val="00207D00"/>
    <w:rsid w:val="00207F9A"/>
    <w:rsid w:val="00207FD2"/>
    <w:rsid w:val="00210151"/>
    <w:rsid w:val="0021033E"/>
    <w:rsid w:val="002105C1"/>
    <w:rsid w:val="00210D5C"/>
    <w:rsid w:val="00210E06"/>
    <w:rsid w:val="00210E6C"/>
    <w:rsid w:val="00210F19"/>
    <w:rsid w:val="0021109C"/>
    <w:rsid w:val="00211339"/>
    <w:rsid w:val="002116FD"/>
    <w:rsid w:val="00211962"/>
    <w:rsid w:val="00211DDF"/>
    <w:rsid w:val="00211F6C"/>
    <w:rsid w:val="00212160"/>
    <w:rsid w:val="0021246C"/>
    <w:rsid w:val="0021248C"/>
    <w:rsid w:val="0021301E"/>
    <w:rsid w:val="002137F2"/>
    <w:rsid w:val="00213AD4"/>
    <w:rsid w:val="00213C1C"/>
    <w:rsid w:val="00213EF5"/>
    <w:rsid w:val="002142C7"/>
    <w:rsid w:val="0021496F"/>
    <w:rsid w:val="00214BAC"/>
    <w:rsid w:val="00215422"/>
    <w:rsid w:val="002156EF"/>
    <w:rsid w:val="00216B64"/>
    <w:rsid w:val="00216BF5"/>
    <w:rsid w:val="00216F90"/>
    <w:rsid w:val="0021731B"/>
    <w:rsid w:val="002177DE"/>
    <w:rsid w:val="00217805"/>
    <w:rsid w:val="00217ED3"/>
    <w:rsid w:val="00220007"/>
    <w:rsid w:val="002205AB"/>
    <w:rsid w:val="00220844"/>
    <w:rsid w:val="00220AF5"/>
    <w:rsid w:val="00221404"/>
    <w:rsid w:val="002215A2"/>
    <w:rsid w:val="00221A83"/>
    <w:rsid w:val="002220AF"/>
    <w:rsid w:val="002224DC"/>
    <w:rsid w:val="00222ABB"/>
    <w:rsid w:val="0022325C"/>
    <w:rsid w:val="002234F2"/>
    <w:rsid w:val="002237FE"/>
    <w:rsid w:val="002238C2"/>
    <w:rsid w:val="00223B49"/>
    <w:rsid w:val="00223D5A"/>
    <w:rsid w:val="00223FF6"/>
    <w:rsid w:val="00224047"/>
    <w:rsid w:val="00224274"/>
    <w:rsid w:val="0022440D"/>
    <w:rsid w:val="00224DD4"/>
    <w:rsid w:val="00224F9A"/>
    <w:rsid w:val="00224FC5"/>
    <w:rsid w:val="00225346"/>
    <w:rsid w:val="002257BF"/>
    <w:rsid w:val="00225D0E"/>
    <w:rsid w:val="00226139"/>
    <w:rsid w:val="00226517"/>
    <w:rsid w:val="00226732"/>
    <w:rsid w:val="00226D1A"/>
    <w:rsid w:val="00227087"/>
    <w:rsid w:val="00227363"/>
    <w:rsid w:val="00227397"/>
    <w:rsid w:val="002277B9"/>
    <w:rsid w:val="002277FF"/>
    <w:rsid w:val="002278A0"/>
    <w:rsid w:val="0023001C"/>
    <w:rsid w:val="002308A5"/>
    <w:rsid w:val="002309CC"/>
    <w:rsid w:val="00230CA0"/>
    <w:rsid w:val="00231A37"/>
    <w:rsid w:val="00231BA9"/>
    <w:rsid w:val="00231BB5"/>
    <w:rsid w:val="0023209F"/>
    <w:rsid w:val="002326A7"/>
    <w:rsid w:val="0023297E"/>
    <w:rsid w:val="00232BEA"/>
    <w:rsid w:val="00233159"/>
    <w:rsid w:val="00233432"/>
    <w:rsid w:val="0023374C"/>
    <w:rsid w:val="00233990"/>
    <w:rsid w:val="00233A17"/>
    <w:rsid w:val="00233C01"/>
    <w:rsid w:val="0023413C"/>
    <w:rsid w:val="002346F0"/>
    <w:rsid w:val="00234B55"/>
    <w:rsid w:val="00234EF9"/>
    <w:rsid w:val="002350D4"/>
    <w:rsid w:val="002354D1"/>
    <w:rsid w:val="002359E9"/>
    <w:rsid w:val="00235A1B"/>
    <w:rsid w:val="00235DE8"/>
    <w:rsid w:val="0023629D"/>
    <w:rsid w:val="00236B0B"/>
    <w:rsid w:val="00236E05"/>
    <w:rsid w:val="00236F06"/>
    <w:rsid w:val="0023710D"/>
    <w:rsid w:val="00237255"/>
    <w:rsid w:val="002374C1"/>
    <w:rsid w:val="00237ABA"/>
    <w:rsid w:val="00240A89"/>
    <w:rsid w:val="00240C09"/>
    <w:rsid w:val="00240D1F"/>
    <w:rsid w:val="00241071"/>
    <w:rsid w:val="00241BA0"/>
    <w:rsid w:val="00241DC5"/>
    <w:rsid w:val="002420B1"/>
    <w:rsid w:val="002424AF"/>
    <w:rsid w:val="00242EBE"/>
    <w:rsid w:val="00243885"/>
    <w:rsid w:val="00243921"/>
    <w:rsid w:val="002439DC"/>
    <w:rsid w:val="002441D2"/>
    <w:rsid w:val="00244453"/>
    <w:rsid w:val="00244519"/>
    <w:rsid w:val="002449B2"/>
    <w:rsid w:val="00244A11"/>
    <w:rsid w:val="00244DC8"/>
    <w:rsid w:val="0024539B"/>
    <w:rsid w:val="002458BA"/>
    <w:rsid w:val="00245CB3"/>
    <w:rsid w:val="00245CE9"/>
    <w:rsid w:val="00246173"/>
    <w:rsid w:val="0024636C"/>
    <w:rsid w:val="00246DB1"/>
    <w:rsid w:val="00247341"/>
    <w:rsid w:val="0024735E"/>
    <w:rsid w:val="00247925"/>
    <w:rsid w:val="00247C6E"/>
    <w:rsid w:val="00247E99"/>
    <w:rsid w:val="00250007"/>
    <w:rsid w:val="00250240"/>
    <w:rsid w:val="00250E50"/>
    <w:rsid w:val="00250F06"/>
    <w:rsid w:val="00251006"/>
    <w:rsid w:val="00251297"/>
    <w:rsid w:val="00251A47"/>
    <w:rsid w:val="00252087"/>
    <w:rsid w:val="002524D5"/>
    <w:rsid w:val="00252516"/>
    <w:rsid w:val="00253045"/>
    <w:rsid w:val="00253B1D"/>
    <w:rsid w:val="00254DCF"/>
    <w:rsid w:val="00255047"/>
    <w:rsid w:val="0025521A"/>
    <w:rsid w:val="0025534B"/>
    <w:rsid w:val="0025570A"/>
    <w:rsid w:val="00255BB7"/>
    <w:rsid w:val="00255DEA"/>
    <w:rsid w:val="00256561"/>
    <w:rsid w:val="00256D17"/>
    <w:rsid w:val="00257541"/>
    <w:rsid w:val="0025782B"/>
    <w:rsid w:val="00257A39"/>
    <w:rsid w:val="00257AC4"/>
    <w:rsid w:val="00257B03"/>
    <w:rsid w:val="00257BBE"/>
    <w:rsid w:val="0026070B"/>
    <w:rsid w:val="0026084E"/>
    <w:rsid w:val="0026183B"/>
    <w:rsid w:val="0026194E"/>
    <w:rsid w:val="00261D8E"/>
    <w:rsid w:val="00261EEF"/>
    <w:rsid w:val="00261FDB"/>
    <w:rsid w:val="00262723"/>
    <w:rsid w:val="0026294A"/>
    <w:rsid w:val="00262A1A"/>
    <w:rsid w:val="00262A87"/>
    <w:rsid w:val="00262D89"/>
    <w:rsid w:val="0026458C"/>
    <w:rsid w:val="00264CEE"/>
    <w:rsid w:val="00264D26"/>
    <w:rsid w:val="00264D7B"/>
    <w:rsid w:val="00265302"/>
    <w:rsid w:val="002653B7"/>
    <w:rsid w:val="00265548"/>
    <w:rsid w:val="00265869"/>
    <w:rsid w:val="002658F5"/>
    <w:rsid w:val="00265F35"/>
    <w:rsid w:val="00265FE5"/>
    <w:rsid w:val="0026620C"/>
    <w:rsid w:val="00266865"/>
    <w:rsid w:val="00266D6C"/>
    <w:rsid w:val="00267477"/>
    <w:rsid w:val="00267642"/>
    <w:rsid w:val="00267AEA"/>
    <w:rsid w:val="00267D55"/>
    <w:rsid w:val="00270039"/>
    <w:rsid w:val="002700E6"/>
    <w:rsid w:val="00270ECC"/>
    <w:rsid w:val="0027103A"/>
    <w:rsid w:val="00271466"/>
    <w:rsid w:val="00271870"/>
    <w:rsid w:val="0027294B"/>
    <w:rsid w:val="00273E1D"/>
    <w:rsid w:val="00273EB4"/>
    <w:rsid w:val="00274296"/>
    <w:rsid w:val="00274682"/>
    <w:rsid w:val="00274AB1"/>
    <w:rsid w:val="00275068"/>
    <w:rsid w:val="00275158"/>
    <w:rsid w:val="00275C5A"/>
    <w:rsid w:val="00275D2A"/>
    <w:rsid w:val="00276279"/>
    <w:rsid w:val="0027632D"/>
    <w:rsid w:val="00276712"/>
    <w:rsid w:val="0027680D"/>
    <w:rsid w:val="00276A1E"/>
    <w:rsid w:val="0028031D"/>
    <w:rsid w:val="00280995"/>
    <w:rsid w:val="00280FB3"/>
    <w:rsid w:val="00281014"/>
    <w:rsid w:val="00281994"/>
    <w:rsid w:val="00282430"/>
    <w:rsid w:val="00282994"/>
    <w:rsid w:val="00282AA8"/>
    <w:rsid w:val="00282C12"/>
    <w:rsid w:val="00282D57"/>
    <w:rsid w:val="00283139"/>
    <w:rsid w:val="002835B0"/>
    <w:rsid w:val="00283DFC"/>
    <w:rsid w:val="00284750"/>
    <w:rsid w:val="00284A96"/>
    <w:rsid w:val="00284AED"/>
    <w:rsid w:val="00284E6B"/>
    <w:rsid w:val="00284FCD"/>
    <w:rsid w:val="0028500A"/>
    <w:rsid w:val="00285137"/>
    <w:rsid w:val="002854CA"/>
    <w:rsid w:val="00285BCE"/>
    <w:rsid w:val="002861A5"/>
    <w:rsid w:val="002864F1"/>
    <w:rsid w:val="002865E1"/>
    <w:rsid w:val="0028665D"/>
    <w:rsid w:val="00286D8B"/>
    <w:rsid w:val="002876F4"/>
    <w:rsid w:val="002877D9"/>
    <w:rsid w:val="00287E4C"/>
    <w:rsid w:val="0029107E"/>
    <w:rsid w:val="002913B8"/>
    <w:rsid w:val="0029189F"/>
    <w:rsid w:val="002919ED"/>
    <w:rsid w:val="00291A96"/>
    <w:rsid w:val="0029225F"/>
    <w:rsid w:val="002925D3"/>
    <w:rsid w:val="00293555"/>
    <w:rsid w:val="00293CC8"/>
    <w:rsid w:val="002943CE"/>
    <w:rsid w:val="002945BB"/>
    <w:rsid w:val="00294686"/>
    <w:rsid w:val="002948BD"/>
    <w:rsid w:val="002948F4"/>
    <w:rsid w:val="00294F42"/>
    <w:rsid w:val="00295127"/>
    <w:rsid w:val="0029552E"/>
    <w:rsid w:val="00295663"/>
    <w:rsid w:val="00295683"/>
    <w:rsid w:val="00295924"/>
    <w:rsid w:val="002959E3"/>
    <w:rsid w:val="002961FB"/>
    <w:rsid w:val="00296258"/>
    <w:rsid w:val="00296E6B"/>
    <w:rsid w:val="002974BC"/>
    <w:rsid w:val="002976D2"/>
    <w:rsid w:val="00297BFC"/>
    <w:rsid w:val="002A0450"/>
    <w:rsid w:val="002A0480"/>
    <w:rsid w:val="002A077B"/>
    <w:rsid w:val="002A07F5"/>
    <w:rsid w:val="002A0E64"/>
    <w:rsid w:val="002A109F"/>
    <w:rsid w:val="002A10E9"/>
    <w:rsid w:val="002A127C"/>
    <w:rsid w:val="002A14AB"/>
    <w:rsid w:val="002A1877"/>
    <w:rsid w:val="002A1C95"/>
    <w:rsid w:val="002A1F45"/>
    <w:rsid w:val="002A222F"/>
    <w:rsid w:val="002A2ADE"/>
    <w:rsid w:val="002A2F50"/>
    <w:rsid w:val="002A369F"/>
    <w:rsid w:val="002A3819"/>
    <w:rsid w:val="002A3C78"/>
    <w:rsid w:val="002A407E"/>
    <w:rsid w:val="002A570D"/>
    <w:rsid w:val="002A57CC"/>
    <w:rsid w:val="002A5847"/>
    <w:rsid w:val="002A65AB"/>
    <w:rsid w:val="002A66C6"/>
    <w:rsid w:val="002A6E2C"/>
    <w:rsid w:val="002A6EAC"/>
    <w:rsid w:val="002A78E2"/>
    <w:rsid w:val="002A7943"/>
    <w:rsid w:val="002B05A1"/>
    <w:rsid w:val="002B0613"/>
    <w:rsid w:val="002B09A4"/>
    <w:rsid w:val="002B0E30"/>
    <w:rsid w:val="002B0EBE"/>
    <w:rsid w:val="002B1B00"/>
    <w:rsid w:val="002B1C1F"/>
    <w:rsid w:val="002B1F4C"/>
    <w:rsid w:val="002B29D9"/>
    <w:rsid w:val="002B2F55"/>
    <w:rsid w:val="002B35EE"/>
    <w:rsid w:val="002B42A1"/>
    <w:rsid w:val="002B432F"/>
    <w:rsid w:val="002B441B"/>
    <w:rsid w:val="002B44D8"/>
    <w:rsid w:val="002B469C"/>
    <w:rsid w:val="002B5D7A"/>
    <w:rsid w:val="002B5F41"/>
    <w:rsid w:val="002B62B3"/>
    <w:rsid w:val="002B6754"/>
    <w:rsid w:val="002B6CCE"/>
    <w:rsid w:val="002B6D62"/>
    <w:rsid w:val="002B71AB"/>
    <w:rsid w:val="002B785C"/>
    <w:rsid w:val="002B7A94"/>
    <w:rsid w:val="002C0BA6"/>
    <w:rsid w:val="002C0D7B"/>
    <w:rsid w:val="002C0EDB"/>
    <w:rsid w:val="002C144E"/>
    <w:rsid w:val="002C1453"/>
    <w:rsid w:val="002C17A4"/>
    <w:rsid w:val="002C1DA6"/>
    <w:rsid w:val="002C2510"/>
    <w:rsid w:val="002C2775"/>
    <w:rsid w:val="002C27C1"/>
    <w:rsid w:val="002C2C38"/>
    <w:rsid w:val="002C330D"/>
    <w:rsid w:val="002C33CC"/>
    <w:rsid w:val="002C3463"/>
    <w:rsid w:val="002C36E3"/>
    <w:rsid w:val="002C45A6"/>
    <w:rsid w:val="002C45B2"/>
    <w:rsid w:val="002C47A5"/>
    <w:rsid w:val="002C4B7C"/>
    <w:rsid w:val="002C4CD8"/>
    <w:rsid w:val="002C5099"/>
    <w:rsid w:val="002C53F3"/>
    <w:rsid w:val="002C57A2"/>
    <w:rsid w:val="002C5889"/>
    <w:rsid w:val="002C5989"/>
    <w:rsid w:val="002C5EEB"/>
    <w:rsid w:val="002C5F18"/>
    <w:rsid w:val="002C67DB"/>
    <w:rsid w:val="002C6ACE"/>
    <w:rsid w:val="002C6EE3"/>
    <w:rsid w:val="002C71CE"/>
    <w:rsid w:val="002C7D6A"/>
    <w:rsid w:val="002C7FBD"/>
    <w:rsid w:val="002D0211"/>
    <w:rsid w:val="002D083E"/>
    <w:rsid w:val="002D08F8"/>
    <w:rsid w:val="002D0EB8"/>
    <w:rsid w:val="002D0F64"/>
    <w:rsid w:val="002D1337"/>
    <w:rsid w:val="002D140C"/>
    <w:rsid w:val="002D1E1B"/>
    <w:rsid w:val="002D2091"/>
    <w:rsid w:val="002D20D7"/>
    <w:rsid w:val="002D26E5"/>
    <w:rsid w:val="002D3592"/>
    <w:rsid w:val="002D37A5"/>
    <w:rsid w:val="002D3A88"/>
    <w:rsid w:val="002D3C77"/>
    <w:rsid w:val="002D3CA5"/>
    <w:rsid w:val="002D41CA"/>
    <w:rsid w:val="002D43A4"/>
    <w:rsid w:val="002D47BA"/>
    <w:rsid w:val="002D4803"/>
    <w:rsid w:val="002D4BEE"/>
    <w:rsid w:val="002D4C9C"/>
    <w:rsid w:val="002D4F0F"/>
    <w:rsid w:val="002D577C"/>
    <w:rsid w:val="002D6503"/>
    <w:rsid w:val="002D69C3"/>
    <w:rsid w:val="002D7079"/>
    <w:rsid w:val="002D74CF"/>
    <w:rsid w:val="002D7765"/>
    <w:rsid w:val="002D77F9"/>
    <w:rsid w:val="002D7832"/>
    <w:rsid w:val="002D7B1A"/>
    <w:rsid w:val="002E0073"/>
    <w:rsid w:val="002E1071"/>
    <w:rsid w:val="002E15B9"/>
    <w:rsid w:val="002E164B"/>
    <w:rsid w:val="002E1726"/>
    <w:rsid w:val="002E1AE2"/>
    <w:rsid w:val="002E1F58"/>
    <w:rsid w:val="002E205D"/>
    <w:rsid w:val="002E2099"/>
    <w:rsid w:val="002E2158"/>
    <w:rsid w:val="002E25CB"/>
    <w:rsid w:val="002E32DC"/>
    <w:rsid w:val="002E3832"/>
    <w:rsid w:val="002E3EC3"/>
    <w:rsid w:val="002E40BE"/>
    <w:rsid w:val="002E45EB"/>
    <w:rsid w:val="002E4818"/>
    <w:rsid w:val="002E4C30"/>
    <w:rsid w:val="002E4ED1"/>
    <w:rsid w:val="002E4F00"/>
    <w:rsid w:val="002E4F02"/>
    <w:rsid w:val="002E53FF"/>
    <w:rsid w:val="002E5740"/>
    <w:rsid w:val="002E5D3F"/>
    <w:rsid w:val="002E5E80"/>
    <w:rsid w:val="002E635C"/>
    <w:rsid w:val="002E6489"/>
    <w:rsid w:val="002E64DE"/>
    <w:rsid w:val="002E6AF9"/>
    <w:rsid w:val="002E7639"/>
    <w:rsid w:val="002E771F"/>
    <w:rsid w:val="002E7722"/>
    <w:rsid w:val="002E7AD5"/>
    <w:rsid w:val="002E7DBC"/>
    <w:rsid w:val="002F00EE"/>
    <w:rsid w:val="002F015B"/>
    <w:rsid w:val="002F02EA"/>
    <w:rsid w:val="002F0600"/>
    <w:rsid w:val="002F0737"/>
    <w:rsid w:val="002F07BA"/>
    <w:rsid w:val="002F0960"/>
    <w:rsid w:val="002F0A3B"/>
    <w:rsid w:val="002F0A57"/>
    <w:rsid w:val="002F0BF4"/>
    <w:rsid w:val="002F0DA9"/>
    <w:rsid w:val="002F1014"/>
    <w:rsid w:val="002F1250"/>
    <w:rsid w:val="002F15D6"/>
    <w:rsid w:val="002F164C"/>
    <w:rsid w:val="002F1A32"/>
    <w:rsid w:val="002F1E3B"/>
    <w:rsid w:val="002F1F15"/>
    <w:rsid w:val="002F1FA3"/>
    <w:rsid w:val="002F2801"/>
    <w:rsid w:val="002F3061"/>
    <w:rsid w:val="002F343B"/>
    <w:rsid w:val="002F3908"/>
    <w:rsid w:val="002F3DB2"/>
    <w:rsid w:val="002F3FEF"/>
    <w:rsid w:val="002F4643"/>
    <w:rsid w:val="002F4DF7"/>
    <w:rsid w:val="002F59AC"/>
    <w:rsid w:val="002F5F2E"/>
    <w:rsid w:val="002F643C"/>
    <w:rsid w:val="002F6558"/>
    <w:rsid w:val="002F65BA"/>
    <w:rsid w:val="002F65DF"/>
    <w:rsid w:val="002F6C12"/>
    <w:rsid w:val="002F6E46"/>
    <w:rsid w:val="002F7062"/>
    <w:rsid w:val="002F71C0"/>
    <w:rsid w:val="002F74F1"/>
    <w:rsid w:val="002F78F8"/>
    <w:rsid w:val="00300EF7"/>
    <w:rsid w:val="00300F42"/>
    <w:rsid w:val="00301017"/>
    <w:rsid w:val="003011D5"/>
    <w:rsid w:val="0030155F"/>
    <w:rsid w:val="0030191F"/>
    <w:rsid w:val="00302D26"/>
    <w:rsid w:val="003038F3"/>
    <w:rsid w:val="00303DA3"/>
    <w:rsid w:val="00303EAB"/>
    <w:rsid w:val="00304564"/>
    <w:rsid w:val="003045CE"/>
    <w:rsid w:val="00304872"/>
    <w:rsid w:val="00304DAA"/>
    <w:rsid w:val="0030587B"/>
    <w:rsid w:val="003060E8"/>
    <w:rsid w:val="00306B9E"/>
    <w:rsid w:val="00306D98"/>
    <w:rsid w:val="003074CF"/>
    <w:rsid w:val="00307545"/>
    <w:rsid w:val="0030786C"/>
    <w:rsid w:val="00307900"/>
    <w:rsid w:val="00307E03"/>
    <w:rsid w:val="00307FCC"/>
    <w:rsid w:val="0031003A"/>
    <w:rsid w:val="0031031A"/>
    <w:rsid w:val="003103BB"/>
    <w:rsid w:val="00310981"/>
    <w:rsid w:val="00310A72"/>
    <w:rsid w:val="00310E5E"/>
    <w:rsid w:val="00310F47"/>
    <w:rsid w:val="00310FDC"/>
    <w:rsid w:val="00311C9F"/>
    <w:rsid w:val="00311D39"/>
    <w:rsid w:val="00311D9B"/>
    <w:rsid w:val="00311EBE"/>
    <w:rsid w:val="00311EEB"/>
    <w:rsid w:val="00311EFE"/>
    <w:rsid w:val="0031206A"/>
    <w:rsid w:val="00312182"/>
    <w:rsid w:val="003124D9"/>
    <w:rsid w:val="00312594"/>
    <w:rsid w:val="0031272B"/>
    <w:rsid w:val="00312A06"/>
    <w:rsid w:val="00312E96"/>
    <w:rsid w:val="00313354"/>
    <w:rsid w:val="00314490"/>
    <w:rsid w:val="00314569"/>
    <w:rsid w:val="00314704"/>
    <w:rsid w:val="00314B31"/>
    <w:rsid w:val="00314F86"/>
    <w:rsid w:val="00315498"/>
    <w:rsid w:val="00315FB4"/>
    <w:rsid w:val="00316474"/>
    <w:rsid w:val="00316F01"/>
    <w:rsid w:val="003174AF"/>
    <w:rsid w:val="0031754D"/>
    <w:rsid w:val="00317808"/>
    <w:rsid w:val="00317B97"/>
    <w:rsid w:val="0032016D"/>
    <w:rsid w:val="003203A7"/>
    <w:rsid w:val="00320837"/>
    <w:rsid w:val="003208B8"/>
    <w:rsid w:val="003208DF"/>
    <w:rsid w:val="00320F08"/>
    <w:rsid w:val="0032159B"/>
    <w:rsid w:val="00321B97"/>
    <w:rsid w:val="00321DDF"/>
    <w:rsid w:val="00322107"/>
    <w:rsid w:val="00322204"/>
    <w:rsid w:val="00322355"/>
    <w:rsid w:val="003224C5"/>
    <w:rsid w:val="00322704"/>
    <w:rsid w:val="00322846"/>
    <w:rsid w:val="00323986"/>
    <w:rsid w:val="00323AE0"/>
    <w:rsid w:val="00323B5A"/>
    <w:rsid w:val="00323D5B"/>
    <w:rsid w:val="00323FA1"/>
    <w:rsid w:val="00324882"/>
    <w:rsid w:val="00324BC6"/>
    <w:rsid w:val="00324C55"/>
    <w:rsid w:val="00324FC9"/>
    <w:rsid w:val="00325018"/>
    <w:rsid w:val="003254FF"/>
    <w:rsid w:val="00325E4A"/>
    <w:rsid w:val="0032636D"/>
    <w:rsid w:val="00326C37"/>
    <w:rsid w:val="00326DA7"/>
    <w:rsid w:val="003270E4"/>
    <w:rsid w:val="003275E2"/>
    <w:rsid w:val="00327B62"/>
    <w:rsid w:val="00330DAA"/>
    <w:rsid w:val="00330E17"/>
    <w:rsid w:val="00330F5C"/>
    <w:rsid w:val="0033173A"/>
    <w:rsid w:val="003318B3"/>
    <w:rsid w:val="00331BF9"/>
    <w:rsid w:val="00332420"/>
    <w:rsid w:val="00332DFC"/>
    <w:rsid w:val="0033310C"/>
    <w:rsid w:val="0033331B"/>
    <w:rsid w:val="0033372F"/>
    <w:rsid w:val="003338CB"/>
    <w:rsid w:val="003339E1"/>
    <w:rsid w:val="00333AD9"/>
    <w:rsid w:val="0033486A"/>
    <w:rsid w:val="00334CC0"/>
    <w:rsid w:val="00334DFF"/>
    <w:rsid w:val="00334FCB"/>
    <w:rsid w:val="003354C3"/>
    <w:rsid w:val="00335551"/>
    <w:rsid w:val="00335BE2"/>
    <w:rsid w:val="003360EC"/>
    <w:rsid w:val="003366C9"/>
    <w:rsid w:val="00336856"/>
    <w:rsid w:val="00336ABB"/>
    <w:rsid w:val="00336E31"/>
    <w:rsid w:val="00336E59"/>
    <w:rsid w:val="00336FFB"/>
    <w:rsid w:val="003371B0"/>
    <w:rsid w:val="00337394"/>
    <w:rsid w:val="00337744"/>
    <w:rsid w:val="00337D80"/>
    <w:rsid w:val="00340983"/>
    <w:rsid w:val="00340D15"/>
    <w:rsid w:val="00340DF1"/>
    <w:rsid w:val="0034216B"/>
    <w:rsid w:val="0034224A"/>
    <w:rsid w:val="003429BD"/>
    <w:rsid w:val="00342B9E"/>
    <w:rsid w:val="00342D25"/>
    <w:rsid w:val="0034313A"/>
    <w:rsid w:val="00343AD4"/>
    <w:rsid w:val="00343D86"/>
    <w:rsid w:val="00344471"/>
    <w:rsid w:val="003451CA"/>
    <w:rsid w:val="003457AC"/>
    <w:rsid w:val="00345953"/>
    <w:rsid w:val="00345C96"/>
    <w:rsid w:val="003463D2"/>
    <w:rsid w:val="00346C1E"/>
    <w:rsid w:val="0034773E"/>
    <w:rsid w:val="00347CB7"/>
    <w:rsid w:val="00350901"/>
    <w:rsid w:val="00350F99"/>
    <w:rsid w:val="00351487"/>
    <w:rsid w:val="0035150C"/>
    <w:rsid w:val="003517F9"/>
    <w:rsid w:val="00351BA9"/>
    <w:rsid w:val="00351BB6"/>
    <w:rsid w:val="00352935"/>
    <w:rsid w:val="00352D3A"/>
    <w:rsid w:val="00352E98"/>
    <w:rsid w:val="00353F56"/>
    <w:rsid w:val="00354F64"/>
    <w:rsid w:val="00355113"/>
    <w:rsid w:val="0035544A"/>
    <w:rsid w:val="00355642"/>
    <w:rsid w:val="00355A6E"/>
    <w:rsid w:val="00355F45"/>
    <w:rsid w:val="0035609D"/>
    <w:rsid w:val="0035620E"/>
    <w:rsid w:val="00356A64"/>
    <w:rsid w:val="00356DCD"/>
    <w:rsid w:val="003571CA"/>
    <w:rsid w:val="003575BE"/>
    <w:rsid w:val="00357702"/>
    <w:rsid w:val="00357711"/>
    <w:rsid w:val="0035783B"/>
    <w:rsid w:val="00357DE9"/>
    <w:rsid w:val="00357E89"/>
    <w:rsid w:val="00360345"/>
    <w:rsid w:val="003605A4"/>
    <w:rsid w:val="00360718"/>
    <w:rsid w:val="003607E7"/>
    <w:rsid w:val="00360D84"/>
    <w:rsid w:val="00360DF9"/>
    <w:rsid w:val="00361A05"/>
    <w:rsid w:val="00361C2F"/>
    <w:rsid w:val="00361D9C"/>
    <w:rsid w:val="003620C0"/>
    <w:rsid w:val="003622AD"/>
    <w:rsid w:val="003624C4"/>
    <w:rsid w:val="003629EB"/>
    <w:rsid w:val="00362C0C"/>
    <w:rsid w:val="00362FEA"/>
    <w:rsid w:val="00362FEB"/>
    <w:rsid w:val="003634F3"/>
    <w:rsid w:val="00363537"/>
    <w:rsid w:val="00363B00"/>
    <w:rsid w:val="00363B38"/>
    <w:rsid w:val="00363F92"/>
    <w:rsid w:val="00364818"/>
    <w:rsid w:val="00364B9C"/>
    <w:rsid w:val="00364C68"/>
    <w:rsid w:val="003654AC"/>
    <w:rsid w:val="003654BF"/>
    <w:rsid w:val="003655F2"/>
    <w:rsid w:val="003657D7"/>
    <w:rsid w:val="00365882"/>
    <w:rsid w:val="00365B1A"/>
    <w:rsid w:val="003663AB"/>
    <w:rsid w:val="003666C8"/>
    <w:rsid w:val="003670A6"/>
    <w:rsid w:val="00367364"/>
    <w:rsid w:val="0036778A"/>
    <w:rsid w:val="003700B9"/>
    <w:rsid w:val="0037048A"/>
    <w:rsid w:val="003705B0"/>
    <w:rsid w:val="003706BB"/>
    <w:rsid w:val="00370779"/>
    <w:rsid w:val="00370889"/>
    <w:rsid w:val="003709FD"/>
    <w:rsid w:val="00370E00"/>
    <w:rsid w:val="003710CF"/>
    <w:rsid w:val="003712F1"/>
    <w:rsid w:val="003713EC"/>
    <w:rsid w:val="003714FF"/>
    <w:rsid w:val="00371BCD"/>
    <w:rsid w:val="00372250"/>
    <w:rsid w:val="003726DF"/>
    <w:rsid w:val="00372B81"/>
    <w:rsid w:val="00372EA1"/>
    <w:rsid w:val="00372FE9"/>
    <w:rsid w:val="0037358A"/>
    <w:rsid w:val="00373866"/>
    <w:rsid w:val="00373BD6"/>
    <w:rsid w:val="00373FA6"/>
    <w:rsid w:val="00373FD6"/>
    <w:rsid w:val="003750F6"/>
    <w:rsid w:val="0037542D"/>
    <w:rsid w:val="00375577"/>
    <w:rsid w:val="003755BB"/>
    <w:rsid w:val="003756B6"/>
    <w:rsid w:val="003760FC"/>
    <w:rsid w:val="00376141"/>
    <w:rsid w:val="003761BA"/>
    <w:rsid w:val="003761EE"/>
    <w:rsid w:val="003762EF"/>
    <w:rsid w:val="003770E3"/>
    <w:rsid w:val="00377571"/>
    <w:rsid w:val="00377D4C"/>
    <w:rsid w:val="003804B6"/>
    <w:rsid w:val="00380738"/>
    <w:rsid w:val="00380D86"/>
    <w:rsid w:val="00380DAC"/>
    <w:rsid w:val="00381036"/>
    <w:rsid w:val="0038137F"/>
    <w:rsid w:val="003817A3"/>
    <w:rsid w:val="00381E07"/>
    <w:rsid w:val="003822A0"/>
    <w:rsid w:val="00382A32"/>
    <w:rsid w:val="0038365C"/>
    <w:rsid w:val="0038369B"/>
    <w:rsid w:val="003838D5"/>
    <w:rsid w:val="00383B78"/>
    <w:rsid w:val="00384006"/>
    <w:rsid w:val="003847C1"/>
    <w:rsid w:val="00384DB7"/>
    <w:rsid w:val="0038503D"/>
    <w:rsid w:val="00385A9D"/>
    <w:rsid w:val="003860EB"/>
    <w:rsid w:val="003865DF"/>
    <w:rsid w:val="003867BB"/>
    <w:rsid w:val="00386B45"/>
    <w:rsid w:val="00386D34"/>
    <w:rsid w:val="00386F3B"/>
    <w:rsid w:val="0038701A"/>
    <w:rsid w:val="00387121"/>
    <w:rsid w:val="0038779B"/>
    <w:rsid w:val="003902B1"/>
    <w:rsid w:val="003904D8"/>
    <w:rsid w:val="00391294"/>
    <w:rsid w:val="0039179C"/>
    <w:rsid w:val="003923FD"/>
    <w:rsid w:val="00392C4B"/>
    <w:rsid w:val="00392DE3"/>
    <w:rsid w:val="00392FEF"/>
    <w:rsid w:val="00393281"/>
    <w:rsid w:val="00393292"/>
    <w:rsid w:val="00393626"/>
    <w:rsid w:val="00393A92"/>
    <w:rsid w:val="0039491C"/>
    <w:rsid w:val="00394A4C"/>
    <w:rsid w:val="0039584B"/>
    <w:rsid w:val="00395C1F"/>
    <w:rsid w:val="00395C8E"/>
    <w:rsid w:val="0039684D"/>
    <w:rsid w:val="00396896"/>
    <w:rsid w:val="00396FD0"/>
    <w:rsid w:val="00397580"/>
    <w:rsid w:val="00397946"/>
    <w:rsid w:val="00397C91"/>
    <w:rsid w:val="003A1469"/>
    <w:rsid w:val="003A16B8"/>
    <w:rsid w:val="003A1A7A"/>
    <w:rsid w:val="003A1A9A"/>
    <w:rsid w:val="003A1AAC"/>
    <w:rsid w:val="003A1C2A"/>
    <w:rsid w:val="003A2392"/>
    <w:rsid w:val="003A23C2"/>
    <w:rsid w:val="003A2642"/>
    <w:rsid w:val="003A2683"/>
    <w:rsid w:val="003A2831"/>
    <w:rsid w:val="003A2ECB"/>
    <w:rsid w:val="003A3144"/>
    <w:rsid w:val="003A327D"/>
    <w:rsid w:val="003A370F"/>
    <w:rsid w:val="003A37DE"/>
    <w:rsid w:val="003A3CB6"/>
    <w:rsid w:val="003A3ED1"/>
    <w:rsid w:val="003A4041"/>
    <w:rsid w:val="003A408B"/>
    <w:rsid w:val="003A4276"/>
    <w:rsid w:val="003A44DB"/>
    <w:rsid w:val="003A4C14"/>
    <w:rsid w:val="003A4CA3"/>
    <w:rsid w:val="003A4DD4"/>
    <w:rsid w:val="003A56CE"/>
    <w:rsid w:val="003A6428"/>
    <w:rsid w:val="003A6F11"/>
    <w:rsid w:val="003A6FFC"/>
    <w:rsid w:val="003A72DA"/>
    <w:rsid w:val="003A742B"/>
    <w:rsid w:val="003A7453"/>
    <w:rsid w:val="003A784E"/>
    <w:rsid w:val="003B020A"/>
    <w:rsid w:val="003B0225"/>
    <w:rsid w:val="003B0432"/>
    <w:rsid w:val="003B056B"/>
    <w:rsid w:val="003B0E58"/>
    <w:rsid w:val="003B108E"/>
    <w:rsid w:val="003B13EC"/>
    <w:rsid w:val="003B1BCD"/>
    <w:rsid w:val="003B1F09"/>
    <w:rsid w:val="003B271C"/>
    <w:rsid w:val="003B2A07"/>
    <w:rsid w:val="003B2A8C"/>
    <w:rsid w:val="003B310A"/>
    <w:rsid w:val="003B394A"/>
    <w:rsid w:val="003B3971"/>
    <w:rsid w:val="003B3C0D"/>
    <w:rsid w:val="003B3C41"/>
    <w:rsid w:val="003B3E9A"/>
    <w:rsid w:val="003B3FBA"/>
    <w:rsid w:val="003B3FEC"/>
    <w:rsid w:val="003B409A"/>
    <w:rsid w:val="003B4B8A"/>
    <w:rsid w:val="003B4D8F"/>
    <w:rsid w:val="003B51CC"/>
    <w:rsid w:val="003B55D1"/>
    <w:rsid w:val="003B5B61"/>
    <w:rsid w:val="003B6581"/>
    <w:rsid w:val="003B6A08"/>
    <w:rsid w:val="003B7115"/>
    <w:rsid w:val="003B767C"/>
    <w:rsid w:val="003C03DD"/>
    <w:rsid w:val="003C0A32"/>
    <w:rsid w:val="003C1365"/>
    <w:rsid w:val="003C1654"/>
    <w:rsid w:val="003C1B5B"/>
    <w:rsid w:val="003C1E40"/>
    <w:rsid w:val="003C1EFA"/>
    <w:rsid w:val="003C2EAA"/>
    <w:rsid w:val="003C326B"/>
    <w:rsid w:val="003C3770"/>
    <w:rsid w:val="003C378D"/>
    <w:rsid w:val="003C3791"/>
    <w:rsid w:val="003C47C0"/>
    <w:rsid w:val="003C4EEF"/>
    <w:rsid w:val="003C5542"/>
    <w:rsid w:val="003C5BD9"/>
    <w:rsid w:val="003C5FED"/>
    <w:rsid w:val="003C6064"/>
    <w:rsid w:val="003C7007"/>
    <w:rsid w:val="003C7111"/>
    <w:rsid w:val="003C72E0"/>
    <w:rsid w:val="003C7A87"/>
    <w:rsid w:val="003C7C15"/>
    <w:rsid w:val="003C7CED"/>
    <w:rsid w:val="003C7D04"/>
    <w:rsid w:val="003C7D19"/>
    <w:rsid w:val="003C7D2F"/>
    <w:rsid w:val="003C7F53"/>
    <w:rsid w:val="003D0043"/>
    <w:rsid w:val="003D0BEE"/>
    <w:rsid w:val="003D0C5A"/>
    <w:rsid w:val="003D0FF5"/>
    <w:rsid w:val="003D1080"/>
    <w:rsid w:val="003D1093"/>
    <w:rsid w:val="003D1828"/>
    <w:rsid w:val="003D1862"/>
    <w:rsid w:val="003D1A78"/>
    <w:rsid w:val="003D1DE4"/>
    <w:rsid w:val="003D1E9A"/>
    <w:rsid w:val="003D1EDB"/>
    <w:rsid w:val="003D1FF3"/>
    <w:rsid w:val="003D224C"/>
    <w:rsid w:val="003D2273"/>
    <w:rsid w:val="003D2422"/>
    <w:rsid w:val="003D249D"/>
    <w:rsid w:val="003D2760"/>
    <w:rsid w:val="003D2912"/>
    <w:rsid w:val="003D324B"/>
    <w:rsid w:val="003D33FB"/>
    <w:rsid w:val="003D39A1"/>
    <w:rsid w:val="003D3FBF"/>
    <w:rsid w:val="003D4A30"/>
    <w:rsid w:val="003D4D67"/>
    <w:rsid w:val="003D50C9"/>
    <w:rsid w:val="003D5811"/>
    <w:rsid w:val="003D5C57"/>
    <w:rsid w:val="003D5DBE"/>
    <w:rsid w:val="003D6792"/>
    <w:rsid w:val="003D6A53"/>
    <w:rsid w:val="003D6AA2"/>
    <w:rsid w:val="003D6B40"/>
    <w:rsid w:val="003D6C8C"/>
    <w:rsid w:val="003D732F"/>
    <w:rsid w:val="003D7452"/>
    <w:rsid w:val="003D746A"/>
    <w:rsid w:val="003D79BB"/>
    <w:rsid w:val="003D7C98"/>
    <w:rsid w:val="003D7D9D"/>
    <w:rsid w:val="003E00DB"/>
    <w:rsid w:val="003E0543"/>
    <w:rsid w:val="003E0B0B"/>
    <w:rsid w:val="003E0C66"/>
    <w:rsid w:val="003E1F77"/>
    <w:rsid w:val="003E2388"/>
    <w:rsid w:val="003E25C2"/>
    <w:rsid w:val="003E2BF6"/>
    <w:rsid w:val="003E38C0"/>
    <w:rsid w:val="003E3A1C"/>
    <w:rsid w:val="003E3AA5"/>
    <w:rsid w:val="003E3E1F"/>
    <w:rsid w:val="003E4183"/>
    <w:rsid w:val="003E5603"/>
    <w:rsid w:val="003E5669"/>
    <w:rsid w:val="003E5A7E"/>
    <w:rsid w:val="003E5BC6"/>
    <w:rsid w:val="003E6522"/>
    <w:rsid w:val="003E66D1"/>
    <w:rsid w:val="003E67FF"/>
    <w:rsid w:val="003E71B9"/>
    <w:rsid w:val="003E749E"/>
    <w:rsid w:val="003E7718"/>
    <w:rsid w:val="003F012B"/>
    <w:rsid w:val="003F068E"/>
    <w:rsid w:val="003F085E"/>
    <w:rsid w:val="003F0AC0"/>
    <w:rsid w:val="003F0C2A"/>
    <w:rsid w:val="003F124D"/>
    <w:rsid w:val="003F150B"/>
    <w:rsid w:val="003F16EB"/>
    <w:rsid w:val="003F1EC0"/>
    <w:rsid w:val="003F20E4"/>
    <w:rsid w:val="003F2447"/>
    <w:rsid w:val="003F2555"/>
    <w:rsid w:val="003F2792"/>
    <w:rsid w:val="003F2AA9"/>
    <w:rsid w:val="003F2AC3"/>
    <w:rsid w:val="003F32BD"/>
    <w:rsid w:val="003F3A66"/>
    <w:rsid w:val="003F3F1F"/>
    <w:rsid w:val="003F4156"/>
    <w:rsid w:val="003F4424"/>
    <w:rsid w:val="003F450B"/>
    <w:rsid w:val="003F456D"/>
    <w:rsid w:val="003F45E0"/>
    <w:rsid w:val="003F4CDC"/>
    <w:rsid w:val="003F4DE8"/>
    <w:rsid w:val="003F5221"/>
    <w:rsid w:val="003F5397"/>
    <w:rsid w:val="003F5ADF"/>
    <w:rsid w:val="003F69BA"/>
    <w:rsid w:val="003F6B22"/>
    <w:rsid w:val="003F6BE8"/>
    <w:rsid w:val="003F6D95"/>
    <w:rsid w:val="003F6DA3"/>
    <w:rsid w:val="003F742D"/>
    <w:rsid w:val="003F7964"/>
    <w:rsid w:val="0040037D"/>
    <w:rsid w:val="00400496"/>
    <w:rsid w:val="00400893"/>
    <w:rsid w:val="0040089B"/>
    <w:rsid w:val="004008AA"/>
    <w:rsid w:val="00400B29"/>
    <w:rsid w:val="00400EFA"/>
    <w:rsid w:val="00401528"/>
    <w:rsid w:val="0040233F"/>
    <w:rsid w:val="004024F1"/>
    <w:rsid w:val="00402591"/>
    <w:rsid w:val="004025AC"/>
    <w:rsid w:val="00402812"/>
    <w:rsid w:val="00403038"/>
    <w:rsid w:val="00404421"/>
    <w:rsid w:val="00404817"/>
    <w:rsid w:val="00404BF6"/>
    <w:rsid w:val="0040504B"/>
    <w:rsid w:val="00405278"/>
    <w:rsid w:val="00405788"/>
    <w:rsid w:val="004059F4"/>
    <w:rsid w:val="00405CA1"/>
    <w:rsid w:val="00405D2C"/>
    <w:rsid w:val="004068D0"/>
    <w:rsid w:val="004070AE"/>
    <w:rsid w:val="0040769E"/>
    <w:rsid w:val="00407A23"/>
    <w:rsid w:val="00407FE5"/>
    <w:rsid w:val="004101B0"/>
    <w:rsid w:val="00410326"/>
    <w:rsid w:val="00410708"/>
    <w:rsid w:val="004109B8"/>
    <w:rsid w:val="00410A24"/>
    <w:rsid w:val="00410EC7"/>
    <w:rsid w:val="0041130A"/>
    <w:rsid w:val="00411B39"/>
    <w:rsid w:val="00412045"/>
    <w:rsid w:val="0041263A"/>
    <w:rsid w:val="004127A7"/>
    <w:rsid w:val="0041344A"/>
    <w:rsid w:val="00413A1E"/>
    <w:rsid w:val="00413C1D"/>
    <w:rsid w:val="00413DA1"/>
    <w:rsid w:val="00413FEF"/>
    <w:rsid w:val="00414156"/>
    <w:rsid w:val="00414206"/>
    <w:rsid w:val="0041423E"/>
    <w:rsid w:val="00414476"/>
    <w:rsid w:val="00414B92"/>
    <w:rsid w:val="00414C2E"/>
    <w:rsid w:val="004151B5"/>
    <w:rsid w:val="004151CF"/>
    <w:rsid w:val="00415692"/>
    <w:rsid w:val="00415AC5"/>
    <w:rsid w:val="00415C8B"/>
    <w:rsid w:val="0041600A"/>
    <w:rsid w:val="00416018"/>
    <w:rsid w:val="00416069"/>
    <w:rsid w:val="004161BB"/>
    <w:rsid w:val="00416364"/>
    <w:rsid w:val="00416A2E"/>
    <w:rsid w:val="004171D0"/>
    <w:rsid w:val="004200D8"/>
    <w:rsid w:val="0042047F"/>
    <w:rsid w:val="004206D7"/>
    <w:rsid w:val="00420AA6"/>
    <w:rsid w:val="00420B9F"/>
    <w:rsid w:val="0042192C"/>
    <w:rsid w:val="004220F6"/>
    <w:rsid w:val="0042214E"/>
    <w:rsid w:val="00422260"/>
    <w:rsid w:val="00422559"/>
    <w:rsid w:val="0042276D"/>
    <w:rsid w:val="004232E1"/>
    <w:rsid w:val="0042356C"/>
    <w:rsid w:val="004239AC"/>
    <w:rsid w:val="00423BAC"/>
    <w:rsid w:val="0042408C"/>
    <w:rsid w:val="0042411F"/>
    <w:rsid w:val="0042413F"/>
    <w:rsid w:val="0042415F"/>
    <w:rsid w:val="004246E3"/>
    <w:rsid w:val="00424791"/>
    <w:rsid w:val="0042490F"/>
    <w:rsid w:val="00424B8A"/>
    <w:rsid w:val="00424CBE"/>
    <w:rsid w:val="00424EEE"/>
    <w:rsid w:val="0042555A"/>
    <w:rsid w:val="004257A5"/>
    <w:rsid w:val="00425804"/>
    <w:rsid w:val="004258C8"/>
    <w:rsid w:val="004258F5"/>
    <w:rsid w:val="0042597A"/>
    <w:rsid w:val="0042608C"/>
    <w:rsid w:val="004269D0"/>
    <w:rsid w:val="004273A3"/>
    <w:rsid w:val="00427D2A"/>
    <w:rsid w:val="004307F3"/>
    <w:rsid w:val="00430DB9"/>
    <w:rsid w:val="004315D1"/>
    <w:rsid w:val="004318F3"/>
    <w:rsid w:val="004319F8"/>
    <w:rsid w:val="00431E55"/>
    <w:rsid w:val="004321F6"/>
    <w:rsid w:val="0043238D"/>
    <w:rsid w:val="004324F6"/>
    <w:rsid w:val="0043253C"/>
    <w:rsid w:val="00432726"/>
    <w:rsid w:val="0043291B"/>
    <w:rsid w:val="00433044"/>
    <w:rsid w:val="0043311A"/>
    <w:rsid w:val="0043333B"/>
    <w:rsid w:val="004334C0"/>
    <w:rsid w:val="004335A3"/>
    <w:rsid w:val="00433741"/>
    <w:rsid w:val="00433764"/>
    <w:rsid w:val="004337E4"/>
    <w:rsid w:val="00433BCE"/>
    <w:rsid w:val="00433DB5"/>
    <w:rsid w:val="00434088"/>
    <w:rsid w:val="004358A1"/>
    <w:rsid w:val="00435B73"/>
    <w:rsid w:val="00436FE5"/>
    <w:rsid w:val="00437570"/>
    <w:rsid w:val="004375B9"/>
    <w:rsid w:val="00437953"/>
    <w:rsid w:val="004379A2"/>
    <w:rsid w:val="00440211"/>
    <w:rsid w:val="004402A8"/>
    <w:rsid w:val="00440C1C"/>
    <w:rsid w:val="004410CA"/>
    <w:rsid w:val="004412F8"/>
    <w:rsid w:val="004428D0"/>
    <w:rsid w:val="004431CE"/>
    <w:rsid w:val="00443A01"/>
    <w:rsid w:val="00443EC1"/>
    <w:rsid w:val="00444185"/>
    <w:rsid w:val="004443A7"/>
    <w:rsid w:val="0044442C"/>
    <w:rsid w:val="00444EA9"/>
    <w:rsid w:val="00445941"/>
    <w:rsid w:val="004459F5"/>
    <w:rsid w:val="00445B0B"/>
    <w:rsid w:val="004463FE"/>
    <w:rsid w:val="004464EB"/>
    <w:rsid w:val="00446B3C"/>
    <w:rsid w:val="004474BE"/>
    <w:rsid w:val="00447614"/>
    <w:rsid w:val="00447737"/>
    <w:rsid w:val="00447A47"/>
    <w:rsid w:val="00447AAF"/>
    <w:rsid w:val="00447D26"/>
    <w:rsid w:val="00447DFC"/>
    <w:rsid w:val="00447EA6"/>
    <w:rsid w:val="004507E0"/>
    <w:rsid w:val="00451383"/>
    <w:rsid w:val="00451439"/>
    <w:rsid w:val="00451596"/>
    <w:rsid w:val="00451A30"/>
    <w:rsid w:val="00453240"/>
    <w:rsid w:val="00453392"/>
    <w:rsid w:val="00453455"/>
    <w:rsid w:val="0045345A"/>
    <w:rsid w:val="004537B1"/>
    <w:rsid w:val="00453933"/>
    <w:rsid w:val="0045464E"/>
    <w:rsid w:val="004546FF"/>
    <w:rsid w:val="0045572C"/>
    <w:rsid w:val="004557D9"/>
    <w:rsid w:val="0045585A"/>
    <w:rsid w:val="00455D45"/>
    <w:rsid w:val="00456842"/>
    <w:rsid w:val="00457962"/>
    <w:rsid w:val="00457C2B"/>
    <w:rsid w:val="00457C62"/>
    <w:rsid w:val="0046037F"/>
    <w:rsid w:val="004603F1"/>
    <w:rsid w:val="00460D5B"/>
    <w:rsid w:val="00460E8A"/>
    <w:rsid w:val="00461501"/>
    <w:rsid w:val="004617D6"/>
    <w:rsid w:val="00461FCA"/>
    <w:rsid w:val="00462294"/>
    <w:rsid w:val="0046230C"/>
    <w:rsid w:val="00462896"/>
    <w:rsid w:val="00463073"/>
    <w:rsid w:val="004630EB"/>
    <w:rsid w:val="004633E5"/>
    <w:rsid w:val="0046362A"/>
    <w:rsid w:val="00463982"/>
    <w:rsid w:val="0046399F"/>
    <w:rsid w:val="00464007"/>
    <w:rsid w:val="004640C9"/>
    <w:rsid w:val="004640FF"/>
    <w:rsid w:val="00464115"/>
    <w:rsid w:val="00464166"/>
    <w:rsid w:val="004642E6"/>
    <w:rsid w:val="00464595"/>
    <w:rsid w:val="00464F0D"/>
    <w:rsid w:val="004658B5"/>
    <w:rsid w:val="00465B64"/>
    <w:rsid w:val="004661D3"/>
    <w:rsid w:val="00466392"/>
    <w:rsid w:val="004668DA"/>
    <w:rsid w:val="004668DD"/>
    <w:rsid w:val="00466DDE"/>
    <w:rsid w:val="004671A4"/>
    <w:rsid w:val="0046756A"/>
    <w:rsid w:val="0046790F"/>
    <w:rsid w:val="00467AC3"/>
    <w:rsid w:val="00470591"/>
    <w:rsid w:val="0047087C"/>
    <w:rsid w:val="00470E63"/>
    <w:rsid w:val="0047143F"/>
    <w:rsid w:val="00471577"/>
    <w:rsid w:val="00471AF5"/>
    <w:rsid w:val="00471CBA"/>
    <w:rsid w:val="00471EA5"/>
    <w:rsid w:val="00472135"/>
    <w:rsid w:val="00472224"/>
    <w:rsid w:val="00472384"/>
    <w:rsid w:val="0047257B"/>
    <w:rsid w:val="00472A19"/>
    <w:rsid w:val="00472A79"/>
    <w:rsid w:val="00473003"/>
    <w:rsid w:val="004733CD"/>
    <w:rsid w:val="00473449"/>
    <w:rsid w:val="004734ED"/>
    <w:rsid w:val="00473682"/>
    <w:rsid w:val="00473F19"/>
    <w:rsid w:val="004742A8"/>
    <w:rsid w:val="0047530B"/>
    <w:rsid w:val="00475360"/>
    <w:rsid w:val="00475E22"/>
    <w:rsid w:val="004761DD"/>
    <w:rsid w:val="004764C9"/>
    <w:rsid w:val="004765D4"/>
    <w:rsid w:val="00477961"/>
    <w:rsid w:val="00477C7E"/>
    <w:rsid w:val="004801DC"/>
    <w:rsid w:val="0048088E"/>
    <w:rsid w:val="00480AA7"/>
    <w:rsid w:val="00480F2B"/>
    <w:rsid w:val="0048151B"/>
    <w:rsid w:val="00481C6F"/>
    <w:rsid w:val="00481E5F"/>
    <w:rsid w:val="00482720"/>
    <w:rsid w:val="00482AD7"/>
    <w:rsid w:val="004835E7"/>
    <w:rsid w:val="00483BB0"/>
    <w:rsid w:val="00483EA9"/>
    <w:rsid w:val="004848C8"/>
    <w:rsid w:val="0048494C"/>
    <w:rsid w:val="00484D4E"/>
    <w:rsid w:val="00485081"/>
    <w:rsid w:val="00485328"/>
    <w:rsid w:val="004858F8"/>
    <w:rsid w:val="004859E1"/>
    <w:rsid w:val="004867E2"/>
    <w:rsid w:val="00486ADA"/>
    <w:rsid w:val="00486F87"/>
    <w:rsid w:val="00487243"/>
    <w:rsid w:val="00487D1A"/>
    <w:rsid w:val="00487EAF"/>
    <w:rsid w:val="004903CC"/>
    <w:rsid w:val="0049081D"/>
    <w:rsid w:val="00490874"/>
    <w:rsid w:val="00490AD0"/>
    <w:rsid w:val="00490B17"/>
    <w:rsid w:val="00490BA6"/>
    <w:rsid w:val="004916B8"/>
    <w:rsid w:val="00491B3A"/>
    <w:rsid w:val="00492CFD"/>
    <w:rsid w:val="00492FCE"/>
    <w:rsid w:val="00493454"/>
    <w:rsid w:val="004938AE"/>
    <w:rsid w:val="00493C03"/>
    <w:rsid w:val="00493C86"/>
    <w:rsid w:val="00493F37"/>
    <w:rsid w:val="00494207"/>
    <w:rsid w:val="00494332"/>
    <w:rsid w:val="004943EF"/>
    <w:rsid w:val="00494446"/>
    <w:rsid w:val="00494DD5"/>
    <w:rsid w:val="004951E0"/>
    <w:rsid w:val="00496106"/>
    <w:rsid w:val="004962D2"/>
    <w:rsid w:val="00496456"/>
    <w:rsid w:val="00496EA5"/>
    <w:rsid w:val="00497462"/>
    <w:rsid w:val="004976FE"/>
    <w:rsid w:val="00497803"/>
    <w:rsid w:val="0049785F"/>
    <w:rsid w:val="00497945"/>
    <w:rsid w:val="0049799C"/>
    <w:rsid w:val="00497B5C"/>
    <w:rsid w:val="00497C23"/>
    <w:rsid w:val="00497E1D"/>
    <w:rsid w:val="004A0173"/>
    <w:rsid w:val="004A0BF1"/>
    <w:rsid w:val="004A0DA1"/>
    <w:rsid w:val="004A1193"/>
    <w:rsid w:val="004A13D6"/>
    <w:rsid w:val="004A1784"/>
    <w:rsid w:val="004A17A2"/>
    <w:rsid w:val="004A1C0C"/>
    <w:rsid w:val="004A1EAF"/>
    <w:rsid w:val="004A2154"/>
    <w:rsid w:val="004A23CA"/>
    <w:rsid w:val="004A28CB"/>
    <w:rsid w:val="004A2F3D"/>
    <w:rsid w:val="004A3BAE"/>
    <w:rsid w:val="004A44FE"/>
    <w:rsid w:val="004A46B3"/>
    <w:rsid w:val="004A4A0C"/>
    <w:rsid w:val="004A4A3F"/>
    <w:rsid w:val="004A4C43"/>
    <w:rsid w:val="004A4E9F"/>
    <w:rsid w:val="004A4EAB"/>
    <w:rsid w:val="004A519E"/>
    <w:rsid w:val="004A52E9"/>
    <w:rsid w:val="004A5A64"/>
    <w:rsid w:val="004A5FDA"/>
    <w:rsid w:val="004A5FF2"/>
    <w:rsid w:val="004A6040"/>
    <w:rsid w:val="004A6597"/>
    <w:rsid w:val="004A65B6"/>
    <w:rsid w:val="004A66FF"/>
    <w:rsid w:val="004A6741"/>
    <w:rsid w:val="004A6836"/>
    <w:rsid w:val="004A71FC"/>
    <w:rsid w:val="004A7276"/>
    <w:rsid w:val="004A7848"/>
    <w:rsid w:val="004A78BA"/>
    <w:rsid w:val="004A793B"/>
    <w:rsid w:val="004A7FAA"/>
    <w:rsid w:val="004B08FE"/>
    <w:rsid w:val="004B0B5F"/>
    <w:rsid w:val="004B193D"/>
    <w:rsid w:val="004B1C0E"/>
    <w:rsid w:val="004B1CB4"/>
    <w:rsid w:val="004B1E25"/>
    <w:rsid w:val="004B2F18"/>
    <w:rsid w:val="004B33B7"/>
    <w:rsid w:val="004B33C8"/>
    <w:rsid w:val="004B35D3"/>
    <w:rsid w:val="004B3DDB"/>
    <w:rsid w:val="004B4105"/>
    <w:rsid w:val="004B44FD"/>
    <w:rsid w:val="004B4B93"/>
    <w:rsid w:val="004B5257"/>
    <w:rsid w:val="004B5701"/>
    <w:rsid w:val="004B5CFC"/>
    <w:rsid w:val="004B6131"/>
    <w:rsid w:val="004B6763"/>
    <w:rsid w:val="004B6C5E"/>
    <w:rsid w:val="004B6F79"/>
    <w:rsid w:val="004B7157"/>
    <w:rsid w:val="004B774D"/>
    <w:rsid w:val="004B781A"/>
    <w:rsid w:val="004B7919"/>
    <w:rsid w:val="004C0C13"/>
    <w:rsid w:val="004C0CFF"/>
    <w:rsid w:val="004C1503"/>
    <w:rsid w:val="004C19F1"/>
    <w:rsid w:val="004C1E92"/>
    <w:rsid w:val="004C24CF"/>
    <w:rsid w:val="004C2AC2"/>
    <w:rsid w:val="004C3B02"/>
    <w:rsid w:val="004C3BF8"/>
    <w:rsid w:val="004C3C3D"/>
    <w:rsid w:val="004C3FC4"/>
    <w:rsid w:val="004C400A"/>
    <w:rsid w:val="004C42FA"/>
    <w:rsid w:val="004C433F"/>
    <w:rsid w:val="004C438F"/>
    <w:rsid w:val="004C46E6"/>
    <w:rsid w:val="004C476E"/>
    <w:rsid w:val="004C481F"/>
    <w:rsid w:val="004C4AED"/>
    <w:rsid w:val="004C4C9D"/>
    <w:rsid w:val="004C53C1"/>
    <w:rsid w:val="004C5D4C"/>
    <w:rsid w:val="004C63A5"/>
    <w:rsid w:val="004C67DC"/>
    <w:rsid w:val="004C6931"/>
    <w:rsid w:val="004C73A6"/>
    <w:rsid w:val="004C764E"/>
    <w:rsid w:val="004C7805"/>
    <w:rsid w:val="004C7AAD"/>
    <w:rsid w:val="004D02C3"/>
    <w:rsid w:val="004D02E2"/>
    <w:rsid w:val="004D0431"/>
    <w:rsid w:val="004D058C"/>
    <w:rsid w:val="004D064B"/>
    <w:rsid w:val="004D07E3"/>
    <w:rsid w:val="004D09A0"/>
    <w:rsid w:val="004D133A"/>
    <w:rsid w:val="004D181D"/>
    <w:rsid w:val="004D1B12"/>
    <w:rsid w:val="004D1D48"/>
    <w:rsid w:val="004D2162"/>
    <w:rsid w:val="004D2327"/>
    <w:rsid w:val="004D2376"/>
    <w:rsid w:val="004D2525"/>
    <w:rsid w:val="004D268D"/>
    <w:rsid w:val="004D2A0F"/>
    <w:rsid w:val="004D2C2D"/>
    <w:rsid w:val="004D41E9"/>
    <w:rsid w:val="004D4538"/>
    <w:rsid w:val="004D491F"/>
    <w:rsid w:val="004D4F87"/>
    <w:rsid w:val="004D5234"/>
    <w:rsid w:val="004D6021"/>
    <w:rsid w:val="004D61D7"/>
    <w:rsid w:val="004D66EE"/>
    <w:rsid w:val="004D69B5"/>
    <w:rsid w:val="004D6C70"/>
    <w:rsid w:val="004D7227"/>
    <w:rsid w:val="004D748D"/>
    <w:rsid w:val="004D7B5E"/>
    <w:rsid w:val="004D7C5F"/>
    <w:rsid w:val="004E0921"/>
    <w:rsid w:val="004E0A6E"/>
    <w:rsid w:val="004E0E7F"/>
    <w:rsid w:val="004E0EB8"/>
    <w:rsid w:val="004E18CE"/>
    <w:rsid w:val="004E18E9"/>
    <w:rsid w:val="004E2379"/>
    <w:rsid w:val="004E2502"/>
    <w:rsid w:val="004E2ADC"/>
    <w:rsid w:val="004E397B"/>
    <w:rsid w:val="004E3DD2"/>
    <w:rsid w:val="004E43B2"/>
    <w:rsid w:val="004E46CC"/>
    <w:rsid w:val="004E497C"/>
    <w:rsid w:val="004E55DA"/>
    <w:rsid w:val="004E59D2"/>
    <w:rsid w:val="004E5B76"/>
    <w:rsid w:val="004E5C1D"/>
    <w:rsid w:val="004E5C21"/>
    <w:rsid w:val="004E6ACC"/>
    <w:rsid w:val="004E6B63"/>
    <w:rsid w:val="004E6D3C"/>
    <w:rsid w:val="004E6E84"/>
    <w:rsid w:val="004E6F31"/>
    <w:rsid w:val="004E712A"/>
    <w:rsid w:val="004E7462"/>
    <w:rsid w:val="004E7AAC"/>
    <w:rsid w:val="004F056B"/>
    <w:rsid w:val="004F058C"/>
    <w:rsid w:val="004F0B70"/>
    <w:rsid w:val="004F0CE5"/>
    <w:rsid w:val="004F0CFC"/>
    <w:rsid w:val="004F1769"/>
    <w:rsid w:val="004F190C"/>
    <w:rsid w:val="004F1B2F"/>
    <w:rsid w:val="004F1D02"/>
    <w:rsid w:val="004F2679"/>
    <w:rsid w:val="004F2BF0"/>
    <w:rsid w:val="004F2D5E"/>
    <w:rsid w:val="004F2F21"/>
    <w:rsid w:val="004F30BE"/>
    <w:rsid w:val="004F33F6"/>
    <w:rsid w:val="004F3DE5"/>
    <w:rsid w:val="004F5094"/>
    <w:rsid w:val="004F5896"/>
    <w:rsid w:val="004F5A86"/>
    <w:rsid w:val="004F5B3A"/>
    <w:rsid w:val="004F5DDC"/>
    <w:rsid w:val="004F6284"/>
    <w:rsid w:val="004F679B"/>
    <w:rsid w:val="004F6913"/>
    <w:rsid w:val="004F6BA0"/>
    <w:rsid w:val="004F6D52"/>
    <w:rsid w:val="004F7071"/>
    <w:rsid w:val="004F7865"/>
    <w:rsid w:val="00500123"/>
    <w:rsid w:val="0050016B"/>
    <w:rsid w:val="005007F7"/>
    <w:rsid w:val="00500B12"/>
    <w:rsid w:val="00500B3D"/>
    <w:rsid w:val="00500C9C"/>
    <w:rsid w:val="00500DA0"/>
    <w:rsid w:val="005013CE"/>
    <w:rsid w:val="0050174E"/>
    <w:rsid w:val="00501854"/>
    <w:rsid w:val="00501B6E"/>
    <w:rsid w:val="00501BA0"/>
    <w:rsid w:val="005020D8"/>
    <w:rsid w:val="0050219B"/>
    <w:rsid w:val="00502292"/>
    <w:rsid w:val="005026EF"/>
    <w:rsid w:val="005028C4"/>
    <w:rsid w:val="00502991"/>
    <w:rsid w:val="00502F76"/>
    <w:rsid w:val="00503961"/>
    <w:rsid w:val="00503AC2"/>
    <w:rsid w:val="00503B9F"/>
    <w:rsid w:val="00503F17"/>
    <w:rsid w:val="00503F3A"/>
    <w:rsid w:val="00504127"/>
    <w:rsid w:val="00504612"/>
    <w:rsid w:val="0050558D"/>
    <w:rsid w:val="00505A8C"/>
    <w:rsid w:val="0050667F"/>
    <w:rsid w:val="00506928"/>
    <w:rsid w:val="00506AC0"/>
    <w:rsid w:val="00506C0B"/>
    <w:rsid w:val="00506C44"/>
    <w:rsid w:val="005077EF"/>
    <w:rsid w:val="00507C59"/>
    <w:rsid w:val="00507CBF"/>
    <w:rsid w:val="0051014F"/>
    <w:rsid w:val="0051073B"/>
    <w:rsid w:val="00510AFF"/>
    <w:rsid w:val="00510E1D"/>
    <w:rsid w:val="0051101B"/>
    <w:rsid w:val="00511524"/>
    <w:rsid w:val="00511992"/>
    <w:rsid w:val="00511AD5"/>
    <w:rsid w:val="00511C7D"/>
    <w:rsid w:val="00511DC7"/>
    <w:rsid w:val="0051203A"/>
    <w:rsid w:val="0051233B"/>
    <w:rsid w:val="0051257F"/>
    <w:rsid w:val="0051269E"/>
    <w:rsid w:val="005128FF"/>
    <w:rsid w:val="0051339B"/>
    <w:rsid w:val="00513528"/>
    <w:rsid w:val="0051355F"/>
    <w:rsid w:val="00513BFA"/>
    <w:rsid w:val="005142C5"/>
    <w:rsid w:val="005144FA"/>
    <w:rsid w:val="00514A71"/>
    <w:rsid w:val="00514BED"/>
    <w:rsid w:val="00514E25"/>
    <w:rsid w:val="0051501B"/>
    <w:rsid w:val="005152B5"/>
    <w:rsid w:val="005153C4"/>
    <w:rsid w:val="00515886"/>
    <w:rsid w:val="00515E40"/>
    <w:rsid w:val="00516679"/>
    <w:rsid w:val="005167C1"/>
    <w:rsid w:val="005173A2"/>
    <w:rsid w:val="00517C19"/>
    <w:rsid w:val="00520604"/>
    <w:rsid w:val="0052102C"/>
    <w:rsid w:val="0052123C"/>
    <w:rsid w:val="00521319"/>
    <w:rsid w:val="00521683"/>
    <w:rsid w:val="00521872"/>
    <w:rsid w:val="00522255"/>
    <w:rsid w:val="005224E5"/>
    <w:rsid w:val="0052281D"/>
    <w:rsid w:val="005228CE"/>
    <w:rsid w:val="00522A5E"/>
    <w:rsid w:val="00522BC8"/>
    <w:rsid w:val="00522DB4"/>
    <w:rsid w:val="00523101"/>
    <w:rsid w:val="00523C28"/>
    <w:rsid w:val="005241CD"/>
    <w:rsid w:val="005242A9"/>
    <w:rsid w:val="00524469"/>
    <w:rsid w:val="005255B5"/>
    <w:rsid w:val="0052561C"/>
    <w:rsid w:val="005256EC"/>
    <w:rsid w:val="00526146"/>
    <w:rsid w:val="005261D2"/>
    <w:rsid w:val="005263DC"/>
    <w:rsid w:val="005267E4"/>
    <w:rsid w:val="005268B3"/>
    <w:rsid w:val="005273BE"/>
    <w:rsid w:val="005301AD"/>
    <w:rsid w:val="0053056F"/>
    <w:rsid w:val="00530925"/>
    <w:rsid w:val="00530BC5"/>
    <w:rsid w:val="00530D19"/>
    <w:rsid w:val="0053124B"/>
    <w:rsid w:val="005312F1"/>
    <w:rsid w:val="005313E9"/>
    <w:rsid w:val="005313EC"/>
    <w:rsid w:val="0053154D"/>
    <w:rsid w:val="0053176B"/>
    <w:rsid w:val="005325AA"/>
    <w:rsid w:val="005325D8"/>
    <w:rsid w:val="0053276C"/>
    <w:rsid w:val="00532845"/>
    <w:rsid w:val="00532E62"/>
    <w:rsid w:val="005338AD"/>
    <w:rsid w:val="00533A71"/>
    <w:rsid w:val="00533AEF"/>
    <w:rsid w:val="0053419A"/>
    <w:rsid w:val="005341B3"/>
    <w:rsid w:val="005342F3"/>
    <w:rsid w:val="0053536B"/>
    <w:rsid w:val="0053572F"/>
    <w:rsid w:val="00535D05"/>
    <w:rsid w:val="00535D2A"/>
    <w:rsid w:val="00535D4E"/>
    <w:rsid w:val="00536A94"/>
    <w:rsid w:val="00536B08"/>
    <w:rsid w:val="00536F42"/>
    <w:rsid w:val="00536F65"/>
    <w:rsid w:val="005370C7"/>
    <w:rsid w:val="00537182"/>
    <w:rsid w:val="0053729C"/>
    <w:rsid w:val="00537BEB"/>
    <w:rsid w:val="005401FE"/>
    <w:rsid w:val="0054050B"/>
    <w:rsid w:val="0054095C"/>
    <w:rsid w:val="005409C9"/>
    <w:rsid w:val="00541701"/>
    <w:rsid w:val="00541711"/>
    <w:rsid w:val="00541A70"/>
    <w:rsid w:val="00541DB9"/>
    <w:rsid w:val="00541E58"/>
    <w:rsid w:val="00541EDD"/>
    <w:rsid w:val="00542446"/>
    <w:rsid w:val="00542743"/>
    <w:rsid w:val="00542C2D"/>
    <w:rsid w:val="00542F04"/>
    <w:rsid w:val="00543462"/>
    <w:rsid w:val="0054377E"/>
    <w:rsid w:val="005442EE"/>
    <w:rsid w:val="00544D9A"/>
    <w:rsid w:val="00545193"/>
    <w:rsid w:val="00545BE1"/>
    <w:rsid w:val="00545D7F"/>
    <w:rsid w:val="00545EBE"/>
    <w:rsid w:val="00546668"/>
    <w:rsid w:val="00546841"/>
    <w:rsid w:val="00546D8D"/>
    <w:rsid w:val="00546D9C"/>
    <w:rsid w:val="005478BD"/>
    <w:rsid w:val="005479E3"/>
    <w:rsid w:val="0055088E"/>
    <w:rsid w:val="00550932"/>
    <w:rsid w:val="005510C2"/>
    <w:rsid w:val="00551985"/>
    <w:rsid w:val="00551C33"/>
    <w:rsid w:val="005527EF"/>
    <w:rsid w:val="00552BD3"/>
    <w:rsid w:val="00552FFB"/>
    <w:rsid w:val="005532A0"/>
    <w:rsid w:val="005537D8"/>
    <w:rsid w:val="00553AEC"/>
    <w:rsid w:val="00554280"/>
    <w:rsid w:val="005549A5"/>
    <w:rsid w:val="00555109"/>
    <w:rsid w:val="005551B2"/>
    <w:rsid w:val="005559B4"/>
    <w:rsid w:val="0055605E"/>
    <w:rsid w:val="00556279"/>
    <w:rsid w:val="0055667C"/>
    <w:rsid w:val="00556B35"/>
    <w:rsid w:val="00556FC3"/>
    <w:rsid w:val="00557090"/>
    <w:rsid w:val="005571F4"/>
    <w:rsid w:val="0055741A"/>
    <w:rsid w:val="00557426"/>
    <w:rsid w:val="00557CF2"/>
    <w:rsid w:val="00557D1E"/>
    <w:rsid w:val="00557D3B"/>
    <w:rsid w:val="00557F1C"/>
    <w:rsid w:val="00560994"/>
    <w:rsid w:val="00560C97"/>
    <w:rsid w:val="00561050"/>
    <w:rsid w:val="005610F6"/>
    <w:rsid w:val="005611B7"/>
    <w:rsid w:val="005618D4"/>
    <w:rsid w:val="00561E4B"/>
    <w:rsid w:val="005621C7"/>
    <w:rsid w:val="005621CF"/>
    <w:rsid w:val="0056249F"/>
    <w:rsid w:val="005627CD"/>
    <w:rsid w:val="00563416"/>
    <w:rsid w:val="005637AA"/>
    <w:rsid w:val="00564408"/>
    <w:rsid w:val="00564867"/>
    <w:rsid w:val="005649DE"/>
    <w:rsid w:val="00565388"/>
    <w:rsid w:val="00565589"/>
    <w:rsid w:val="005657C9"/>
    <w:rsid w:val="0056580C"/>
    <w:rsid w:val="00565C79"/>
    <w:rsid w:val="00565DF0"/>
    <w:rsid w:val="005660BB"/>
    <w:rsid w:val="0056696F"/>
    <w:rsid w:val="00566AA6"/>
    <w:rsid w:val="00566E60"/>
    <w:rsid w:val="005673C0"/>
    <w:rsid w:val="005674B8"/>
    <w:rsid w:val="0056761B"/>
    <w:rsid w:val="00567D26"/>
    <w:rsid w:val="005700AD"/>
    <w:rsid w:val="00570F48"/>
    <w:rsid w:val="0057139C"/>
    <w:rsid w:val="00571EE9"/>
    <w:rsid w:val="00572269"/>
    <w:rsid w:val="00572324"/>
    <w:rsid w:val="0057238E"/>
    <w:rsid w:val="0057244A"/>
    <w:rsid w:val="005727C0"/>
    <w:rsid w:val="0057289A"/>
    <w:rsid w:val="00572949"/>
    <w:rsid w:val="00572B4A"/>
    <w:rsid w:val="00572F26"/>
    <w:rsid w:val="005743F5"/>
    <w:rsid w:val="00574448"/>
    <w:rsid w:val="005748B7"/>
    <w:rsid w:val="00574CDF"/>
    <w:rsid w:val="005750C5"/>
    <w:rsid w:val="005752DE"/>
    <w:rsid w:val="00575419"/>
    <w:rsid w:val="005757FA"/>
    <w:rsid w:val="00575951"/>
    <w:rsid w:val="00575D60"/>
    <w:rsid w:val="00575D8D"/>
    <w:rsid w:val="00575EFB"/>
    <w:rsid w:val="00575FCA"/>
    <w:rsid w:val="0057617E"/>
    <w:rsid w:val="00576972"/>
    <w:rsid w:val="00576C8D"/>
    <w:rsid w:val="00576DF5"/>
    <w:rsid w:val="00576F0C"/>
    <w:rsid w:val="00576F4B"/>
    <w:rsid w:val="00577248"/>
    <w:rsid w:val="0057742E"/>
    <w:rsid w:val="00577432"/>
    <w:rsid w:val="00577B83"/>
    <w:rsid w:val="005802A3"/>
    <w:rsid w:val="005809FF"/>
    <w:rsid w:val="00580C33"/>
    <w:rsid w:val="00580E69"/>
    <w:rsid w:val="00580F58"/>
    <w:rsid w:val="0058109D"/>
    <w:rsid w:val="00581329"/>
    <w:rsid w:val="0058151A"/>
    <w:rsid w:val="00581B82"/>
    <w:rsid w:val="00581D5D"/>
    <w:rsid w:val="00581D73"/>
    <w:rsid w:val="00582B1B"/>
    <w:rsid w:val="00583160"/>
    <w:rsid w:val="00583699"/>
    <w:rsid w:val="00583F80"/>
    <w:rsid w:val="0058414F"/>
    <w:rsid w:val="00584284"/>
    <w:rsid w:val="005846EE"/>
    <w:rsid w:val="005857A1"/>
    <w:rsid w:val="00585AF9"/>
    <w:rsid w:val="00585CDD"/>
    <w:rsid w:val="00585E34"/>
    <w:rsid w:val="005862C4"/>
    <w:rsid w:val="0058654C"/>
    <w:rsid w:val="005865D5"/>
    <w:rsid w:val="00586634"/>
    <w:rsid w:val="00586755"/>
    <w:rsid w:val="0058675D"/>
    <w:rsid w:val="00586900"/>
    <w:rsid w:val="0058691C"/>
    <w:rsid w:val="00586A2B"/>
    <w:rsid w:val="00586AE8"/>
    <w:rsid w:val="00586F9D"/>
    <w:rsid w:val="00587058"/>
    <w:rsid w:val="00587D45"/>
    <w:rsid w:val="00590071"/>
    <w:rsid w:val="00590D12"/>
    <w:rsid w:val="005911DC"/>
    <w:rsid w:val="005913AE"/>
    <w:rsid w:val="0059177E"/>
    <w:rsid w:val="0059194A"/>
    <w:rsid w:val="00591957"/>
    <w:rsid w:val="00591D67"/>
    <w:rsid w:val="00591E74"/>
    <w:rsid w:val="00592313"/>
    <w:rsid w:val="0059282A"/>
    <w:rsid w:val="0059283E"/>
    <w:rsid w:val="00592A7E"/>
    <w:rsid w:val="00592A94"/>
    <w:rsid w:val="00592B25"/>
    <w:rsid w:val="00592B67"/>
    <w:rsid w:val="00593CC8"/>
    <w:rsid w:val="00594211"/>
    <w:rsid w:val="00594239"/>
    <w:rsid w:val="005945AF"/>
    <w:rsid w:val="0059489E"/>
    <w:rsid w:val="00594D6A"/>
    <w:rsid w:val="005950A8"/>
    <w:rsid w:val="005954BD"/>
    <w:rsid w:val="005958DF"/>
    <w:rsid w:val="00595AD5"/>
    <w:rsid w:val="00595BA7"/>
    <w:rsid w:val="00595E83"/>
    <w:rsid w:val="0059665D"/>
    <w:rsid w:val="005967B4"/>
    <w:rsid w:val="00596E4B"/>
    <w:rsid w:val="005971C9"/>
    <w:rsid w:val="005972CF"/>
    <w:rsid w:val="00597BE7"/>
    <w:rsid w:val="00597BF9"/>
    <w:rsid w:val="00597D67"/>
    <w:rsid w:val="005A0B05"/>
    <w:rsid w:val="005A0B32"/>
    <w:rsid w:val="005A0C11"/>
    <w:rsid w:val="005A0EC0"/>
    <w:rsid w:val="005A10EA"/>
    <w:rsid w:val="005A133D"/>
    <w:rsid w:val="005A1E5D"/>
    <w:rsid w:val="005A222D"/>
    <w:rsid w:val="005A23F6"/>
    <w:rsid w:val="005A2403"/>
    <w:rsid w:val="005A24F7"/>
    <w:rsid w:val="005A253B"/>
    <w:rsid w:val="005A2766"/>
    <w:rsid w:val="005A28B7"/>
    <w:rsid w:val="005A2B4F"/>
    <w:rsid w:val="005A2C78"/>
    <w:rsid w:val="005A309A"/>
    <w:rsid w:val="005A3172"/>
    <w:rsid w:val="005A373D"/>
    <w:rsid w:val="005A3BED"/>
    <w:rsid w:val="005A3EA5"/>
    <w:rsid w:val="005A4161"/>
    <w:rsid w:val="005A469E"/>
    <w:rsid w:val="005A46A1"/>
    <w:rsid w:val="005A4CFF"/>
    <w:rsid w:val="005A4E82"/>
    <w:rsid w:val="005A53A1"/>
    <w:rsid w:val="005A5922"/>
    <w:rsid w:val="005A5BA8"/>
    <w:rsid w:val="005A5C8A"/>
    <w:rsid w:val="005A5F6C"/>
    <w:rsid w:val="005A63CE"/>
    <w:rsid w:val="005A64D0"/>
    <w:rsid w:val="005A6563"/>
    <w:rsid w:val="005A7150"/>
    <w:rsid w:val="005A7388"/>
    <w:rsid w:val="005A772C"/>
    <w:rsid w:val="005A7BD1"/>
    <w:rsid w:val="005A7C65"/>
    <w:rsid w:val="005B013A"/>
    <w:rsid w:val="005B0B58"/>
    <w:rsid w:val="005B107C"/>
    <w:rsid w:val="005B108B"/>
    <w:rsid w:val="005B14AB"/>
    <w:rsid w:val="005B1F15"/>
    <w:rsid w:val="005B218E"/>
    <w:rsid w:val="005B2E2A"/>
    <w:rsid w:val="005B3753"/>
    <w:rsid w:val="005B3CDA"/>
    <w:rsid w:val="005B4811"/>
    <w:rsid w:val="005B4966"/>
    <w:rsid w:val="005B4E53"/>
    <w:rsid w:val="005B5638"/>
    <w:rsid w:val="005B5857"/>
    <w:rsid w:val="005B5BA4"/>
    <w:rsid w:val="005B5E16"/>
    <w:rsid w:val="005B5F7E"/>
    <w:rsid w:val="005B664F"/>
    <w:rsid w:val="005B6B66"/>
    <w:rsid w:val="005B6F41"/>
    <w:rsid w:val="005B73C1"/>
    <w:rsid w:val="005B7DB3"/>
    <w:rsid w:val="005C0CE4"/>
    <w:rsid w:val="005C1535"/>
    <w:rsid w:val="005C18C3"/>
    <w:rsid w:val="005C19C4"/>
    <w:rsid w:val="005C1B21"/>
    <w:rsid w:val="005C1B46"/>
    <w:rsid w:val="005C1B83"/>
    <w:rsid w:val="005C1DB3"/>
    <w:rsid w:val="005C2521"/>
    <w:rsid w:val="005C25FF"/>
    <w:rsid w:val="005C2A79"/>
    <w:rsid w:val="005C2D55"/>
    <w:rsid w:val="005C2F0E"/>
    <w:rsid w:val="005C346B"/>
    <w:rsid w:val="005C3941"/>
    <w:rsid w:val="005C3FA1"/>
    <w:rsid w:val="005C43D9"/>
    <w:rsid w:val="005C4C6D"/>
    <w:rsid w:val="005C4F4E"/>
    <w:rsid w:val="005C51BF"/>
    <w:rsid w:val="005C5ABC"/>
    <w:rsid w:val="005C5CA7"/>
    <w:rsid w:val="005C5EDD"/>
    <w:rsid w:val="005C5F1C"/>
    <w:rsid w:val="005C6061"/>
    <w:rsid w:val="005C6171"/>
    <w:rsid w:val="005C695F"/>
    <w:rsid w:val="005C6F88"/>
    <w:rsid w:val="005C763D"/>
    <w:rsid w:val="005C7803"/>
    <w:rsid w:val="005C7866"/>
    <w:rsid w:val="005C79DC"/>
    <w:rsid w:val="005C7B55"/>
    <w:rsid w:val="005C7DD6"/>
    <w:rsid w:val="005D044D"/>
    <w:rsid w:val="005D057B"/>
    <w:rsid w:val="005D0ABD"/>
    <w:rsid w:val="005D0F34"/>
    <w:rsid w:val="005D1423"/>
    <w:rsid w:val="005D1484"/>
    <w:rsid w:val="005D18AD"/>
    <w:rsid w:val="005D1994"/>
    <w:rsid w:val="005D24AF"/>
    <w:rsid w:val="005D26B4"/>
    <w:rsid w:val="005D2D81"/>
    <w:rsid w:val="005D309B"/>
    <w:rsid w:val="005D3484"/>
    <w:rsid w:val="005D34A6"/>
    <w:rsid w:val="005D3A1D"/>
    <w:rsid w:val="005D3CFF"/>
    <w:rsid w:val="005D4092"/>
    <w:rsid w:val="005D4E0B"/>
    <w:rsid w:val="005D515A"/>
    <w:rsid w:val="005D5452"/>
    <w:rsid w:val="005D5B4A"/>
    <w:rsid w:val="005D5DAE"/>
    <w:rsid w:val="005D5EE9"/>
    <w:rsid w:val="005D66B2"/>
    <w:rsid w:val="005D6918"/>
    <w:rsid w:val="005D7131"/>
    <w:rsid w:val="005D76FF"/>
    <w:rsid w:val="005D7E0B"/>
    <w:rsid w:val="005E1747"/>
    <w:rsid w:val="005E1995"/>
    <w:rsid w:val="005E1C7B"/>
    <w:rsid w:val="005E1D71"/>
    <w:rsid w:val="005E225A"/>
    <w:rsid w:val="005E2FD6"/>
    <w:rsid w:val="005E3347"/>
    <w:rsid w:val="005E342B"/>
    <w:rsid w:val="005E4032"/>
    <w:rsid w:val="005E4489"/>
    <w:rsid w:val="005E4A8C"/>
    <w:rsid w:val="005E604A"/>
    <w:rsid w:val="005E61CC"/>
    <w:rsid w:val="005E663F"/>
    <w:rsid w:val="005E6757"/>
    <w:rsid w:val="005E6CBC"/>
    <w:rsid w:val="005E7100"/>
    <w:rsid w:val="005E7111"/>
    <w:rsid w:val="005E72FF"/>
    <w:rsid w:val="005E73B2"/>
    <w:rsid w:val="005E73C0"/>
    <w:rsid w:val="005E781B"/>
    <w:rsid w:val="005E79E7"/>
    <w:rsid w:val="005E7F4E"/>
    <w:rsid w:val="005F0201"/>
    <w:rsid w:val="005F07ED"/>
    <w:rsid w:val="005F0D70"/>
    <w:rsid w:val="005F1519"/>
    <w:rsid w:val="005F1FA9"/>
    <w:rsid w:val="005F20E3"/>
    <w:rsid w:val="005F2706"/>
    <w:rsid w:val="005F2832"/>
    <w:rsid w:val="005F292B"/>
    <w:rsid w:val="005F2A17"/>
    <w:rsid w:val="005F2B5B"/>
    <w:rsid w:val="005F2BA2"/>
    <w:rsid w:val="005F378D"/>
    <w:rsid w:val="005F3A05"/>
    <w:rsid w:val="005F3A2E"/>
    <w:rsid w:val="005F40E2"/>
    <w:rsid w:val="005F4119"/>
    <w:rsid w:val="005F4B08"/>
    <w:rsid w:val="005F4F42"/>
    <w:rsid w:val="005F5067"/>
    <w:rsid w:val="005F5856"/>
    <w:rsid w:val="005F5EDC"/>
    <w:rsid w:val="005F6120"/>
    <w:rsid w:val="005F625F"/>
    <w:rsid w:val="005F66F2"/>
    <w:rsid w:val="005F6A8F"/>
    <w:rsid w:val="005F6BB7"/>
    <w:rsid w:val="005F71A2"/>
    <w:rsid w:val="005F71FD"/>
    <w:rsid w:val="005F7271"/>
    <w:rsid w:val="005F73AF"/>
    <w:rsid w:val="005F744D"/>
    <w:rsid w:val="005F751C"/>
    <w:rsid w:val="005F7588"/>
    <w:rsid w:val="005F7797"/>
    <w:rsid w:val="005F7FBD"/>
    <w:rsid w:val="006007F6"/>
    <w:rsid w:val="00600B1C"/>
    <w:rsid w:val="00600FF3"/>
    <w:rsid w:val="00602204"/>
    <w:rsid w:val="006028D3"/>
    <w:rsid w:val="00602FB2"/>
    <w:rsid w:val="0060320B"/>
    <w:rsid w:val="00603373"/>
    <w:rsid w:val="00603657"/>
    <w:rsid w:val="006039D6"/>
    <w:rsid w:val="00603DB9"/>
    <w:rsid w:val="00603F15"/>
    <w:rsid w:val="00604064"/>
    <w:rsid w:val="00604540"/>
    <w:rsid w:val="006045BC"/>
    <w:rsid w:val="006059E0"/>
    <w:rsid w:val="00605C0A"/>
    <w:rsid w:val="00606FBA"/>
    <w:rsid w:val="006071C4"/>
    <w:rsid w:val="00607381"/>
    <w:rsid w:val="00607669"/>
    <w:rsid w:val="006076F4"/>
    <w:rsid w:val="006077C6"/>
    <w:rsid w:val="00607AFD"/>
    <w:rsid w:val="00607C11"/>
    <w:rsid w:val="00607CE3"/>
    <w:rsid w:val="00610459"/>
    <w:rsid w:val="00610B20"/>
    <w:rsid w:val="00610C17"/>
    <w:rsid w:val="00610F5F"/>
    <w:rsid w:val="006114E5"/>
    <w:rsid w:val="00611B12"/>
    <w:rsid w:val="00611CB4"/>
    <w:rsid w:val="0061218E"/>
    <w:rsid w:val="00612654"/>
    <w:rsid w:val="00612D48"/>
    <w:rsid w:val="00612D4A"/>
    <w:rsid w:val="00612F0C"/>
    <w:rsid w:val="00612F97"/>
    <w:rsid w:val="0061331A"/>
    <w:rsid w:val="0061345D"/>
    <w:rsid w:val="00613912"/>
    <w:rsid w:val="00613FA9"/>
    <w:rsid w:val="0061404A"/>
    <w:rsid w:val="00614497"/>
    <w:rsid w:val="00614D4A"/>
    <w:rsid w:val="00614DEE"/>
    <w:rsid w:val="006150BC"/>
    <w:rsid w:val="0061549B"/>
    <w:rsid w:val="00615897"/>
    <w:rsid w:val="00616093"/>
    <w:rsid w:val="00616802"/>
    <w:rsid w:val="006169EC"/>
    <w:rsid w:val="00616A71"/>
    <w:rsid w:val="006173A8"/>
    <w:rsid w:val="00617458"/>
    <w:rsid w:val="00617BEC"/>
    <w:rsid w:val="00617E12"/>
    <w:rsid w:val="006200E6"/>
    <w:rsid w:val="006207B6"/>
    <w:rsid w:val="00620AE4"/>
    <w:rsid w:val="00620C25"/>
    <w:rsid w:val="00621190"/>
    <w:rsid w:val="0062123E"/>
    <w:rsid w:val="00621477"/>
    <w:rsid w:val="00621ADA"/>
    <w:rsid w:val="00621D5C"/>
    <w:rsid w:val="00621DBA"/>
    <w:rsid w:val="00621EA3"/>
    <w:rsid w:val="00621EBF"/>
    <w:rsid w:val="006221C2"/>
    <w:rsid w:val="0062254E"/>
    <w:rsid w:val="00622AD5"/>
    <w:rsid w:val="0062351D"/>
    <w:rsid w:val="0062368D"/>
    <w:rsid w:val="006236A8"/>
    <w:rsid w:val="00623963"/>
    <w:rsid w:val="00623C62"/>
    <w:rsid w:val="00623C70"/>
    <w:rsid w:val="00623D4A"/>
    <w:rsid w:val="00623F7B"/>
    <w:rsid w:val="0062417D"/>
    <w:rsid w:val="006242A0"/>
    <w:rsid w:val="006242AC"/>
    <w:rsid w:val="00624A32"/>
    <w:rsid w:val="00624B98"/>
    <w:rsid w:val="00624BD4"/>
    <w:rsid w:val="00624D44"/>
    <w:rsid w:val="00624F5C"/>
    <w:rsid w:val="00625293"/>
    <w:rsid w:val="0062599F"/>
    <w:rsid w:val="00625E41"/>
    <w:rsid w:val="0062646A"/>
    <w:rsid w:val="00626BCF"/>
    <w:rsid w:val="00627249"/>
    <w:rsid w:val="00630BEC"/>
    <w:rsid w:val="00630D57"/>
    <w:rsid w:val="0063158F"/>
    <w:rsid w:val="00631628"/>
    <w:rsid w:val="0063188A"/>
    <w:rsid w:val="00631942"/>
    <w:rsid w:val="00631D6B"/>
    <w:rsid w:val="0063202A"/>
    <w:rsid w:val="0063213D"/>
    <w:rsid w:val="00632183"/>
    <w:rsid w:val="0063218B"/>
    <w:rsid w:val="0063226B"/>
    <w:rsid w:val="00632677"/>
    <w:rsid w:val="00632AF0"/>
    <w:rsid w:val="00632F7F"/>
    <w:rsid w:val="00633064"/>
    <w:rsid w:val="006330A1"/>
    <w:rsid w:val="006332B5"/>
    <w:rsid w:val="00633319"/>
    <w:rsid w:val="0063331F"/>
    <w:rsid w:val="006343F8"/>
    <w:rsid w:val="00634675"/>
    <w:rsid w:val="0063471E"/>
    <w:rsid w:val="0063479F"/>
    <w:rsid w:val="006347E9"/>
    <w:rsid w:val="00634BEA"/>
    <w:rsid w:val="00634D05"/>
    <w:rsid w:val="00634DF4"/>
    <w:rsid w:val="006353F0"/>
    <w:rsid w:val="006356D0"/>
    <w:rsid w:val="006357B5"/>
    <w:rsid w:val="006364A1"/>
    <w:rsid w:val="0063678E"/>
    <w:rsid w:val="00636A2B"/>
    <w:rsid w:val="00636B88"/>
    <w:rsid w:val="00637BFD"/>
    <w:rsid w:val="00637C5C"/>
    <w:rsid w:val="00640440"/>
    <w:rsid w:val="00640442"/>
    <w:rsid w:val="00640C16"/>
    <w:rsid w:val="00640CC5"/>
    <w:rsid w:val="00641C4E"/>
    <w:rsid w:val="00641FB3"/>
    <w:rsid w:val="006421CC"/>
    <w:rsid w:val="006422CB"/>
    <w:rsid w:val="006433FB"/>
    <w:rsid w:val="006436EC"/>
    <w:rsid w:val="0064393A"/>
    <w:rsid w:val="00643C2F"/>
    <w:rsid w:val="00643FBB"/>
    <w:rsid w:val="006442D0"/>
    <w:rsid w:val="0064434C"/>
    <w:rsid w:val="0064451F"/>
    <w:rsid w:val="006446D7"/>
    <w:rsid w:val="00644D1E"/>
    <w:rsid w:val="00644F91"/>
    <w:rsid w:val="0064519D"/>
    <w:rsid w:val="0064552A"/>
    <w:rsid w:val="006458CC"/>
    <w:rsid w:val="00646181"/>
    <w:rsid w:val="006461FE"/>
    <w:rsid w:val="006468D2"/>
    <w:rsid w:val="00646A35"/>
    <w:rsid w:val="00646B62"/>
    <w:rsid w:val="00646D61"/>
    <w:rsid w:val="00647131"/>
    <w:rsid w:val="0064713E"/>
    <w:rsid w:val="006471CC"/>
    <w:rsid w:val="006472FE"/>
    <w:rsid w:val="006474AC"/>
    <w:rsid w:val="00647A29"/>
    <w:rsid w:val="00647D90"/>
    <w:rsid w:val="0065012C"/>
    <w:rsid w:val="0065079F"/>
    <w:rsid w:val="0065092A"/>
    <w:rsid w:val="00650F91"/>
    <w:rsid w:val="006512D6"/>
    <w:rsid w:val="00651C7A"/>
    <w:rsid w:val="006520DF"/>
    <w:rsid w:val="00652815"/>
    <w:rsid w:val="00652A28"/>
    <w:rsid w:val="00652EC5"/>
    <w:rsid w:val="00652F29"/>
    <w:rsid w:val="0065320B"/>
    <w:rsid w:val="0065379F"/>
    <w:rsid w:val="0065396D"/>
    <w:rsid w:val="00653B71"/>
    <w:rsid w:val="00653F08"/>
    <w:rsid w:val="00653FC1"/>
    <w:rsid w:val="00654684"/>
    <w:rsid w:val="006556BF"/>
    <w:rsid w:val="0065573F"/>
    <w:rsid w:val="00656081"/>
    <w:rsid w:val="00656188"/>
    <w:rsid w:val="00656403"/>
    <w:rsid w:val="00656573"/>
    <w:rsid w:val="006569DA"/>
    <w:rsid w:val="006570CC"/>
    <w:rsid w:val="0065715A"/>
    <w:rsid w:val="0065745F"/>
    <w:rsid w:val="0065790B"/>
    <w:rsid w:val="00657A79"/>
    <w:rsid w:val="00657A7F"/>
    <w:rsid w:val="00657B12"/>
    <w:rsid w:val="00657C19"/>
    <w:rsid w:val="00657E1F"/>
    <w:rsid w:val="00660294"/>
    <w:rsid w:val="00660588"/>
    <w:rsid w:val="006610F1"/>
    <w:rsid w:val="0066170D"/>
    <w:rsid w:val="00661C6B"/>
    <w:rsid w:val="00662277"/>
    <w:rsid w:val="00662D3E"/>
    <w:rsid w:val="00663B05"/>
    <w:rsid w:val="00664792"/>
    <w:rsid w:val="00664EC2"/>
    <w:rsid w:val="0066517D"/>
    <w:rsid w:val="00665B93"/>
    <w:rsid w:val="00666413"/>
    <w:rsid w:val="00666613"/>
    <w:rsid w:val="00666727"/>
    <w:rsid w:val="00666BA0"/>
    <w:rsid w:val="00666C0E"/>
    <w:rsid w:val="0066734B"/>
    <w:rsid w:val="0066735F"/>
    <w:rsid w:val="0066756E"/>
    <w:rsid w:val="006676C6"/>
    <w:rsid w:val="00667991"/>
    <w:rsid w:val="00667B8D"/>
    <w:rsid w:val="00667BE3"/>
    <w:rsid w:val="00667F63"/>
    <w:rsid w:val="006705ED"/>
    <w:rsid w:val="00671004"/>
    <w:rsid w:val="00671655"/>
    <w:rsid w:val="00671AF3"/>
    <w:rsid w:val="00671F7D"/>
    <w:rsid w:val="006721CA"/>
    <w:rsid w:val="00672646"/>
    <w:rsid w:val="006729E9"/>
    <w:rsid w:val="00672E05"/>
    <w:rsid w:val="00672E36"/>
    <w:rsid w:val="0067306F"/>
    <w:rsid w:val="00673364"/>
    <w:rsid w:val="00673375"/>
    <w:rsid w:val="006733F5"/>
    <w:rsid w:val="00673677"/>
    <w:rsid w:val="00673730"/>
    <w:rsid w:val="00673745"/>
    <w:rsid w:val="00673753"/>
    <w:rsid w:val="00673A80"/>
    <w:rsid w:val="00673AB1"/>
    <w:rsid w:val="00673BC8"/>
    <w:rsid w:val="00673D0F"/>
    <w:rsid w:val="00674208"/>
    <w:rsid w:val="00674A5A"/>
    <w:rsid w:val="00674E42"/>
    <w:rsid w:val="00675922"/>
    <w:rsid w:val="00675F91"/>
    <w:rsid w:val="0067611D"/>
    <w:rsid w:val="00676141"/>
    <w:rsid w:val="006764E8"/>
    <w:rsid w:val="00676563"/>
    <w:rsid w:val="0067667B"/>
    <w:rsid w:val="00676A4C"/>
    <w:rsid w:val="00676CE6"/>
    <w:rsid w:val="00676F37"/>
    <w:rsid w:val="0067722B"/>
    <w:rsid w:val="006773C4"/>
    <w:rsid w:val="0067772E"/>
    <w:rsid w:val="00677751"/>
    <w:rsid w:val="00680321"/>
    <w:rsid w:val="00680AEE"/>
    <w:rsid w:val="00680EA2"/>
    <w:rsid w:val="006813F8"/>
    <w:rsid w:val="0068196D"/>
    <w:rsid w:val="00681E2B"/>
    <w:rsid w:val="00681ED3"/>
    <w:rsid w:val="00682112"/>
    <w:rsid w:val="00682513"/>
    <w:rsid w:val="00682542"/>
    <w:rsid w:val="006826A3"/>
    <w:rsid w:val="006828D2"/>
    <w:rsid w:val="00682BA6"/>
    <w:rsid w:val="00683AC8"/>
    <w:rsid w:val="00683F7C"/>
    <w:rsid w:val="006847CF"/>
    <w:rsid w:val="00684EB9"/>
    <w:rsid w:val="0068500D"/>
    <w:rsid w:val="0068535B"/>
    <w:rsid w:val="0068549F"/>
    <w:rsid w:val="00685BF1"/>
    <w:rsid w:val="00686516"/>
    <w:rsid w:val="00686957"/>
    <w:rsid w:val="006872BA"/>
    <w:rsid w:val="00687357"/>
    <w:rsid w:val="006876E8"/>
    <w:rsid w:val="00687A15"/>
    <w:rsid w:val="006900E7"/>
    <w:rsid w:val="006900FF"/>
    <w:rsid w:val="0069061C"/>
    <w:rsid w:val="00690795"/>
    <w:rsid w:val="00690B41"/>
    <w:rsid w:val="0069150C"/>
    <w:rsid w:val="00691593"/>
    <w:rsid w:val="00691648"/>
    <w:rsid w:val="006917D7"/>
    <w:rsid w:val="0069194A"/>
    <w:rsid w:val="00691CC5"/>
    <w:rsid w:val="00691DE9"/>
    <w:rsid w:val="00692866"/>
    <w:rsid w:val="00692891"/>
    <w:rsid w:val="00692C08"/>
    <w:rsid w:val="00692CD1"/>
    <w:rsid w:val="006932E3"/>
    <w:rsid w:val="00693DA7"/>
    <w:rsid w:val="00694031"/>
    <w:rsid w:val="0069434C"/>
    <w:rsid w:val="0069439F"/>
    <w:rsid w:val="00694BD8"/>
    <w:rsid w:val="00694E58"/>
    <w:rsid w:val="00694F44"/>
    <w:rsid w:val="00695827"/>
    <w:rsid w:val="00695848"/>
    <w:rsid w:val="006960C2"/>
    <w:rsid w:val="006962AF"/>
    <w:rsid w:val="006963CA"/>
    <w:rsid w:val="006967A3"/>
    <w:rsid w:val="006968A9"/>
    <w:rsid w:val="00696EBA"/>
    <w:rsid w:val="00696EF9"/>
    <w:rsid w:val="00696F51"/>
    <w:rsid w:val="0069755F"/>
    <w:rsid w:val="006979A5"/>
    <w:rsid w:val="00697AD7"/>
    <w:rsid w:val="006A016F"/>
    <w:rsid w:val="006A0CE4"/>
    <w:rsid w:val="006A0DF7"/>
    <w:rsid w:val="006A0E2A"/>
    <w:rsid w:val="006A1009"/>
    <w:rsid w:val="006A1089"/>
    <w:rsid w:val="006A1327"/>
    <w:rsid w:val="006A1761"/>
    <w:rsid w:val="006A19A9"/>
    <w:rsid w:val="006A1A2D"/>
    <w:rsid w:val="006A1DB8"/>
    <w:rsid w:val="006A20DE"/>
    <w:rsid w:val="006A27A5"/>
    <w:rsid w:val="006A2E7A"/>
    <w:rsid w:val="006A3206"/>
    <w:rsid w:val="006A3B44"/>
    <w:rsid w:val="006A3D02"/>
    <w:rsid w:val="006A4321"/>
    <w:rsid w:val="006A43D9"/>
    <w:rsid w:val="006A453A"/>
    <w:rsid w:val="006A4A29"/>
    <w:rsid w:val="006A4BB9"/>
    <w:rsid w:val="006A4DD4"/>
    <w:rsid w:val="006A5088"/>
    <w:rsid w:val="006A598D"/>
    <w:rsid w:val="006A5E1B"/>
    <w:rsid w:val="006A6265"/>
    <w:rsid w:val="006A6B99"/>
    <w:rsid w:val="006A72B0"/>
    <w:rsid w:val="006A78A1"/>
    <w:rsid w:val="006A7E5F"/>
    <w:rsid w:val="006B0198"/>
    <w:rsid w:val="006B0799"/>
    <w:rsid w:val="006B102A"/>
    <w:rsid w:val="006B18AD"/>
    <w:rsid w:val="006B261B"/>
    <w:rsid w:val="006B2C90"/>
    <w:rsid w:val="006B312E"/>
    <w:rsid w:val="006B31FE"/>
    <w:rsid w:val="006B35E6"/>
    <w:rsid w:val="006B37AC"/>
    <w:rsid w:val="006B3BF1"/>
    <w:rsid w:val="006B3CD8"/>
    <w:rsid w:val="006B40ED"/>
    <w:rsid w:val="006B4321"/>
    <w:rsid w:val="006B45D4"/>
    <w:rsid w:val="006B465A"/>
    <w:rsid w:val="006B47B3"/>
    <w:rsid w:val="006B4A9A"/>
    <w:rsid w:val="006B5436"/>
    <w:rsid w:val="006B57DD"/>
    <w:rsid w:val="006B59EC"/>
    <w:rsid w:val="006B5AC6"/>
    <w:rsid w:val="006B6947"/>
    <w:rsid w:val="006B6C5D"/>
    <w:rsid w:val="006B6DD0"/>
    <w:rsid w:val="006B710F"/>
    <w:rsid w:val="006C0268"/>
    <w:rsid w:val="006C0399"/>
    <w:rsid w:val="006C1374"/>
    <w:rsid w:val="006C1444"/>
    <w:rsid w:val="006C161D"/>
    <w:rsid w:val="006C1923"/>
    <w:rsid w:val="006C198B"/>
    <w:rsid w:val="006C1A0E"/>
    <w:rsid w:val="006C1AC0"/>
    <w:rsid w:val="006C1CAC"/>
    <w:rsid w:val="006C2142"/>
    <w:rsid w:val="006C299A"/>
    <w:rsid w:val="006C2A8E"/>
    <w:rsid w:val="006C3255"/>
    <w:rsid w:val="006C390D"/>
    <w:rsid w:val="006C3B5A"/>
    <w:rsid w:val="006C3D09"/>
    <w:rsid w:val="006C3F26"/>
    <w:rsid w:val="006C4912"/>
    <w:rsid w:val="006C5269"/>
    <w:rsid w:val="006C52C3"/>
    <w:rsid w:val="006C5368"/>
    <w:rsid w:val="006C5CC3"/>
    <w:rsid w:val="006C5F11"/>
    <w:rsid w:val="006C6470"/>
    <w:rsid w:val="006C660E"/>
    <w:rsid w:val="006C6706"/>
    <w:rsid w:val="006C6A70"/>
    <w:rsid w:val="006C6DE8"/>
    <w:rsid w:val="006C6F66"/>
    <w:rsid w:val="006C7EA3"/>
    <w:rsid w:val="006C7EB7"/>
    <w:rsid w:val="006D0C0A"/>
    <w:rsid w:val="006D0D17"/>
    <w:rsid w:val="006D0DCE"/>
    <w:rsid w:val="006D1290"/>
    <w:rsid w:val="006D141E"/>
    <w:rsid w:val="006D2FDC"/>
    <w:rsid w:val="006D3107"/>
    <w:rsid w:val="006D3747"/>
    <w:rsid w:val="006D3C7D"/>
    <w:rsid w:val="006D3CF0"/>
    <w:rsid w:val="006D4659"/>
    <w:rsid w:val="006D4AA0"/>
    <w:rsid w:val="006D50DA"/>
    <w:rsid w:val="006D51AD"/>
    <w:rsid w:val="006D53D9"/>
    <w:rsid w:val="006D551A"/>
    <w:rsid w:val="006D5586"/>
    <w:rsid w:val="006D5A65"/>
    <w:rsid w:val="006D5D4B"/>
    <w:rsid w:val="006D5D5F"/>
    <w:rsid w:val="006D5FC1"/>
    <w:rsid w:val="006D61E3"/>
    <w:rsid w:val="006D68FB"/>
    <w:rsid w:val="006D6BCC"/>
    <w:rsid w:val="006D74C2"/>
    <w:rsid w:val="006E03E1"/>
    <w:rsid w:val="006E092E"/>
    <w:rsid w:val="006E09FB"/>
    <w:rsid w:val="006E0DF9"/>
    <w:rsid w:val="006E1954"/>
    <w:rsid w:val="006E202A"/>
    <w:rsid w:val="006E2202"/>
    <w:rsid w:val="006E26E0"/>
    <w:rsid w:val="006E282A"/>
    <w:rsid w:val="006E2868"/>
    <w:rsid w:val="006E33F5"/>
    <w:rsid w:val="006E354A"/>
    <w:rsid w:val="006E36BE"/>
    <w:rsid w:val="006E384E"/>
    <w:rsid w:val="006E38A4"/>
    <w:rsid w:val="006E3ADC"/>
    <w:rsid w:val="006E3C51"/>
    <w:rsid w:val="006E4A35"/>
    <w:rsid w:val="006E4B05"/>
    <w:rsid w:val="006E503D"/>
    <w:rsid w:val="006E5270"/>
    <w:rsid w:val="006E572C"/>
    <w:rsid w:val="006E63EE"/>
    <w:rsid w:val="006E68B3"/>
    <w:rsid w:val="006E693F"/>
    <w:rsid w:val="006E70B1"/>
    <w:rsid w:val="006E73D4"/>
    <w:rsid w:val="006F00C8"/>
    <w:rsid w:val="006F036D"/>
    <w:rsid w:val="006F03C2"/>
    <w:rsid w:val="006F162F"/>
    <w:rsid w:val="006F1A10"/>
    <w:rsid w:val="006F1FE9"/>
    <w:rsid w:val="006F246B"/>
    <w:rsid w:val="006F2859"/>
    <w:rsid w:val="006F298E"/>
    <w:rsid w:val="006F2A48"/>
    <w:rsid w:val="006F306C"/>
    <w:rsid w:val="006F3128"/>
    <w:rsid w:val="006F3543"/>
    <w:rsid w:val="006F36DF"/>
    <w:rsid w:val="006F3898"/>
    <w:rsid w:val="006F406F"/>
    <w:rsid w:val="006F40E0"/>
    <w:rsid w:val="006F44AA"/>
    <w:rsid w:val="006F44BB"/>
    <w:rsid w:val="006F4546"/>
    <w:rsid w:val="006F4B40"/>
    <w:rsid w:val="006F5210"/>
    <w:rsid w:val="006F54A7"/>
    <w:rsid w:val="006F555E"/>
    <w:rsid w:val="006F625D"/>
    <w:rsid w:val="006F63A5"/>
    <w:rsid w:val="006F7DD0"/>
    <w:rsid w:val="00700E5D"/>
    <w:rsid w:val="00700ECA"/>
    <w:rsid w:val="0070142B"/>
    <w:rsid w:val="007022D8"/>
    <w:rsid w:val="0070276E"/>
    <w:rsid w:val="0070297B"/>
    <w:rsid w:val="00702A83"/>
    <w:rsid w:val="00702F8F"/>
    <w:rsid w:val="0070311C"/>
    <w:rsid w:val="0070388B"/>
    <w:rsid w:val="00703DE0"/>
    <w:rsid w:val="00704442"/>
    <w:rsid w:val="00704DEC"/>
    <w:rsid w:val="007051C3"/>
    <w:rsid w:val="007052CE"/>
    <w:rsid w:val="007053F4"/>
    <w:rsid w:val="00706A39"/>
    <w:rsid w:val="00706DAB"/>
    <w:rsid w:val="00706E57"/>
    <w:rsid w:val="007079B3"/>
    <w:rsid w:val="007079FC"/>
    <w:rsid w:val="00707ADF"/>
    <w:rsid w:val="007101BE"/>
    <w:rsid w:val="00710360"/>
    <w:rsid w:val="007103EF"/>
    <w:rsid w:val="00710CAA"/>
    <w:rsid w:val="00710FC7"/>
    <w:rsid w:val="007110CB"/>
    <w:rsid w:val="00711162"/>
    <w:rsid w:val="0071189B"/>
    <w:rsid w:val="00711A36"/>
    <w:rsid w:val="00711B4A"/>
    <w:rsid w:val="00711F1D"/>
    <w:rsid w:val="007125D3"/>
    <w:rsid w:val="00712AA5"/>
    <w:rsid w:val="00713241"/>
    <w:rsid w:val="00713714"/>
    <w:rsid w:val="0071387D"/>
    <w:rsid w:val="0071423F"/>
    <w:rsid w:val="00714505"/>
    <w:rsid w:val="007148D9"/>
    <w:rsid w:val="007149C8"/>
    <w:rsid w:val="00714C26"/>
    <w:rsid w:val="00714D05"/>
    <w:rsid w:val="00714D82"/>
    <w:rsid w:val="00714F5B"/>
    <w:rsid w:val="0071529C"/>
    <w:rsid w:val="00715401"/>
    <w:rsid w:val="00715471"/>
    <w:rsid w:val="0071556A"/>
    <w:rsid w:val="00715A33"/>
    <w:rsid w:val="00715A87"/>
    <w:rsid w:val="00715DB1"/>
    <w:rsid w:val="00716100"/>
    <w:rsid w:val="0071657B"/>
    <w:rsid w:val="0071697B"/>
    <w:rsid w:val="007170DA"/>
    <w:rsid w:val="007172AD"/>
    <w:rsid w:val="00717546"/>
    <w:rsid w:val="00717581"/>
    <w:rsid w:val="0072057C"/>
    <w:rsid w:val="00720801"/>
    <w:rsid w:val="00720AC0"/>
    <w:rsid w:val="00720D4B"/>
    <w:rsid w:val="00720DB9"/>
    <w:rsid w:val="00720DEB"/>
    <w:rsid w:val="007211AA"/>
    <w:rsid w:val="0072154C"/>
    <w:rsid w:val="00722027"/>
    <w:rsid w:val="00722067"/>
    <w:rsid w:val="0072207B"/>
    <w:rsid w:val="0072270A"/>
    <w:rsid w:val="00722B1B"/>
    <w:rsid w:val="00723D2C"/>
    <w:rsid w:val="00723E09"/>
    <w:rsid w:val="0072416F"/>
    <w:rsid w:val="00724235"/>
    <w:rsid w:val="00724CAD"/>
    <w:rsid w:val="00724CD9"/>
    <w:rsid w:val="00724DC7"/>
    <w:rsid w:val="00724E86"/>
    <w:rsid w:val="007250C3"/>
    <w:rsid w:val="00725397"/>
    <w:rsid w:val="00725AAF"/>
    <w:rsid w:val="00725D3A"/>
    <w:rsid w:val="0072601F"/>
    <w:rsid w:val="0072603E"/>
    <w:rsid w:val="00726483"/>
    <w:rsid w:val="00726539"/>
    <w:rsid w:val="00726952"/>
    <w:rsid w:val="00727065"/>
    <w:rsid w:val="007271E2"/>
    <w:rsid w:val="00727200"/>
    <w:rsid w:val="0072721D"/>
    <w:rsid w:val="00727351"/>
    <w:rsid w:val="00727449"/>
    <w:rsid w:val="00727C94"/>
    <w:rsid w:val="00730674"/>
    <w:rsid w:val="00730F2C"/>
    <w:rsid w:val="007311FF"/>
    <w:rsid w:val="0073199F"/>
    <w:rsid w:val="00731B0A"/>
    <w:rsid w:val="00731B0B"/>
    <w:rsid w:val="00731D36"/>
    <w:rsid w:val="00731EAE"/>
    <w:rsid w:val="00732410"/>
    <w:rsid w:val="0073293A"/>
    <w:rsid w:val="00733073"/>
    <w:rsid w:val="00733440"/>
    <w:rsid w:val="00733EB7"/>
    <w:rsid w:val="00733ED7"/>
    <w:rsid w:val="007341D1"/>
    <w:rsid w:val="007343B9"/>
    <w:rsid w:val="00734459"/>
    <w:rsid w:val="00734A90"/>
    <w:rsid w:val="00734FB2"/>
    <w:rsid w:val="00735033"/>
    <w:rsid w:val="007352EA"/>
    <w:rsid w:val="00735328"/>
    <w:rsid w:val="0073572A"/>
    <w:rsid w:val="00736129"/>
    <w:rsid w:val="00736447"/>
    <w:rsid w:val="0073685B"/>
    <w:rsid w:val="00736ADA"/>
    <w:rsid w:val="007371F1"/>
    <w:rsid w:val="00737229"/>
    <w:rsid w:val="00737A62"/>
    <w:rsid w:val="00737FDF"/>
    <w:rsid w:val="00741027"/>
    <w:rsid w:val="00741BED"/>
    <w:rsid w:val="00741F2F"/>
    <w:rsid w:val="007423F2"/>
    <w:rsid w:val="007428C4"/>
    <w:rsid w:val="007429FD"/>
    <w:rsid w:val="00744308"/>
    <w:rsid w:val="00744365"/>
    <w:rsid w:val="007449BF"/>
    <w:rsid w:val="00744F69"/>
    <w:rsid w:val="007451A4"/>
    <w:rsid w:val="007452BC"/>
    <w:rsid w:val="00745332"/>
    <w:rsid w:val="0074554F"/>
    <w:rsid w:val="00745583"/>
    <w:rsid w:val="00745ADE"/>
    <w:rsid w:val="007463FE"/>
    <w:rsid w:val="0074655D"/>
    <w:rsid w:val="0074683D"/>
    <w:rsid w:val="007468EB"/>
    <w:rsid w:val="00746BC0"/>
    <w:rsid w:val="00746DC8"/>
    <w:rsid w:val="007476E0"/>
    <w:rsid w:val="00747960"/>
    <w:rsid w:val="00747D0C"/>
    <w:rsid w:val="00747F28"/>
    <w:rsid w:val="0075049A"/>
    <w:rsid w:val="007510B4"/>
    <w:rsid w:val="0075128A"/>
    <w:rsid w:val="00751462"/>
    <w:rsid w:val="00751D7C"/>
    <w:rsid w:val="00752142"/>
    <w:rsid w:val="00752249"/>
    <w:rsid w:val="007523F9"/>
    <w:rsid w:val="00752414"/>
    <w:rsid w:val="00752DDC"/>
    <w:rsid w:val="00752DE5"/>
    <w:rsid w:val="00752FE5"/>
    <w:rsid w:val="0075357E"/>
    <w:rsid w:val="00753B29"/>
    <w:rsid w:val="00754078"/>
    <w:rsid w:val="007546B0"/>
    <w:rsid w:val="0075471E"/>
    <w:rsid w:val="00754C5D"/>
    <w:rsid w:val="00754E54"/>
    <w:rsid w:val="00754E55"/>
    <w:rsid w:val="00755271"/>
    <w:rsid w:val="00755463"/>
    <w:rsid w:val="00755604"/>
    <w:rsid w:val="00755BBD"/>
    <w:rsid w:val="00756203"/>
    <w:rsid w:val="007573E8"/>
    <w:rsid w:val="00757706"/>
    <w:rsid w:val="007607E7"/>
    <w:rsid w:val="00760A48"/>
    <w:rsid w:val="00760C4E"/>
    <w:rsid w:val="00760F9E"/>
    <w:rsid w:val="007616E6"/>
    <w:rsid w:val="00761CA1"/>
    <w:rsid w:val="00761E95"/>
    <w:rsid w:val="007627BE"/>
    <w:rsid w:val="00762F2E"/>
    <w:rsid w:val="00764AFF"/>
    <w:rsid w:val="00764C13"/>
    <w:rsid w:val="00764F03"/>
    <w:rsid w:val="00764FD4"/>
    <w:rsid w:val="0076513C"/>
    <w:rsid w:val="00765287"/>
    <w:rsid w:val="00765566"/>
    <w:rsid w:val="00765B1A"/>
    <w:rsid w:val="00765DC1"/>
    <w:rsid w:val="00766112"/>
    <w:rsid w:val="0076624F"/>
    <w:rsid w:val="0076625E"/>
    <w:rsid w:val="00766DC5"/>
    <w:rsid w:val="00767253"/>
    <w:rsid w:val="00767700"/>
    <w:rsid w:val="00767EF2"/>
    <w:rsid w:val="00770429"/>
    <w:rsid w:val="0077051D"/>
    <w:rsid w:val="00770956"/>
    <w:rsid w:val="00770DA8"/>
    <w:rsid w:val="00770EEC"/>
    <w:rsid w:val="00771E38"/>
    <w:rsid w:val="00771F89"/>
    <w:rsid w:val="0077223F"/>
    <w:rsid w:val="00772566"/>
    <w:rsid w:val="0077295C"/>
    <w:rsid w:val="0077299E"/>
    <w:rsid w:val="00772E00"/>
    <w:rsid w:val="00772F51"/>
    <w:rsid w:val="00773C83"/>
    <w:rsid w:val="00773DB9"/>
    <w:rsid w:val="00773FEC"/>
    <w:rsid w:val="00774455"/>
    <w:rsid w:val="007748A7"/>
    <w:rsid w:val="00774B53"/>
    <w:rsid w:val="00775752"/>
    <w:rsid w:val="0077585B"/>
    <w:rsid w:val="007758DB"/>
    <w:rsid w:val="00775FC3"/>
    <w:rsid w:val="0077675F"/>
    <w:rsid w:val="00776A29"/>
    <w:rsid w:val="00777335"/>
    <w:rsid w:val="00777491"/>
    <w:rsid w:val="007777AC"/>
    <w:rsid w:val="00777A62"/>
    <w:rsid w:val="007801DE"/>
    <w:rsid w:val="0078069E"/>
    <w:rsid w:val="00780BBC"/>
    <w:rsid w:val="00782189"/>
    <w:rsid w:val="007821EB"/>
    <w:rsid w:val="007822B3"/>
    <w:rsid w:val="0078237F"/>
    <w:rsid w:val="0078272D"/>
    <w:rsid w:val="00782D2D"/>
    <w:rsid w:val="00783325"/>
    <w:rsid w:val="007838D9"/>
    <w:rsid w:val="007838ED"/>
    <w:rsid w:val="00783E03"/>
    <w:rsid w:val="007843F2"/>
    <w:rsid w:val="007846FA"/>
    <w:rsid w:val="007849C5"/>
    <w:rsid w:val="00784EAE"/>
    <w:rsid w:val="00785974"/>
    <w:rsid w:val="00785A97"/>
    <w:rsid w:val="00785A9F"/>
    <w:rsid w:val="00785B32"/>
    <w:rsid w:val="00785BEF"/>
    <w:rsid w:val="007864EF"/>
    <w:rsid w:val="007865D8"/>
    <w:rsid w:val="00786A13"/>
    <w:rsid w:val="00786C14"/>
    <w:rsid w:val="007875E1"/>
    <w:rsid w:val="00787AF6"/>
    <w:rsid w:val="00790014"/>
    <w:rsid w:val="0079029E"/>
    <w:rsid w:val="007902B5"/>
    <w:rsid w:val="0079074A"/>
    <w:rsid w:val="00790C7C"/>
    <w:rsid w:val="0079148C"/>
    <w:rsid w:val="0079157E"/>
    <w:rsid w:val="007918A8"/>
    <w:rsid w:val="00791C45"/>
    <w:rsid w:val="00791E3B"/>
    <w:rsid w:val="007925DF"/>
    <w:rsid w:val="00792AAF"/>
    <w:rsid w:val="00792AF6"/>
    <w:rsid w:val="00792C8C"/>
    <w:rsid w:val="00793109"/>
    <w:rsid w:val="00793138"/>
    <w:rsid w:val="00793278"/>
    <w:rsid w:val="007934B1"/>
    <w:rsid w:val="0079355F"/>
    <w:rsid w:val="00793893"/>
    <w:rsid w:val="007941A7"/>
    <w:rsid w:val="007943BD"/>
    <w:rsid w:val="00794613"/>
    <w:rsid w:val="0079496D"/>
    <w:rsid w:val="00794FC0"/>
    <w:rsid w:val="00795295"/>
    <w:rsid w:val="0079584F"/>
    <w:rsid w:val="00795C75"/>
    <w:rsid w:val="00795D41"/>
    <w:rsid w:val="007960C9"/>
    <w:rsid w:val="00796185"/>
    <w:rsid w:val="00796C0B"/>
    <w:rsid w:val="00796DAE"/>
    <w:rsid w:val="00796E3D"/>
    <w:rsid w:val="00797503"/>
    <w:rsid w:val="0079753F"/>
    <w:rsid w:val="0079776C"/>
    <w:rsid w:val="007A005F"/>
    <w:rsid w:val="007A05AD"/>
    <w:rsid w:val="007A0704"/>
    <w:rsid w:val="007A08AA"/>
    <w:rsid w:val="007A0A12"/>
    <w:rsid w:val="007A0AF4"/>
    <w:rsid w:val="007A132D"/>
    <w:rsid w:val="007A1345"/>
    <w:rsid w:val="007A1BB3"/>
    <w:rsid w:val="007A1D93"/>
    <w:rsid w:val="007A214C"/>
    <w:rsid w:val="007A27A6"/>
    <w:rsid w:val="007A298C"/>
    <w:rsid w:val="007A2DDB"/>
    <w:rsid w:val="007A2EB3"/>
    <w:rsid w:val="007A3AD7"/>
    <w:rsid w:val="007A3D50"/>
    <w:rsid w:val="007A4C0A"/>
    <w:rsid w:val="007A4F65"/>
    <w:rsid w:val="007A52B9"/>
    <w:rsid w:val="007A53AE"/>
    <w:rsid w:val="007A56DD"/>
    <w:rsid w:val="007A5ABB"/>
    <w:rsid w:val="007A5AF6"/>
    <w:rsid w:val="007A5B34"/>
    <w:rsid w:val="007A5D7D"/>
    <w:rsid w:val="007A5ED9"/>
    <w:rsid w:val="007A6A21"/>
    <w:rsid w:val="007A70BA"/>
    <w:rsid w:val="007A7167"/>
    <w:rsid w:val="007A779D"/>
    <w:rsid w:val="007A7CE9"/>
    <w:rsid w:val="007B02A1"/>
    <w:rsid w:val="007B0318"/>
    <w:rsid w:val="007B04B3"/>
    <w:rsid w:val="007B0996"/>
    <w:rsid w:val="007B0A4A"/>
    <w:rsid w:val="007B0D68"/>
    <w:rsid w:val="007B17DE"/>
    <w:rsid w:val="007B18F1"/>
    <w:rsid w:val="007B1FB4"/>
    <w:rsid w:val="007B251D"/>
    <w:rsid w:val="007B2526"/>
    <w:rsid w:val="007B26D6"/>
    <w:rsid w:val="007B27EC"/>
    <w:rsid w:val="007B2B4A"/>
    <w:rsid w:val="007B2CF0"/>
    <w:rsid w:val="007B2E6B"/>
    <w:rsid w:val="007B2ED3"/>
    <w:rsid w:val="007B3533"/>
    <w:rsid w:val="007B45CF"/>
    <w:rsid w:val="007B4F58"/>
    <w:rsid w:val="007B528D"/>
    <w:rsid w:val="007B55F0"/>
    <w:rsid w:val="007B5CAE"/>
    <w:rsid w:val="007B5DDC"/>
    <w:rsid w:val="007B5F77"/>
    <w:rsid w:val="007B63CA"/>
    <w:rsid w:val="007B6517"/>
    <w:rsid w:val="007B6B3F"/>
    <w:rsid w:val="007B6E7D"/>
    <w:rsid w:val="007B77D1"/>
    <w:rsid w:val="007B7878"/>
    <w:rsid w:val="007B7A09"/>
    <w:rsid w:val="007B7D77"/>
    <w:rsid w:val="007C0675"/>
    <w:rsid w:val="007C07C7"/>
    <w:rsid w:val="007C0951"/>
    <w:rsid w:val="007C09FD"/>
    <w:rsid w:val="007C0D40"/>
    <w:rsid w:val="007C1028"/>
    <w:rsid w:val="007C142B"/>
    <w:rsid w:val="007C143A"/>
    <w:rsid w:val="007C1CD9"/>
    <w:rsid w:val="007C1CF7"/>
    <w:rsid w:val="007C1F9F"/>
    <w:rsid w:val="007C21C7"/>
    <w:rsid w:val="007C222F"/>
    <w:rsid w:val="007C2718"/>
    <w:rsid w:val="007C29D7"/>
    <w:rsid w:val="007C32EF"/>
    <w:rsid w:val="007C361D"/>
    <w:rsid w:val="007C37B5"/>
    <w:rsid w:val="007C42DC"/>
    <w:rsid w:val="007C4408"/>
    <w:rsid w:val="007C4545"/>
    <w:rsid w:val="007C4874"/>
    <w:rsid w:val="007C4894"/>
    <w:rsid w:val="007C4A6E"/>
    <w:rsid w:val="007C4B84"/>
    <w:rsid w:val="007C56A3"/>
    <w:rsid w:val="007C595D"/>
    <w:rsid w:val="007C5A9F"/>
    <w:rsid w:val="007C5B31"/>
    <w:rsid w:val="007C5D78"/>
    <w:rsid w:val="007C63E5"/>
    <w:rsid w:val="007C6957"/>
    <w:rsid w:val="007C6F38"/>
    <w:rsid w:val="007C70FF"/>
    <w:rsid w:val="007C7BD6"/>
    <w:rsid w:val="007C7C25"/>
    <w:rsid w:val="007D004F"/>
    <w:rsid w:val="007D035F"/>
    <w:rsid w:val="007D06B2"/>
    <w:rsid w:val="007D06FA"/>
    <w:rsid w:val="007D0851"/>
    <w:rsid w:val="007D0A3B"/>
    <w:rsid w:val="007D0B38"/>
    <w:rsid w:val="007D117C"/>
    <w:rsid w:val="007D13FE"/>
    <w:rsid w:val="007D1EDC"/>
    <w:rsid w:val="007D2D0D"/>
    <w:rsid w:val="007D33F2"/>
    <w:rsid w:val="007D37BB"/>
    <w:rsid w:val="007D37F5"/>
    <w:rsid w:val="007D3973"/>
    <w:rsid w:val="007D3BA5"/>
    <w:rsid w:val="007D3BAE"/>
    <w:rsid w:val="007D3EFA"/>
    <w:rsid w:val="007D46A7"/>
    <w:rsid w:val="007D4A72"/>
    <w:rsid w:val="007D52D7"/>
    <w:rsid w:val="007D5440"/>
    <w:rsid w:val="007D5663"/>
    <w:rsid w:val="007D57A8"/>
    <w:rsid w:val="007D5B95"/>
    <w:rsid w:val="007D60BD"/>
    <w:rsid w:val="007D649B"/>
    <w:rsid w:val="007D69EB"/>
    <w:rsid w:val="007D6D0F"/>
    <w:rsid w:val="007D6E5D"/>
    <w:rsid w:val="007D7221"/>
    <w:rsid w:val="007D7231"/>
    <w:rsid w:val="007D765B"/>
    <w:rsid w:val="007D7C83"/>
    <w:rsid w:val="007E0A8F"/>
    <w:rsid w:val="007E0FE8"/>
    <w:rsid w:val="007E111D"/>
    <w:rsid w:val="007E128F"/>
    <w:rsid w:val="007E1FD1"/>
    <w:rsid w:val="007E2F6D"/>
    <w:rsid w:val="007E3108"/>
    <w:rsid w:val="007E3264"/>
    <w:rsid w:val="007E34EB"/>
    <w:rsid w:val="007E3AA3"/>
    <w:rsid w:val="007E4639"/>
    <w:rsid w:val="007E47BA"/>
    <w:rsid w:val="007E4898"/>
    <w:rsid w:val="007E48CB"/>
    <w:rsid w:val="007E4A74"/>
    <w:rsid w:val="007E4D00"/>
    <w:rsid w:val="007E4D21"/>
    <w:rsid w:val="007E500E"/>
    <w:rsid w:val="007E5409"/>
    <w:rsid w:val="007E5B29"/>
    <w:rsid w:val="007E693C"/>
    <w:rsid w:val="007E796B"/>
    <w:rsid w:val="007E7DD7"/>
    <w:rsid w:val="007F007E"/>
    <w:rsid w:val="007F0646"/>
    <w:rsid w:val="007F0B21"/>
    <w:rsid w:val="007F1017"/>
    <w:rsid w:val="007F13B4"/>
    <w:rsid w:val="007F1D94"/>
    <w:rsid w:val="007F2368"/>
    <w:rsid w:val="007F2C49"/>
    <w:rsid w:val="007F30C8"/>
    <w:rsid w:val="007F34EB"/>
    <w:rsid w:val="007F3869"/>
    <w:rsid w:val="007F40EA"/>
    <w:rsid w:val="007F4582"/>
    <w:rsid w:val="007F4A3F"/>
    <w:rsid w:val="007F4A61"/>
    <w:rsid w:val="007F4A7B"/>
    <w:rsid w:val="007F4D66"/>
    <w:rsid w:val="007F4E2B"/>
    <w:rsid w:val="007F5255"/>
    <w:rsid w:val="007F554D"/>
    <w:rsid w:val="007F56CC"/>
    <w:rsid w:val="007F59DF"/>
    <w:rsid w:val="007F5E58"/>
    <w:rsid w:val="007F603B"/>
    <w:rsid w:val="007F61C2"/>
    <w:rsid w:val="007F63BA"/>
    <w:rsid w:val="007F67ED"/>
    <w:rsid w:val="007F71C2"/>
    <w:rsid w:val="007F71FF"/>
    <w:rsid w:val="007F749F"/>
    <w:rsid w:val="007F7672"/>
    <w:rsid w:val="007F7E65"/>
    <w:rsid w:val="008000B9"/>
    <w:rsid w:val="008006DD"/>
    <w:rsid w:val="00800A2B"/>
    <w:rsid w:val="00801ABF"/>
    <w:rsid w:val="00801BA2"/>
    <w:rsid w:val="00801E51"/>
    <w:rsid w:val="0080213A"/>
    <w:rsid w:val="00802395"/>
    <w:rsid w:val="00802493"/>
    <w:rsid w:val="00802DA4"/>
    <w:rsid w:val="00803013"/>
    <w:rsid w:val="008044D1"/>
    <w:rsid w:val="0080490B"/>
    <w:rsid w:val="00804AF8"/>
    <w:rsid w:val="00804EDC"/>
    <w:rsid w:val="00804F1D"/>
    <w:rsid w:val="00805142"/>
    <w:rsid w:val="008055F8"/>
    <w:rsid w:val="0080566B"/>
    <w:rsid w:val="00805A7C"/>
    <w:rsid w:val="00805FCE"/>
    <w:rsid w:val="0080613C"/>
    <w:rsid w:val="008063AF"/>
    <w:rsid w:val="00806445"/>
    <w:rsid w:val="008072EE"/>
    <w:rsid w:val="00807648"/>
    <w:rsid w:val="0080775C"/>
    <w:rsid w:val="00807972"/>
    <w:rsid w:val="00807A8B"/>
    <w:rsid w:val="00807B63"/>
    <w:rsid w:val="00807CD2"/>
    <w:rsid w:val="00807E78"/>
    <w:rsid w:val="00807FBF"/>
    <w:rsid w:val="008106BB"/>
    <w:rsid w:val="008106C9"/>
    <w:rsid w:val="008109EC"/>
    <w:rsid w:val="00810D7C"/>
    <w:rsid w:val="00810D81"/>
    <w:rsid w:val="00810E2A"/>
    <w:rsid w:val="00811383"/>
    <w:rsid w:val="008117BF"/>
    <w:rsid w:val="00812149"/>
    <w:rsid w:val="00812CAC"/>
    <w:rsid w:val="00813D51"/>
    <w:rsid w:val="00813EC3"/>
    <w:rsid w:val="008141C6"/>
    <w:rsid w:val="0081465F"/>
    <w:rsid w:val="0081489A"/>
    <w:rsid w:val="0081571E"/>
    <w:rsid w:val="008159F5"/>
    <w:rsid w:val="00816361"/>
    <w:rsid w:val="0081667D"/>
    <w:rsid w:val="008166EF"/>
    <w:rsid w:val="00816946"/>
    <w:rsid w:val="00816C5B"/>
    <w:rsid w:val="00816DF3"/>
    <w:rsid w:val="00816FEF"/>
    <w:rsid w:val="00817C12"/>
    <w:rsid w:val="00820A8C"/>
    <w:rsid w:val="00820C71"/>
    <w:rsid w:val="00821206"/>
    <w:rsid w:val="008215FB"/>
    <w:rsid w:val="00821634"/>
    <w:rsid w:val="008216A0"/>
    <w:rsid w:val="00821A56"/>
    <w:rsid w:val="00821D2F"/>
    <w:rsid w:val="00821D3F"/>
    <w:rsid w:val="00821FA2"/>
    <w:rsid w:val="008220CC"/>
    <w:rsid w:val="008224A3"/>
    <w:rsid w:val="00822753"/>
    <w:rsid w:val="00822806"/>
    <w:rsid w:val="008228D5"/>
    <w:rsid w:val="00822D4F"/>
    <w:rsid w:val="00822D6E"/>
    <w:rsid w:val="00822EB7"/>
    <w:rsid w:val="00823114"/>
    <w:rsid w:val="0082311D"/>
    <w:rsid w:val="00823174"/>
    <w:rsid w:val="008232FC"/>
    <w:rsid w:val="008234F2"/>
    <w:rsid w:val="008235E3"/>
    <w:rsid w:val="0082367F"/>
    <w:rsid w:val="00823697"/>
    <w:rsid w:val="00824189"/>
    <w:rsid w:val="0082467C"/>
    <w:rsid w:val="00824A35"/>
    <w:rsid w:val="00824D24"/>
    <w:rsid w:val="00824FCF"/>
    <w:rsid w:val="008256C8"/>
    <w:rsid w:val="00825751"/>
    <w:rsid w:val="008264EB"/>
    <w:rsid w:val="008266BE"/>
    <w:rsid w:val="0082679E"/>
    <w:rsid w:val="008268CE"/>
    <w:rsid w:val="00826973"/>
    <w:rsid w:val="008273F9"/>
    <w:rsid w:val="00827793"/>
    <w:rsid w:val="00827976"/>
    <w:rsid w:val="00827C23"/>
    <w:rsid w:val="0083032A"/>
    <w:rsid w:val="008304EF"/>
    <w:rsid w:val="00830B03"/>
    <w:rsid w:val="00831E8F"/>
    <w:rsid w:val="00831FA0"/>
    <w:rsid w:val="00832F50"/>
    <w:rsid w:val="008337E7"/>
    <w:rsid w:val="00833A67"/>
    <w:rsid w:val="00833B05"/>
    <w:rsid w:val="00833C53"/>
    <w:rsid w:val="00834064"/>
    <w:rsid w:val="008341B1"/>
    <w:rsid w:val="0083463D"/>
    <w:rsid w:val="00834793"/>
    <w:rsid w:val="00834936"/>
    <w:rsid w:val="00834B4F"/>
    <w:rsid w:val="00834DBD"/>
    <w:rsid w:val="00834E99"/>
    <w:rsid w:val="00835498"/>
    <w:rsid w:val="008355A3"/>
    <w:rsid w:val="0083600C"/>
    <w:rsid w:val="008360E6"/>
    <w:rsid w:val="008361B1"/>
    <w:rsid w:val="008362B4"/>
    <w:rsid w:val="00836397"/>
    <w:rsid w:val="00836CEE"/>
    <w:rsid w:val="00836DAD"/>
    <w:rsid w:val="00837419"/>
    <w:rsid w:val="008377B3"/>
    <w:rsid w:val="00837F30"/>
    <w:rsid w:val="0084042D"/>
    <w:rsid w:val="008405AF"/>
    <w:rsid w:val="00840CA2"/>
    <w:rsid w:val="008412F1"/>
    <w:rsid w:val="0084179B"/>
    <w:rsid w:val="008417C7"/>
    <w:rsid w:val="00841E81"/>
    <w:rsid w:val="00841F51"/>
    <w:rsid w:val="0084257E"/>
    <w:rsid w:val="00842A06"/>
    <w:rsid w:val="00842BC6"/>
    <w:rsid w:val="00842EEE"/>
    <w:rsid w:val="00842FB1"/>
    <w:rsid w:val="008430D2"/>
    <w:rsid w:val="00843623"/>
    <w:rsid w:val="0084374F"/>
    <w:rsid w:val="0084401F"/>
    <w:rsid w:val="0084406C"/>
    <w:rsid w:val="00844601"/>
    <w:rsid w:val="00844A22"/>
    <w:rsid w:val="00844B7B"/>
    <w:rsid w:val="00844D72"/>
    <w:rsid w:val="00846BA8"/>
    <w:rsid w:val="00846BC3"/>
    <w:rsid w:val="00846DBC"/>
    <w:rsid w:val="00846E86"/>
    <w:rsid w:val="00847666"/>
    <w:rsid w:val="00847703"/>
    <w:rsid w:val="008477EE"/>
    <w:rsid w:val="00847CB9"/>
    <w:rsid w:val="00847DF5"/>
    <w:rsid w:val="00847ECB"/>
    <w:rsid w:val="0085025D"/>
    <w:rsid w:val="00850370"/>
    <w:rsid w:val="00850508"/>
    <w:rsid w:val="00850509"/>
    <w:rsid w:val="008506A6"/>
    <w:rsid w:val="00851909"/>
    <w:rsid w:val="0085211E"/>
    <w:rsid w:val="008522E3"/>
    <w:rsid w:val="0085264F"/>
    <w:rsid w:val="008526AF"/>
    <w:rsid w:val="008526C9"/>
    <w:rsid w:val="00852E78"/>
    <w:rsid w:val="0085309D"/>
    <w:rsid w:val="00853A3D"/>
    <w:rsid w:val="00855B83"/>
    <w:rsid w:val="00855D4A"/>
    <w:rsid w:val="00855FB3"/>
    <w:rsid w:val="0085621A"/>
    <w:rsid w:val="00856303"/>
    <w:rsid w:val="00856495"/>
    <w:rsid w:val="00856897"/>
    <w:rsid w:val="00856E9A"/>
    <w:rsid w:val="008572BF"/>
    <w:rsid w:val="00857870"/>
    <w:rsid w:val="00857C6A"/>
    <w:rsid w:val="00857F67"/>
    <w:rsid w:val="00860178"/>
    <w:rsid w:val="008605FD"/>
    <w:rsid w:val="0086075D"/>
    <w:rsid w:val="008608B0"/>
    <w:rsid w:val="00860BB5"/>
    <w:rsid w:val="00861355"/>
    <w:rsid w:val="00861530"/>
    <w:rsid w:val="0086162C"/>
    <w:rsid w:val="00861911"/>
    <w:rsid w:val="00861963"/>
    <w:rsid w:val="00861BDA"/>
    <w:rsid w:val="0086225F"/>
    <w:rsid w:val="00862462"/>
    <w:rsid w:val="00862502"/>
    <w:rsid w:val="00862CC1"/>
    <w:rsid w:val="00862EC2"/>
    <w:rsid w:val="00863127"/>
    <w:rsid w:val="0086326C"/>
    <w:rsid w:val="00863440"/>
    <w:rsid w:val="00863789"/>
    <w:rsid w:val="00863A06"/>
    <w:rsid w:val="00863CED"/>
    <w:rsid w:val="00863FE9"/>
    <w:rsid w:val="008642A7"/>
    <w:rsid w:val="008642D7"/>
    <w:rsid w:val="00864486"/>
    <w:rsid w:val="00864719"/>
    <w:rsid w:val="00864930"/>
    <w:rsid w:val="008655CF"/>
    <w:rsid w:val="008660D4"/>
    <w:rsid w:val="0086657A"/>
    <w:rsid w:val="00866643"/>
    <w:rsid w:val="008668B8"/>
    <w:rsid w:val="008670F0"/>
    <w:rsid w:val="008670FE"/>
    <w:rsid w:val="00867AE9"/>
    <w:rsid w:val="0087080D"/>
    <w:rsid w:val="00870D50"/>
    <w:rsid w:val="00871AC6"/>
    <w:rsid w:val="00871B1F"/>
    <w:rsid w:val="00871D52"/>
    <w:rsid w:val="00871D6E"/>
    <w:rsid w:val="00871DAF"/>
    <w:rsid w:val="00871F14"/>
    <w:rsid w:val="00871FA9"/>
    <w:rsid w:val="00872378"/>
    <w:rsid w:val="008728E9"/>
    <w:rsid w:val="008738F9"/>
    <w:rsid w:val="008739BF"/>
    <w:rsid w:val="00873CC8"/>
    <w:rsid w:val="008744AE"/>
    <w:rsid w:val="008749EC"/>
    <w:rsid w:val="00874A67"/>
    <w:rsid w:val="008751BD"/>
    <w:rsid w:val="0087625A"/>
    <w:rsid w:val="00876F45"/>
    <w:rsid w:val="00877024"/>
    <w:rsid w:val="008775B7"/>
    <w:rsid w:val="00877AB7"/>
    <w:rsid w:val="008805F7"/>
    <w:rsid w:val="008808F1"/>
    <w:rsid w:val="00880D4D"/>
    <w:rsid w:val="00880DA5"/>
    <w:rsid w:val="00880E32"/>
    <w:rsid w:val="00881387"/>
    <w:rsid w:val="00881596"/>
    <w:rsid w:val="00881BDE"/>
    <w:rsid w:val="00882010"/>
    <w:rsid w:val="00882329"/>
    <w:rsid w:val="008823B7"/>
    <w:rsid w:val="0088246F"/>
    <w:rsid w:val="008826E4"/>
    <w:rsid w:val="008827F9"/>
    <w:rsid w:val="00882874"/>
    <w:rsid w:val="00882B26"/>
    <w:rsid w:val="00882E3C"/>
    <w:rsid w:val="00882EF5"/>
    <w:rsid w:val="0088308A"/>
    <w:rsid w:val="00883433"/>
    <w:rsid w:val="00883787"/>
    <w:rsid w:val="00883840"/>
    <w:rsid w:val="0088413C"/>
    <w:rsid w:val="00884B43"/>
    <w:rsid w:val="00884DDE"/>
    <w:rsid w:val="00884EE0"/>
    <w:rsid w:val="00885032"/>
    <w:rsid w:val="008855E4"/>
    <w:rsid w:val="008857DB"/>
    <w:rsid w:val="00885979"/>
    <w:rsid w:val="00886037"/>
    <w:rsid w:val="008864C6"/>
    <w:rsid w:val="00886CD2"/>
    <w:rsid w:val="00887132"/>
    <w:rsid w:val="00887394"/>
    <w:rsid w:val="008877FB"/>
    <w:rsid w:val="00887C5A"/>
    <w:rsid w:val="00887D21"/>
    <w:rsid w:val="008905B4"/>
    <w:rsid w:val="00890F80"/>
    <w:rsid w:val="00891680"/>
    <w:rsid w:val="008917B6"/>
    <w:rsid w:val="008919A0"/>
    <w:rsid w:val="00891A0F"/>
    <w:rsid w:val="00891CC6"/>
    <w:rsid w:val="00891E6F"/>
    <w:rsid w:val="00892072"/>
    <w:rsid w:val="00892284"/>
    <w:rsid w:val="00892603"/>
    <w:rsid w:val="0089275D"/>
    <w:rsid w:val="00892994"/>
    <w:rsid w:val="00892A36"/>
    <w:rsid w:val="00892AA0"/>
    <w:rsid w:val="00892C97"/>
    <w:rsid w:val="00893239"/>
    <w:rsid w:val="00893537"/>
    <w:rsid w:val="008938B0"/>
    <w:rsid w:val="00893C2F"/>
    <w:rsid w:val="00893D7B"/>
    <w:rsid w:val="0089420E"/>
    <w:rsid w:val="00894489"/>
    <w:rsid w:val="00894912"/>
    <w:rsid w:val="00894CD6"/>
    <w:rsid w:val="0089501B"/>
    <w:rsid w:val="0089504F"/>
    <w:rsid w:val="00895192"/>
    <w:rsid w:val="008952C5"/>
    <w:rsid w:val="00895336"/>
    <w:rsid w:val="008955F7"/>
    <w:rsid w:val="00895CFB"/>
    <w:rsid w:val="00895E85"/>
    <w:rsid w:val="008961FA"/>
    <w:rsid w:val="008963A5"/>
    <w:rsid w:val="008964AC"/>
    <w:rsid w:val="0089682E"/>
    <w:rsid w:val="00896CAE"/>
    <w:rsid w:val="00896D5D"/>
    <w:rsid w:val="00896F56"/>
    <w:rsid w:val="00897BAB"/>
    <w:rsid w:val="00897C22"/>
    <w:rsid w:val="008A05E8"/>
    <w:rsid w:val="008A0BB2"/>
    <w:rsid w:val="008A0DAC"/>
    <w:rsid w:val="008A119D"/>
    <w:rsid w:val="008A13A1"/>
    <w:rsid w:val="008A1650"/>
    <w:rsid w:val="008A1D10"/>
    <w:rsid w:val="008A1F1B"/>
    <w:rsid w:val="008A1FA9"/>
    <w:rsid w:val="008A2A09"/>
    <w:rsid w:val="008A2DE0"/>
    <w:rsid w:val="008A3158"/>
    <w:rsid w:val="008A3363"/>
    <w:rsid w:val="008A3371"/>
    <w:rsid w:val="008A368E"/>
    <w:rsid w:val="008A3C3E"/>
    <w:rsid w:val="008A43D6"/>
    <w:rsid w:val="008A4820"/>
    <w:rsid w:val="008A4DEE"/>
    <w:rsid w:val="008A4EDF"/>
    <w:rsid w:val="008A502D"/>
    <w:rsid w:val="008A55B4"/>
    <w:rsid w:val="008A59F1"/>
    <w:rsid w:val="008A6033"/>
    <w:rsid w:val="008A68EB"/>
    <w:rsid w:val="008A7028"/>
    <w:rsid w:val="008A79DE"/>
    <w:rsid w:val="008A7A84"/>
    <w:rsid w:val="008A7B9E"/>
    <w:rsid w:val="008A7C7A"/>
    <w:rsid w:val="008B0285"/>
    <w:rsid w:val="008B08F4"/>
    <w:rsid w:val="008B132B"/>
    <w:rsid w:val="008B1757"/>
    <w:rsid w:val="008B1BB2"/>
    <w:rsid w:val="008B1C33"/>
    <w:rsid w:val="008B20CE"/>
    <w:rsid w:val="008B21EF"/>
    <w:rsid w:val="008B23B3"/>
    <w:rsid w:val="008B2819"/>
    <w:rsid w:val="008B2AB2"/>
    <w:rsid w:val="008B2F43"/>
    <w:rsid w:val="008B31C1"/>
    <w:rsid w:val="008B3A69"/>
    <w:rsid w:val="008B3BF5"/>
    <w:rsid w:val="008B47B6"/>
    <w:rsid w:val="008B48B8"/>
    <w:rsid w:val="008B4B6F"/>
    <w:rsid w:val="008B4D42"/>
    <w:rsid w:val="008B4D9D"/>
    <w:rsid w:val="008B51A6"/>
    <w:rsid w:val="008B5859"/>
    <w:rsid w:val="008B5A0F"/>
    <w:rsid w:val="008B5D9D"/>
    <w:rsid w:val="008B6029"/>
    <w:rsid w:val="008B6091"/>
    <w:rsid w:val="008B60A3"/>
    <w:rsid w:val="008B653C"/>
    <w:rsid w:val="008B65C4"/>
    <w:rsid w:val="008B6872"/>
    <w:rsid w:val="008B6CD6"/>
    <w:rsid w:val="008B76B0"/>
    <w:rsid w:val="008B7992"/>
    <w:rsid w:val="008B7D48"/>
    <w:rsid w:val="008B7D6C"/>
    <w:rsid w:val="008B7D7E"/>
    <w:rsid w:val="008C0621"/>
    <w:rsid w:val="008C0666"/>
    <w:rsid w:val="008C0E66"/>
    <w:rsid w:val="008C1635"/>
    <w:rsid w:val="008C1DF8"/>
    <w:rsid w:val="008C223F"/>
    <w:rsid w:val="008C2EBE"/>
    <w:rsid w:val="008C3014"/>
    <w:rsid w:val="008C372A"/>
    <w:rsid w:val="008C3C07"/>
    <w:rsid w:val="008C3F4A"/>
    <w:rsid w:val="008C4F04"/>
    <w:rsid w:val="008C5610"/>
    <w:rsid w:val="008C5739"/>
    <w:rsid w:val="008C60AD"/>
    <w:rsid w:val="008C63AD"/>
    <w:rsid w:val="008C64ED"/>
    <w:rsid w:val="008C70CF"/>
    <w:rsid w:val="008C7282"/>
    <w:rsid w:val="008C77C2"/>
    <w:rsid w:val="008C7ECB"/>
    <w:rsid w:val="008D0536"/>
    <w:rsid w:val="008D0F74"/>
    <w:rsid w:val="008D1496"/>
    <w:rsid w:val="008D166B"/>
    <w:rsid w:val="008D1D90"/>
    <w:rsid w:val="008D1EE0"/>
    <w:rsid w:val="008D2416"/>
    <w:rsid w:val="008D2495"/>
    <w:rsid w:val="008D2905"/>
    <w:rsid w:val="008D2EC9"/>
    <w:rsid w:val="008D32E0"/>
    <w:rsid w:val="008D3B86"/>
    <w:rsid w:val="008D41BE"/>
    <w:rsid w:val="008D43FD"/>
    <w:rsid w:val="008D46DA"/>
    <w:rsid w:val="008D4755"/>
    <w:rsid w:val="008D48EE"/>
    <w:rsid w:val="008D4C1D"/>
    <w:rsid w:val="008D4C3D"/>
    <w:rsid w:val="008D4CA4"/>
    <w:rsid w:val="008D4FAA"/>
    <w:rsid w:val="008D51AB"/>
    <w:rsid w:val="008D530D"/>
    <w:rsid w:val="008D53D4"/>
    <w:rsid w:val="008D5CC4"/>
    <w:rsid w:val="008D65A9"/>
    <w:rsid w:val="008D674F"/>
    <w:rsid w:val="008D743C"/>
    <w:rsid w:val="008D7729"/>
    <w:rsid w:val="008D7ED2"/>
    <w:rsid w:val="008E0469"/>
    <w:rsid w:val="008E05ED"/>
    <w:rsid w:val="008E0D3C"/>
    <w:rsid w:val="008E0D4E"/>
    <w:rsid w:val="008E0EE0"/>
    <w:rsid w:val="008E1595"/>
    <w:rsid w:val="008E1621"/>
    <w:rsid w:val="008E1B9E"/>
    <w:rsid w:val="008E1F6D"/>
    <w:rsid w:val="008E2EBD"/>
    <w:rsid w:val="008E314F"/>
    <w:rsid w:val="008E324A"/>
    <w:rsid w:val="008E39A3"/>
    <w:rsid w:val="008E3B54"/>
    <w:rsid w:val="008E3C47"/>
    <w:rsid w:val="008E43ED"/>
    <w:rsid w:val="008E4980"/>
    <w:rsid w:val="008E49B6"/>
    <w:rsid w:val="008E4CB2"/>
    <w:rsid w:val="008E55AB"/>
    <w:rsid w:val="008E560A"/>
    <w:rsid w:val="008E57AE"/>
    <w:rsid w:val="008E6A20"/>
    <w:rsid w:val="008E6C50"/>
    <w:rsid w:val="008E78EE"/>
    <w:rsid w:val="008E7BB4"/>
    <w:rsid w:val="008E7D74"/>
    <w:rsid w:val="008F0ABF"/>
    <w:rsid w:val="008F0D21"/>
    <w:rsid w:val="008F0D8A"/>
    <w:rsid w:val="008F0DA1"/>
    <w:rsid w:val="008F1085"/>
    <w:rsid w:val="008F120A"/>
    <w:rsid w:val="008F1509"/>
    <w:rsid w:val="008F2156"/>
    <w:rsid w:val="008F2283"/>
    <w:rsid w:val="008F27E0"/>
    <w:rsid w:val="008F33FB"/>
    <w:rsid w:val="008F3879"/>
    <w:rsid w:val="008F39B3"/>
    <w:rsid w:val="008F3B22"/>
    <w:rsid w:val="008F3B5E"/>
    <w:rsid w:val="008F4354"/>
    <w:rsid w:val="008F454E"/>
    <w:rsid w:val="008F457F"/>
    <w:rsid w:val="008F4728"/>
    <w:rsid w:val="008F48EB"/>
    <w:rsid w:val="008F4F0B"/>
    <w:rsid w:val="008F52DC"/>
    <w:rsid w:val="008F585C"/>
    <w:rsid w:val="008F5D3F"/>
    <w:rsid w:val="008F609F"/>
    <w:rsid w:val="008F68E3"/>
    <w:rsid w:val="008F699E"/>
    <w:rsid w:val="008F6F0E"/>
    <w:rsid w:val="008F6FCB"/>
    <w:rsid w:val="008F74F2"/>
    <w:rsid w:val="008F76DB"/>
    <w:rsid w:val="008F77E8"/>
    <w:rsid w:val="00900497"/>
    <w:rsid w:val="009008A4"/>
    <w:rsid w:val="00900B2A"/>
    <w:rsid w:val="00902296"/>
    <w:rsid w:val="00902703"/>
    <w:rsid w:val="00902986"/>
    <w:rsid w:val="00903298"/>
    <w:rsid w:val="00903448"/>
    <w:rsid w:val="00903AB4"/>
    <w:rsid w:val="0090434C"/>
    <w:rsid w:val="009046C4"/>
    <w:rsid w:val="00904A85"/>
    <w:rsid w:val="00905C0B"/>
    <w:rsid w:val="009062A5"/>
    <w:rsid w:val="009063DB"/>
    <w:rsid w:val="009065A8"/>
    <w:rsid w:val="00906940"/>
    <w:rsid w:val="00906C64"/>
    <w:rsid w:val="00906D67"/>
    <w:rsid w:val="00906EEC"/>
    <w:rsid w:val="00906F98"/>
    <w:rsid w:val="00907632"/>
    <w:rsid w:val="00907699"/>
    <w:rsid w:val="009076AC"/>
    <w:rsid w:val="00907A1C"/>
    <w:rsid w:val="00907A2F"/>
    <w:rsid w:val="00907A77"/>
    <w:rsid w:val="009105FF"/>
    <w:rsid w:val="009107A3"/>
    <w:rsid w:val="00910CBD"/>
    <w:rsid w:val="00910D55"/>
    <w:rsid w:val="00910FA7"/>
    <w:rsid w:val="00911272"/>
    <w:rsid w:val="00911339"/>
    <w:rsid w:val="009113C4"/>
    <w:rsid w:val="009113D7"/>
    <w:rsid w:val="009115BC"/>
    <w:rsid w:val="009124C9"/>
    <w:rsid w:val="00912564"/>
    <w:rsid w:val="00912988"/>
    <w:rsid w:val="00912FAF"/>
    <w:rsid w:val="009135D6"/>
    <w:rsid w:val="00913D9A"/>
    <w:rsid w:val="00913E23"/>
    <w:rsid w:val="00914A8C"/>
    <w:rsid w:val="00914C77"/>
    <w:rsid w:val="00914E06"/>
    <w:rsid w:val="00914F41"/>
    <w:rsid w:val="00915809"/>
    <w:rsid w:val="0091599B"/>
    <w:rsid w:val="00915CC6"/>
    <w:rsid w:val="00915E8A"/>
    <w:rsid w:val="009160B7"/>
    <w:rsid w:val="009165D7"/>
    <w:rsid w:val="0091693F"/>
    <w:rsid w:val="00917253"/>
    <w:rsid w:val="009172EB"/>
    <w:rsid w:val="0091749A"/>
    <w:rsid w:val="00917A0A"/>
    <w:rsid w:val="00917F64"/>
    <w:rsid w:val="009201BD"/>
    <w:rsid w:val="00920729"/>
    <w:rsid w:val="00920779"/>
    <w:rsid w:val="00920D24"/>
    <w:rsid w:val="00920F64"/>
    <w:rsid w:val="00921531"/>
    <w:rsid w:val="00921567"/>
    <w:rsid w:val="00921ACB"/>
    <w:rsid w:val="00922510"/>
    <w:rsid w:val="00922538"/>
    <w:rsid w:val="00922598"/>
    <w:rsid w:val="00922EA5"/>
    <w:rsid w:val="00922FA7"/>
    <w:rsid w:val="0092323B"/>
    <w:rsid w:val="0092369B"/>
    <w:rsid w:val="0092373C"/>
    <w:rsid w:val="0092398F"/>
    <w:rsid w:val="00923A70"/>
    <w:rsid w:val="00924862"/>
    <w:rsid w:val="009249C2"/>
    <w:rsid w:val="00924BA2"/>
    <w:rsid w:val="00924DED"/>
    <w:rsid w:val="0092702D"/>
    <w:rsid w:val="009274F2"/>
    <w:rsid w:val="00927FAE"/>
    <w:rsid w:val="00931056"/>
    <w:rsid w:val="009314D0"/>
    <w:rsid w:val="00931680"/>
    <w:rsid w:val="0093176F"/>
    <w:rsid w:val="00931944"/>
    <w:rsid w:val="00932647"/>
    <w:rsid w:val="00933C5E"/>
    <w:rsid w:val="00933D29"/>
    <w:rsid w:val="00934988"/>
    <w:rsid w:val="00934C54"/>
    <w:rsid w:val="00934CDE"/>
    <w:rsid w:val="00934E66"/>
    <w:rsid w:val="00935CDA"/>
    <w:rsid w:val="00935DEB"/>
    <w:rsid w:val="00935EA4"/>
    <w:rsid w:val="00935FBE"/>
    <w:rsid w:val="0093608E"/>
    <w:rsid w:val="009364F0"/>
    <w:rsid w:val="00936E29"/>
    <w:rsid w:val="00937089"/>
    <w:rsid w:val="009372A5"/>
    <w:rsid w:val="009373CD"/>
    <w:rsid w:val="00937F47"/>
    <w:rsid w:val="00940154"/>
    <w:rsid w:val="009404AB"/>
    <w:rsid w:val="009409C3"/>
    <w:rsid w:val="00941296"/>
    <w:rsid w:val="009417A6"/>
    <w:rsid w:val="00941864"/>
    <w:rsid w:val="00941A52"/>
    <w:rsid w:val="00941D01"/>
    <w:rsid w:val="009427C3"/>
    <w:rsid w:val="00942CC8"/>
    <w:rsid w:val="00942CFA"/>
    <w:rsid w:val="00943416"/>
    <w:rsid w:val="009445BA"/>
    <w:rsid w:val="0094471D"/>
    <w:rsid w:val="00944DD4"/>
    <w:rsid w:val="00944F8A"/>
    <w:rsid w:val="00945133"/>
    <w:rsid w:val="00945BE0"/>
    <w:rsid w:val="00947086"/>
    <w:rsid w:val="009478E6"/>
    <w:rsid w:val="009503AB"/>
    <w:rsid w:val="009510A2"/>
    <w:rsid w:val="00951401"/>
    <w:rsid w:val="00951C48"/>
    <w:rsid w:val="00951DD7"/>
    <w:rsid w:val="00952A01"/>
    <w:rsid w:val="00952D82"/>
    <w:rsid w:val="0095308D"/>
    <w:rsid w:val="009530CB"/>
    <w:rsid w:val="00953257"/>
    <w:rsid w:val="0095328E"/>
    <w:rsid w:val="00953A02"/>
    <w:rsid w:val="00953C28"/>
    <w:rsid w:val="00953E73"/>
    <w:rsid w:val="00953F93"/>
    <w:rsid w:val="0095436A"/>
    <w:rsid w:val="009543AF"/>
    <w:rsid w:val="009545A6"/>
    <w:rsid w:val="0095474C"/>
    <w:rsid w:val="00954A71"/>
    <w:rsid w:val="009550F5"/>
    <w:rsid w:val="0095557A"/>
    <w:rsid w:val="00955A7B"/>
    <w:rsid w:val="00956198"/>
    <w:rsid w:val="00956ABD"/>
    <w:rsid w:val="009570A3"/>
    <w:rsid w:val="009576C9"/>
    <w:rsid w:val="00957D92"/>
    <w:rsid w:val="00960241"/>
    <w:rsid w:val="00960AEE"/>
    <w:rsid w:val="00960BE9"/>
    <w:rsid w:val="00960E7D"/>
    <w:rsid w:val="00961654"/>
    <w:rsid w:val="00961A71"/>
    <w:rsid w:val="0096217E"/>
    <w:rsid w:val="009626B7"/>
    <w:rsid w:val="00962946"/>
    <w:rsid w:val="00962CB9"/>
    <w:rsid w:val="00962F85"/>
    <w:rsid w:val="00963831"/>
    <w:rsid w:val="00964312"/>
    <w:rsid w:val="00964873"/>
    <w:rsid w:val="0096490D"/>
    <w:rsid w:val="0096511A"/>
    <w:rsid w:val="00965B8A"/>
    <w:rsid w:val="00966720"/>
    <w:rsid w:val="00966B6A"/>
    <w:rsid w:val="00966E3F"/>
    <w:rsid w:val="00967059"/>
    <w:rsid w:val="009671C7"/>
    <w:rsid w:val="009673A1"/>
    <w:rsid w:val="0096790B"/>
    <w:rsid w:val="00967F61"/>
    <w:rsid w:val="009702C7"/>
    <w:rsid w:val="00970310"/>
    <w:rsid w:val="0097071F"/>
    <w:rsid w:val="00970A09"/>
    <w:rsid w:val="00970A94"/>
    <w:rsid w:val="00971284"/>
    <w:rsid w:val="00971725"/>
    <w:rsid w:val="009717AC"/>
    <w:rsid w:val="009719F8"/>
    <w:rsid w:val="00971D3D"/>
    <w:rsid w:val="009721FB"/>
    <w:rsid w:val="00972477"/>
    <w:rsid w:val="00973238"/>
    <w:rsid w:val="009736D8"/>
    <w:rsid w:val="009739A6"/>
    <w:rsid w:val="00973D86"/>
    <w:rsid w:val="009751C1"/>
    <w:rsid w:val="00975CC0"/>
    <w:rsid w:val="00975E1B"/>
    <w:rsid w:val="00976622"/>
    <w:rsid w:val="0097690B"/>
    <w:rsid w:val="00976C31"/>
    <w:rsid w:val="00977530"/>
    <w:rsid w:val="0097762B"/>
    <w:rsid w:val="00977E9B"/>
    <w:rsid w:val="00977EF7"/>
    <w:rsid w:val="009800F2"/>
    <w:rsid w:val="00980436"/>
    <w:rsid w:val="009805B5"/>
    <w:rsid w:val="009809F9"/>
    <w:rsid w:val="00980A8A"/>
    <w:rsid w:val="00980D91"/>
    <w:rsid w:val="00981076"/>
    <w:rsid w:val="0098109D"/>
    <w:rsid w:val="009811F1"/>
    <w:rsid w:val="009824EE"/>
    <w:rsid w:val="0098253B"/>
    <w:rsid w:val="0098262F"/>
    <w:rsid w:val="00982944"/>
    <w:rsid w:val="00982A42"/>
    <w:rsid w:val="00982AD8"/>
    <w:rsid w:val="00982B5E"/>
    <w:rsid w:val="00982B80"/>
    <w:rsid w:val="009831C5"/>
    <w:rsid w:val="00983505"/>
    <w:rsid w:val="00983506"/>
    <w:rsid w:val="009838EC"/>
    <w:rsid w:val="00983B09"/>
    <w:rsid w:val="00983E57"/>
    <w:rsid w:val="00984063"/>
    <w:rsid w:val="009847D9"/>
    <w:rsid w:val="00984DC0"/>
    <w:rsid w:val="009858AB"/>
    <w:rsid w:val="00985D23"/>
    <w:rsid w:val="00985DE2"/>
    <w:rsid w:val="0098604F"/>
    <w:rsid w:val="00986055"/>
    <w:rsid w:val="0098675D"/>
    <w:rsid w:val="00986BA9"/>
    <w:rsid w:val="00987118"/>
    <w:rsid w:val="00987297"/>
    <w:rsid w:val="009874E3"/>
    <w:rsid w:val="009878FD"/>
    <w:rsid w:val="00987BA4"/>
    <w:rsid w:val="00987CFA"/>
    <w:rsid w:val="00990B48"/>
    <w:rsid w:val="00991299"/>
    <w:rsid w:val="0099185A"/>
    <w:rsid w:val="00991B70"/>
    <w:rsid w:val="009926A4"/>
    <w:rsid w:val="009926E0"/>
    <w:rsid w:val="0099294B"/>
    <w:rsid w:val="00992AB8"/>
    <w:rsid w:val="00992B39"/>
    <w:rsid w:val="00992CAF"/>
    <w:rsid w:val="00993875"/>
    <w:rsid w:val="0099451E"/>
    <w:rsid w:val="0099491A"/>
    <w:rsid w:val="00994B60"/>
    <w:rsid w:val="009964CA"/>
    <w:rsid w:val="009967FD"/>
    <w:rsid w:val="00996990"/>
    <w:rsid w:val="00996B1A"/>
    <w:rsid w:val="00996BB5"/>
    <w:rsid w:val="00996D7C"/>
    <w:rsid w:val="009975E7"/>
    <w:rsid w:val="00997983"/>
    <w:rsid w:val="00997A5E"/>
    <w:rsid w:val="00997B3D"/>
    <w:rsid w:val="00997EA5"/>
    <w:rsid w:val="009A0513"/>
    <w:rsid w:val="009A0947"/>
    <w:rsid w:val="009A11F4"/>
    <w:rsid w:val="009A18B0"/>
    <w:rsid w:val="009A18F6"/>
    <w:rsid w:val="009A1BAB"/>
    <w:rsid w:val="009A2323"/>
    <w:rsid w:val="009A23E5"/>
    <w:rsid w:val="009A2531"/>
    <w:rsid w:val="009A2DCA"/>
    <w:rsid w:val="009A2DCC"/>
    <w:rsid w:val="009A318F"/>
    <w:rsid w:val="009A361B"/>
    <w:rsid w:val="009A393E"/>
    <w:rsid w:val="009A3D7D"/>
    <w:rsid w:val="009A3E53"/>
    <w:rsid w:val="009A44D4"/>
    <w:rsid w:val="009A4581"/>
    <w:rsid w:val="009A4AFD"/>
    <w:rsid w:val="009A4BDD"/>
    <w:rsid w:val="009A518B"/>
    <w:rsid w:val="009A51F1"/>
    <w:rsid w:val="009A5ABC"/>
    <w:rsid w:val="009A5F3B"/>
    <w:rsid w:val="009A622C"/>
    <w:rsid w:val="009A6892"/>
    <w:rsid w:val="009A7073"/>
    <w:rsid w:val="009A7F10"/>
    <w:rsid w:val="009B0549"/>
    <w:rsid w:val="009B05A8"/>
    <w:rsid w:val="009B1386"/>
    <w:rsid w:val="009B1886"/>
    <w:rsid w:val="009B1889"/>
    <w:rsid w:val="009B19F4"/>
    <w:rsid w:val="009B1A26"/>
    <w:rsid w:val="009B1C20"/>
    <w:rsid w:val="009B1D3B"/>
    <w:rsid w:val="009B1D3C"/>
    <w:rsid w:val="009B27A5"/>
    <w:rsid w:val="009B3E26"/>
    <w:rsid w:val="009B437A"/>
    <w:rsid w:val="009B452E"/>
    <w:rsid w:val="009B497D"/>
    <w:rsid w:val="009B49AB"/>
    <w:rsid w:val="009B5525"/>
    <w:rsid w:val="009B678F"/>
    <w:rsid w:val="009B72DF"/>
    <w:rsid w:val="009B74C1"/>
    <w:rsid w:val="009B77AF"/>
    <w:rsid w:val="009B7D0C"/>
    <w:rsid w:val="009C0272"/>
    <w:rsid w:val="009C09B5"/>
    <w:rsid w:val="009C0E6E"/>
    <w:rsid w:val="009C1271"/>
    <w:rsid w:val="009C18CB"/>
    <w:rsid w:val="009C1F6C"/>
    <w:rsid w:val="009C1FE0"/>
    <w:rsid w:val="009C218F"/>
    <w:rsid w:val="009C224F"/>
    <w:rsid w:val="009C29C0"/>
    <w:rsid w:val="009C2B58"/>
    <w:rsid w:val="009C2D7D"/>
    <w:rsid w:val="009C3706"/>
    <w:rsid w:val="009C370E"/>
    <w:rsid w:val="009C3A3A"/>
    <w:rsid w:val="009C426B"/>
    <w:rsid w:val="009C4505"/>
    <w:rsid w:val="009C4A30"/>
    <w:rsid w:val="009C54B5"/>
    <w:rsid w:val="009C5B54"/>
    <w:rsid w:val="009C5C67"/>
    <w:rsid w:val="009C5D50"/>
    <w:rsid w:val="009C5F9A"/>
    <w:rsid w:val="009C6C3C"/>
    <w:rsid w:val="009C6CEA"/>
    <w:rsid w:val="009C7008"/>
    <w:rsid w:val="009C7B40"/>
    <w:rsid w:val="009C7B85"/>
    <w:rsid w:val="009D0254"/>
    <w:rsid w:val="009D09F4"/>
    <w:rsid w:val="009D0EFA"/>
    <w:rsid w:val="009D1A64"/>
    <w:rsid w:val="009D1B70"/>
    <w:rsid w:val="009D2754"/>
    <w:rsid w:val="009D2C18"/>
    <w:rsid w:val="009D30AB"/>
    <w:rsid w:val="009D30D6"/>
    <w:rsid w:val="009D3147"/>
    <w:rsid w:val="009D4404"/>
    <w:rsid w:val="009D4509"/>
    <w:rsid w:val="009D4A7A"/>
    <w:rsid w:val="009D4B0D"/>
    <w:rsid w:val="009D4B50"/>
    <w:rsid w:val="009D4EB4"/>
    <w:rsid w:val="009D5024"/>
    <w:rsid w:val="009D50ED"/>
    <w:rsid w:val="009D572A"/>
    <w:rsid w:val="009D575A"/>
    <w:rsid w:val="009D58E9"/>
    <w:rsid w:val="009D5B91"/>
    <w:rsid w:val="009D5E4D"/>
    <w:rsid w:val="009D612A"/>
    <w:rsid w:val="009D627F"/>
    <w:rsid w:val="009D6B08"/>
    <w:rsid w:val="009D6C0D"/>
    <w:rsid w:val="009D7468"/>
    <w:rsid w:val="009D792E"/>
    <w:rsid w:val="009E01FB"/>
    <w:rsid w:val="009E0893"/>
    <w:rsid w:val="009E0B53"/>
    <w:rsid w:val="009E0DFE"/>
    <w:rsid w:val="009E10B2"/>
    <w:rsid w:val="009E1370"/>
    <w:rsid w:val="009E1E49"/>
    <w:rsid w:val="009E2121"/>
    <w:rsid w:val="009E231E"/>
    <w:rsid w:val="009E2C52"/>
    <w:rsid w:val="009E2FE0"/>
    <w:rsid w:val="009E31F6"/>
    <w:rsid w:val="009E3C64"/>
    <w:rsid w:val="009E3FD3"/>
    <w:rsid w:val="009E4376"/>
    <w:rsid w:val="009E4B0D"/>
    <w:rsid w:val="009E4C07"/>
    <w:rsid w:val="009E5904"/>
    <w:rsid w:val="009E5C59"/>
    <w:rsid w:val="009E64F6"/>
    <w:rsid w:val="009E66D2"/>
    <w:rsid w:val="009E6A0F"/>
    <w:rsid w:val="009E71B1"/>
    <w:rsid w:val="009E74C0"/>
    <w:rsid w:val="009E777F"/>
    <w:rsid w:val="009E7CFB"/>
    <w:rsid w:val="009F03AF"/>
    <w:rsid w:val="009F079A"/>
    <w:rsid w:val="009F0C89"/>
    <w:rsid w:val="009F0E3C"/>
    <w:rsid w:val="009F0EDD"/>
    <w:rsid w:val="009F1563"/>
    <w:rsid w:val="009F18BD"/>
    <w:rsid w:val="009F1965"/>
    <w:rsid w:val="009F1A5A"/>
    <w:rsid w:val="009F2356"/>
    <w:rsid w:val="009F2603"/>
    <w:rsid w:val="009F304D"/>
    <w:rsid w:val="009F33B1"/>
    <w:rsid w:val="009F375C"/>
    <w:rsid w:val="009F3A14"/>
    <w:rsid w:val="009F3A95"/>
    <w:rsid w:val="009F41F3"/>
    <w:rsid w:val="009F4359"/>
    <w:rsid w:val="009F436E"/>
    <w:rsid w:val="009F486A"/>
    <w:rsid w:val="009F4BFB"/>
    <w:rsid w:val="009F5089"/>
    <w:rsid w:val="009F5C6B"/>
    <w:rsid w:val="009F60A2"/>
    <w:rsid w:val="009F6120"/>
    <w:rsid w:val="009F6B0C"/>
    <w:rsid w:val="009F6E96"/>
    <w:rsid w:val="009F76ED"/>
    <w:rsid w:val="00A0021A"/>
    <w:rsid w:val="00A00557"/>
    <w:rsid w:val="00A00639"/>
    <w:rsid w:val="00A0075E"/>
    <w:rsid w:val="00A00D76"/>
    <w:rsid w:val="00A00EF0"/>
    <w:rsid w:val="00A01184"/>
    <w:rsid w:val="00A011A4"/>
    <w:rsid w:val="00A01449"/>
    <w:rsid w:val="00A01508"/>
    <w:rsid w:val="00A015D8"/>
    <w:rsid w:val="00A015FA"/>
    <w:rsid w:val="00A01727"/>
    <w:rsid w:val="00A01979"/>
    <w:rsid w:val="00A01AEA"/>
    <w:rsid w:val="00A01CD5"/>
    <w:rsid w:val="00A02BEE"/>
    <w:rsid w:val="00A02C03"/>
    <w:rsid w:val="00A02F70"/>
    <w:rsid w:val="00A03132"/>
    <w:rsid w:val="00A036FE"/>
    <w:rsid w:val="00A037C2"/>
    <w:rsid w:val="00A03B3A"/>
    <w:rsid w:val="00A03D43"/>
    <w:rsid w:val="00A03D7D"/>
    <w:rsid w:val="00A04380"/>
    <w:rsid w:val="00A04786"/>
    <w:rsid w:val="00A0494B"/>
    <w:rsid w:val="00A04DCC"/>
    <w:rsid w:val="00A04FA1"/>
    <w:rsid w:val="00A05472"/>
    <w:rsid w:val="00A05716"/>
    <w:rsid w:val="00A0577B"/>
    <w:rsid w:val="00A05C32"/>
    <w:rsid w:val="00A05EF5"/>
    <w:rsid w:val="00A06388"/>
    <w:rsid w:val="00A0653F"/>
    <w:rsid w:val="00A0670D"/>
    <w:rsid w:val="00A06DD1"/>
    <w:rsid w:val="00A06EB9"/>
    <w:rsid w:val="00A07553"/>
    <w:rsid w:val="00A1099E"/>
    <w:rsid w:val="00A10ED8"/>
    <w:rsid w:val="00A1118D"/>
    <w:rsid w:val="00A111D4"/>
    <w:rsid w:val="00A11860"/>
    <w:rsid w:val="00A11BED"/>
    <w:rsid w:val="00A11CD0"/>
    <w:rsid w:val="00A11FC1"/>
    <w:rsid w:val="00A13948"/>
    <w:rsid w:val="00A15015"/>
    <w:rsid w:val="00A1532A"/>
    <w:rsid w:val="00A1552A"/>
    <w:rsid w:val="00A1555B"/>
    <w:rsid w:val="00A155C5"/>
    <w:rsid w:val="00A15605"/>
    <w:rsid w:val="00A15666"/>
    <w:rsid w:val="00A15B5B"/>
    <w:rsid w:val="00A15E71"/>
    <w:rsid w:val="00A160D1"/>
    <w:rsid w:val="00A16243"/>
    <w:rsid w:val="00A16AD8"/>
    <w:rsid w:val="00A1773B"/>
    <w:rsid w:val="00A17BAE"/>
    <w:rsid w:val="00A17F53"/>
    <w:rsid w:val="00A2021E"/>
    <w:rsid w:val="00A2030A"/>
    <w:rsid w:val="00A208D6"/>
    <w:rsid w:val="00A2098B"/>
    <w:rsid w:val="00A214D0"/>
    <w:rsid w:val="00A21C95"/>
    <w:rsid w:val="00A21CDA"/>
    <w:rsid w:val="00A21CF3"/>
    <w:rsid w:val="00A22149"/>
    <w:rsid w:val="00A22756"/>
    <w:rsid w:val="00A22893"/>
    <w:rsid w:val="00A232FA"/>
    <w:rsid w:val="00A2363B"/>
    <w:rsid w:val="00A23862"/>
    <w:rsid w:val="00A23D5B"/>
    <w:rsid w:val="00A244D9"/>
    <w:rsid w:val="00A245A4"/>
    <w:rsid w:val="00A24813"/>
    <w:rsid w:val="00A24CB2"/>
    <w:rsid w:val="00A25396"/>
    <w:rsid w:val="00A2552E"/>
    <w:rsid w:val="00A2567A"/>
    <w:rsid w:val="00A25B2B"/>
    <w:rsid w:val="00A25DD5"/>
    <w:rsid w:val="00A25F7B"/>
    <w:rsid w:val="00A2612A"/>
    <w:rsid w:val="00A262CE"/>
    <w:rsid w:val="00A26AE1"/>
    <w:rsid w:val="00A275F6"/>
    <w:rsid w:val="00A27AEC"/>
    <w:rsid w:val="00A27D13"/>
    <w:rsid w:val="00A30138"/>
    <w:rsid w:val="00A303F0"/>
    <w:rsid w:val="00A305AC"/>
    <w:rsid w:val="00A30CAC"/>
    <w:rsid w:val="00A30CBC"/>
    <w:rsid w:val="00A31C87"/>
    <w:rsid w:val="00A320DB"/>
    <w:rsid w:val="00A320E5"/>
    <w:rsid w:val="00A32715"/>
    <w:rsid w:val="00A32E56"/>
    <w:rsid w:val="00A336C4"/>
    <w:rsid w:val="00A33E4F"/>
    <w:rsid w:val="00A3446C"/>
    <w:rsid w:val="00A344C1"/>
    <w:rsid w:val="00A34C45"/>
    <w:rsid w:val="00A35066"/>
    <w:rsid w:val="00A3544C"/>
    <w:rsid w:val="00A35C16"/>
    <w:rsid w:val="00A35C3F"/>
    <w:rsid w:val="00A35D16"/>
    <w:rsid w:val="00A36223"/>
    <w:rsid w:val="00A3668D"/>
    <w:rsid w:val="00A36B47"/>
    <w:rsid w:val="00A37054"/>
    <w:rsid w:val="00A37120"/>
    <w:rsid w:val="00A3787E"/>
    <w:rsid w:val="00A37989"/>
    <w:rsid w:val="00A37BCD"/>
    <w:rsid w:val="00A40178"/>
    <w:rsid w:val="00A4052B"/>
    <w:rsid w:val="00A40AE4"/>
    <w:rsid w:val="00A40C66"/>
    <w:rsid w:val="00A41689"/>
    <w:rsid w:val="00A4240D"/>
    <w:rsid w:val="00A42592"/>
    <w:rsid w:val="00A42A05"/>
    <w:rsid w:val="00A42AC9"/>
    <w:rsid w:val="00A43B7F"/>
    <w:rsid w:val="00A43C59"/>
    <w:rsid w:val="00A43F30"/>
    <w:rsid w:val="00A43F7F"/>
    <w:rsid w:val="00A43FA7"/>
    <w:rsid w:val="00A45550"/>
    <w:rsid w:val="00A45C82"/>
    <w:rsid w:val="00A45E5F"/>
    <w:rsid w:val="00A45EA0"/>
    <w:rsid w:val="00A465BA"/>
    <w:rsid w:val="00A47154"/>
    <w:rsid w:val="00A47682"/>
    <w:rsid w:val="00A47715"/>
    <w:rsid w:val="00A47853"/>
    <w:rsid w:val="00A47B43"/>
    <w:rsid w:val="00A47D67"/>
    <w:rsid w:val="00A47F86"/>
    <w:rsid w:val="00A50005"/>
    <w:rsid w:val="00A505F7"/>
    <w:rsid w:val="00A50CA8"/>
    <w:rsid w:val="00A50E61"/>
    <w:rsid w:val="00A50ECD"/>
    <w:rsid w:val="00A50F55"/>
    <w:rsid w:val="00A5169A"/>
    <w:rsid w:val="00A51797"/>
    <w:rsid w:val="00A518F3"/>
    <w:rsid w:val="00A51C3D"/>
    <w:rsid w:val="00A52318"/>
    <w:rsid w:val="00A52729"/>
    <w:rsid w:val="00A53292"/>
    <w:rsid w:val="00A532D3"/>
    <w:rsid w:val="00A535FA"/>
    <w:rsid w:val="00A53675"/>
    <w:rsid w:val="00A53C19"/>
    <w:rsid w:val="00A53D0E"/>
    <w:rsid w:val="00A53D1B"/>
    <w:rsid w:val="00A53D6B"/>
    <w:rsid w:val="00A5411D"/>
    <w:rsid w:val="00A54216"/>
    <w:rsid w:val="00A5428B"/>
    <w:rsid w:val="00A54356"/>
    <w:rsid w:val="00A548EA"/>
    <w:rsid w:val="00A54B7A"/>
    <w:rsid w:val="00A54CDB"/>
    <w:rsid w:val="00A54DE6"/>
    <w:rsid w:val="00A550B4"/>
    <w:rsid w:val="00A55297"/>
    <w:rsid w:val="00A553B6"/>
    <w:rsid w:val="00A55F5D"/>
    <w:rsid w:val="00A564D7"/>
    <w:rsid w:val="00A56651"/>
    <w:rsid w:val="00A56B6A"/>
    <w:rsid w:val="00A572A8"/>
    <w:rsid w:val="00A57333"/>
    <w:rsid w:val="00A574FE"/>
    <w:rsid w:val="00A578DC"/>
    <w:rsid w:val="00A57904"/>
    <w:rsid w:val="00A57C73"/>
    <w:rsid w:val="00A600B4"/>
    <w:rsid w:val="00A603F5"/>
    <w:rsid w:val="00A608F0"/>
    <w:rsid w:val="00A61CFB"/>
    <w:rsid w:val="00A627D3"/>
    <w:rsid w:val="00A62FD0"/>
    <w:rsid w:val="00A635AB"/>
    <w:rsid w:val="00A637E3"/>
    <w:rsid w:val="00A640E2"/>
    <w:rsid w:val="00A6457E"/>
    <w:rsid w:val="00A64D65"/>
    <w:rsid w:val="00A6538C"/>
    <w:rsid w:val="00A6553D"/>
    <w:rsid w:val="00A6576E"/>
    <w:rsid w:val="00A65DE6"/>
    <w:rsid w:val="00A66896"/>
    <w:rsid w:val="00A66DDF"/>
    <w:rsid w:val="00A66EFD"/>
    <w:rsid w:val="00A671CE"/>
    <w:rsid w:val="00A6725B"/>
    <w:rsid w:val="00A678C2"/>
    <w:rsid w:val="00A6792E"/>
    <w:rsid w:val="00A67931"/>
    <w:rsid w:val="00A7020D"/>
    <w:rsid w:val="00A70229"/>
    <w:rsid w:val="00A70605"/>
    <w:rsid w:val="00A7091E"/>
    <w:rsid w:val="00A70C21"/>
    <w:rsid w:val="00A70FE3"/>
    <w:rsid w:val="00A710F8"/>
    <w:rsid w:val="00A7136E"/>
    <w:rsid w:val="00A71661"/>
    <w:rsid w:val="00A719E6"/>
    <w:rsid w:val="00A72211"/>
    <w:rsid w:val="00A72759"/>
    <w:rsid w:val="00A730A8"/>
    <w:rsid w:val="00A73111"/>
    <w:rsid w:val="00A73134"/>
    <w:rsid w:val="00A7365A"/>
    <w:rsid w:val="00A73667"/>
    <w:rsid w:val="00A73A57"/>
    <w:rsid w:val="00A74285"/>
    <w:rsid w:val="00A74D77"/>
    <w:rsid w:val="00A752EB"/>
    <w:rsid w:val="00A75459"/>
    <w:rsid w:val="00A757F6"/>
    <w:rsid w:val="00A75C40"/>
    <w:rsid w:val="00A75C47"/>
    <w:rsid w:val="00A76001"/>
    <w:rsid w:val="00A76134"/>
    <w:rsid w:val="00A76D0E"/>
    <w:rsid w:val="00A777B2"/>
    <w:rsid w:val="00A8010B"/>
    <w:rsid w:val="00A8096D"/>
    <w:rsid w:val="00A81DA3"/>
    <w:rsid w:val="00A825D4"/>
    <w:rsid w:val="00A828F6"/>
    <w:rsid w:val="00A82B73"/>
    <w:rsid w:val="00A8384A"/>
    <w:rsid w:val="00A83BED"/>
    <w:rsid w:val="00A83CCC"/>
    <w:rsid w:val="00A83E6E"/>
    <w:rsid w:val="00A84009"/>
    <w:rsid w:val="00A84347"/>
    <w:rsid w:val="00A8435F"/>
    <w:rsid w:val="00A84B84"/>
    <w:rsid w:val="00A85650"/>
    <w:rsid w:val="00A85A37"/>
    <w:rsid w:val="00A85E10"/>
    <w:rsid w:val="00A86845"/>
    <w:rsid w:val="00A86BEF"/>
    <w:rsid w:val="00A86E8B"/>
    <w:rsid w:val="00A8715D"/>
    <w:rsid w:val="00A87164"/>
    <w:rsid w:val="00A871A9"/>
    <w:rsid w:val="00A87448"/>
    <w:rsid w:val="00A87C51"/>
    <w:rsid w:val="00A90180"/>
    <w:rsid w:val="00A90354"/>
    <w:rsid w:val="00A906B0"/>
    <w:rsid w:val="00A90855"/>
    <w:rsid w:val="00A90A70"/>
    <w:rsid w:val="00A9141C"/>
    <w:rsid w:val="00A91573"/>
    <w:rsid w:val="00A916C6"/>
    <w:rsid w:val="00A9224B"/>
    <w:rsid w:val="00A92543"/>
    <w:rsid w:val="00A9294F"/>
    <w:rsid w:val="00A92B43"/>
    <w:rsid w:val="00A93072"/>
    <w:rsid w:val="00A930FB"/>
    <w:rsid w:val="00A938BD"/>
    <w:rsid w:val="00A93953"/>
    <w:rsid w:val="00A93BB7"/>
    <w:rsid w:val="00A94028"/>
    <w:rsid w:val="00A94141"/>
    <w:rsid w:val="00A94165"/>
    <w:rsid w:val="00A941C7"/>
    <w:rsid w:val="00A9444E"/>
    <w:rsid w:val="00A947B7"/>
    <w:rsid w:val="00A9592D"/>
    <w:rsid w:val="00A959D8"/>
    <w:rsid w:val="00A95A7B"/>
    <w:rsid w:val="00A96045"/>
    <w:rsid w:val="00A963D4"/>
    <w:rsid w:val="00A96AB5"/>
    <w:rsid w:val="00A96EF2"/>
    <w:rsid w:val="00A9740D"/>
    <w:rsid w:val="00A979C7"/>
    <w:rsid w:val="00A97D6A"/>
    <w:rsid w:val="00AA0809"/>
    <w:rsid w:val="00AA0911"/>
    <w:rsid w:val="00AA0A11"/>
    <w:rsid w:val="00AA0B96"/>
    <w:rsid w:val="00AA0E38"/>
    <w:rsid w:val="00AA113D"/>
    <w:rsid w:val="00AA1F25"/>
    <w:rsid w:val="00AA2519"/>
    <w:rsid w:val="00AA27FD"/>
    <w:rsid w:val="00AA3034"/>
    <w:rsid w:val="00AA328B"/>
    <w:rsid w:val="00AA3484"/>
    <w:rsid w:val="00AA3490"/>
    <w:rsid w:val="00AA3BE7"/>
    <w:rsid w:val="00AA3DF1"/>
    <w:rsid w:val="00AA4023"/>
    <w:rsid w:val="00AA43B6"/>
    <w:rsid w:val="00AA4DF8"/>
    <w:rsid w:val="00AA577F"/>
    <w:rsid w:val="00AA5EE8"/>
    <w:rsid w:val="00AA634B"/>
    <w:rsid w:val="00AA65CA"/>
    <w:rsid w:val="00AA6BD5"/>
    <w:rsid w:val="00AA6BD8"/>
    <w:rsid w:val="00AA6C7D"/>
    <w:rsid w:val="00AA6D8C"/>
    <w:rsid w:val="00AA70D0"/>
    <w:rsid w:val="00AA70FA"/>
    <w:rsid w:val="00AA7489"/>
    <w:rsid w:val="00AA7504"/>
    <w:rsid w:val="00AA7629"/>
    <w:rsid w:val="00AA7A03"/>
    <w:rsid w:val="00AA7EA8"/>
    <w:rsid w:val="00AA7FD6"/>
    <w:rsid w:val="00AB0296"/>
    <w:rsid w:val="00AB042A"/>
    <w:rsid w:val="00AB080F"/>
    <w:rsid w:val="00AB08A8"/>
    <w:rsid w:val="00AB0B51"/>
    <w:rsid w:val="00AB0E59"/>
    <w:rsid w:val="00AB11AD"/>
    <w:rsid w:val="00AB15C6"/>
    <w:rsid w:val="00AB19EF"/>
    <w:rsid w:val="00AB1F36"/>
    <w:rsid w:val="00AB1F8A"/>
    <w:rsid w:val="00AB2495"/>
    <w:rsid w:val="00AB24C3"/>
    <w:rsid w:val="00AB27BF"/>
    <w:rsid w:val="00AB2D34"/>
    <w:rsid w:val="00AB2E81"/>
    <w:rsid w:val="00AB32B9"/>
    <w:rsid w:val="00AB3430"/>
    <w:rsid w:val="00AB34A7"/>
    <w:rsid w:val="00AB3715"/>
    <w:rsid w:val="00AB37A6"/>
    <w:rsid w:val="00AB37B9"/>
    <w:rsid w:val="00AB3A3D"/>
    <w:rsid w:val="00AB3E07"/>
    <w:rsid w:val="00AB3EE5"/>
    <w:rsid w:val="00AB3EEF"/>
    <w:rsid w:val="00AB3FBF"/>
    <w:rsid w:val="00AB43C7"/>
    <w:rsid w:val="00AB4646"/>
    <w:rsid w:val="00AB4AD1"/>
    <w:rsid w:val="00AB5E07"/>
    <w:rsid w:val="00AB5FC7"/>
    <w:rsid w:val="00AB7492"/>
    <w:rsid w:val="00AB77C4"/>
    <w:rsid w:val="00AB7CFA"/>
    <w:rsid w:val="00AC0586"/>
    <w:rsid w:val="00AC06F5"/>
    <w:rsid w:val="00AC0796"/>
    <w:rsid w:val="00AC0CD4"/>
    <w:rsid w:val="00AC0E9A"/>
    <w:rsid w:val="00AC1337"/>
    <w:rsid w:val="00AC15A0"/>
    <w:rsid w:val="00AC1E42"/>
    <w:rsid w:val="00AC239E"/>
    <w:rsid w:val="00AC2A9E"/>
    <w:rsid w:val="00AC3077"/>
    <w:rsid w:val="00AC37B5"/>
    <w:rsid w:val="00AC421A"/>
    <w:rsid w:val="00AC4667"/>
    <w:rsid w:val="00AC4DA6"/>
    <w:rsid w:val="00AC4DF6"/>
    <w:rsid w:val="00AC4F48"/>
    <w:rsid w:val="00AC50BE"/>
    <w:rsid w:val="00AC511F"/>
    <w:rsid w:val="00AC5133"/>
    <w:rsid w:val="00AC5A21"/>
    <w:rsid w:val="00AC5B42"/>
    <w:rsid w:val="00AC5B48"/>
    <w:rsid w:val="00AC5C61"/>
    <w:rsid w:val="00AC6061"/>
    <w:rsid w:val="00AC6463"/>
    <w:rsid w:val="00AC6A3F"/>
    <w:rsid w:val="00AC6C1A"/>
    <w:rsid w:val="00AC6E0D"/>
    <w:rsid w:val="00AC726C"/>
    <w:rsid w:val="00AC727C"/>
    <w:rsid w:val="00AC7625"/>
    <w:rsid w:val="00AC799B"/>
    <w:rsid w:val="00AC7CA4"/>
    <w:rsid w:val="00AC7E07"/>
    <w:rsid w:val="00AD0197"/>
    <w:rsid w:val="00AD02DE"/>
    <w:rsid w:val="00AD0300"/>
    <w:rsid w:val="00AD030B"/>
    <w:rsid w:val="00AD0449"/>
    <w:rsid w:val="00AD057A"/>
    <w:rsid w:val="00AD1450"/>
    <w:rsid w:val="00AD15E8"/>
    <w:rsid w:val="00AD19E9"/>
    <w:rsid w:val="00AD1A6D"/>
    <w:rsid w:val="00AD202A"/>
    <w:rsid w:val="00AD20F1"/>
    <w:rsid w:val="00AD28DE"/>
    <w:rsid w:val="00AD2AA1"/>
    <w:rsid w:val="00AD2D33"/>
    <w:rsid w:val="00AD356D"/>
    <w:rsid w:val="00AD435F"/>
    <w:rsid w:val="00AD478D"/>
    <w:rsid w:val="00AD543D"/>
    <w:rsid w:val="00AD59F0"/>
    <w:rsid w:val="00AD5E78"/>
    <w:rsid w:val="00AD6502"/>
    <w:rsid w:val="00AD751C"/>
    <w:rsid w:val="00AE0695"/>
    <w:rsid w:val="00AE08AE"/>
    <w:rsid w:val="00AE0EB1"/>
    <w:rsid w:val="00AE0EBA"/>
    <w:rsid w:val="00AE115A"/>
    <w:rsid w:val="00AE126F"/>
    <w:rsid w:val="00AE137B"/>
    <w:rsid w:val="00AE158D"/>
    <w:rsid w:val="00AE1945"/>
    <w:rsid w:val="00AE23A8"/>
    <w:rsid w:val="00AE247B"/>
    <w:rsid w:val="00AE2BD0"/>
    <w:rsid w:val="00AE2D11"/>
    <w:rsid w:val="00AE3125"/>
    <w:rsid w:val="00AE31F8"/>
    <w:rsid w:val="00AE3CDE"/>
    <w:rsid w:val="00AE3E7E"/>
    <w:rsid w:val="00AE4744"/>
    <w:rsid w:val="00AE52CD"/>
    <w:rsid w:val="00AE5700"/>
    <w:rsid w:val="00AE578E"/>
    <w:rsid w:val="00AE5B72"/>
    <w:rsid w:val="00AE6057"/>
    <w:rsid w:val="00AE62EA"/>
    <w:rsid w:val="00AE6836"/>
    <w:rsid w:val="00AE6938"/>
    <w:rsid w:val="00AE693F"/>
    <w:rsid w:val="00AE6CBE"/>
    <w:rsid w:val="00AE6DF1"/>
    <w:rsid w:val="00AE6E64"/>
    <w:rsid w:val="00AE7093"/>
    <w:rsid w:val="00AE775C"/>
    <w:rsid w:val="00AE7E53"/>
    <w:rsid w:val="00AF00DD"/>
    <w:rsid w:val="00AF0867"/>
    <w:rsid w:val="00AF1315"/>
    <w:rsid w:val="00AF13B3"/>
    <w:rsid w:val="00AF1705"/>
    <w:rsid w:val="00AF19BF"/>
    <w:rsid w:val="00AF1EDF"/>
    <w:rsid w:val="00AF27FC"/>
    <w:rsid w:val="00AF2DC3"/>
    <w:rsid w:val="00AF3055"/>
    <w:rsid w:val="00AF320C"/>
    <w:rsid w:val="00AF3338"/>
    <w:rsid w:val="00AF3390"/>
    <w:rsid w:val="00AF3A6E"/>
    <w:rsid w:val="00AF4394"/>
    <w:rsid w:val="00AF44DD"/>
    <w:rsid w:val="00AF49F2"/>
    <w:rsid w:val="00AF4BBF"/>
    <w:rsid w:val="00AF4D5C"/>
    <w:rsid w:val="00AF4F8D"/>
    <w:rsid w:val="00AF5998"/>
    <w:rsid w:val="00AF5B33"/>
    <w:rsid w:val="00AF5E51"/>
    <w:rsid w:val="00AF72AB"/>
    <w:rsid w:val="00AF7A2D"/>
    <w:rsid w:val="00AF7CBF"/>
    <w:rsid w:val="00B00551"/>
    <w:rsid w:val="00B00C9A"/>
    <w:rsid w:val="00B02BD9"/>
    <w:rsid w:val="00B02D75"/>
    <w:rsid w:val="00B02F04"/>
    <w:rsid w:val="00B02FA1"/>
    <w:rsid w:val="00B03048"/>
    <w:rsid w:val="00B031B7"/>
    <w:rsid w:val="00B03271"/>
    <w:rsid w:val="00B033E5"/>
    <w:rsid w:val="00B034EF"/>
    <w:rsid w:val="00B03774"/>
    <w:rsid w:val="00B037C5"/>
    <w:rsid w:val="00B03A63"/>
    <w:rsid w:val="00B03ECA"/>
    <w:rsid w:val="00B04276"/>
    <w:rsid w:val="00B0434B"/>
    <w:rsid w:val="00B04842"/>
    <w:rsid w:val="00B04B07"/>
    <w:rsid w:val="00B054C5"/>
    <w:rsid w:val="00B0563E"/>
    <w:rsid w:val="00B05A37"/>
    <w:rsid w:val="00B06096"/>
    <w:rsid w:val="00B06694"/>
    <w:rsid w:val="00B06A02"/>
    <w:rsid w:val="00B06EE7"/>
    <w:rsid w:val="00B075DB"/>
    <w:rsid w:val="00B07EBF"/>
    <w:rsid w:val="00B1058D"/>
    <w:rsid w:val="00B11BD8"/>
    <w:rsid w:val="00B12661"/>
    <w:rsid w:val="00B129A4"/>
    <w:rsid w:val="00B1366D"/>
    <w:rsid w:val="00B14D5F"/>
    <w:rsid w:val="00B14DCE"/>
    <w:rsid w:val="00B15601"/>
    <w:rsid w:val="00B156AD"/>
    <w:rsid w:val="00B16BB1"/>
    <w:rsid w:val="00B16D38"/>
    <w:rsid w:val="00B17155"/>
    <w:rsid w:val="00B1742C"/>
    <w:rsid w:val="00B1773D"/>
    <w:rsid w:val="00B177B2"/>
    <w:rsid w:val="00B17BA5"/>
    <w:rsid w:val="00B17FDD"/>
    <w:rsid w:val="00B2009A"/>
    <w:rsid w:val="00B200C6"/>
    <w:rsid w:val="00B201A4"/>
    <w:rsid w:val="00B201D1"/>
    <w:rsid w:val="00B20ADE"/>
    <w:rsid w:val="00B20DC9"/>
    <w:rsid w:val="00B213A6"/>
    <w:rsid w:val="00B21999"/>
    <w:rsid w:val="00B224AB"/>
    <w:rsid w:val="00B22A8D"/>
    <w:rsid w:val="00B23576"/>
    <w:rsid w:val="00B235B0"/>
    <w:rsid w:val="00B23652"/>
    <w:rsid w:val="00B23F01"/>
    <w:rsid w:val="00B24417"/>
    <w:rsid w:val="00B24DF6"/>
    <w:rsid w:val="00B24E5D"/>
    <w:rsid w:val="00B250D7"/>
    <w:rsid w:val="00B256F5"/>
    <w:rsid w:val="00B257D2"/>
    <w:rsid w:val="00B25D79"/>
    <w:rsid w:val="00B2620E"/>
    <w:rsid w:val="00B26309"/>
    <w:rsid w:val="00B26CD3"/>
    <w:rsid w:val="00B26E66"/>
    <w:rsid w:val="00B26FEA"/>
    <w:rsid w:val="00B2787D"/>
    <w:rsid w:val="00B27A61"/>
    <w:rsid w:val="00B27B7C"/>
    <w:rsid w:val="00B27B8E"/>
    <w:rsid w:val="00B30140"/>
    <w:rsid w:val="00B30158"/>
    <w:rsid w:val="00B3025B"/>
    <w:rsid w:val="00B30BB8"/>
    <w:rsid w:val="00B30E0F"/>
    <w:rsid w:val="00B30FD7"/>
    <w:rsid w:val="00B31794"/>
    <w:rsid w:val="00B31EEC"/>
    <w:rsid w:val="00B31FE4"/>
    <w:rsid w:val="00B3218A"/>
    <w:rsid w:val="00B3270C"/>
    <w:rsid w:val="00B328E7"/>
    <w:rsid w:val="00B32DA3"/>
    <w:rsid w:val="00B3395D"/>
    <w:rsid w:val="00B33EC4"/>
    <w:rsid w:val="00B33EFE"/>
    <w:rsid w:val="00B33F65"/>
    <w:rsid w:val="00B349AC"/>
    <w:rsid w:val="00B34FE2"/>
    <w:rsid w:val="00B35166"/>
    <w:rsid w:val="00B351F6"/>
    <w:rsid w:val="00B352B0"/>
    <w:rsid w:val="00B357D8"/>
    <w:rsid w:val="00B3589D"/>
    <w:rsid w:val="00B35B66"/>
    <w:rsid w:val="00B360C2"/>
    <w:rsid w:val="00B360F4"/>
    <w:rsid w:val="00B367B0"/>
    <w:rsid w:val="00B36A00"/>
    <w:rsid w:val="00B36BC4"/>
    <w:rsid w:val="00B36DA7"/>
    <w:rsid w:val="00B36E4F"/>
    <w:rsid w:val="00B37121"/>
    <w:rsid w:val="00B3715E"/>
    <w:rsid w:val="00B37629"/>
    <w:rsid w:val="00B3792B"/>
    <w:rsid w:val="00B37BFC"/>
    <w:rsid w:val="00B400D1"/>
    <w:rsid w:val="00B40125"/>
    <w:rsid w:val="00B40173"/>
    <w:rsid w:val="00B40358"/>
    <w:rsid w:val="00B40F64"/>
    <w:rsid w:val="00B41070"/>
    <w:rsid w:val="00B410B9"/>
    <w:rsid w:val="00B411AB"/>
    <w:rsid w:val="00B41384"/>
    <w:rsid w:val="00B41614"/>
    <w:rsid w:val="00B417E6"/>
    <w:rsid w:val="00B424B0"/>
    <w:rsid w:val="00B42669"/>
    <w:rsid w:val="00B42823"/>
    <w:rsid w:val="00B42851"/>
    <w:rsid w:val="00B42F80"/>
    <w:rsid w:val="00B435CB"/>
    <w:rsid w:val="00B44576"/>
    <w:rsid w:val="00B44B9B"/>
    <w:rsid w:val="00B46402"/>
    <w:rsid w:val="00B465EC"/>
    <w:rsid w:val="00B468AF"/>
    <w:rsid w:val="00B46A58"/>
    <w:rsid w:val="00B46AE7"/>
    <w:rsid w:val="00B47237"/>
    <w:rsid w:val="00B474D0"/>
    <w:rsid w:val="00B47542"/>
    <w:rsid w:val="00B47A8D"/>
    <w:rsid w:val="00B50411"/>
    <w:rsid w:val="00B505C8"/>
    <w:rsid w:val="00B50754"/>
    <w:rsid w:val="00B50895"/>
    <w:rsid w:val="00B50C86"/>
    <w:rsid w:val="00B50DB8"/>
    <w:rsid w:val="00B50E6E"/>
    <w:rsid w:val="00B515F8"/>
    <w:rsid w:val="00B51B9B"/>
    <w:rsid w:val="00B53654"/>
    <w:rsid w:val="00B538A1"/>
    <w:rsid w:val="00B53905"/>
    <w:rsid w:val="00B53C92"/>
    <w:rsid w:val="00B53FC9"/>
    <w:rsid w:val="00B546DB"/>
    <w:rsid w:val="00B54A1E"/>
    <w:rsid w:val="00B54B5B"/>
    <w:rsid w:val="00B54B85"/>
    <w:rsid w:val="00B5532B"/>
    <w:rsid w:val="00B55545"/>
    <w:rsid w:val="00B5562E"/>
    <w:rsid w:val="00B55823"/>
    <w:rsid w:val="00B55862"/>
    <w:rsid w:val="00B55D65"/>
    <w:rsid w:val="00B5606A"/>
    <w:rsid w:val="00B560D0"/>
    <w:rsid w:val="00B56305"/>
    <w:rsid w:val="00B5638F"/>
    <w:rsid w:val="00B5655A"/>
    <w:rsid w:val="00B56C47"/>
    <w:rsid w:val="00B57000"/>
    <w:rsid w:val="00B573DB"/>
    <w:rsid w:val="00B5773C"/>
    <w:rsid w:val="00B578F9"/>
    <w:rsid w:val="00B57CFF"/>
    <w:rsid w:val="00B601FD"/>
    <w:rsid w:val="00B60939"/>
    <w:rsid w:val="00B60AFD"/>
    <w:rsid w:val="00B6104A"/>
    <w:rsid w:val="00B6110B"/>
    <w:rsid w:val="00B611C1"/>
    <w:rsid w:val="00B61347"/>
    <w:rsid w:val="00B614E4"/>
    <w:rsid w:val="00B614FC"/>
    <w:rsid w:val="00B615AE"/>
    <w:rsid w:val="00B61619"/>
    <w:rsid w:val="00B61D38"/>
    <w:rsid w:val="00B62226"/>
    <w:rsid w:val="00B622E1"/>
    <w:rsid w:val="00B62715"/>
    <w:rsid w:val="00B62A7D"/>
    <w:rsid w:val="00B62BD1"/>
    <w:rsid w:val="00B62CE7"/>
    <w:rsid w:val="00B632ED"/>
    <w:rsid w:val="00B63C6C"/>
    <w:rsid w:val="00B64439"/>
    <w:rsid w:val="00B64826"/>
    <w:rsid w:val="00B64F90"/>
    <w:rsid w:val="00B65611"/>
    <w:rsid w:val="00B65803"/>
    <w:rsid w:val="00B65DD9"/>
    <w:rsid w:val="00B66116"/>
    <w:rsid w:val="00B66855"/>
    <w:rsid w:val="00B6687A"/>
    <w:rsid w:val="00B66968"/>
    <w:rsid w:val="00B66CF6"/>
    <w:rsid w:val="00B6726F"/>
    <w:rsid w:val="00B672AA"/>
    <w:rsid w:val="00B67F95"/>
    <w:rsid w:val="00B7052D"/>
    <w:rsid w:val="00B70669"/>
    <w:rsid w:val="00B70BF1"/>
    <w:rsid w:val="00B70CD2"/>
    <w:rsid w:val="00B70D35"/>
    <w:rsid w:val="00B70E8E"/>
    <w:rsid w:val="00B70FB6"/>
    <w:rsid w:val="00B715A7"/>
    <w:rsid w:val="00B71795"/>
    <w:rsid w:val="00B71AD2"/>
    <w:rsid w:val="00B71C22"/>
    <w:rsid w:val="00B71F24"/>
    <w:rsid w:val="00B7287F"/>
    <w:rsid w:val="00B72D33"/>
    <w:rsid w:val="00B731A2"/>
    <w:rsid w:val="00B73931"/>
    <w:rsid w:val="00B739A4"/>
    <w:rsid w:val="00B73D02"/>
    <w:rsid w:val="00B73D71"/>
    <w:rsid w:val="00B74437"/>
    <w:rsid w:val="00B7466C"/>
    <w:rsid w:val="00B74E5F"/>
    <w:rsid w:val="00B74EB8"/>
    <w:rsid w:val="00B7543B"/>
    <w:rsid w:val="00B75B72"/>
    <w:rsid w:val="00B76A7A"/>
    <w:rsid w:val="00B76C92"/>
    <w:rsid w:val="00B77F2A"/>
    <w:rsid w:val="00B80EFD"/>
    <w:rsid w:val="00B80FCA"/>
    <w:rsid w:val="00B80FED"/>
    <w:rsid w:val="00B81223"/>
    <w:rsid w:val="00B818A4"/>
    <w:rsid w:val="00B818D8"/>
    <w:rsid w:val="00B81E4B"/>
    <w:rsid w:val="00B820F1"/>
    <w:rsid w:val="00B823A8"/>
    <w:rsid w:val="00B82555"/>
    <w:rsid w:val="00B8323C"/>
    <w:rsid w:val="00B83739"/>
    <w:rsid w:val="00B83B45"/>
    <w:rsid w:val="00B84117"/>
    <w:rsid w:val="00B84406"/>
    <w:rsid w:val="00B84589"/>
    <w:rsid w:val="00B845F6"/>
    <w:rsid w:val="00B84C18"/>
    <w:rsid w:val="00B85083"/>
    <w:rsid w:val="00B858F0"/>
    <w:rsid w:val="00B85AA2"/>
    <w:rsid w:val="00B85E65"/>
    <w:rsid w:val="00B8649C"/>
    <w:rsid w:val="00B86699"/>
    <w:rsid w:val="00B8695D"/>
    <w:rsid w:val="00B86C3D"/>
    <w:rsid w:val="00B86CF5"/>
    <w:rsid w:val="00B87266"/>
    <w:rsid w:val="00B8749F"/>
    <w:rsid w:val="00B874E3"/>
    <w:rsid w:val="00B87F0A"/>
    <w:rsid w:val="00B9019E"/>
    <w:rsid w:val="00B90349"/>
    <w:rsid w:val="00B90512"/>
    <w:rsid w:val="00B90686"/>
    <w:rsid w:val="00B9087E"/>
    <w:rsid w:val="00B91A2C"/>
    <w:rsid w:val="00B91EE1"/>
    <w:rsid w:val="00B922E1"/>
    <w:rsid w:val="00B924F7"/>
    <w:rsid w:val="00B9250C"/>
    <w:rsid w:val="00B925C0"/>
    <w:rsid w:val="00B9283A"/>
    <w:rsid w:val="00B9287B"/>
    <w:rsid w:val="00B92D0B"/>
    <w:rsid w:val="00B92E29"/>
    <w:rsid w:val="00B932C7"/>
    <w:rsid w:val="00B93F1B"/>
    <w:rsid w:val="00B94945"/>
    <w:rsid w:val="00B94DD6"/>
    <w:rsid w:val="00B95172"/>
    <w:rsid w:val="00B95C8A"/>
    <w:rsid w:val="00B96CEA"/>
    <w:rsid w:val="00B96EEA"/>
    <w:rsid w:val="00B975DD"/>
    <w:rsid w:val="00BA098B"/>
    <w:rsid w:val="00BA0EE9"/>
    <w:rsid w:val="00BA1263"/>
    <w:rsid w:val="00BA1821"/>
    <w:rsid w:val="00BA191A"/>
    <w:rsid w:val="00BA1A26"/>
    <w:rsid w:val="00BA1DC4"/>
    <w:rsid w:val="00BA2023"/>
    <w:rsid w:val="00BA2278"/>
    <w:rsid w:val="00BA246D"/>
    <w:rsid w:val="00BA30D9"/>
    <w:rsid w:val="00BA31F4"/>
    <w:rsid w:val="00BA322D"/>
    <w:rsid w:val="00BA393C"/>
    <w:rsid w:val="00BA3AB5"/>
    <w:rsid w:val="00BA508A"/>
    <w:rsid w:val="00BA50CF"/>
    <w:rsid w:val="00BA5142"/>
    <w:rsid w:val="00BA60D1"/>
    <w:rsid w:val="00BA63FA"/>
    <w:rsid w:val="00BA64E6"/>
    <w:rsid w:val="00BA65F5"/>
    <w:rsid w:val="00BA6745"/>
    <w:rsid w:val="00BA67CD"/>
    <w:rsid w:val="00BA7A23"/>
    <w:rsid w:val="00BA7F9F"/>
    <w:rsid w:val="00BB00B3"/>
    <w:rsid w:val="00BB0233"/>
    <w:rsid w:val="00BB06A1"/>
    <w:rsid w:val="00BB0709"/>
    <w:rsid w:val="00BB0BDD"/>
    <w:rsid w:val="00BB1409"/>
    <w:rsid w:val="00BB16D0"/>
    <w:rsid w:val="00BB176C"/>
    <w:rsid w:val="00BB209B"/>
    <w:rsid w:val="00BB2678"/>
    <w:rsid w:val="00BB2772"/>
    <w:rsid w:val="00BB2A73"/>
    <w:rsid w:val="00BB2ABA"/>
    <w:rsid w:val="00BB2EAE"/>
    <w:rsid w:val="00BB33BF"/>
    <w:rsid w:val="00BB35C6"/>
    <w:rsid w:val="00BB3A45"/>
    <w:rsid w:val="00BB417F"/>
    <w:rsid w:val="00BB41C9"/>
    <w:rsid w:val="00BB48CC"/>
    <w:rsid w:val="00BB4ACC"/>
    <w:rsid w:val="00BB4BCB"/>
    <w:rsid w:val="00BB598C"/>
    <w:rsid w:val="00BB5E1F"/>
    <w:rsid w:val="00BB5ECF"/>
    <w:rsid w:val="00BB6334"/>
    <w:rsid w:val="00BB703E"/>
    <w:rsid w:val="00BB732D"/>
    <w:rsid w:val="00BB7405"/>
    <w:rsid w:val="00BB773A"/>
    <w:rsid w:val="00BB7870"/>
    <w:rsid w:val="00BB7B56"/>
    <w:rsid w:val="00BC06A3"/>
    <w:rsid w:val="00BC0822"/>
    <w:rsid w:val="00BC0EB1"/>
    <w:rsid w:val="00BC0F8E"/>
    <w:rsid w:val="00BC1018"/>
    <w:rsid w:val="00BC123B"/>
    <w:rsid w:val="00BC1E89"/>
    <w:rsid w:val="00BC2B00"/>
    <w:rsid w:val="00BC3574"/>
    <w:rsid w:val="00BC35A4"/>
    <w:rsid w:val="00BC3631"/>
    <w:rsid w:val="00BC384D"/>
    <w:rsid w:val="00BC3AE9"/>
    <w:rsid w:val="00BC3D00"/>
    <w:rsid w:val="00BC46FE"/>
    <w:rsid w:val="00BC4B32"/>
    <w:rsid w:val="00BC511A"/>
    <w:rsid w:val="00BC53F4"/>
    <w:rsid w:val="00BC591F"/>
    <w:rsid w:val="00BC59E4"/>
    <w:rsid w:val="00BC5E2E"/>
    <w:rsid w:val="00BC6AF2"/>
    <w:rsid w:val="00BC70B7"/>
    <w:rsid w:val="00BC71C5"/>
    <w:rsid w:val="00BC7586"/>
    <w:rsid w:val="00BC7D6D"/>
    <w:rsid w:val="00BCF7DA"/>
    <w:rsid w:val="00BD0030"/>
    <w:rsid w:val="00BD0442"/>
    <w:rsid w:val="00BD08F9"/>
    <w:rsid w:val="00BD0ED3"/>
    <w:rsid w:val="00BD14B9"/>
    <w:rsid w:val="00BD19A4"/>
    <w:rsid w:val="00BD2108"/>
    <w:rsid w:val="00BD222E"/>
    <w:rsid w:val="00BD2B5E"/>
    <w:rsid w:val="00BD2C50"/>
    <w:rsid w:val="00BD379C"/>
    <w:rsid w:val="00BD3937"/>
    <w:rsid w:val="00BD3D13"/>
    <w:rsid w:val="00BD4034"/>
    <w:rsid w:val="00BD4151"/>
    <w:rsid w:val="00BD4566"/>
    <w:rsid w:val="00BD4823"/>
    <w:rsid w:val="00BD4B6B"/>
    <w:rsid w:val="00BD4B99"/>
    <w:rsid w:val="00BD4FB7"/>
    <w:rsid w:val="00BD4FD7"/>
    <w:rsid w:val="00BD5295"/>
    <w:rsid w:val="00BD57BC"/>
    <w:rsid w:val="00BD57C2"/>
    <w:rsid w:val="00BD58AB"/>
    <w:rsid w:val="00BD5B5B"/>
    <w:rsid w:val="00BD5E7B"/>
    <w:rsid w:val="00BD62E0"/>
    <w:rsid w:val="00BD68A3"/>
    <w:rsid w:val="00BD6914"/>
    <w:rsid w:val="00BD6938"/>
    <w:rsid w:val="00BD6B25"/>
    <w:rsid w:val="00BD6CF3"/>
    <w:rsid w:val="00BD6E94"/>
    <w:rsid w:val="00BD709A"/>
    <w:rsid w:val="00BD7D6C"/>
    <w:rsid w:val="00BD7F72"/>
    <w:rsid w:val="00BE0C69"/>
    <w:rsid w:val="00BE0ECA"/>
    <w:rsid w:val="00BE0F3B"/>
    <w:rsid w:val="00BE1074"/>
    <w:rsid w:val="00BE1209"/>
    <w:rsid w:val="00BE1898"/>
    <w:rsid w:val="00BE1B39"/>
    <w:rsid w:val="00BE20DA"/>
    <w:rsid w:val="00BE2180"/>
    <w:rsid w:val="00BE21F2"/>
    <w:rsid w:val="00BE2370"/>
    <w:rsid w:val="00BE2B6D"/>
    <w:rsid w:val="00BE2CE7"/>
    <w:rsid w:val="00BE2E2D"/>
    <w:rsid w:val="00BE32DD"/>
    <w:rsid w:val="00BE37FB"/>
    <w:rsid w:val="00BE39E4"/>
    <w:rsid w:val="00BE3FFF"/>
    <w:rsid w:val="00BE4275"/>
    <w:rsid w:val="00BE4B00"/>
    <w:rsid w:val="00BE4F51"/>
    <w:rsid w:val="00BE5627"/>
    <w:rsid w:val="00BE5A7A"/>
    <w:rsid w:val="00BE5C8A"/>
    <w:rsid w:val="00BE5CCC"/>
    <w:rsid w:val="00BE6BCA"/>
    <w:rsid w:val="00BE6D4D"/>
    <w:rsid w:val="00BE6EA9"/>
    <w:rsid w:val="00BE6F3F"/>
    <w:rsid w:val="00BE7552"/>
    <w:rsid w:val="00BE761E"/>
    <w:rsid w:val="00BE7B20"/>
    <w:rsid w:val="00BF0287"/>
    <w:rsid w:val="00BF06AE"/>
    <w:rsid w:val="00BF0C35"/>
    <w:rsid w:val="00BF0CC7"/>
    <w:rsid w:val="00BF0D36"/>
    <w:rsid w:val="00BF0F95"/>
    <w:rsid w:val="00BF10C7"/>
    <w:rsid w:val="00BF126F"/>
    <w:rsid w:val="00BF161F"/>
    <w:rsid w:val="00BF1876"/>
    <w:rsid w:val="00BF2433"/>
    <w:rsid w:val="00BF2886"/>
    <w:rsid w:val="00BF2959"/>
    <w:rsid w:val="00BF2CEE"/>
    <w:rsid w:val="00BF2E6E"/>
    <w:rsid w:val="00BF384E"/>
    <w:rsid w:val="00BF3A12"/>
    <w:rsid w:val="00BF4375"/>
    <w:rsid w:val="00BF44A0"/>
    <w:rsid w:val="00BF61C9"/>
    <w:rsid w:val="00BF6C94"/>
    <w:rsid w:val="00BF6D46"/>
    <w:rsid w:val="00BF6E7B"/>
    <w:rsid w:val="00BF72E5"/>
    <w:rsid w:val="00BF7AB8"/>
    <w:rsid w:val="00BF7BAC"/>
    <w:rsid w:val="00BF7F5E"/>
    <w:rsid w:val="00C00424"/>
    <w:rsid w:val="00C00915"/>
    <w:rsid w:val="00C009EE"/>
    <w:rsid w:val="00C00BB0"/>
    <w:rsid w:val="00C00BDC"/>
    <w:rsid w:val="00C01267"/>
    <w:rsid w:val="00C0139C"/>
    <w:rsid w:val="00C017C7"/>
    <w:rsid w:val="00C024C3"/>
    <w:rsid w:val="00C0458E"/>
    <w:rsid w:val="00C0510D"/>
    <w:rsid w:val="00C055C6"/>
    <w:rsid w:val="00C05853"/>
    <w:rsid w:val="00C059D8"/>
    <w:rsid w:val="00C05BD5"/>
    <w:rsid w:val="00C06389"/>
    <w:rsid w:val="00C06D14"/>
    <w:rsid w:val="00C06EF7"/>
    <w:rsid w:val="00C07B9C"/>
    <w:rsid w:val="00C07EA8"/>
    <w:rsid w:val="00C10EC7"/>
    <w:rsid w:val="00C110D2"/>
    <w:rsid w:val="00C1179F"/>
    <w:rsid w:val="00C11F9B"/>
    <w:rsid w:val="00C1210C"/>
    <w:rsid w:val="00C1218A"/>
    <w:rsid w:val="00C1261F"/>
    <w:rsid w:val="00C127B9"/>
    <w:rsid w:val="00C128FA"/>
    <w:rsid w:val="00C12C14"/>
    <w:rsid w:val="00C12F58"/>
    <w:rsid w:val="00C1342D"/>
    <w:rsid w:val="00C13ABC"/>
    <w:rsid w:val="00C13D0A"/>
    <w:rsid w:val="00C1423E"/>
    <w:rsid w:val="00C14C7C"/>
    <w:rsid w:val="00C14E19"/>
    <w:rsid w:val="00C15F04"/>
    <w:rsid w:val="00C16291"/>
    <w:rsid w:val="00C165E9"/>
    <w:rsid w:val="00C16943"/>
    <w:rsid w:val="00C16BDB"/>
    <w:rsid w:val="00C173B5"/>
    <w:rsid w:val="00C174D5"/>
    <w:rsid w:val="00C179B3"/>
    <w:rsid w:val="00C17E3F"/>
    <w:rsid w:val="00C200AA"/>
    <w:rsid w:val="00C2010F"/>
    <w:rsid w:val="00C2057E"/>
    <w:rsid w:val="00C20CB1"/>
    <w:rsid w:val="00C2145E"/>
    <w:rsid w:val="00C226B2"/>
    <w:rsid w:val="00C229EB"/>
    <w:rsid w:val="00C229FC"/>
    <w:rsid w:val="00C22E97"/>
    <w:rsid w:val="00C22FE4"/>
    <w:rsid w:val="00C237ED"/>
    <w:rsid w:val="00C23E38"/>
    <w:rsid w:val="00C24073"/>
    <w:rsid w:val="00C242B6"/>
    <w:rsid w:val="00C24373"/>
    <w:rsid w:val="00C243BA"/>
    <w:rsid w:val="00C24632"/>
    <w:rsid w:val="00C24671"/>
    <w:rsid w:val="00C2490D"/>
    <w:rsid w:val="00C24A50"/>
    <w:rsid w:val="00C25418"/>
    <w:rsid w:val="00C25D9C"/>
    <w:rsid w:val="00C25F49"/>
    <w:rsid w:val="00C266E7"/>
    <w:rsid w:val="00C26C6F"/>
    <w:rsid w:val="00C2778B"/>
    <w:rsid w:val="00C2796F"/>
    <w:rsid w:val="00C304BA"/>
    <w:rsid w:val="00C30857"/>
    <w:rsid w:val="00C30B67"/>
    <w:rsid w:val="00C30DC1"/>
    <w:rsid w:val="00C30F74"/>
    <w:rsid w:val="00C3125C"/>
    <w:rsid w:val="00C312DA"/>
    <w:rsid w:val="00C31434"/>
    <w:rsid w:val="00C31649"/>
    <w:rsid w:val="00C3166E"/>
    <w:rsid w:val="00C31A31"/>
    <w:rsid w:val="00C31D7A"/>
    <w:rsid w:val="00C327EA"/>
    <w:rsid w:val="00C32D6C"/>
    <w:rsid w:val="00C32E74"/>
    <w:rsid w:val="00C33723"/>
    <w:rsid w:val="00C33C28"/>
    <w:rsid w:val="00C3434C"/>
    <w:rsid w:val="00C34A70"/>
    <w:rsid w:val="00C350BF"/>
    <w:rsid w:val="00C35191"/>
    <w:rsid w:val="00C3527F"/>
    <w:rsid w:val="00C3568B"/>
    <w:rsid w:val="00C35783"/>
    <w:rsid w:val="00C35875"/>
    <w:rsid w:val="00C35F22"/>
    <w:rsid w:val="00C361A8"/>
    <w:rsid w:val="00C36554"/>
    <w:rsid w:val="00C366B5"/>
    <w:rsid w:val="00C36C9D"/>
    <w:rsid w:val="00C36F88"/>
    <w:rsid w:val="00C3702F"/>
    <w:rsid w:val="00C372B4"/>
    <w:rsid w:val="00C375AA"/>
    <w:rsid w:val="00C37653"/>
    <w:rsid w:val="00C40112"/>
    <w:rsid w:val="00C4029D"/>
    <w:rsid w:val="00C40385"/>
    <w:rsid w:val="00C40DA9"/>
    <w:rsid w:val="00C4100B"/>
    <w:rsid w:val="00C410B4"/>
    <w:rsid w:val="00C410BD"/>
    <w:rsid w:val="00C41153"/>
    <w:rsid w:val="00C4158C"/>
    <w:rsid w:val="00C4163E"/>
    <w:rsid w:val="00C41768"/>
    <w:rsid w:val="00C41989"/>
    <w:rsid w:val="00C41C4E"/>
    <w:rsid w:val="00C4212D"/>
    <w:rsid w:val="00C426DC"/>
    <w:rsid w:val="00C4359F"/>
    <w:rsid w:val="00C44775"/>
    <w:rsid w:val="00C449B2"/>
    <w:rsid w:val="00C44A42"/>
    <w:rsid w:val="00C44CFA"/>
    <w:rsid w:val="00C45D10"/>
    <w:rsid w:val="00C45D7D"/>
    <w:rsid w:val="00C46743"/>
    <w:rsid w:val="00C46CAD"/>
    <w:rsid w:val="00C46E6C"/>
    <w:rsid w:val="00C46F63"/>
    <w:rsid w:val="00C47511"/>
    <w:rsid w:val="00C475AA"/>
    <w:rsid w:val="00C47AA2"/>
    <w:rsid w:val="00C50594"/>
    <w:rsid w:val="00C50AC8"/>
    <w:rsid w:val="00C50B10"/>
    <w:rsid w:val="00C50CE0"/>
    <w:rsid w:val="00C510BA"/>
    <w:rsid w:val="00C513DB"/>
    <w:rsid w:val="00C514F5"/>
    <w:rsid w:val="00C52275"/>
    <w:rsid w:val="00C52508"/>
    <w:rsid w:val="00C527C7"/>
    <w:rsid w:val="00C52A43"/>
    <w:rsid w:val="00C52E4C"/>
    <w:rsid w:val="00C53138"/>
    <w:rsid w:val="00C5376A"/>
    <w:rsid w:val="00C53B3D"/>
    <w:rsid w:val="00C53C98"/>
    <w:rsid w:val="00C5409B"/>
    <w:rsid w:val="00C54EF8"/>
    <w:rsid w:val="00C558E4"/>
    <w:rsid w:val="00C564D2"/>
    <w:rsid w:val="00C566E9"/>
    <w:rsid w:val="00C568C8"/>
    <w:rsid w:val="00C56AD6"/>
    <w:rsid w:val="00C56D3A"/>
    <w:rsid w:val="00C56D81"/>
    <w:rsid w:val="00C56E59"/>
    <w:rsid w:val="00C56FCF"/>
    <w:rsid w:val="00C572F6"/>
    <w:rsid w:val="00C57B6C"/>
    <w:rsid w:val="00C57BF9"/>
    <w:rsid w:val="00C6055D"/>
    <w:rsid w:val="00C60757"/>
    <w:rsid w:val="00C60AA4"/>
    <w:rsid w:val="00C61713"/>
    <w:rsid w:val="00C618A3"/>
    <w:rsid w:val="00C61A59"/>
    <w:rsid w:val="00C61B8E"/>
    <w:rsid w:val="00C61CA8"/>
    <w:rsid w:val="00C61D64"/>
    <w:rsid w:val="00C61D8F"/>
    <w:rsid w:val="00C61EFF"/>
    <w:rsid w:val="00C622AA"/>
    <w:rsid w:val="00C628A6"/>
    <w:rsid w:val="00C62D77"/>
    <w:rsid w:val="00C63A73"/>
    <w:rsid w:val="00C64344"/>
    <w:rsid w:val="00C64DA4"/>
    <w:rsid w:val="00C6505E"/>
    <w:rsid w:val="00C65108"/>
    <w:rsid w:val="00C65411"/>
    <w:rsid w:val="00C65576"/>
    <w:rsid w:val="00C658B7"/>
    <w:rsid w:val="00C66165"/>
    <w:rsid w:val="00C66326"/>
    <w:rsid w:val="00C666D7"/>
    <w:rsid w:val="00C667BD"/>
    <w:rsid w:val="00C6691D"/>
    <w:rsid w:val="00C66A2D"/>
    <w:rsid w:val="00C67FC3"/>
    <w:rsid w:val="00C7060A"/>
    <w:rsid w:val="00C70ABB"/>
    <w:rsid w:val="00C70D01"/>
    <w:rsid w:val="00C71083"/>
    <w:rsid w:val="00C7115B"/>
    <w:rsid w:val="00C7136F"/>
    <w:rsid w:val="00C7151A"/>
    <w:rsid w:val="00C71632"/>
    <w:rsid w:val="00C717E3"/>
    <w:rsid w:val="00C71BE0"/>
    <w:rsid w:val="00C71D26"/>
    <w:rsid w:val="00C71F60"/>
    <w:rsid w:val="00C71FA3"/>
    <w:rsid w:val="00C72241"/>
    <w:rsid w:val="00C72670"/>
    <w:rsid w:val="00C72740"/>
    <w:rsid w:val="00C72820"/>
    <w:rsid w:val="00C738AF"/>
    <w:rsid w:val="00C742A9"/>
    <w:rsid w:val="00C74F67"/>
    <w:rsid w:val="00C750C8"/>
    <w:rsid w:val="00C7560F"/>
    <w:rsid w:val="00C75631"/>
    <w:rsid w:val="00C75E89"/>
    <w:rsid w:val="00C76A36"/>
    <w:rsid w:val="00C76ADE"/>
    <w:rsid w:val="00C76EF8"/>
    <w:rsid w:val="00C7706A"/>
    <w:rsid w:val="00C77D95"/>
    <w:rsid w:val="00C80035"/>
    <w:rsid w:val="00C800D6"/>
    <w:rsid w:val="00C80A0E"/>
    <w:rsid w:val="00C80B9F"/>
    <w:rsid w:val="00C80CC3"/>
    <w:rsid w:val="00C81378"/>
    <w:rsid w:val="00C819F5"/>
    <w:rsid w:val="00C81DC8"/>
    <w:rsid w:val="00C820EC"/>
    <w:rsid w:val="00C8213F"/>
    <w:rsid w:val="00C828B4"/>
    <w:rsid w:val="00C82FC2"/>
    <w:rsid w:val="00C8303F"/>
    <w:rsid w:val="00C8396B"/>
    <w:rsid w:val="00C83B43"/>
    <w:rsid w:val="00C83E43"/>
    <w:rsid w:val="00C84129"/>
    <w:rsid w:val="00C846C3"/>
    <w:rsid w:val="00C8471D"/>
    <w:rsid w:val="00C84E67"/>
    <w:rsid w:val="00C85154"/>
    <w:rsid w:val="00C85849"/>
    <w:rsid w:val="00C85A70"/>
    <w:rsid w:val="00C85BB4"/>
    <w:rsid w:val="00C861DC"/>
    <w:rsid w:val="00C867B0"/>
    <w:rsid w:val="00C86D9E"/>
    <w:rsid w:val="00C86D9F"/>
    <w:rsid w:val="00C8741C"/>
    <w:rsid w:val="00C876D7"/>
    <w:rsid w:val="00C8797A"/>
    <w:rsid w:val="00C87D47"/>
    <w:rsid w:val="00C900B8"/>
    <w:rsid w:val="00C90197"/>
    <w:rsid w:val="00C90858"/>
    <w:rsid w:val="00C90C71"/>
    <w:rsid w:val="00C90D39"/>
    <w:rsid w:val="00C914D3"/>
    <w:rsid w:val="00C91E01"/>
    <w:rsid w:val="00C91EE3"/>
    <w:rsid w:val="00C91FD1"/>
    <w:rsid w:val="00C922D4"/>
    <w:rsid w:val="00C92705"/>
    <w:rsid w:val="00C9278F"/>
    <w:rsid w:val="00C92EFE"/>
    <w:rsid w:val="00C931CF"/>
    <w:rsid w:val="00C933BC"/>
    <w:rsid w:val="00C937E6"/>
    <w:rsid w:val="00C938CF"/>
    <w:rsid w:val="00C94053"/>
    <w:rsid w:val="00C944F9"/>
    <w:rsid w:val="00C94754"/>
    <w:rsid w:val="00C94EC3"/>
    <w:rsid w:val="00C95441"/>
    <w:rsid w:val="00C956AC"/>
    <w:rsid w:val="00C96199"/>
    <w:rsid w:val="00C9624D"/>
    <w:rsid w:val="00C969D4"/>
    <w:rsid w:val="00C969DA"/>
    <w:rsid w:val="00C96C96"/>
    <w:rsid w:val="00C96D83"/>
    <w:rsid w:val="00C972D6"/>
    <w:rsid w:val="00C9789B"/>
    <w:rsid w:val="00C97D2D"/>
    <w:rsid w:val="00CA02A5"/>
    <w:rsid w:val="00CA039D"/>
    <w:rsid w:val="00CA048D"/>
    <w:rsid w:val="00CA0A1F"/>
    <w:rsid w:val="00CA0CB6"/>
    <w:rsid w:val="00CA0D07"/>
    <w:rsid w:val="00CA10B5"/>
    <w:rsid w:val="00CA111F"/>
    <w:rsid w:val="00CA165C"/>
    <w:rsid w:val="00CA1B25"/>
    <w:rsid w:val="00CA2C77"/>
    <w:rsid w:val="00CA442D"/>
    <w:rsid w:val="00CA444F"/>
    <w:rsid w:val="00CA520A"/>
    <w:rsid w:val="00CA5245"/>
    <w:rsid w:val="00CA5EA5"/>
    <w:rsid w:val="00CA60A2"/>
    <w:rsid w:val="00CA64CF"/>
    <w:rsid w:val="00CA7093"/>
    <w:rsid w:val="00CA71F4"/>
    <w:rsid w:val="00CA7B09"/>
    <w:rsid w:val="00CB03C7"/>
    <w:rsid w:val="00CB07A0"/>
    <w:rsid w:val="00CB0940"/>
    <w:rsid w:val="00CB12A5"/>
    <w:rsid w:val="00CB1367"/>
    <w:rsid w:val="00CB175A"/>
    <w:rsid w:val="00CB1A91"/>
    <w:rsid w:val="00CB1C29"/>
    <w:rsid w:val="00CB1CAB"/>
    <w:rsid w:val="00CB1CAC"/>
    <w:rsid w:val="00CB23F6"/>
    <w:rsid w:val="00CB2AA5"/>
    <w:rsid w:val="00CB2D45"/>
    <w:rsid w:val="00CB2F2A"/>
    <w:rsid w:val="00CB2FF0"/>
    <w:rsid w:val="00CB35F7"/>
    <w:rsid w:val="00CB3764"/>
    <w:rsid w:val="00CB3834"/>
    <w:rsid w:val="00CB3CAB"/>
    <w:rsid w:val="00CB44D4"/>
    <w:rsid w:val="00CB485D"/>
    <w:rsid w:val="00CB4DDB"/>
    <w:rsid w:val="00CB5B1A"/>
    <w:rsid w:val="00CB5D1F"/>
    <w:rsid w:val="00CB687A"/>
    <w:rsid w:val="00CB6A43"/>
    <w:rsid w:val="00CB6B22"/>
    <w:rsid w:val="00CB6B76"/>
    <w:rsid w:val="00CB6BFD"/>
    <w:rsid w:val="00CB7E48"/>
    <w:rsid w:val="00CB7F5F"/>
    <w:rsid w:val="00CC0A19"/>
    <w:rsid w:val="00CC0D98"/>
    <w:rsid w:val="00CC0F53"/>
    <w:rsid w:val="00CC1487"/>
    <w:rsid w:val="00CC168D"/>
    <w:rsid w:val="00CC1B39"/>
    <w:rsid w:val="00CC1BFA"/>
    <w:rsid w:val="00CC23B4"/>
    <w:rsid w:val="00CC23F7"/>
    <w:rsid w:val="00CC2A6F"/>
    <w:rsid w:val="00CC2E9F"/>
    <w:rsid w:val="00CC2F63"/>
    <w:rsid w:val="00CC35EA"/>
    <w:rsid w:val="00CC3848"/>
    <w:rsid w:val="00CC3B22"/>
    <w:rsid w:val="00CC3B7A"/>
    <w:rsid w:val="00CC473A"/>
    <w:rsid w:val="00CC4968"/>
    <w:rsid w:val="00CC4A21"/>
    <w:rsid w:val="00CC4A76"/>
    <w:rsid w:val="00CC4DB0"/>
    <w:rsid w:val="00CC5070"/>
    <w:rsid w:val="00CC539C"/>
    <w:rsid w:val="00CC559F"/>
    <w:rsid w:val="00CC5719"/>
    <w:rsid w:val="00CC5B67"/>
    <w:rsid w:val="00CC5C05"/>
    <w:rsid w:val="00CC655D"/>
    <w:rsid w:val="00CC6CD1"/>
    <w:rsid w:val="00CC6D5E"/>
    <w:rsid w:val="00CC7383"/>
    <w:rsid w:val="00CC78DA"/>
    <w:rsid w:val="00CC7950"/>
    <w:rsid w:val="00CC7CEE"/>
    <w:rsid w:val="00CD0200"/>
    <w:rsid w:val="00CD0979"/>
    <w:rsid w:val="00CD0B88"/>
    <w:rsid w:val="00CD0FF5"/>
    <w:rsid w:val="00CD10C8"/>
    <w:rsid w:val="00CD15C6"/>
    <w:rsid w:val="00CD1920"/>
    <w:rsid w:val="00CD1CCF"/>
    <w:rsid w:val="00CD1DC3"/>
    <w:rsid w:val="00CD1DC6"/>
    <w:rsid w:val="00CD2677"/>
    <w:rsid w:val="00CD2BD1"/>
    <w:rsid w:val="00CD2C00"/>
    <w:rsid w:val="00CD2DD8"/>
    <w:rsid w:val="00CD2F09"/>
    <w:rsid w:val="00CD2F93"/>
    <w:rsid w:val="00CD33AB"/>
    <w:rsid w:val="00CD3A08"/>
    <w:rsid w:val="00CD3C55"/>
    <w:rsid w:val="00CD3F77"/>
    <w:rsid w:val="00CD4ECB"/>
    <w:rsid w:val="00CD513B"/>
    <w:rsid w:val="00CD6515"/>
    <w:rsid w:val="00CD65E5"/>
    <w:rsid w:val="00CD6771"/>
    <w:rsid w:val="00CD6ADC"/>
    <w:rsid w:val="00CD6C66"/>
    <w:rsid w:val="00CD7193"/>
    <w:rsid w:val="00CD7923"/>
    <w:rsid w:val="00CE0A27"/>
    <w:rsid w:val="00CE0B64"/>
    <w:rsid w:val="00CE0BA6"/>
    <w:rsid w:val="00CE0C00"/>
    <w:rsid w:val="00CE16F6"/>
    <w:rsid w:val="00CE18DB"/>
    <w:rsid w:val="00CE18E5"/>
    <w:rsid w:val="00CE1F31"/>
    <w:rsid w:val="00CE2883"/>
    <w:rsid w:val="00CE30A5"/>
    <w:rsid w:val="00CE38C8"/>
    <w:rsid w:val="00CE3969"/>
    <w:rsid w:val="00CE3995"/>
    <w:rsid w:val="00CE3A29"/>
    <w:rsid w:val="00CE3CC6"/>
    <w:rsid w:val="00CE3D0A"/>
    <w:rsid w:val="00CE3D5D"/>
    <w:rsid w:val="00CE41E2"/>
    <w:rsid w:val="00CE4DE6"/>
    <w:rsid w:val="00CE524F"/>
    <w:rsid w:val="00CE5590"/>
    <w:rsid w:val="00CE58CC"/>
    <w:rsid w:val="00CE6194"/>
    <w:rsid w:val="00CE6274"/>
    <w:rsid w:val="00CE65D6"/>
    <w:rsid w:val="00CE6C96"/>
    <w:rsid w:val="00CE6D8C"/>
    <w:rsid w:val="00CE77B6"/>
    <w:rsid w:val="00CE7B16"/>
    <w:rsid w:val="00CE7C0D"/>
    <w:rsid w:val="00CE7EDE"/>
    <w:rsid w:val="00CF0256"/>
    <w:rsid w:val="00CF03DA"/>
    <w:rsid w:val="00CF043A"/>
    <w:rsid w:val="00CF04A1"/>
    <w:rsid w:val="00CF1017"/>
    <w:rsid w:val="00CF2007"/>
    <w:rsid w:val="00CF2B8D"/>
    <w:rsid w:val="00CF3226"/>
    <w:rsid w:val="00CF3A1B"/>
    <w:rsid w:val="00CF3D53"/>
    <w:rsid w:val="00CF3F80"/>
    <w:rsid w:val="00CF4347"/>
    <w:rsid w:val="00CF456B"/>
    <w:rsid w:val="00CF50DB"/>
    <w:rsid w:val="00CF54B0"/>
    <w:rsid w:val="00CF59F1"/>
    <w:rsid w:val="00CF5A22"/>
    <w:rsid w:val="00CF5B0A"/>
    <w:rsid w:val="00CF5D0A"/>
    <w:rsid w:val="00CF61D6"/>
    <w:rsid w:val="00CF6914"/>
    <w:rsid w:val="00CF6BD8"/>
    <w:rsid w:val="00CF6C65"/>
    <w:rsid w:val="00CF71EE"/>
    <w:rsid w:val="00D000E4"/>
    <w:rsid w:val="00D00817"/>
    <w:rsid w:val="00D00DDA"/>
    <w:rsid w:val="00D00EEE"/>
    <w:rsid w:val="00D00F5C"/>
    <w:rsid w:val="00D01114"/>
    <w:rsid w:val="00D013EE"/>
    <w:rsid w:val="00D01743"/>
    <w:rsid w:val="00D022BC"/>
    <w:rsid w:val="00D0262E"/>
    <w:rsid w:val="00D03679"/>
    <w:rsid w:val="00D038BF"/>
    <w:rsid w:val="00D03AA8"/>
    <w:rsid w:val="00D03D36"/>
    <w:rsid w:val="00D04411"/>
    <w:rsid w:val="00D04491"/>
    <w:rsid w:val="00D04B24"/>
    <w:rsid w:val="00D04BF6"/>
    <w:rsid w:val="00D0526F"/>
    <w:rsid w:val="00D05B02"/>
    <w:rsid w:val="00D05E3D"/>
    <w:rsid w:val="00D05E9F"/>
    <w:rsid w:val="00D05FA6"/>
    <w:rsid w:val="00D06036"/>
    <w:rsid w:val="00D06139"/>
    <w:rsid w:val="00D06517"/>
    <w:rsid w:val="00D068A1"/>
    <w:rsid w:val="00D07209"/>
    <w:rsid w:val="00D07A54"/>
    <w:rsid w:val="00D07A81"/>
    <w:rsid w:val="00D07B45"/>
    <w:rsid w:val="00D07F15"/>
    <w:rsid w:val="00D10292"/>
    <w:rsid w:val="00D10900"/>
    <w:rsid w:val="00D10910"/>
    <w:rsid w:val="00D10A47"/>
    <w:rsid w:val="00D10A89"/>
    <w:rsid w:val="00D10DA6"/>
    <w:rsid w:val="00D110BD"/>
    <w:rsid w:val="00D118C8"/>
    <w:rsid w:val="00D11BEC"/>
    <w:rsid w:val="00D129D8"/>
    <w:rsid w:val="00D13675"/>
    <w:rsid w:val="00D13732"/>
    <w:rsid w:val="00D13893"/>
    <w:rsid w:val="00D13A5E"/>
    <w:rsid w:val="00D13C1B"/>
    <w:rsid w:val="00D13F0B"/>
    <w:rsid w:val="00D141E1"/>
    <w:rsid w:val="00D14A9E"/>
    <w:rsid w:val="00D14AA7"/>
    <w:rsid w:val="00D14F23"/>
    <w:rsid w:val="00D150C2"/>
    <w:rsid w:val="00D152D3"/>
    <w:rsid w:val="00D15314"/>
    <w:rsid w:val="00D15446"/>
    <w:rsid w:val="00D159B9"/>
    <w:rsid w:val="00D15B48"/>
    <w:rsid w:val="00D15E34"/>
    <w:rsid w:val="00D16457"/>
    <w:rsid w:val="00D169D5"/>
    <w:rsid w:val="00D16E22"/>
    <w:rsid w:val="00D16EDF"/>
    <w:rsid w:val="00D17418"/>
    <w:rsid w:val="00D175C8"/>
    <w:rsid w:val="00D17792"/>
    <w:rsid w:val="00D17B84"/>
    <w:rsid w:val="00D17BFC"/>
    <w:rsid w:val="00D17D01"/>
    <w:rsid w:val="00D17D6C"/>
    <w:rsid w:val="00D17DA0"/>
    <w:rsid w:val="00D20175"/>
    <w:rsid w:val="00D201C9"/>
    <w:rsid w:val="00D20252"/>
    <w:rsid w:val="00D20701"/>
    <w:rsid w:val="00D2098F"/>
    <w:rsid w:val="00D20C0E"/>
    <w:rsid w:val="00D20C74"/>
    <w:rsid w:val="00D2155B"/>
    <w:rsid w:val="00D21827"/>
    <w:rsid w:val="00D21D43"/>
    <w:rsid w:val="00D221FF"/>
    <w:rsid w:val="00D227D6"/>
    <w:rsid w:val="00D22AF5"/>
    <w:rsid w:val="00D23490"/>
    <w:rsid w:val="00D23527"/>
    <w:rsid w:val="00D23B87"/>
    <w:rsid w:val="00D23C93"/>
    <w:rsid w:val="00D23D11"/>
    <w:rsid w:val="00D240C2"/>
    <w:rsid w:val="00D24402"/>
    <w:rsid w:val="00D244B6"/>
    <w:rsid w:val="00D249F4"/>
    <w:rsid w:val="00D26AF0"/>
    <w:rsid w:val="00D26D13"/>
    <w:rsid w:val="00D26F51"/>
    <w:rsid w:val="00D27118"/>
    <w:rsid w:val="00D27393"/>
    <w:rsid w:val="00D2754D"/>
    <w:rsid w:val="00D277FC"/>
    <w:rsid w:val="00D27B27"/>
    <w:rsid w:val="00D27F69"/>
    <w:rsid w:val="00D30306"/>
    <w:rsid w:val="00D306FA"/>
    <w:rsid w:val="00D30967"/>
    <w:rsid w:val="00D30ABF"/>
    <w:rsid w:val="00D30D5B"/>
    <w:rsid w:val="00D30E75"/>
    <w:rsid w:val="00D3136B"/>
    <w:rsid w:val="00D3185D"/>
    <w:rsid w:val="00D31962"/>
    <w:rsid w:val="00D31F7C"/>
    <w:rsid w:val="00D32026"/>
    <w:rsid w:val="00D325D0"/>
    <w:rsid w:val="00D3263D"/>
    <w:rsid w:val="00D3268C"/>
    <w:rsid w:val="00D328C4"/>
    <w:rsid w:val="00D32B16"/>
    <w:rsid w:val="00D33054"/>
    <w:rsid w:val="00D3320D"/>
    <w:rsid w:val="00D33BE9"/>
    <w:rsid w:val="00D33DEC"/>
    <w:rsid w:val="00D33ECB"/>
    <w:rsid w:val="00D33F93"/>
    <w:rsid w:val="00D34137"/>
    <w:rsid w:val="00D3437F"/>
    <w:rsid w:val="00D34CA0"/>
    <w:rsid w:val="00D35172"/>
    <w:rsid w:val="00D35273"/>
    <w:rsid w:val="00D357FF"/>
    <w:rsid w:val="00D358DC"/>
    <w:rsid w:val="00D35C15"/>
    <w:rsid w:val="00D36005"/>
    <w:rsid w:val="00D368E9"/>
    <w:rsid w:val="00D36A77"/>
    <w:rsid w:val="00D36E91"/>
    <w:rsid w:val="00D372F2"/>
    <w:rsid w:val="00D37519"/>
    <w:rsid w:val="00D375F9"/>
    <w:rsid w:val="00D40183"/>
    <w:rsid w:val="00D402B7"/>
    <w:rsid w:val="00D407B5"/>
    <w:rsid w:val="00D4164B"/>
    <w:rsid w:val="00D418DA"/>
    <w:rsid w:val="00D41A26"/>
    <w:rsid w:val="00D41AB1"/>
    <w:rsid w:val="00D41B03"/>
    <w:rsid w:val="00D42017"/>
    <w:rsid w:val="00D42366"/>
    <w:rsid w:val="00D4238E"/>
    <w:rsid w:val="00D424C7"/>
    <w:rsid w:val="00D42A2D"/>
    <w:rsid w:val="00D42A94"/>
    <w:rsid w:val="00D42B39"/>
    <w:rsid w:val="00D42FAF"/>
    <w:rsid w:val="00D42FF3"/>
    <w:rsid w:val="00D43034"/>
    <w:rsid w:val="00D430C6"/>
    <w:rsid w:val="00D4317F"/>
    <w:rsid w:val="00D43465"/>
    <w:rsid w:val="00D438A3"/>
    <w:rsid w:val="00D43B2A"/>
    <w:rsid w:val="00D43B49"/>
    <w:rsid w:val="00D43CF1"/>
    <w:rsid w:val="00D43D83"/>
    <w:rsid w:val="00D44126"/>
    <w:rsid w:val="00D4417D"/>
    <w:rsid w:val="00D44601"/>
    <w:rsid w:val="00D44721"/>
    <w:rsid w:val="00D44ED9"/>
    <w:rsid w:val="00D44F66"/>
    <w:rsid w:val="00D45223"/>
    <w:rsid w:val="00D458EF"/>
    <w:rsid w:val="00D45A13"/>
    <w:rsid w:val="00D460BD"/>
    <w:rsid w:val="00D467AF"/>
    <w:rsid w:val="00D46FE1"/>
    <w:rsid w:val="00D47575"/>
    <w:rsid w:val="00D476AD"/>
    <w:rsid w:val="00D47AA9"/>
    <w:rsid w:val="00D47AD9"/>
    <w:rsid w:val="00D47B5A"/>
    <w:rsid w:val="00D50325"/>
    <w:rsid w:val="00D508F9"/>
    <w:rsid w:val="00D50E54"/>
    <w:rsid w:val="00D51163"/>
    <w:rsid w:val="00D51E75"/>
    <w:rsid w:val="00D5227A"/>
    <w:rsid w:val="00D5243B"/>
    <w:rsid w:val="00D533EC"/>
    <w:rsid w:val="00D5367C"/>
    <w:rsid w:val="00D53C66"/>
    <w:rsid w:val="00D53E66"/>
    <w:rsid w:val="00D54071"/>
    <w:rsid w:val="00D54601"/>
    <w:rsid w:val="00D54F78"/>
    <w:rsid w:val="00D553FB"/>
    <w:rsid w:val="00D554B4"/>
    <w:rsid w:val="00D556EA"/>
    <w:rsid w:val="00D559E3"/>
    <w:rsid w:val="00D55C41"/>
    <w:rsid w:val="00D5640A"/>
    <w:rsid w:val="00D566D5"/>
    <w:rsid w:val="00D56A95"/>
    <w:rsid w:val="00D56F06"/>
    <w:rsid w:val="00D57516"/>
    <w:rsid w:val="00D5751C"/>
    <w:rsid w:val="00D57721"/>
    <w:rsid w:val="00D5CA4E"/>
    <w:rsid w:val="00D60347"/>
    <w:rsid w:val="00D60531"/>
    <w:rsid w:val="00D6076E"/>
    <w:rsid w:val="00D60FF0"/>
    <w:rsid w:val="00D613C8"/>
    <w:rsid w:val="00D61AD8"/>
    <w:rsid w:val="00D62362"/>
    <w:rsid w:val="00D6278B"/>
    <w:rsid w:val="00D628C7"/>
    <w:rsid w:val="00D63809"/>
    <w:rsid w:val="00D6394A"/>
    <w:rsid w:val="00D63CDA"/>
    <w:rsid w:val="00D64871"/>
    <w:rsid w:val="00D65386"/>
    <w:rsid w:val="00D6543D"/>
    <w:rsid w:val="00D65C55"/>
    <w:rsid w:val="00D65DD3"/>
    <w:rsid w:val="00D65EF8"/>
    <w:rsid w:val="00D66BD1"/>
    <w:rsid w:val="00D6709B"/>
    <w:rsid w:val="00D6769B"/>
    <w:rsid w:val="00D67CB0"/>
    <w:rsid w:val="00D702C7"/>
    <w:rsid w:val="00D70F16"/>
    <w:rsid w:val="00D715A0"/>
    <w:rsid w:val="00D71E70"/>
    <w:rsid w:val="00D72239"/>
    <w:rsid w:val="00D72335"/>
    <w:rsid w:val="00D72617"/>
    <w:rsid w:val="00D72744"/>
    <w:rsid w:val="00D72768"/>
    <w:rsid w:val="00D7289F"/>
    <w:rsid w:val="00D72E61"/>
    <w:rsid w:val="00D72F57"/>
    <w:rsid w:val="00D72FE0"/>
    <w:rsid w:val="00D7356C"/>
    <w:rsid w:val="00D73632"/>
    <w:rsid w:val="00D73C4B"/>
    <w:rsid w:val="00D73E4B"/>
    <w:rsid w:val="00D73F03"/>
    <w:rsid w:val="00D742F9"/>
    <w:rsid w:val="00D743B6"/>
    <w:rsid w:val="00D749F0"/>
    <w:rsid w:val="00D74C63"/>
    <w:rsid w:val="00D75496"/>
    <w:rsid w:val="00D75721"/>
    <w:rsid w:val="00D758EE"/>
    <w:rsid w:val="00D76121"/>
    <w:rsid w:val="00D7632F"/>
    <w:rsid w:val="00D76A44"/>
    <w:rsid w:val="00D76B40"/>
    <w:rsid w:val="00D76F96"/>
    <w:rsid w:val="00D76F98"/>
    <w:rsid w:val="00D77568"/>
    <w:rsid w:val="00D7758B"/>
    <w:rsid w:val="00D77717"/>
    <w:rsid w:val="00D777BE"/>
    <w:rsid w:val="00D777D0"/>
    <w:rsid w:val="00D77801"/>
    <w:rsid w:val="00D779C1"/>
    <w:rsid w:val="00D77B50"/>
    <w:rsid w:val="00D77FE1"/>
    <w:rsid w:val="00D803F5"/>
    <w:rsid w:val="00D80F7A"/>
    <w:rsid w:val="00D81271"/>
    <w:rsid w:val="00D81354"/>
    <w:rsid w:val="00D81406"/>
    <w:rsid w:val="00D815EF"/>
    <w:rsid w:val="00D81949"/>
    <w:rsid w:val="00D81D29"/>
    <w:rsid w:val="00D81F26"/>
    <w:rsid w:val="00D822E2"/>
    <w:rsid w:val="00D82C07"/>
    <w:rsid w:val="00D833BC"/>
    <w:rsid w:val="00D837E3"/>
    <w:rsid w:val="00D83A17"/>
    <w:rsid w:val="00D83AB4"/>
    <w:rsid w:val="00D84233"/>
    <w:rsid w:val="00D843F2"/>
    <w:rsid w:val="00D84594"/>
    <w:rsid w:val="00D846F0"/>
    <w:rsid w:val="00D8475A"/>
    <w:rsid w:val="00D84D34"/>
    <w:rsid w:val="00D8525E"/>
    <w:rsid w:val="00D852D0"/>
    <w:rsid w:val="00D854E5"/>
    <w:rsid w:val="00D854EA"/>
    <w:rsid w:val="00D855E5"/>
    <w:rsid w:val="00D85E20"/>
    <w:rsid w:val="00D85F65"/>
    <w:rsid w:val="00D86231"/>
    <w:rsid w:val="00D866F8"/>
    <w:rsid w:val="00D86EFA"/>
    <w:rsid w:val="00D87812"/>
    <w:rsid w:val="00D87842"/>
    <w:rsid w:val="00D87D92"/>
    <w:rsid w:val="00D87E7F"/>
    <w:rsid w:val="00D900B0"/>
    <w:rsid w:val="00D904D9"/>
    <w:rsid w:val="00D90827"/>
    <w:rsid w:val="00D91274"/>
    <w:rsid w:val="00D912AB"/>
    <w:rsid w:val="00D91923"/>
    <w:rsid w:val="00D91933"/>
    <w:rsid w:val="00D9197E"/>
    <w:rsid w:val="00D92313"/>
    <w:rsid w:val="00D92644"/>
    <w:rsid w:val="00D926C2"/>
    <w:rsid w:val="00D926C6"/>
    <w:rsid w:val="00D92A52"/>
    <w:rsid w:val="00D92D9D"/>
    <w:rsid w:val="00D936F3"/>
    <w:rsid w:val="00D93753"/>
    <w:rsid w:val="00D9389B"/>
    <w:rsid w:val="00D93934"/>
    <w:rsid w:val="00D944CE"/>
    <w:rsid w:val="00D9460D"/>
    <w:rsid w:val="00D947C2"/>
    <w:rsid w:val="00D947EA"/>
    <w:rsid w:val="00D95019"/>
    <w:rsid w:val="00D9505A"/>
    <w:rsid w:val="00D95C32"/>
    <w:rsid w:val="00D95FFB"/>
    <w:rsid w:val="00D964DE"/>
    <w:rsid w:val="00D96673"/>
    <w:rsid w:val="00D9698B"/>
    <w:rsid w:val="00D977F3"/>
    <w:rsid w:val="00DA045F"/>
    <w:rsid w:val="00DA0960"/>
    <w:rsid w:val="00DA1393"/>
    <w:rsid w:val="00DA1A29"/>
    <w:rsid w:val="00DA1B86"/>
    <w:rsid w:val="00DA29EC"/>
    <w:rsid w:val="00DA2D24"/>
    <w:rsid w:val="00DA2D64"/>
    <w:rsid w:val="00DA30EA"/>
    <w:rsid w:val="00DA3167"/>
    <w:rsid w:val="00DA3231"/>
    <w:rsid w:val="00DA3C4A"/>
    <w:rsid w:val="00DA3CF9"/>
    <w:rsid w:val="00DA3D2D"/>
    <w:rsid w:val="00DA45EF"/>
    <w:rsid w:val="00DA4736"/>
    <w:rsid w:val="00DA4AE0"/>
    <w:rsid w:val="00DA4BB3"/>
    <w:rsid w:val="00DA4DC3"/>
    <w:rsid w:val="00DA573A"/>
    <w:rsid w:val="00DA583D"/>
    <w:rsid w:val="00DA5EC3"/>
    <w:rsid w:val="00DA5EC8"/>
    <w:rsid w:val="00DA6034"/>
    <w:rsid w:val="00DA64CA"/>
    <w:rsid w:val="00DA6625"/>
    <w:rsid w:val="00DA6713"/>
    <w:rsid w:val="00DA699B"/>
    <w:rsid w:val="00DA6B67"/>
    <w:rsid w:val="00DA6E8B"/>
    <w:rsid w:val="00DA71F0"/>
    <w:rsid w:val="00DA731C"/>
    <w:rsid w:val="00DA733D"/>
    <w:rsid w:val="00DA7461"/>
    <w:rsid w:val="00DA7564"/>
    <w:rsid w:val="00DA77A5"/>
    <w:rsid w:val="00DA7882"/>
    <w:rsid w:val="00DA7A44"/>
    <w:rsid w:val="00DA7FDD"/>
    <w:rsid w:val="00DB069C"/>
    <w:rsid w:val="00DB07D6"/>
    <w:rsid w:val="00DB0E36"/>
    <w:rsid w:val="00DB1623"/>
    <w:rsid w:val="00DB1845"/>
    <w:rsid w:val="00DB192F"/>
    <w:rsid w:val="00DB2723"/>
    <w:rsid w:val="00DB2E21"/>
    <w:rsid w:val="00DB2EE6"/>
    <w:rsid w:val="00DB2F6C"/>
    <w:rsid w:val="00DB3C83"/>
    <w:rsid w:val="00DB3DBF"/>
    <w:rsid w:val="00DB3DE7"/>
    <w:rsid w:val="00DB3FC8"/>
    <w:rsid w:val="00DB43E6"/>
    <w:rsid w:val="00DB484F"/>
    <w:rsid w:val="00DB5045"/>
    <w:rsid w:val="00DB50C5"/>
    <w:rsid w:val="00DB6219"/>
    <w:rsid w:val="00DB670C"/>
    <w:rsid w:val="00DB6EAE"/>
    <w:rsid w:val="00DB7336"/>
    <w:rsid w:val="00DB775B"/>
    <w:rsid w:val="00DB7899"/>
    <w:rsid w:val="00DB7979"/>
    <w:rsid w:val="00DB7E43"/>
    <w:rsid w:val="00DB7F87"/>
    <w:rsid w:val="00DC04F6"/>
    <w:rsid w:val="00DC0690"/>
    <w:rsid w:val="00DC0A43"/>
    <w:rsid w:val="00DC0F09"/>
    <w:rsid w:val="00DC13F4"/>
    <w:rsid w:val="00DC155F"/>
    <w:rsid w:val="00DC1CA8"/>
    <w:rsid w:val="00DC1D65"/>
    <w:rsid w:val="00DC2C6C"/>
    <w:rsid w:val="00DC2D43"/>
    <w:rsid w:val="00DC33C7"/>
    <w:rsid w:val="00DC34D5"/>
    <w:rsid w:val="00DC352C"/>
    <w:rsid w:val="00DC39BF"/>
    <w:rsid w:val="00DC3B8F"/>
    <w:rsid w:val="00DC3C57"/>
    <w:rsid w:val="00DC3F81"/>
    <w:rsid w:val="00DC4E32"/>
    <w:rsid w:val="00DC52F5"/>
    <w:rsid w:val="00DC54FF"/>
    <w:rsid w:val="00DC5501"/>
    <w:rsid w:val="00DC5AB0"/>
    <w:rsid w:val="00DC5DE4"/>
    <w:rsid w:val="00DC5FA4"/>
    <w:rsid w:val="00DC6DB1"/>
    <w:rsid w:val="00DC7154"/>
    <w:rsid w:val="00DC72E7"/>
    <w:rsid w:val="00DC7700"/>
    <w:rsid w:val="00DC7A75"/>
    <w:rsid w:val="00DC7E8A"/>
    <w:rsid w:val="00DC7FFB"/>
    <w:rsid w:val="00DD078C"/>
    <w:rsid w:val="00DD08CD"/>
    <w:rsid w:val="00DD0B5C"/>
    <w:rsid w:val="00DD0E37"/>
    <w:rsid w:val="00DD0F78"/>
    <w:rsid w:val="00DD1291"/>
    <w:rsid w:val="00DD1375"/>
    <w:rsid w:val="00DD1618"/>
    <w:rsid w:val="00DD273C"/>
    <w:rsid w:val="00DD277F"/>
    <w:rsid w:val="00DD298A"/>
    <w:rsid w:val="00DD326E"/>
    <w:rsid w:val="00DD33BF"/>
    <w:rsid w:val="00DD3E80"/>
    <w:rsid w:val="00DD3F28"/>
    <w:rsid w:val="00DD4332"/>
    <w:rsid w:val="00DD43E1"/>
    <w:rsid w:val="00DD4446"/>
    <w:rsid w:val="00DD4537"/>
    <w:rsid w:val="00DD4621"/>
    <w:rsid w:val="00DD4E15"/>
    <w:rsid w:val="00DD56DD"/>
    <w:rsid w:val="00DD5DFB"/>
    <w:rsid w:val="00DD61C5"/>
    <w:rsid w:val="00DD6401"/>
    <w:rsid w:val="00DD6C0F"/>
    <w:rsid w:val="00DD78DF"/>
    <w:rsid w:val="00DD79E0"/>
    <w:rsid w:val="00DD7A43"/>
    <w:rsid w:val="00DD7B6B"/>
    <w:rsid w:val="00DD7B7C"/>
    <w:rsid w:val="00DD7F52"/>
    <w:rsid w:val="00DE0720"/>
    <w:rsid w:val="00DE1019"/>
    <w:rsid w:val="00DE1196"/>
    <w:rsid w:val="00DE158E"/>
    <w:rsid w:val="00DE15BD"/>
    <w:rsid w:val="00DE1CC9"/>
    <w:rsid w:val="00DE2304"/>
    <w:rsid w:val="00DE2B2C"/>
    <w:rsid w:val="00DE3138"/>
    <w:rsid w:val="00DE31EE"/>
    <w:rsid w:val="00DE34FA"/>
    <w:rsid w:val="00DE37F8"/>
    <w:rsid w:val="00DE3AEC"/>
    <w:rsid w:val="00DE4025"/>
    <w:rsid w:val="00DE4206"/>
    <w:rsid w:val="00DE4273"/>
    <w:rsid w:val="00DE4AF1"/>
    <w:rsid w:val="00DE4FCB"/>
    <w:rsid w:val="00DE5031"/>
    <w:rsid w:val="00DE5492"/>
    <w:rsid w:val="00DE569F"/>
    <w:rsid w:val="00DE5D07"/>
    <w:rsid w:val="00DE5D56"/>
    <w:rsid w:val="00DE5DC6"/>
    <w:rsid w:val="00DE5F67"/>
    <w:rsid w:val="00DE640C"/>
    <w:rsid w:val="00DE6455"/>
    <w:rsid w:val="00DE667B"/>
    <w:rsid w:val="00DE72A7"/>
    <w:rsid w:val="00DE7832"/>
    <w:rsid w:val="00DF00F0"/>
    <w:rsid w:val="00DF0E2D"/>
    <w:rsid w:val="00DF1573"/>
    <w:rsid w:val="00DF1661"/>
    <w:rsid w:val="00DF1717"/>
    <w:rsid w:val="00DF18FC"/>
    <w:rsid w:val="00DF1FC4"/>
    <w:rsid w:val="00DF2864"/>
    <w:rsid w:val="00DF2A13"/>
    <w:rsid w:val="00DF3507"/>
    <w:rsid w:val="00DF3D64"/>
    <w:rsid w:val="00DF3E33"/>
    <w:rsid w:val="00DF45C2"/>
    <w:rsid w:val="00DF509F"/>
    <w:rsid w:val="00DF543F"/>
    <w:rsid w:val="00DF5689"/>
    <w:rsid w:val="00DF56D5"/>
    <w:rsid w:val="00DF5943"/>
    <w:rsid w:val="00DF5A1F"/>
    <w:rsid w:val="00DF5CB0"/>
    <w:rsid w:val="00DF5D2B"/>
    <w:rsid w:val="00DF5DFD"/>
    <w:rsid w:val="00DF6341"/>
    <w:rsid w:val="00DF648D"/>
    <w:rsid w:val="00DF6A73"/>
    <w:rsid w:val="00DF6C35"/>
    <w:rsid w:val="00DF77A4"/>
    <w:rsid w:val="00DF7882"/>
    <w:rsid w:val="00E00015"/>
    <w:rsid w:val="00E00206"/>
    <w:rsid w:val="00E00E8E"/>
    <w:rsid w:val="00E01319"/>
    <w:rsid w:val="00E01485"/>
    <w:rsid w:val="00E015A4"/>
    <w:rsid w:val="00E015F6"/>
    <w:rsid w:val="00E01AB9"/>
    <w:rsid w:val="00E01DEB"/>
    <w:rsid w:val="00E01E60"/>
    <w:rsid w:val="00E024A7"/>
    <w:rsid w:val="00E026E5"/>
    <w:rsid w:val="00E02A60"/>
    <w:rsid w:val="00E03067"/>
    <w:rsid w:val="00E03EFF"/>
    <w:rsid w:val="00E04EBC"/>
    <w:rsid w:val="00E0541A"/>
    <w:rsid w:val="00E05630"/>
    <w:rsid w:val="00E05DAE"/>
    <w:rsid w:val="00E05E91"/>
    <w:rsid w:val="00E06772"/>
    <w:rsid w:val="00E06AB7"/>
    <w:rsid w:val="00E06DBB"/>
    <w:rsid w:val="00E06F5E"/>
    <w:rsid w:val="00E07250"/>
    <w:rsid w:val="00E07A2A"/>
    <w:rsid w:val="00E10105"/>
    <w:rsid w:val="00E10149"/>
    <w:rsid w:val="00E10435"/>
    <w:rsid w:val="00E11340"/>
    <w:rsid w:val="00E11480"/>
    <w:rsid w:val="00E12091"/>
    <w:rsid w:val="00E122A1"/>
    <w:rsid w:val="00E1279E"/>
    <w:rsid w:val="00E12F70"/>
    <w:rsid w:val="00E12FFE"/>
    <w:rsid w:val="00E13A9C"/>
    <w:rsid w:val="00E13BDC"/>
    <w:rsid w:val="00E142F6"/>
    <w:rsid w:val="00E144EE"/>
    <w:rsid w:val="00E145F0"/>
    <w:rsid w:val="00E14F4F"/>
    <w:rsid w:val="00E1514A"/>
    <w:rsid w:val="00E152F9"/>
    <w:rsid w:val="00E156D6"/>
    <w:rsid w:val="00E1587F"/>
    <w:rsid w:val="00E15E26"/>
    <w:rsid w:val="00E16333"/>
    <w:rsid w:val="00E16372"/>
    <w:rsid w:val="00E16742"/>
    <w:rsid w:val="00E16783"/>
    <w:rsid w:val="00E168B1"/>
    <w:rsid w:val="00E16AD8"/>
    <w:rsid w:val="00E17178"/>
    <w:rsid w:val="00E171CC"/>
    <w:rsid w:val="00E17AE3"/>
    <w:rsid w:val="00E17B41"/>
    <w:rsid w:val="00E17B5E"/>
    <w:rsid w:val="00E17FFA"/>
    <w:rsid w:val="00E20E4D"/>
    <w:rsid w:val="00E20ED6"/>
    <w:rsid w:val="00E20ED9"/>
    <w:rsid w:val="00E21358"/>
    <w:rsid w:val="00E21714"/>
    <w:rsid w:val="00E21DBE"/>
    <w:rsid w:val="00E21E7D"/>
    <w:rsid w:val="00E2249B"/>
    <w:rsid w:val="00E22A0D"/>
    <w:rsid w:val="00E23166"/>
    <w:rsid w:val="00E23594"/>
    <w:rsid w:val="00E2373A"/>
    <w:rsid w:val="00E237C1"/>
    <w:rsid w:val="00E23EA4"/>
    <w:rsid w:val="00E23ED8"/>
    <w:rsid w:val="00E23F9E"/>
    <w:rsid w:val="00E24293"/>
    <w:rsid w:val="00E242FE"/>
    <w:rsid w:val="00E244F6"/>
    <w:rsid w:val="00E24C42"/>
    <w:rsid w:val="00E25113"/>
    <w:rsid w:val="00E25130"/>
    <w:rsid w:val="00E255AE"/>
    <w:rsid w:val="00E258DB"/>
    <w:rsid w:val="00E262E6"/>
    <w:rsid w:val="00E2650F"/>
    <w:rsid w:val="00E26879"/>
    <w:rsid w:val="00E269A8"/>
    <w:rsid w:val="00E270DB"/>
    <w:rsid w:val="00E2771E"/>
    <w:rsid w:val="00E279DA"/>
    <w:rsid w:val="00E27C3A"/>
    <w:rsid w:val="00E3011F"/>
    <w:rsid w:val="00E30163"/>
    <w:rsid w:val="00E303C2"/>
    <w:rsid w:val="00E3080B"/>
    <w:rsid w:val="00E30A62"/>
    <w:rsid w:val="00E30AE6"/>
    <w:rsid w:val="00E311EF"/>
    <w:rsid w:val="00E32180"/>
    <w:rsid w:val="00E32515"/>
    <w:rsid w:val="00E3292A"/>
    <w:rsid w:val="00E32D52"/>
    <w:rsid w:val="00E332D6"/>
    <w:rsid w:val="00E33C01"/>
    <w:rsid w:val="00E33C6A"/>
    <w:rsid w:val="00E33D56"/>
    <w:rsid w:val="00E343FB"/>
    <w:rsid w:val="00E34679"/>
    <w:rsid w:val="00E348B8"/>
    <w:rsid w:val="00E34948"/>
    <w:rsid w:val="00E349CB"/>
    <w:rsid w:val="00E34D85"/>
    <w:rsid w:val="00E35480"/>
    <w:rsid w:val="00E35A9B"/>
    <w:rsid w:val="00E35D7E"/>
    <w:rsid w:val="00E371C5"/>
    <w:rsid w:val="00E372BE"/>
    <w:rsid w:val="00E3742B"/>
    <w:rsid w:val="00E37569"/>
    <w:rsid w:val="00E37998"/>
    <w:rsid w:val="00E37D90"/>
    <w:rsid w:val="00E401B2"/>
    <w:rsid w:val="00E4030C"/>
    <w:rsid w:val="00E40B08"/>
    <w:rsid w:val="00E40E49"/>
    <w:rsid w:val="00E41D0C"/>
    <w:rsid w:val="00E41E30"/>
    <w:rsid w:val="00E41E61"/>
    <w:rsid w:val="00E424D5"/>
    <w:rsid w:val="00E42F73"/>
    <w:rsid w:val="00E43002"/>
    <w:rsid w:val="00E430AF"/>
    <w:rsid w:val="00E43891"/>
    <w:rsid w:val="00E43D57"/>
    <w:rsid w:val="00E43D70"/>
    <w:rsid w:val="00E43EFE"/>
    <w:rsid w:val="00E4457B"/>
    <w:rsid w:val="00E453B6"/>
    <w:rsid w:val="00E4591F"/>
    <w:rsid w:val="00E46205"/>
    <w:rsid w:val="00E464D4"/>
    <w:rsid w:val="00E466F3"/>
    <w:rsid w:val="00E46FF8"/>
    <w:rsid w:val="00E47B2C"/>
    <w:rsid w:val="00E502C0"/>
    <w:rsid w:val="00E5086A"/>
    <w:rsid w:val="00E50B19"/>
    <w:rsid w:val="00E514D2"/>
    <w:rsid w:val="00E51560"/>
    <w:rsid w:val="00E5164F"/>
    <w:rsid w:val="00E51821"/>
    <w:rsid w:val="00E5189F"/>
    <w:rsid w:val="00E51CD0"/>
    <w:rsid w:val="00E52029"/>
    <w:rsid w:val="00E52265"/>
    <w:rsid w:val="00E5249A"/>
    <w:rsid w:val="00E53095"/>
    <w:rsid w:val="00E537DF"/>
    <w:rsid w:val="00E53FC8"/>
    <w:rsid w:val="00E54347"/>
    <w:rsid w:val="00E54A84"/>
    <w:rsid w:val="00E54A89"/>
    <w:rsid w:val="00E55424"/>
    <w:rsid w:val="00E556B5"/>
    <w:rsid w:val="00E55915"/>
    <w:rsid w:val="00E55A9B"/>
    <w:rsid w:val="00E55BB5"/>
    <w:rsid w:val="00E55FFE"/>
    <w:rsid w:val="00E56686"/>
    <w:rsid w:val="00E56BB9"/>
    <w:rsid w:val="00E56BF8"/>
    <w:rsid w:val="00E56DFF"/>
    <w:rsid w:val="00E56F45"/>
    <w:rsid w:val="00E5706B"/>
    <w:rsid w:val="00E5763A"/>
    <w:rsid w:val="00E6010E"/>
    <w:rsid w:val="00E604FF"/>
    <w:rsid w:val="00E607F3"/>
    <w:rsid w:val="00E60E5F"/>
    <w:rsid w:val="00E60E76"/>
    <w:rsid w:val="00E60F6E"/>
    <w:rsid w:val="00E6109A"/>
    <w:rsid w:val="00E611DF"/>
    <w:rsid w:val="00E618AB"/>
    <w:rsid w:val="00E61939"/>
    <w:rsid w:val="00E61A66"/>
    <w:rsid w:val="00E61D1C"/>
    <w:rsid w:val="00E61F54"/>
    <w:rsid w:val="00E620E9"/>
    <w:rsid w:val="00E627EA"/>
    <w:rsid w:val="00E629F7"/>
    <w:rsid w:val="00E62F50"/>
    <w:rsid w:val="00E63176"/>
    <w:rsid w:val="00E63A87"/>
    <w:rsid w:val="00E63F6B"/>
    <w:rsid w:val="00E64204"/>
    <w:rsid w:val="00E644A9"/>
    <w:rsid w:val="00E64567"/>
    <w:rsid w:val="00E64CAA"/>
    <w:rsid w:val="00E64DE1"/>
    <w:rsid w:val="00E651CF"/>
    <w:rsid w:val="00E6571C"/>
    <w:rsid w:val="00E65C74"/>
    <w:rsid w:val="00E65E79"/>
    <w:rsid w:val="00E65F64"/>
    <w:rsid w:val="00E66025"/>
    <w:rsid w:val="00E663DC"/>
    <w:rsid w:val="00E66A1A"/>
    <w:rsid w:val="00E66BA2"/>
    <w:rsid w:val="00E66C67"/>
    <w:rsid w:val="00E66D6D"/>
    <w:rsid w:val="00E670CA"/>
    <w:rsid w:val="00E6732B"/>
    <w:rsid w:val="00E67416"/>
    <w:rsid w:val="00E67771"/>
    <w:rsid w:val="00E678A4"/>
    <w:rsid w:val="00E67EA0"/>
    <w:rsid w:val="00E700DE"/>
    <w:rsid w:val="00E7022C"/>
    <w:rsid w:val="00E7032C"/>
    <w:rsid w:val="00E704D2"/>
    <w:rsid w:val="00E705F8"/>
    <w:rsid w:val="00E70C2C"/>
    <w:rsid w:val="00E7106F"/>
    <w:rsid w:val="00E718B6"/>
    <w:rsid w:val="00E71A2E"/>
    <w:rsid w:val="00E71AE5"/>
    <w:rsid w:val="00E71B39"/>
    <w:rsid w:val="00E71FB1"/>
    <w:rsid w:val="00E72265"/>
    <w:rsid w:val="00E723BA"/>
    <w:rsid w:val="00E72482"/>
    <w:rsid w:val="00E725BE"/>
    <w:rsid w:val="00E72615"/>
    <w:rsid w:val="00E73581"/>
    <w:rsid w:val="00E7373B"/>
    <w:rsid w:val="00E737BF"/>
    <w:rsid w:val="00E73FE7"/>
    <w:rsid w:val="00E74423"/>
    <w:rsid w:val="00E7462F"/>
    <w:rsid w:val="00E75891"/>
    <w:rsid w:val="00E7618B"/>
    <w:rsid w:val="00E761CC"/>
    <w:rsid w:val="00E762BE"/>
    <w:rsid w:val="00E7655B"/>
    <w:rsid w:val="00E77199"/>
    <w:rsid w:val="00E77792"/>
    <w:rsid w:val="00E7782C"/>
    <w:rsid w:val="00E77A61"/>
    <w:rsid w:val="00E77BAF"/>
    <w:rsid w:val="00E80149"/>
    <w:rsid w:val="00E80459"/>
    <w:rsid w:val="00E80E2B"/>
    <w:rsid w:val="00E81981"/>
    <w:rsid w:val="00E81BAA"/>
    <w:rsid w:val="00E81DBB"/>
    <w:rsid w:val="00E81E47"/>
    <w:rsid w:val="00E81F6F"/>
    <w:rsid w:val="00E8218F"/>
    <w:rsid w:val="00E8275D"/>
    <w:rsid w:val="00E82D81"/>
    <w:rsid w:val="00E82E44"/>
    <w:rsid w:val="00E833F7"/>
    <w:rsid w:val="00E834D8"/>
    <w:rsid w:val="00E83BDF"/>
    <w:rsid w:val="00E84F7F"/>
    <w:rsid w:val="00E8517E"/>
    <w:rsid w:val="00E8565C"/>
    <w:rsid w:val="00E85ABC"/>
    <w:rsid w:val="00E85C71"/>
    <w:rsid w:val="00E86241"/>
    <w:rsid w:val="00E8675A"/>
    <w:rsid w:val="00E86FCC"/>
    <w:rsid w:val="00E871B4"/>
    <w:rsid w:val="00E8788C"/>
    <w:rsid w:val="00E87A1D"/>
    <w:rsid w:val="00E87AC6"/>
    <w:rsid w:val="00E87B9F"/>
    <w:rsid w:val="00E87C5C"/>
    <w:rsid w:val="00E903B1"/>
    <w:rsid w:val="00E90517"/>
    <w:rsid w:val="00E9094A"/>
    <w:rsid w:val="00E90BF3"/>
    <w:rsid w:val="00E91491"/>
    <w:rsid w:val="00E917AB"/>
    <w:rsid w:val="00E91849"/>
    <w:rsid w:val="00E9189F"/>
    <w:rsid w:val="00E91BC9"/>
    <w:rsid w:val="00E91D35"/>
    <w:rsid w:val="00E91F01"/>
    <w:rsid w:val="00E920BA"/>
    <w:rsid w:val="00E92679"/>
    <w:rsid w:val="00E926A5"/>
    <w:rsid w:val="00E93AAC"/>
    <w:rsid w:val="00E93F24"/>
    <w:rsid w:val="00E93FDE"/>
    <w:rsid w:val="00E941F7"/>
    <w:rsid w:val="00E9448A"/>
    <w:rsid w:val="00E94516"/>
    <w:rsid w:val="00E94552"/>
    <w:rsid w:val="00E948A9"/>
    <w:rsid w:val="00E94B7C"/>
    <w:rsid w:val="00E95094"/>
    <w:rsid w:val="00E95E10"/>
    <w:rsid w:val="00E95F58"/>
    <w:rsid w:val="00E962CC"/>
    <w:rsid w:val="00E9695C"/>
    <w:rsid w:val="00E96A47"/>
    <w:rsid w:val="00E96FF1"/>
    <w:rsid w:val="00E97319"/>
    <w:rsid w:val="00E97C3A"/>
    <w:rsid w:val="00EA02E3"/>
    <w:rsid w:val="00EA1599"/>
    <w:rsid w:val="00EA15CE"/>
    <w:rsid w:val="00EA17C3"/>
    <w:rsid w:val="00EA2093"/>
    <w:rsid w:val="00EA20B7"/>
    <w:rsid w:val="00EA2106"/>
    <w:rsid w:val="00EA2189"/>
    <w:rsid w:val="00EA2CAA"/>
    <w:rsid w:val="00EA2EFC"/>
    <w:rsid w:val="00EA3367"/>
    <w:rsid w:val="00EA36F8"/>
    <w:rsid w:val="00EA3864"/>
    <w:rsid w:val="00EA3EC4"/>
    <w:rsid w:val="00EA440D"/>
    <w:rsid w:val="00EA4965"/>
    <w:rsid w:val="00EA4B3C"/>
    <w:rsid w:val="00EA4ECA"/>
    <w:rsid w:val="00EA5106"/>
    <w:rsid w:val="00EA522D"/>
    <w:rsid w:val="00EA5526"/>
    <w:rsid w:val="00EA58C7"/>
    <w:rsid w:val="00EA59C2"/>
    <w:rsid w:val="00EA59C5"/>
    <w:rsid w:val="00EA5A45"/>
    <w:rsid w:val="00EA600C"/>
    <w:rsid w:val="00EA62EA"/>
    <w:rsid w:val="00EA695D"/>
    <w:rsid w:val="00EA6B67"/>
    <w:rsid w:val="00EA7305"/>
    <w:rsid w:val="00EA7728"/>
    <w:rsid w:val="00EA777D"/>
    <w:rsid w:val="00EA7B02"/>
    <w:rsid w:val="00EA7F1C"/>
    <w:rsid w:val="00EA7F54"/>
    <w:rsid w:val="00EB0457"/>
    <w:rsid w:val="00EB048A"/>
    <w:rsid w:val="00EB052A"/>
    <w:rsid w:val="00EB1241"/>
    <w:rsid w:val="00EB15B6"/>
    <w:rsid w:val="00EB15C5"/>
    <w:rsid w:val="00EB1675"/>
    <w:rsid w:val="00EB1E12"/>
    <w:rsid w:val="00EB1E19"/>
    <w:rsid w:val="00EB253F"/>
    <w:rsid w:val="00EB2665"/>
    <w:rsid w:val="00EB2A2D"/>
    <w:rsid w:val="00EB2C74"/>
    <w:rsid w:val="00EB32B8"/>
    <w:rsid w:val="00EB3493"/>
    <w:rsid w:val="00EB362B"/>
    <w:rsid w:val="00EB3D06"/>
    <w:rsid w:val="00EB3D4C"/>
    <w:rsid w:val="00EB41D6"/>
    <w:rsid w:val="00EB47F9"/>
    <w:rsid w:val="00EB4916"/>
    <w:rsid w:val="00EB5595"/>
    <w:rsid w:val="00EB573F"/>
    <w:rsid w:val="00EB5B03"/>
    <w:rsid w:val="00EB5C7C"/>
    <w:rsid w:val="00EB71BF"/>
    <w:rsid w:val="00EB7240"/>
    <w:rsid w:val="00EB732A"/>
    <w:rsid w:val="00EB77A5"/>
    <w:rsid w:val="00EB7CEC"/>
    <w:rsid w:val="00EC006B"/>
    <w:rsid w:val="00EC00C9"/>
    <w:rsid w:val="00EC0474"/>
    <w:rsid w:val="00EC059B"/>
    <w:rsid w:val="00EC0B7A"/>
    <w:rsid w:val="00EC0DD9"/>
    <w:rsid w:val="00EC0DFE"/>
    <w:rsid w:val="00EC0F73"/>
    <w:rsid w:val="00EC1258"/>
    <w:rsid w:val="00EC1315"/>
    <w:rsid w:val="00EC1579"/>
    <w:rsid w:val="00EC1A5F"/>
    <w:rsid w:val="00EC220A"/>
    <w:rsid w:val="00EC2649"/>
    <w:rsid w:val="00EC2BD7"/>
    <w:rsid w:val="00EC31ED"/>
    <w:rsid w:val="00EC3573"/>
    <w:rsid w:val="00EC3605"/>
    <w:rsid w:val="00EC3662"/>
    <w:rsid w:val="00EC51BA"/>
    <w:rsid w:val="00EC5287"/>
    <w:rsid w:val="00EC56C6"/>
    <w:rsid w:val="00EC57A3"/>
    <w:rsid w:val="00EC5836"/>
    <w:rsid w:val="00EC58C2"/>
    <w:rsid w:val="00EC5911"/>
    <w:rsid w:val="00EC5C7C"/>
    <w:rsid w:val="00EC6298"/>
    <w:rsid w:val="00EC688C"/>
    <w:rsid w:val="00EC6F67"/>
    <w:rsid w:val="00EC7A19"/>
    <w:rsid w:val="00EC7C0B"/>
    <w:rsid w:val="00EC7C22"/>
    <w:rsid w:val="00ED05E9"/>
    <w:rsid w:val="00ED087D"/>
    <w:rsid w:val="00ED0972"/>
    <w:rsid w:val="00ED0B1A"/>
    <w:rsid w:val="00ED0CBB"/>
    <w:rsid w:val="00ED12E3"/>
    <w:rsid w:val="00ED14B3"/>
    <w:rsid w:val="00ED229A"/>
    <w:rsid w:val="00ED2475"/>
    <w:rsid w:val="00ED2F72"/>
    <w:rsid w:val="00ED34B2"/>
    <w:rsid w:val="00ED4758"/>
    <w:rsid w:val="00ED4B04"/>
    <w:rsid w:val="00ED4FDA"/>
    <w:rsid w:val="00ED531F"/>
    <w:rsid w:val="00ED57EA"/>
    <w:rsid w:val="00ED5BD4"/>
    <w:rsid w:val="00ED5CD8"/>
    <w:rsid w:val="00ED5E7A"/>
    <w:rsid w:val="00ED659F"/>
    <w:rsid w:val="00ED666A"/>
    <w:rsid w:val="00ED6937"/>
    <w:rsid w:val="00ED6F28"/>
    <w:rsid w:val="00ED781A"/>
    <w:rsid w:val="00ED7897"/>
    <w:rsid w:val="00ED79E3"/>
    <w:rsid w:val="00ED7EB9"/>
    <w:rsid w:val="00EE0229"/>
    <w:rsid w:val="00EE07D3"/>
    <w:rsid w:val="00EE0B7D"/>
    <w:rsid w:val="00EE1996"/>
    <w:rsid w:val="00EE1C01"/>
    <w:rsid w:val="00EE1EEA"/>
    <w:rsid w:val="00EE22AF"/>
    <w:rsid w:val="00EE2D71"/>
    <w:rsid w:val="00EE32E0"/>
    <w:rsid w:val="00EE36CF"/>
    <w:rsid w:val="00EE3A6B"/>
    <w:rsid w:val="00EE3E30"/>
    <w:rsid w:val="00EE41C4"/>
    <w:rsid w:val="00EE489F"/>
    <w:rsid w:val="00EE498A"/>
    <w:rsid w:val="00EE5212"/>
    <w:rsid w:val="00EE55F0"/>
    <w:rsid w:val="00EE5AF9"/>
    <w:rsid w:val="00EE5D97"/>
    <w:rsid w:val="00EE5EB5"/>
    <w:rsid w:val="00EE6097"/>
    <w:rsid w:val="00EE667D"/>
    <w:rsid w:val="00EE6AE5"/>
    <w:rsid w:val="00EE6D4F"/>
    <w:rsid w:val="00EE7C51"/>
    <w:rsid w:val="00EF0171"/>
    <w:rsid w:val="00EF053B"/>
    <w:rsid w:val="00EF0657"/>
    <w:rsid w:val="00EF098F"/>
    <w:rsid w:val="00EF16F3"/>
    <w:rsid w:val="00EF1B25"/>
    <w:rsid w:val="00EF1DA0"/>
    <w:rsid w:val="00EF27F1"/>
    <w:rsid w:val="00EF2B07"/>
    <w:rsid w:val="00EF2BBB"/>
    <w:rsid w:val="00EF2C6D"/>
    <w:rsid w:val="00EF3419"/>
    <w:rsid w:val="00EF3566"/>
    <w:rsid w:val="00EF38B4"/>
    <w:rsid w:val="00EF3D44"/>
    <w:rsid w:val="00EF4747"/>
    <w:rsid w:val="00EF47E2"/>
    <w:rsid w:val="00EF48F6"/>
    <w:rsid w:val="00EF4BF8"/>
    <w:rsid w:val="00EF5FCD"/>
    <w:rsid w:val="00EF6081"/>
    <w:rsid w:val="00EF65CD"/>
    <w:rsid w:val="00EF6869"/>
    <w:rsid w:val="00EF6ABF"/>
    <w:rsid w:val="00EF732E"/>
    <w:rsid w:val="00EF74FC"/>
    <w:rsid w:val="00F00345"/>
    <w:rsid w:val="00F00698"/>
    <w:rsid w:val="00F00703"/>
    <w:rsid w:val="00F02253"/>
    <w:rsid w:val="00F0237A"/>
    <w:rsid w:val="00F02802"/>
    <w:rsid w:val="00F028EA"/>
    <w:rsid w:val="00F02A0E"/>
    <w:rsid w:val="00F03BAA"/>
    <w:rsid w:val="00F03C2E"/>
    <w:rsid w:val="00F03D24"/>
    <w:rsid w:val="00F04190"/>
    <w:rsid w:val="00F04A66"/>
    <w:rsid w:val="00F04B4B"/>
    <w:rsid w:val="00F04B93"/>
    <w:rsid w:val="00F04C34"/>
    <w:rsid w:val="00F04E1D"/>
    <w:rsid w:val="00F0516C"/>
    <w:rsid w:val="00F051B0"/>
    <w:rsid w:val="00F05270"/>
    <w:rsid w:val="00F05319"/>
    <w:rsid w:val="00F05799"/>
    <w:rsid w:val="00F059F9"/>
    <w:rsid w:val="00F05BF4"/>
    <w:rsid w:val="00F05D29"/>
    <w:rsid w:val="00F060CE"/>
    <w:rsid w:val="00F067A2"/>
    <w:rsid w:val="00F069B0"/>
    <w:rsid w:val="00F069D2"/>
    <w:rsid w:val="00F06B2A"/>
    <w:rsid w:val="00F06E83"/>
    <w:rsid w:val="00F07B9E"/>
    <w:rsid w:val="00F07C1F"/>
    <w:rsid w:val="00F101DF"/>
    <w:rsid w:val="00F1116F"/>
    <w:rsid w:val="00F113D9"/>
    <w:rsid w:val="00F1144E"/>
    <w:rsid w:val="00F11656"/>
    <w:rsid w:val="00F11964"/>
    <w:rsid w:val="00F119D9"/>
    <w:rsid w:val="00F11B00"/>
    <w:rsid w:val="00F11C5E"/>
    <w:rsid w:val="00F11F7B"/>
    <w:rsid w:val="00F1215D"/>
    <w:rsid w:val="00F12424"/>
    <w:rsid w:val="00F1263A"/>
    <w:rsid w:val="00F1268D"/>
    <w:rsid w:val="00F13333"/>
    <w:rsid w:val="00F1337A"/>
    <w:rsid w:val="00F1352B"/>
    <w:rsid w:val="00F139C5"/>
    <w:rsid w:val="00F13CEF"/>
    <w:rsid w:val="00F144A6"/>
    <w:rsid w:val="00F149C6"/>
    <w:rsid w:val="00F151C5"/>
    <w:rsid w:val="00F15ADA"/>
    <w:rsid w:val="00F15B77"/>
    <w:rsid w:val="00F15D0B"/>
    <w:rsid w:val="00F15DBA"/>
    <w:rsid w:val="00F15DE2"/>
    <w:rsid w:val="00F15E52"/>
    <w:rsid w:val="00F160E1"/>
    <w:rsid w:val="00F1626F"/>
    <w:rsid w:val="00F17309"/>
    <w:rsid w:val="00F17C5F"/>
    <w:rsid w:val="00F17ED1"/>
    <w:rsid w:val="00F20013"/>
    <w:rsid w:val="00F2007D"/>
    <w:rsid w:val="00F21236"/>
    <w:rsid w:val="00F2150C"/>
    <w:rsid w:val="00F21979"/>
    <w:rsid w:val="00F224F9"/>
    <w:rsid w:val="00F22807"/>
    <w:rsid w:val="00F22D8E"/>
    <w:rsid w:val="00F22E36"/>
    <w:rsid w:val="00F23153"/>
    <w:rsid w:val="00F23577"/>
    <w:rsid w:val="00F2383A"/>
    <w:rsid w:val="00F239DF"/>
    <w:rsid w:val="00F23B1E"/>
    <w:rsid w:val="00F23CBE"/>
    <w:rsid w:val="00F23CD5"/>
    <w:rsid w:val="00F23D19"/>
    <w:rsid w:val="00F23E42"/>
    <w:rsid w:val="00F244B2"/>
    <w:rsid w:val="00F247CB"/>
    <w:rsid w:val="00F24837"/>
    <w:rsid w:val="00F25104"/>
    <w:rsid w:val="00F2575F"/>
    <w:rsid w:val="00F25A11"/>
    <w:rsid w:val="00F25AE6"/>
    <w:rsid w:val="00F25C2B"/>
    <w:rsid w:val="00F25D4E"/>
    <w:rsid w:val="00F262EE"/>
    <w:rsid w:val="00F26A9A"/>
    <w:rsid w:val="00F26D38"/>
    <w:rsid w:val="00F270A7"/>
    <w:rsid w:val="00F273BE"/>
    <w:rsid w:val="00F2755C"/>
    <w:rsid w:val="00F27565"/>
    <w:rsid w:val="00F309C5"/>
    <w:rsid w:val="00F30F60"/>
    <w:rsid w:val="00F310D4"/>
    <w:rsid w:val="00F31809"/>
    <w:rsid w:val="00F31D5A"/>
    <w:rsid w:val="00F31EE9"/>
    <w:rsid w:val="00F31F03"/>
    <w:rsid w:val="00F31F97"/>
    <w:rsid w:val="00F323E9"/>
    <w:rsid w:val="00F3331C"/>
    <w:rsid w:val="00F336C8"/>
    <w:rsid w:val="00F33975"/>
    <w:rsid w:val="00F33BED"/>
    <w:rsid w:val="00F33DE9"/>
    <w:rsid w:val="00F33EEA"/>
    <w:rsid w:val="00F34580"/>
    <w:rsid w:val="00F34F7B"/>
    <w:rsid w:val="00F3513A"/>
    <w:rsid w:val="00F3523F"/>
    <w:rsid w:val="00F356DF"/>
    <w:rsid w:val="00F358F5"/>
    <w:rsid w:val="00F35B62"/>
    <w:rsid w:val="00F35C3F"/>
    <w:rsid w:val="00F35C84"/>
    <w:rsid w:val="00F35E6D"/>
    <w:rsid w:val="00F35F99"/>
    <w:rsid w:val="00F3619A"/>
    <w:rsid w:val="00F367FE"/>
    <w:rsid w:val="00F3727F"/>
    <w:rsid w:val="00F3752A"/>
    <w:rsid w:val="00F37D56"/>
    <w:rsid w:val="00F40348"/>
    <w:rsid w:val="00F4049E"/>
    <w:rsid w:val="00F40521"/>
    <w:rsid w:val="00F40A84"/>
    <w:rsid w:val="00F40AAA"/>
    <w:rsid w:val="00F40BA7"/>
    <w:rsid w:val="00F40F9D"/>
    <w:rsid w:val="00F4187A"/>
    <w:rsid w:val="00F41ACD"/>
    <w:rsid w:val="00F41B6E"/>
    <w:rsid w:val="00F4203D"/>
    <w:rsid w:val="00F421B5"/>
    <w:rsid w:val="00F42267"/>
    <w:rsid w:val="00F422EC"/>
    <w:rsid w:val="00F4377F"/>
    <w:rsid w:val="00F437AF"/>
    <w:rsid w:val="00F4391D"/>
    <w:rsid w:val="00F43A07"/>
    <w:rsid w:val="00F43D5D"/>
    <w:rsid w:val="00F43DA8"/>
    <w:rsid w:val="00F44188"/>
    <w:rsid w:val="00F447EA"/>
    <w:rsid w:val="00F44E30"/>
    <w:rsid w:val="00F45248"/>
    <w:rsid w:val="00F453DA"/>
    <w:rsid w:val="00F45695"/>
    <w:rsid w:val="00F46997"/>
    <w:rsid w:val="00F46CB6"/>
    <w:rsid w:val="00F47059"/>
    <w:rsid w:val="00F4756D"/>
    <w:rsid w:val="00F47B3B"/>
    <w:rsid w:val="00F47DE8"/>
    <w:rsid w:val="00F47EE9"/>
    <w:rsid w:val="00F50042"/>
    <w:rsid w:val="00F50AB3"/>
    <w:rsid w:val="00F51D98"/>
    <w:rsid w:val="00F524E2"/>
    <w:rsid w:val="00F5287E"/>
    <w:rsid w:val="00F5301B"/>
    <w:rsid w:val="00F53637"/>
    <w:rsid w:val="00F5387F"/>
    <w:rsid w:val="00F5397B"/>
    <w:rsid w:val="00F53F4E"/>
    <w:rsid w:val="00F542C1"/>
    <w:rsid w:val="00F54788"/>
    <w:rsid w:val="00F54950"/>
    <w:rsid w:val="00F549FA"/>
    <w:rsid w:val="00F54A76"/>
    <w:rsid w:val="00F54C69"/>
    <w:rsid w:val="00F5502E"/>
    <w:rsid w:val="00F550E3"/>
    <w:rsid w:val="00F555FD"/>
    <w:rsid w:val="00F55AEC"/>
    <w:rsid w:val="00F55E73"/>
    <w:rsid w:val="00F55EDA"/>
    <w:rsid w:val="00F56330"/>
    <w:rsid w:val="00F56A20"/>
    <w:rsid w:val="00F56B79"/>
    <w:rsid w:val="00F56C80"/>
    <w:rsid w:val="00F573FF"/>
    <w:rsid w:val="00F57511"/>
    <w:rsid w:val="00F60092"/>
    <w:rsid w:val="00F6022D"/>
    <w:rsid w:val="00F60286"/>
    <w:rsid w:val="00F61385"/>
    <w:rsid w:val="00F61A7F"/>
    <w:rsid w:val="00F61C18"/>
    <w:rsid w:val="00F61E5C"/>
    <w:rsid w:val="00F61EFC"/>
    <w:rsid w:val="00F62342"/>
    <w:rsid w:val="00F62A01"/>
    <w:rsid w:val="00F62D91"/>
    <w:rsid w:val="00F62EF0"/>
    <w:rsid w:val="00F632ED"/>
    <w:rsid w:val="00F6352E"/>
    <w:rsid w:val="00F63575"/>
    <w:rsid w:val="00F63A44"/>
    <w:rsid w:val="00F64425"/>
    <w:rsid w:val="00F64436"/>
    <w:rsid w:val="00F647DE"/>
    <w:rsid w:val="00F64ED9"/>
    <w:rsid w:val="00F651E0"/>
    <w:rsid w:val="00F65DA5"/>
    <w:rsid w:val="00F65F4B"/>
    <w:rsid w:val="00F66964"/>
    <w:rsid w:val="00F66FA0"/>
    <w:rsid w:val="00F6712A"/>
    <w:rsid w:val="00F672AA"/>
    <w:rsid w:val="00F67537"/>
    <w:rsid w:val="00F67581"/>
    <w:rsid w:val="00F67A69"/>
    <w:rsid w:val="00F70170"/>
    <w:rsid w:val="00F70BFF"/>
    <w:rsid w:val="00F70C9D"/>
    <w:rsid w:val="00F71855"/>
    <w:rsid w:val="00F71F35"/>
    <w:rsid w:val="00F7255B"/>
    <w:rsid w:val="00F731A3"/>
    <w:rsid w:val="00F73CBC"/>
    <w:rsid w:val="00F73E08"/>
    <w:rsid w:val="00F74324"/>
    <w:rsid w:val="00F74552"/>
    <w:rsid w:val="00F74CD9"/>
    <w:rsid w:val="00F7537F"/>
    <w:rsid w:val="00F7559C"/>
    <w:rsid w:val="00F755F5"/>
    <w:rsid w:val="00F75607"/>
    <w:rsid w:val="00F75738"/>
    <w:rsid w:val="00F75757"/>
    <w:rsid w:val="00F75BBA"/>
    <w:rsid w:val="00F761C2"/>
    <w:rsid w:val="00F76662"/>
    <w:rsid w:val="00F778C6"/>
    <w:rsid w:val="00F7791F"/>
    <w:rsid w:val="00F77CDC"/>
    <w:rsid w:val="00F80075"/>
    <w:rsid w:val="00F8058D"/>
    <w:rsid w:val="00F80A7B"/>
    <w:rsid w:val="00F80D75"/>
    <w:rsid w:val="00F80E08"/>
    <w:rsid w:val="00F80E5D"/>
    <w:rsid w:val="00F81E2C"/>
    <w:rsid w:val="00F81E78"/>
    <w:rsid w:val="00F81F46"/>
    <w:rsid w:val="00F821DB"/>
    <w:rsid w:val="00F8234F"/>
    <w:rsid w:val="00F82417"/>
    <w:rsid w:val="00F82AEF"/>
    <w:rsid w:val="00F82FE8"/>
    <w:rsid w:val="00F83916"/>
    <w:rsid w:val="00F83FEE"/>
    <w:rsid w:val="00F844F8"/>
    <w:rsid w:val="00F8453F"/>
    <w:rsid w:val="00F84A7C"/>
    <w:rsid w:val="00F84F9D"/>
    <w:rsid w:val="00F8510A"/>
    <w:rsid w:val="00F851CE"/>
    <w:rsid w:val="00F85CFF"/>
    <w:rsid w:val="00F86AAE"/>
    <w:rsid w:val="00F86F09"/>
    <w:rsid w:val="00F8767B"/>
    <w:rsid w:val="00F87743"/>
    <w:rsid w:val="00F905AF"/>
    <w:rsid w:val="00F90A4D"/>
    <w:rsid w:val="00F90B7F"/>
    <w:rsid w:val="00F90D50"/>
    <w:rsid w:val="00F91219"/>
    <w:rsid w:val="00F9212B"/>
    <w:rsid w:val="00F923E0"/>
    <w:rsid w:val="00F92444"/>
    <w:rsid w:val="00F92662"/>
    <w:rsid w:val="00F92A0B"/>
    <w:rsid w:val="00F92A5C"/>
    <w:rsid w:val="00F92B0F"/>
    <w:rsid w:val="00F92DB6"/>
    <w:rsid w:val="00F93793"/>
    <w:rsid w:val="00F9390D"/>
    <w:rsid w:val="00F9393E"/>
    <w:rsid w:val="00F93E14"/>
    <w:rsid w:val="00F943A3"/>
    <w:rsid w:val="00F9449E"/>
    <w:rsid w:val="00F94A16"/>
    <w:rsid w:val="00F9574C"/>
    <w:rsid w:val="00F95B53"/>
    <w:rsid w:val="00F95CCD"/>
    <w:rsid w:val="00F95F24"/>
    <w:rsid w:val="00F95F6A"/>
    <w:rsid w:val="00F95FE7"/>
    <w:rsid w:val="00F9609C"/>
    <w:rsid w:val="00F962D8"/>
    <w:rsid w:val="00F96568"/>
    <w:rsid w:val="00F96C0E"/>
    <w:rsid w:val="00F96CA3"/>
    <w:rsid w:val="00F96CFB"/>
    <w:rsid w:val="00F96D86"/>
    <w:rsid w:val="00F96FD0"/>
    <w:rsid w:val="00F971BF"/>
    <w:rsid w:val="00F97418"/>
    <w:rsid w:val="00F97A78"/>
    <w:rsid w:val="00F97E4D"/>
    <w:rsid w:val="00FA0848"/>
    <w:rsid w:val="00FA0B20"/>
    <w:rsid w:val="00FA0E7E"/>
    <w:rsid w:val="00FA0F3B"/>
    <w:rsid w:val="00FA1672"/>
    <w:rsid w:val="00FA1DBB"/>
    <w:rsid w:val="00FA1E2A"/>
    <w:rsid w:val="00FA24E7"/>
    <w:rsid w:val="00FA2A1F"/>
    <w:rsid w:val="00FA2D3C"/>
    <w:rsid w:val="00FA2E6A"/>
    <w:rsid w:val="00FA2FD9"/>
    <w:rsid w:val="00FA340D"/>
    <w:rsid w:val="00FA34E7"/>
    <w:rsid w:val="00FA3B76"/>
    <w:rsid w:val="00FA3E37"/>
    <w:rsid w:val="00FA5703"/>
    <w:rsid w:val="00FA5991"/>
    <w:rsid w:val="00FA5C2E"/>
    <w:rsid w:val="00FA5DBC"/>
    <w:rsid w:val="00FA5EE6"/>
    <w:rsid w:val="00FA5FE6"/>
    <w:rsid w:val="00FA6085"/>
    <w:rsid w:val="00FA6271"/>
    <w:rsid w:val="00FA6272"/>
    <w:rsid w:val="00FA6588"/>
    <w:rsid w:val="00FA769C"/>
    <w:rsid w:val="00FA7956"/>
    <w:rsid w:val="00FA7B19"/>
    <w:rsid w:val="00FA7BF7"/>
    <w:rsid w:val="00FA7D38"/>
    <w:rsid w:val="00FA7DF7"/>
    <w:rsid w:val="00FB00C7"/>
    <w:rsid w:val="00FB0573"/>
    <w:rsid w:val="00FB06D1"/>
    <w:rsid w:val="00FB0824"/>
    <w:rsid w:val="00FB08E4"/>
    <w:rsid w:val="00FB12C4"/>
    <w:rsid w:val="00FB12FD"/>
    <w:rsid w:val="00FB151C"/>
    <w:rsid w:val="00FB21D3"/>
    <w:rsid w:val="00FB21F4"/>
    <w:rsid w:val="00FB23C9"/>
    <w:rsid w:val="00FB2559"/>
    <w:rsid w:val="00FB2A52"/>
    <w:rsid w:val="00FB2A81"/>
    <w:rsid w:val="00FB2C3C"/>
    <w:rsid w:val="00FB2C9A"/>
    <w:rsid w:val="00FB2FCB"/>
    <w:rsid w:val="00FB30C1"/>
    <w:rsid w:val="00FB382D"/>
    <w:rsid w:val="00FB3B9E"/>
    <w:rsid w:val="00FB3D84"/>
    <w:rsid w:val="00FB466C"/>
    <w:rsid w:val="00FB4B79"/>
    <w:rsid w:val="00FB4C9C"/>
    <w:rsid w:val="00FB52BF"/>
    <w:rsid w:val="00FB57BF"/>
    <w:rsid w:val="00FB6478"/>
    <w:rsid w:val="00FB678E"/>
    <w:rsid w:val="00FB69E4"/>
    <w:rsid w:val="00FB6AAB"/>
    <w:rsid w:val="00FB73B5"/>
    <w:rsid w:val="00FB7808"/>
    <w:rsid w:val="00FB7B37"/>
    <w:rsid w:val="00FB7C55"/>
    <w:rsid w:val="00FC1074"/>
    <w:rsid w:val="00FC1836"/>
    <w:rsid w:val="00FC1884"/>
    <w:rsid w:val="00FC1BFF"/>
    <w:rsid w:val="00FC2779"/>
    <w:rsid w:val="00FC2DCE"/>
    <w:rsid w:val="00FC30A4"/>
    <w:rsid w:val="00FC371D"/>
    <w:rsid w:val="00FC3ADC"/>
    <w:rsid w:val="00FC40ED"/>
    <w:rsid w:val="00FC5229"/>
    <w:rsid w:val="00FC5414"/>
    <w:rsid w:val="00FC5539"/>
    <w:rsid w:val="00FC5C0F"/>
    <w:rsid w:val="00FC5EED"/>
    <w:rsid w:val="00FC5F0B"/>
    <w:rsid w:val="00FC6070"/>
    <w:rsid w:val="00FC62F9"/>
    <w:rsid w:val="00FC64B5"/>
    <w:rsid w:val="00FC69CF"/>
    <w:rsid w:val="00FC6C8B"/>
    <w:rsid w:val="00FC6FA0"/>
    <w:rsid w:val="00FC758D"/>
    <w:rsid w:val="00FC76AF"/>
    <w:rsid w:val="00FC7743"/>
    <w:rsid w:val="00FD01C3"/>
    <w:rsid w:val="00FD0364"/>
    <w:rsid w:val="00FD0C26"/>
    <w:rsid w:val="00FD0F6F"/>
    <w:rsid w:val="00FD1601"/>
    <w:rsid w:val="00FD17BE"/>
    <w:rsid w:val="00FD1FC6"/>
    <w:rsid w:val="00FD2100"/>
    <w:rsid w:val="00FD2D5B"/>
    <w:rsid w:val="00FD2E61"/>
    <w:rsid w:val="00FD34CB"/>
    <w:rsid w:val="00FD436C"/>
    <w:rsid w:val="00FD446D"/>
    <w:rsid w:val="00FD46ED"/>
    <w:rsid w:val="00FD4DE7"/>
    <w:rsid w:val="00FD4F2C"/>
    <w:rsid w:val="00FD516C"/>
    <w:rsid w:val="00FD5544"/>
    <w:rsid w:val="00FD5BFB"/>
    <w:rsid w:val="00FD5CF9"/>
    <w:rsid w:val="00FD5F1E"/>
    <w:rsid w:val="00FD6394"/>
    <w:rsid w:val="00FD6C39"/>
    <w:rsid w:val="00FD6E63"/>
    <w:rsid w:val="00FD6ECF"/>
    <w:rsid w:val="00FD6F7B"/>
    <w:rsid w:val="00FD7344"/>
    <w:rsid w:val="00FD7B84"/>
    <w:rsid w:val="00FE03D6"/>
    <w:rsid w:val="00FE0A9C"/>
    <w:rsid w:val="00FE0E6C"/>
    <w:rsid w:val="00FE13A3"/>
    <w:rsid w:val="00FE18AE"/>
    <w:rsid w:val="00FE1CDC"/>
    <w:rsid w:val="00FE36D7"/>
    <w:rsid w:val="00FE3777"/>
    <w:rsid w:val="00FE398A"/>
    <w:rsid w:val="00FE4088"/>
    <w:rsid w:val="00FE41A2"/>
    <w:rsid w:val="00FE430E"/>
    <w:rsid w:val="00FE4908"/>
    <w:rsid w:val="00FE4F4A"/>
    <w:rsid w:val="00FE54B4"/>
    <w:rsid w:val="00FE5714"/>
    <w:rsid w:val="00FE6061"/>
    <w:rsid w:val="00FE6C99"/>
    <w:rsid w:val="00FE70C3"/>
    <w:rsid w:val="00FE717C"/>
    <w:rsid w:val="00FE7707"/>
    <w:rsid w:val="00FF04D2"/>
    <w:rsid w:val="00FF0762"/>
    <w:rsid w:val="00FF0EBB"/>
    <w:rsid w:val="00FF10DB"/>
    <w:rsid w:val="00FF1120"/>
    <w:rsid w:val="00FF193D"/>
    <w:rsid w:val="00FF1A8B"/>
    <w:rsid w:val="00FF1C27"/>
    <w:rsid w:val="00FF2A5C"/>
    <w:rsid w:val="00FF2AD9"/>
    <w:rsid w:val="00FF359F"/>
    <w:rsid w:val="00FF3DCF"/>
    <w:rsid w:val="00FF4066"/>
    <w:rsid w:val="00FF42BD"/>
    <w:rsid w:val="00FF45A2"/>
    <w:rsid w:val="00FF492C"/>
    <w:rsid w:val="00FF4A21"/>
    <w:rsid w:val="00FF4BA3"/>
    <w:rsid w:val="00FF4E18"/>
    <w:rsid w:val="00FF4F12"/>
    <w:rsid w:val="00FF5507"/>
    <w:rsid w:val="00FF59FC"/>
    <w:rsid w:val="00FF5AA3"/>
    <w:rsid w:val="00FF5AD8"/>
    <w:rsid w:val="00FF60E5"/>
    <w:rsid w:val="00FF6278"/>
    <w:rsid w:val="00FF62F9"/>
    <w:rsid w:val="00FF638C"/>
    <w:rsid w:val="00FF6AC3"/>
    <w:rsid w:val="00FF6BF2"/>
    <w:rsid w:val="00FF7171"/>
    <w:rsid w:val="00FF7586"/>
    <w:rsid w:val="00FF799A"/>
    <w:rsid w:val="0125B4AB"/>
    <w:rsid w:val="0154B8AF"/>
    <w:rsid w:val="01835BA4"/>
    <w:rsid w:val="01BAAC33"/>
    <w:rsid w:val="0216F679"/>
    <w:rsid w:val="02199536"/>
    <w:rsid w:val="02BA59DC"/>
    <w:rsid w:val="030352BF"/>
    <w:rsid w:val="034A429A"/>
    <w:rsid w:val="03600CAA"/>
    <w:rsid w:val="036E5FF5"/>
    <w:rsid w:val="03E83D30"/>
    <w:rsid w:val="049648E0"/>
    <w:rsid w:val="04E38BC1"/>
    <w:rsid w:val="0511F483"/>
    <w:rsid w:val="053F4D9F"/>
    <w:rsid w:val="057AFBFA"/>
    <w:rsid w:val="06394125"/>
    <w:rsid w:val="06503865"/>
    <w:rsid w:val="073B6CE2"/>
    <w:rsid w:val="076A8104"/>
    <w:rsid w:val="07C54D8E"/>
    <w:rsid w:val="080B537F"/>
    <w:rsid w:val="0826BCB0"/>
    <w:rsid w:val="083AD3AC"/>
    <w:rsid w:val="0931C521"/>
    <w:rsid w:val="09379C50"/>
    <w:rsid w:val="09B67F35"/>
    <w:rsid w:val="09C2A1C3"/>
    <w:rsid w:val="09CFA059"/>
    <w:rsid w:val="0A60B71C"/>
    <w:rsid w:val="0A81E433"/>
    <w:rsid w:val="0AA7404D"/>
    <w:rsid w:val="0AB15F03"/>
    <w:rsid w:val="0AB3BD52"/>
    <w:rsid w:val="0AFF9E97"/>
    <w:rsid w:val="0B5BED76"/>
    <w:rsid w:val="0BCE04C0"/>
    <w:rsid w:val="0C9C44FF"/>
    <w:rsid w:val="0CB4F089"/>
    <w:rsid w:val="0D0E5998"/>
    <w:rsid w:val="0DEC9917"/>
    <w:rsid w:val="0DF9FB11"/>
    <w:rsid w:val="0E14078D"/>
    <w:rsid w:val="0E6D2AA4"/>
    <w:rsid w:val="0E8F7927"/>
    <w:rsid w:val="0F1462E4"/>
    <w:rsid w:val="0F66592A"/>
    <w:rsid w:val="0FA4DF59"/>
    <w:rsid w:val="0FC13B91"/>
    <w:rsid w:val="1088FB36"/>
    <w:rsid w:val="111D36BB"/>
    <w:rsid w:val="11AA4307"/>
    <w:rsid w:val="1213184C"/>
    <w:rsid w:val="126B6D30"/>
    <w:rsid w:val="129E76F8"/>
    <w:rsid w:val="130B344C"/>
    <w:rsid w:val="137087F4"/>
    <w:rsid w:val="138335AF"/>
    <w:rsid w:val="13FF1DFB"/>
    <w:rsid w:val="143DD753"/>
    <w:rsid w:val="151B6E31"/>
    <w:rsid w:val="156E2041"/>
    <w:rsid w:val="174AB408"/>
    <w:rsid w:val="17B148E0"/>
    <w:rsid w:val="17B7AA0B"/>
    <w:rsid w:val="17C961C9"/>
    <w:rsid w:val="17F6C993"/>
    <w:rsid w:val="18BD1916"/>
    <w:rsid w:val="18E2610E"/>
    <w:rsid w:val="190F2D28"/>
    <w:rsid w:val="193DC28D"/>
    <w:rsid w:val="19D21D79"/>
    <w:rsid w:val="1A08735C"/>
    <w:rsid w:val="1A0EA27F"/>
    <w:rsid w:val="1B99542A"/>
    <w:rsid w:val="1BC7AA19"/>
    <w:rsid w:val="1BDBC061"/>
    <w:rsid w:val="1C0FFCC3"/>
    <w:rsid w:val="1C46771D"/>
    <w:rsid w:val="1CA09D2B"/>
    <w:rsid w:val="1CA73D29"/>
    <w:rsid w:val="1CAC09DC"/>
    <w:rsid w:val="1D10297C"/>
    <w:rsid w:val="1D4F9688"/>
    <w:rsid w:val="1D729C2B"/>
    <w:rsid w:val="1D739A15"/>
    <w:rsid w:val="1D9A1361"/>
    <w:rsid w:val="1DBD647E"/>
    <w:rsid w:val="1EDC5E20"/>
    <w:rsid w:val="1F0A1E61"/>
    <w:rsid w:val="1FD344CE"/>
    <w:rsid w:val="2077E15D"/>
    <w:rsid w:val="208D36E8"/>
    <w:rsid w:val="21E4C1CF"/>
    <w:rsid w:val="22380CC6"/>
    <w:rsid w:val="22C761A6"/>
    <w:rsid w:val="236EA257"/>
    <w:rsid w:val="23E85AE5"/>
    <w:rsid w:val="23F4099C"/>
    <w:rsid w:val="23F9054B"/>
    <w:rsid w:val="260A5145"/>
    <w:rsid w:val="263D231E"/>
    <w:rsid w:val="266231B3"/>
    <w:rsid w:val="26661EF9"/>
    <w:rsid w:val="26AEC1A8"/>
    <w:rsid w:val="2703CEF5"/>
    <w:rsid w:val="27364911"/>
    <w:rsid w:val="27494545"/>
    <w:rsid w:val="275F7F4C"/>
    <w:rsid w:val="276D2CAD"/>
    <w:rsid w:val="27BFEAE0"/>
    <w:rsid w:val="27FA7666"/>
    <w:rsid w:val="2831FAA6"/>
    <w:rsid w:val="28C189CF"/>
    <w:rsid w:val="2907556E"/>
    <w:rsid w:val="295BB776"/>
    <w:rsid w:val="2971829E"/>
    <w:rsid w:val="2A87B8EC"/>
    <w:rsid w:val="2AEED2C5"/>
    <w:rsid w:val="2AFC5091"/>
    <w:rsid w:val="2BF0707A"/>
    <w:rsid w:val="2D7B9CD8"/>
    <w:rsid w:val="2E31FA3A"/>
    <w:rsid w:val="2EF57873"/>
    <w:rsid w:val="2F09B1C0"/>
    <w:rsid w:val="2F11A6B9"/>
    <w:rsid w:val="2F504B94"/>
    <w:rsid w:val="2FA2A53A"/>
    <w:rsid w:val="2FE398D9"/>
    <w:rsid w:val="304266B6"/>
    <w:rsid w:val="307F0766"/>
    <w:rsid w:val="30B20B2B"/>
    <w:rsid w:val="30EAD6EA"/>
    <w:rsid w:val="30F69AC2"/>
    <w:rsid w:val="312324FE"/>
    <w:rsid w:val="31479F84"/>
    <w:rsid w:val="33125AE9"/>
    <w:rsid w:val="34224388"/>
    <w:rsid w:val="3428D3E6"/>
    <w:rsid w:val="34AFC9B7"/>
    <w:rsid w:val="3578DB0A"/>
    <w:rsid w:val="357EC937"/>
    <w:rsid w:val="359B0519"/>
    <w:rsid w:val="36970311"/>
    <w:rsid w:val="36B631DD"/>
    <w:rsid w:val="37B3ACA3"/>
    <w:rsid w:val="381789DD"/>
    <w:rsid w:val="3902C36B"/>
    <w:rsid w:val="3943D6AF"/>
    <w:rsid w:val="39722C50"/>
    <w:rsid w:val="3986CC3F"/>
    <w:rsid w:val="39C23E90"/>
    <w:rsid w:val="3BD0D34C"/>
    <w:rsid w:val="3C4BB81E"/>
    <w:rsid w:val="3C6F35CD"/>
    <w:rsid w:val="3D9199B4"/>
    <w:rsid w:val="3E7C5763"/>
    <w:rsid w:val="3EE90EB5"/>
    <w:rsid w:val="3FD3152C"/>
    <w:rsid w:val="3FFE4695"/>
    <w:rsid w:val="402EF6BF"/>
    <w:rsid w:val="4039208F"/>
    <w:rsid w:val="416128BC"/>
    <w:rsid w:val="41D16A7E"/>
    <w:rsid w:val="41DF126A"/>
    <w:rsid w:val="425B07A3"/>
    <w:rsid w:val="429848C1"/>
    <w:rsid w:val="42BC7927"/>
    <w:rsid w:val="438DF32B"/>
    <w:rsid w:val="43BCDB32"/>
    <w:rsid w:val="44169191"/>
    <w:rsid w:val="4416B7B6"/>
    <w:rsid w:val="447AC75F"/>
    <w:rsid w:val="44E6A69E"/>
    <w:rsid w:val="45602C1F"/>
    <w:rsid w:val="456B7B07"/>
    <w:rsid w:val="45A744DC"/>
    <w:rsid w:val="45CB4F4F"/>
    <w:rsid w:val="4625A976"/>
    <w:rsid w:val="4761D44D"/>
    <w:rsid w:val="47A0531F"/>
    <w:rsid w:val="47A59633"/>
    <w:rsid w:val="4805C6F5"/>
    <w:rsid w:val="48AFE740"/>
    <w:rsid w:val="48DF0883"/>
    <w:rsid w:val="4929996A"/>
    <w:rsid w:val="4A671680"/>
    <w:rsid w:val="4ACF5AED"/>
    <w:rsid w:val="4B5324DA"/>
    <w:rsid w:val="4B9262E3"/>
    <w:rsid w:val="4BB172A7"/>
    <w:rsid w:val="4BFD7DEA"/>
    <w:rsid w:val="4C31F3B4"/>
    <w:rsid w:val="4D95F918"/>
    <w:rsid w:val="4DFE09F5"/>
    <w:rsid w:val="4E20F8DC"/>
    <w:rsid w:val="4E89D2FD"/>
    <w:rsid w:val="4EBD3336"/>
    <w:rsid w:val="4EC3FB80"/>
    <w:rsid w:val="4ED8320E"/>
    <w:rsid w:val="4EE08D5F"/>
    <w:rsid w:val="4EEB9DFF"/>
    <w:rsid w:val="4FB834C6"/>
    <w:rsid w:val="4FCEA67F"/>
    <w:rsid w:val="5024DDA5"/>
    <w:rsid w:val="506D2C71"/>
    <w:rsid w:val="5121C5AC"/>
    <w:rsid w:val="51C0BF6C"/>
    <w:rsid w:val="53008F07"/>
    <w:rsid w:val="5344568D"/>
    <w:rsid w:val="5396A253"/>
    <w:rsid w:val="53B248FF"/>
    <w:rsid w:val="53E7C06F"/>
    <w:rsid w:val="547806F1"/>
    <w:rsid w:val="54894505"/>
    <w:rsid w:val="548A8BEC"/>
    <w:rsid w:val="54F0162F"/>
    <w:rsid w:val="55365B76"/>
    <w:rsid w:val="5664DCB0"/>
    <w:rsid w:val="56BC52EE"/>
    <w:rsid w:val="56C3176D"/>
    <w:rsid w:val="5811E945"/>
    <w:rsid w:val="5830697E"/>
    <w:rsid w:val="5903950C"/>
    <w:rsid w:val="593CD989"/>
    <w:rsid w:val="59D3B4C7"/>
    <w:rsid w:val="5A89DDF4"/>
    <w:rsid w:val="5AF7E548"/>
    <w:rsid w:val="5C045356"/>
    <w:rsid w:val="5C2309F0"/>
    <w:rsid w:val="5C45BEB3"/>
    <w:rsid w:val="5CE20CF5"/>
    <w:rsid w:val="5CE49781"/>
    <w:rsid w:val="5CF8DC5E"/>
    <w:rsid w:val="5D1615EA"/>
    <w:rsid w:val="5DACE72C"/>
    <w:rsid w:val="5DF40477"/>
    <w:rsid w:val="5F1799D5"/>
    <w:rsid w:val="5F24A2FE"/>
    <w:rsid w:val="5F2BD230"/>
    <w:rsid w:val="5F879B16"/>
    <w:rsid w:val="60BAB2B1"/>
    <w:rsid w:val="61E3879C"/>
    <w:rsid w:val="622BDBB0"/>
    <w:rsid w:val="62853CE0"/>
    <w:rsid w:val="62E80C45"/>
    <w:rsid w:val="6319CE1A"/>
    <w:rsid w:val="6319E4A5"/>
    <w:rsid w:val="634072A6"/>
    <w:rsid w:val="639869F7"/>
    <w:rsid w:val="64486925"/>
    <w:rsid w:val="64613DC0"/>
    <w:rsid w:val="64A5CACE"/>
    <w:rsid w:val="64F394EA"/>
    <w:rsid w:val="6583B88D"/>
    <w:rsid w:val="65876222"/>
    <w:rsid w:val="663AC545"/>
    <w:rsid w:val="6640C4BF"/>
    <w:rsid w:val="665C8771"/>
    <w:rsid w:val="66E53319"/>
    <w:rsid w:val="66F659B5"/>
    <w:rsid w:val="67B4B0FC"/>
    <w:rsid w:val="67C5D046"/>
    <w:rsid w:val="67D2BB62"/>
    <w:rsid w:val="684145C2"/>
    <w:rsid w:val="69980B69"/>
    <w:rsid w:val="6A49F671"/>
    <w:rsid w:val="6AAC2349"/>
    <w:rsid w:val="6ACCB60E"/>
    <w:rsid w:val="6B810727"/>
    <w:rsid w:val="6BE95435"/>
    <w:rsid w:val="6BECEBC0"/>
    <w:rsid w:val="6BF4583B"/>
    <w:rsid w:val="6C042543"/>
    <w:rsid w:val="6D8E7528"/>
    <w:rsid w:val="6D8F42BF"/>
    <w:rsid w:val="6DE12F57"/>
    <w:rsid w:val="6E3A54B7"/>
    <w:rsid w:val="6E9A0676"/>
    <w:rsid w:val="6F284CEC"/>
    <w:rsid w:val="6F9D0BA1"/>
    <w:rsid w:val="6FD5A5BD"/>
    <w:rsid w:val="70497230"/>
    <w:rsid w:val="70AF69E9"/>
    <w:rsid w:val="716C4BAD"/>
    <w:rsid w:val="71E39312"/>
    <w:rsid w:val="74223E9F"/>
    <w:rsid w:val="746FC44E"/>
    <w:rsid w:val="7476852C"/>
    <w:rsid w:val="75A58F36"/>
    <w:rsid w:val="7640C756"/>
    <w:rsid w:val="76677834"/>
    <w:rsid w:val="76FFE88F"/>
    <w:rsid w:val="770497F3"/>
    <w:rsid w:val="78527C10"/>
    <w:rsid w:val="78A18CED"/>
    <w:rsid w:val="78A74247"/>
    <w:rsid w:val="78AC470A"/>
    <w:rsid w:val="793B6645"/>
    <w:rsid w:val="79CA0E03"/>
    <w:rsid w:val="79EDBED6"/>
    <w:rsid w:val="7A015995"/>
    <w:rsid w:val="7A54951F"/>
    <w:rsid w:val="7A57BA7C"/>
    <w:rsid w:val="7AFE19D2"/>
    <w:rsid w:val="7B55EEBF"/>
    <w:rsid w:val="7B6BD4C4"/>
    <w:rsid w:val="7C4F5DE9"/>
    <w:rsid w:val="7CC96AAD"/>
    <w:rsid w:val="7DB0E811"/>
    <w:rsid w:val="7E232514"/>
    <w:rsid w:val="7EDCD883"/>
    <w:rsid w:val="7F326ED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9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RTI AMCP Table,Dossier table,Section 3- footnotes,Tabellengitternetz,Legemiddelverket 3,HTAtableplain,Dossi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4269D0"/>
    <w:pPr>
      <w:keepNext/>
      <w:keepLines/>
    </w:pPr>
    <w:rPr>
      <w:rFonts w:ascii="Arial Narrow" w:eastAsiaTheme="majorEastAsia" w:hAnsi="Arial Narrow" w:cstheme="minorHAnsi"/>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09520E"/>
    <w:rPr>
      <w:rFonts w:ascii="Arial Narrow" w:eastAsiaTheme="majorEastAsia" w:hAnsi="Arial Narrow" w:cstheme="minorHAnsi"/>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5A2403"/>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5A2403"/>
    <w:rPr>
      <w:rFonts w:ascii="Arial Narrow" w:hAnsi="Arial Narrow" w:cs="Arial"/>
      <w:snapToGrid w:val="0"/>
      <w:sz w:val="18"/>
      <w:szCs w:val="22"/>
    </w:rPr>
  </w:style>
  <w:style w:type="paragraph" w:styleId="FootnoteText">
    <w:name w:val="footnote text"/>
    <w:basedOn w:val="Normal"/>
    <w:link w:val="FootnoteTextChar"/>
    <w:uiPriority w:val="99"/>
    <w:semiHidden/>
    <w:unhideWhenUsed/>
    <w:rsid w:val="00997EA5"/>
    <w:rPr>
      <w:sz w:val="20"/>
      <w:szCs w:val="20"/>
    </w:rPr>
  </w:style>
  <w:style w:type="character" w:customStyle="1" w:styleId="FootnoteTextChar">
    <w:name w:val="Footnote Text Char"/>
    <w:basedOn w:val="DefaultParagraphFont"/>
    <w:link w:val="FootnoteText"/>
    <w:uiPriority w:val="99"/>
    <w:semiHidden/>
    <w:rsid w:val="00997EA5"/>
    <w:rPr>
      <w:rFonts w:ascii="Calibri" w:hAnsi="Calibri" w:cs="Arial"/>
    </w:rPr>
  </w:style>
  <w:style w:type="character" w:styleId="FootnoteReference">
    <w:name w:val="footnote reference"/>
    <w:basedOn w:val="DefaultParagraphFont"/>
    <w:uiPriority w:val="99"/>
    <w:semiHidden/>
    <w:unhideWhenUsed/>
    <w:rsid w:val="00997EA5"/>
    <w:rPr>
      <w:vertAlign w:val="superscript"/>
    </w:rPr>
  </w:style>
  <w:style w:type="character" w:styleId="Mention">
    <w:name w:val="Mention"/>
    <w:basedOn w:val="DefaultParagraphFont"/>
    <w:uiPriority w:val="99"/>
    <w:unhideWhenUsed/>
    <w:rsid w:val="005B6F41"/>
    <w:rPr>
      <w:color w:val="2B579A"/>
      <w:shd w:val="clear" w:color="auto" w:fill="E1DFDD"/>
    </w:rPr>
  </w:style>
  <w:style w:type="character" w:customStyle="1" w:styleId="TableHeadingChar">
    <w:name w:val="TableHeading Char"/>
    <w:link w:val="TableHeading"/>
    <w:rsid w:val="001E0FB5"/>
    <w:rPr>
      <w:rFonts w:ascii="Arial Narrow" w:hAnsi="Arial Narrow" w:cs="Arial Narrow"/>
      <w:b/>
      <w:bCs/>
      <w:snapToGrid w:val="0"/>
      <w:szCs w:val="24"/>
    </w:rPr>
  </w:style>
  <w:style w:type="character" w:customStyle="1" w:styleId="normaltextrun">
    <w:name w:val="normaltextrun"/>
    <w:basedOn w:val="DefaultParagraphFont"/>
    <w:rsid w:val="009D4509"/>
  </w:style>
  <w:style w:type="table" w:customStyle="1" w:styleId="Summarybox1">
    <w:name w:val="Summary box1"/>
    <w:basedOn w:val="TableNormal"/>
    <w:next w:val="TableGrid"/>
    <w:rsid w:val="002E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0F74"/>
    <w:rPr>
      <w:color w:val="605E5C"/>
      <w:shd w:val="clear" w:color="auto" w:fill="E1DFDD"/>
    </w:rPr>
  </w:style>
  <w:style w:type="table" w:customStyle="1" w:styleId="DossierTable1">
    <w:name w:val="Dossier Table1"/>
    <w:basedOn w:val="TableNormal"/>
    <w:next w:val="TableGrid"/>
    <w:uiPriority w:val="39"/>
    <w:rsid w:val="005F7FBD"/>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C3125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3125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12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115346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69737069">
      <w:bodyDiv w:val="1"/>
      <w:marLeft w:val="0"/>
      <w:marRight w:val="0"/>
      <w:marTop w:val="0"/>
      <w:marBottom w:val="0"/>
      <w:divBdr>
        <w:top w:val="none" w:sz="0" w:space="0" w:color="auto"/>
        <w:left w:val="none" w:sz="0" w:space="0" w:color="auto"/>
        <w:bottom w:val="none" w:sz="0" w:space="0" w:color="auto"/>
        <w:right w:val="none" w:sz="0" w:space="0" w:color="auto"/>
      </w:divBdr>
    </w:div>
    <w:div w:id="58461340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82083180">
      <w:bodyDiv w:val="1"/>
      <w:marLeft w:val="0"/>
      <w:marRight w:val="0"/>
      <w:marTop w:val="0"/>
      <w:marBottom w:val="0"/>
      <w:divBdr>
        <w:top w:val="none" w:sz="0" w:space="0" w:color="auto"/>
        <w:left w:val="none" w:sz="0" w:space="0" w:color="auto"/>
        <w:bottom w:val="none" w:sz="0" w:space="0" w:color="auto"/>
        <w:right w:val="none" w:sz="0" w:space="0" w:color="auto"/>
      </w:divBdr>
    </w:div>
    <w:div w:id="990059003">
      <w:bodyDiv w:val="1"/>
      <w:marLeft w:val="0"/>
      <w:marRight w:val="0"/>
      <w:marTop w:val="0"/>
      <w:marBottom w:val="0"/>
      <w:divBdr>
        <w:top w:val="none" w:sz="0" w:space="0" w:color="auto"/>
        <w:left w:val="none" w:sz="0" w:space="0" w:color="auto"/>
        <w:bottom w:val="none" w:sz="0" w:space="0" w:color="auto"/>
        <w:right w:val="none" w:sz="0" w:space="0" w:color="auto"/>
      </w:divBdr>
    </w:div>
    <w:div w:id="10307645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52657294">
      <w:bodyDiv w:val="1"/>
      <w:marLeft w:val="0"/>
      <w:marRight w:val="0"/>
      <w:marTop w:val="0"/>
      <w:marBottom w:val="0"/>
      <w:divBdr>
        <w:top w:val="none" w:sz="0" w:space="0" w:color="auto"/>
        <w:left w:val="none" w:sz="0" w:space="0" w:color="auto"/>
        <w:bottom w:val="none" w:sz="0" w:space="0" w:color="auto"/>
        <w:right w:val="none" w:sz="0" w:space="0" w:color="auto"/>
      </w:divBdr>
    </w:div>
    <w:div w:id="176364193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5498957">
      <w:bodyDiv w:val="1"/>
      <w:marLeft w:val="0"/>
      <w:marRight w:val="0"/>
      <w:marTop w:val="0"/>
      <w:marBottom w:val="0"/>
      <w:divBdr>
        <w:top w:val="none" w:sz="0" w:space="0" w:color="auto"/>
        <w:left w:val="none" w:sz="0" w:space="0" w:color="auto"/>
        <w:bottom w:val="none" w:sz="0" w:space="0" w:color="auto"/>
        <w:right w:val="none" w:sz="0" w:space="0" w:color="auto"/>
      </w:divBdr>
    </w:div>
    <w:div w:id="21343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servicesaustralia.gov.au/hpos" TargetMode="External"/><Relationship Id="rId3" Type="http://schemas.openxmlformats.org/officeDocument/2006/relationships/customXml" Target="../customXml/item3.xml"/><Relationship Id="rId21" Type="http://schemas.openxmlformats.org/officeDocument/2006/relationships/hyperlink" Target="http://www.servicesaustralia.gov.au" TargetMode="Externa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footer" Target="footer1.xml"/><Relationship Id="rId25" Type="http://schemas.openxmlformats.org/officeDocument/2006/relationships/hyperlink" Target="http://www.servicesaustralia.gov.au/hpo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 TargetMode="External"/><Relationship Id="rId24" Type="http://schemas.openxmlformats.org/officeDocument/2006/relationships/hyperlink" Target="http://www.servicesaustralia.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servicesaustralia.gov.au/hpo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servicesaustralia.gov.au/hpo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F85E6-9CE9-473A-9ADF-9437863C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DDA2E334-4664-4466-8F92-EE96728C1B0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F21DF0ED-DBF0-4931-A18C-D479EC279F99}">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22421</Words>
  <Characters>121749</Characters>
  <Application>Microsoft Office Word</Application>
  <DocSecurity>0</DocSecurity>
  <Lines>3478</Lines>
  <Paragraphs>2002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142168</CharactersWithSpaces>
  <SharedDoc>false</SharedDoc>
  <HLinks>
    <vt:vector size="48" baseType="variant">
      <vt:variant>
        <vt:i4>1507399</vt:i4>
      </vt:variant>
      <vt:variant>
        <vt:i4>210</vt:i4>
      </vt:variant>
      <vt:variant>
        <vt:i4>0</vt:i4>
      </vt:variant>
      <vt:variant>
        <vt:i4>5</vt:i4>
      </vt:variant>
      <vt:variant>
        <vt:lpwstr>http://www.servicesaustralia.gov.au/hpos</vt:lpwstr>
      </vt:variant>
      <vt:variant>
        <vt:lpwstr/>
      </vt:variant>
      <vt:variant>
        <vt:i4>1507399</vt:i4>
      </vt:variant>
      <vt:variant>
        <vt:i4>207</vt:i4>
      </vt:variant>
      <vt:variant>
        <vt:i4>0</vt:i4>
      </vt:variant>
      <vt:variant>
        <vt:i4>5</vt:i4>
      </vt:variant>
      <vt:variant>
        <vt:lpwstr>http://www.servicesaustralia.gov.au/hpos</vt:lpwstr>
      </vt:variant>
      <vt:variant>
        <vt:lpwstr/>
      </vt:variant>
      <vt:variant>
        <vt:i4>1310784</vt:i4>
      </vt:variant>
      <vt:variant>
        <vt:i4>204</vt:i4>
      </vt:variant>
      <vt:variant>
        <vt:i4>0</vt:i4>
      </vt:variant>
      <vt:variant>
        <vt:i4>5</vt:i4>
      </vt:variant>
      <vt:variant>
        <vt:lpwstr>http://www.servicesaustralia.gov.au/</vt:lpwstr>
      </vt:variant>
      <vt:variant>
        <vt:lpwstr/>
      </vt:variant>
      <vt:variant>
        <vt:i4>1507399</vt:i4>
      </vt:variant>
      <vt:variant>
        <vt:i4>201</vt:i4>
      </vt:variant>
      <vt:variant>
        <vt:i4>0</vt:i4>
      </vt:variant>
      <vt:variant>
        <vt:i4>5</vt:i4>
      </vt:variant>
      <vt:variant>
        <vt:lpwstr>http://www.servicesaustralia.gov.au/hpos</vt:lpwstr>
      </vt:variant>
      <vt:variant>
        <vt:lpwstr/>
      </vt:variant>
      <vt:variant>
        <vt:i4>1507399</vt:i4>
      </vt:variant>
      <vt:variant>
        <vt:i4>198</vt:i4>
      </vt:variant>
      <vt:variant>
        <vt:i4>0</vt:i4>
      </vt:variant>
      <vt:variant>
        <vt:i4>5</vt:i4>
      </vt:variant>
      <vt:variant>
        <vt:lpwstr>http://www.servicesaustralia.gov.au/hpos</vt:lpwstr>
      </vt:variant>
      <vt:variant>
        <vt:lpwstr/>
      </vt:variant>
      <vt:variant>
        <vt:i4>1310784</vt:i4>
      </vt:variant>
      <vt:variant>
        <vt:i4>195</vt:i4>
      </vt:variant>
      <vt:variant>
        <vt:i4>0</vt:i4>
      </vt:variant>
      <vt:variant>
        <vt:i4>5</vt:i4>
      </vt:variant>
      <vt:variant>
        <vt:lpwstr>http://www.servicesaustralia.gov.au/</vt:lpwstr>
      </vt:variant>
      <vt:variant>
        <vt:lpwstr/>
      </vt:variant>
      <vt:variant>
        <vt:i4>1507399</vt:i4>
      </vt:variant>
      <vt:variant>
        <vt:i4>21</vt:i4>
      </vt:variant>
      <vt:variant>
        <vt:i4>0</vt:i4>
      </vt:variant>
      <vt:variant>
        <vt:i4>5</vt:i4>
      </vt:variant>
      <vt:variant>
        <vt:lpwstr>http://www.servicesaustralia.gov.au/hpos</vt:lpwstr>
      </vt:variant>
      <vt:variant>
        <vt:lpwstr/>
      </vt:variant>
      <vt:variant>
        <vt:i4>1310784</vt:i4>
      </vt:variant>
      <vt:variant>
        <vt:i4>18</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2025-09-29T00:35:00Z</dcterms:created>
  <dcterms:modified xsi:type="dcterms:W3CDTF">2025-10-23T03:23:00Z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3950000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7cd3e8b9-ffed-43a8-b7f4-cc2fa0382d36_Enabled">
    <vt:lpwstr>True</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SetDate">
    <vt:lpwstr>2025-09-03T22:58:42Z</vt:lpwstr>
  </property>
  <property fmtid="{D5CDD505-2E9C-101B-9397-08002B2CF9AE}" pid="14" name="MSIP_Label_7cd3e8b9-ffed-43a8-b7f4-cc2fa0382d36_Name">
    <vt:lpwstr>OFFICIAL</vt:lpwstr>
  </property>
  <property fmtid="{D5CDD505-2E9C-101B-9397-08002B2CF9AE}" pid="15" name="MSIP_Label_7cd3e8b9-ffed-43a8-b7f4-cc2fa0382d36_ActionId">
    <vt:lpwstr>81238cff-068d-4369-8d42-aebd5a8b5126</vt:lpwstr>
  </property>
  <property fmtid="{D5CDD505-2E9C-101B-9397-08002B2CF9AE}" pid="16" name="MSIP_Label_7cd3e8b9-ffed-43a8-b7f4-cc2fa0382d36_Removed">
    <vt:lpwstr>False</vt:lpwstr>
  </property>
  <property fmtid="{D5CDD505-2E9C-101B-9397-08002B2CF9AE}" pid="17" name="MSIP_Label_7cd3e8b9-ffed-43a8-b7f4-cc2fa0382d36_Extended_MSFT_Method">
    <vt:lpwstr>Standard</vt:lpwstr>
  </property>
  <property fmtid="{D5CDD505-2E9C-101B-9397-08002B2CF9AE}" pid="18" name="Sensitivity">
    <vt:lpwstr>OFFICIAL</vt:lpwstr>
  </property>
  <property fmtid="{D5CDD505-2E9C-101B-9397-08002B2CF9AE}" pid="19" name="docLang">
    <vt:lpwstr>en</vt:lpwstr>
  </property>
</Properties>
</file>