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553D3" w14:textId="22C9F855" w:rsidR="00704AA7" w:rsidRPr="0052190B" w:rsidRDefault="00020ECE" w:rsidP="00213DD5">
      <w:pPr>
        <w:pStyle w:val="GeneralHeading"/>
        <w:spacing w:before="0" w:after="0"/>
        <w:rPr>
          <w:bCs/>
          <w:sz w:val="36"/>
          <w:szCs w:val="36"/>
        </w:rPr>
      </w:pPr>
      <w:r w:rsidRPr="00704AA7">
        <w:rPr>
          <w:rStyle w:val="5-SubsectionSubheadingChar"/>
          <w:sz w:val="36"/>
          <w:szCs w:val="36"/>
        </w:rPr>
        <w:t>7</w:t>
      </w:r>
      <w:r w:rsidR="7C73E7A8" w:rsidRPr="00704AA7">
        <w:rPr>
          <w:rStyle w:val="5-SubsectionSubheadingChar"/>
          <w:sz w:val="36"/>
          <w:szCs w:val="36"/>
        </w:rPr>
        <w:t>.</w:t>
      </w:r>
      <w:r w:rsidR="0047354F">
        <w:rPr>
          <w:rStyle w:val="5-SubsectionSubheadingChar"/>
          <w:sz w:val="36"/>
          <w:szCs w:val="36"/>
        </w:rPr>
        <w:t>06</w:t>
      </w:r>
      <w:r w:rsidR="000B7767" w:rsidRPr="00EF4580">
        <w:tab/>
      </w:r>
      <w:r w:rsidR="00704AA7" w:rsidRPr="00E473A9">
        <w:rPr>
          <w:rStyle w:val="5-SubsectionSubheadingChar"/>
          <w:bCs w:val="0"/>
          <w:sz w:val="36"/>
          <w:szCs w:val="36"/>
        </w:rPr>
        <w:t>PALOPEGTERIPARATIDE,</w:t>
      </w:r>
      <w:r w:rsidR="00704AA7" w:rsidRPr="00E473A9">
        <w:rPr>
          <w:rStyle w:val="5-SubsectionSubheadingChar"/>
          <w:bCs w:val="0"/>
          <w:sz w:val="36"/>
          <w:szCs w:val="36"/>
        </w:rPr>
        <w:br/>
      </w:r>
      <w:r w:rsidR="00704AA7" w:rsidRPr="0052190B">
        <w:rPr>
          <w:bCs/>
          <w:sz w:val="36"/>
          <w:szCs w:val="36"/>
        </w:rPr>
        <w:t xml:space="preserve">Solution for subcutaneous injection 168 mcg in </w:t>
      </w:r>
      <w:r w:rsidR="00704AA7" w:rsidRPr="0052190B">
        <w:rPr>
          <w:bCs/>
          <w:sz w:val="36"/>
          <w:szCs w:val="36"/>
        </w:rPr>
        <w:br/>
        <w:t>0.56 mL pre-filled pen,</w:t>
      </w:r>
      <w:r w:rsidR="00704AA7" w:rsidRPr="0052190B">
        <w:rPr>
          <w:bCs/>
          <w:sz w:val="36"/>
          <w:szCs w:val="36"/>
        </w:rPr>
        <w:br/>
        <w:t xml:space="preserve">Solution for subcutaneous injection 294 mcg in </w:t>
      </w:r>
      <w:r w:rsidR="00704AA7" w:rsidRPr="0052190B">
        <w:rPr>
          <w:bCs/>
          <w:sz w:val="36"/>
          <w:szCs w:val="36"/>
        </w:rPr>
        <w:br/>
        <w:t>0.98 mL pre-filled pen,</w:t>
      </w:r>
    </w:p>
    <w:p w14:paraId="1D4DA616" w14:textId="77777777" w:rsidR="00704AA7" w:rsidRPr="0052190B" w:rsidRDefault="00704AA7" w:rsidP="00213DD5">
      <w:pPr>
        <w:pStyle w:val="3-BodyText"/>
        <w:numPr>
          <w:ilvl w:val="0"/>
          <w:numId w:val="0"/>
        </w:numPr>
        <w:spacing w:after="0"/>
        <w:ind w:left="720"/>
        <w:jc w:val="left"/>
        <w:rPr>
          <w:b/>
          <w:bCs/>
          <w:sz w:val="36"/>
          <w:szCs w:val="36"/>
        </w:rPr>
      </w:pPr>
      <w:r w:rsidRPr="0052190B">
        <w:rPr>
          <w:b/>
          <w:bCs/>
          <w:sz w:val="36"/>
          <w:szCs w:val="36"/>
        </w:rPr>
        <w:t xml:space="preserve">Solution for subcutaneous injection 420 mcg in </w:t>
      </w:r>
      <w:r w:rsidRPr="0052190B">
        <w:rPr>
          <w:b/>
          <w:bCs/>
          <w:sz w:val="36"/>
          <w:szCs w:val="36"/>
        </w:rPr>
        <w:br/>
        <w:t>1.4 mL pre-filled pen,</w:t>
      </w:r>
    </w:p>
    <w:p w14:paraId="46E96B24" w14:textId="4A18C875" w:rsidR="00704AA7" w:rsidRPr="0052190B" w:rsidRDefault="00704AA7" w:rsidP="00213DD5">
      <w:pPr>
        <w:pStyle w:val="3-BodyText"/>
        <w:numPr>
          <w:ilvl w:val="0"/>
          <w:numId w:val="0"/>
        </w:numPr>
        <w:spacing w:after="240"/>
        <w:ind w:left="720"/>
        <w:jc w:val="left"/>
        <w:rPr>
          <w:b/>
          <w:bCs/>
          <w:sz w:val="36"/>
          <w:szCs w:val="36"/>
        </w:rPr>
      </w:pPr>
      <w:r w:rsidRPr="383E5602">
        <w:rPr>
          <w:b/>
          <w:bCs/>
          <w:sz w:val="36"/>
          <w:szCs w:val="36"/>
        </w:rPr>
        <w:t>Yorvipath</w:t>
      </w:r>
      <w:r w:rsidRPr="383E5602">
        <w:rPr>
          <w:b/>
          <w:bCs/>
          <w:sz w:val="36"/>
          <w:szCs w:val="36"/>
          <w:vertAlign w:val="superscript"/>
        </w:rPr>
        <w:t>®</w:t>
      </w:r>
      <w:r>
        <w:br/>
      </w:r>
      <w:r w:rsidRPr="383E5602">
        <w:rPr>
          <w:b/>
          <w:bCs/>
          <w:sz w:val="36"/>
          <w:szCs w:val="36"/>
        </w:rPr>
        <w:t xml:space="preserve">Specialised Therapeutics Pharma Pty Ltd </w:t>
      </w:r>
    </w:p>
    <w:p w14:paraId="1DE8D195" w14:textId="4CE433FC" w:rsidR="003F044F" w:rsidRPr="006C5B33" w:rsidRDefault="009C5B72" w:rsidP="00213DD5">
      <w:pPr>
        <w:pStyle w:val="2-SectionHeading"/>
        <w:rPr>
          <w:rFonts w:eastAsia="Calibri"/>
        </w:rPr>
      </w:pPr>
      <w:r w:rsidRPr="006C5B33">
        <w:t>Purpose</w:t>
      </w:r>
    </w:p>
    <w:p w14:paraId="055F1FC8" w14:textId="7A5D48E0" w:rsidR="00F81F7A" w:rsidRPr="002C633F" w:rsidRDefault="00F81F7A" w:rsidP="00213DD5">
      <w:pPr>
        <w:pStyle w:val="3-BodyText"/>
      </w:pPr>
      <w:r w:rsidRPr="00F81F7A">
        <w:t xml:space="preserve">The </w:t>
      </w:r>
      <w:r w:rsidR="009D55E2" w:rsidRPr="002C633F">
        <w:t>early re-entry re</w:t>
      </w:r>
      <w:r w:rsidRPr="002C633F">
        <w:t xml:space="preserve">submission </w:t>
      </w:r>
      <w:r w:rsidR="00E103A0" w:rsidRPr="002C633F">
        <w:t>sought</w:t>
      </w:r>
      <w:r w:rsidRPr="002C633F">
        <w:t xml:space="preserve"> </w:t>
      </w:r>
      <w:r w:rsidR="00737F4D" w:rsidRPr="00AB222B">
        <w:rPr>
          <w:color w:val="0D0D0D" w:themeColor="text1" w:themeTint="F2"/>
        </w:rPr>
        <w:t xml:space="preserve">the PBS listing of </w:t>
      </w:r>
      <w:r w:rsidR="00704AA7">
        <w:rPr>
          <w:color w:val="0D0D0D" w:themeColor="text1" w:themeTint="F2"/>
        </w:rPr>
        <w:t xml:space="preserve">palopegteriparatide </w:t>
      </w:r>
      <w:r w:rsidR="00737F4D" w:rsidRPr="00AB222B">
        <w:rPr>
          <w:color w:val="0D0D0D" w:themeColor="text1" w:themeTint="F2"/>
        </w:rPr>
        <w:t xml:space="preserve">for the treatment of </w:t>
      </w:r>
      <w:r w:rsidR="00FC3450">
        <w:rPr>
          <w:color w:val="0D0D0D" w:themeColor="text1" w:themeTint="F2"/>
        </w:rPr>
        <w:t xml:space="preserve">adult patients with chronic hypoparathyroidism (HPT) who are inadequately controlled on conventional therapy (consisting of </w:t>
      </w:r>
      <w:r w:rsidR="00CC1DD8">
        <w:rPr>
          <w:color w:val="0D0D0D" w:themeColor="text1" w:themeTint="F2"/>
        </w:rPr>
        <w:t xml:space="preserve">active vitamin D and calcium supplements). </w:t>
      </w:r>
    </w:p>
    <w:p w14:paraId="5AB68F30" w14:textId="4216619F" w:rsidR="009D55E2" w:rsidRPr="00D34011" w:rsidRDefault="6657D135" w:rsidP="00213DD5">
      <w:pPr>
        <w:pStyle w:val="3-BodyText"/>
        <w:rPr>
          <w:rFonts w:eastAsiaTheme="minorEastAsia"/>
          <w:color w:val="1F497D" w:themeColor="text2"/>
        </w:rPr>
      </w:pPr>
      <w:r w:rsidRPr="002C633F">
        <w:t xml:space="preserve">The </w:t>
      </w:r>
      <w:r w:rsidR="009D55E2" w:rsidRPr="002C633F">
        <w:t>re</w:t>
      </w:r>
      <w:r w:rsidRPr="002C633F">
        <w:t xml:space="preserve">submission was based on </w:t>
      </w:r>
      <w:r w:rsidR="009D55E2" w:rsidRPr="002C633F">
        <w:t xml:space="preserve">the PBAC decision </w:t>
      </w:r>
      <w:r w:rsidR="00DF4821" w:rsidRPr="00737F4D">
        <w:t xml:space="preserve">to not recommend </w:t>
      </w:r>
      <w:r w:rsidR="00CC1DD8">
        <w:t>palopegteriparatide</w:t>
      </w:r>
      <w:r w:rsidR="00DF4821" w:rsidRPr="00737F4D">
        <w:t xml:space="preserve"> for this indication </w:t>
      </w:r>
      <w:r w:rsidR="00CC1DD8">
        <w:t>at its March 2025</w:t>
      </w:r>
      <w:r w:rsidR="00737F4D">
        <w:t xml:space="preserve"> meeting</w:t>
      </w:r>
      <w:r w:rsidR="009D55E2" w:rsidRPr="002C633F">
        <w:t xml:space="preserve"> </w:t>
      </w:r>
      <w:r w:rsidR="0077518D" w:rsidRPr="002C633F">
        <w:t>(</w:t>
      </w:r>
      <w:r w:rsidR="00737F4D">
        <w:t>r</w:t>
      </w:r>
      <w:r w:rsidR="0077518D" w:rsidRPr="002C633F">
        <w:t xml:space="preserve">efer </w:t>
      </w:r>
      <w:r w:rsidR="0077518D" w:rsidRPr="00EF4580">
        <w:t xml:space="preserve">to </w:t>
      </w:r>
      <w:r w:rsidR="00666C49">
        <w:t>e-agenda</w:t>
      </w:r>
      <w:r w:rsidR="00E935DA" w:rsidRPr="00EF4580">
        <w:rPr>
          <w:color w:val="FF0000"/>
        </w:rPr>
        <w:t xml:space="preserve"> </w:t>
      </w:r>
      <w:r w:rsidR="00E935DA" w:rsidRPr="004D2CD1">
        <w:t xml:space="preserve">for </w:t>
      </w:r>
      <w:r w:rsidR="009D55E2">
        <w:t>full minutes</w:t>
      </w:r>
      <w:r w:rsidR="0077518D" w:rsidRPr="00EF4580">
        <w:t>)</w:t>
      </w:r>
      <w:r w:rsidRPr="00EF4580">
        <w:t xml:space="preserve">. </w:t>
      </w:r>
      <w:r w:rsidRPr="00EF4580">
        <w:rPr>
          <w:snapToGrid w:val="0"/>
        </w:rPr>
        <w:t xml:space="preserve">This </w:t>
      </w:r>
      <w:r w:rsidR="009D55E2">
        <w:rPr>
          <w:snapToGrid w:val="0"/>
        </w:rPr>
        <w:t xml:space="preserve">resubmission addressed </w:t>
      </w:r>
      <w:r w:rsidR="00737F4D">
        <w:rPr>
          <w:snapToGrid w:val="0"/>
        </w:rPr>
        <w:t xml:space="preserve">some of </w:t>
      </w:r>
      <w:r w:rsidR="009D55E2">
        <w:rPr>
          <w:snapToGrid w:val="0"/>
        </w:rPr>
        <w:t xml:space="preserve">the </w:t>
      </w:r>
      <w:r w:rsidRPr="00EF4580">
        <w:rPr>
          <w:snapToGrid w:val="0"/>
        </w:rPr>
        <w:t>is</w:t>
      </w:r>
      <w:r w:rsidR="009D55E2">
        <w:rPr>
          <w:snapToGrid w:val="0"/>
        </w:rPr>
        <w:t>sues raised</w:t>
      </w:r>
      <w:r w:rsidRPr="00EF4580">
        <w:rPr>
          <w:snapToGrid w:val="0"/>
        </w:rPr>
        <w:t xml:space="preserve"> </w:t>
      </w:r>
      <w:r w:rsidR="009D55E2">
        <w:rPr>
          <w:snapToGrid w:val="0"/>
        </w:rPr>
        <w:t xml:space="preserve">by </w:t>
      </w:r>
      <w:r w:rsidR="00737F4D">
        <w:rPr>
          <w:snapToGrid w:val="0"/>
        </w:rPr>
        <w:t xml:space="preserve">the </w:t>
      </w:r>
      <w:r w:rsidR="009D55E2" w:rsidRPr="009D55E2">
        <w:rPr>
          <w:snapToGrid w:val="0"/>
        </w:rPr>
        <w:t>PBAC</w:t>
      </w:r>
      <w:r w:rsidR="009B750F">
        <w:rPr>
          <w:snapToGrid w:val="0"/>
        </w:rPr>
        <w:t>;</w:t>
      </w:r>
      <w:r w:rsidR="009D55E2" w:rsidRPr="009D55E2">
        <w:rPr>
          <w:snapToGrid w:val="0"/>
        </w:rPr>
        <w:t xml:space="preserve"> </w:t>
      </w:r>
      <w:r w:rsidR="009B750F">
        <w:rPr>
          <w:snapToGrid w:val="0"/>
        </w:rPr>
        <w:t>see t</w:t>
      </w:r>
      <w:r w:rsidR="009D55E2" w:rsidRPr="009D55E2">
        <w:rPr>
          <w:snapToGrid w:val="0"/>
        </w:rPr>
        <w:t>able below.</w:t>
      </w:r>
    </w:p>
    <w:p w14:paraId="13DC54C9" w14:textId="6C2F4422" w:rsidR="009D55E2" w:rsidRPr="002C633F" w:rsidRDefault="009D55E2" w:rsidP="00213DD5">
      <w:pPr>
        <w:pStyle w:val="TableFigureHeading"/>
      </w:pPr>
      <w:r w:rsidRPr="002C633F">
        <w:lastRenderedPageBreak/>
        <w:t xml:space="preserve"> </w:t>
      </w:r>
      <w:bookmarkStart w:id="0" w:name="_Ref178862192"/>
      <w:bookmarkStart w:id="1" w:name="_Ref204865985"/>
      <w:r w:rsidR="00737F4D">
        <w:t xml:space="preserve">Table </w:t>
      </w:r>
      <w:r w:rsidR="00251729">
        <w:fldChar w:fldCharType="begin"/>
      </w:r>
      <w:r w:rsidR="00251729">
        <w:instrText xml:space="preserve"> SEQ Table \* ARABIC </w:instrText>
      </w:r>
      <w:r w:rsidR="00251729">
        <w:fldChar w:fldCharType="separate"/>
      </w:r>
      <w:r w:rsidR="005F7320">
        <w:rPr>
          <w:noProof/>
        </w:rPr>
        <w:t>1</w:t>
      </w:r>
      <w:r w:rsidR="00251729">
        <w:rPr>
          <w:noProof/>
        </w:rPr>
        <w:fldChar w:fldCharType="end"/>
      </w:r>
      <w:bookmarkEnd w:id="0"/>
      <w:r w:rsidR="002832AE">
        <w:t>:</w:t>
      </w:r>
      <w:r w:rsidRPr="002C633F">
        <w:t xml:space="preserve"> </w:t>
      </w:r>
      <w:bookmarkStart w:id="2" w:name="_Ref204866002"/>
      <w:r w:rsidRPr="002C633F">
        <w:t>Summary of key matters to be addressed</w:t>
      </w:r>
      <w:r w:rsidR="002B617E">
        <w:t xml:space="preserve"> from the March 2025 PBAC consideration</w:t>
      </w:r>
      <w:bookmarkEnd w:id="1"/>
      <w:bookmarkEnd w:id="2"/>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 Table 1: Summary of key matters to be addressed from the March 2025 PBAC consideration"/>
      </w:tblPr>
      <w:tblGrid>
        <w:gridCol w:w="4914"/>
        <w:gridCol w:w="2916"/>
        <w:gridCol w:w="1164"/>
      </w:tblGrid>
      <w:tr w:rsidR="002C633F" w:rsidRPr="002C633F" w14:paraId="5D2DC7BB" w14:textId="77777777" w:rsidTr="008D64DC">
        <w:trPr>
          <w:cantSplit/>
          <w:tblHeader/>
        </w:trPr>
        <w:tc>
          <w:tcPr>
            <w:tcW w:w="2732" w:type="pct"/>
            <w:vAlign w:val="center"/>
          </w:tcPr>
          <w:p w14:paraId="47875CEE" w14:textId="719157E8" w:rsidR="00D34011" w:rsidRPr="002C633F" w:rsidRDefault="00D34011" w:rsidP="00213DD5">
            <w:pPr>
              <w:pStyle w:val="In-tableHeading"/>
            </w:pPr>
            <w:r w:rsidRPr="002C633F">
              <w:t>Matter of concern</w:t>
            </w:r>
          </w:p>
        </w:tc>
        <w:tc>
          <w:tcPr>
            <w:tcW w:w="1621" w:type="pct"/>
            <w:vAlign w:val="center"/>
          </w:tcPr>
          <w:p w14:paraId="2F0501E9" w14:textId="41F16558" w:rsidR="00D34011" w:rsidRPr="002C633F" w:rsidRDefault="00D34011" w:rsidP="00213DD5">
            <w:pPr>
              <w:pStyle w:val="In-tableHeading"/>
            </w:pPr>
            <w:r w:rsidRPr="002C633F">
              <w:t>Response</w:t>
            </w:r>
          </w:p>
        </w:tc>
        <w:tc>
          <w:tcPr>
            <w:tcW w:w="647" w:type="pct"/>
            <w:vAlign w:val="center"/>
          </w:tcPr>
          <w:p w14:paraId="6B31DC02" w14:textId="77777777" w:rsidR="00D34011" w:rsidRDefault="00D34011" w:rsidP="00213DD5">
            <w:pPr>
              <w:pStyle w:val="In-tableHeading"/>
            </w:pPr>
            <w:r w:rsidRPr="002C633F">
              <w:t>Addressed?</w:t>
            </w:r>
          </w:p>
          <w:p w14:paraId="06AD57D9" w14:textId="4F9CB7F6" w:rsidR="00636735" w:rsidRPr="002C633F" w:rsidRDefault="00636735" w:rsidP="00213DD5">
            <w:pPr>
              <w:pStyle w:val="In-tableHeading"/>
            </w:pPr>
            <w:r w:rsidRPr="006459DE">
              <w:rPr>
                <w:b w:val="0"/>
              </w:rPr>
              <w:t>Y/N</w:t>
            </w:r>
          </w:p>
        </w:tc>
      </w:tr>
      <w:tr w:rsidR="0055663A" w:rsidRPr="006459DE" w14:paraId="33E7FA79" w14:textId="77777777" w:rsidTr="008D64DC">
        <w:trPr>
          <w:cantSplit/>
        </w:trPr>
        <w:tc>
          <w:tcPr>
            <w:tcW w:w="2732" w:type="pct"/>
            <w:tcBorders>
              <w:right w:val="nil"/>
            </w:tcBorders>
            <w:vAlign w:val="center"/>
          </w:tcPr>
          <w:p w14:paraId="05564574" w14:textId="4049AC70" w:rsidR="0055663A" w:rsidRPr="006459DE" w:rsidRDefault="0055663A" w:rsidP="00213DD5">
            <w:pPr>
              <w:pStyle w:val="TableText"/>
              <w:rPr>
                <w:b/>
                <w:bCs w:val="0"/>
              </w:rPr>
            </w:pPr>
            <w:r w:rsidRPr="006459DE">
              <w:rPr>
                <w:b/>
                <w:bCs w:val="0"/>
              </w:rPr>
              <w:t xml:space="preserve">Revision of the </w:t>
            </w:r>
            <w:r w:rsidR="00535641">
              <w:rPr>
                <w:b/>
                <w:bCs w:val="0"/>
              </w:rPr>
              <w:t>restriction</w:t>
            </w:r>
          </w:p>
        </w:tc>
        <w:tc>
          <w:tcPr>
            <w:tcW w:w="1621" w:type="pct"/>
            <w:tcBorders>
              <w:left w:val="nil"/>
              <w:right w:val="nil"/>
            </w:tcBorders>
            <w:vAlign w:val="center"/>
          </w:tcPr>
          <w:p w14:paraId="59B32172" w14:textId="77777777" w:rsidR="0055663A" w:rsidRPr="006459DE" w:rsidRDefault="0055663A" w:rsidP="00213DD5">
            <w:pPr>
              <w:pStyle w:val="TableText"/>
              <w:rPr>
                <w:b/>
                <w:bCs w:val="0"/>
              </w:rPr>
            </w:pPr>
          </w:p>
        </w:tc>
        <w:tc>
          <w:tcPr>
            <w:tcW w:w="647" w:type="pct"/>
            <w:tcBorders>
              <w:left w:val="nil"/>
            </w:tcBorders>
            <w:vAlign w:val="center"/>
          </w:tcPr>
          <w:p w14:paraId="4816F5FE" w14:textId="77777777" w:rsidR="0055663A" w:rsidRPr="006459DE" w:rsidRDefault="0055663A" w:rsidP="00213DD5">
            <w:pPr>
              <w:pStyle w:val="TableText"/>
              <w:rPr>
                <w:b/>
                <w:bCs w:val="0"/>
              </w:rPr>
            </w:pPr>
          </w:p>
        </w:tc>
      </w:tr>
      <w:tr w:rsidR="0055663A" w:rsidRPr="002C633F" w14:paraId="6E83CDA9" w14:textId="77777777" w:rsidTr="00565B7E">
        <w:trPr>
          <w:cantSplit/>
        </w:trPr>
        <w:tc>
          <w:tcPr>
            <w:tcW w:w="2732" w:type="pct"/>
          </w:tcPr>
          <w:p w14:paraId="21F492C9" w14:textId="77777777" w:rsidR="0055663A" w:rsidRDefault="00535641" w:rsidP="00213DD5">
            <w:pPr>
              <w:pStyle w:val="TableText"/>
            </w:pPr>
            <w:r>
              <w:t>The PBAC advised that the following amendments to the restriction should be considered:</w:t>
            </w:r>
          </w:p>
          <w:p w14:paraId="33F299C6" w14:textId="77777777" w:rsidR="00535641" w:rsidRDefault="00BF3597" w:rsidP="00213DD5">
            <w:pPr>
              <w:pStyle w:val="TableText"/>
              <w:numPr>
                <w:ilvl w:val="0"/>
                <w:numId w:val="3"/>
              </w:numPr>
              <w:ind w:left="200" w:hanging="200"/>
            </w:pPr>
            <w:r>
              <w:t xml:space="preserve">It should align with the </w:t>
            </w:r>
            <w:proofErr w:type="spellStart"/>
            <w:r>
              <w:t>PaTHway</w:t>
            </w:r>
            <w:proofErr w:type="spellEnd"/>
            <w:r>
              <w:t xml:space="preserve"> trial and exclude patients with an eGFR </w:t>
            </w:r>
            <w:r w:rsidR="003C329F">
              <w:t>≤ 30 mL/min/1.73 m</w:t>
            </w:r>
            <w:r w:rsidR="003C329F" w:rsidRPr="003C329F">
              <w:rPr>
                <w:vertAlign w:val="superscript"/>
              </w:rPr>
              <w:t>2</w:t>
            </w:r>
            <w:r w:rsidR="003C329F">
              <w:t>;</w:t>
            </w:r>
          </w:p>
          <w:p w14:paraId="2C06D817" w14:textId="77777777" w:rsidR="003C329F" w:rsidRDefault="003C329F" w:rsidP="00213DD5">
            <w:pPr>
              <w:pStyle w:val="TableText"/>
              <w:numPr>
                <w:ilvl w:val="0"/>
                <w:numId w:val="3"/>
              </w:numPr>
              <w:ind w:left="200" w:hanging="200"/>
            </w:pPr>
            <w:r>
              <w:t>The initial and first continuing restrictions should require treatment by an endocrinologist</w:t>
            </w:r>
            <w:r w:rsidR="008E7913">
              <w:t>, or a specialist experienced in the treatment of HPT;</w:t>
            </w:r>
          </w:p>
          <w:p w14:paraId="637316CF" w14:textId="77777777" w:rsidR="008E7913" w:rsidRDefault="008E7913" w:rsidP="00213DD5">
            <w:pPr>
              <w:pStyle w:val="TableText"/>
              <w:numPr>
                <w:ilvl w:val="0"/>
                <w:numId w:val="3"/>
              </w:numPr>
              <w:ind w:left="200" w:hanging="200"/>
            </w:pPr>
            <w:r>
              <w:t>The restriction should be age agnostic;</w:t>
            </w:r>
          </w:p>
          <w:p w14:paraId="5C9F432C" w14:textId="0C913389" w:rsidR="008E7913" w:rsidRPr="002C633F" w:rsidRDefault="0065121A" w:rsidP="00213DD5">
            <w:pPr>
              <w:pStyle w:val="TableText"/>
              <w:numPr>
                <w:ilvl w:val="0"/>
                <w:numId w:val="3"/>
              </w:numPr>
              <w:ind w:left="200" w:hanging="200"/>
            </w:pPr>
            <w:r>
              <w:t>The subsequent continuing treatment restriction should include the response criteria currently described in the first continuing treatment restriction</w:t>
            </w:r>
            <w:r w:rsidR="00661DA1">
              <w:t xml:space="preserve"> (paragraph 7.5)</w:t>
            </w:r>
            <w:r>
              <w:t>.</w:t>
            </w:r>
          </w:p>
        </w:tc>
        <w:tc>
          <w:tcPr>
            <w:tcW w:w="1621" w:type="pct"/>
          </w:tcPr>
          <w:p w14:paraId="64E0DE1A" w14:textId="6689E6AB" w:rsidR="0055663A" w:rsidRPr="002C633F" w:rsidRDefault="00FD64E1" w:rsidP="00213DD5">
            <w:pPr>
              <w:pStyle w:val="TableText"/>
            </w:pPr>
            <w:r>
              <w:t>The resubmission</w:t>
            </w:r>
            <w:r w:rsidR="00122B40">
              <w:t xml:space="preserve"> accepted all of the PBAC’s recommendations.</w:t>
            </w:r>
          </w:p>
        </w:tc>
        <w:tc>
          <w:tcPr>
            <w:tcW w:w="647" w:type="pct"/>
          </w:tcPr>
          <w:p w14:paraId="7A6D4E21" w14:textId="0223E525" w:rsidR="0055663A" w:rsidRPr="002C633F" w:rsidRDefault="00122B40" w:rsidP="00213DD5">
            <w:pPr>
              <w:pStyle w:val="TableText"/>
            </w:pPr>
            <w:r>
              <w:t>Yes</w:t>
            </w:r>
          </w:p>
        </w:tc>
      </w:tr>
      <w:tr w:rsidR="00441963" w:rsidRPr="002C633F" w14:paraId="2DF1DD08" w14:textId="77777777" w:rsidTr="00565B7E">
        <w:trPr>
          <w:cantSplit/>
        </w:trPr>
        <w:tc>
          <w:tcPr>
            <w:tcW w:w="5000" w:type="pct"/>
            <w:gridSpan w:val="3"/>
          </w:tcPr>
          <w:p w14:paraId="5175BB10" w14:textId="7CC2D5DB" w:rsidR="00441963" w:rsidRPr="002C633F" w:rsidRDefault="00441963" w:rsidP="00213DD5">
            <w:pPr>
              <w:pStyle w:val="TableText"/>
            </w:pPr>
            <w:r w:rsidRPr="00441963">
              <w:rPr>
                <w:b/>
                <w:bCs w:val="0"/>
              </w:rPr>
              <w:t>Revision of the economic model</w:t>
            </w:r>
          </w:p>
        </w:tc>
      </w:tr>
      <w:tr w:rsidR="0055663A" w:rsidRPr="002C633F" w14:paraId="3B47EDB5" w14:textId="77777777" w:rsidTr="00565B7E">
        <w:trPr>
          <w:cantSplit/>
        </w:trPr>
        <w:tc>
          <w:tcPr>
            <w:tcW w:w="2732" w:type="pct"/>
          </w:tcPr>
          <w:p w14:paraId="23F6FA29" w14:textId="77777777" w:rsidR="0055663A" w:rsidRDefault="00364F20" w:rsidP="00213DD5">
            <w:pPr>
              <w:pStyle w:val="TableText"/>
            </w:pPr>
            <w:r>
              <w:t>The PBAC considered that a more reasonable base case would:</w:t>
            </w:r>
          </w:p>
          <w:p w14:paraId="4E10BABF" w14:textId="77777777" w:rsidR="00364F20" w:rsidRDefault="00364F20" w:rsidP="00213DD5">
            <w:pPr>
              <w:pStyle w:val="TableText"/>
              <w:numPr>
                <w:ilvl w:val="0"/>
                <w:numId w:val="4"/>
              </w:numPr>
              <w:ind w:left="200" w:hanging="200"/>
            </w:pPr>
            <w:r>
              <w:t>Apply a time horizon of 30 years, reduced from 51 years;</w:t>
            </w:r>
          </w:p>
          <w:p w14:paraId="642C62B7" w14:textId="77777777" w:rsidR="00364F20" w:rsidRDefault="00DF084E" w:rsidP="00213DD5">
            <w:pPr>
              <w:pStyle w:val="TableText"/>
              <w:numPr>
                <w:ilvl w:val="0"/>
                <w:numId w:val="4"/>
              </w:numPr>
              <w:ind w:left="200" w:hanging="200"/>
            </w:pPr>
            <w:r>
              <w:t>Halve the utility increment/decrement applied from Cycle 2 to both arms;</w:t>
            </w:r>
          </w:p>
          <w:p w14:paraId="1FA45752" w14:textId="275A3848" w:rsidR="00661DA1" w:rsidRPr="002C633F" w:rsidRDefault="00661DA1" w:rsidP="00213DD5">
            <w:pPr>
              <w:pStyle w:val="TableText"/>
              <w:numPr>
                <w:ilvl w:val="0"/>
                <w:numId w:val="4"/>
              </w:numPr>
              <w:ind w:left="200" w:hanging="200"/>
            </w:pPr>
            <w:r>
              <w:t>Remove anniversary price reductions (paragraph 7.17).</w:t>
            </w:r>
          </w:p>
        </w:tc>
        <w:tc>
          <w:tcPr>
            <w:tcW w:w="1621" w:type="pct"/>
          </w:tcPr>
          <w:p w14:paraId="103EFCDE" w14:textId="77777777" w:rsidR="0055663A" w:rsidRDefault="0071227C" w:rsidP="00213DD5">
            <w:pPr>
              <w:pStyle w:val="Tabletext8pt"/>
              <w:spacing w:before="0" w:after="0"/>
              <w:rPr>
                <w:rFonts w:ascii="Arial Narrow" w:eastAsiaTheme="majorEastAsia" w:hAnsi="Arial Narrow" w:cstheme="majorBidi"/>
                <w:bCs/>
                <w:sz w:val="20"/>
                <w:szCs w:val="24"/>
                <w:lang w:eastAsia="en-AU"/>
              </w:rPr>
            </w:pPr>
            <w:r>
              <w:rPr>
                <w:rFonts w:ascii="Arial Narrow" w:eastAsiaTheme="majorEastAsia" w:hAnsi="Arial Narrow" w:cstheme="majorBidi"/>
                <w:bCs/>
                <w:sz w:val="20"/>
                <w:szCs w:val="24"/>
                <w:lang w:eastAsia="en-AU"/>
              </w:rPr>
              <w:t>The resubmission</w:t>
            </w:r>
            <w:r w:rsidR="008D64DC">
              <w:rPr>
                <w:rFonts w:ascii="Arial Narrow" w:eastAsiaTheme="majorEastAsia" w:hAnsi="Arial Narrow" w:cstheme="majorBidi"/>
                <w:bCs/>
                <w:sz w:val="20"/>
                <w:szCs w:val="24"/>
                <w:lang w:eastAsia="en-AU"/>
              </w:rPr>
              <w:t>:</w:t>
            </w:r>
          </w:p>
          <w:p w14:paraId="34B15B68" w14:textId="3260E716" w:rsidR="008D64DC" w:rsidRDefault="00AB449E" w:rsidP="00213DD5">
            <w:pPr>
              <w:pStyle w:val="Tabletext8pt"/>
              <w:numPr>
                <w:ilvl w:val="0"/>
                <w:numId w:val="6"/>
              </w:numPr>
              <w:spacing w:before="0" w:after="0"/>
              <w:ind w:left="200" w:hanging="200"/>
              <w:rPr>
                <w:rFonts w:ascii="Arial Narrow" w:eastAsiaTheme="majorEastAsia" w:hAnsi="Arial Narrow" w:cstheme="majorBidi"/>
                <w:bCs/>
                <w:sz w:val="20"/>
                <w:szCs w:val="24"/>
                <w:lang w:eastAsia="en-AU"/>
              </w:rPr>
            </w:pPr>
            <w:r>
              <w:rPr>
                <w:rFonts w:ascii="Arial Narrow" w:eastAsiaTheme="majorEastAsia" w:hAnsi="Arial Narrow" w:cstheme="majorBidi"/>
                <w:bCs/>
                <w:sz w:val="20"/>
                <w:szCs w:val="24"/>
                <w:lang w:eastAsia="en-AU"/>
              </w:rPr>
              <w:t>Did not reduce the time horizon;</w:t>
            </w:r>
          </w:p>
          <w:p w14:paraId="43FDF185" w14:textId="59F64BF6" w:rsidR="00AB449E" w:rsidRDefault="00AB449E" w:rsidP="00213DD5">
            <w:pPr>
              <w:pStyle w:val="Tabletext8pt"/>
              <w:numPr>
                <w:ilvl w:val="0"/>
                <w:numId w:val="6"/>
              </w:numPr>
              <w:spacing w:before="0" w:after="0"/>
              <w:ind w:left="200" w:hanging="200"/>
              <w:rPr>
                <w:rFonts w:ascii="Arial Narrow" w:eastAsiaTheme="majorEastAsia" w:hAnsi="Arial Narrow" w:cstheme="majorBidi"/>
                <w:bCs/>
                <w:sz w:val="20"/>
                <w:szCs w:val="24"/>
                <w:lang w:eastAsia="en-AU"/>
              </w:rPr>
            </w:pPr>
            <w:r>
              <w:rPr>
                <w:rFonts w:ascii="Arial Narrow" w:eastAsiaTheme="majorEastAsia" w:hAnsi="Arial Narrow" w:cstheme="majorBidi"/>
                <w:bCs/>
                <w:sz w:val="20"/>
                <w:szCs w:val="24"/>
                <w:lang w:eastAsia="en-AU"/>
              </w:rPr>
              <w:t xml:space="preserve">Did not halve the utility </w:t>
            </w:r>
            <w:r w:rsidR="005F5E4F">
              <w:rPr>
                <w:rFonts w:ascii="Arial Narrow" w:eastAsiaTheme="majorEastAsia" w:hAnsi="Arial Narrow" w:cstheme="majorBidi"/>
                <w:bCs/>
                <w:sz w:val="20"/>
                <w:szCs w:val="24"/>
                <w:lang w:eastAsia="en-AU"/>
              </w:rPr>
              <w:t>increment/decrement;</w:t>
            </w:r>
          </w:p>
          <w:p w14:paraId="7EB6A7C5" w14:textId="66F23000" w:rsidR="008D64DC" w:rsidRPr="005F5E4F" w:rsidRDefault="005F5E4F" w:rsidP="00213DD5">
            <w:pPr>
              <w:pStyle w:val="Tabletext8pt"/>
              <w:numPr>
                <w:ilvl w:val="0"/>
                <w:numId w:val="6"/>
              </w:numPr>
              <w:spacing w:before="0" w:after="0"/>
              <w:ind w:left="200" w:hanging="200"/>
              <w:rPr>
                <w:rFonts w:ascii="Arial Narrow" w:eastAsiaTheme="majorEastAsia" w:hAnsi="Arial Narrow" w:cstheme="majorBidi"/>
                <w:bCs/>
                <w:sz w:val="20"/>
                <w:szCs w:val="24"/>
                <w:lang w:eastAsia="en-AU"/>
              </w:rPr>
            </w:pPr>
            <w:r>
              <w:rPr>
                <w:rFonts w:ascii="Arial Narrow" w:eastAsiaTheme="majorEastAsia" w:hAnsi="Arial Narrow" w:cstheme="majorBidi"/>
                <w:bCs/>
                <w:sz w:val="20"/>
                <w:szCs w:val="24"/>
                <w:lang w:eastAsia="en-AU"/>
              </w:rPr>
              <w:t>Did remove the anniversary price reductions</w:t>
            </w:r>
          </w:p>
        </w:tc>
        <w:tc>
          <w:tcPr>
            <w:tcW w:w="647" w:type="pct"/>
          </w:tcPr>
          <w:p w14:paraId="4A96D867" w14:textId="77777777" w:rsidR="0055663A" w:rsidRDefault="0055663A" w:rsidP="00213DD5">
            <w:pPr>
              <w:pStyle w:val="TableText"/>
            </w:pPr>
          </w:p>
          <w:p w14:paraId="346BBC11" w14:textId="77777777" w:rsidR="005F5E4F" w:rsidRDefault="005F5E4F" w:rsidP="00213DD5">
            <w:pPr>
              <w:pStyle w:val="TableText"/>
            </w:pPr>
            <w:r>
              <w:t>No</w:t>
            </w:r>
          </w:p>
          <w:p w14:paraId="44B7E5D3" w14:textId="77777777" w:rsidR="005F5E4F" w:rsidRDefault="005F5E4F" w:rsidP="00213DD5">
            <w:pPr>
              <w:pStyle w:val="TableText"/>
            </w:pPr>
            <w:r>
              <w:t>No</w:t>
            </w:r>
          </w:p>
          <w:p w14:paraId="294004CA" w14:textId="77777777" w:rsidR="005F5E4F" w:rsidRDefault="005F5E4F" w:rsidP="00213DD5">
            <w:pPr>
              <w:pStyle w:val="TableText"/>
            </w:pPr>
          </w:p>
          <w:p w14:paraId="404F3F9B" w14:textId="68FE7E80" w:rsidR="005F5E4F" w:rsidRPr="002C633F" w:rsidRDefault="00B71352" w:rsidP="00213DD5">
            <w:pPr>
              <w:pStyle w:val="TableText"/>
            </w:pPr>
            <w:r>
              <w:t>Yes</w:t>
            </w:r>
          </w:p>
        </w:tc>
      </w:tr>
      <w:tr w:rsidR="0055663A" w:rsidRPr="002C633F" w14:paraId="66ECEFB4" w14:textId="77777777" w:rsidTr="00565B7E">
        <w:trPr>
          <w:cantSplit/>
        </w:trPr>
        <w:tc>
          <w:tcPr>
            <w:tcW w:w="2732" w:type="pct"/>
            <w:tcBorders>
              <w:bottom w:val="single" w:sz="4" w:space="0" w:color="auto"/>
            </w:tcBorders>
          </w:tcPr>
          <w:p w14:paraId="2732746C" w14:textId="06CE4E44" w:rsidR="0055663A" w:rsidRPr="00E72B6B" w:rsidRDefault="009077B3" w:rsidP="00213DD5">
            <w:pPr>
              <w:pStyle w:val="TableText"/>
            </w:pPr>
            <w:r>
              <w:t xml:space="preserve">A price reduction </w:t>
            </w:r>
            <w:r w:rsidR="00565B7E">
              <w:t xml:space="preserve">of </w:t>
            </w:r>
            <w:r w:rsidR="00FD3ADE" w:rsidRPr="00FD3ADE">
              <w:rPr>
                <w:color w:val="000000"/>
                <w:spacing w:val="48"/>
                <w:shd w:val="solid" w:color="000000" w:fill="000000"/>
                <w:fitText w:val="315" w:id="-621624832"/>
                <w14:textFill>
                  <w14:solidFill>
                    <w14:srgbClr w14:val="000000">
                      <w14:alpha w14:val="100000"/>
                    </w14:srgbClr>
                  </w14:solidFill>
                </w14:textFill>
              </w:rPr>
              <w:t>|||</w:t>
            </w:r>
            <w:r w:rsidR="00FD3ADE" w:rsidRPr="00FD3ADE">
              <w:rPr>
                <w:color w:val="000000"/>
                <w:spacing w:val="1"/>
                <w:shd w:val="solid" w:color="000000" w:fill="000000"/>
                <w:fitText w:val="315" w:id="-621624832"/>
                <w14:textFill>
                  <w14:solidFill>
                    <w14:srgbClr w14:val="000000">
                      <w14:alpha w14:val="100000"/>
                    </w14:srgbClr>
                  </w14:solidFill>
                </w14:textFill>
              </w:rPr>
              <w:t>|</w:t>
            </w:r>
            <w:r w:rsidR="00565B7E">
              <w:t xml:space="preserve">% </w:t>
            </w:r>
            <w:r>
              <w:t>would be required to result in an ICER of $</w:t>
            </w:r>
            <w:r w:rsidR="00FD3ADE" w:rsidRPr="00FD3ADE">
              <w:rPr>
                <w:color w:val="000000"/>
                <w:spacing w:val="45"/>
                <w:shd w:val="solid" w:color="000000" w:fill="000000"/>
                <w:fitText w:val="330" w:id="-621624831"/>
                <w14:textFill>
                  <w14:solidFill>
                    <w14:srgbClr w14:val="000000">
                      <w14:alpha w14:val="100000"/>
                    </w14:srgbClr>
                  </w14:solidFill>
                </w14:textFill>
              </w:rPr>
              <w:t>|||</w:t>
            </w:r>
            <w:r w:rsidR="00FD3ADE" w:rsidRPr="00FD3ADE">
              <w:rPr>
                <w:color w:val="000000"/>
                <w:spacing w:val="15"/>
                <w:shd w:val="solid" w:color="000000" w:fill="000000"/>
                <w:fitText w:val="330" w:id="-621624831"/>
                <w14:textFill>
                  <w14:solidFill>
                    <w14:srgbClr w14:val="000000">
                      <w14:alpha w14:val="100000"/>
                    </w14:srgbClr>
                  </w14:solidFill>
                </w14:textFill>
              </w:rPr>
              <w:t>|</w:t>
            </w:r>
            <w:r w:rsidR="00143233">
              <w:rPr>
                <w:vertAlign w:val="superscript"/>
              </w:rPr>
              <w:t>1</w:t>
            </w:r>
            <w:r>
              <w:t xml:space="preserve"> per QALY (paragraph 7.17).</w:t>
            </w:r>
          </w:p>
        </w:tc>
        <w:tc>
          <w:tcPr>
            <w:tcW w:w="1621" w:type="pct"/>
            <w:tcBorders>
              <w:bottom w:val="single" w:sz="4" w:space="0" w:color="auto"/>
            </w:tcBorders>
          </w:tcPr>
          <w:p w14:paraId="55A91B50" w14:textId="44603BF3" w:rsidR="0055663A" w:rsidRPr="00C17E7D" w:rsidRDefault="00565B7E" w:rsidP="00213DD5">
            <w:pPr>
              <w:pStyle w:val="Tabletext8pt"/>
              <w:rPr>
                <w:rFonts w:ascii="Arial Narrow" w:eastAsiaTheme="majorEastAsia" w:hAnsi="Arial Narrow" w:cstheme="majorBidi"/>
                <w:bCs/>
                <w:sz w:val="20"/>
                <w:szCs w:val="24"/>
                <w:lang w:eastAsia="en-AU"/>
              </w:rPr>
            </w:pPr>
            <w:r>
              <w:rPr>
                <w:rFonts w:ascii="Arial Narrow" w:eastAsiaTheme="majorEastAsia" w:hAnsi="Arial Narrow" w:cstheme="majorBidi"/>
                <w:bCs/>
                <w:sz w:val="20"/>
                <w:szCs w:val="24"/>
                <w:lang w:eastAsia="en-AU"/>
              </w:rPr>
              <w:t xml:space="preserve">The resubmission offered a price reduction of </w:t>
            </w:r>
            <w:r w:rsidR="00FD3ADE" w:rsidRPr="00FD3ADE">
              <w:rPr>
                <w:rFonts w:ascii="Arial Narrow" w:eastAsiaTheme="majorEastAsia" w:hAnsi="Arial Narrow" w:cstheme="majorBidi"/>
                <w:bCs/>
                <w:color w:val="000000"/>
                <w:spacing w:val="45"/>
                <w:sz w:val="20"/>
                <w:szCs w:val="24"/>
                <w:shd w:val="solid" w:color="000000" w:fill="000000"/>
                <w:fitText w:val="330" w:id="-621624830"/>
                <w:lang w:eastAsia="en-AU"/>
                <w14:textFill>
                  <w14:solidFill>
                    <w14:srgbClr w14:val="000000">
                      <w14:alpha w14:val="100000"/>
                    </w14:srgbClr>
                  </w14:solidFill>
                </w14:textFill>
              </w:rPr>
              <w:t>|||</w:t>
            </w:r>
            <w:r w:rsidR="00FD3ADE" w:rsidRPr="00FD3ADE">
              <w:rPr>
                <w:rFonts w:ascii="Arial Narrow" w:eastAsiaTheme="majorEastAsia" w:hAnsi="Arial Narrow" w:cstheme="majorBidi"/>
                <w:bCs/>
                <w:color w:val="000000"/>
                <w:spacing w:val="15"/>
                <w:sz w:val="20"/>
                <w:szCs w:val="24"/>
                <w:shd w:val="solid" w:color="000000" w:fill="000000"/>
                <w:fitText w:val="330" w:id="-621624830"/>
                <w:lang w:eastAsia="en-AU"/>
                <w14:textFill>
                  <w14:solidFill>
                    <w14:srgbClr w14:val="000000">
                      <w14:alpha w14:val="100000"/>
                    </w14:srgbClr>
                  </w14:solidFill>
                </w14:textFill>
              </w:rPr>
              <w:t>|</w:t>
            </w:r>
            <w:r>
              <w:rPr>
                <w:rFonts w:ascii="Arial Narrow" w:eastAsiaTheme="majorEastAsia" w:hAnsi="Arial Narrow" w:cstheme="majorBidi"/>
                <w:bCs/>
                <w:sz w:val="20"/>
                <w:szCs w:val="24"/>
                <w:lang w:eastAsia="en-AU"/>
              </w:rPr>
              <w:t>%, resulting in an ICER of $</w:t>
            </w:r>
            <w:r w:rsidR="00FD3ADE" w:rsidRPr="00FD3ADE">
              <w:rPr>
                <w:rFonts w:ascii="Arial Narrow" w:eastAsiaTheme="majorEastAsia" w:hAnsi="Arial Narrow" w:cstheme="majorBidi"/>
                <w:bCs/>
                <w:color w:val="000000"/>
                <w:spacing w:val="45"/>
                <w:sz w:val="20"/>
                <w:szCs w:val="24"/>
                <w:shd w:val="solid" w:color="000000" w:fill="000000"/>
                <w:fitText w:val="330" w:id="-621624829"/>
                <w:lang w:eastAsia="en-AU"/>
                <w14:textFill>
                  <w14:solidFill>
                    <w14:srgbClr w14:val="000000">
                      <w14:alpha w14:val="100000"/>
                    </w14:srgbClr>
                  </w14:solidFill>
                </w14:textFill>
              </w:rPr>
              <w:t>|||</w:t>
            </w:r>
            <w:r w:rsidR="00FD3ADE" w:rsidRPr="00FD3ADE">
              <w:rPr>
                <w:rFonts w:ascii="Arial Narrow" w:eastAsiaTheme="majorEastAsia" w:hAnsi="Arial Narrow" w:cstheme="majorBidi"/>
                <w:bCs/>
                <w:color w:val="000000"/>
                <w:spacing w:val="15"/>
                <w:sz w:val="20"/>
                <w:szCs w:val="24"/>
                <w:shd w:val="solid" w:color="000000" w:fill="000000"/>
                <w:fitText w:val="330" w:id="-621624829"/>
                <w:lang w:eastAsia="en-AU"/>
                <w14:textFill>
                  <w14:solidFill>
                    <w14:srgbClr w14:val="000000">
                      <w14:alpha w14:val="100000"/>
                    </w14:srgbClr>
                  </w14:solidFill>
                </w14:textFill>
              </w:rPr>
              <w:t>|</w:t>
            </w:r>
            <w:r w:rsidR="00FD3882">
              <w:rPr>
                <w:rFonts w:ascii="Arial Narrow" w:eastAsiaTheme="majorEastAsia" w:hAnsi="Arial Narrow" w:cstheme="majorBidi"/>
                <w:bCs/>
                <w:sz w:val="20"/>
                <w:szCs w:val="24"/>
                <w:vertAlign w:val="superscript"/>
                <w:lang w:eastAsia="en-AU"/>
              </w:rPr>
              <w:t>2</w:t>
            </w:r>
            <w:r>
              <w:rPr>
                <w:rFonts w:ascii="Arial Narrow" w:eastAsiaTheme="majorEastAsia" w:hAnsi="Arial Narrow" w:cstheme="majorBidi"/>
                <w:bCs/>
                <w:sz w:val="20"/>
                <w:szCs w:val="24"/>
                <w:lang w:eastAsia="en-AU"/>
              </w:rPr>
              <w:t xml:space="preserve"> per QALY.</w:t>
            </w:r>
          </w:p>
        </w:tc>
        <w:tc>
          <w:tcPr>
            <w:tcW w:w="647" w:type="pct"/>
            <w:tcBorders>
              <w:bottom w:val="single" w:sz="4" w:space="0" w:color="auto"/>
            </w:tcBorders>
          </w:tcPr>
          <w:p w14:paraId="5389C239" w14:textId="0808087C" w:rsidR="0055663A" w:rsidRPr="002C633F" w:rsidRDefault="00565B7E" w:rsidP="00213DD5">
            <w:pPr>
              <w:pStyle w:val="TableText"/>
            </w:pPr>
            <w:r>
              <w:t>No</w:t>
            </w:r>
          </w:p>
        </w:tc>
      </w:tr>
      <w:tr w:rsidR="0055663A" w:rsidRPr="006459DE" w14:paraId="610E0AA9" w14:textId="77777777" w:rsidTr="00565B7E">
        <w:trPr>
          <w:cantSplit/>
        </w:trPr>
        <w:tc>
          <w:tcPr>
            <w:tcW w:w="2732" w:type="pct"/>
            <w:tcBorders>
              <w:right w:val="nil"/>
            </w:tcBorders>
          </w:tcPr>
          <w:p w14:paraId="4A79D79C" w14:textId="59F4D81C" w:rsidR="0055663A" w:rsidRPr="006459DE" w:rsidRDefault="009077B3" w:rsidP="00213DD5">
            <w:pPr>
              <w:pStyle w:val="TableText"/>
              <w:rPr>
                <w:b/>
                <w:bCs w:val="0"/>
                <w:color w:val="0D0D0D" w:themeColor="text1" w:themeTint="F2"/>
              </w:rPr>
            </w:pPr>
            <w:r>
              <w:rPr>
                <w:b/>
                <w:bCs w:val="0"/>
                <w:color w:val="0D0D0D" w:themeColor="text1" w:themeTint="F2"/>
              </w:rPr>
              <w:t>Revision of the f</w:t>
            </w:r>
            <w:r w:rsidR="0055663A" w:rsidRPr="006459DE">
              <w:rPr>
                <w:b/>
                <w:bCs w:val="0"/>
                <w:color w:val="0D0D0D" w:themeColor="text1" w:themeTint="F2"/>
              </w:rPr>
              <w:t>inancial estimates</w:t>
            </w:r>
          </w:p>
        </w:tc>
        <w:tc>
          <w:tcPr>
            <w:tcW w:w="1621" w:type="pct"/>
            <w:tcBorders>
              <w:left w:val="nil"/>
              <w:right w:val="nil"/>
            </w:tcBorders>
          </w:tcPr>
          <w:p w14:paraId="3F514E05" w14:textId="77777777" w:rsidR="0055663A" w:rsidRPr="006459DE" w:rsidRDefault="0055663A" w:rsidP="00213DD5">
            <w:pPr>
              <w:pStyle w:val="TableText"/>
              <w:rPr>
                <w:b/>
                <w:bCs w:val="0"/>
              </w:rPr>
            </w:pPr>
          </w:p>
        </w:tc>
        <w:tc>
          <w:tcPr>
            <w:tcW w:w="647" w:type="pct"/>
            <w:tcBorders>
              <w:left w:val="nil"/>
            </w:tcBorders>
          </w:tcPr>
          <w:p w14:paraId="2D2AE132" w14:textId="77777777" w:rsidR="0055663A" w:rsidRPr="006459DE" w:rsidRDefault="0055663A" w:rsidP="00213DD5">
            <w:pPr>
              <w:pStyle w:val="TableText"/>
              <w:rPr>
                <w:b/>
                <w:bCs w:val="0"/>
              </w:rPr>
            </w:pPr>
          </w:p>
        </w:tc>
      </w:tr>
      <w:tr w:rsidR="0055663A" w:rsidRPr="002C633F" w14:paraId="5BBA83EF" w14:textId="77777777" w:rsidTr="00565B7E">
        <w:trPr>
          <w:cantSplit/>
        </w:trPr>
        <w:tc>
          <w:tcPr>
            <w:tcW w:w="2732" w:type="pct"/>
          </w:tcPr>
          <w:p w14:paraId="71BF4C41" w14:textId="20F0F83E" w:rsidR="0055663A" w:rsidRDefault="00E505D3" w:rsidP="00213DD5">
            <w:pPr>
              <w:pStyle w:val="TableText"/>
              <w:rPr>
                <w:color w:val="0D0D0D" w:themeColor="text1" w:themeTint="F2"/>
              </w:rPr>
            </w:pPr>
            <w:r>
              <w:rPr>
                <w:color w:val="0D0D0D" w:themeColor="text1" w:themeTint="F2"/>
              </w:rPr>
              <w:t xml:space="preserve">The </w:t>
            </w:r>
            <w:r w:rsidR="009A3673">
              <w:rPr>
                <w:color w:val="0D0D0D" w:themeColor="text1" w:themeTint="F2"/>
              </w:rPr>
              <w:t xml:space="preserve">PBAC advised that the </w:t>
            </w:r>
            <w:r>
              <w:rPr>
                <w:color w:val="0D0D0D" w:themeColor="text1" w:themeTint="F2"/>
              </w:rPr>
              <w:t>utilisation estimates should:</w:t>
            </w:r>
          </w:p>
          <w:p w14:paraId="664A6B56" w14:textId="77777777" w:rsidR="00E505D3" w:rsidRDefault="00585D05" w:rsidP="00213DD5">
            <w:pPr>
              <w:pStyle w:val="TableText"/>
              <w:numPr>
                <w:ilvl w:val="0"/>
                <w:numId w:val="5"/>
              </w:numPr>
              <w:ind w:left="200" w:hanging="200"/>
              <w:rPr>
                <w:color w:val="0D0D0D" w:themeColor="text1" w:themeTint="F2"/>
              </w:rPr>
            </w:pPr>
            <w:r>
              <w:rPr>
                <w:color w:val="0D0D0D" w:themeColor="text1" w:themeTint="F2"/>
              </w:rPr>
              <w:t>Reduce the prevalence from 37.2 per 100,000 to 30.1 per 100,000;</w:t>
            </w:r>
          </w:p>
          <w:p w14:paraId="20CAD800" w14:textId="0245E0DD" w:rsidR="00585D05" w:rsidRPr="00E97604" w:rsidRDefault="005C46A9" w:rsidP="00213DD5">
            <w:pPr>
              <w:pStyle w:val="TableText"/>
              <w:numPr>
                <w:ilvl w:val="0"/>
                <w:numId w:val="5"/>
              </w:numPr>
              <w:ind w:left="200" w:hanging="200"/>
              <w:rPr>
                <w:color w:val="0D0D0D" w:themeColor="text1" w:themeTint="F2"/>
              </w:rPr>
            </w:pPr>
            <w:r>
              <w:rPr>
                <w:color w:val="0D0D0D" w:themeColor="text1" w:themeTint="F2"/>
              </w:rPr>
              <w:t xml:space="preserve">Apply an uptake rate of </w:t>
            </w:r>
            <w:r w:rsidR="00D57CC9" w:rsidRPr="00D57CC9">
              <w:rPr>
                <w:rFonts w:hint="eastAsia"/>
                <w:color w:val="0D0D0D" w:themeColor="text1" w:themeTint="F2"/>
                <w:w w:val="19"/>
                <w:shd w:val="solid" w:color="000000" w:fill="000000"/>
                <w:fitText w:val="88" w:id="-621604864"/>
                <w14:textFill>
                  <w14:solidFill>
                    <w14:schemeClr w14:val="tx1">
                      <w14:alpha w14:val="100000"/>
                      <w14:lumMod w14:val="95000"/>
                      <w14:lumOff w14:val="5000"/>
                    </w14:schemeClr>
                  </w14:solidFill>
                </w14:textFill>
              </w:rPr>
              <w:t xml:space="preserve">　</w:t>
            </w:r>
            <w:r w:rsidR="00D57CC9" w:rsidRPr="00D57CC9">
              <w:rPr>
                <w:color w:val="0D0D0D" w:themeColor="text1" w:themeTint="F2"/>
                <w:w w:val="19"/>
                <w:shd w:val="solid" w:color="000000" w:fill="000000"/>
                <w:fitText w:val="88" w:id="-621604864"/>
                <w14:textFill>
                  <w14:solidFill>
                    <w14:schemeClr w14:val="tx1">
                      <w14:alpha w14:val="100000"/>
                      <w14:lumMod w14:val="95000"/>
                      <w14:lumOff w14:val="5000"/>
                    </w14:schemeClr>
                  </w14:solidFill>
                </w14:textFill>
              </w:rPr>
              <w:t>|</w:t>
            </w:r>
            <w:r w:rsidR="00D57CC9" w:rsidRPr="00D57CC9">
              <w:rPr>
                <w:rFonts w:hint="eastAsia"/>
                <w:color w:val="0D0D0D" w:themeColor="text1" w:themeTint="F2"/>
                <w:w w:val="19"/>
                <w:shd w:val="solid" w:color="000000" w:fill="000000"/>
                <w:fitText w:val="88" w:id="-621604864"/>
                <w14:textFill>
                  <w14:solidFill>
                    <w14:schemeClr w14:val="tx1">
                      <w14:alpha w14:val="100000"/>
                      <w14:lumMod w14:val="95000"/>
                      <w14:lumOff w14:val="5000"/>
                    </w14:schemeClr>
                  </w14:solidFill>
                </w14:textFill>
              </w:rPr>
              <w:t xml:space="preserve">　</w:t>
            </w:r>
            <w:r>
              <w:rPr>
                <w:color w:val="0D0D0D" w:themeColor="text1" w:themeTint="F2"/>
              </w:rPr>
              <w:t xml:space="preserve">% in Year 1, increasing to </w:t>
            </w:r>
            <w:r w:rsidR="00D57CC9" w:rsidRPr="00D57CC9">
              <w:rPr>
                <w:rFonts w:hint="eastAsia"/>
                <w:color w:val="0D0D0D" w:themeColor="text1" w:themeTint="F2"/>
                <w:w w:val="19"/>
                <w:shd w:val="solid" w:color="000000" w:fill="000000"/>
                <w:fitText w:val="88" w:id="-621604863"/>
                <w14:textFill>
                  <w14:solidFill>
                    <w14:schemeClr w14:val="tx1">
                      <w14:alpha w14:val="100000"/>
                      <w14:lumMod w14:val="95000"/>
                      <w14:lumOff w14:val="5000"/>
                    </w14:schemeClr>
                  </w14:solidFill>
                </w14:textFill>
              </w:rPr>
              <w:t xml:space="preserve">　</w:t>
            </w:r>
            <w:r w:rsidR="00D57CC9" w:rsidRPr="00D57CC9">
              <w:rPr>
                <w:color w:val="0D0D0D" w:themeColor="text1" w:themeTint="F2"/>
                <w:w w:val="19"/>
                <w:shd w:val="solid" w:color="000000" w:fill="000000"/>
                <w:fitText w:val="88" w:id="-621604863"/>
                <w14:textFill>
                  <w14:solidFill>
                    <w14:schemeClr w14:val="tx1">
                      <w14:alpha w14:val="100000"/>
                      <w14:lumMod w14:val="95000"/>
                      <w14:lumOff w14:val="5000"/>
                    </w14:schemeClr>
                  </w14:solidFill>
                </w14:textFill>
              </w:rPr>
              <w:t>|</w:t>
            </w:r>
            <w:r w:rsidR="00D57CC9" w:rsidRPr="00D57CC9">
              <w:rPr>
                <w:rFonts w:hint="eastAsia"/>
                <w:color w:val="0D0D0D" w:themeColor="text1" w:themeTint="F2"/>
                <w:w w:val="19"/>
                <w:shd w:val="solid" w:color="000000" w:fill="000000"/>
                <w:fitText w:val="88" w:id="-621604863"/>
                <w14:textFill>
                  <w14:solidFill>
                    <w14:schemeClr w14:val="tx1">
                      <w14:alpha w14:val="100000"/>
                      <w14:lumMod w14:val="95000"/>
                      <w14:lumOff w14:val="5000"/>
                    </w14:schemeClr>
                  </w14:solidFill>
                </w14:textFill>
              </w:rPr>
              <w:t xml:space="preserve">　</w:t>
            </w:r>
            <w:r>
              <w:rPr>
                <w:color w:val="0D0D0D" w:themeColor="text1" w:themeTint="F2"/>
              </w:rPr>
              <w:t>% in Year 6 (paragraph 7.18).</w:t>
            </w:r>
          </w:p>
        </w:tc>
        <w:tc>
          <w:tcPr>
            <w:tcW w:w="1621" w:type="pct"/>
          </w:tcPr>
          <w:p w14:paraId="5CC034AB" w14:textId="77777777" w:rsidR="0055663A" w:rsidRDefault="005C77B0" w:rsidP="00213DD5">
            <w:pPr>
              <w:pStyle w:val="TableText"/>
            </w:pPr>
            <w:r>
              <w:t>The resubmission:</w:t>
            </w:r>
          </w:p>
          <w:p w14:paraId="54638F47" w14:textId="77777777" w:rsidR="005C77B0" w:rsidRDefault="003B7732" w:rsidP="00213DD5">
            <w:pPr>
              <w:pStyle w:val="TableText"/>
              <w:numPr>
                <w:ilvl w:val="0"/>
                <w:numId w:val="7"/>
              </w:numPr>
              <w:ind w:left="200" w:hanging="200"/>
            </w:pPr>
            <w:r>
              <w:t>Reduced the prevalence to 33.65 per 100,000;</w:t>
            </w:r>
          </w:p>
          <w:p w14:paraId="20CD3BBD" w14:textId="1B9D36A4" w:rsidR="003B7732" w:rsidRPr="002C633F" w:rsidRDefault="003B7732" w:rsidP="00213DD5">
            <w:pPr>
              <w:pStyle w:val="TableText"/>
              <w:numPr>
                <w:ilvl w:val="0"/>
                <w:numId w:val="7"/>
              </w:numPr>
              <w:ind w:left="200" w:hanging="200"/>
            </w:pPr>
            <w:r>
              <w:t>Reduced the uptake as requested.</w:t>
            </w:r>
          </w:p>
        </w:tc>
        <w:tc>
          <w:tcPr>
            <w:tcW w:w="647" w:type="pct"/>
          </w:tcPr>
          <w:p w14:paraId="0D1A319A" w14:textId="77777777" w:rsidR="0055663A" w:rsidRDefault="0055663A" w:rsidP="00213DD5">
            <w:pPr>
              <w:pStyle w:val="TableText"/>
            </w:pPr>
          </w:p>
          <w:p w14:paraId="2DF1CBF6" w14:textId="77777777" w:rsidR="003B7732" w:rsidRDefault="003B7732" w:rsidP="00213DD5">
            <w:pPr>
              <w:pStyle w:val="TableText"/>
            </w:pPr>
            <w:r>
              <w:t>Partially</w:t>
            </w:r>
          </w:p>
          <w:p w14:paraId="6411CE72" w14:textId="77777777" w:rsidR="003B7732" w:rsidRDefault="003B7732" w:rsidP="00213DD5">
            <w:pPr>
              <w:pStyle w:val="TableText"/>
            </w:pPr>
          </w:p>
          <w:p w14:paraId="7C797CED" w14:textId="44860115" w:rsidR="003B7732" w:rsidRPr="002C633F" w:rsidRDefault="003B7732" w:rsidP="00213DD5">
            <w:pPr>
              <w:pStyle w:val="TableText"/>
            </w:pPr>
            <w:r>
              <w:t>Yes</w:t>
            </w:r>
          </w:p>
        </w:tc>
      </w:tr>
      <w:tr w:rsidR="0055663A" w:rsidRPr="002C633F" w14:paraId="017F933E" w14:textId="77777777" w:rsidTr="00565B7E">
        <w:trPr>
          <w:cantSplit/>
        </w:trPr>
        <w:tc>
          <w:tcPr>
            <w:tcW w:w="2732" w:type="pct"/>
          </w:tcPr>
          <w:p w14:paraId="16BB3EFB" w14:textId="603D724E" w:rsidR="0055663A" w:rsidRDefault="009A3673" w:rsidP="00213DD5">
            <w:pPr>
              <w:pStyle w:val="TableText"/>
            </w:pPr>
            <w:r>
              <w:t xml:space="preserve">The PBAC considered that a RSA, with a rebate of </w:t>
            </w:r>
            <w:r w:rsidR="00FD3ADE" w:rsidRPr="00FD3ADE">
              <w:rPr>
                <w:color w:val="000000"/>
                <w:spacing w:val="53"/>
                <w:shd w:val="solid" w:color="000000" w:fill="000000"/>
                <w:fitText w:val="330" w:id="-621624828"/>
                <w14:textFill>
                  <w14:solidFill>
                    <w14:srgbClr w14:val="000000">
                      <w14:alpha w14:val="100000"/>
                    </w14:srgbClr>
                  </w14:solidFill>
                </w14:textFill>
              </w:rPr>
              <w:t>|||</w:t>
            </w:r>
            <w:r w:rsidR="00FD3ADE" w:rsidRPr="00FD3ADE">
              <w:rPr>
                <w:color w:val="000000"/>
                <w:spacing w:val="1"/>
                <w:shd w:val="solid" w:color="000000" w:fill="000000"/>
                <w:fitText w:val="330" w:id="-621624828"/>
                <w14:textFill>
                  <w14:solidFill>
                    <w14:srgbClr w14:val="000000">
                      <w14:alpha w14:val="100000"/>
                    </w14:srgbClr>
                  </w14:solidFill>
                </w14:textFill>
              </w:rPr>
              <w:t>|</w:t>
            </w:r>
            <w:r>
              <w:t>% for use above the expenditure caps, would be required</w:t>
            </w:r>
            <w:r w:rsidR="00EC0703">
              <w:t>.</w:t>
            </w:r>
          </w:p>
        </w:tc>
        <w:tc>
          <w:tcPr>
            <w:tcW w:w="1621" w:type="pct"/>
          </w:tcPr>
          <w:p w14:paraId="286BDBAE" w14:textId="78B98E30" w:rsidR="0055663A" w:rsidRPr="002C633F" w:rsidRDefault="005517CD" w:rsidP="00213DD5">
            <w:pPr>
              <w:pStyle w:val="TableText"/>
            </w:pPr>
            <w:r>
              <w:t xml:space="preserve">The resubmission proposed a RSA with a rebate of </w:t>
            </w:r>
            <w:r w:rsidR="00FD3ADE" w:rsidRPr="00FD3ADE">
              <w:rPr>
                <w:color w:val="000000"/>
                <w:spacing w:val="53"/>
                <w:shd w:val="solid" w:color="000000" w:fill="000000"/>
                <w:fitText w:val="330" w:id="-621624827"/>
                <w14:textFill>
                  <w14:solidFill>
                    <w14:srgbClr w14:val="000000">
                      <w14:alpha w14:val="100000"/>
                    </w14:srgbClr>
                  </w14:solidFill>
                </w14:textFill>
              </w:rPr>
              <w:t>|||</w:t>
            </w:r>
            <w:r w:rsidR="00FD3ADE" w:rsidRPr="00FD3ADE">
              <w:rPr>
                <w:color w:val="000000"/>
                <w:spacing w:val="1"/>
                <w:shd w:val="solid" w:color="000000" w:fill="000000"/>
                <w:fitText w:val="330" w:id="-621624827"/>
                <w14:textFill>
                  <w14:solidFill>
                    <w14:srgbClr w14:val="000000">
                      <w14:alpha w14:val="100000"/>
                    </w14:srgbClr>
                  </w14:solidFill>
                </w14:textFill>
              </w:rPr>
              <w:t>|</w:t>
            </w:r>
            <w:r>
              <w:t xml:space="preserve">% </w:t>
            </w:r>
            <w:r w:rsidR="00FB35D9">
              <w:t>for use above the expenditure caps.</w:t>
            </w:r>
          </w:p>
        </w:tc>
        <w:tc>
          <w:tcPr>
            <w:tcW w:w="647" w:type="pct"/>
          </w:tcPr>
          <w:p w14:paraId="4CD77A67" w14:textId="0B3C7BFC" w:rsidR="0055663A" w:rsidRPr="002C633F" w:rsidRDefault="00FB35D9" w:rsidP="00213DD5">
            <w:pPr>
              <w:pStyle w:val="TableText"/>
            </w:pPr>
            <w:r>
              <w:t>Partially</w:t>
            </w:r>
          </w:p>
        </w:tc>
      </w:tr>
    </w:tbl>
    <w:p w14:paraId="1E6CA343" w14:textId="0DF1B293" w:rsidR="00A408F3" w:rsidRDefault="00A408F3" w:rsidP="00213DD5">
      <w:pPr>
        <w:pStyle w:val="TableFigureFooter"/>
        <w:rPr>
          <w:rFonts w:eastAsiaTheme="minorEastAsia"/>
        </w:rPr>
      </w:pPr>
      <w:r>
        <w:rPr>
          <w:rFonts w:eastAsiaTheme="minorEastAsia"/>
        </w:rPr>
        <w:t>eGFR = estimated glomerular filtration rate</w:t>
      </w:r>
      <w:r w:rsidR="0007547D">
        <w:rPr>
          <w:rFonts w:eastAsiaTheme="minorEastAsia"/>
        </w:rPr>
        <w:t>; HPT = hypoparathyroidism; ICER = incremental cost effectiveness ratio; QALY = quality adjusted life year; RSA = risk sharing arrangement</w:t>
      </w:r>
    </w:p>
    <w:p w14:paraId="651E868F" w14:textId="77777777" w:rsidR="00143233" w:rsidRPr="00143233" w:rsidRDefault="00143233" w:rsidP="00143233">
      <w:pPr>
        <w:pStyle w:val="TableFigureFooter"/>
        <w:rPr>
          <w:rFonts w:eastAsiaTheme="minorEastAsia"/>
          <w:i/>
        </w:rPr>
      </w:pPr>
      <w:r w:rsidRPr="00143233">
        <w:rPr>
          <w:rFonts w:eastAsiaTheme="minorEastAsia"/>
          <w:i/>
        </w:rPr>
        <w:t xml:space="preserve">The redacted values correspond to the following ranges: </w:t>
      </w:r>
    </w:p>
    <w:p w14:paraId="5F1D1B40" w14:textId="77157BEE" w:rsidR="00143233" w:rsidRPr="00143233" w:rsidRDefault="00143233" w:rsidP="00143233">
      <w:pPr>
        <w:pStyle w:val="TableFigureFooter"/>
        <w:rPr>
          <w:rFonts w:eastAsiaTheme="minorEastAsia"/>
          <w:i/>
        </w:rPr>
      </w:pPr>
      <w:r w:rsidRPr="00143233">
        <w:rPr>
          <w:rFonts w:eastAsiaTheme="minorEastAsia"/>
          <w:i/>
          <w:vertAlign w:val="superscript"/>
        </w:rPr>
        <w:t>1</w:t>
      </w:r>
      <w:r w:rsidRPr="00143233">
        <w:rPr>
          <w:rFonts w:eastAsiaTheme="minorEastAsia"/>
          <w:i/>
        </w:rPr>
        <w:t xml:space="preserve"> </w:t>
      </w:r>
      <w:r w:rsidR="00B50FD0" w:rsidRPr="00B50FD0">
        <w:rPr>
          <w:rFonts w:eastAsiaTheme="minorEastAsia"/>
          <w:i/>
        </w:rPr>
        <w:t>$45,000 to &lt; $55,000</w:t>
      </w:r>
    </w:p>
    <w:p w14:paraId="7AAB5763" w14:textId="1AAE394E" w:rsidR="00143233" w:rsidRPr="00143233" w:rsidRDefault="00143233" w:rsidP="00143233">
      <w:pPr>
        <w:pStyle w:val="TableFigureFooter"/>
        <w:rPr>
          <w:rFonts w:eastAsiaTheme="minorEastAsia"/>
          <w:i/>
        </w:rPr>
      </w:pPr>
      <w:r w:rsidRPr="00143233">
        <w:rPr>
          <w:rFonts w:eastAsiaTheme="minorEastAsia"/>
          <w:i/>
          <w:vertAlign w:val="superscript"/>
        </w:rPr>
        <w:t>2</w:t>
      </w:r>
      <w:r w:rsidRPr="00143233">
        <w:rPr>
          <w:rFonts w:eastAsiaTheme="minorEastAsia"/>
          <w:i/>
        </w:rPr>
        <w:t xml:space="preserve"> </w:t>
      </w:r>
      <w:r w:rsidR="00FD3882" w:rsidRPr="00FD3882">
        <w:rPr>
          <w:rFonts w:eastAsiaTheme="minorEastAsia"/>
          <w:i/>
        </w:rPr>
        <w:t>$75,000 to &lt; $95,000</w:t>
      </w:r>
    </w:p>
    <w:p w14:paraId="02B49353" w14:textId="77777777" w:rsidR="00143233" w:rsidRDefault="00143233" w:rsidP="00213DD5">
      <w:pPr>
        <w:pStyle w:val="TableFigureFooter"/>
        <w:rPr>
          <w:rFonts w:eastAsiaTheme="minorEastAsia"/>
        </w:rPr>
      </w:pPr>
    </w:p>
    <w:p w14:paraId="0935F4B2" w14:textId="7B239088" w:rsidR="5D80A09E" w:rsidRPr="006C5B33" w:rsidRDefault="004877C2" w:rsidP="00213DD5">
      <w:pPr>
        <w:pStyle w:val="2-SectionHeading"/>
        <w:rPr>
          <w:rFonts w:eastAsiaTheme="minorEastAsia"/>
        </w:rPr>
      </w:pPr>
      <w:r w:rsidRPr="006C5B33">
        <w:t>Background</w:t>
      </w:r>
    </w:p>
    <w:p w14:paraId="6ADB37C9" w14:textId="21B0EA3D" w:rsidR="000643B5" w:rsidRDefault="000643B5" w:rsidP="00213DD5">
      <w:pPr>
        <w:pStyle w:val="3-BodyText"/>
      </w:pPr>
      <w:r w:rsidRPr="383E5602">
        <w:t xml:space="preserve">Palopegteriparatide received orphan drug designation in April 2024. </w:t>
      </w:r>
      <w:r>
        <w:t xml:space="preserve">Palopegteriparatide </w:t>
      </w:r>
      <w:r w:rsidR="00F92A70">
        <w:t xml:space="preserve">is </w:t>
      </w:r>
      <w:r>
        <w:t xml:space="preserve">listed on the Australian Register of Therapeutic Goods for the treatment of chronic hypoparathyroidism in adults. </w:t>
      </w:r>
    </w:p>
    <w:p w14:paraId="587432E9" w14:textId="77777777" w:rsidR="00C068A6" w:rsidRPr="006C5B33" w:rsidRDefault="004B2E01" w:rsidP="00213DD5">
      <w:pPr>
        <w:pStyle w:val="2-SectionHeading"/>
      </w:pPr>
      <w:r w:rsidRPr="006C5B33">
        <w:t>Requested listing</w:t>
      </w:r>
      <w:r w:rsidR="007C08E0" w:rsidRPr="006C5B33">
        <w:t xml:space="preserve"> </w:t>
      </w:r>
    </w:p>
    <w:p w14:paraId="190F34EB" w14:textId="1775BCB2" w:rsidR="004F5D1F" w:rsidRDefault="00411676" w:rsidP="00213DD5">
      <w:pPr>
        <w:pStyle w:val="3-BodyText"/>
      </w:pPr>
      <w:r>
        <w:t xml:space="preserve">The </w:t>
      </w:r>
      <w:r w:rsidR="0042718E">
        <w:t xml:space="preserve">early re-entry resubmission accepted the following amendments to the proposed restriction </w:t>
      </w:r>
      <w:r w:rsidR="00E741D5">
        <w:t>suggested by the PBAC in March 2025:</w:t>
      </w:r>
    </w:p>
    <w:p w14:paraId="6BF3B1B7" w14:textId="7208B62B" w:rsidR="00E741D5" w:rsidRDefault="00E741D5" w:rsidP="00213DD5">
      <w:pPr>
        <w:pStyle w:val="3-BodyText"/>
        <w:numPr>
          <w:ilvl w:val="1"/>
          <w:numId w:val="8"/>
        </w:numPr>
        <w:ind w:left="1080"/>
      </w:pPr>
      <w:r>
        <w:lastRenderedPageBreak/>
        <w:t xml:space="preserve">The restriction should align with the </w:t>
      </w:r>
      <w:proofErr w:type="spellStart"/>
      <w:r>
        <w:t>PaTHway</w:t>
      </w:r>
      <w:proofErr w:type="spellEnd"/>
      <w:r>
        <w:t xml:space="preserve"> trial </w:t>
      </w:r>
      <w:r w:rsidR="00887DEA">
        <w:t xml:space="preserve">and exclude patients with an estimated glomerular filtration rate (eGFR) of </w:t>
      </w:r>
      <w:r w:rsidR="00887DEA">
        <w:rPr>
          <w:rFonts w:cstheme="minorHAnsi"/>
        </w:rPr>
        <w:t>≤</w:t>
      </w:r>
      <w:r w:rsidR="00887DEA">
        <w:t xml:space="preserve"> 30 mL/min/1.73 m</w:t>
      </w:r>
      <w:r w:rsidR="00887DEA" w:rsidRPr="00887DEA">
        <w:rPr>
          <w:vertAlign w:val="superscript"/>
        </w:rPr>
        <w:t>2</w:t>
      </w:r>
      <w:r w:rsidR="00887DEA">
        <w:t>;</w:t>
      </w:r>
    </w:p>
    <w:p w14:paraId="1299A19C" w14:textId="3B39992F" w:rsidR="00887DEA" w:rsidRDefault="00F23F7B" w:rsidP="00213DD5">
      <w:pPr>
        <w:pStyle w:val="3-BodyText"/>
        <w:numPr>
          <w:ilvl w:val="1"/>
          <w:numId w:val="8"/>
        </w:numPr>
        <w:ind w:left="1080"/>
      </w:pPr>
      <w:r>
        <w:t xml:space="preserve">The initial and first continuing </w:t>
      </w:r>
      <w:r w:rsidR="00CC0681">
        <w:t xml:space="preserve">treatment </w:t>
      </w:r>
      <w:r>
        <w:t>restrictions should require treatment by an endocrinologist, or a specialist experienced in the treatment of HPT;</w:t>
      </w:r>
    </w:p>
    <w:p w14:paraId="44D5FA41" w14:textId="279D7DF7" w:rsidR="00F23F7B" w:rsidRDefault="00F23F7B" w:rsidP="00213DD5">
      <w:pPr>
        <w:pStyle w:val="3-BodyText"/>
        <w:numPr>
          <w:ilvl w:val="1"/>
          <w:numId w:val="8"/>
        </w:numPr>
        <w:ind w:left="1080"/>
      </w:pPr>
      <w:r>
        <w:t>The restriction should be age agnostic;</w:t>
      </w:r>
    </w:p>
    <w:p w14:paraId="01A2D2E5" w14:textId="27B296A9" w:rsidR="00F23F7B" w:rsidRDefault="00F23F7B" w:rsidP="00213DD5">
      <w:pPr>
        <w:pStyle w:val="3-BodyText"/>
        <w:numPr>
          <w:ilvl w:val="1"/>
          <w:numId w:val="8"/>
        </w:numPr>
        <w:ind w:left="1080"/>
      </w:pPr>
      <w:r>
        <w:t xml:space="preserve">The subsequent continuing </w:t>
      </w:r>
      <w:r w:rsidR="00CC0681">
        <w:t>treatment restriction should include the response criteria currently described in the first continuing treatment restriction.</w:t>
      </w:r>
    </w:p>
    <w:p w14:paraId="05A787B6" w14:textId="3419EA3B" w:rsidR="00146710" w:rsidRDefault="00146710" w:rsidP="00213DD5">
      <w:pPr>
        <w:pStyle w:val="3-BodyText"/>
      </w:pPr>
      <w:r>
        <w:t xml:space="preserve">The early re-entry resubmission proposed a </w:t>
      </w:r>
      <w:r w:rsidR="00FD3ADE" w:rsidRPr="00FD3ADE">
        <w:rPr>
          <w:color w:val="000000"/>
          <w:w w:val="59"/>
          <w:shd w:val="solid" w:color="000000" w:fill="000000"/>
          <w:fitText w:val="460" w:id="-621624826"/>
          <w14:textFill>
            <w14:solidFill>
              <w14:srgbClr w14:val="000000">
                <w14:alpha w14:val="100000"/>
              </w14:srgbClr>
            </w14:solidFill>
          </w14:textFill>
        </w:rPr>
        <w:t>|||  |||</w:t>
      </w:r>
      <w:r>
        <w:t>% price reduction which reduced the</w:t>
      </w:r>
      <w:r w:rsidR="00D97F81">
        <w:t xml:space="preserve"> effective price </w:t>
      </w:r>
      <w:r w:rsidR="007008E9">
        <w:t>from $</w:t>
      </w:r>
      <w:r w:rsidR="00FD3ADE" w:rsidRPr="00FD3ADE">
        <w:rPr>
          <w:color w:val="000000"/>
          <w:w w:val="61"/>
          <w:shd w:val="solid" w:color="000000" w:fill="000000"/>
          <w:fitText w:val="475" w:id="-621624825"/>
          <w14:textFill>
            <w14:solidFill>
              <w14:srgbClr w14:val="000000">
                <w14:alpha w14:val="100000"/>
              </w14:srgbClr>
            </w14:solidFill>
          </w14:textFill>
        </w:rPr>
        <w:t>|||  |||</w:t>
      </w:r>
      <w:r w:rsidR="007008E9">
        <w:t xml:space="preserve"> AEMP ($</w:t>
      </w:r>
      <w:r w:rsidR="00FD3ADE" w:rsidRPr="00FD3ADE">
        <w:rPr>
          <w:color w:val="000000"/>
          <w:w w:val="61"/>
          <w:shd w:val="solid" w:color="000000" w:fill="000000"/>
          <w:fitText w:val="475" w:id="-621624824"/>
          <w14:textFill>
            <w14:solidFill>
              <w14:srgbClr w14:val="000000">
                <w14:alpha w14:val="100000"/>
              </w14:srgbClr>
            </w14:solidFill>
          </w14:textFill>
        </w:rPr>
        <w:t>|||  |||</w:t>
      </w:r>
      <w:r w:rsidR="007008E9">
        <w:t xml:space="preserve"> DPMQ) to </w:t>
      </w:r>
      <w:r w:rsidR="00215AB3">
        <w:t>$</w:t>
      </w:r>
      <w:r w:rsidR="00FD3ADE" w:rsidRPr="00FD3ADE">
        <w:rPr>
          <w:color w:val="000000"/>
          <w:w w:val="59"/>
          <w:shd w:val="solid" w:color="000000" w:fill="000000"/>
          <w:fitText w:val="460" w:id="-621624823"/>
          <w14:textFill>
            <w14:solidFill>
              <w14:srgbClr w14:val="000000">
                <w14:alpha w14:val="100000"/>
              </w14:srgbClr>
            </w14:solidFill>
          </w14:textFill>
        </w:rPr>
        <w:t>|||  |||</w:t>
      </w:r>
      <w:r w:rsidR="00215AB3">
        <w:t xml:space="preserve"> AEMP ($</w:t>
      </w:r>
      <w:r w:rsidR="00FD3ADE" w:rsidRPr="00FD3ADE">
        <w:rPr>
          <w:color w:val="000000"/>
          <w:w w:val="61"/>
          <w:shd w:val="solid" w:color="000000" w:fill="000000"/>
          <w:fitText w:val="475" w:id="-621624822"/>
          <w14:textFill>
            <w14:solidFill>
              <w14:srgbClr w14:val="000000">
                <w14:alpha w14:val="100000"/>
              </w14:srgbClr>
            </w14:solidFill>
          </w14:textFill>
        </w:rPr>
        <w:t>|||  |||</w:t>
      </w:r>
      <w:r w:rsidR="00215AB3">
        <w:t xml:space="preserve"> DPMQ)</w:t>
      </w:r>
      <w:r>
        <w:t>.</w:t>
      </w:r>
    </w:p>
    <w:p w14:paraId="0B25CD32" w14:textId="7DEE3448" w:rsidR="00CC0681" w:rsidRPr="00E13B10" w:rsidRDefault="00CC0681" w:rsidP="00213DD5">
      <w:pPr>
        <w:pStyle w:val="3-BodyText"/>
      </w:pPr>
      <w:r>
        <w:t xml:space="preserve">The revised restriction is presented below. </w:t>
      </w:r>
      <w:r w:rsidR="009B11A5" w:rsidRPr="00E13B10">
        <w:t>Secretariat a</w:t>
      </w:r>
      <w:r w:rsidRPr="00E13B10">
        <w:t xml:space="preserve">dditions </w:t>
      </w:r>
      <w:r w:rsidR="00B14299" w:rsidRPr="00E13B10">
        <w:t>are in italics and deletions are in strikethrough.</w:t>
      </w:r>
    </w:p>
    <w:p w14:paraId="50C944FC" w14:textId="60910711" w:rsidR="003234F5" w:rsidRPr="00E13B10" w:rsidRDefault="00B61574" w:rsidP="00213DD5">
      <w:pPr>
        <w:pStyle w:val="3-BodyText"/>
        <w:spacing w:after="240"/>
      </w:pPr>
      <w:r w:rsidRPr="00E13B10">
        <w:t xml:space="preserve">The </w:t>
      </w:r>
      <w:r w:rsidR="004F572F" w:rsidRPr="00E13B10">
        <w:t xml:space="preserve">early re-entry </w:t>
      </w:r>
      <w:r w:rsidRPr="00E13B10">
        <w:t xml:space="preserve">resubmission </w:t>
      </w:r>
      <w:r w:rsidR="000756E3" w:rsidRPr="00E13B10">
        <w:t xml:space="preserve">requested </w:t>
      </w:r>
      <w:r w:rsidRPr="00E13B10">
        <w:t xml:space="preserve">a separate grandfather restriction to allow </w:t>
      </w:r>
      <w:r w:rsidR="004F572F" w:rsidRPr="00E13B10">
        <w:t xml:space="preserve">the </w:t>
      </w:r>
      <w:r w:rsidRPr="00E13B10">
        <w:t xml:space="preserve">approximately 100 patients treated with palopegteriparatide via a special access program to transition to PBS funded treatment. The resubmission noted these patients </w:t>
      </w:r>
      <w:r w:rsidR="00E87DE5" w:rsidRPr="00E13B10">
        <w:t xml:space="preserve">are </w:t>
      </w:r>
      <w:r w:rsidRPr="00E13B10">
        <w:t>accounted for in the financial estimates.</w:t>
      </w:r>
    </w:p>
    <w:tbl>
      <w:tblPr>
        <w:tblW w:w="5191" w:type="pct"/>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
        <w:gridCol w:w="18"/>
        <w:gridCol w:w="770"/>
        <w:gridCol w:w="49"/>
        <w:gridCol w:w="1912"/>
        <w:gridCol w:w="2040"/>
        <w:gridCol w:w="960"/>
        <w:gridCol w:w="960"/>
        <w:gridCol w:w="720"/>
        <w:gridCol w:w="1445"/>
      </w:tblGrid>
      <w:tr w:rsidR="002C1B22" w:rsidRPr="0098262F" w14:paraId="75820B0C" w14:textId="77777777" w:rsidTr="004F572F">
        <w:trPr>
          <w:cantSplit/>
          <w:trHeight w:val="20"/>
        </w:trPr>
        <w:tc>
          <w:tcPr>
            <w:tcW w:w="3235" w:type="dxa"/>
            <w:gridSpan w:val="5"/>
            <w:vAlign w:val="center"/>
          </w:tcPr>
          <w:p w14:paraId="6AA99BB1" w14:textId="77777777" w:rsidR="002C1B22" w:rsidRPr="002C1B22" w:rsidRDefault="002C1B22" w:rsidP="00213DD5">
            <w:pPr>
              <w:pStyle w:val="TableText"/>
              <w:rPr>
                <w:b/>
                <w:bCs w:val="0"/>
              </w:rPr>
            </w:pPr>
            <w:bookmarkStart w:id="3" w:name="_Hlk104809055"/>
            <w:r w:rsidRPr="002C1B22">
              <w:rPr>
                <w:b/>
                <w:bCs w:val="0"/>
              </w:rPr>
              <w:t>MEDICINAL PRODUCT</w:t>
            </w:r>
          </w:p>
          <w:p w14:paraId="07C6D5CE" w14:textId="77777777" w:rsidR="002C1B22" w:rsidRPr="0098262F" w:rsidRDefault="002C1B22" w:rsidP="00213DD5">
            <w:pPr>
              <w:pStyle w:val="TableText"/>
            </w:pPr>
            <w:r w:rsidRPr="002C1B22">
              <w:rPr>
                <w:b/>
                <w:bCs w:val="0"/>
              </w:rPr>
              <w:t>medicinal product pack</w:t>
            </w:r>
          </w:p>
        </w:tc>
        <w:tc>
          <w:tcPr>
            <w:tcW w:w="2040" w:type="dxa"/>
            <w:vAlign w:val="center"/>
          </w:tcPr>
          <w:p w14:paraId="72050704" w14:textId="77777777" w:rsidR="002C1B22" w:rsidRPr="004D54D6" w:rsidRDefault="002C1B22" w:rsidP="00213DD5">
            <w:pPr>
              <w:pStyle w:val="TableText"/>
              <w:jc w:val="center"/>
              <w:rPr>
                <w:b/>
                <w:bCs w:val="0"/>
                <w:szCs w:val="20"/>
              </w:rPr>
            </w:pPr>
            <w:r>
              <w:rPr>
                <w:b/>
                <w:bCs w:val="0"/>
              </w:rPr>
              <w:t>DPMQ</w:t>
            </w:r>
          </w:p>
        </w:tc>
        <w:tc>
          <w:tcPr>
            <w:tcW w:w="960" w:type="dxa"/>
            <w:vAlign w:val="center"/>
          </w:tcPr>
          <w:p w14:paraId="45EB13B9" w14:textId="77777777" w:rsidR="002C1B22" w:rsidRPr="0098262F" w:rsidRDefault="002C1B22" w:rsidP="00213DD5">
            <w:pPr>
              <w:keepLines/>
              <w:jc w:val="center"/>
              <w:rPr>
                <w:rFonts w:ascii="Arial Narrow" w:hAnsi="Arial Narrow"/>
                <w:b/>
                <w:sz w:val="20"/>
                <w:szCs w:val="20"/>
              </w:rPr>
            </w:pPr>
            <w:r w:rsidRPr="0098262F">
              <w:rPr>
                <w:rFonts w:ascii="Arial Narrow" w:hAnsi="Arial Narrow"/>
                <w:b/>
                <w:sz w:val="20"/>
                <w:szCs w:val="20"/>
              </w:rPr>
              <w:t>Max. qty packs</w:t>
            </w:r>
          </w:p>
        </w:tc>
        <w:tc>
          <w:tcPr>
            <w:tcW w:w="960" w:type="dxa"/>
            <w:vAlign w:val="center"/>
          </w:tcPr>
          <w:p w14:paraId="66607001" w14:textId="77777777" w:rsidR="002C1B22" w:rsidRPr="0098262F" w:rsidRDefault="002C1B22" w:rsidP="00213DD5">
            <w:pPr>
              <w:keepLines/>
              <w:jc w:val="center"/>
              <w:rPr>
                <w:rFonts w:ascii="Arial Narrow" w:hAnsi="Arial Narrow"/>
                <w:b/>
                <w:sz w:val="20"/>
                <w:szCs w:val="20"/>
              </w:rPr>
            </w:pPr>
            <w:r w:rsidRPr="0098262F">
              <w:rPr>
                <w:rFonts w:ascii="Arial Narrow" w:hAnsi="Arial Narrow"/>
                <w:b/>
                <w:sz w:val="20"/>
                <w:szCs w:val="20"/>
              </w:rPr>
              <w:t>Max. qty units</w:t>
            </w:r>
          </w:p>
        </w:tc>
        <w:tc>
          <w:tcPr>
            <w:tcW w:w="720" w:type="dxa"/>
            <w:vAlign w:val="center"/>
          </w:tcPr>
          <w:p w14:paraId="1CB5C15D" w14:textId="77777777" w:rsidR="002C1B22" w:rsidRPr="0098262F" w:rsidRDefault="002C1B22" w:rsidP="00213DD5">
            <w:pPr>
              <w:keepLines/>
              <w:jc w:val="center"/>
              <w:rPr>
                <w:rFonts w:ascii="Arial Narrow" w:hAnsi="Arial Narrow"/>
                <w:b/>
                <w:sz w:val="20"/>
                <w:szCs w:val="20"/>
              </w:rPr>
            </w:pPr>
            <w:r w:rsidRPr="0098262F">
              <w:rPr>
                <w:rFonts w:ascii="Arial Narrow" w:hAnsi="Arial Narrow"/>
                <w:b/>
                <w:sz w:val="20"/>
                <w:szCs w:val="20"/>
              </w:rPr>
              <w:t>№. of</w:t>
            </w:r>
          </w:p>
          <w:p w14:paraId="03C7CEF3" w14:textId="77777777" w:rsidR="002C1B22" w:rsidRPr="0098262F" w:rsidRDefault="002C1B22" w:rsidP="00213DD5">
            <w:pPr>
              <w:keepLines/>
              <w:jc w:val="center"/>
              <w:rPr>
                <w:rFonts w:ascii="Arial Narrow" w:hAnsi="Arial Narrow"/>
                <w:b/>
                <w:bCs/>
                <w:sz w:val="20"/>
                <w:szCs w:val="20"/>
              </w:rPr>
            </w:pPr>
            <w:r w:rsidRPr="4D2BAA30">
              <w:rPr>
                <w:rFonts w:ascii="Arial Narrow" w:hAnsi="Arial Narrow"/>
                <w:b/>
                <w:bCs/>
                <w:sz w:val="20"/>
                <w:szCs w:val="20"/>
              </w:rPr>
              <w:t>Rpts</w:t>
            </w:r>
          </w:p>
        </w:tc>
        <w:tc>
          <w:tcPr>
            <w:tcW w:w="1445" w:type="dxa"/>
            <w:vAlign w:val="center"/>
          </w:tcPr>
          <w:p w14:paraId="235B02AA" w14:textId="77777777" w:rsidR="002C1B22" w:rsidRPr="0098262F" w:rsidRDefault="002C1B22" w:rsidP="00213DD5">
            <w:pPr>
              <w:keepLines/>
              <w:rPr>
                <w:rFonts w:ascii="Arial Narrow" w:hAnsi="Arial Narrow"/>
                <w:b/>
                <w:sz w:val="20"/>
                <w:szCs w:val="20"/>
              </w:rPr>
            </w:pPr>
            <w:r w:rsidRPr="0098262F">
              <w:rPr>
                <w:rFonts w:ascii="Arial Narrow" w:hAnsi="Arial Narrow"/>
                <w:b/>
                <w:sz w:val="20"/>
                <w:szCs w:val="20"/>
              </w:rPr>
              <w:t>Available brands</w:t>
            </w:r>
          </w:p>
        </w:tc>
      </w:tr>
      <w:tr w:rsidR="002C1B22" w:rsidRPr="0098262F" w14:paraId="19C81EB9" w14:textId="77777777" w:rsidTr="004F572F">
        <w:tblPrEx>
          <w:tblBorders>
            <w:bottom w:val="single" w:sz="4" w:space="0" w:color="auto"/>
          </w:tblBorders>
        </w:tblPrEx>
        <w:trPr>
          <w:cantSplit/>
          <w:trHeight w:val="20"/>
        </w:trPr>
        <w:tc>
          <w:tcPr>
            <w:tcW w:w="9360" w:type="dxa"/>
            <w:gridSpan w:val="10"/>
            <w:vAlign w:val="center"/>
          </w:tcPr>
          <w:p w14:paraId="18EEBCA7" w14:textId="77777777" w:rsidR="002C1B22" w:rsidRPr="0098262F" w:rsidRDefault="002C1B22" w:rsidP="00213DD5">
            <w:pPr>
              <w:pStyle w:val="TableText"/>
            </w:pPr>
            <w:r w:rsidRPr="4D2BAA30">
              <w:t>Palopegteriparatide</w:t>
            </w:r>
          </w:p>
        </w:tc>
      </w:tr>
      <w:tr w:rsidR="002C1B22" w:rsidRPr="0098262F" w14:paraId="1B78FB09" w14:textId="77777777" w:rsidTr="004F572F">
        <w:tblPrEx>
          <w:tblBorders>
            <w:bottom w:val="single" w:sz="4" w:space="0" w:color="auto"/>
          </w:tblBorders>
        </w:tblPrEx>
        <w:trPr>
          <w:cantSplit/>
          <w:trHeight w:val="20"/>
        </w:trPr>
        <w:tc>
          <w:tcPr>
            <w:tcW w:w="3235" w:type="dxa"/>
            <w:gridSpan w:val="5"/>
          </w:tcPr>
          <w:p w14:paraId="2D4F60B2" w14:textId="77777777" w:rsidR="002C1B22" w:rsidRPr="00A06048" w:rsidRDefault="002C1B22" w:rsidP="00213DD5">
            <w:pPr>
              <w:keepLines/>
              <w:jc w:val="left"/>
              <w:rPr>
                <w:rFonts w:ascii="Arial Narrow" w:hAnsi="Arial Narrow"/>
                <w:sz w:val="20"/>
                <w:szCs w:val="20"/>
              </w:rPr>
            </w:pPr>
            <w:r w:rsidRPr="4D2BAA30">
              <w:rPr>
                <w:rFonts w:ascii="Arial Narrow" w:hAnsi="Arial Narrow"/>
                <w:sz w:val="20"/>
                <w:szCs w:val="20"/>
              </w:rPr>
              <w:t>Palopegteriparatide 168 mcg/0.56 mL solution for injection, pre-filled pen</w:t>
            </w:r>
          </w:p>
        </w:tc>
        <w:tc>
          <w:tcPr>
            <w:tcW w:w="2040" w:type="dxa"/>
            <w:vAlign w:val="center"/>
          </w:tcPr>
          <w:p w14:paraId="593D5D10" w14:textId="2546C086" w:rsidR="002C1B22" w:rsidRPr="00F92A70" w:rsidRDefault="002C1B22" w:rsidP="00213DD5">
            <w:pPr>
              <w:pStyle w:val="Tabletext0"/>
              <w:jc w:val="center"/>
              <w:rPr>
                <w:rFonts w:ascii="Arial Narrow" w:hAnsi="Arial Narrow"/>
                <w:iCs/>
                <w:sz w:val="20"/>
                <w:szCs w:val="20"/>
              </w:rPr>
            </w:pPr>
            <w:r w:rsidRPr="00F92A70">
              <w:rPr>
                <w:rFonts w:ascii="Arial Narrow" w:hAnsi="Arial Narrow"/>
                <w:iCs/>
                <w:sz w:val="20"/>
                <w:szCs w:val="20"/>
              </w:rPr>
              <w:t>Published</w:t>
            </w:r>
            <w:r w:rsidRPr="009C02F3">
              <w:rPr>
                <w:rFonts w:ascii="Arial Narrow" w:hAnsi="Arial Narrow"/>
                <w:iCs/>
                <w:sz w:val="20"/>
                <w:szCs w:val="20"/>
              </w:rPr>
              <w:t>: $</w:t>
            </w:r>
            <w:r w:rsidR="00FD3ADE" w:rsidRPr="00FD3ADE">
              <w:rPr>
                <w:rFonts w:ascii="Arial Narrow" w:hAnsi="Arial Narrow"/>
                <w:iCs/>
                <w:color w:val="000000"/>
                <w:spacing w:val="48"/>
                <w:sz w:val="20"/>
                <w:szCs w:val="20"/>
                <w:shd w:val="solid" w:color="000000" w:fill="000000"/>
                <w:fitText w:val="315" w:id="-621624821"/>
                <w14:textFill>
                  <w14:solidFill>
                    <w14:srgbClr w14:val="000000">
                      <w14:alpha w14:val="100000"/>
                    </w14:srgbClr>
                  </w14:solidFill>
                </w14:textFill>
              </w:rPr>
              <w:t>|||</w:t>
            </w:r>
            <w:r w:rsidR="00FD3ADE" w:rsidRPr="00FD3ADE">
              <w:rPr>
                <w:rFonts w:ascii="Arial Narrow" w:hAnsi="Arial Narrow"/>
                <w:iCs/>
                <w:color w:val="000000"/>
                <w:spacing w:val="1"/>
                <w:sz w:val="20"/>
                <w:szCs w:val="20"/>
                <w:shd w:val="solid" w:color="000000" w:fill="000000"/>
                <w:fitText w:val="315" w:id="-621624821"/>
                <w14:textFill>
                  <w14:solidFill>
                    <w14:srgbClr w14:val="000000">
                      <w14:alpha w14:val="100000"/>
                    </w14:srgbClr>
                  </w14:solidFill>
                </w14:textFill>
              </w:rPr>
              <w:t>|</w:t>
            </w:r>
          </w:p>
          <w:p w14:paraId="222804D5" w14:textId="45CAF823" w:rsidR="002C1B22" w:rsidRPr="00F92A70" w:rsidRDefault="002C1B22" w:rsidP="00213DD5">
            <w:pPr>
              <w:pStyle w:val="Tabletext0"/>
              <w:jc w:val="center"/>
              <w:rPr>
                <w:rFonts w:ascii="Arial Narrow" w:hAnsi="Arial Narrow"/>
                <w:iCs/>
                <w:sz w:val="20"/>
                <w:szCs w:val="20"/>
              </w:rPr>
            </w:pPr>
            <w:r w:rsidRPr="00F92A70">
              <w:rPr>
                <w:rFonts w:ascii="Arial Narrow" w:hAnsi="Arial Narrow"/>
                <w:iCs/>
                <w:sz w:val="20"/>
                <w:szCs w:val="20"/>
              </w:rPr>
              <w:t>Effective: $</w:t>
            </w:r>
            <w:r w:rsidR="00FD3ADE" w:rsidRPr="00FD3ADE">
              <w:rPr>
                <w:rFonts w:ascii="Arial Narrow" w:hAnsi="Arial Narrow"/>
                <w:iCs/>
                <w:color w:val="000000"/>
                <w:spacing w:val="48"/>
                <w:sz w:val="20"/>
                <w:szCs w:val="20"/>
                <w:shd w:val="solid" w:color="000000" w:fill="000000"/>
                <w:fitText w:val="315" w:id="-621624820"/>
                <w14:textFill>
                  <w14:solidFill>
                    <w14:srgbClr w14:val="000000">
                      <w14:alpha w14:val="100000"/>
                    </w14:srgbClr>
                  </w14:solidFill>
                </w14:textFill>
              </w:rPr>
              <w:t>|||</w:t>
            </w:r>
            <w:r w:rsidR="00FD3ADE" w:rsidRPr="00FD3ADE">
              <w:rPr>
                <w:rFonts w:ascii="Arial Narrow" w:hAnsi="Arial Narrow"/>
                <w:iCs/>
                <w:color w:val="000000"/>
                <w:spacing w:val="1"/>
                <w:sz w:val="20"/>
                <w:szCs w:val="20"/>
                <w:shd w:val="solid" w:color="000000" w:fill="000000"/>
                <w:fitText w:val="315" w:id="-621624820"/>
                <w14:textFill>
                  <w14:solidFill>
                    <w14:srgbClr w14:val="000000">
                      <w14:alpha w14:val="100000"/>
                    </w14:srgbClr>
                  </w14:solidFill>
                </w14:textFill>
              </w:rPr>
              <w:t>|</w:t>
            </w:r>
          </w:p>
        </w:tc>
        <w:tc>
          <w:tcPr>
            <w:tcW w:w="960" w:type="dxa"/>
            <w:vAlign w:val="center"/>
          </w:tcPr>
          <w:p w14:paraId="744E26EF" w14:textId="77777777" w:rsidR="002C1B22" w:rsidRPr="0098262F" w:rsidRDefault="002C1B22" w:rsidP="00213DD5">
            <w:pPr>
              <w:keepLines/>
              <w:jc w:val="center"/>
              <w:rPr>
                <w:rFonts w:ascii="Arial Narrow" w:hAnsi="Arial Narrow"/>
                <w:sz w:val="20"/>
                <w:szCs w:val="20"/>
              </w:rPr>
            </w:pPr>
            <w:r>
              <w:rPr>
                <w:rFonts w:ascii="Arial Narrow" w:hAnsi="Arial Narrow"/>
                <w:sz w:val="20"/>
                <w:szCs w:val="20"/>
              </w:rPr>
              <w:t>1</w:t>
            </w:r>
          </w:p>
        </w:tc>
        <w:tc>
          <w:tcPr>
            <w:tcW w:w="960" w:type="dxa"/>
            <w:vAlign w:val="center"/>
          </w:tcPr>
          <w:p w14:paraId="75388A91" w14:textId="77777777" w:rsidR="002C1B22" w:rsidRPr="0098262F" w:rsidRDefault="002C1B22" w:rsidP="00213DD5">
            <w:pPr>
              <w:keepLines/>
              <w:jc w:val="center"/>
              <w:rPr>
                <w:rFonts w:ascii="Arial Narrow" w:hAnsi="Arial Narrow"/>
                <w:sz w:val="20"/>
                <w:szCs w:val="20"/>
              </w:rPr>
            </w:pPr>
            <w:r>
              <w:rPr>
                <w:rFonts w:ascii="Arial Narrow" w:hAnsi="Arial Narrow"/>
                <w:sz w:val="20"/>
                <w:szCs w:val="20"/>
              </w:rPr>
              <w:t>2</w:t>
            </w:r>
          </w:p>
        </w:tc>
        <w:tc>
          <w:tcPr>
            <w:tcW w:w="720" w:type="dxa"/>
            <w:vAlign w:val="center"/>
          </w:tcPr>
          <w:p w14:paraId="1528E4AC" w14:textId="77777777" w:rsidR="002C1B22" w:rsidRPr="0098262F" w:rsidRDefault="002C1B22" w:rsidP="00213DD5">
            <w:pPr>
              <w:keepLines/>
              <w:jc w:val="center"/>
              <w:rPr>
                <w:rFonts w:ascii="Arial Narrow" w:hAnsi="Arial Narrow"/>
                <w:sz w:val="20"/>
                <w:szCs w:val="20"/>
              </w:rPr>
            </w:pPr>
            <w:r>
              <w:rPr>
                <w:rFonts w:ascii="Arial Narrow" w:hAnsi="Arial Narrow"/>
                <w:sz w:val="20"/>
                <w:szCs w:val="20"/>
              </w:rPr>
              <w:t>6</w:t>
            </w:r>
          </w:p>
        </w:tc>
        <w:tc>
          <w:tcPr>
            <w:tcW w:w="1445" w:type="dxa"/>
            <w:vAlign w:val="center"/>
          </w:tcPr>
          <w:p w14:paraId="5CD96809" w14:textId="77777777" w:rsidR="002C1B22" w:rsidRPr="0098262F" w:rsidRDefault="002C1B22" w:rsidP="00213DD5">
            <w:pPr>
              <w:keepLines/>
              <w:rPr>
                <w:rFonts w:ascii="Arial Narrow" w:hAnsi="Arial Narrow"/>
                <w:color w:val="0066FF"/>
                <w:sz w:val="20"/>
                <w:szCs w:val="20"/>
              </w:rPr>
            </w:pPr>
            <w:r w:rsidRPr="383E5602">
              <w:rPr>
                <w:rFonts w:ascii="Arial Narrow" w:hAnsi="Arial Narrow"/>
                <w:sz w:val="20"/>
                <w:szCs w:val="20"/>
              </w:rPr>
              <w:t>Yorvipath</w:t>
            </w:r>
          </w:p>
        </w:tc>
      </w:tr>
      <w:tr w:rsidR="002C1B22" w:rsidRPr="0098262F" w14:paraId="615F6B4F" w14:textId="77777777" w:rsidTr="004F572F">
        <w:tblPrEx>
          <w:tblBorders>
            <w:bottom w:val="single" w:sz="4" w:space="0" w:color="auto"/>
          </w:tblBorders>
        </w:tblPrEx>
        <w:trPr>
          <w:cantSplit/>
          <w:trHeight w:val="20"/>
        </w:trPr>
        <w:tc>
          <w:tcPr>
            <w:tcW w:w="3235" w:type="dxa"/>
            <w:gridSpan w:val="5"/>
          </w:tcPr>
          <w:p w14:paraId="0B4352FA" w14:textId="77777777" w:rsidR="002C1B22" w:rsidRPr="00A06048" w:rsidRDefault="002C1B22" w:rsidP="00213DD5">
            <w:pPr>
              <w:keepLines/>
              <w:jc w:val="left"/>
              <w:rPr>
                <w:rFonts w:ascii="Arial Narrow" w:hAnsi="Arial Narrow"/>
                <w:sz w:val="20"/>
                <w:szCs w:val="20"/>
              </w:rPr>
            </w:pPr>
            <w:r w:rsidRPr="4D2BAA30">
              <w:rPr>
                <w:rFonts w:ascii="Arial Narrow" w:hAnsi="Arial Narrow"/>
                <w:sz w:val="20"/>
                <w:szCs w:val="20"/>
              </w:rPr>
              <w:t>Palopegteriparatide 294 mcg/0.98 mL solution for injection, pre-filled pen</w:t>
            </w:r>
          </w:p>
        </w:tc>
        <w:tc>
          <w:tcPr>
            <w:tcW w:w="2040" w:type="dxa"/>
            <w:vAlign w:val="center"/>
          </w:tcPr>
          <w:p w14:paraId="30D2F7F8" w14:textId="7E4EBBBD" w:rsidR="002C1B22" w:rsidRPr="00F92A70" w:rsidRDefault="002C1B22" w:rsidP="00213DD5">
            <w:pPr>
              <w:pStyle w:val="Tabletext0"/>
              <w:jc w:val="center"/>
              <w:rPr>
                <w:rFonts w:ascii="Arial Narrow" w:hAnsi="Arial Narrow"/>
                <w:iCs/>
                <w:sz w:val="20"/>
                <w:szCs w:val="20"/>
              </w:rPr>
            </w:pPr>
            <w:r w:rsidRPr="00F92A70">
              <w:rPr>
                <w:rFonts w:ascii="Arial Narrow" w:hAnsi="Arial Narrow"/>
                <w:iCs/>
                <w:sz w:val="20"/>
                <w:szCs w:val="20"/>
              </w:rPr>
              <w:t xml:space="preserve">Published: </w:t>
            </w:r>
            <w:r w:rsidRPr="009C02F3">
              <w:rPr>
                <w:rFonts w:ascii="Arial Narrow" w:hAnsi="Arial Narrow"/>
                <w:iCs/>
                <w:sz w:val="20"/>
                <w:szCs w:val="20"/>
              </w:rPr>
              <w:t>$</w:t>
            </w:r>
            <w:r w:rsidR="00FD3ADE" w:rsidRPr="00FD3ADE">
              <w:rPr>
                <w:rFonts w:ascii="Arial Narrow" w:hAnsi="Arial Narrow"/>
                <w:iCs/>
                <w:color w:val="000000"/>
                <w:spacing w:val="48"/>
                <w:sz w:val="20"/>
                <w:szCs w:val="20"/>
                <w:shd w:val="solid" w:color="000000" w:fill="000000"/>
                <w:fitText w:val="315" w:id="-621624819"/>
                <w14:textFill>
                  <w14:solidFill>
                    <w14:srgbClr w14:val="000000">
                      <w14:alpha w14:val="100000"/>
                    </w14:srgbClr>
                  </w14:solidFill>
                </w14:textFill>
              </w:rPr>
              <w:t>|||</w:t>
            </w:r>
            <w:r w:rsidR="00FD3ADE" w:rsidRPr="00FD3ADE">
              <w:rPr>
                <w:rFonts w:ascii="Arial Narrow" w:hAnsi="Arial Narrow"/>
                <w:iCs/>
                <w:color w:val="000000"/>
                <w:spacing w:val="1"/>
                <w:sz w:val="20"/>
                <w:szCs w:val="20"/>
                <w:shd w:val="solid" w:color="000000" w:fill="000000"/>
                <w:fitText w:val="315" w:id="-621624819"/>
                <w14:textFill>
                  <w14:solidFill>
                    <w14:srgbClr w14:val="000000">
                      <w14:alpha w14:val="100000"/>
                    </w14:srgbClr>
                  </w14:solidFill>
                </w14:textFill>
              </w:rPr>
              <w:t>|</w:t>
            </w:r>
          </w:p>
          <w:p w14:paraId="287FB2F2" w14:textId="3F54FCFD" w:rsidR="002C1B22" w:rsidRPr="00F92A70" w:rsidRDefault="002C1B22" w:rsidP="00213DD5">
            <w:pPr>
              <w:pStyle w:val="Tabletext0"/>
              <w:jc w:val="center"/>
              <w:rPr>
                <w:rFonts w:ascii="Arial Narrow" w:hAnsi="Arial Narrow"/>
                <w:iCs/>
                <w:sz w:val="20"/>
                <w:szCs w:val="20"/>
              </w:rPr>
            </w:pPr>
            <w:r w:rsidRPr="00F92A70">
              <w:rPr>
                <w:rFonts w:ascii="Arial Narrow" w:hAnsi="Arial Narrow"/>
                <w:iCs/>
                <w:sz w:val="20"/>
                <w:szCs w:val="20"/>
              </w:rPr>
              <w:t xml:space="preserve">Effective: </w:t>
            </w:r>
            <w:r w:rsidRPr="002C65D5">
              <w:rPr>
                <w:rFonts w:ascii="Arial Narrow" w:hAnsi="Arial Narrow"/>
                <w:iCs/>
                <w:sz w:val="20"/>
                <w:szCs w:val="20"/>
              </w:rPr>
              <w:t>$</w:t>
            </w:r>
            <w:r w:rsidR="00FD3ADE" w:rsidRPr="00FD3ADE">
              <w:rPr>
                <w:rFonts w:ascii="Arial Narrow" w:hAnsi="Arial Narrow"/>
                <w:iCs/>
                <w:color w:val="000000"/>
                <w:spacing w:val="48"/>
                <w:sz w:val="20"/>
                <w:szCs w:val="20"/>
                <w:shd w:val="solid" w:color="000000" w:fill="000000"/>
                <w:fitText w:val="315" w:id="-621624818"/>
                <w14:textFill>
                  <w14:solidFill>
                    <w14:srgbClr w14:val="000000">
                      <w14:alpha w14:val="100000"/>
                    </w14:srgbClr>
                  </w14:solidFill>
                </w14:textFill>
              </w:rPr>
              <w:t>|||</w:t>
            </w:r>
            <w:r w:rsidR="00FD3ADE" w:rsidRPr="00FD3ADE">
              <w:rPr>
                <w:rFonts w:ascii="Arial Narrow" w:hAnsi="Arial Narrow"/>
                <w:iCs/>
                <w:color w:val="000000"/>
                <w:spacing w:val="1"/>
                <w:sz w:val="20"/>
                <w:szCs w:val="20"/>
                <w:shd w:val="solid" w:color="000000" w:fill="000000"/>
                <w:fitText w:val="315" w:id="-621624818"/>
                <w14:textFill>
                  <w14:solidFill>
                    <w14:srgbClr w14:val="000000">
                      <w14:alpha w14:val="100000"/>
                    </w14:srgbClr>
                  </w14:solidFill>
                </w14:textFill>
              </w:rPr>
              <w:t>|</w:t>
            </w:r>
          </w:p>
        </w:tc>
        <w:tc>
          <w:tcPr>
            <w:tcW w:w="960" w:type="dxa"/>
            <w:vAlign w:val="center"/>
          </w:tcPr>
          <w:p w14:paraId="4600BD30" w14:textId="77777777" w:rsidR="002C1B22" w:rsidRPr="0098262F" w:rsidRDefault="002C1B22" w:rsidP="00213DD5">
            <w:pPr>
              <w:keepLines/>
              <w:jc w:val="center"/>
              <w:rPr>
                <w:rFonts w:ascii="Arial Narrow" w:hAnsi="Arial Narrow"/>
                <w:sz w:val="20"/>
                <w:szCs w:val="20"/>
              </w:rPr>
            </w:pPr>
            <w:r>
              <w:rPr>
                <w:rFonts w:ascii="Arial Narrow" w:hAnsi="Arial Narrow"/>
                <w:sz w:val="20"/>
                <w:szCs w:val="20"/>
              </w:rPr>
              <w:t>1</w:t>
            </w:r>
          </w:p>
        </w:tc>
        <w:tc>
          <w:tcPr>
            <w:tcW w:w="960" w:type="dxa"/>
            <w:vAlign w:val="center"/>
          </w:tcPr>
          <w:p w14:paraId="2566BB06" w14:textId="77777777" w:rsidR="002C1B22" w:rsidRPr="0098262F" w:rsidRDefault="002C1B22" w:rsidP="00213DD5">
            <w:pPr>
              <w:keepLines/>
              <w:jc w:val="center"/>
              <w:rPr>
                <w:rFonts w:ascii="Arial Narrow" w:hAnsi="Arial Narrow"/>
                <w:sz w:val="20"/>
                <w:szCs w:val="20"/>
              </w:rPr>
            </w:pPr>
            <w:r>
              <w:rPr>
                <w:rFonts w:ascii="Arial Narrow" w:hAnsi="Arial Narrow"/>
                <w:sz w:val="20"/>
                <w:szCs w:val="20"/>
              </w:rPr>
              <w:t>2</w:t>
            </w:r>
          </w:p>
        </w:tc>
        <w:tc>
          <w:tcPr>
            <w:tcW w:w="720" w:type="dxa"/>
            <w:vAlign w:val="center"/>
          </w:tcPr>
          <w:p w14:paraId="71218DD3" w14:textId="77777777" w:rsidR="002C1B22" w:rsidRPr="0098262F" w:rsidRDefault="002C1B22" w:rsidP="00213DD5">
            <w:pPr>
              <w:keepLines/>
              <w:jc w:val="center"/>
              <w:rPr>
                <w:rFonts w:ascii="Arial Narrow" w:hAnsi="Arial Narrow"/>
                <w:sz w:val="20"/>
                <w:szCs w:val="20"/>
              </w:rPr>
            </w:pPr>
            <w:r>
              <w:rPr>
                <w:rFonts w:ascii="Arial Narrow" w:hAnsi="Arial Narrow"/>
                <w:sz w:val="20"/>
                <w:szCs w:val="20"/>
              </w:rPr>
              <w:t>6</w:t>
            </w:r>
          </w:p>
        </w:tc>
        <w:tc>
          <w:tcPr>
            <w:tcW w:w="1445" w:type="dxa"/>
            <w:vAlign w:val="center"/>
          </w:tcPr>
          <w:p w14:paraId="2F4ABDC8" w14:textId="77777777" w:rsidR="002C1B22" w:rsidRPr="0098262F" w:rsidRDefault="002C1B22" w:rsidP="00213DD5">
            <w:pPr>
              <w:keepLines/>
              <w:rPr>
                <w:rFonts w:ascii="Arial Narrow" w:hAnsi="Arial Narrow"/>
                <w:color w:val="0066FF"/>
                <w:sz w:val="20"/>
                <w:szCs w:val="20"/>
              </w:rPr>
            </w:pPr>
            <w:r w:rsidRPr="383E5602">
              <w:rPr>
                <w:rFonts w:ascii="Arial Narrow" w:hAnsi="Arial Narrow"/>
                <w:sz w:val="20"/>
                <w:szCs w:val="20"/>
              </w:rPr>
              <w:t>Yorvipath</w:t>
            </w:r>
          </w:p>
        </w:tc>
      </w:tr>
      <w:tr w:rsidR="002C1B22" w:rsidRPr="0098262F" w14:paraId="7D0FB2F6" w14:textId="77777777" w:rsidTr="004F572F">
        <w:tblPrEx>
          <w:tblBorders>
            <w:bottom w:val="single" w:sz="4" w:space="0" w:color="auto"/>
          </w:tblBorders>
        </w:tblPrEx>
        <w:trPr>
          <w:cantSplit/>
          <w:trHeight w:val="20"/>
        </w:trPr>
        <w:tc>
          <w:tcPr>
            <w:tcW w:w="3235" w:type="dxa"/>
            <w:gridSpan w:val="5"/>
          </w:tcPr>
          <w:p w14:paraId="24A4A4BF" w14:textId="77777777" w:rsidR="002C1B22" w:rsidRPr="00A06048" w:rsidRDefault="002C1B22" w:rsidP="00213DD5">
            <w:pPr>
              <w:keepLines/>
              <w:jc w:val="left"/>
              <w:rPr>
                <w:rFonts w:ascii="Arial Narrow" w:hAnsi="Arial Narrow"/>
                <w:sz w:val="20"/>
                <w:szCs w:val="20"/>
              </w:rPr>
            </w:pPr>
            <w:r w:rsidRPr="4D2BAA30">
              <w:rPr>
                <w:rFonts w:ascii="Arial Narrow" w:hAnsi="Arial Narrow"/>
                <w:sz w:val="20"/>
                <w:szCs w:val="20"/>
              </w:rPr>
              <w:t>Palopegteriparatide 420 mcg/1.4 mL solution for injection, pre-filled pen</w:t>
            </w:r>
          </w:p>
        </w:tc>
        <w:tc>
          <w:tcPr>
            <w:tcW w:w="2040" w:type="dxa"/>
            <w:vAlign w:val="center"/>
          </w:tcPr>
          <w:p w14:paraId="5B50EE34" w14:textId="064507B2" w:rsidR="002C1B22" w:rsidRPr="00F92A70" w:rsidRDefault="002C1B22" w:rsidP="00213DD5">
            <w:pPr>
              <w:pStyle w:val="Tabletext0"/>
              <w:jc w:val="center"/>
              <w:rPr>
                <w:rFonts w:ascii="Arial Narrow" w:hAnsi="Arial Narrow"/>
                <w:iCs/>
                <w:sz w:val="20"/>
                <w:szCs w:val="20"/>
              </w:rPr>
            </w:pPr>
            <w:r w:rsidRPr="00F92A70">
              <w:rPr>
                <w:rFonts w:ascii="Arial Narrow" w:hAnsi="Arial Narrow"/>
                <w:iCs/>
                <w:sz w:val="20"/>
                <w:szCs w:val="20"/>
              </w:rPr>
              <w:t>Published</w:t>
            </w:r>
            <w:r w:rsidRPr="009C02F3">
              <w:rPr>
                <w:rFonts w:ascii="Arial Narrow" w:hAnsi="Arial Narrow"/>
                <w:iCs/>
                <w:sz w:val="20"/>
                <w:szCs w:val="20"/>
              </w:rPr>
              <w:t>: $</w:t>
            </w:r>
            <w:r w:rsidR="00FD3ADE" w:rsidRPr="00FD3ADE">
              <w:rPr>
                <w:rFonts w:ascii="Arial Narrow" w:hAnsi="Arial Narrow"/>
                <w:iCs/>
                <w:color w:val="000000"/>
                <w:spacing w:val="48"/>
                <w:sz w:val="20"/>
                <w:szCs w:val="20"/>
                <w:shd w:val="solid" w:color="000000" w:fill="000000"/>
                <w:fitText w:val="315" w:id="-621624817"/>
                <w14:textFill>
                  <w14:solidFill>
                    <w14:srgbClr w14:val="000000">
                      <w14:alpha w14:val="100000"/>
                    </w14:srgbClr>
                  </w14:solidFill>
                </w14:textFill>
              </w:rPr>
              <w:t>|||</w:t>
            </w:r>
            <w:r w:rsidR="00FD3ADE" w:rsidRPr="00FD3ADE">
              <w:rPr>
                <w:rFonts w:ascii="Arial Narrow" w:hAnsi="Arial Narrow"/>
                <w:iCs/>
                <w:color w:val="000000"/>
                <w:spacing w:val="1"/>
                <w:sz w:val="20"/>
                <w:szCs w:val="20"/>
                <w:shd w:val="solid" w:color="000000" w:fill="000000"/>
                <w:fitText w:val="315" w:id="-621624817"/>
                <w14:textFill>
                  <w14:solidFill>
                    <w14:srgbClr w14:val="000000">
                      <w14:alpha w14:val="100000"/>
                    </w14:srgbClr>
                  </w14:solidFill>
                </w14:textFill>
              </w:rPr>
              <w:t>|</w:t>
            </w:r>
          </w:p>
          <w:p w14:paraId="4ACF3148" w14:textId="043E9312" w:rsidR="002C1B22" w:rsidRPr="00F92A70" w:rsidRDefault="002C1B22" w:rsidP="00213DD5">
            <w:pPr>
              <w:pStyle w:val="Tabletext0"/>
              <w:jc w:val="center"/>
              <w:rPr>
                <w:rFonts w:ascii="Arial Narrow" w:hAnsi="Arial Narrow"/>
                <w:iCs/>
                <w:sz w:val="20"/>
                <w:szCs w:val="20"/>
              </w:rPr>
            </w:pPr>
            <w:r w:rsidRPr="00F92A70">
              <w:rPr>
                <w:rFonts w:ascii="Arial Narrow" w:hAnsi="Arial Narrow"/>
                <w:iCs/>
                <w:sz w:val="20"/>
                <w:szCs w:val="20"/>
              </w:rPr>
              <w:t xml:space="preserve">Effective: </w:t>
            </w:r>
            <w:r w:rsidRPr="002C65D5">
              <w:rPr>
                <w:rFonts w:ascii="Arial Narrow" w:hAnsi="Arial Narrow"/>
                <w:iCs/>
                <w:sz w:val="20"/>
                <w:szCs w:val="20"/>
              </w:rPr>
              <w:t>$</w:t>
            </w:r>
            <w:r w:rsidR="00FD3ADE" w:rsidRPr="00FD3ADE">
              <w:rPr>
                <w:rFonts w:ascii="Arial Narrow" w:hAnsi="Arial Narrow"/>
                <w:iCs/>
                <w:color w:val="000000"/>
                <w:spacing w:val="48"/>
                <w:sz w:val="20"/>
                <w:szCs w:val="20"/>
                <w:shd w:val="solid" w:color="000000" w:fill="000000"/>
                <w:fitText w:val="315" w:id="-621624816"/>
                <w14:textFill>
                  <w14:solidFill>
                    <w14:srgbClr w14:val="000000">
                      <w14:alpha w14:val="100000"/>
                    </w14:srgbClr>
                  </w14:solidFill>
                </w14:textFill>
              </w:rPr>
              <w:t>|||</w:t>
            </w:r>
            <w:r w:rsidR="00FD3ADE" w:rsidRPr="00FD3ADE">
              <w:rPr>
                <w:rFonts w:ascii="Arial Narrow" w:hAnsi="Arial Narrow"/>
                <w:iCs/>
                <w:color w:val="000000"/>
                <w:spacing w:val="1"/>
                <w:sz w:val="20"/>
                <w:szCs w:val="20"/>
                <w:shd w:val="solid" w:color="000000" w:fill="000000"/>
                <w:fitText w:val="315" w:id="-621624816"/>
                <w14:textFill>
                  <w14:solidFill>
                    <w14:srgbClr w14:val="000000">
                      <w14:alpha w14:val="100000"/>
                    </w14:srgbClr>
                  </w14:solidFill>
                </w14:textFill>
              </w:rPr>
              <w:t>|</w:t>
            </w:r>
          </w:p>
        </w:tc>
        <w:tc>
          <w:tcPr>
            <w:tcW w:w="960" w:type="dxa"/>
            <w:vAlign w:val="center"/>
          </w:tcPr>
          <w:p w14:paraId="09A282AF" w14:textId="77777777" w:rsidR="002C1B22" w:rsidRPr="0098262F" w:rsidRDefault="002C1B22" w:rsidP="00213DD5">
            <w:pPr>
              <w:keepNext/>
              <w:jc w:val="center"/>
              <w:rPr>
                <w:rFonts w:ascii="Arial Narrow" w:hAnsi="Arial Narrow"/>
                <w:sz w:val="20"/>
                <w:szCs w:val="20"/>
              </w:rPr>
            </w:pPr>
            <w:r>
              <w:rPr>
                <w:rFonts w:ascii="Arial Narrow" w:hAnsi="Arial Narrow"/>
                <w:sz w:val="20"/>
                <w:szCs w:val="20"/>
              </w:rPr>
              <w:t>1</w:t>
            </w:r>
          </w:p>
        </w:tc>
        <w:tc>
          <w:tcPr>
            <w:tcW w:w="960" w:type="dxa"/>
            <w:vAlign w:val="center"/>
          </w:tcPr>
          <w:p w14:paraId="3A7C19CA" w14:textId="77777777" w:rsidR="002C1B22" w:rsidRPr="0098262F" w:rsidRDefault="002C1B22" w:rsidP="00213DD5">
            <w:pPr>
              <w:keepNext/>
              <w:jc w:val="center"/>
              <w:rPr>
                <w:rFonts w:ascii="Arial Narrow" w:hAnsi="Arial Narrow"/>
                <w:sz w:val="20"/>
                <w:szCs w:val="20"/>
              </w:rPr>
            </w:pPr>
            <w:r>
              <w:rPr>
                <w:rFonts w:ascii="Arial Narrow" w:hAnsi="Arial Narrow"/>
                <w:sz w:val="20"/>
                <w:szCs w:val="20"/>
              </w:rPr>
              <w:t>2</w:t>
            </w:r>
          </w:p>
        </w:tc>
        <w:tc>
          <w:tcPr>
            <w:tcW w:w="720" w:type="dxa"/>
            <w:vAlign w:val="center"/>
          </w:tcPr>
          <w:p w14:paraId="45F62649" w14:textId="77777777" w:rsidR="002C1B22" w:rsidRPr="0098262F" w:rsidRDefault="002C1B22" w:rsidP="00213DD5">
            <w:pPr>
              <w:keepNext/>
              <w:jc w:val="center"/>
              <w:rPr>
                <w:rFonts w:ascii="Arial Narrow" w:hAnsi="Arial Narrow"/>
                <w:sz w:val="20"/>
                <w:szCs w:val="20"/>
              </w:rPr>
            </w:pPr>
            <w:r>
              <w:rPr>
                <w:rFonts w:ascii="Arial Narrow" w:hAnsi="Arial Narrow"/>
                <w:sz w:val="20"/>
                <w:szCs w:val="20"/>
              </w:rPr>
              <w:t>6</w:t>
            </w:r>
          </w:p>
        </w:tc>
        <w:tc>
          <w:tcPr>
            <w:tcW w:w="1445" w:type="dxa"/>
            <w:vAlign w:val="center"/>
          </w:tcPr>
          <w:p w14:paraId="0F279870" w14:textId="77777777" w:rsidR="002C1B22" w:rsidRPr="0098262F" w:rsidRDefault="002C1B22" w:rsidP="00213DD5">
            <w:pPr>
              <w:keepNext/>
              <w:jc w:val="left"/>
              <w:rPr>
                <w:rFonts w:ascii="Arial Narrow" w:hAnsi="Arial Narrow"/>
                <w:sz w:val="20"/>
                <w:szCs w:val="20"/>
              </w:rPr>
            </w:pPr>
            <w:r w:rsidRPr="383E5602">
              <w:rPr>
                <w:rFonts w:ascii="Arial Narrow" w:hAnsi="Arial Narrow"/>
                <w:sz w:val="20"/>
                <w:szCs w:val="20"/>
              </w:rPr>
              <w:t>Yorvipath</w:t>
            </w:r>
          </w:p>
        </w:tc>
      </w:tr>
      <w:bookmarkEnd w:id="3"/>
      <w:tr w:rsidR="000016D8" w:rsidRPr="0030508E" w14:paraId="1E9F4955" w14:textId="77777777" w:rsidTr="004F572F">
        <w:tblPrEx>
          <w:tblBorders>
            <w:bottom w:val="single" w:sz="4" w:space="0" w:color="auto"/>
          </w:tblBorders>
          <w:tblCellMar>
            <w:top w:w="15" w:type="dxa"/>
            <w:bottom w:w="15" w:type="dxa"/>
          </w:tblCellMar>
          <w:tblLook w:val="04A0" w:firstRow="1" w:lastRow="0" w:firstColumn="1" w:lastColumn="0" w:noHBand="0" w:noVBand="1"/>
        </w:tblPrEx>
        <w:trPr>
          <w:trHeight w:val="20"/>
        </w:trPr>
        <w:tc>
          <w:tcPr>
            <w:tcW w:w="9360" w:type="dxa"/>
            <w:gridSpan w:val="10"/>
            <w:tcBorders>
              <w:top w:val="single" w:sz="4" w:space="0" w:color="auto"/>
              <w:left w:val="single" w:sz="4" w:space="0" w:color="auto"/>
              <w:right w:val="single" w:sz="4" w:space="0" w:color="auto"/>
            </w:tcBorders>
            <w:vAlign w:val="center"/>
          </w:tcPr>
          <w:p w14:paraId="5B0309E4" w14:textId="77777777" w:rsidR="000016D8" w:rsidRPr="0030508E" w:rsidRDefault="000016D8" w:rsidP="00213DD5">
            <w:pPr>
              <w:rPr>
                <w:rFonts w:ascii="Arial Narrow" w:hAnsi="Arial Narrow"/>
                <w:color w:val="000000" w:themeColor="text1"/>
                <w:sz w:val="20"/>
                <w:szCs w:val="20"/>
              </w:rPr>
            </w:pPr>
          </w:p>
        </w:tc>
      </w:tr>
      <w:tr w:rsidR="000016D8" w:rsidRPr="0030508E" w14:paraId="57A23690" w14:textId="77777777" w:rsidTr="004F572F">
        <w:tblPrEx>
          <w:tblBorders>
            <w:bottom w:val="single" w:sz="4" w:space="0" w:color="auto"/>
          </w:tblBorders>
          <w:tblCellMar>
            <w:top w:w="15" w:type="dxa"/>
            <w:bottom w:w="15" w:type="dxa"/>
          </w:tblCellMar>
          <w:tblLook w:val="04A0" w:firstRow="1" w:lastRow="0" w:firstColumn="1" w:lastColumn="0" w:noHBand="0" w:noVBand="1"/>
        </w:tblPrEx>
        <w:trPr>
          <w:trHeight w:val="20"/>
        </w:trPr>
        <w:tc>
          <w:tcPr>
            <w:tcW w:w="9360" w:type="dxa"/>
            <w:gridSpan w:val="10"/>
            <w:tcBorders>
              <w:top w:val="single" w:sz="4" w:space="0" w:color="auto"/>
              <w:left w:val="single" w:sz="4" w:space="0" w:color="auto"/>
              <w:right w:val="single" w:sz="4" w:space="0" w:color="auto"/>
            </w:tcBorders>
            <w:vAlign w:val="center"/>
          </w:tcPr>
          <w:p w14:paraId="5FCD0769" w14:textId="77777777" w:rsidR="000016D8" w:rsidRPr="0030508E" w:rsidRDefault="000016D8" w:rsidP="00213DD5">
            <w:pPr>
              <w:keepLines/>
              <w:rPr>
                <w:rFonts w:ascii="Arial Narrow" w:hAnsi="Arial Narrow"/>
                <w:b/>
                <w:color w:val="000000" w:themeColor="text1"/>
                <w:sz w:val="20"/>
                <w:szCs w:val="20"/>
              </w:rPr>
            </w:pPr>
            <w:r w:rsidRPr="0030508E">
              <w:rPr>
                <w:rFonts w:ascii="Arial Narrow" w:hAnsi="Arial Narrow"/>
                <w:b/>
                <w:color w:val="000000" w:themeColor="text1"/>
                <w:sz w:val="20"/>
                <w:szCs w:val="20"/>
              </w:rPr>
              <w:t>Restriction Summary [new1] / Treatment of Concept: [new1A]</w:t>
            </w:r>
          </w:p>
        </w:tc>
      </w:tr>
      <w:tr w:rsidR="000016D8" w:rsidRPr="0030508E" w14:paraId="6BAAFAEB" w14:textId="77777777" w:rsidTr="004F572F">
        <w:tblPrEx>
          <w:tblBorders>
            <w:bottom w:val="single" w:sz="4" w:space="0" w:color="auto"/>
          </w:tblBorders>
          <w:tblCellMar>
            <w:top w:w="15" w:type="dxa"/>
            <w:bottom w:w="15" w:type="dxa"/>
          </w:tblCellMar>
          <w:tblLook w:val="04A0" w:firstRow="1" w:lastRow="0" w:firstColumn="1" w:lastColumn="0" w:noHBand="0" w:noVBand="1"/>
        </w:tblPrEx>
        <w:trPr>
          <w:trHeight w:val="20"/>
        </w:trPr>
        <w:tc>
          <w:tcPr>
            <w:tcW w:w="1274" w:type="dxa"/>
            <w:gridSpan w:val="3"/>
            <w:vMerge w:val="restart"/>
            <w:tcBorders>
              <w:top w:val="single" w:sz="4" w:space="0" w:color="auto"/>
              <w:left w:val="single" w:sz="4" w:space="0" w:color="auto"/>
              <w:right w:val="single" w:sz="4" w:space="0" w:color="auto"/>
            </w:tcBorders>
          </w:tcPr>
          <w:p w14:paraId="05140FFA" w14:textId="77777777" w:rsidR="000016D8" w:rsidRPr="0030508E" w:rsidRDefault="000016D8" w:rsidP="00213DD5">
            <w:pPr>
              <w:jc w:val="center"/>
              <w:rPr>
                <w:rFonts w:ascii="Arial Narrow" w:hAnsi="Arial Narrow"/>
                <w:b/>
                <w:color w:val="000000" w:themeColor="text1"/>
                <w:sz w:val="20"/>
                <w:szCs w:val="20"/>
              </w:rPr>
            </w:pPr>
            <w:r w:rsidRPr="0030508E">
              <w:rPr>
                <w:rFonts w:ascii="Arial Narrow" w:hAnsi="Arial Narrow"/>
                <w:b/>
                <w:color w:val="000000" w:themeColor="text1"/>
                <w:sz w:val="20"/>
                <w:szCs w:val="20"/>
              </w:rPr>
              <w:t xml:space="preserve">Concept ID </w:t>
            </w:r>
            <w:r w:rsidRPr="0030508E">
              <w:rPr>
                <w:rFonts w:ascii="Arial Narrow" w:hAnsi="Arial Narrow"/>
                <w:color w:val="000000" w:themeColor="text1"/>
                <w:sz w:val="20"/>
                <w:szCs w:val="20"/>
              </w:rPr>
              <w:t>(for internal Dept. use)</w:t>
            </w:r>
          </w:p>
        </w:tc>
        <w:tc>
          <w:tcPr>
            <w:tcW w:w="8086" w:type="dxa"/>
            <w:gridSpan w:val="7"/>
            <w:tcBorders>
              <w:top w:val="single" w:sz="4" w:space="0" w:color="auto"/>
              <w:left w:val="single" w:sz="4" w:space="0" w:color="auto"/>
              <w:bottom w:val="single" w:sz="4" w:space="0" w:color="auto"/>
              <w:right w:val="single" w:sz="4" w:space="0" w:color="auto"/>
            </w:tcBorders>
            <w:vAlign w:val="center"/>
          </w:tcPr>
          <w:p w14:paraId="6DB59F3E" w14:textId="77777777" w:rsidR="000016D8" w:rsidRPr="0030508E" w:rsidRDefault="000016D8" w:rsidP="00213DD5">
            <w:pPr>
              <w:keepLines/>
              <w:rPr>
                <w:rFonts w:ascii="Arial Narrow" w:hAnsi="Arial Narrow"/>
                <w:color w:val="000000" w:themeColor="text1"/>
                <w:sz w:val="20"/>
                <w:szCs w:val="20"/>
              </w:rPr>
            </w:pPr>
            <w:r w:rsidRPr="0030508E">
              <w:rPr>
                <w:rFonts w:ascii="Arial Narrow" w:hAnsi="Arial Narrow"/>
                <w:b/>
                <w:color w:val="000000" w:themeColor="text1"/>
                <w:sz w:val="20"/>
                <w:szCs w:val="20"/>
              </w:rPr>
              <w:t>Category / Program:</w:t>
            </w:r>
            <w:r w:rsidRPr="0030508E">
              <w:rPr>
                <w:rFonts w:ascii="Arial Narrow" w:hAnsi="Arial Narrow"/>
                <w:color w:val="000000" w:themeColor="text1"/>
                <w:sz w:val="20"/>
                <w:szCs w:val="20"/>
              </w:rPr>
              <w:t xml:space="preserve"> </w:t>
            </w:r>
            <w:r w:rsidRPr="0030508E">
              <w:rPr>
                <w:rFonts w:ascii="Arial Narrow" w:eastAsia="Calibri" w:hAnsi="Arial Narrow"/>
                <w:color w:val="000000" w:themeColor="text1"/>
                <w:sz w:val="20"/>
                <w:szCs w:val="20"/>
              </w:rPr>
              <w:fldChar w:fldCharType="begin">
                <w:ffData>
                  <w:name w:val="Check1"/>
                  <w:enabled/>
                  <w:calcOnExit w:val="0"/>
                  <w:checkBox>
                    <w:sizeAuto/>
                    <w:default w:val="1"/>
                  </w:checkBox>
                </w:ffData>
              </w:fldChar>
            </w:r>
            <w:bookmarkStart w:id="4" w:name="Check1"/>
            <w:r w:rsidRPr="0030508E">
              <w:rPr>
                <w:rFonts w:ascii="Arial Narrow" w:eastAsia="Calibri" w:hAnsi="Arial Narrow"/>
                <w:color w:val="000000" w:themeColor="text1"/>
                <w:sz w:val="20"/>
                <w:szCs w:val="20"/>
              </w:rPr>
              <w:instrText xml:space="preserve"> FORMCHECKBOX </w:instrText>
            </w:r>
            <w:r w:rsidRPr="0030508E">
              <w:rPr>
                <w:rFonts w:ascii="Arial Narrow" w:eastAsia="Calibri" w:hAnsi="Arial Narrow"/>
                <w:color w:val="000000" w:themeColor="text1"/>
                <w:sz w:val="20"/>
                <w:szCs w:val="20"/>
              </w:rPr>
            </w:r>
            <w:r w:rsidRPr="0030508E">
              <w:rPr>
                <w:rFonts w:ascii="Arial Narrow" w:eastAsia="Calibri" w:hAnsi="Arial Narrow"/>
                <w:color w:val="000000" w:themeColor="text1"/>
                <w:sz w:val="20"/>
                <w:szCs w:val="20"/>
              </w:rPr>
              <w:fldChar w:fldCharType="separate"/>
            </w:r>
            <w:r w:rsidRPr="0030508E">
              <w:rPr>
                <w:rFonts w:ascii="Arial Narrow" w:eastAsia="Calibri" w:hAnsi="Arial Narrow"/>
                <w:color w:val="000000" w:themeColor="text1"/>
                <w:sz w:val="20"/>
                <w:szCs w:val="20"/>
              </w:rPr>
              <w:fldChar w:fldCharType="end"/>
            </w:r>
            <w:bookmarkEnd w:id="4"/>
            <w:r w:rsidRPr="0030508E">
              <w:rPr>
                <w:rFonts w:ascii="Arial Narrow" w:eastAsia="Calibri" w:hAnsi="Arial Narrow"/>
                <w:color w:val="000000" w:themeColor="text1"/>
                <w:sz w:val="20"/>
                <w:szCs w:val="20"/>
              </w:rPr>
              <w:t xml:space="preserve"> GENERAL - General Schedule (Code GE) </w:t>
            </w:r>
          </w:p>
        </w:tc>
      </w:tr>
      <w:tr w:rsidR="000016D8" w:rsidRPr="0030508E" w14:paraId="5FBC0D35" w14:textId="77777777" w:rsidTr="004F572F">
        <w:tblPrEx>
          <w:tblBorders>
            <w:bottom w:val="single" w:sz="4" w:space="0" w:color="auto"/>
          </w:tblBorders>
          <w:tblCellMar>
            <w:top w:w="15" w:type="dxa"/>
            <w:bottom w:w="15" w:type="dxa"/>
          </w:tblCellMar>
          <w:tblLook w:val="04A0" w:firstRow="1" w:lastRow="0" w:firstColumn="1" w:lastColumn="0" w:noHBand="0" w:noVBand="1"/>
        </w:tblPrEx>
        <w:trPr>
          <w:trHeight w:val="20"/>
        </w:trPr>
        <w:tc>
          <w:tcPr>
            <w:tcW w:w="1274" w:type="dxa"/>
            <w:gridSpan w:val="3"/>
            <w:vMerge/>
          </w:tcPr>
          <w:p w14:paraId="1968EAB5" w14:textId="77777777" w:rsidR="000016D8" w:rsidRPr="0030508E" w:rsidRDefault="000016D8" w:rsidP="00213DD5">
            <w:pPr>
              <w:rPr>
                <w:rFonts w:ascii="Arial Narrow" w:hAnsi="Arial Narrow"/>
                <w:color w:val="000000" w:themeColor="text1"/>
                <w:sz w:val="20"/>
                <w:szCs w:val="20"/>
              </w:rPr>
            </w:pPr>
          </w:p>
        </w:tc>
        <w:tc>
          <w:tcPr>
            <w:tcW w:w="8086" w:type="dxa"/>
            <w:gridSpan w:val="7"/>
            <w:tcBorders>
              <w:top w:val="single" w:sz="4" w:space="0" w:color="auto"/>
              <w:left w:val="single" w:sz="4" w:space="0" w:color="auto"/>
              <w:bottom w:val="single" w:sz="4" w:space="0" w:color="auto"/>
              <w:right w:val="single" w:sz="4" w:space="0" w:color="auto"/>
            </w:tcBorders>
            <w:vAlign w:val="center"/>
          </w:tcPr>
          <w:p w14:paraId="6900D36E" w14:textId="77777777" w:rsidR="000016D8" w:rsidRPr="0030508E" w:rsidRDefault="000016D8" w:rsidP="00213DD5">
            <w:pPr>
              <w:keepLines/>
              <w:rPr>
                <w:rFonts w:ascii="Arial Narrow" w:hAnsi="Arial Narrow"/>
                <w:b/>
                <w:color w:val="000000" w:themeColor="text1"/>
                <w:sz w:val="20"/>
                <w:szCs w:val="20"/>
              </w:rPr>
            </w:pPr>
            <w:r w:rsidRPr="0030508E">
              <w:rPr>
                <w:rFonts w:ascii="Arial Narrow" w:hAnsi="Arial Narrow"/>
                <w:b/>
                <w:color w:val="000000" w:themeColor="text1"/>
                <w:sz w:val="20"/>
                <w:szCs w:val="20"/>
              </w:rPr>
              <w:t xml:space="preserve">Prescriber type: </w:t>
            </w:r>
            <w:r w:rsidRPr="0030508E">
              <w:rPr>
                <w:rFonts w:ascii="Arial Narrow" w:hAnsi="Arial Narrow"/>
                <w:color w:val="000000" w:themeColor="text1"/>
                <w:sz w:val="20"/>
                <w:szCs w:val="20"/>
              </w:rPr>
              <w:fldChar w:fldCharType="begin">
                <w:ffData>
                  <w:name w:val=""/>
                  <w:enabled/>
                  <w:calcOnExit w:val="0"/>
                  <w:checkBox>
                    <w:sizeAuto/>
                    <w:default w:val="1"/>
                  </w:checkBox>
                </w:ffData>
              </w:fldChar>
            </w:r>
            <w:r w:rsidRPr="0030508E">
              <w:rPr>
                <w:rFonts w:ascii="Arial Narrow" w:hAnsi="Arial Narrow"/>
                <w:color w:val="000000" w:themeColor="text1"/>
                <w:sz w:val="20"/>
                <w:szCs w:val="20"/>
              </w:rPr>
              <w:instrText xml:space="preserve"> FORMCHECKBOX </w:instrText>
            </w:r>
            <w:r w:rsidRPr="0030508E">
              <w:rPr>
                <w:rFonts w:ascii="Arial Narrow" w:hAnsi="Arial Narrow"/>
                <w:color w:val="000000" w:themeColor="text1"/>
                <w:sz w:val="20"/>
                <w:szCs w:val="20"/>
              </w:rPr>
            </w:r>
            <w:r w:rsidRPr="0030508E">
              <w:rPr>
                <w:rFonts w:ascii="Arial Narrow" w:hAnsi="Arial Narrow"/>
                <w:color w:val="000000" w:themeColor="text1"/>
                <w:sz w:val="20"/>
                <w:szCs w:val="20"/>
              </w:rPr>
              <w:fldChar w:fldCharType="separate"/>
            </w:r>
            <w:r w:rsidRPr="0030508E">
              <w:rPr>
                <w:rFonts w:ascii="Arial Narrow" w:hAnsi="Arial Narrow"/>
                <w:color w:val="000000" w:themeColor="text1"/>
                <w:sz w:val="20"/>
                <w:szCs w:val="20"/>
              </w:rPr>
              <w:fldChar w:fldCharType="end"/>
            </w:r>
            <w:r w:rsidRPr="0030508E">
              <w:rPr>
                <w:rFonts w:ascii="Arial Narrow" w:hAnsi="Arial Narrow"/>
                <w:color w:val="000000" w:themeColor="text1"/>
                <w:sz w:val="20"/>
                <w:szCs w:val="20"/>
              </w:rPr>
              <w:t xml:space="preserve">Medical Practitioners </w:t>
            </w:r>
          </w:p>
        </w:tc>
      </w:tr>
      <w:tr w:rsidR="000016D8" w:rsidRPr="0030508E" w14:paraId="5D98F002" w14:textId="77777777" w:rsidTr="004F572F">
        <w:tblPrEx>
          <w:tblBorders>
            <w:bottom w:val="single" w:sz="4" w:space="0" w:color="auto"/>
          </w:tblBorders>
          <w:tblCellMar>
            <w:top w:w="15" w:type="dxa"/>
            <w:bottom w:w="15" w:type="dxa"/>
          </w:tblCellMar>
          <w:tblLook w:val="04A0" w:firstRow="1" w:lastRow="0" w:firstColumn="1" w:lastColumn="0" w:noHBand="0" w:noVBand="1"/>
        </w:tblPrEx>
        <w:trPr>
          <w:trHeight w:val="20"/>
        </w:trPr>
        <w:tc>
          <w:tcPr>
            <w:tcW w:w="1274" w:type="dxa"/>
            <w:gridSpan w:val="3"/>
            <w:vMerge/>
          </w:tcPr>
          <w:p w14:paraId="4C5399D2" w14:textId="77777777" w:rsidR="000016D8" w:rsidRPr="0030508E" w:rsidRDefault="000016D8" w:rsidP="00213DD5">
            <w:pPr>
              <w:rPr>
                <w:rFonts w:ascii="Arial Narrow" w:hAnsi="Arial Narrow"/>
                <w:color w:val="000000" w:themeColor="text1"/>
                <w:sz w:val="20"/>
                <w:szCs w:val="20"/>
              </w:rPr>
            </w:pPr>
          </w:p>
        </w:tc>
        <w:tc>
          <w:tcPr>
            <w:tcW w:w="8086" w:type="dxa"/>
            <w:gridSpan w:val="7"/>
            <w:tcBorders>
              <w:top w:val="single" w:sz="4" w:space="0" w:color="auto"/>
              <w:left w:val="single" w:sz="4" w:space="0" w:color="auto"/>
              <w:bottom w:val="single" w:sz="4" w:space="0" w:color="auto"/>
              <w:right w:val="single" w:sz="4" w:space="0" w:color="auto"/>
            </w:tcBorders>
            <w:vAlign w:val="center"/>
          </w:tcPr>
          <w:p w14:paraId="3E40F8E3" w14:textId="77777777" w:rsidR="000016D8" w:rsidRPr="0030508E" w:rsidRDefault="000016D8" w:rsidP="00213DD5">
            <w:pPr>
              <w:keepLines/>
              <w:rPr>
                <w:rFonts w:ascii="Arial Narrow" w:hAnsi="Arial Narrow"/>
                <w:b/>
                <w:color w:val="000000" w:themeColor="text1"/>
                <w:sz w:val="20"/>
                <w:szCs w:val="20"/>
              </w:rPr>
            </w:pPr>
            <w:r w:rsidRPr="0030508E">
              <w:rPr>
                <w:rFonts w:ascii="Arial Narrow" w:hAnsi="Arial Narrow"/>
                <w:b/>
                <w:color w:val="000000" w:themeColor="text1"/>
                <w:sz w:val="20"/>
                <w:szCs w:val="20"/>
              </w:rPr>
              <w:t xml:space="preserve">Restriction type: </w:t>
            </w:r>
            <w:r w:rsidRPr="0030508E">
              <w:rPr>
                <w:rFonts w:ascii="Arial Narrow" w:eastAsia="Calibri" w:hAnsi="Arial Narrow"/>
                <w:color w:val="000000" w:themeColor="text1"/>
                <w:sz w:val="20"/>
                <w:szCs w:val="20"/>
              </w:rPr>
              <w:fldChar w:fldCharType="begin">
                <w:ffData>
                  <w:name w:val="Check3"/>
                  <w:enabled/>
                  <w:calcOnExit w:val="0"/>
                  <w:checkBox>
                    <w:sizeAuto/>
                    <w:default w:val="1"/>
                  </w:checkBox>
                </w:ffData>
              </w:fldChar>
            </w:r>
            <w:bookmarkStart w:id="5" w:name="Check3"/>
            <w:r w:rsidRPr="0030508E">
              <w:rPr>
                <w:rFonts w:ascii="Arial Narrow" w:eastAsia="Calibri" w:hAnsi="Arial Narrow"/>
                <w:color w:val="000000" w:themeColor="text1"/>
                <w:sz w:val="20"/>
                <w:szCs w:val="20"/>
              </w:rPr>
              <w:instrText xml:space="preserve"> FORMCHECKBOX </w:instrText>
            </w:r>
            <w:r w:rsidRPr="0030508E">
              <w:rPr>
                <w:rFonts w:ascii="Arial Narrow" w:eastAsia="Calibri" w:hAnsi="Arial Narrow"/>
                <w:color w:val="000000" w:themeColor="text1"/>
                <w:sz w:val="20"/>
                <w:szCs w:val="20"/>
              </w:rPr>
            </w:r>
            <w:r w:rsidRPr="0030508E">
              <w:rPr>
                <w:rFonts w:ascii="Arial Narrow" w:eastAsia="Calibri" w:hAnsi="Arial Narrow"/>
                <w:color w:val="000000" w:themeColor="text1"/>
                <w:sz w:val="20"/>
                <w:szCs w:val="20"/>
              </w:rPr>
              <w:fldChar w:fldCharType="separate"/>
            </w:r>
            <w:r w:rsidRPr="0030508E">
              <w:rPr>
                <w:rFonts w:ascii="Arial Narrow" w:eastAsia="Calibri" w:hAnsi="Arial Narrow"/>
                <w:color w:val="000000" w:themeColor="text1"/>
                <w:sz w:val="20"/>
                <w:szCs w:val="20"/>
              </w:rPr>
              <w:fldChar w:fldCharType="end"/>
            </w:r>
            <w:bookmarkEnd w:id="5"/>
            <w:r w:rsidRPr="0030508E">
              <w:rPr>
                <w:rFonts w:ascii="Arial Narrow" w:eastAsia="Calibri" w:hAnsi="Arial Narrow"/>
                <w:color w:val="000000" w:themeColor="text1"/>
                <w:sz w:val="20"/>
                <w:szCs w:val="20"/>
              </w:rPr>
              <w:t>Authority Required ((immediate assessment) (Telephone/online PBS Authorities system))</w:t>
            </w:r>
          </w:p>
        </w:tc>
      </w:tr>
      <w:tr w:rsidR="000016D8" w:rsidRPr="0030508E" w14:paraId="29481B62" w14:textId="77777777" w:rsidTr="004F572F">
        <w:tblPrEx>
          <w:tblBorders>
            <w:bottom w:val="single" w:sz="4" w:space="0" w:color="auto"/>
          </w:tblBorders>
          <w:tblCellMar>
            <w:top w:w="15" w:type="dxa"/>
            <w:bottom w:w="15" w:type="dxa"/>
          </w:tblCellMar>
          <w:tblLook w:val="04A0" w:firstRow="1" w:lastRow="0" w:firstColumn="1" w:lastColumn="0" w:noHBand="0" w:noVBand="1"/>
        </w:tblPrEx>
        <w:trPr>
          <w:trHeight w:val="20"/>
        </w:trPr>
        <w:tc>
          <w:tcPr>
            <w:tcW w:w="486" w:type="dxa"/>
            <w:vMerge w:val="restart"/>
            <w:tcBorders>
              <w:left w:val="single" w:sz="4" w:space="0" w:color="auto"/>
              <w:right w:val="single" w:sz="4" w:space="0" w:color="auto"/>
            </w:tcBorders>
            <w:textDirection w:val="btLr"/>
            <w:vAlign w:val="center"/>
          </w:tcPr>
          <w:p w14:paraId="4F3C6ADF" w14:textId="77777777" w:rsidR="000016D8" w:rsidRPr="0030508E" w:rsidRDefault="000016D8" w:rsidP="00213DD5">
            <w:pPr>
              <w:jc w:val="center"/>
              <w:rPr>
                <w:rFonts w:ascii="Arial Narrow" w:hAnsi="Arial Narrow"/>
                <w:color w:val="000000" w:themeColor="text1"/>
                <w:sz w:val="20"/>
                <w:szCs w:val="20"/>
              </w:rPr>
            </w:pPr>
            <w:r w:rsidRPr="0030508E">
              <w:rPr>
                <w:rFonts w:ascii="Arial Narrow" w:hAnsi="Arial Narrow"/>
                <w:color w:val="000000" w:themeColor="text1"/>
                <w:sz w:val="20"/>
                <w:szCs w:val="20"/>
              </w:rPr>
              <w:t>Prescribing rule level</w:t>
            </w:r>
          </w:p>
        </w:tc>
        <w:tc>
          <w:tcPr>
            <w:tcW w:w="788" w:type="dxa"/>
            <w:gridSpan w:val="2"/>
            <w:vAlign w:val="center"/>
          </w:tcPr>
          <w:p w14:paraId="5BDCC74D" w14:textId="0DEF124D" w:rsidR="000016D8" w:rsidRPr="0030508E" w:rsidRDefault="000016D8" w:rsidP="00213DD5">
            <w:pPr>
              <w:jc w:val="center"/>
              <w:rPr>
                <w:rFonts w:ascii="Arial Narrow" w:hAnsi="Arial Narrow"/>
                <w:color w:val="000000" w:themeColor="text1"/>
                <w:sz w:val="20"/>
                <w:szCs w:val="20"/>
              </w:rPr>
            </w:pPr>
          </w:p>
        </w:tc>
        <w:tc>
          <w:tcPr>
            <w:tcW w:w="8086" w:type="dxa"/>
            <w:gridSpan w:val="7"/>
            <w:tcBorders>
              <w:top w:val="single" w:sz="4" w:space="0" w:color="auto"/>
            </w:tcBorders>
          </w:tcPr>
          <w:p w14:paraId="3FD6AA17" w14:textId="77777777" w:rsidR="000016D8" w:rsidRPr="0030508E" w:rsidRDefault="000016D8" w:rsidP="00213DD5">
            <w:pPr>
              <w:rPr>
                <w:rFonts w:ascii="Arial Narrow" w:hAnsi="Arial Narrow"/>
                <w:color w:val="000000" w:themeColor="text1"/>
                <w:sz w:val="20"/>
                <w:szCs w:val="20"/>
              </w:rPr>
            </w:pPr>
            <w:r w:rsidRPr="0030508E">
              <w:rPr>
                <w:rStyle w:val="Strong"/>
                <w:rFonts w:ascii="Arial Narrow" w:eastAsiaTheme="majorEastAsia" w:hAnsi="Arial Narrow" w:cs="Open Sans"/>
                <w:i/>
                <w:iCs/>
                <w:color w:val="000000" w:themeColor="text1"/>
                <w:sz w:val="20"/>
                <w:szCs w:val="20"/>
                <w:bdr w:val="none" w:sz="0" w:space="0" w:color="auto" w:frame="1"/>
              </w:rPr>
              <w:t>Administrative Advice:</w:t>
            </w:r>
            <w:r>
              <w:rPr>
                <w:rStyle w:val="Strong"/>
                <w:rFonts w:ascii="Arial Narrow" w:eastAsiaTheme="majorEastAsia" w:hAnsi="Arial Narrow" w:cs="Open Sans"/>
                <w:i/>
                <w:iCs/>
                <w:color w:val="000000" w:themeColor="text1"/>
                <w:sz w:val="20"/>
                <w:szCs w:val="20"/>
                <w:bdr w:val="none" w:sz="0" w:space="0" w:color="auto" w:frame="1"/>
              </w:rPr>
              <w:t xml:space="preserve"> </w:t>
            </w:r>
            <w:r w:rsidRPr="0030508E">
              <w:rPr>
                <w:rFonts w:ascii="Arial Narrow" w:hAnsi="Arial Narrow" w:cs="Open Sans"/>
                <w:i/>
                <w:iCs/>
                <w:color w:val="000000" w:themeColor="text1"/>
                <w:sz w:val="20"/>
                <w:szCs w:val="20"/>
              </w:rPr>
              <w:t>No increase in the maximum quantity or number of units may be authorised.</w:t>
            </w:r>
          </w:p>
        </w:tc>
      </w:tr>
      <w:tr w:rsidR="000016D8" w:rsidRPr="0030508E" w14:paraId="6FB21475" w14:textId="77777777" w:rsidTr="004F572F">
        <w:tblPrEx>
          <w:tblBorders>
            <w:bottom w:val="single" w:sz="4" w:space="0" w:color="auto"/>
          </w:tblBorders>
          <w:tblCellMar>
            <w:top w:w="15" w:type="dxa"/>
            <w:bottom w:w="15" w:type="dxa"/>
          </w:tblCellMar>
          <w:tblLook w:val="04A0" w:firstRow="1" w:lastRow="0" w:firstColumn="1" w:lastColumn="0" w:noHBand="0" w:noVBand="1"/>
        </w:tblPrEx>
        <w:trPr>
          <w:trHeight w:val="20"/>
        </w:trPr>
        <w:tc>
          <w:tcPr>
            <w:tcW w:w="486" w:type="dxa"/>
            <w:vMerge/>
          </w:tcPr>
          <w:p w14:paraId="4E4F4F13" w14:textId="77777777" w:rsidR="000016D8" w:rsidRPr="0030508E" w:rsidRDefault="000016D8" w:rsidP="00213DD5">
            <w:pPr>
              <w:rPr>
                <w:rFonts w:ascii="Arial Narrow" w:hAnsi="Arial Narrow"/>
                <w:color w:val="000000" w:themeColor="text1"/>
                <w:sz w:val="20"/>
                <w:szCs w:val="20"/>
              </w:rPr>
            </w:pPr>
          </w:p>
        </w:tc>
        <w:tc>
          <w:tcPr>
            <w:tcW w:w="788" w:type="dxa"/>
            <w:gridSpan w:val="2"/>
            <w:vAlign w:val="center"/>
          </w:tcPr>
          <w:p w14:paraId="539968E3" w14:textId="279DCDBF" w:rsidR="000016D8" w:rsidRPr="0030508E" w:rsidRDefault="000016D8" w:rsidP="00213DD5">
            <w:pPr>
              <w:jc w:val="center"/>
              <w:rPr>
                <w:rFonts w:ascii="Arial Narrow" w:hAnsi="Arial Narrow"/>
                <w:color w:val="000000" w:themeColor="text1"/>
                <w:sz w:val="20"/>
                <w:szCs w:val="20"/>
              </w:rPr>
            </w:pPr>
          </w:p>
        </w:tc>
        <w:tc>
          <w:tcPr>
            <w:tcW w:w="8086" w:type="dxa"/>
            <w:gridSpan w:val="7"/>
          </w:tcPr>
          <w:p w14:paraId="3F59B644" w14:textId="77777777" w:rsidR="000016D8" w:rsidRPr="0030508E" w:rsidRDefault="000016D8" w:rsidP="00213DD5">
            <w:pPr>
              <w:rPr>
                <w:rFonts w:ascii="Arial Narrow" w:hAnsi="Arial Narrow"/>
                <w:b/>
                <w:bCs/>
                <w:color w:val="000000" w:themeColor="text1"/>
                <w:sz w:val="20"/>
                <w:szCs w:val="20"/>
              </w:rPr>
            </w:pPr>
            <w:r w:rsidRPr="0030508E">
              <w:rPr>
                <w:rStyle w:val="Strong"/>
                <w:rFonts w:ascii="Arial Narrow" w:eastAsiaTheme="majorEastAsia" w:hAnsi="Arial Narrow" w:cs="Open Sans"/>
                <w:i/>
                <w:iCs/>
                <w:color w:val="000000" w:themeColor="text1"/>
                <w:sz w:val="20"/>
                <w:szCs w:val="20"/>
                <w:bdr w:val="none" w:sz="0" w:space="0" w:color="auto" w:frame="1"/>
              </w:rPr>
              <w:t>Administrative Advice:</w:t>
            </w:r>
            <w:r>
              <w:rPr>
                <w:rStyle w:val="Strong"/>
                <w:rFonts w:ascii="Arial Narrow" w:eastAsiaTheme="majorEastAsia" w:hAnsi="Arial Narrow" w:cs="Open Sans"/>
                <w:i/>
                <w:iCs/>
                <w:color w:val="000000" w:themeColor="text1"/>
                <w:sz w:val="20"/>
                <w:szCs w:val="20"/>
                <w:bdr w:val="none" w:sz="0" w:space="0" w:color="auto" w:frame="1"/>
              </w:rPr>
              <w:t xml:space="preserve"> </w:t>
            </w:r>
            <w:r w:rsidRPr="0030508E">
              <w:rPr>
                <w:rFonts w:ascii="Arial Narrow" w:hAnsi="Arial Narrow" w:cs="Open Sans"/>
                <w:i/>
                <w:iCs/>
                <w:color w:val="000000" w:themeColor="text1"/>
                <w:sz w:val="20"/>
                <w:szCs w:val="20"/>
              </w:rPr>
              <w:t>No increase in the maximum number of repeats may be authorised.</w:t>
            </w:r>
          </w:p>
        </w:tc>
      </w:tr>
      <w:tr w:rsidR="000016D8" w:rsidRPr="0030508E" w14:paraId="4A22B212" w14:textId="77777777" w:rsidTr="004F572F">
        <w:tblPrEx>
          <w:tblBorders>
            <w:bottom w:val="single" w:sz="4" w:space="0" w:color="auto"/>
          </w:tblBorders>
          <w:tblCellMar>
            <w:top w:w="15" w:type="dxa"/>
            <w:bottom w:w="15" w:type="dxa"/>
          </w:tblCellMar>
          <w:tblLook w:val="04A0" w:firstRow="1" w:lastRow="0" w:firstColumn="1" w:lastColumn="0" w:noHBand="0" w:noVBand="1"/>
        </w:tblPrEx>
        <w:trPr>
          <w:trHeight w:val="20"/>
        </w:trPr>
        <w:tc>
          <w:tcPr>
            <w:tcW w:w="486" w:type="dxa"/>
            <w:vMerge/>
          </w:tcPr>
          <w:p w14:paraId="1DC7D0D4" w14:textId="77777777" w:rsidR="000016D8" w:rsidRPr="0030508E" w:rsidRDefault="000016D8" w:rsidP="00213DD5">
            <w:pPr>
              <w:rPr>
                <w:rFonts w:ascii="Arial Narrow" w:hAnsi="Arial Narrow"/>
                <w:color w:val="000000" w:themeColor="text1"/>
                <w:sz w:val="20"/>
                <w:szCs w:val="20"/>
              </w:rPr>
            </w:pPr>
          </w:p>
        </w:tc>
        <w:tc>
          <w:tcPr>
            <w:tcW w:w="788" w:type="dxa"/>
            <w:gridSpan w:val="2"/>
            <w:vAlign w:val="center"/>
          </w:tcPr>
          <w:p w14:paraId="15A32677" w14:textId="6BEACD95" w:rsidR="000016D8" w:rsidRPr="0030508E" w:rsidRDefault="000016D8" w:rsidP="00213DD5">
            <w:pPr>
              <w:jc w:val="center"/>
              <w:rPr>
                <w:rFonts w:ascii="Arial Narrow" w:hAnsi="Arial Narrow"/>
                <w:color w:val="000000" w:themeColor="text1"/>
                <w:sz w:val="20"/>
                <w:szCs w:val="20"/>
              </w:rPr>
            </w:pPr>
          </w:p>
        </w:tc>
        <w:tc>
          <w:tcPr>
            <w:tcW w:w="8086" w:type="dxa"/>
            <w:gridSpan w:val="7"/>
            <w:vAlign w:val="center"/>
          </w:tcPr>
          <w:p w14:paraId="2F0767B7" w14:textId="77777777" w:rsidR="000016D8" w:rsidRPr="0030508E" w:rsidRDefault="000016D8" w:rsidP="00213DD5">
            <w:pPr>
              <w:pStyle w:val="NormalWeb"/>
              <w:spacing w:before="0" w:after="0"/>
              <w:textAlignment w:val="baseline"/>
              <w:rPr>
                <w:rStyle w:val="Strong"/>
                <w:rFonts w:ascii="Arial Narrow" w:eastAsiaTheme="majorEastAsia" w:hAnsi="Arial Narrow" w:cs="Open Sans"/>
                <w:i/>
                <w:iCs/>
                <w:color w:val="000000" w:themeColor="text1"/>
                <w:sz w:val="20"/>
                <w:szCs w:val="20"/>
                <w:bdr w:val="none" w:sz="0" w:space="0" w:color="auto" w:frame="1"/>
              </w:rPr>
            </w:pPr>
            <w:r w:rsidRPr="0030508E">
              <w:rPr>
                <w:rFonts w:ascii="Arial Narrow" w:hAnsi="Arial Narrow"/>
                <w:b/>
                <w:bCs/>
                <w:i/>
                <w:iCs/>
                <w:color w:val="000000" w:themeColor="text1"/>
                <w:sz w:val="20"/>
                <w:szCs w:val="20"/>
              </w:rPr>
              <w:t xml:space="preserve">Administrative Advice: </w:t>
            </w:r>
            <w:r w:rsidRPr="0030508E">
              <w:rPr>
                <w:rFonts w:ascii="Arial Narrow" w:hAnsi="Arial Narrow"/>
                <w:bCs/>
                <w:i/>
                <w:iCs/>
                <w:color w:val="000000" w:themeColor="text1"/>
                <w:sz w:val="20"/>
                <w:szCs w:val="20"/>
              </w:rPr>
              <w:t>Applications for authorisation under this restriction may be made in real time using the Online PBS Authorities system (see www.servicesaustralia.gov.au/HPOS) or by telephone by contacting Services Australia on 1800 888 333.</w:t>
            </w:r>
          </w:p>
        </w:tc>
      </w:tr>
      <w:tr w:rsidR="000016D8" w:rsidRPr="0030508E" w14:paraId="61877A55" w14:textId="77777777" w:rsidTr="004F572F">
        <w:tblPrEx>
          <w:tblBorders>
            <w:bottom w:val="single" w:sz="4" w:space="0" w:color="auto"/>
          </w:tblBorders>
          <w:tblCellMar>
            <w:top w:w="15" w:type="dxa"/>
            <w:bottom w:w="15" w:type="dxa"/>
          </w:tblCellMar>
          <w:tblLook w:val="04A0" w:firstRow="1" w:lastRow="0" w:firstColumn="1" w:lastColumn="0" w:noHBand="0" w:noVBand="1"/>
        </w:tblPrEx>
        <w:trPr>
          <w:trHeight w:val="20"/>
        </w:trPr>
        <w:tc>
          <w:tcPr>
            <w:tcW w:w="486" w:type="dxa"/>
            <w:vMerge/>
          </w:tcPr>
          <w:p w14:paraId="3016272B" w14:textId="77777777" w:rsidR="000016D8" w:rsidRPr="0030508E" w:rsidRDefault="000016D8" w:rsidP="00213DD5">
            <w:pPr>
              <w:rPr>
                <w:rFonts w:ascii="Arial Narrow" w:hAnsi="Arial Narrow"/>
                <w:color w:val="000000" w:themeColor="text1"/>
                <w:sz w:val="20"/>
                <w:szCs w:val="20"/>
              </w:rPr>
            </w:pPr>
          </w:p>
        </w:tc>
        <w:tc>
          <w:tcPr>
            <w:tcW w:w="788" w:type="dxa"/>
            <w:gridSpan w:val="2"/>
            <w:vAlign w:val="center"/>
          </w:tcPr>
          <w:p w14:paraId="5CE97329" w14:textId="29DDCBFC" w:rsidR="000016D8" w:rsidRPr="0030508E" w:rsidRDefault="000016D8" w:rsidP="00213DD5">
            <w:pPr>
              <w:jc w:val="center"/>
              <w:rPr>
                <w:rFonts w:ascii="Arial Narrow" w:hAnsi="Arial Narrow"/>
                <w:color w:val="000000" w:themeColor="text1"/>
                <w:sz w:val="20"/>
                <w:szCs w:val="20"/>
              </w:rPr>
            </w:pPr>
          </w:p>
        </w:tc>
        <w:tc>
          <w:tcPr>
            <w:tcW w:w="8086" w:type="dxa"/>
            <w:gridSpan w:val="7"/>
          </w:tcPr>
          <w:p w14:paraId="02F3E43C" w14:textId="77777777" w:rsidR="000016D8" w:rsidRPr="0030508E" w:rsidRDefault="000016D8" w:rsidP="00213DD5">
            <w:pPr>
              <w:rPr>
                <w:rFonts w:ascii="Arial Narrow" w:hAnsi="Arial Narrow"/>
                <w:b/>
                <w:bCs/>
                <w:color w:val="000000" w:themeColor="text1"/>
                <w:sz w:val="20"/>
                <w:szCs w:val="20"/>
              </w:rPr>
            </w:pPr>
            <w:r w:rsidRPr="0030508E">
              <w:rPr>
                <w:rStyle w:val="Strong"/>
                <w:rFonts w:ascii="Arial Narrow" w:eastAsiaTheme="majorEastAsia" w:hAnsi="Arial Narrow" w:cs="Open Sans"/>
                <w:i/>
                <w:iCs/>
                <w:color w:val="000000" w:themeColor="text1"/>
                <w:sz w:val="20"/>
                <w:szCs w:val="20"/>
                <w:bdr w:val="none" w:sz="0" w:space="0" w:color="auto" w:frame="1"/>
              </w:rPr>
              <w:t>Administrative Advice:</w:t>
            </w:r>
            <w:r>
              <w:rPr>
                <w:rStyle w:val="Strong"/>
                <w:rFonts w:ascii="Arial Narrow" w:eastAsiaTheme="majorEastAsia" w:hAnsi="Arial Narrow" w:cs="Open Sans"/>
                <w:i/>
                <w:iCs/>
                <w:color w:val="000000" w:themeColor="text1"/>
                <w:sz w:val="20"/>
                <w:szCs w:val="20"/>
                <w:bdr w:val="none" w:sz="0" w:space="0" w:color="auto" w:frame="1"/>
              </w:rPr>
              <w:t xml:space="preserve"> </w:t>
            </w:r>
            <w:r w:rsidRPr="0030508E">
              <w:rPr>
                <w:rFonts w:ascii="Arial Narrow" w:hAnsi="Arial Narrow" w:cs="Open Sans"/>
                <w:i/>
                <w:iCs/>
                <w:color w:val="000000" w:themeColor="text1"/>
                <w:sz w:val="20"/>
                <w:szCs w:val="20"/>
              </w:rPr>
              <w:t>Special Pricing Arrangements apply.</w:t>
            </w:r>
          </w:p>
        </w:tc>
      </w:tr>
      <w:tr w:rsidR="000016D8" w:rsidRPr="0030508E" w14:paraId="609040A9" w14:textId="77777777" w:rsidTr="004F572F">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274" w:type="dxa"/>
            <w:gridSpan w:val="3"/>
            <w:vAlign w:val="center"/>
          </w:tcPr>
          <w:p w14:paraId="256CF2FD" w14:textId="77777777" w:rsidR="000016D8" w:rsidRPr="0030508E" w:rsidRDefault="000016D8" w:rsidP="00213DD5">
            <w:pPr>
              <w:keepLines/>
              <w:jc w:val="center"/>
              <w:rPr>
                <w:rFonts w:ascii="Arial Narrow" w:hAnsi="Arial Narrow"/>
                <w:color w:val="000000" w:themeColor="text1"/>
                <w:sz w:val="20"/>
                <w:szCs w:val="20"/>
              </w:rPr>
            </w:pPr>
          </w:p>
        </w:tc>
        <w:tc>
          <w:tcPr>
            <w:tcW w:w="8086" w:type="dxa"/>
            <w:gridSpan w:val="7"/>
            <w:vAlign w:val="center"/>
          </w:tcPr>
          <w:p w14:paraId="5FB291CD" w14:textId="77777777" w:rsidR="000016D8" w:rsidRPr="0030508E" w:rsidRDefault="000016D8" w:rsidP="00213DD5">
            <w:pPr>
              <w:keepLines/>
              <w:rPr>
                <w:rFonts w:ascii="Arial Narrow" w:hAnsi="Arial Narrow"/>
                <w:color w:val="000000" w:themeColor="text1"/>
                <w:sz w:val="20"/>
                <w:szCs w:val="20"/>
              </w:rPr>
            </w:pPr>
            <w:proofErr w:type="spellStart"/>
            <w:r w:rsidRPr="4D2BAA30">
              <w:rPr>
                <w:rFonts w:ascii="Arial Narrow" w:hAnsi="Arial Narrow"/>
                <w:b/>
                <w:bCs/>
                <w:color w:val="000000" w:themeColor="text1"/>
                <w:sz w:val="20"/>
                <w:szCs w:val="20"/>
              </w:rPr>
              <w:t>Episodicity</w:t>
            </w:r>
            <w:proofErr w:type="spellEnd"/>
            <w:r w:rsidRPr="4D2BAA30">
              <w:rPr>
                <w:rFonts w:ascii="Arial Narrow" w:hAnsi="Arial Narrow"/>
                <w:b/>
                <w:bCs/>
                <w:color w:val="000000" w:themeColor="text1"/>
                <w:sz w:val="20"/>
                <w:szCs w:val="20"/>
              </w:rPr>
              <w:t xml:space="preserve">: </w:t>
            </w:r>
            <w:r w:rsidRPr="4D2BAA30">
              <w:rPr>
                <w:rFonts w:ascii="Arial Narrow" w:hAnsi="Arial Narrow"/>
                <w:color w:val="000000" w:themeColor="text1"/>
                <w:sz w:val="20"/>
                <w:szCs w:val="20"/>
              </w:rPr>
              <w:t>Chronic</w:t>
            </w:r>
          </w:p>
        </w:tc>
      </w:tr>
      <w:tr w:rsidR="000016D8" w:rsidRPr="0030508E" w14:paraId="14C29BD1" w14:textId="77777777" w:rsidTr="004F572F">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274" w:type="dxa"/>
            <w:gridSpan w:val="3"/>
            <w:vAlign w:val="center"/>
            <w:hideMark/>
          </w:tcPr>
          <w:p w14:paraId="190D6F69" w14:textId="3CE749F4" w:rsidR="000016D8" w:rsidRPr="0030508E" w:rsidRDefault="000016D8" w:rsidP="00213DD5">
            <w:pPr>
              <w:keepLines/>
              <w:jc w:val="center"/>
              <w:rPr>
                <w:rFonts w:ascii="Arial Narrow" w:hAnsi="Arial Narrow"/>
                <w:color w:val="000000" w:themeColor="text1"/>
                <w:sz w:val="20"/>
                <w:szCs w:val="20"/>
              </w:rPr>
            </w:pPr>
          </w:p>
        </w:tc>
        <w:tc>
          <w:tcPr>
            <w:tcW w:w="8086" w:type="dxa"/>
            <w:gridSpan w:val="7"/>
            <w:vAlign w:val="center"/>
            <w:hideMark/>
          </w:tcPr>
          <w:p w14:paraId="3377C4B8" w14:textId="77777777" w:rsidR="000016D8" w:rsidRPr="0030508E" w:rsidRDefault="000016D8" w:rsidP="00213DD5">
            <w:pPr>
              <w:keepLines/>
              <w:rPr>
                <w:rFonts w:ascii="Arial Narrow" w:hAnsi="Arial Narrow"/>
                <w:color w:val="000000" w:themeColor="text1"/>
                <w:sz w:val="20"/>
                <w:szCs w:val="20"/>
              </w:rPr>
            </w:pPr>
            <w:r w:rsidRPr="0030508E">
              <w:rPr>
                <w:rFonts w:ascii="Arial Narrow" w:hAnsi="Arial Narrow"/>
                <w:b/>
                <w:bCs/>
                <w:color w:val="000000" w:themeColor="text1"/>
                <w:sz w:val="20"/>
                <w:szCs w:val="20"/>
              </w:rPr>
              <w:t>Indication:</w:t>
            </w:r>
            <w:r w:rsidRPr="0030508E">
              <w:rPr>
                <w:rFonts w:ascii="Arial Narrow" w:hAnsi="Arial Narrow"/>
                <w:color w:val="000000" w:themeColor="text1"/>
                <w:sz w:val="20"/>
                <w:szCs w:val="20"/>
              </w:rPr>
              <w:t xml:space="preserve"> Hypoparathyroidism</w:t>
            </w:r>
          </w:p>
        </w:tc>
      </w:tr>
      <w:tr w:rsidR="000016D8" w:rsidRPr="0030508E" w14:paraId="195FB9D7" w14:textId="77777777" w:rsidTr="004F572F">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274" w:type="dxa"/>
            <w:gridSpan w:val="3"/>
            <w:vAlign w:val="center"/>
            <w:hideMark/>
          </w:tcPr>
          <w:p w14:paraId="08E053A8" w14:textId="77777777" w:rsidR="000016D8" w:rsidRPr="0030508E" w:rsidRDefault="000016D8" w:rsidP="00213DD5">
            <w:pPr>
              <w:jc w:val="center"/>
              <w:rPr>
                <w:rFonts w:ascii="Arial Narrow" w:hAnsi="Arial Narrow"/>
                <w:color w:val="000000" w:themeColor="text1"/>
                <w:sz w:val="20"/>
                <w:szCs w:val="20"/>
              </w:rPr>
            </w:pPr>
          </w:p>
        </w:tc>
        <w:tc>
          <w:tcPr>
            <w:tcW w:w="8086" w:type="dxa"/>
            <w:gridSpan w:val="7"/>
            <w:vAlign w:val="center"/>
            <w:hideMark/>
          </w:tcPr>
          <w:p w14:paraId="20F60663" w14:textId="3D47E063" w:rsidR="000016D8" w:rsidRPr="0030508E" w:rsidRDefault="000016D8" w:rsidP="00213DD5">
            <w:pPr>
              <w:rPr>
                <w:rFonts w:ascii="Arial Narrow" w:hAnsi="Arial Narrow"/>
                <w:color w:val="000000" w:themeColor="text1"/>
                <w:sz w:val="20"/>
                <w:szCs w:val="20"/>
              </w:rPr>
            </w:pPr>
            <w:r w:rsidRPr="0030508E">
              <w:rPr>
                <w:rFonts w:ascii="Arial Narrow" w:hAnsi="Arial Narrow"/>
                <w:b/>
                <w:bCs/>
                <w:color w:val="000000" w:themeColor="text1"/>
                <w:sz w:val="20"/>
                <w:szCs w:val="20"/>
              </w:rPr>
              <w:t>Treatment Phase</w:t>
            </w:r>
            <w:r>
              <w:rPr>
                <w:rFonts w:ascii="Arial Narrow" w:hAnsi="Arial Narrow"/>
                <w:b/>
                <w:bCs/>
                <w:color w:val="000000" w:themeColor="text1"/>
                <w:sz w:val="20"/>
                <w:szCs w:val="20"/>
              </w:rPr>
              <w:t>:</w:t>
            </w:r>
            <w:r w:rsidRPr="0030508E">
              <w:rPr>
                <w:rFonts w:ascii="Arial Narrow" w:hAnsi="Arial Narrow"/>
                <w:b/>
                <w:bCs/>
                <w:color w:val="000000" w:themeColor="text1"/>
                <w:sz w:val="20"/>
                <w:szCs w:val="20"/>
              </w:rPr>
              <w:t xml:space="preserve"> </w:t>
            </w:r>
            <w:r w:rsidRPr="0030508E">
              <w:rPr>
                <w:rFonts w:ascii="Arial Narrow" w:hAnsi="Arial Narrow"/>
                <w:color w:val="000000" w:themeColor="text1"/>
                <w:sz w:val="20"/>
                <w:szCs w:val="20"/>
              </w:rPr>
              <w:t>Initial treatment</w:t>
            </w:r>
          </w:p>
        </w:tc>
      </w:tr>
      <w:tr w:rsidR="000016D8" w:rsidRPr="0030508E" w14:paraId="04091F4D" w14:textId="77777777" w:rsidTr="004F572F">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274" w:type="dxa"/>
            <w:gridSpan w:val="3"/>
            <w:vAlign w:val="center"/>
            <w:hideMark/>
          </w:tcPr>
          <w:p w14:paraId="08693797" w14:textId="100CF374" w:rsidR="000016D8" w:rsidRPr="0030508E" w:rsidRDefault="000016D8" w:rsidP="00213DD5">
            <w:pPr>
              <w:jc w:val="center"/>
              <w:rPr>
                <w:rFonts w:ascii="Arial Narrow" w:hAnsi="Arial Narrow"/>
                <w:color w:val="000000" w:themeColor="text1"/>
                <w:sz w:val="20"/>
                <w:szCs w:val="20"/>
              </w:rPr>
            </w:pPr>
          </w:p>
        </w:tc>
        <w:tc>
          <w:tcPr>
            <w:tcW w:w="8086" w:type="dxa"/>
            <w:gridSpan w:val="7"/>
            <w:vAlign w:val="center"/>
            <w:hideMark/>
          </w:tcPr>
          <w:p w14:paraId="47863E19" w14:textId="77777777" w:rsidR="000016D8" w:rsidRPr="0030508E" w:rsidRDefault="000016D8" w:rsidP="00213DD5">
            <w:pPr>
              <w:rPr>
                <w:rFonts w:ascii="Arial Narrow" w:hAnsi="Arial Narrow"/>
                <w:bCs/>
                <w:color w:val="000000" w:themeColor="text1"/>
                <w:sz w:val="20"/>
                <w:szCs w:val="20"/>
              </w:rPr>
            </w:pPr>
            <w:r w:rsidRPr="0030508E">
              <w:rPr>
                <w:rFonts w:ascii="Arial Narrow" w:hAnsi="Arial Narrow"/>
                <w:b/>
                <w:bCs/>
                <w:color w:val="000000" w:themeColor="text1"/>
                <w:sz w:val="20"/>
                <w:szCs w:val="20"/>
              </w:rPr>
              <w:t xml:space="preserve">Clinical criteria: </w:t>
            </w:r>
          </w:p>
        </w:tc>
      </w:tr>
      <w:tr w:rsidR="000016D8" w:rsidRPr="0030508E" w14:paraId="2BE175F5" w14:textId="77777777" w:rsidTr="004F572F">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274" w:type="dxa"/>
            <w:gridSpan w:val="3"/>
            <w:vAlign w:val="center"/>
          </w:tcPr>
          <w:p w14:paraId="6D0274C2" w14:textId="5BE46C80" w:rsidR="000016D8" w:rsidRPr="0030508E" w:rsidRDefault="000016D8" w:rsidP="00213DD5">
            <w:pPr>
              <w:jc w:val="center"/>
              <w:rPr>
                <w:rFonts w:ascii="Arial Narrow" w:hAnsi="Arial Narrow"/>
                <w:color w:val="000000" w:themeColor="text1"/>
                <w:sz w:val="20"/>
                <w:szCs w:val="20"/>
              </w:rPr>
            </w:pPr>
          </w:p>
        </w:tc>
        <w:tc>
          <w:tcPr>
            <w:tcW w:w="8086" w:type="dxa"/>
            <w:gridSpan w:val="7"/>
            <w:vAlign w:val="center"/>
          </w:tcPr>
          <w:p w14:paraId="124621A1" w14:textId="77777777" w:rsidR="000016D8" w:rsidRDefault="000016D8" w:rsidP="00213DD5">
            <w:r w:rsidRPr="383E5602">
              <w:rPr>
                <w:rFonts w:ascii="Arial Narrow" w:hAnsi="Arial Narrow"/>
                <w:color w:val="000000" w:themeColor="text1"/>
                <w:sz w:val="20"/>
                <w:szCs w:val="20"/>
              </w:rPr>
              <w:t xml:space="preserve">Patient must have been diagnosed with chronic hypoparathyroidism due to </w:t>
            </w:r>
            <w:r w:rsidRPr="383E5602">
              <w:rPr>
                <w:rFonts w:ascii="Arial Narrow" w:hAnsi="Arial Narrow"/>
                <w:i/>
                <w:iCs/>
                <w:color w:val="000000" w:themeColor="text1"/>
                <w:sz w:val="20"/>
                <w:szCs w:val="20"/>
              </w:rPr>
              <w:t>one of (i)</w:t>
            </w:r>
            <w:r w:rsidRPr="383E5602">
              <w:rPr>
                <w:rFonts w:ascii="Arial Narrow" w:hAnsi="Arial Narrow"/>
                <w:color w:val="000000" w:themeColor="text1"/>
                <w:sz w:val="20"/>
                <w:szCs w:val="20"/>
              </w:rPr>
              <w:t xml:space="preserve"> postsurgical, </w:t>
            </w:r>
            <w:r w:rsidRPr="383E5602">
              <w:rPr>
                <w:rFonts w:ascii="Arial Narrow" w:hAnsi="Arial Narrow"/>
                <w:i/>
                <w:iCs/>
                <w:color w:val="000000" w:themeColor="text1"/>
                <w:sz w:val="20"/>
                <w:szCs w:val="20"/>
              </w:rPr>
              <w:t>(ii)</w:t>
            </w:r>
            <w:r w:rsidRPr="383E5602">
              <w:rPr>
                <w:rFonts w:ascii="Arial Narrow" w:hAnsi="Arial Narrow"/>
                <w:color w:val="000000" w:themeColor="text1"/>
                <w:sz w:val="20"/>
                <w:szCs w:val="20"/>
              </w:rPr>
              <w:t xml:space="preserve"> auto-immune, </w:t>
            </w:r>
            <w:r w:rsidRPr="383E5602">
              <w:rPr>
                <w:rFonts w:ascii="Arial Narrow" w:hAnsi="Arial Narrow"/>
                <w:i/>
                <w:iCs/>
                <w:color w:val="000000" w:themeColor="text1"/>
                <w:sz w:val="20"/>
                <w:szCs w:val="20"/>
              </w:rPr>
              <w:t>(iii)</w:t>
            </w:r>
            <w:r w:rsidRPr="383E5602">
              <w:rPr>
                <w:rFonts w:ascii="Arial Narrow" w:hAnsi="Arial Narrow"/>
                <w:color w:val="000000" w:themeColor="text1"/>
                <w:sz w:val="20"/>
                <w:szCs w:val="20"/>
              </w:rPr>
              <w:t xml:space="preserve"> genetic, </w:t>
            </w:r>
            <w:r w:rsidRPr="383E5602">
              <w:rPr>
                <w:rFonts w:ascii="Arial Narrow" w:hAnsi="Arial Narrow"/>
                <w:strike/>
                <w:color w:val="000000" w:themeColor="text1"/>
                <w:sz w:val="20"/>
                <w:szCs w:val="20"/>
              </w:rPr>
              <w:t>or</w:t>
            </w:r>
            <w:r w:rsidRPr="383E5602">
              <w:rPr>
                <w:rFonts w:ascii="Arial Narrow" w:hAnsi="Arial Narrow"/>
                <w:color w:val="000000" w:themeColor="text1"/>
                <w:sz w:val="20"/>
                <w:szCs w:val="20"/>
              </w:rPr>
              <w:t xml:space="preserve"> </w:t>
            </w:r>
            <w:r w:rsidRPr="383E5602">
              <w:rPr>
                <w:rFonts w:ascii="Arial Narrow" w:hAnsi="Arial Narrow"/>
                <w:i/>
                <w:iCs/>
                <w:color w:val="000000" w:themeColor="text1"/>
                <w:sz w:val="20"/>
                <w:szCs w:val="20"/>
              </w:rPr>
              <w:t>(iv)</w:t>
            </w:r>
            <w:r w:rsidRPr="383E5602">
              <w:rPr>
                <w:rFonts w:ascii="Arial Narrow" w:hAnsi="Arial Narrow"/>
                <w:color w:val="000000" w:themeColor="text1"/>
                <w:sz w:val="20"/>
                <w:szCs w:val="20"/>
              </w:rPr>
              <w:t xml:space="preserve"> idiopathic causes for </w:t>
            </w:r>
            <w:r w:rsidRPr="00AE73A2">
              <w:rPr>
                <w:rFonts w:ascii="Arial Narrow" w:hAnsi="Arial Narrow"/>
                <w:strike/>
                <w:sz w:val="20"/>
                <w:szCs w:val="20"/>
              </w:rPr>
              <w:t xml:space="preserve">(&gt; </w:t>
            </w:r>
            <w:r w:rsidRPr="00AE73A2">
              <w:rPr>
                <w:rFonts w:ascii="Arial Narrow" w:hAnsi="Arial Narrow"/>
                <w:i/>
                <w:iCs/>
                <w:sz w:val="20"/>
                <w:szCs w:val="20"/>
              </w:rPr>
              <w:t>a minimum of</w:t>
            </w:r>
            <w:r w:rsidRPr="00AE73A2">
              <w:rPr>
                <w:rFonts w:ascii="Arial Narrow" w:hAnsi="Arial Narrow"/>
                <w:sz w:val="20"/>
                <w:szCs w:val="20"/>
              </w:rPr>
              <w:t xml:space="preserve"> 12 months. </w:t>
            </w:r>
            <w:r w:rsidRPr="00AE73A2">
              <w:rPr>
                <w:rFonts w:ascii="Arial Narrow" w:hAnsi="Arial Narrow"/>
                <w:i/>
                <w:iCs/>
                <w:sz w:val="20"/>
                <w:szCs w:val="20"/>
              </w:rPr>
              <w:t>This is</w:t>
            </w:r>
            <w:r w:rsidRPr="00AE73A2">
              <w:rPr>
                <w:rFonts w:ascii="Arial Narrow" w:hAnsi="Arial Narrow"/>
                <w:strike/>
                <w:sz w:val="20"/>
                <w:szCs w:val="20"/>
              </w:rPr>
              <w:t>),</w:t>
            </w:r>
            <w:r w:rsidRPr="00AE73A2">
              <w:rPr>
                <w:rFonts w:ascii="Arial Narrow" w:hAnsi="Arial Narrow"/>
                <w:sz w:val="20"/>
                <w:szCs w:val="20"/>
              </w:rPr>
              <w:t xml:space="preserve"> esta</w:t>
            </w:r>
            <w:r w:rsidRPr="383E5602">
              <w:rPr>
                <w:rFonts w:ascii="Arial Narrow" w:hAnsi="Arial Narrow"/>
                <w:color w:val="000000" w:themeColor="text1"/>
                <w:sz w:val="20"/>
                <w:szCs w:val="20"/>
              </w:rPr>
              <w:t xml:space="preserve">blished </w:t>
            </w:r>
          </w:p>
          <w:p w14:paraId="2784C760" w14:textId="77777777" w:rsidR="000016D8" w:rsidRPr="0030508E" w:rsidRDefault="000016D8" w:rsidP="00213DD5">
            <w:pPr>
              <w:rPr>
                <w:rFonts w:ascii="Arial Narrow" w:hAnsi="Arial Narrow"/>
                <w:b/>
                <w:bCs/>
                <w:color w:val="000000" w:themeColor="text1"/>
                <w:sz w:val="20"/>
                <w:szCs w:val="20"/>
              </w:rPr>
            </w:pPr>
            <w:r w:rsidRPr="0030508E">
              <w:rPr>
                <w:rFonts w:ascii="Arial Narrow" w:hAnsi="Arial Narrow"/>
                <w:color w:val="000000" w:themeColor="text1"/>
                <w:sz w:val="20"/>
                <w:szCs w:val="20"/>
              </w:rPr>
              <w:t>based on presence of persistent hypocalcaemia in the setting of inappropriately low serum parathyroid hormone (PTH) levels (PTH levels at or below the median value of the reference range at the laboratory)</w:t>
            </w:r>
          </w:p>
        </w:tc>
      </w:tr>
      <w:tr w:rsidR="000016D8" w:rsidRPr="0030508E" w14:paraId="45CA9A1E" w14:textId="77777777" w:rsidTr="004F572F">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274" w:type="dxa"/>
            <w:gridSpan w:val="3"/>
            <w:vAlign w:val="center"/>
            <w:hideMark/>
          </w:tcPr>
          <w:p w14:paraId="037707CE" w14:textId="77777777" w:rsidR="000016D8" w:rsidRPr="0030508E" w:rsidRDefault="000016D8" w:rsidP="00213DD5">
            <w:pPr>
              <w:jc w:val="center"/>
              <w:rPr>
                <w:rFonts w:ascii="Arial Narrow" w:hAnsi="Arial Narrow"/>
                <w:color w:val="000000" w:themeColor="text1"/>
                <w:sz w:val="20"/>
                <w:szCs w:val="20"/>
              </w:rPr>
            </w:pPr>
          </w:p>
        </w:tc>
        <w:tc>
          <w:tcPr>
            <w:tcW w:w="8086" w:type="dxa"/>
            <w:gridSpan w:val="7"/>
            <w:vAlign w:val="center"/>
            <w:hideMark/>
          </w:tcPr>
          <w:p w14:paraId="08732E79" w14:textId="77777777" w:rsidR="000016D8" w:rsidRPr="0030508E" w:rsidRDefault="000016D8" w:rsidP="00213DD5">
            <w:pPr>
              <w:rPr>
                <w:rFonts w:ascii="Arial Narrow" w:hAnsi="Arial Narrow"/>
                <w:color w:val="000000" w:themeColor="text1"/>
                <w:sz w:val="20"/>
                <w:szCs w:val="20"/>
              </w:rPr>
            </w:pPr>
            <w:r w:rsidRPr="0030508E">
              <w:rPr>
                <w:rFonts w:ascii="Arial Narrow" w:hAnsi="Arial Narrow"/>
                <w:b/>
                <w:bCs/>
                <w:color w:val="000000" w:themeColor="text1"/>
                <w:sz w:val="20"/>
                <w:szCs w:val="20"/>
              </w:rPr>
              <w:t>AND</w:t>
            </w:r>
          </w:p>
        </w:tc>
      </w:tr>
      <w:tr w:rsidR="000016D8" w:rsidRPr="0030508E" w14:paraId="16FB1483" w14:textId="77777777" w:rsidTr="004F572F">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274" w:type="dxa"/>
            <w:gridSpan w:val="3"/>
            <w:vAlign w:val="center"/>
          </w:tcPr>
          <w:p w14:paraId="088759A7" w14:textId="65234FA7" w:rsidR="000016D8" w:rsidRPr="0030508E" w:rsidRDefault="000016D8" w:rsidP="00213DD5">
            <w:pPr>
              <w:jc w:val="center"/>
              <w:rPr>
                <w:rFonts w:ascii="Arial Narrow" w:hAnsi="Arial Narrow"/>
                <w:color w:val="000000" w:themeColor="text1"/>
                <w:sz w:val="20"/>
                <w:szCs w:val="20"/>
              </w:rPr>
            </w:pPr>
          </w:p>
        </w:tc>
        <w:tc>
          <w:tcPr>
            <w:tcW w:w="8086" w:type="dxa"/>
            <w:gridSpan w:val="7"/>
            <w:vAlign w:val="center"/>
            <w:hideMark/>
          </w:tcPr>
          <w:p w14:paraId="4B870C99" w14:textId="77777777" w:rsidR="000016D8" w:rsidRPr="0030508E" w:rsidRDefault="000016D8" w:rsidP="00213DD5">
            <w:pPr>
              <w:rPr>
                <w:rFonts w:ascii="Arial Narrow" w:hAnsi="Arial Narrow"/>
                <w:color w:val="000000" w:themeColor="text1"/>
                <w:sz w:val="20"/>
                <w:szCs w:val="20"/>
              </w:rPr>
            </w:pPr>
            <w:r w:rsidRPr="0030508E">
              <w:rPr>
                <w:rFonts w:ascii="Arial Narrow" w:hAnsi="Arial Narrow"/>
                <w:b/>
                <w:bCs/>
                <w:color w:val="000000" w:themeColor="text1"/>
                <w:sz w:val="20"/>
                <w:szCs w:val="20"/>
              </w:rPr>
              <w:t>Clinical criteria:</w:t>
            </w:r>
          </w:p>
        </w:tc>
      </w:tr>
      <w:tr w:rsidR="000016D8" w:rsidRPr="0030508E" w14:paraId="2E72F45C" w14:textId="77777777" w:rsidTr="004F572F">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274" w:type="dxa"/>
            <w:gridSpan w:val="3"/>
            <w:vAlign w:val="center"/>
          </w:tcPr>
          <w:p w14:paraId="394EB1A5" w14:textId="16B39BC0" w:rsidR="000016D8" w:rsidRPr="0030508E" w:rsidRDefault="000016D8" w:rsidP="00213DD5">
            <w:pPr>
              <w:jc w:val="center"/>
              <w:rPr>
                <w:rFonts w:ascii="Arial Narrow" w:hAnsi="Arial Narrow"/>
                <w:color w:val="000000" w:themeColor="text1"/>
                <w:sz w:val="20"/>
                <w:szCs w:val="20"/>
              </w:rPr>
            </w:pPr>
          </w:p>
        </w:tc>
        <w:tc>
          <w:tcPr>
            <w:tcW w:w="8086" w:type="dxa"/>
            <w:gridSpan w:val="7"/>
            <w:vAlign w:val="center"/>
            <w:hideMark/>
          </w:tcPr>
          <w:p w14:paraId="1B01C86E" w14:textId="77777777" w:rsidR="000016D8" w:rsidRPr="0030508E" w:rsidRDefault="000016D8" w:rsidP="00213DD5">
            <w:pPr>
              <w:rPr>
                <w:rFonts w:ascii="Arial Narrow" w:hAnsi="Arial Narrow"/>
                <w:i/>
                <w:iCs/>
                <w:color w:val="000000" w:themeColor="text1"/>
                <w:sz w:val="20"/>
                <w:szCs w:val="20"/>
              </w:rPr>
            </w:pPr>
            <w:r w:rsidRPr="383E5602">
              <w:rPr>
                <w:rFonts w:ascii="Arial Narrow" w:hAnsi="Arial Narrow"/>
                <w:color w:val="000000" w:themeColor="text1"/>
                <w:sz w:val="20"/>
                <w:szCs w:val="20"/>
              </w:rPr>
              <w:t>Patient must have been treated with calcitriol ≥ 0.5 mcg/day in addition to elemental calcium ≥ 800 mg/day for at least 12 weeks</w:t>
            </w:r>
            <w:r w:rsidRPr="383E5602">
              <w:rPr>
                <w:rFonts w:ascii="Arial Narrow" w:hAnsi="Arial Narrow"/>
                <w:i/>
                <w:iCs/>
                <w:color w:val="000000" w:themeColor="text1"/>
                <w:sz w:val="20"/>
                <w:szCs w:val="20"/>
              </w:rPr>
              <w:t xml:space="preserve"> prior to initiating treatment with this drug</w:t>
            </w:r>
          </w:p>
        </w:tc>
      </w:tr>
      <w:tr w:rsidR="000016D8" w:rsidRPr="0030508E" w14:paraId="411BDF0E" w14:textId="77777777" w:rsidTr="004F572F">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274" w:type="dxa"/>
            <w:gridSpan w:val="3"/>
            <w:vAlign w:val="center"/>
          </w:tcPr>
          <w:p w14:paraId="0B154371" w14:textId="77777777" w:rsidR="000016D8" w:rsidRPr="0030508E" w:rsidRDefault="000016D8" w:rsidP="00213DD5">
            <w:pPr>
              <w:jc w:val="center"/>
              <w:rPr>
                <w:rFonts w:ascii="Arial Narrow" w:hAnsi="Arial Narrow"/>
                <w:color w:val="000000" w:themeColor="text1"/>
                <w:sz w:val="20"/>
                <w:szCs w:val="20"/>
              </w:rPr>
            </w:pPr>
          </w:p>
        </w:tc>
        <w:tc>
          <w:tcPr>
            <w:tcW w:w="8086" w:type="dxa"/>
            <w:gridSpan w:val="7"/>
            <w:vAlign w:val="center"/>
            <w:hideMark/>
          </w:tcPr>
          <w:p w14:paraId="49C90D9B" w14:textId="77777777" w:rsidR="000016D8" w:rsidRPr="0030508E" w:rsidRDefault="000016D8" w:rsidP="00213DD5">
            <w:pPr>
              <w:rPr>
                <w:rFonts w:ascii="Arial Narrow" w:hAnsi="Arial Narrow"/>
                <w:color w:val="000000" w:themeColor="text1"/>
                <w:sz w:val="20"/>
                <w:szCs w:val="20"/>
              </w:rPr>
            </w:pPr>
            <w:r w:rsidRPr="0030508E">
              <w:rPr>
                <w:rFonts w:ascii="Arial Narrow" w:hAnsi="Arial Narrow"/>
                <w:b/>
                <w:bCs/>
                <w:color w:val="000000" w:themeColor="text1"/>
                <w:sz w:val="20"/>
                <w:szCs w:val="20"/>
              </w:rPr>
              <w:t>AND</w:t>
            </w:r>
          </w:p>
        </w:tc>
      </w:tr>
      <w:tr w:rsidR="000016D8" w:rsidRPr="0030508E" w14:paraId="468ECDCE" w14:textId="77777777" w:rsidTr="004F572F">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274" w:type="dxa"/>
            <w:gridSpan w:val="3"/>
            <w:vAlign w:val="center"/>
          </w:tcPr>
          <w:p w14:paraId="6548FD91" w14:textId="036AE5AD" w:rsidR="000016D8" w:rsidRPr="0030508E" w:rsidRDefault="000016D8" w:rsidP="00213DD5">
            <w:pPr>
              <w:jc w:val="center"/>
              <w:rPr>
                <w:rFonts w:ascii="Arial Narrow" w:hAnsi="Arial Narrow"/>
                <w:color w:val="000000" w:themeColor="text1"/>
                <w:sz w:val="20"/>
                <w:szCs w:val="20"/>
              </w:rPr>
            </w:pPr>
          </w:p>
        </w:tc>
        <w:tc>
          <w:tcPr>
            <w:tcW w:w="8086" w:type="dxa"/>
            <w:gridSpan w:val="7"/>
            <w:vAlign w:val="center"/>
            <w:hideMark/>
          </w:tcPr>
          <w:p w14:paraId="3C348994" w14:textId="77777777" w:rsidR="000016D8" w:rsidRPr="0030508E" w:rsidRDefault="000016D8" w:rsidP="00213DD5">
            <w:pPr>
              <w:rPr>
                <w:rFonts w:ascii="Arial Narrow" w:hAnsi="Arial Narrow"/>
                <w:color w:val="000000" w:themeColor="text1"/>
                <w:sz w:val="20"/>
                <w:szCs w:val="20"/>
              </w:rPr>
            </w:pPr>
            <w:r w:rsidRPr="0030508E">
              <w:rPr>
                <w:rFonts w:ascii="Arial Narrow" w:hAnsi="Arial Narrow"/>
                <w:b/>
                <w:bCs/>
                <w:color w:val="000000" w:themeColor="text1"/>
                <w:sz w:val="20"/>
                <w:szCs w:val="20"/>
              </w:rPr>
              <w:t>Clinical criteria:</w:t>
            </w:r>
          </w:p>
        </w:tc>
      </w:tr>
      <w:tr w:rsidR="000016D8" w:rsidRPr="0030508E" w14:paraId="635655F2" w14:textId="77777777" w:rsidTr="004F572F">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274" w:type="dxa"/>
            <w:gridSpan w:val="3"/>
            <w:vAlign w:val="center"/>
          </w:tcPr>
          <w:p w14:paraId="6F7A25E9" w14:textId="36F9D7EB" w:rsidR="000016D8" w:rsidRPr="0030508E" w:rsidRDefault="000016D8" w:rsidP="00213DD5">
            <w:pPr>
              <w:jc w:val="center"/>
              <w:rPr>
                <w:rFonts w:ascii="Arial Narrow" w:hAnsi="Arial Narrow"/>
                <w:color w:val="000000" w:themeColor="text1"/>
                <w:sz w:val="20"/>
                <w:szCs w:val="20"/>
              </w:rPr>
            </w:pPr>
          </w:p>
        </w:tc>
        <w:tc>
          <w:tcPr>
            <w:tcW w:w="8086" w:type="dxa"/>
            <w:gridSpan w:val="7"/>
            <w:vAlign w:val="center"/>
            <w:hideMark/>
          </w:tcPr>
          <w:p w14:paraId="3C0D3FD3" w14:textId="77777777" w:rsidR="000016D8" w:rsidRPr="0030508E" w:rsidRDefault="000016D8" w:rsidP="00213DD5">
            <w:pPr>
              <w:rPr>
                <w:rFonts w:ascii="Arial Narrow" w:hAnsi="Arial Narrow"/>
                <w:color w:val="000000" w:themeColor="text1"/>
                <w:sz w:val="20"/>
                <w:szCs w:val="20"/>
              </w:rPr>
            </w:pPr>
            <w:r w:rsidRPr="0030508E">
              <w:rPr>
                <w:rFonts w:ascii="Arial Narrow" w:hAnsi="Arial Narrow"/>
                <w:color w:val="000000" w:themeColor="text1"/>
                <w:sz w:val="20"/>
                <w:szCs w:val="20"/>
              </w:rPr>
              <w:t>Patient must have</w:t>
            </w:r>
            <w:r w:rsidRPr="0030508E">
              <w:rPr>
                <w:rFonts w:ascii="Arial Narrow" w:hAnsi="Arial Narrow"/>
                <w:i/>
                <w:iCs/>
                <w:color w:val="000000" w:themeColor="text1"/>
                <w:sz w:val="20"/>
                <w:szCs w:val="20"/>
              </w:rPr>
              <w:t xml:space="preserve"> </w:t>
            </w:r>
            <w:r w:rsidRPr="0030508E">
              <w:rPr>
                <w:rFonts w:ascii="Arial Narrow" w:hAnsi="Arial Narrow"/>
                <w:color w:val="000000" w:themeColor="text1"/>
                <w:sz w:val="20"/>
                <w:szCs w:val="20"/>
              </w:rPr>
              <w:t>calcium serum levels &lt; 2.0 mmol/L; OR</w:t>
            </w:r>
          </w:p>
        </w:tc>
      </w:tr>
      <w:tr w:rsidR="000016D8" w:rsidRPr="0030508E" w14:paraId="1B224610" w14:textId="77777777" w:rsidTr="004F572F">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274" w:type="dxa"/>
            <w:gridSpan w:val="3"/>
            <w:vAlign w:val="center"/>
          </w:tcPr>
          <w:p w14:paraId="022C0C05" w14:textId="29DD2372" w:rsidR="000016D8" w:rsidRPr="0030508E" w:rsidRDefault="000016D8" w:rsidP="00213DD5">
            <w:pPr>
              <w:jc w:val="center"/>
              <w:rPr>
                <w:rFonts w:ascii="Arial Narrow" w:hAnsi="Arial Narrow"/>
                <w:color w:val="000000" w:themeColor="text1"/>
                <w:sz w:val="20"/>
                <w:szCs w:val="20"/>
              </w:rPr>
            </w:pPr>
          </w:p>
        </w:tc>
        <w:tc>
          <w:tcPr>
            <w:tcW w:w="8086" w:type="dxa"/>
            <w:gridSpan w:val="7"/>
            <w:vAlign w:val="center"/>
          </w:tcPr>
          <w:p w14:paraId="6ED5CCE4" w14:textId="77777777" w:rsidR="000016D8" w:rsidRPr="0030508E" w:rsidRDefault="000016D8" w:rsidP="00213DD5">
            <w:pPr>
              <w:rPr>
                <w:rFonts w:ascii="Arial Narrow" w:hAnsi="Arial Narrow"/>
                <w:color w:val="000000" w:themeColor="text1"/>
                <w:sz w:val="20"/>
                <w:szCs w:val="20"/>
              </w:rPr>
            </w:pPr>
            <w:r w:rsidRPr="00D82111">
              <w:rPr>
                <w:rFonts w:ascii="Arial Narrow" w:hAnsi="Arial Narrow"/>
                <w:color w:val="000000" w:themeColor="text1"/>
                <w:sz w:val="20"/>
                <w:szCs w:val="20"/>
              </w:rPr>
              <w:t>Patient must have had</w:t>
            </w:r>
            <w:r w:rsidRPr="0030508E">
              <w:rPr>
                <w:rFonts w:ascii="Arial Narrow" w:hAnsi="Arial Narrow"/>
                <w:color w:val="000000" w:themeColor="text1"/>
                <w:sz w:val="20"/>
                <w:szCs w:val="20"/>
              </w:rPr>
              <w:t xml:space="preserve"> serum phosphate &gt; 1.5 mmol/L </w:t>
            </w:r>
            <w:r w:rsidRPr="0030508E">
              <w:rPr>
                <w:rFonts w:ascii="Arial Narrow" w:hAnsi="Arial Narrow"/>
                <w:i/>
                <w:iCs/>
                <w:color w:val="000000" w:themeColor="text1"/>
                <w:sz w:val="20"/>
                <w:szCs w:val="20"/>
              </w:rPr>
              <w:t xml:space="preserve">at the commencement of therapy; </w:t>
            </w:r>
            <w:r w:rsidRPr="0030508E">
              <w:rPr>
                <w:rFonts w:ascii="Arial Narrow" w:hAnsi="Arial Narrow"/>
                <w:color w:val="000000" w:themeColor="text1"/>
                <w:sz w:val="20"/>
                <w:szCs w:val="20"/>
              </w:rPr>
              <w:t>OR</w:t>
            </w:r>
          </w:p>
        </w:tc>
      </w:tr>
      <w:tr w:rsidR="000016D8" w:rsidRPr="00501E10" w14:paraId="12C63273" w14:textId="77777777" w:rsidTr="004F572F">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274" w:type="dxa"/>
            <w:gridSpan w:val="3"/>
            <w:vAlign w:val="center"/>
          </w:tcPr>
          <w:p w14:paraId="0CE68857" w14:textId="23A5946C" w:rsidR="000016D8" w:rsidRPr="006E2FFD" w:rsidRDefault="000016D8" w:rsidP="00213DD5">
            <w:pPr>
              <w:jc w:val="center"/>
              <w:rPr>
                <w:rFonts w:ascii="Arial Narrow" w:hAnsi="Arial Narrow"/>
                <w:sz w:val="20"/>
                <w:szCs w:val="20"/>
              </w:rPr>
            </w:pPr>
          </w:p>
        </w:tc>
        <w:tc>
          <w:tcPr>
            <w:tcW w:w="8086" w:type="dxa"/>
            <w:gridSpan w:val="7"/>
            <w:vAlign w:val="center"/>
          </w:tcPr>
          <w:p w14:paraId="030931C0" w14:textId="77777777" w:rsidR="000016D8" w:rsidRPr="006E2FFD" w:rsidRDefault="000016D8" w:rsidP="00213DD5">
            <w:pPr>
              <w:rPr>
                <w:rFonts w:ascii="Arial Narrow" w:hAnsi="Arial Narrow"/>
                <w:sz w:val="20"/>
                <w:szCs w:val="20"/>
              </w:rPr>
            </w:pPr>
            <w:r w:rsidRPr="006E2FFD">
              <w:rPr>
                <w:rFonts w:ascii="Arial Narrow" w:hAnsi="Arial Narrow"/>
                <w:i/>
                <w:iCs/>
                <w:sz w:val="20"/>
                <w:szCs w:val="20"/>
              </w:rPr>
              <w:t>Patient must have had</w:t>
            </w:r>
            <w:r w:rsidRPr="006E2FFD">
              <w:rPr>
                <w:rFonts w:ascii="Arial Narrow" w:hAnsi="Arial Narrow"/>
                <w:sz w:val="20"/>
                <w:szCs w:val="20"/>
              </w:rPr>
              <w:t xml:space="preserve"> prior emergency room/urgent care visits related to hypoparathyroidism in the previous 6 months </w:t>
            </w:r>
            <w:r w:rsidRPr="006E2FFD">
              <w:rPr>
                <w:rFonts w:ascii="Arial Narrow" w:hAnsi="Arial Narrow"/>
                <w:i/>
                <w:iCs/>
                <w:sz w:val="20"/>
                <w:szCs w:val="20"/>
              </w:rPr>
              <w:t xml:space="preserve">prior to initiating treatment with this drug; </w:t>
            </w:r>
            <w:r w:rsidRPr="006E2FFD">
              <w:rPr>
                <w:rFonts w:ascii="Arial Narrow" w:hAnsi="Arial Narrow"/>
                <w:sz w:val="20"/>
                <w:szCs w:val="20"/>
              </w:rPr>
              <w:t>OR</w:t>
            </w:r>
          </w:p>
        </w:tc>
      </w:tr>
      <w:tr w:rsidR="000016D8" w:rsidRPr="00501E10" w14:paraId="5177AD80" w14:textId="77777777" w:rsidTr="004F572F">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274" w:type="dxa"/>
            <w:gridSpan w:val="3"/>
            <w:vAlign w:val="center"/>
          </w:tcPr>
          <w:p w14:paraId="588A12E3" w14:textId="223BBC11" w:rsidR="000016D8" w:rsidRPr="006E2FFD" w:rsidRDefault="000016D8" w:rsidP="00213DD5">
            <w:pPr>
              <w:jc w:val="center"/>
              <w:rPr>
                <w:rFonts w:ascii="Arial Narrow" w:hAnsi="Arial Narrow"/>
                <w:sz w:val="20"/>
                <w:szCs w:val="20"/>
              </w:rPr>
            </w:pPr>
          </w:p>
        </w:tc>
        <w:tc>
          <w:tcPr>
            <w:tcW w:w="8086" w:type="dxa"/>
            <w:gridSpan w:val="7"/>
            <w:vAlign w:val="center"/>
          </w:tcPr>
          <w:p w14:paraId="44036648" w14:textId="77777777" w:rsidR="000016D8" w:rsidRPr="006E2FFD" w:rsidRDefault="000016D8" w:rsidP="00213DD5">
            <w:pPr>
              <w:rPr>
                <w:rFonts w:ascii="Arial Narrow" w:hAnsi="Arial Narrow"/>
                <w:i/>
                <w:iCs/>
                <w:sz w:val="20"/>
                <w:szCs w:val="20"/>
              </w:rPr>
            </w:pPr>
            <w:r w:rsidRPr="006E2FFD">
              <w:rPr>
                <w:rFonts w:ascii="Arial Narrow" w:hAnsi="Arial Narrow"/>
                <w:i/>
                <w:iCs/>
                <w:sz w:val="20"/>
                <w:szCs w:val="20"/>
              </w:rPr>
              <w:t>Patient must have had</w:t>
            </w:r>
            <w:r w:rsidRPr="006E2FFD">
              <w:rPr>
                <w:rFonts w:ascii="Arial Narrow" w:hAnsi="Arial Narrow"/>
                <w:sz w:val="20"/>
                <w:szCs w:val="20"/>
              </w:rPr>
              <w:t xml:space="preserve"> prior hospitalisations related to hypoparathyroidism in the previous 6 months </w:t>
            </w:r>
            <w:r w:rsidRPr="006E2FFD">
              <w:rPr>
                <w:rFonts w:ascii="Arial Narrow" w:hAnsi="Arial Narrow"/>
                <w:i/>
                <w:iCs/>
                <w:sz w:val="20"/>
                <w:szCs w:val="20"/>
              </w:rPr>
              <w:t xml:space="preserve">prior to initiating treatment with this drug; </w:t>
            </w:r>
            <w:r w:rsidRPr="006E2FFD">
              <w:rPr>
                <w:rFonts w:ascii="Arial Narrow" w:hAnsi="Arial Narrow"/>
                <w:sz w:val="20"/>
                <w:szCs w:val="20"/>
              </w:rPr>
              <w:t>OR</w:t>
            </w:r>
          </w:p>
        </w:tc>
      </w:tr>
      <w:tr w:rsidR="000016D8" w:rsidRPr="0030508E" w14:paraId="53DD217D" w14:textId="77777777" w:rsidTr="004F572F">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274" w:type="dxa"/>
            <w:gridSpan w:val="3"/>
            <w:vAlign w:val="center"/>
          </w:tcPr>
          <w:p w14:paraId="7747DD11" w14:textId="68AAA0EE" w:rsidR="000016D8" w:rsidRPr="0030508E" w:rsidRDefault="000016D8" w:rsidP="00213DD5">
            <w:pPr>
              <w:jc w:val="center"/>
              <w:rPr>
                <w:rFonts w:ascii="Arial Narrow" w:hAnsi="Arial Narrow"/>
                <w:color w:val="000000" w:themeColor="text1"/>
                <w:sz w:val="20"/>
                <w:szCs w:val="20"/>
              </w:rPr>
            </w:pPr>
          </w:p>
        </w:tc>
        <w:tc>
          <w:tcPr>
            <w:tcW w:w="8086" w:type="dxa"/>
            <w:gridSpan w:val="7"/>
            <w:vAlign w:val="center"/>
          </w:tcPr>
          <w:p w14:paraId="1AF8BFA7" w14:textId="77777777" w:rsidR="000016D8" w:rsidRPr="0030508E" w:rsidRDefault="000016D8" w:rsidP="00213DD5">
            <w:pPr>
              <w:rPr>
                <w:rFonts w:ascii="Arial Narrow" w:hAnsi="Arial Narrow"/>
                <w:color w:val="000000" w:themeColor="text1"/>
                <w:sz w:val="20"/>
                <w:szCs w:val="20"/>
              </w:rPr>
            </w:pPr>
            <w:r w:rsidRPr="0030508E">
              <w:rPr>
                <w:rFonts w:ascii="Arial Narrow" w:hAnsi="Arial Narrow"/>
                <w:color w:val="000000" w:themeColor="text1"/>
                <w:sz w:val="20"/>
                <w:szCs w:val="20"/>
              </w:rPr>
              <w:t>Patient must have had 24-hour urinary calcium level &gt; 7 mmol/24 hours</w:t>
            </w:r>
            <w:r>
              <w:rPr>
                <w:rFonts w:ascii="Arial Narrow" w:hAnsi="Arial Narrow"/>
                <w:color w:val="000000" w:themeColor="text1"/>
                <w:sz w:val="20"/>
                <w:szCs w:val="20"/>
              </w:rPr>
              <w:t>; OR</w:t>
            </w:r>
          </w:p>
        </w:tc>
      </w:tr>
      <w:tr w:rsidR="000016D8" w:rsidRPr="009D7775" w14:paraId="390CE116" w14:textId="77777777" w:rsidTr="004F572F">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274" w:type="dxa"/>
            <w:gridSpan w:val="3"/>
            <w:vAlign w:val="center"/>
          </w:tcPr>
          <w:p w14:paraId="655A9E9C" w14:textId="74ECB29C" w:rsidR="000016D8" w:rsidRPr="001F3C8A" w:rsidRDefault="000016D8" w:rsidP="00213DD5">
            <w:pPr>
              <w:jc w:val="center"/>
              <w:rPr>
                <w:rFonts w:ascii="Arial Narrow" w:hAnsi="Arial Narrow"/>
                <w:sz w:val="20"/>
                <w:szCs w:val="20"/>
              </w:rPr>
            </w:pPr>
          </w:p>
        </w:tc>
        <w:tc>
          <w:tcPr>
            <w:tcW w:w="8086" w:type="dxa"/>
            <w:gridSpan w:val="7"/>
            <w:vAlign w:val="center"/>
          </w:tcPr>
          <w:p w14:paraId="6083BD95" w14:textId="12D48920" w:rsidR="000016D8" w:rsidRPr="001F3C8A" w:rsidRDefault="000016D8" w:rsidP="00213DD5">
            <w:pPr>
              <w:rPr>
                <w:rFonts w:ascii="Arial Narrow" w:hAnsi="Arial Narrow"/>
                <w:sz w:val="20"/>
                <w:szCs w:val="20"/>
              </w:rPr>
            </w:pPr>
            <w:r w:rsidRPr="001F3C8A">
              <w:rPr>
                <w:rFonts w:ascii="Arial Narrow" w:hAnsi="Arial Narrow"/>
                <w:sz w:val="20"/>
                <w:szCs w:val="20"/>
              </w:rPr>
              <w:t xml:space="preserve">Patient must have a history of </w:t>
            </w:r>
            <w:r w:rsidR="00F772F7" w:rsidRPr="00F772F7">
              <w:rPr>
                <w:rFonts w:ascii="Arial Narrow" w:hAnsi="Arial Narrow"/>
                <w:i/>
                <w:iCs/>
                <w:sz w:val="20"/>
                <w:szCs w:val="20"/>
              </w:rPr>
              <w:t>one of</w:t>
            </w:r>
            <w:r w:rsidR="00F772F7">
              <w:rPr>
                <w:rFonts w:ascii="Arial Narrow" w:hAnsi="Arial Narrow"/>
                <w:sz w:val="20"/>
                <w:szCs w:val="20"/>
              </w:rPr>
              <w:t xml:space="preserve"> </w:t>
            </w:r>
            <w:r w:rsidR="001F3C8A" w:rsidRPr="001F3C8A">
              <w:rPr>
                <w:rFonts w:ascii="Arial Narrow" w:hAnsi="Arial Narrow"/>
                <w:i/>
                <w:iCs/>
                <w:sz w:val="20"/>
                <w:szCs w:val="20"/>
              </w:rPr>
              <w:t>(i)</w:t>
            </w:r>
            <w:r w:rsidR="001F3C8A">
              <w:rPr>
                <w:rFonts w:ascii="Arial Narrow" w:hAnsi="Arial Narrow"/>
                <w:sz w:val="20"/>
                <w:szCs w:val="20"/>
              </w:rPr>
              <w:t xml:space="preserve"> </w:t>
            </w:r>
            <w:r w:rsidRPr="001F3C8A">
              <w:rPr>
                <w:rFonts w:ascii="Arial Narrow" w:hAnsi="Arial Narrow"/>
                <w:sz w:val="20"/>
                <w:szCs w:val="20"/>
              </w:rPr>
              <w:t xml:space="preserve">nephrolithiasis, </w:t>
            </w:r>
            <w:r w:rsidRPr="001F3C8A">
              <w:rPr>
                <w:rFonts w:ascii="Arial Narrow" w:hAnsi="Arial Narrow"/>
                <w:strike/>
                <w:sz w:val="20"/>
                <w:szCs w:val="20"/>
              </w:rPr>
              <w:t>or a history of</w:t>
            </w:r>
            <w:r w:rsidRPr="001F3C8A">
              <w:rPr>
                <w:rFonts w:ascii="Arial Narrow" w:hAnsi="Arial Narrow"/>
                <w:sz w:val="20"/>
                <w:szCs w:val="20"/>
              </w:rPr>
              <w:t xml:space="preserve"> </w:t>
            </w:r>
            <w:r w:rsidR="001F3C8A" w:rsidRPr="001F3C8A">
              <w:rPr>
                <w:rFonts w:ascii="Arial Narrow" w:hAnsi="Arial Narrow"/>
                <w:i/>
                <w:iCs/>
                <w:sz w:val="20"/>
                <w:szCs w:val="20"/>
              </w:rPr>
              <w:t>(ii)</w:t>
            </w:r>
            <w:r w:rsidR="001F3C8A">
              <w:rPr>
                <w:rFonts w:ascii="Arial Narrow" w:hAnsi="Arial Narrow"/>
                <w:sz w:val="20"/>
                <w:szCs w:val="20"/>
              </w:rPr>
              <w:t xml:space="preserve"> </w:t>
            </w:r>
            <w:r w:rsidRPr="001F3C8A">
              <w:rPr>
                <w:rFonts w:ascii="Arial Narrow" w:hAnsi="Arial Narrow"/>
                <w:sz w:val="20"/>
                <w:szCs w:val="20"/>
              </w:rPr>
              <w:t xml:space="preserve">nephrocalcinosis, </w:t>
            </w:r>
            <w:r w:rsidRPr="001F3C8A">
              <w:rPr>
                <w:rFonts w:ascii="Arial Narrow" w:hAnsi="Arial Narrow"/>
                <w:strike/>
                <w:sz w:val="20"/>
                <w:szCs w:val="20"/>
              </w:rPr>
              <w:t>or</w:t>
            </w:r>
            <w:r w:rsidRPr="001F3C8A">
              <w:rPr>
                <w:rFonts w:ascii="Arial Narrow" w:hAnsi="Arial Narrow"/>
                <w:sz w:val="20"/>
                <w:szCs w:val="20"/>
              </w:rPr>
              <w:t xml:space="preserve"> </w:t>
            </w:r>
            <w:r w:rsidR="001F3C8A" w:rsidRPr="00354BB6">
              <w:rPr>
                <w:rFonts w:ascii="Arial Narrow" w:hAnsi="Arial Narrow"/>
                <w:i/>
                <w:iCs/>
                <w:sz w:val="20"/>
                <w:szCs w:val="20"/>
              </w:rPr>
              <w:t xml:space="preserve">(iii) </w:t>
            </w:r>
            <w:r w:rsidR="00354BB6" w:rsidRPr="00354BB6">
              <w:rPr>
                <w:rFonts w:ascii="Arial Narrow" w:hAnsi="Arial Narrow"/>
                <w:i/>
                <w:iCs/>
                <w:sz w:val="20"/>
                <w:szCs w:val="20"/>
              </w:rPr>
              <w:t>an estimated</w:t>
            </w:r>
            <w:r w:rsidR="00354BB6">
              <w:rPr>
                <w:rFonts w:ascii="Arial Narrow" w:hAnsi="Arial Narrow"/>
                <w:sz w:val="20"/>
                <w:szCs w:val="20"/>
              </w:rPr>
              <w:t xml:space="preserve"> </w:t>
            </w:r>
            <w:r w:rsidR="00354BB6" w:rsidRPr="00354BB6">
              <w:rPr>
                <w:rFonts w:ascii="Arial Narrow" w:hAnsi="Arial Narrow"/>
                <w:i/>
                <w:iCs/>
                <w:sz w:val="20"/>
                <w:szCs w:val="20"/>
              </w:rPr>
              <w:t>glomerular filtration rate (</w:t>
            </w:r>
            <w:r w:rsidRPr="001F3C8A">
              <w:rPr>
                <w:rFonts w:ascii="Arial Narrow" w:hAnsi="Arial Narrow"/>
                <w:sz w:val="20"/>
                <w:szCs w:val="20"/>
              </w:rPr>
              <w:t>eGFR</w:t>
            </w:r>
            <w:r w:rsidR="00354BB6" w:rsidRPr="00354BB6">
              <w:rPr>
                <w:rFonts w:ascii="Arial Narrow" w:hAnsi="Arial Narrow"/>
                <w:i/>
                <w:iCs/>
                <w:sz w:val="20"/>
                <w:szCs w:val="20"/>
              </w:rPr>
              <w:t>)</w:t>
            </w:r>
            <w:r w:rsidR="00354BB6">
              <w:rPr>
                <w:rFonts w:ascii="Arial Narrow" w:hAnsi="Arial Narrow"/>
                <w:sz w:val="20"/>
                <w:szCs w:val="20"/>
              </w:rPr>
              <w:t xml:space="preserve"> </w:t>
            </w:r>
            <w:r w:rsidRPr="00354BB6">
              <w:rPr>
                <w:rFonts w:ascii="Arial Narrow" w:hAnsi="Arial Narrow"/>
                <w:strike/>
                <w:sz w:val="20"/>
                <w:szCs w:val="20"/>
              </w:rPr>
              <w:t>&lt;</w:t>
            </w:r>
            <w:r w:rsidRPr="001F3C8A">
              <w:rPr>
                <w:rFonts w:ascii="Arial Narrow" w:hAnsi="Arial Narrow"/>
                <w:sz w:val="20"/>
                <w:szCs w:val="20"/>
              </w:rPr>
              <w:t xml:space="preserve"> </w:t>
            </w:r>
            <w:r w:rsidR="00354BB6" w:rsidRPr="00354BB6">
              <w:rPr>
                <w:rFonts w:ascii="Arial Narrow" w:hAnsi="Arial Narrow"/>
                <w:i/>
                <w:iCs/>
                <w:sz w:val="20"/>
                <w:szCs w:val="20"/>
              </w:rPr>
              <w:t>less than</w:t>
            </w:r>
            <w:r w:rsidR="00354BB6">
              <w:rPr>
                <w:rFonts w:ascii="Arial Narrow" w:hAnsi="Arial Narrow"/>
                <w:sz w:val="20"/>
                <w:szCs w:val="20"/>
              </w:rPr>
              <w:t xml:space="preserve"> </w:t>
            </w:r>
            <w:r w:rsidRPr="001F3C8A">
              <w:rPr>
                <w:rFonts w:ascii="Arial Narrow" w:hAnsi="Arial Narrow"/>
                <w:sz w:val="20"/>
                <w:szCs w:val="20"/>
              </w:rPr>
              <w:t>60 mL/min/1.73m</w:t>
            </w:r>
            <w:r w:rsidRPr="00354BB6">
              <w:rPr>
                <w:rFonts w:ascii="Arial Narrow" w:hAnsi="Arial Narrow"/>
                <w:sz w:val="20"/>
                <w:szCs w:val="20"/>
                <w:vertAlign w:val="superscript"/>
              </w:rPr>
              <w:t>2</w:t>
            </w:r>
            <w:r w:rsidRPr="001F3C8A">
              <w:rPr>
                <w:rFonts w:ascii="Arial Narrow" w:hAnsi="Arial Narrow"/>
                <w:sz w:val="20"/>
                <w:szCs w:val="20"/>
              </w:rPr>
              <w:t xml:space="preserve"> </w:t>
            </w:r>
            <w:r w:rsidRPr="00354BB6">
              <w:rPr>
                <w:rFonts w:ascii="Arial Narrow" w:hAnsi="Arial Narrow"/>
                <w:strike/>
                <w:sz w:val="20"/>
                <w:szCs w:val="20"/>
              </w:rPr>
              <w:t>(estimated glomerular filtration rate)</w:t>
            </w:r>
          </w:p>
        </w:tc>
      </w:tr>
      <w:tr w:rsidR="000016D8" w:rsidRPr="0030508E" w14:paraId="070579D2" w14:textId="77777777" w:rsidTr="004F572F">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274" w:type="dxa"/>
            <w:gridSpan w:val="3"/>
            <w:vAlign w:val="center"/>
          </w:tcPr>
          <w:p w14:paraId="3E23C84F" w14:textId="77777777" w:rsidR="000016D8" w:rsidRPr="009B11A5" w:rsidRDefault="000016D8" w:rsidP="00213DD5">
            <w:pPr>
              <w:jc w:val="center"/>
              <w:rPr>
                <w:rFonts w:ascii="Arial Narrow" w:hAnsi="Arial Narrow"/>
                <w:color w:val="000000" w:themeColor="text1"/>
                <w:sz w:val="20"/>
                <w:szCs w:val="20"/>
              </w:rPr>
            </w:pPr>
          </w:p>
        </w:tc>
        <w:tc>
          <w:tcPr>
            <w:tcW w:w="8086" w:type="dxa"/>
            <w:gridSpan w:val="7"/>
            <w:vAlign w:val="center"/>
          </w:tcPr>
          <w:p w14:paraId="7DC844D4" w14:textId="77777777" w:rsidR="000016D8" w:rsidRPr="009B11A5" w:rsidRDefault="000016D8" w:rsidP="00213DD5">
            <w:pPr>
              <w:rPr>
                <w:rFonts w:ascii="Arial Narrow" w:hAnsi="Arial Narrow"/>
                <w:color w:val="000000" w:themeColor="text1"/>
                <w:sz w:val="20"/>
                <w:szCs w:val="20"/>
              </w:rPr>
            </w:pPr>
            <w:r w:rsidRPr="009B11A5">
              <w:rPr>
                <w:rFonts w:ascii="Arial Narrow" w:hAnsi="Arial Narrow"/>
                <w:b/>
                <w:bCs/>
                <w:color w:val="000000" w:themeColor="text1"/>
                <w:sz w:val="20"/>
                <w:szCs w:val="20"/>
              </w:rPr>
              <w:t>AND</w:t>
            </w:r>
          </w:p>
        </w:tc>
      </w:tr>
      <w:tr w:rsidR="00F575EC" w:rsidRPr="00F575EC" w14:paraId="51CD455B" w14:textId="77777777" w:rsidTr="004F572F">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274" w:type="dxa"/>
            <w:gridSpan w:val="3"/>
            <w:vAlign w:val="center"/>
          </w:tcPr>
          <w:p w14:paraId="781F2A0E" w14:textId="378CF6F2" w:rsidR="000016D8" w:rsidRPr="009B11A5" w:rsidRDefault="000016D8" w:rsidP="00213DD5">
            <w:pPr>
              <w:jc w:val="center"/>
              <w:rPr>
                <w:rFonts w:ascii="Arial Narrow" w:hAnsi="Arial Narrow"/>
                <w:sz w:val="20"/>
                <w:szCs w:val="20"/>
              </w:rPr>
            </w:pPr>
          </w:p>
        </w:tc>
        <w:tc>
          <w:tcPr>
            <w:tcW w:w="8086" w:type="dxa"/>
            <w:gridSpan w:val="7"/>
            <w:vAlign w:val="center"/>
          </w:tcPr>
          <w:p w14:paraId="5E9D40D6" w14:textId="77777777" w:rsidR="000016D8" w:rsidRPr="009B11A5" w:rsidRDefault="000016D8" w:rsidP="00213DD5">
            <w:pPr>
              <w:rPr>
                <w:rFonts w:ascii="Arial Narrow" w:hAnsi="Arial Narrow"/>
                <w:b/>
                <w:bCs/>
                <w:sz w:val="20"/>
                <w:szCs w:val="20"/>
              </w:rPr>
            </w:pPr>
            <w:r w:rsidRPr="009B11A5">
              <w:rPr>
                <w:rFonts w:ascii="Arial Narrow" w:hAnsi="Arial Narrow"/>
                <w:b/>
                <w:bCs/>
                <w:sz w:val="20"/>
                <w:szCs w:val="20"/>
              </w:rPr>
              <w:t>Clinical Criteria</w:t>
            </w:r>
          </w:p>
        </w:tc>
      </w:tr>
      <w:tr w:rsidR="00F575EC" w:rsidRPr="00F575EC" w14:paraId="0F964344" w14:textId="77777777" w:rsidTr="004F572F">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274" w:type="dxa"/>
            <w:gridSpan w:val="3"/>
            <w:vAlign w:val="center"/>
          </w:tcPr>
          <w:p w14:paraId="4AEA9850" w14:textId="77777777" w:rsidR="000016D8" w:rsidRPr="00F575EC" w:rsidRDefault="000016D8" w:rsidP="00213DD5">
            <w:pPr>
              <w:jc w:val="center"/>
              <w:rPr>
                <w:rFonts w:ascii="Arial Narrow" w:hAnsi="Arial Narrow"/>
                <w:i/>
                <w:iCs/>
                <w:sz w:val="20"/>
                <w:szCs w:val="20"/>
              </w:rPr>
            </w:pPr>
          </w:p>
        </w:tc>
        <w:tc>
          <w:tcPr>
            <w:tcW w:w="8086" w:type="dxa"/>
            <w:gridSpan w:val="7"/>
            <w:vAlign w:val="center"/>
          </w:tcPr>
          <w:p w14:paraId="24E21041" w14:textId="3C528C8A" w:rsidR="000016D8" w:rsidRPr="009B11A5" w:rsidRDefault="00BF3EC6" w:rsidP="00213DD5">
            <w:pPr>
              <w:rPr>
                <w:rFonts w:ascii="Arial Narrow" w:hAnsi="Arial Narrow"/>
                <w:sz w:val="20"/>
                <w:szCs w:val="20"/>
              </w:rPr>
            </w:pPr>
            <w:r w:rsidRPr="009B11A5">
              <w:rPr>
                <w:rFonts w:ascii="Arial Narrow" w:hAnsi="Arial Narrow"/>
                <w:sz w:val="20"/>
                <w:szCs w:val="20"/>
              </w:rPr>
              <w:t xml:space="preserve">Patient must </w:t>
            </w:r>
            <w:r w:rsidR="006C1533" w:rsidRPr="009B11A5">
              <w:rPr>
                <w:rFonts w:ascii="Arial Narrow" w:hAnsi="Arial Narrow"/>
                <w:strike/>
                <w:sz w:val="20"/>
                <w:szCs w:val="20"/>
              </w:rPr>
              <w:t>not</w:t>
            </w:r>
            <w:r w:rsidR="006C1533" w:rsidRPr="009B11A5">
              <w:rPr>
                <w:rFonts w:ascii="Arial Narrow" w:hAnsi="Arial Narrow"/>
                <w:sz w:val="20"/>
                <w:szCs w:val="20"/>
              </w:rPr>
              <w:t xml:space="preserve"> have an estimated glomerular filtration rate (eGFR) of </w:t>
            </w:r>
            <w:r w:rsidR="006C1533" w:rsidRPr="009B11A5">
              <w:rPr>
                <w:rFonts w:ascii="Arial Narrow" w:hAnsi="Arial Narrow"/>
                <w:strike/>
                <w:sz w:val="20"/>
                <w:szCs w:val="20"/>
              </w:rPr>
              <w:t>less than or equal to</w:t>
            </w:r>
            <w:r w:rsidR="00F575EC" w:rsidRPr="009B11A5">
              <w:rPr>
                <w:rFonts w:ascii="Arial Narrow" w:hAnsi="Arial Narrow"/>
                <w:sz w:val="20"/>
                <w:szCs w:val="20"/>
              </w:rPr>
              <w:t xml:space="preserve"> greater than</w:t>
            </w:r>
            <w:r w:rsidR="006C1533" w:rsidRPr="009B11A5">
              <w:rPr>
                <w:rFonts w:ascii="Arial Narrow" w:hAnsi="Arial Narrow"/>
                <w:sz w:val="20"/>
                <w:szCs w:val="20"/>
              </w:rPr>
              <w:t xml:space="preserve"> 30 mL/min/1.73 m</w:t>
            </w:r>
            <w:r w:rsidR="00F575EC" w:rsidRPr="009B11A5">
              <w:rPr>
                <w:rFonts w:ascii="Arial Narrow" w:hAnsi="Arial Narrow"/>
                <w:sz w:val="20"/>
                <w:szCs w:val="20"/>
                <w:vertAlign w:val="superscript"/>
              </w:rPr>
              <w:t>2</w:t>
            </w:r>
            <w:r w:rsidR="00F575EC" w:rsidRPr="009B11A5">
              <w:rPr>
                <w:rFonts w:ascii="Arial Narrow" w:hAnsi="Arial Narrow"/>
                <w:sz w:val="20"/>
                <w:szCs w:val="20"/>
              </w:rPr>
              <w:t xml:space="preserve"> </w:t>
            </w:r>
            <w:r w:rsidR="00F575EC" w:rsidRPr="009B11A5">
              <w:rPr>
                <w:rFonts w:ascii="Arial Narrow" w:hAnsi="Arial Narrow"/>
                <w:strike/>
                <w:sz w:val="20"/>
                <w:szCs w:val="20"/>
              </w:rPr>
              <w:t>(estimated glomerular filtration rate)</w:t>
            </w:r>
          </w:p>
        </w:tc>
      </w:tr>
      <w:tr w:rsidR="000016D8" w:rsidRPr="00B10B7D" w14:paraId="20908EEF" w14:textId="77777777" w:rsidTr="004F572F">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274" w:type="dxa"/>
            <w:gridSpan w:val="3"/>
            <w:vAlign w:val="center"/>
          </w:tcPr>
          <w:p w14:paraId="129F3D48" w14:textId="77777777" w:rsidR="000016D8" w:rsidRPr="00B10B7D" w:rsidRDefault="000016D8" w:rsidP="00213DD5">
            <w:pPr>
              <w:jc w:val="center"/>
              <w:rPr>
                <w:rFonts w:ascii="Arial Narrow" w:hAnsi="Arial Narrow"/>
                <w:i/>
                <w:iCs/>
                <w:color w:val="FF0000"/>
                <w:sz w:val="20"/>
                <w:szCs w:val="20"/>
              </w:rPr>
            </w:pPr>
          </w:p>
        </w:tc>
        <w:tc>
          <w:tcPr>
            <w:tcW w:w="8086" w:type="dxa"/>
            <w:gridSpan w:val="7"/>
            <w:vAlign w:val="center"/>
          </w:tcPr>
          <w:p w14:paraId="01FEA1C4" w14:textId="77777777" w:rsidR="000016D8" w:rsidRPr="00F772F7" w:rsidRDefault="000016D8" w:rsidP="00213DD5">
            <w:pPr>
              <w:rPr>
                <w:rFonts w:ascii="Arial Narrow" w:hAnsi="Arial Narrow"/>
                <w:b/>
                <w:bCs/>
                <w:color w:val="FF0000"/>
                <w:sz w:val="20"/>
                <w:szCs w:val="20"/>
              </w:rPr>
            </w:pPr>
            <w:r w:rsidRPr="00F772F7">
              <w:rPr>
                <w:rFonts w:ascii="Arial Narrow" w:hAnsi="Arial Narrow"/>
                <w:b/>
                <w:bCs/>
                <w:sz w:val="20"/>
                <w:szCs w:val="20"/>
              </w:rPr>
              <w:t>AND</w:t>
            </w:r>
          </w:p>
        </w:tc>
      </w:tr>
      <w:tr w:rsidR="00216C36" w:rsidRPr="0030508E" w14:paraId="60215044" w14:textId="77777777" w:rsidTr="004F572F">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274" w:type="dxa"/>
            <w:gridSpan w:val="3"/>
            <w:vAlign w:val="center"/>
          </w:tcPr>
          <w:p w14:paraId="64C8192D" w14:textId="35EA6786" w:rsidR="00216C36" w:rsidRPr="0030508E" w:rsidRDefault="00216C36" w:rsidP="00213DD5">
            <w:pPr>
              <w:jc w:val="center"/>
              <w:rPr>
                <w:rFonts w:ascii="Arial Narrow" w:hAnsi="Arial Narrow"/>
                <w:color w:val="000000" w:themeColor="text1"/>
                <w:sz w:val="20"/>
                <w:szCs w:val="20"/>
              </w:rPr>
            </w:pPr>
          </w:p>
        </w:tc>
        <w:tc>
          <w:tcPr>
            <w:tcW w:w="8086" w:type="dxa"/>
            <w:gridSpan w:val="7"/>
            <w:vAlign w:val="center"/>
          </w:tcPr>
          <w:p w14:paraId="6B7AC696" w14:textId="77777777" w:rsidR="00216C36" w:rsidRPr="0030508E" w:rsidRDefault="00216C36" w:rsidP="00213DD5">
            <w:pPr>
              <w:rPr>
                <w:rFonts w:ascii="Arial Narrow" w:hAnsi="Arial Narrow"/>
                <w:b/>
                <w:bCs/>
                <w:color w:val="000000" w:themeColor="text1"/>
                <w:sz w:val="20"/>
                <w:szCs w:val="20"/>
              </w:rPr>
            </w:pPr>
            <w:r w:rsidRPr="0030508E">
              <w:rPr>
                <w:rFonts w:ascii="Arial Narrow" w:hAnsi="Arial Narrow"/>
                <w:b/>
                <w:bCs/>
                <w:color w:val="000000" w:themeColor="text1"/>
                <w:sz w:val="20"/>
                <w:szCs w:val="20"/>
              </w:rPr>
              <w:t>Clinical criteria:</w:t>
            </w:r>
          </w:p>
        </w:tc>
      </w:tr>
      <w:tr w:rsidR="00216C36" w:rsidRPr="0030508E" w14:paraId="2E6D9EDE" w14:textId="77777777" w:rsidTr="004F572F">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274" w:type="dxa"/>
            <w:gridSpan w:val="3"/>
            <w:vAlign w:val="center"/>
          </w:tcPr>
          <w:p w14:paraId="79113091" w14:textId="7C924FB3" w:rsidR="00216C36" w:rsidRPr="0030508E" w:rsidRDefault="00216C36" w:rsidP="00213DD5">
            <w:pPr>
              <w:jc w:val="center"/>
              <w:rPr>
                <w:rFonts w:ascii="Arial Narrow" w:hAnsi="Arial Narrow"/>
                <w:color w:val="000000" w:themeColor="text1"/>
                <w:sz w:val="20"/>
                <w:szCs w:val="20"/>
              </w:rPr>
            </w:pPr>
          </w:p>
        </w:tc>
        <w:tc>
          <w:tcPr>
            <w:tcW w:w="8086" w:type="dxa"/>
            <w:gridSpan w:val="7"/>
            <w:vAlign w:val="center"/>
          </w:tcPr>
          <w:p w14:paraId="23813226" w14:textId="77777777" w:rsidR="00216C36" w:rsidRPr="0030508E" w:rsidRDefault="00216C36" w:rsidP="00213DD5">
            <w:pPr>
              <w:rPr>
                <w:rFonts w:ascii="Arial Narrow" w:hAnsi="Arial Narrow"/>
                <w:color w:val="000000" w:themeColor="text1"/>
                <w:sz w:val="20"/>
                <w:szCs w:val="20"/>
              </w:rPr>
            </w:pPr>
            <w:r w:rsidRPr="0030508E">
              <w:rPr>
                <w:rFonts w:ascii="Arial Narrow" w:hAnsi="Arial Narrow"/>
                <w:color w:val="000000" w:themeColor="text1"/>
                <w:sz w:val="20"/>
                <w:szCs w:val="20"/>
              </w:rPr>
              <w:t>Patient must not receive more than 26 weeks of treatment under this restriction.</w:t>
            </w:r>
          </w:p>
        </w:tc>
      </w:tr>
      <w:tr w:rsidR="00216C36" w:rsidRPr="0030508E" w14:paraId="35FF0516" w14:textId="77777777" w:rsidTr="004F572F">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274" w:type="dxa"/>
            <w:gridSpan w:val="3"/>
            <w:vAlign w:val="center"/>
          </w:tcPr>
          <w:p w14:paraId="0F271036" w14:textId="140885EF" w:rsidR="00216C36" w:rsidRPr="0030508E" w:rsidRDefault="00216C36" w:rsidP="00213DD5">
            <w:pPr>
              <w:keepNext/>
              <w:jc w:val="center"/>
              <w:rPr>
                <w:rFonts w:ascii="Arial Narrow" w:hAnsi="Arial Narrow"/>
                <w:color w:val="000000" w:themeColor="text1"/>
                <w:sz w:val="20"/>
                <w:szCs w:val="20"/>
              </w:rPr>
            </w:pPr>
          </w:p>
        </w:tc>
        <w:tc>
          <w:tcPr>
            <w:tcW w:w="8086" w:type="dxa"/>
            <w:gridSpan w:val="7"/>
            <w:vAlign w:val="center"/>
            <w:hideMark/>
          </w:tcPr>
          <w:p w14:paraId="68A5A6DB" w14:textId="77777777" w:rsidR="00216C36" w:rsidRPr="0030508E" w:rsidRDefault="00216C36" w:rsidP="00213DD5">
            <w:pPr>
              <w:keepNext/>
              <w:rPr>
                <w:rFonts w:ascii="Arial Narrow" w:hAnsi="Arial Narrow"/>
                <w:color w:val="000000" w:themeColor="text1"/>
                <w:sz w:val="20"/>
                <w:szCs w:val="20"/>
              </w:rPr>
            </w:pPr>
            <w:r w:rsidRPr="0030508E">
              <w:rPr>
                <w:rFonts w:ascii="Arial Narrow" w:hAnsi="Arial Narrow"/>
                <w:b/>
                <w:bCs/>
                <w:color w:val="000000" w:themeColor="text1"/>
                <w:sz w:val="20"/>
                <w:szCs w:val="20"/>
              </w:rPr>
              <w:t>Treatment criteria:</w:t>
            </w:r>
          </w:p>
        </w:tc>
      </w:tr>
      <w:tr w:rsidR="00216C36" w:rsidRPr="0030508E" w14:paraId="7092AA39" w14:textId="77777777" w:rsidTr="004F572F">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274" w:type="dxa"/>
            <w:gridSpan w:val="3"/>
            <w:vAlign w:val="center"/>
          </w:tcPr>
          <w:p w14:paraId="1372FB8E" w14:textId="2606D7B3" w:rsidR="00216C36" w:rsidRPr="00DA6E79" w:rsidRDefault="00216C36" w:rsidP="00213DD5">
            <w:pPr>
              <w:keepNext/>
              <w:jc w:val="center"/>
              <w:rPr>
                <w:rFonts w:ascii="Arial Narrow" w:hAnsi="Arial Narrow"/>
                <w:sz w:val="20"/>
                <w:szCs w:val="20"/>
              </w:rPr>
            </w:pPr>
          </w:p>
        </w:tc>
        <w:tc>
          <w:tcPr>
            <w:tcW w:w="8086" w:type="dxa"/>
            <w:gridSpan w:val="7"/>
            <w:vAlign w:val="center"/>
          </w:tcPr>
          <w:p w14:paraId="3D2932E7" w14:textId="78AE177D" w:rsidR="00216C36" w:rsidRPr="00DA6E79" w:rsidRDefault="00216C36" w:rsidP="00213DD5">
            <w:pPr>
              <w:keepNext/>
              <w:rPr>
                <w:rFonts w:ascii="Arial Narrow" w:hAnsi="Arial Narrow"/>
                <w:sz w:val="20"/>
                <w:szCs w:val="20"/>
              </w:rPr>
            </w:pPr>
            <w:r w:rsidRPr="00DA6E79">
              <w:rPr>
                <w:rFonts w:ascii="Arial Narrow" w:hAnsi="Arial Narrow"/>
                <w:sz w:val="20"/>
                <w:szCs w:val="20"/>
              </w:rPr>
              <w:t xml:space="preserve">Must be treated by </w:t>
            </w:r>
            <w:r w:rsidRPr="00DA6E79">
              <w:rPr>
                <w:rFonts w:ascii="Arial Narrow" w:hAnsi="Arial Narrow"/>
                <w:i/>
                <w:iCs/>
                <w:sz w:val="20"/>
                <w:szCs w:val="20"/>
              </w:rPr>
              <w:t>either (i)</w:t>
            </w:r>
            <w:r w:rsidRPr="00DA6E79">
              <w:rPr>
                <w:rFonts w:ascii="Arial Narrow" w:hAnsi="Arial Narrow"/>
                <w:sz w:val="20"/>
                <w:szCs w:val="20"/>
              </w:rPr>
              <w:t xml:space="preserve"> an</w:t>
            </w:r>
            <w:r w:rsidRPr="00DA6E79">
              <w:rPr>
                <w:rFonts w:ascii="Arial Narrow" w:hAnsi="Arial Narrow"/>
                <w:i/>
                <w:iCs/>
                <w:sz w:val="20"/>
                <w:szCs w:val="20"/>
              </w:rPr>
              <w:t xml:space="preserve"> </w:t>
            </w:r>
            <w:r w:rsidRPr="00DA6E79">
              <w:rPr>
                <w:rFonts w:ascii="Arial Narrow" w:hAnsi="Arial Narrow"/>
                <w:sz w:val="20"/>
                <w:szCs w:val="20"/>
              </w:rPr>
              <w:t>endocrinologist</w:t>
            </w:r>
            <w:r w:rsidRPr="00DA6E79">
              <w:rPr>
                <w:rFonts w:ascii="Arial Narrow" w:hAnsi="Arial Narrow"/>
                <w:i/>
                <w:iCs/>
                <w:sz w:val="20"/>
                <w:szCs w:val="20"/>
              </w:rPr>
              <w:t xml:space="preserve">, </w:t>
            </w:r>
            <w:r w:rsidRPr="009B11A5">
              <w:rPr>
                <w:rFonts w:ascii="Arial Narrow" w:hAnsi="Arial Narrow"/>
                <w:i/>
                <w:iCs/>
                <w:sz w:val="20"/>
                <w:szCs w:val="20"/>
              </w:rPr>
              <w:t>(ii)</w:t>
            </w:r>
            <w:r w:rsidRPr="009B11A5">
              <w:rPr>
                <w:rFonts w:ascii="Arial Narrow" w:hAnsi="Arial Narrow"/>
                <w:sz w:val="20"/>
                <w:szCs w:val="20"/>
              </w:rPr>
              <w:t xml:space="preserve"> a </w:t>
            </w:r>
            <w:r w:rsidRPr="009B11A5">
              <w:rPr>
                <w:rFonts w:ascii="Arial Narrow" w:hAnsi="Arial Narrow"/>
                <w:i/>
                <w:iCs/>
                <w:sz w:val="20"/>
                <w:szCs w:val="20"/>
              </w:rPr>
              <w:t xml:space="preserve">medical </w:t>
            </w:r>
            <w:r w:rsidRPr="009B11A5">
              <w:rPr>
                <w:rFonts w:ascii="Arial Narrow" w:hAnsi="Arial Narrow"/>
                <w:sz w:val="20"/>
                <w:szCs w:val="20"/>
              </w:rPr>
              <w:t xml:space="preserve">specialist experienced in the </w:t>
            </w:r>
            <w:r w:rsidRPr="009B11A5">
              <w:rPr>
                <w:rFonts w:ascii="Arial Narrow" w:hAnsi="Arial Narrow"/>
                <w:strike/>
                <w:sz w:val="20"/>
                <w:szCs w:val="20"/>
              </w:rPr>
              <w:t xml:space="preserve">treatment </w:t>
            </w:r>
            <w:r w:rsidRPr="009B11A5">
              <w:rPr>
                <w:rFonts w:ascii="Arial Narrow" w:hAnsi="Arial Narrow"/>
                <w:sz w:val="20"/>
                <w:szCs w:val="20"/>
              </w:rPr>
              <w:t>management of hypoparathyroidism</w:t>
            </w:r>
            <w:r w:rsidRPr="00DA6E79">
              <w:rPr>
                <w:rFonts w:ascii="Arial Narrow" w:hAnsi="Arial Narrow"/>
                <w:i/>
                <w:iCs/>
                <w:sz w:val="20"/>
                <w:szCs w:val="20"/>
              </w:rPr>
              <w:t xml:space="preserve"> </w:t>
            </w:r>
          </w:p>
        </w:tc>
      </w:tr>
      <w:tr w:rsidR="00216C36" w:rsidRPr="0030508E" w14:paraId="77023B2B" w14:textId="77777777" w:rsidTr="004F572F">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9360" w:type="dxa"/>
            <w:gridSpan w:val="10"/>
            <w:vAlign w:val="center"/>
          </w:tcPr>
          <w:p w14:paraId="213485EB" w14:textId="77777777" w:rsidR="00216C36" w:rsidRPr="0030508E" w:rsidRDefault="00216C36" w:rsidP="00213DD5">
            <w:pPr>
              <w:rPr>
                <w:rFonts w:ascii="Arial Narrow" w:hAnsi="Arial Narrow"/>
                <w:bCs/>
                <w:color w:val="000000" w:themeColor="text1"/>
                <w:sz w:val="20"/>
                <w:szCs w:val="20"/>
              </w:rPr>
            </w:pPr>
          </w:p>
        </w:tc>
      </w:tr>
      <w:tr w:rsidR="00216C36" w:rsidRPr="0030508E" w14:paraId="7032064F" w14:textId="77777777" w:rsidTr="004F572F">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9360" w:type="dxa"/>
            <w:gridSpan w:val="10"/>
            <w:vAlign w:val="center"/>
          </w:tcPr>
          <w:p w14:paraId="2BA4E6AB" w14:textId="77777777" w:rsidR="00216C36" w:rsidRPr="0030508E" w:rsidRDefault="00216C36" w:rsidP="00213DD5">
            <w:pPr>
              <w:keepNext/>
              <w:keepLines/>
              <w:rPr>
                <w:rFonts w:ascii="Arial Narrow" w:hAnsi="Arial Narrow"/>
                <w:b/>
                <w:bCs/>
                <w:color w:val="000000" w:themeColor="text1"/>
                <w:sz w:val="20"/>
                <w:szCs w:val="20"/>
              </w:rPr>
            </w:pPr>
            <w:r w:rsidRPr="0030508E">
              <w:rPr>
                <w:rFonts w:ascii="Arial Narrow" w:hAnsi="Arial Narrow"/>
                <w:b/>
                <w:bCs/>
                <w:color w:val="000000" w:themeColor="text1"/>
                <w:sz w:val="20"/>
                <w:szCs w:val="20"/>
              </w:rPr>
              <w:t xml:space="preserve">Restriction Summary [new2] / Treatment of Concept: [new2A] </w:t>
            </w:r>
          </w:p>
        </w:tc>
      </w:tr>
      <w:tr w:rsidR="00216C36" w:rsidRPr="0030508E" w14:paraId="6C92AEF1" w14:textId="77777777" w:rsidTr="004F572F">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274" w:type="dxa"/>
            <w:gridSpan w:val="3"/>
            <w:vMerge w:val="restart"/>
            <w:tcBorders>
              <w:top w:val="single" w:sz="4" w:space="0" w:color="auto"/>
              <w:left w:val="single" w:sz="4" w:space="0" w:color="auto"/>
              <w:right w:val="single" w:sz="4" w:space="0" w:color="auto"/>
            </w:tcBorders>
          </w:tcPr>
          <w:p w14:paraId="4A28FCE2" w14:textId="77777777" w:rsidR="00216C36" w:rsidRPr="0030508E" w:rsidRDefault="00216C36" w:rsidP="00213DD5">
            <w:pPr>
              <w:jc w:val="center"/>
              <w:rPr>
                <w:rFonts w:ascii="Arial Narrow" w:hAnsi="Arial Narrow"/>
                <w:b/>
                <w:color w:val="000000" w:themeColor="text1"/>
                <w:sz w:val="20"/>
                <w:szCs w:val="20"/>
              </w:rPr>
            </w:pPr>
            <w:r w:rsidRPr="0030508E">
              <w:rPr>
                <w:rFonts w:ascii="Arial Narrow" w:hAnsi="Arial Narrow"/>
                <w:b/>
                <w:color w:val="000000" w:themeColor="text1"/>
                <w:sz w:val="20"/>
                <w:szCs w:val="20"/>
              </w:rPr>
              <w:t>Concept ID</w:t>
            </w:r>
            <w:r w:rsidRPr="0030508E">
              <w:rPr>
                <w:rFonts w:ascii="Arial Narrow" w:hAnsi="Arial Narrow"/>
                <w:b/>
                <w:color w:val="000000" w:themeColor="text1"/>
                <w:sz w:val="20"/>
                <w:szCs w:val="20"/>
              </w:rPr>
              <w:br/>
            </w:r>
            <w:r w:rsidRPr="0030508E">
              <w:rPr>
                <w:rFonts w:ascii="Arial Narrow" w:hAnsi="Arial Narrow"/>
                <w:color w:val="000000" w:themeColor="text1"/>
                <w:sz w:val="20"/>
                <w:szCs w:val="20"/>
              </w:rPr>
              <w:t>(for internal Dept. use)</w:t>
            </w:r>
          </w:p>
        </w:tc>
        <w:tc>
          <w:tcPr>
            <w:tcW w:w="8086" w:type="dxa"/>
            <w:gridSpan w:val="7"/>
            <w:tcBorders>
              <w:top w:val="single" w:sz="4" w:space="0" w:color="auto"/>
              <w:left w:val="single" w:sz="4" w:space="0" w:color="auto"/>
              <w:bottom w:val="single" w:sz="4" w:space="0" w:color="auto"/>
              <w:right w:val="single" w:sz="4" w:space="0" w:color="auto"/>
            </w:tcBorders>
            <w:vAlign w:val="center"/>
          </w:tcPr>
          <w:p w14:paraId="217A516E" w14:textId="77777777" w:rsidR="00216C36" w:rsidRPr="0030508E" w:rsidRDefault="00216C36" w:rsidP="00213DD5">
            <w:pPr>
              <w:keepLines/>
              <w:rPr>
                <w:rFonts w:ascii="Arial Narrow" w:hAnsi="Arial Narrow"/>
                <w:color w:val="000000" w:themeColor="text1"/>
                <w:sz w:val="20"/>
                <w:szCs w:val="20"/>
              </w:rPr>
            </w:pPr>
            <w:r w:rsidRPr="0030508E">
              <w:rPr>
                <w:rFonts w:ascii="Arial Narrow" w:hAnsi="Arial Narrow"/>
                <w:b/>
                <w:color w:val="000000" w:themeColor="text1"/>
                <w:sz w:val="20"/>
                <w:szCs w:val="20"/>
              </w:rPr>
              <w:t>Category / Program:</w:t>
            </w:r>
            <w:r w:rsidRPr="0030508E">
              <w:rPr>
                <w:rFonts w:ascii="Arial Narrow" w:hAnsi="Arial Narrow"/>
                <w:color w:val="000000" w:themeColor="text1"/>
                <w:sz w:val="20"/>
                <w:szCs w:val="20"/>
              </w:rPr>
              <w:t xml:space="preserve"> </w:t>
            </w:r>
            <w:r w:rsidRPr="0030508E">
              <w:rPr>
                <w:rFonts w:ascii="Arial Narrow" w:eastAsia="Calibri" w:hAnsi="Arial Narrow"/>
                <w:color w:val="000000" w:themeColor="text1"/>
                <w:sz w:val="20"/>
                <w:szCs w:val="20"/>
              </w:rPr>
              <w:fldChar w:fldCharType="begin">
                <w:ffData>
                  <w:name w:val=""/>
                  <w:enabled/>
                  <w:calcOnExit w:val="0"/>
                  <w:checkBox>
                    <w:sizeAuto/>
                    <w:default w:val="1"/>
                  </w:checkBox>
                </w:ffData>
              </w:fldChar>
            </w:r>
            <w:r w:rsidRPr="0030508E">
              <w:rPr>
                <w:rFonts w:ascii="Arial Narrow" w:eastAsia="Calibri" w:hAnsi="Arial Narrow"/>
                <w:color w:val="000000" w:themeColor="text1"/>
                <w:sz w:val="20"/>
                <w:szCs w:val="20"/>
              </w:rPr>
              <w:instrText xml:space="preserve"> FORMCHECKBOX </w:instrText>
            </w:r>
            <w:r w:rsidRPr="0030508E">
              <w:rPr>
                <w:rFonts w:ascii="Arial Narrow" w:eastAsia="Calibri" w:hAnsi="Arial Narrow"/>
                <w:color w:val="000000" w:themeColor="text1"/>
                <w:sz w:val="20"/>
                <w:szCs w:val="20"/>
              </w:rPr>
            </w:r>
            <w:r w:rsidRPr="0030508E">
              <w:rPr>
                <w:rFonts w:ascii="Arial Narrow" w:eastAsia="Calibri" w:hAnsi="Arial Narrow"/>
                <w:color w:val="000000" w:themeColor="text1"/>
                <w:sz w:val="20"/>
                <w:szCs w:val="20"/>
              </w:rPr>
              <w:fldChar w:fldCharType="separate"/>
            </w:r>
            <w:r w:rsidRPr="0030508E">
              <w:rPr>
                <w:rFonts w:ascii="Arial Narrow" w:eastAsia="Calibri" w:hAnsi="Arial Narrow"/>
                <w:color w:val="000000" w:themeColor="text1"/>
                <w:sz w:val="20"/>
                <w:szCs w:val="20"/>
              </w:rPr>
              <w:fldChar w:fldCharType="end"/>
            </w:r>
            <w:r w:rsidRPr="0030508E">
              <w:rPr>
                <w:rFonts w:ascii="Arial Narrow" w:eastAsia="Calibri" w:hAnsi="Arial Narrow"/>
                <w:color w:val="000000" w:themeColor="text1"/>
                <w:sz w:val="20"/>
                <w:szCs w:val="20"/>
              </w:rPr>
              <w:t xml:space="preserve"> GENERAL - General Schedule (Code GE) </w:t>
            </w:r>
          </w:p>
        </w:tc>
      </w:tr>
      <w:tr w:rsidR="00216C36" w:rsidRPr="0030508E" w14:paraId="5E360BBD" w14:textId="77777777" w:rsidTr="004F572F">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274" w:type="dxa"/>
            <w:gridSpan w:val="3"/>
            <w:vMerge/>
          </w:tcPr>
          <w:p w14:paraId="524E466A" w14:textId="77777777" w:rsidR="00216C36" w:rsidRPr="0030508E" w:rsidRDefault="00216C36" w:rsidP="00213DD5">
            <w:pPr>
              <w:rPr>
                <w:rFonts w:ascii="Arial Narrow" w:hAnsi="Arial Narrow"/>
                <w:color w:val="000000" w:themeColor="text1"/>
                <w:sz w:val="20"/>
                <w:szCs w:val="20"/>
              </w:rPr>
            </w:pPr>
          </w:p>
        </w:tc>
        <w:tc>
          <w:tcPr>
            <w:tcW w:w="8086" w:type="dxa"/>
            <w:gridSpan w:val="7"/>
            <w:tcBorders>
              <w:top w:val="single" w:sz="4" w:space="0" w:color="auto"/>
              <w:left w:val="single" w:sz="4" w:space="0" w:color="auto"/>
              <w:bottom w:val="single" w:sz="4" w:space="0" w:color="auto"/>
              <w:right w:val="single" w:sz="4" w:space="0" w:color="auto"/>
            </w:tcBorders>
            <w:vAlign w:val="center"/>
          </w:tcPr>
          <w:p w14:paraId="1FF03BE2" w14:textId="77777777" w:rsidR="00216C36" w:rsidRPr="0030508E" w:rsidRDefault="00216C36" w:rsidP="00213DD5">
            <w:pPr>
              <w:keepNext/>
              <w:keepLines/>
              <w:rPr>
                <w:rFonts w:ascii="Arial Narrow" w:hAnsi="Arial Narrow"/>
                <w:b/>
                <w:color w:val="000000" w:themeColor="text1"/>
                <w:sz w:val="20"/>
                <w:szCs w:val="20"/>
              </w:rPr>
            </w:pPr>
            <w:r w:rsidRPr="0030508E">
              <w:rPr>
                <w:rFonts w:ascii="Arial Narrow" w:hAnsi="Arial Narrow"/>
                <w:b/>
                <w:color w:val="000000" w:themeColor="text1"/>
                <w:sz w:val="20"/>
                <w:szCs w:val="20"/>
              </w:rPr>
              <w:t xml:space="preserve">Prescriber type: </w:t>
            </w:r>
            <w:r w:rsidRPr="0030508E">
              <w:rPr>
                <w:rFonts w:ascii="Arial Narrow" w:hAnsi="Arial Narrow"/>
                <w:color w:val="000000" w:themeColor="text1"/>
                <w:sz w:val="20"/>
                <w:szCs w:val="20"/>
              </w:rPr>
              <w:fldChar w:fldCharType="begin">
                <w:ffData>
                  <w:name w:val=""/>
                  <w:enabled/>
                  <w:calcOnExit w:val="0"/>
                  <w:checkBox>
                    <w:sizeAuto/>
                    <w:default w:val="1"/>
                  </w:checkBox>
                </w:ffData>
              </w:fldChar>
            </w:r>
            <w:r w:rsidRPr="0030508E">
              <w:rPr>
                <w:rFonts w:ascii="Arial Narrow" w:hAnsi="Arial Narrow"/>
                <w:color w:val="000000" w:themeColor="text1"/>
                <w:sz w:val="20"/>
                <w:szCs w:val="20"/>
              </w:rPr>
              <w:instrText xml:space="preserve"> FORMCHECKBOX </w:instrText>
            </w:r>
            <w:r w:rsidRPr="0030508E">
              <w:rPr>
                <w:rFonts w:ascii="Arial Narrow" w:hAnsi="Arial Narrow"/>
                <w:color w:val="000000" w:themeColor="text1"/>
                <w:sz w:val="20"/>
                <w:szCs w:val="20"/>
              </w:rPr>
            </w:r>
            <w:r w:rsidRPr="0030508E">
              <w:rPr>
                <w:rFonts w:ascii="Arial Narrow" w:hAnsi="Arial Narrow"/>
                <w:color w:val="000000" w:themeColor="text1"/>
                <w:sz w:val="20"/>
                <w:szCs w:val="20"/>
              </w:rPr>
              <w:fldChar w:fldCharType="separate"/>
            </w:r>
            <w:r w:rsidRPr="0030508E">
              <w:rPr>
                <w:rFonts w:ascii="Arial Narrow" w:hAnsi="Arial Narrow"/>
                <w:color w:val="000000" w:themeColor="text1"/>
                <w:sz w:val="20"/>
                <w:szCs w:val="20"/>
              </w:rPr>
              <w:fldChar w:fldCharType="end"/>
            </w:r>
            <w:r w:rsidRPr="0030508E">
              <w:rPr>
                <w:rFonts w:ascii="Arial Narrow" w:hAnsi="Arial Narrow"/>
                <w:color w:val="000000" w:themeColor="text1"/>
                <w:sz w:val="20"/>
                <w:szCs w:val="20"/>
              </w:rPr>
              <w:t xml:space="preserve">Medical Practitioners </w:t>
            </w:r>
          </w:p>
        </w:tc>
      </w:tr>
      <w:tr w:rsidR="00216C36" w:rsidRPr="0030508E" w14:paraId="33158CB4" w14:textId="77777777" w:rsidTr="004F572F">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274" w:type="dxa"/>
            <w:gridSpan w:val="3"/>
            <w:vMerge/>
          </w:tcPr>
          <w:p w14:paraId="5A6D4C2B" w14:textId="77777777" w:rsidR="00216C36" w:rsidRPr="0030508E" w:rsidRDefault="00216C36" w:rsidP="00213DD5">
            <w:pPr>
              <w:rPr>
                <w:rFonts w:ascii="Arial Narrow" w:hAnsi="Arial Narrow"/>
                <w:color w:val="000000" w:themeColor="text1"/>
                <w:sz w:val="20"/>
                <w:szCs w:val="20"/>
              </w:rPr>
            </w:pPr>
          </w:p>
        </w:tc>
        <w:tc>
          <w:tcPr>
            <w:tcW w:w="8086" w:type="dxa"/>
            <w:gridSpan w:val="7"/>
            <w:tcBorders>
              <w:top w:val="single" w:sz="4" w:space="0" w:color="auto"/>
              <w:left w:val="single" w:sz="4" w:space="0" w:color="auto"/>
              <w:bottom w:val="single" w:sz="4" w:space="0" w:color="auto"/>
              <w:right w:val="single" w:sz="4" w:space="0" w:color="auto"/>
            </w:tcBorders>
            <w:vAlign w:val="center"/>
          </w:tcPr>
          <w:p w14:paraId="2E0FE6CA" w14:textId="77777777" w:rsidR="00216C36" w:rsidRPr="0030508E" w:rsidRDefault="00216C36" w:rsidP="00213DD5">
            <w:pPr>
              <w:keepNext/>
              <w:keepLines/>
              <w:rPr>
                <w:rFonts w:ascii="Arial Narrow" w:eastAsia="Calibri" w:hAnsi="Arial Narrow"/>
                <w:color w:val="000000" w:themeColor="text1"/>
                <w:sz w:val="20"/>
                <w:szCs w:val="20"/>
              </w:rPr>
            </w:pPr>
            <w:r w:rsidRPr="0030508E">
              <w:rPr>
                <w:rFonts w:ascii="Arial Narrow" w:hAnsi="Arial Narrow"/>
                <w:b/>
                <w:color w:val="000000" w:themeColor="text1"/>
                <w:sz w:val="20"/>
                <w:szCs w:val="20"/>
              </w:rPr>
              <w:t xml:space="preserve">Restriction type: </w:t>
            </w:r>
            <w:r w:rsidRPr="0030508E">
              <w:rPr>
                <w:rFonts w:ascii="Arial Narrow" w:eastAsia="Calibri" w:hAnsi="Arial Narrow"/>
                <w:color w:val="000000" w:themeColor="text1"/>
                <w:sz w:val="20"/>
                <w:szCs w:val="20"/>
              </w:rPr>
              <w:fldChar w:fldCharType="begin">
                <w:ffData>
                  <w:name w:val=""/>
                  <w:enabled/>
                  <w:calcOnExit w:val="0"/>
                  <w:checkBox>
                    <w:sizeAuto/>
                    <w:default w:val="1"/>
                  </w:checkBox>
                </w:ffData>
              </w:fldChar>
            </w:r>
            <w:r w:rsidRPr="0030508E">
              <w:rPr>
                <w:rFonts w:ascii="Arial Narrow" w:eastAsia="Calibri" w:hAnsi="Arial Narrow"/>
                <w:color w:val="000000" w:themeColor="text1"/>
                <w:sz w:val="20"/>
                <w:szCs w:val="20"/>
              </w:rPr>
              <w:instrText xml:space="preserve"> FORMCHECKBOX </w:instrText>
            </w:r>
            <w:r w:rsidRPr="0030508E">
              <w:rPr>
                <w:rFonts w:ascii="Arial Narrow" w:eastAsia="Calibri" w:hAnsi="Arial Narrow"/>
                <w:color w:val="000000" w:themeColor="text1"/>
                <w:sz w:val="20"/>
                <w:szCs w:val="20"/>
              </w:rPr>
            </w:r>
            <w:r w:rsidRPr="0030508E">
              <w:rPr>
                <w:rFonts w:ascii="Arial Narrow" w:eastAsia="Calibri" w:hAnsi="Arial Narrow"/>
                <w:color w:val="000000" w:themeColor="text1"/>
                <w:sz w:val="20"/>
                <w:szCs w:val="20"/>
              </w:rPr>
              <w:fldChar w:fldCharType="separate"/>
            </w:r>
            <w:r w:rsidRPr="0030508E">
              <w:rPr>
                <w:rFonts w:ascii="Arial Narrow" w:eastAsia="Calibri" w:hAnsi="Arial Narrow"/>
                <w:color w:val="000000" w:themeColor="text1"/>
                <w:sz w:val="20"/>
                <w:szCs w:val="20"/>
              </w:rPr>
              <w:fldChar w:fldCharType="end"/>
            </w:r>
            <w:r w:rsidRPr="0030508E">
              <w:rPr>
                <w:rFonts w:ascii="Arial Narrow" w:eastAsia="Calibri" w:hAnsi="Arial Narrow"/>
                <w:color w:val="000000" w:themeColor="text1"/>
                <w:sz w:val="20"/>
                <w:szCs w:val="20"/>
              </w:rPr>
              <w:t>Authority Required ((immediate assessment) (Telephone/online PBS Authorities system))</w:t>
            </w:r>
          </w:p>
        </w:tc>
      </w:tr>
      <w:tr w:rsidR="00216C36" w:rsidRPr="0030508E" w14:paraId="6CAB8B16" w14:textId="77777777" w:rsidTr="004F572F">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274" w:type="dxa"/>
            <w:gridSpan w:val="3"/>
            <w:vAlign w:val="center"/>
            <w:hideMark/>
          </w:tcPr>
          <w:p w14:paraId="59E41F14" w14:textId="47F8393D" w:rsidR="00216C36" w:rsidRPr="0030508E" w:rsidRDefault="00216C36" w:rsidP="00213DD5">
            <w:pPr>
              <w:jc w:val="center"/>
              <w:rPr>
                <w:rFonts w:ascii="Arial Narrow" w:hAnsi="Arial Narrow"/>
                <w:color w:val="000000" w:themeColor="text1"/>
                <w:sz w:val="20"/>
                <w:szCs w:val="20"/>
              </w:rPr>
            </w:pPr>
          </w:p>
        </w:tc>
        <w:tc>
          <w:tcPr>
            <w:tcW w:w="8086" w:type="dxa"/>
            <w:gridSpan w:val="7"/>
            <w:vAlign w:val="center"/>
            <w:hideMark/>
          </w:tcPr>
          <w:p w14:paraId="1F892DB7" w14:textId="77777777" w:rsidR="00216C36" w:rsidRPr="0030508E" w:rsidRDefault="00216C36" w:rsidP="00213DD5">
            <w:pPr>
              <w:rPr>
                <w:rFonts w:ascii="Arial Narrow" w:hAnsi="Arial Narrow"/>
                <w:color w:val="000000" w:themeColor="text1"/>
                <w:sz w:val="20"/>
                <w:szCs w:val="20"/>
              </w:rPr>
            </w:pPr>
            <w:r w:rsidRPr="0030508E">
              <w:rPr>
                <w:rFonts w:ascii="Arial Narrow" w:hAnsi="Arial Narrow"/>
                <w:b/>
                <w:bCs/>
                <w:color w:val="000000" w:themeColor="text1"/>
                <w:sz w:val="20"/>
                <w:szCs w:val="20"/>
              </w:rPr>
              <w:t>Indication:</w:t>
            </w:r>
            <w:r w:rsidRPr="0030508E">
              <w:rPr>
                <w:rFonts w:ascii="Arial Narrow" w:hAnsi="Arial Narrow"/>
                <w:color w:val="000000" w:themeColor="text1"/>
                <w:sz w:val="20"/>
                <w:szCs w:val="20"/>
              </w:rPr>
              <w:t xml:space="preserve"> Hypoparathyroidism</w:t>
            </w:r>
          </w:p>
        </w:tc>
      </w:tr>
      <w:tr w:rsidR="00216C36" w:rsidRPr="0030508E" w14:paraId="3818D175" w14:textId="77777777" w:rsidTr="004F572F">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274" w:type="dxa"/>
            <w:gridSpan w:val="3"/>
            <w:vAlign w:val="center"/>
            <w:hideMark/>
          </w:tcPr>
          <w:p w14:paraId="0C03C162" w14:textId="77777777" w:rsidR="00216C36" w:rsidRPr="0030508E" w:rsidRDefault="00216C36" w:rsidP="00213DD5">
            <w:pPr>
              <w:jc w:val="center"/>
              <w:rPr>
                <w:rFonts w:ascii="Arial Narrow" w:hAnsi="Arial Narrow"/>
                <w:color w:val="000000" w:themeColor="text1"/>
                <w:sz w:val="20"/>
                <w:szCs w:val="20"/>
              </w:rPr>
            </w:pPr>
          </w:p>
        </w:tc>
        <w:tc>
          <w:tcPr>
            <w:tcW w:w="8086" w:type="dxa"/>
            <w:gridSpan w:val="7"/>
            <w:vAlign w:val="center"/>
            <w:hideMark/>
          </w:tcPr>
          <w:p w14:paraId="071E7FC8" w14:textId="5E45C125" w:rsidR="00216C36" w:rsidRPr="0030508E" w:rsidRDefault="00216C36" w:rsidP="00213DD5">
            <w:pPr>
              <w:rPr>
                <w:rFonts w:ascii="Arial Narrow" w:hAnsi="Arial Narrow"/>
                <w:color w:val="000000" w:themeColor="text1"/>
                <w:sz w:val="20"/>
                <w:szCs w:val="20"/>
              </w:rPr>
            </w:pPr>
            <w:r w:rsidRPr="0030508E">
              <w:rPr>
                <w:rFonts w:ascii="Arial Narrow" w:hAnsi="Arial Narrow"/>
                <w:b/>
                <w:bCs/>
                <w:color w:val="000000" w:themeColor="text1"/>
                <w:sz w:val="20"/>
                <w:szCs w:val="20"/>
              </w:rPr>
              <w:t>Treatment Phase:</w:t>
            </w:r>
            <w:r w:rsidRPr="0030508E">
              <w:rPr>
                <w:rFonts w:ascii="Arial Narrow" w:hAnsi="Arial Narrow"/>
                <w:color w:val="000000" w:themeColor="text1"/>
                <w:sz w:val="20"/>
                <w:szCs w:val="20"/>
              </w:rPr>
              <w:t xml:space="preserve"> First continuing</w:t>
            </w:r>
            <w:r>
              <w:rPr>
                <w:rFonts w:ascii="Arial Narrow" w:hAnsi="Arial Narrow"/>
                <w:color w:val="000000" w:themeColor="text1"/>
                <w:sz w:val="20"/>
                <w:szCs w:val="20"/>
              </w:rPr>
              <w:t xml:space="preserve"> treatment</w:t>
            </w:r>
          </w:p>
        </w:tc>
      </w:tr>
      <w:tr w:rsidR="00216C36" w:rsidRPr="0030508E" w14:paraId="07BF8D8E" w14:textId="77777777" w:rsidTr="004F572F">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274" w:type="dxa"/>
            <w:gridSpan w:val="3"/>
            <w:vAlign w:val="center"/>
          </w:tcPr>
          <w:p w14:paraId="2B283904" w14:textId="18B8C030" w:rsidR="00216C36" w:rsidRPr="0030508E" w:rsidRDefault="00216C36" w:rsidP="00213DD5">
            <w:pPr>
              <w:jc w:val="center"/>
              <w:rPr>
                <w:rFonts w:ascii="Arial Narrow" w:hAnsi="Arial Narrow"/>
                <w:color w:val="000000" w:themeColor="text1"/>
                <w:sz w:val="20"/>
                <w:szCs w:val="20"/>
              </w:rPr>
            </w:pPr>
          </w:p>
        </w:tc>
        <w:tc>
          <w:tcPr>
            <w:tcW w:w="8086" w:type="dxa"/>
            <w:gridSpan w:val="7"/>
            <w:vAlign w:val="center"/>
          </w:tcPr>
          <w:p w14:paraId="41201B2E" w14:textId="77777777" w:rsidR="00216C36" w:rsidRPr="0030508E" w:rsidRDefault="00216C36" w:rsidP="00213DD5">
            <w:pPr>
              <w:rPr>
                <w:rFonts w:ascii="Arial Narrow" w:hAnsi="Arial Narrow"/>
                <w:b/>
                <w:bCs/>
                <w:color w:val="000000" w:themeColor="text1"/>
                <w:sz w:val="20"/>
                <w:szCs w:val="20"/>
              </w:rPr>
            </w:pPr>
            <w:r w:rsidRPr="0030508E">
              <w:rPr>
                <w:rFonts w:ascii="Arial Narrow" w:hAnsi="Arial Narrow"/>
                <w:b/>
                <w:bCs/>
                <w:color w:val="000000" w:themeColor="text1"/>
                <w:sz w:val="20"/>
                <w:szCs w:val="20"/>
              </w:rPr>
              <w:t xml:space="preserve">Clinical criteria: </w:t>
            </w:r>
          </w:p>
        </w:tc>
      </w:tr>
      <w:tr w:rsidR="00216C36" w:rsidRPr="0030508E" w14:paraId="6AB8275A" w14:textId="77777777" w:rsidTr="004F572F">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274" w:type="dxa"/>
            <w:gridSpan w:val="3"/>
            <w:vAlign w:val="center"/>
          </w:tcPr>
          <w:p w14:paraId="5AA62BE5" w14:textId="02B1C1EA" w:rsidR="00216C36" w:rsidRPr="0030508E" w:rsidRDefault="00216C36" w:rsidP="00213DD5">
            <w:pPr>
              <w:jc w:val="center"/>
              <w:rPr>
                <w:rFonts w:ascii="Arial Narrow" w:hAnsi="Arial Narrow"/>
                <w:color w:val="000000" w:themeColor="text1"/>
                <w:sz w:val="20"/>
                <w:szCs w:val="20"/>
              </w:rPr>
            </w:pPr>
          </w:p>
        </w:tc>
        <w:tc>
          <w:tcPr>
            <w:tcW w:w="8086" w:type="dxa"/>
            <w:gridSpan w:val="7"/>
            <w:vAlign w:val="center"/>
          </w:tcPr>
          <w:p w14:paraId="33EEC995" w14:textId="77777777" w:rsidR="00216C36" w:rsidRPr="0030508E" w:rsidRDefault="00216C36" w:rsidP="00213DD5">
            <w:pPr>
              <w:rPr>
                <w:rFonts w:ascii="Arial Narrow" w:hAnsi="Arial Narrow"/>
                <w:color w:val="000000" w:themeColor="text1"/>
                <w:sz w:val="20"/>
                <w:szCs w:val="20"/>
              </w:rPr>
            </w:pPr>
            <w:r w:rsidRPr="0030508E">
              <w:rPr>
                <w:rFonts w:ascii="Arial Narrow" w:hAnsi="Arial Narrow"/>
                <w:color w:val="000000" w:themeColor="text1"/>
                <w:sz w:val="20"/>
                <w:szCs w:val="20"/>
              </w:rPr>
              <w:t>Patient must have received this drug as their most recent course of PBS-subsidised treatment for this condition</w:t>
            </w:r>
          </w:p>
        </w:tc>
      </w:tr>
      <w:tr w:rsidR="00216C36" w:rsidRPr="0030508E" w14:paraId="76CB6B03" w14:textId="77777777" w:rsidTr="004F572F">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274" w:type="dxa"/>
            <w:gridSpan w:val="3"/>
            <w:vAlign w:val="center"/>
          </w:tcPr>
          <w:p w14:paraId="35CA99D0" w14:textId="77777777" w:rsidR="00216C36" w:rsidRPr="0030508E" w:rsidRDefault="00216C36" w:rsidP="00213DD5">
            <w:pPr>
              <w:jc w:val="center"/>
              <w:rPr>
                <w:rFonts w:ascii="Arial Narrow" w:hAnsi="Arial Narrow"/>
                <w:color w:val="000000" w:themeColor="text1"/>
                <w:sz w:val="20"/>
                <w:szCs w:val="20"/>
              </w:rPr>
            </w:pPr>
          </w:p>
        </w:tc>
        <w:tc>
          <w:tcPr>
            <w:tcW w:w="8086" w:type="dxa"/>
            <w:gridSpan w:val="7"/>
            <w:vAlign w:val="center"/>
          </w:tcPr>
          <w:p w14:paraId="387B8C8A" w14:textId="77777777" w:rsidR="00216C36" w:rsidRPr="0030508E" w:rsidRDefault="00216C36" w:rsidP="00213DD5">
            <w:pPr>
              <w:rPr>
                <w:rFonts w:ascii="Arial Narrow" w:hAnsi="Arial Narrow"/>
                <w:b/>
                <w:bCs/>
                <w:color w:val="000000" w:themeColor="text1"/>
                <w:sz w:val="20"/>
                <w:szCs w:val="20"/>
              </w:rPr>
            </w:pPr>
            <w:r w:rsidRPr="0030508E">
              <w:rPr>
                <w:rFonts w:ascii="Arial Narrow" w:hAnsi="Arial Narrow"/>
                <w:b/>
                <w:bCs/>
                <w:color w:val="000000" w:themeColor="text1"/>
                <w:sz w:val="20"/>
                <w:szCs w:val="20"/>
              </w:rPr>
              <w:t>AND</w:t>
            </w:r>
          </w:p>
        </w:tc>
      </w:tr>
      <w:tr w:rsidR="00216C36" w:rsidRPr="0030508E" w14:paraId="56812A99" w14:textId="77777777" w:rsidTr="004F572F">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274" w:type="dxa"/>
            <w:gridSpan w:val="3"/>
            <w:vAlign w:val="center"/>
          </w:tcPr>
          <w:p w14:paraId="74D54CF8" w14:textId="7868E4A1" w:rsidR="00216C36" w:rsidRPr="0030508E" w:rsidRDefault="00216C36" w:rsidP="00213DD5">
            <w:pPr>
              <w:jc w:val="center"/>
              <w:rPr>
                <w:rFonts w:ascii="Arial Narrow" w:hAnsi="Arial Narrow"/>
                <w:color w:val="000000" w:themeColor="text1"/>
                <w:sz w:val="20"/>
                <w:szCs w:val="20"/>
              </w:rPr>
            </w:pPr>
          </w:p>
        </w:tc>
        <w:tc>
          <w:tcPr>
            <w:tcW w:w="8086" w:type="dxa"/>
            <w:gridSpan w:val="7"/>
            <w:vAlign w:val="center"/>
          </w:tcPr>
          <w:p w14:paraId="35F6C21A" w14:textId="77777777" w:rsidR="00216C36" w:rsidRPr="0030508E" w:rsidRDefault="00216C36" w:rsidP="00213DD5">
            <w:pPr>
              <w:rPr>
                <w:rFonts w:ascii="Arial Narrow" w:hAnsi="Arial Narrow"/>
                <w:b/>
                <w:bCs/>
                <w:color w:val="000000" w:themeColor="text1"/>
                <w:sz w:val="20"/>
                <w:szCs w:val="20"/>
              </w:rPr>
            </w:pPr>
            <w:r w:rsidRPr="0030508E">
              <w:rPr>
                <w:rFonts w:ascii="Arial Narrow" w:hAnsi="Arial Narrow"/>
                <w:b/>
                <w:bCs/>
                <w:color w:val="000000" w:themeColor="text1"/>
                <w:sz w:val="20"/>
                <w:szCs w:val="20"/>
              </w:rPr>
              <w:t xml:space="preserve">Clinical criteria: </w:t>
            </w:r>
          </w:p>
        </w:tc>
      </w:tr>
      <w:tr w:rsidR="00216C36" w:rsidRPr="0030508E" w14:paraId="1831FA49" w14:textId="77777777" w:rsidTr="004F572F">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274" w:type="dxa"/>
            <w:gridSpan w:val="3"/>
            <w:vAlign w:val="center"/>
          </w:tcPr>
          <w:p w14:paraId="344C108A" w14:textId="6B17DE49" w:rsidR="00216C36" w:rsidRPr="0030508E" w:rsidRDefault="00216C36" w:rsidP="00213DD5">
            <w:pPr>
              <w:jc w:val="center"/>
              <w:rPr>
                <w:rFonts w:ascii="Arial Narrow" w:hAnsi="Arial Narrow"/>
                <w:color w:val="000000" w:themeColor="text1"/>
                <w:sz w:val="20"/>
                <w:szCs w:val="20"/>
              </w:rPr>
            </w:pPr>
          </w:p>
        </w:tc>
        <w:tc>
          <w:tcPr>
            <w:tcW w:w="8086" w:type="dxa"/>
            <w:gridSpan w:val="7"/>
            <w:vAlign w:val="center"/>
          </w:tcPr>
          <w:p w14:paraId="6523599E" w14:textId="77777777" w:rsidR="00216C36" w:rsidRPr="0030508E" w:rsidRDefault="00216C36" w:rsidP="00213DD5">
            <w:pPr>
              <w:rPr>
                <w:rFonts w:ascii="Arial Narrow" w:hAnsi="Arial Narrow"/>
                <w:color w:val="000000" w:themeColor="text1"/>
                <w:sz w:val="20"/>
                <w:szCs w:val="20"/>
              </w:rPr>
            </w:pPr>
            <w:r w:rsidRPr="383E5602">
              <w:rPr>
                <w:rFonts w:ascii="Arial Narrow" w:hAnsi="Arial Narrow"/>
                <w:color w:val="000000" w:themeColor="text1"/>
                <w:sz w:val="20"/>
                <w:szCs w:val="20"/>
              </w:rPr>
              <w:t>Patient must have demonstrated an adequate response to treatment with this drug</w:t>
            </w:r>
          </w:p>
        </w:tc>
      </w:tr>
      <w:tr w:rsidR="00216C36" w:rsidRPr="0030508E" w14:paraId="5006D21A" w14:textId="77777777" w:rsidTr="004F572F">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274" w:type="dxa"/>
            <w:gridSpan w:val="3"/>
            <w:vAlign w:val="center"/>
          </w:tcPr>
          <w:p w14:paraId="505B8DF9" w14:textId="0DB799B9" w:rsidR="00216C36" w:rsidRPr="0030508E" w:rsidRDefault="00216C36" w:rsidP="00213DD5">
            <w:pPr>
              <w:jc w:val="center"/>
              <w:rPr>
                <w:rFonts w:ascii="Arial Narrow" w:hAnsi="Arial Narrow"/>
                <w:color w:val="000000" w:themeColor="text1"/>
                <w:sz w:val="20"/>
                <w:szCs w:val="20"/>
              </w:rPr>
            </w:pPr>
          </w:p>
        </w:tc>
        <w:tc>
          <w:tcPr>
            <w:tcW w:w="8086" w:type="dxa"/>
            <w:gridSpan w:val="7"/>
            <w:vAlign w:val="center"/>
          </w:tcPr>
          <w:p w14:paraId="63625FEC" w14:textId="77777777" w:rsidR="00216C36" w:rsidRPr="0030508E" w:rsidRDefault="00216C36" w:rsidP="00213DD5">
            <w:pPr>
              <w:rPr>
                <w:rFonts w:ascii="Arial Narrow" w:hAnsi="Arial Narrow"/>
                <w:color w:val="000000" w:themeColor="text1"/>
                <w:sz w:val="20"/>
                <w:szCs w:val="20"/>
              </w:rPr>
            </w:pPr>
            <w:r w:rsidRPr="0030508E">
              <w:rPr>
                <w:rFonts w:ascii="Arial Narrow" w:hAnsi="Arial Narrow"/>
                <w:b/>
                <w:bCs/>
                <w:color w:val="000000" w:themeColor="text1"/>
                <w:sz w:val="20"/>
                <w:szCs w:val="20"/>
              </w:rPr>
              <w:t>Treatment criteria:</w:t>
            </w:r>
          </w:p>
        </w:tc>
      </w:tr>
      <w:tr w:rsidR="00216C36" w:rsidRPr="000F1493" w14:paraId="5ED51823" w14:textId="77777777" w:rsidTr="004F572F">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274" w:type="dxa"/>
            <w:gridSpan w:val="3"/>
            <w:vAlign w:val="center"/>
          </w:tcPr>
          <w:p w14:paraId="30B70278" w14:textId="579103C8" w:rsidR="00216C36" w:rsidRPr="000F1493" w:rsidRDefault="00216C36" w:rsidP="00213DD5">
            <w:pPr>
              <w:jc w:val="center"/>
              <w:rPr>
                <w:rFonts w:ascii="Arial Narrow" w:hAnsi="Arial Narrow"/>
                <w:sz w:val="20"/>
                <w:szCs w:val="20"/>
              </w:rPr>
            </w:pPr>
          </w:p>
        </w:tc>
        <w:tc>
          <w:tcPr>
            <w:tcW w:w="8086" w:type="dxa"/>
            <w:gridSpan w:val="7"/>
            <w:vAlign w:val="center"/>
          </w:tcPr>
          <w:p w14:paraId="77E672F5" w14:textId="7CFB1F44" w:rsidR="00216C36" w:rsidRPr="000F1493" w:rsidRDefault="00216C36" w:rsidP="00213DD5">
            <w:pPr>
              <w:rPr>
                <w:rFonts w:ascii="Arial Narrow" w:hAnsi="Arial Narrow"/>
                <w:sz w:val="20"/>
                <w:szCs w:val="20"/>
              </w:rPr>
            </w:pPr>
            <w:r w:rsidRPr="000F1493">
              <w:rPr>
                <w:rFonts w:ascii="Arial Narrow" w:hAnsi="Arial Narrow"/>
                <w:sz w:val="20"/>
                <w:szCs w:val="20"/>
              </w:rPr>
              <w:t xml:space="preserve">Must be treated by </w:t>
            </w:r>
            <w:r w:rsidRPr="000F1493">
              <w:rPr>
                <w:rFonts w:ascii="Arial Narrow" w:hAnsi="Arial Narrow"/>
                <w:i/>
                <w:iCs/>
                <w:sz w:val="20"/>
                <w:szCs w:val="20"/>
              </w:rPr>
              <w:t>either (i)</w:t>
            </w:r>
            <w:r w:rsidRPr="000F1493">
              <w:rPr>
                <w:rFonts w:ascii="Arial Narrow" w:hAnsi="Arial Narrow"/>
                <w:sz w:val="20"/>
                <w:szCs w:val="20"/>
              </w:rPr>
              <w:t xml:space="preserve"> an</w:t>
            </w:r>
            <w:r w:rsidRPr="000F1493">
              <w:rPr>
                <w:rFonts w:ascii="Arial Narrow" w:hAnsi="Arial Narrow"/>
                <w:i/>
                <w:iCs/>
                <w:sz w:val="20"/>
                <w:szCs w:val="20"/>
              </w:rPr>
              <w:t xml:space="preserve"> </w:t>
            </w:r>
            <w:r w:rsidRPr="000F1493">
              <w:rPr>
                <w:rFonts w:ascii="Arial Narrow" w:hAnsi="Arial Narrow"/>
                <w:sz w:val="20"/>
                <w:szCs w:val="20"/>
              </w:rPr>
              <w:t>endocrinologist</w:t>
            </w:r>
            <w:r w:rsidRPr="000F1493">
              <w:rPr>
                <w:rFonts w:ascii="Arial Narrow" w:hAnsi="Arial Narrow"/>
                <w:i/>
                <w:iCs/>
                <w:sz w:val="20"/>
                <w:szCs w:val="20"/>
              </w:rPr>
              <w:t xml:space="preserve">, (ii) </w:t>
            </w:r>
            <w:r w:rsidRPr="009C477C">
              <w:rPr>
                <w:rFonts w:ascii="Arial Narrow" w:hAnsi="Arial Narrow"/>
                <w:sz w:val="20"/>
                <w:szCs w:val="20"/>
              </w:rPr>
              <w:t>a</w:t>
            </w:r>
            <w:r w:rsidRPr="000F1493">
              <w:rPr>
                <w:rFonts w:ascii="Arial Narrow" w:hAnsi="Arial Narrow"/>
                <w:i/>
                <w:iCs/>
                <w:sz w:val="20"/>
                <w:szCs w:val="20"/>
              </w:rPr>
              <w:t xml:space="preserve"> medical </w:t>
            </w:r>
            <w:r w:rsidRPr="009C477C">
              <w:rPr>
                <w:rFonts w:ascii="Arial Narrow" w:hAnsi="Arial Narrow"/>
                <w:sz w:val="20"/>
                <w:szCs w:val="20"/>
              </w:rPr>
              <w:t xml:space="preserve">specialist experienced in the </w:t>
            </w:r>
            <w:r w:rsidRPr="009C477C">
              <w:rPr>
                <w:rFonts w:ascii="Arial Narrow" w:hAnsi="Arial Narrow"/>
                <w:strike/>
                <w:sz w:val="20"/>
                <w:szCs w:val="20"/>
              </w:rPr>
              <w:t>treatment</w:t>
            </w:r>
            <w:r w:rsidRPr="009C477C">
              <w:rPr>
                <w:rFonts w:ascii="Arial Narrow" w:hAnsi="Arial Narrow"/>
                <w:sz w:val="20"/>
                <w:szCs w:val="20"/>
              </w:rPr>
              <w:t xml:space="preserve"> management of hypoparathyroidism</w:t>
            </w:r>
            <w:r>
              <w:rPr>
                <w:rFonts w:ascii="Arial Narrow" w:hAnsi="Arial Narrow"/>
                <w:sz w:val="20"/>
                <w:szCs w:val="20"/>
              </w:rPr>
              <w:t xml:space="preserve"> </w:t>
            </w:r>
            <w:r w:rsidRPr="004F572F">
              <w:rPr>
                <w:rFonts w:ascii="Arial Narrow" w:hAnsi="Arial Narrow"/>
                <w:i/>
                <w:iCs/>
                <w:sz w:val="20"/>
                <w:szCs w:val="20"/>
              </w:rPr>
              <w:t>or (iii) a medical practitioner under the supervision of (i) or (ii)</w:t>
            </w:r>
          </w:p>
        </w:tc>
      </w:tr>
      <w:tr w:rsidR="00216C36" w:rsidRPr="0030508E" w14:paraId="5F0C1A5B" w14:textId="77777777" w:rsidTr="004F572F">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274" w:type="dxa"/>
            <w:gridSpan w:val="3"/>
            <w:vAlign w:val="center"/>
          </w:tcPr>
          <w:p w14:paraId="79EC065D" w14:textId="714AE49F" w:rsidR="00216C36" w:rsidRPr="0030508E" w:rsidRDefault="00216C36" w:rsidP="00213DD5">
            <w:pPr>
              <w:jc w:val="center"/>
              <w:rPr>
                <w:rFonts w:ascii="Arial Narrow" w:hAnsi="Arial Narrow"/>
                <w:color w:val="000000" w:themeColor="text1"/>
                <w:sz w:val="20"/>
                <w:szCs w:val="20"/>
              </w:rPr>
            </w:pPr>
          </w:p>
        </w:tc>
        <w:tc>
          <w:tcPr>
            <w:tcW w:w="8086" w:type="dxa"/>
            <w:gridSpan w:val="7"/>
            <w:vAlign w:val="center"/>
          </w:tcPr>
          <w:p w14:paraId="6EBD1B23" w14:textId="77777777" w:rsidR="00216C36" w:rsidRPr="000F1493" w:rsidRDefault="00216C36" w:rsidP="00213DD5">
            <w:pPr>
              <w:rPr>
                <w:rFonts w:ascii="Arial Narrow" w:hAnsi="Arial Narrow"/>
                <w:b/>
                <w:bCs/>
                <w:color w:val="000000" w:themeColor="text1"/>
                <w:sz w:val="20"/>
                <w:szCs w:val="20"/>
              </w:rPr>
            </w:pPr>
            <w:r w:rsidRPr="000F1493">
              <w:rPr>
                <w:rFonts w:ascii="Arial Narrow" w:hAnsi="Arial Narrow"/>
                <w:b/>
                <w:bCs/>
                <w:color w:val="000000" w:themeColor="text1"/>
                <w:sz w:val="20"/>
                <w:szCs w:val="20"/>
              </w:rPr>
              <w:t>Prescribing Instructions:</w:t>
            </w:r>
          </w:p>
          <w:p w14:paraId="67C70992" w14:textId="77777777" w:rsidR="00216C36" w:rsidRPr="000F1493" w:rsidRDefault="00216C36" w:rsidP="00213DD5">
            <w:pPr>
              <w:rPr>
                <w:rFonts w:ascii="Arial Narrow" w:hAnsi="Arial Narrow"/>
                <w:color w:val="000000" w:themeColor="text1"/>
                <w:sz w:val="20"/>
                <w:szCs w:val="20"/>
              </w:rPr>
            </w:pPr>
            <w:r w:rsidRPr="000F1493">
              <w:rPr>
                <w:rFonts w:ascii="Arial Narrow" w:hAnsi="Arial Narrow"/>
                <w:color w:val="000000" w:themeColor="text1"/>
                <w:sz w:val="20"/>
                <w:szCs w:val="20"/>
              </w:rPr>
              <w:t>An adequate response to treatment is defined as:</w:t>
            </w:r>
          </w:p>
          <w:p w14:paraId="59C7099E" w14:textId="77777777" w:rsidR="00216C36" w:rsidRPr="000F1493" w:rsidRDefault="00216C36" w:rsidP="00213DD5">
            <w:pPr>
              <w:rPr>
                <w:rFonts w:ascii="Arial Narrow" w:hAnsi="Arial Narrow"/>
                <w:color w:val="000000" w:themeColor="text1"/>
                <w:sz w:val="20"/>
                <w:szCs w:val="20"/>
              </w:rPr>
            </w:pPr>
            <w:r w:rsidRPr="000F1493">
              <w:rPr>
                <w:rFonts w:ascii="Arial Narrow" w:hAnsi="Arial Narrow"/>
                <w:color w:val="000000" w:themeColor="text1"/>
                <w:sz w:val="20"/>
                <w:szCs w:val="20"/>
              </w:rPr>
              <w:t>An albumin-adjusted serum calcium in the normal range, AND</w:t>
            </w:r>
          </w:p>
          <w:p w14:paraId="43C8DB99" w14:textId="77777777" w:rsidR="00216C36" w:rsidRPr="000F1493" w:rsidRDefault="00216C36" w:rsidP="00213DD5">
            <w:pPr>
              <w:rPr>
                <w:rFonts w:ascii="Arial Narrow" w:hAnsi="Arial Narrow"/>
                <w:color w:val="000000" w:themeColor="text1"/>
                <w:sz w:val="20"/>
                <w:szCs w:val="20"/>
              </w:rPr>
            </w:pPr>
            <w:r w:rsidRPr="000F1493">
              <w:rPr>
                <w:rFonts w:ascii="Arial Narrow" w:hAnsi="Arial Narrow"/>
                <w:color w:val="000000" w:themeColor="text1"/>
                <w:sz w:val="20"/>
                <w:szCs w:val="20"/>
              </w:rPr>
              <w:t>Without concomitant use of active vitamin D, AND</w:t>
            </w:r>
          </w:p>
          <w:p w14:paraId="0B9D5753" w14:textId="77777777" w:rsidR="00216C36" w:rsidRPr="000F1493" w:rsidRDefault="00216C36" w:rsidP="00213DD5">
            <w:pPr>
              <w:rPr>
                <w:rFonts w:ascii="Arial Narrow" w:hAnsi="Arial Narrow"/>
                <w:color w:val="000000" w:themeColor="text1"/>
                <w:sz w:val="20"/>
                <w:szCs w:val="20"/>
              </w:rPr>
            </w:pPr>
            <w:r w:rsidRPr="000F1493">
              <w:rPr>
                <w:rFonts w:ascii="Arial Narrow" w:hAnsi="Arial Narrow"/>
                <w:color w:val="000000" w:themeColor="text1"/>
                <w:sz w:val="20"/>
                <w:szCs w:val="20"/>
              </w:rPr>
              <w:t>Without concomitant use of elemental calcium at a dose of &gt; 600 mg/day, AND</w:t>
            </w:r>
          </w:p>
          <w:p w14:paraId="2E2BBD5B" w14:textId="77777777" w:rsidR="00216C36" w:rsidRPr="0030508E" w:rsidRDefault="00216C36" w:rsidP="00213DD5">
            <w:pPr>
              <w:rPr>
                <w:rFonts w:ascii="Arial Narrow" w:hAnsi="Arial Narrow"/>
                <w:b/>
                <w:bCs/>
                <w:color w:val="000000" w:themeColor="text1"/>
                <w:sz w:val="20"/>
                <w:szCs w:val="20"/>
              </w:rPr>
            </w:pPr>
            <w:r w:rsidRPr="000F1493">
              <w:rPr>
                <w:rFonts w:ascii="Arial Narrow" w:hAnsi="Arial Narrow"/>
                <w:color w:val="000000" w:themeColor="text1"/>
                <w:sz w:val="20"/>
                <w:szCs w:val="20"/>
              </w:rPr>
              <w:t>The dose of this drug must be stable over the last four weeks.</w:t>
            </w:r>
          </w:p>
        </w:tc>
      </w:tr>
      <w:tr w:rsidR="00216C36" w:rsidRPr="0030508E" w14:paraId="37AF69F1" w14:textId="77777777" w:rsidTr="004F572F">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9360" w:type="dxa"/>
            <w:gridSpan w:val="10"/>
            <w:vAlign w:val="center"/>
          </w:tcPr>
          <w:p w14:paraId="5C97694C" w14:textId="77777777" w:rsidR="00216C36" w:rsidRPr="0030508E" w:rsidRDefault="00216C36" w:rsidP="00213DD5">
            <w:pPr>
              <w:rPr>
                <w:rFonts w:ascii="Arial Narrow" w:hAnsi="Arial Narrow"/>
                <w:b/>
                <w:bCs/>
                <w:i/>
                <w:iCs/>
                <w:color w:val="000000" w:themeColor="text1"/>
                <w:sz w:val="20"/>
                <w:szCs w:val="20"/>
              </w:rPr>
            </w:pPr>
          </w:p>
        </w:tc>
      </w:tr>
      <w:tr w:rsidR="00216C36" w:rsidRPr="0030508E" w14:paraId="50861D3C" w14:textId="77777777" w:rsidTr="004F572F">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9360" w:type="dxa"/>
            <w:gridSpan w:val="10"/>
            <w:vAlign w:val="center"/>
          </w:tcPr>
          <w:p w14:paraId="5F801A84" w14:textId="77777777" w:rsidR="00216C36" w:rsidRPr="0030508E" w:rsidRDefault="00216C36" w:rsidP="00213DD5">
            <w:pPr>
              <w:rPr>
                <w:rFonts w:ascii="Arial Narrow" w:hAnsi="Arial Narrow"/>
                <w:b/>
                <w:bCs/>
                <w:color w:val="000000" w:themeColor="text1"/>
                <w:sz w:val="20"/>
                <w:szCs w:val="20"/>
              </w:rPr>
            </w:pPr>
            <w:r w:rsidRPr="0030508E">
              <w:rPr>
                <w:rFonts w:ascii="Arial Narrow" w:hAnsi="Arial Narrow"/>
                <w:b/>
                <w:bCs/>
                <w:color w:val="000000" w:themeColor="text1"/>
                <w:sz w:val="20"/>
                <w:szCs w:val="20"/>
              </w:rPr>
              <w:t>Restriction Summary [new3] / Treatment of Concept: [new3A]</w:t>
            </w:r>
          </w:p>
        </w:tc>
      </w:tr>
      <w:tr w:rsidR="00216C36" w:rsidRPr="0030508E" w14:paraId="1C22B01E" w14:textId="77777777" w:rsidTr="004F572F">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274" w:type="dxa"/>
            <w:gridSpan w:val="3"/>
            <w:vMerge w:val="restart"/>
            <w:tcBorders>
              <w:top w:val="single" w:sz="4" w:space="0" w:color="auto"/>
              <w:left w:val="single" w:sz="4" w:space="0" w:color="auto"/>
              <w:right w:val="single" w:sz="4" w:space="0" w:color="auto"/>
            </w:tcBorders>
          </w:tcPr>
          <w:p w14:paraId="441C541F" w14:textId="77777777" w:rsidR="00216C36" w:rsidRPr="0030508E" w:rsidRDefault="00216C36" w:rsidP="00213DD5">
            <w:pPr>
              <w:jc w:val="center"/>
              <w:rPr>
                <w:rFonts w:ascii="Arial Narrow" w:hAnsi="Arial Narrow"/>
                <w:b/>
                <w:color w:val="000000" w:themeColor="text1"/>
                <w:sz w:val="20"/>
                <w:szCs w:val="20"/>
              </w:rPr>
            </w:pPr>
            <w:r w:rsidRPr="0030508E">
              <w:rPr>
                <w:rFonts w:ascii="Arial Narrow" w:hAnsi="Arial Narrow"/>
                <w:b/>
                <w:color w:val="000000" w:themeColor="text1"/>
                <w:sz w:val="20"/>
                <w:szCs w:val="20"/>
              </w:rPr>
              <w:t>Concept ID</w:t>
            </w:r>
            <w:r w:rsidRPr="0030508E">
              <w:rPr>
                <w:rFonts w:ascii="Arial Narrow" w:hAnsi="Arial Narrow"/>
                <w:b/>
                <w:color w:val="000000" w:themeColor="text1"/>
                <w:sz w:val="20"/>
                <w:szCs w:val="20"/>
              </w:rPr>
              <w:br/>
            </w:r>
            <w:r w:rsidRPr="0030508E">
              <w:rPr>
                <w:rFonts w:ascii="Arial Narrow" w:hAnsi="Arial Narrow"/>
                <w:color w:val="000000" w:themeColor="text1"/>
                <w:sz w:val="20"/>
                <w:szCs w:val="20"/>
              </w:rPr>
              <w:t>(for internal Dept. use)</w:t>
            </w:r>
          </w:p>
        </w:tc>
        <w:tc>
          <w:tcPr>
            <w:tcW w:w="8086" w:type="dxa"/>
            <w:gridSpan w:val="7"/>
            <w:tcBorders>
              <w:top w:val="single" w:sz="4" w:space="0" w:color="auto"/>
              <w:left w:val="single" w:sz="4" w:space="0" w:color="auto"/>
              <w:bottom w:val="single" w:sz="4" w:space="0" w:color="auto"/>
              <w:right w:val="single" w:sz="4" w:space="0" w:color="auto"/>
            </w:tcBorders>
            <w:vAlign w:val="center"/>
          </w:tcPr>
          <w:p w14:paraId="0DD4147D" w14:textId="77777777" w:rsidR="00216C36" w:rsidRPr="0030508E" w:rsidRDefault="00216C36" w:rsidP="00213DD5">
            <w:pPr>
              <w:keepLines/>
              <w:rPr>
                <w:rFonts w:ascii="Arial Narrow" w:hAnsi="Arial Narrow"/>
                <w:color w:val="000000" w:themeColor="text1"/>
                <w:sz w:val="20"/>
                <w:szCs w:val="20"/>
              </w:rPr>
            </w:pPr>
            <w:r w:rsidRPr="0030508E">
              <w:rPr>
                <w:rFonts w:ascii="Arial Narrow" w:hAnsi="Arial Narrow"/>
                <w:b/>
                <w:color w:val="000000" w:themeColor="text1"/>
                <w:sz w:val="20"/>
                <w:szCs w:val="20"/>
              </w:rPr>
              <w:t>Category / Program:</w:t>
            </w:r>
            <w:r w:rsidRPr="0030508E">
              <w:rPr>
                <w:rFonts w:ascii="Arial Narrow" w:hAnsi="Arial Narrow"/>
                <w:color w:val="000000" w:themeColor="text1"/>
                <w:sz w:val="20"/>
                <w:szCs w:val="20"/>
              </w:rPr>
              <w:t xml:space="preserve"> </w:t>
            </w:r>
            <w:r w:rsidRPr="0030508E">
              <w:rPr>
                <w:rFonts w:ascii="Arial Narrow" w:eastAsia="Calibri" w:hAnsi="Arial Narrow"/>
                <w:color w:val="000000" w:themeColor="text1"/>
                <w:sz w:val="20"/>
                <w:szCs w:val="20"/>
              </w:rPr>
              <w:fldChar w:fldCharType="begin">
                <w:ffData>
                  <w:name w:val=""/>
                  <w:enabled/>
                  <w:calcOnExit w:val="0"/>
                  <w:checkBox>
                    <w:sizeAuto/>
                    <w:default w:val="1"/>
                  </w:checkBox>
                </w:ffData>
              </w:fldChar>
            </w:r>
            <w:r w:rsidRPr="0030508E">
              <w:rPr>
                <w:rFonts w:ascii="Arial Narrow" w:eastAsia="Calibri" w:hAnsi="Arial Narrow"/>
                <w:color w:val="000000" w:themeColor="text1"/>
                <w:sz w:val="20"/>
                <w:szCs w:val="20"/>
              </w:rPr>
              <w:instrText xml:space="preserve"> FORMCHECKBOX </w:instrText>
            </w:r>
            <w:r w:rsidRPr="0030508E">
              <w:rPr>
                <w:rFonts w:ascii="Arial Narrow" w:eastAsia="Calibri" w:hAnsi="Arial Narrow"/>
                <w:color w:val="000000" w:themeColor="text1"/>
                <w:sz w:val="20"/>
                <w:szCs w:val="20"/>
              </w:rPr>
            </w:r>
            <w:r w:rsidRPr="0030508E">
              <w:rPr>
                <w:rFonts w:ascii="Arial Narrow" w:eastAsia="Calibri" w:hAnsi="Arial Narrow"/>
                <w:color w:val="000000" w:themeColor="text1"/>
                <w:sz w:val="20"/>
                <w:szCs w:val="20"/>
              </w:rPr>
              <w:fldChar w:fldCharType="separate"/>
            </w:r>
            <w:r w:rsidRPr="0030508E">
              <w:rPr>
                <w:rFonts w:ascii="Arial Narrow" w:eastAsia="Calibri" w:hAnsi="Arial Narrow"/>
                <w:color w:val="000000" w:themeColor="text1"/>
                <w:sz w:val="20"/>
                <w:szCs w:val="20"/>
              </w:rPr>
              <w:fldChar w:fldCharType="end"/>
            </w:r>
            <w:r w:rsidRPr="0030508E">
              <w:rPr>
                <w:rFonts w:ascii="Arial Narrow" w:eastAsia="Calibri" w:hAnsi="Arial Narrow"/>
                <w:color w:val="000000" w:themeColor="text1"/>
                <w:sz w:val="20"/>
                <w:szCs w:val="20"/>
              </w:rPr>
              <w:t xml:space="preserve"> GENERAL - General Schedule (Code GE) </w:t>
            </w:r>
          </w:p>
        </w:tc>
      </w:tr>
      <w:tr w:rsidR="00216C36" w:rsidRPr="0030508E" w14:paraId="19AD7A89" w14:textId="77777777" w:rsidTr="004F572F">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274" w:type="dxa"/>
            <w:gridSpan w:val="3"/>
            <w:vMerge/>
          </w:tcPr>
          <w:p w14:paraId="79CB24EB" w14:textId="77777777" w:rsidR="00216C36" w:rsidRPr="0030508E" w:rsidRDefault="00216C36" w:rsidP="00213DD5">
            <w:pPr>
              <w:rPr>
                <w:rFonts w:ascii="Arial Narrow" w:hAnsi="Arial Narrow"/>
                <w:color w:val="000000" w:themeColor="text1"/>
                <w:sz w:val="20"/>
                <w:szCs w:val="20"/>
              </w:rPr>
            </w:pPr>
          </w:p>
        </w:tc>
        <w:tc>
          <w:tcPr>
            <w:tcW w:w="8086" w:type="dxa"/>
            <w:gridSpan w:val="7"/>
            <w:tcBorders>
              <w:top w:val="single" w:sz="4" w:space="0" w:color="auto"/>
              <w:left w:val="single" w:sz="4" w:space="0" w:color="auto"/>
              <w:bottom w:val="single" w:sz="4" w:space="0" w:color="auto"/>
              <w:right w:val="single" w:sz="4" w:space="0" w:color="auto"/>
            </w:tcBorders>
            <w:vAlign w:val="center"/>
          </w:tcPr>
          <w:p w14:paraId="01544A27" w14:textId="77777777" w:rsidR="00216C36" w:rsidRPr="0030508E" w:rsidRDefault="00216C36" w:rsidP="00213DD5">
            <w:pPr>
              <w:keepNext/>
              <w:keepLines/>
              <w:rPr>
                <w:rFonts w:ascii="Arial Narrow" w:hAnsi="Arial Narrow"/>
                <w:b/>
                <w:color w:val="000000" w:themeColor="text1"/>
                <w:sz w:val="20"/>
                <w:szCs w:val="20"/>
              </w:rPr>
            </w:pPr>
            <w:r w:rsidRPr="0030508E">
              <w:rPr>
                <w:rFonts w:ascii="Arial Narrow" w:hAnsi="Arial Narrow"/>
                <w:b/>
                <w:color w:val="000000" w:themeColor="text1"/>
                <w:sz w:val="20"/>
                <w:szCs w:val="20"/>
              </w:rPr>
              <w:t xml:space="preserve">Prescriber type: </w:t>
            </w:r>
            <w:r w:rsidRPr="0030508E">
              <w:rPr>
                <w:rFonts w:ascii="Arial Narrow" w:hAnsi="Arial Narrow"/>
                <w:color w:val="000000" w:themeColor="text1"/>
                <w:sz w:val="20"/>
                <w:szCs w:val="20"/>
              </w:rPr>
              <w:fldChar w:fldCharType="begin">
                <w:ffData>
                  <w:name w:val=""/>
                  <w:enabled/>
                  <w:calcOnExit w:val="0"/>
                  <w:checkBox>
                    <w:sizeAuto/>
                    <w:default w:val="1"/>
                  </w:checkBox>
                </w:ffData>
              </w:fldChar>
            </w:r>
            <w:r w:rsidRPr="0030508E">
              <w:rPr>
                <w:rFonts w:ascii="Arial Narrow" w:hAnsi="Arial Narrow"/>
                <w:color w:val="000000" w:themeColor="text1"/>
                <w:sz w:val="20"/>
                <w:szCs w:val="20"/>
              </w:rPr>
              <w:instrText xml:space="preserve"> FORMCHECKBOX </w:instrText>
            </w:r>
            <w:r w:rsidRPr="0030508E">
              <w:rPr>
                <w:rFonts w:ascii="Arial Narrow" w:hAnsi="Arial Narrow"/>
                <w:color w:val="000000" w:themeColor="text1"/>
                <w:sz w:val="20"/>
                <w:szCs w:val="20"/>
              </w:rPr>
            </w:r>
            <w:r w:rsidRPr="0030508E">
              <w:rPr>
                <w:rFonts w:ascii="Arial Narrow" w:hAnsi="Arial Narrow"/>
                <w:color w:val="000000" w:themeColor="text1"/>
                <w:sz w:val="20"/>
                <w:szCs w:val="20"/>
              </w:rPr>
              <w:fldChar w:fldCharType="separate"/>
            </w:r>
            <w:r w:rsidRPr="0030508E">
              <w:rPr>
                <w:rFonts w:ascii="Arial Narrow" w:hAnsi="Arial Narrow"/>
                <w:color w:val="000000" w:themeColor="text1"/>
                <w:sz w:val="20"/>
                <w:szCs w:val="20"/>
              </w:rPr>
              <w:fldChar w:fldCharType="end"/>
            </w:r>
            <w:r w:rsidRPr="0030508E">
              <w:rPr>
                <w:rFonts w:ascii="Arial Narrow" w:hAnsi="Arial Narrow"/>
                <w:color w:val="000000" w:themeColor="text1"/>
                <w:sz w:val="20"/>
                <w:szCs w:val="20"/>
              </w:rPr>
              <w:t xml:space="preserve">Medical Practitioners </w:t>
            </w:r>
          </w:p>
        </w:tc>
      </w:tr>
      <w:tr w:rsidR="00216C36" w:rsidRPr="0030508E" w14:paraId="283766D9" w14:textId="77777777" w:rsidTr="004F572F">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274" w:type="dxa"/>
            <w:gridSpan w:val="3"/>
            <w:vMerge/>
          </w:tcPr>
          <w:p w14:paraId="2F428E5F" w14:textId="77777777" w:rsidR="00216C36" w:rsidRPr="0030508E" w:rsidRDefault="00216C36" w:rsidP="00213DD5">
            <w:pPr>
              <w:rPr>
                <w:rFonts w:ascii="Arial Narrow" w:hAnsi="Arial Narrow"/>
                <w:color w:val="000000" w:themeColor="text1"/>
                <w:sz w:val="20"/>
                <w:szCs w:val="20"/>
              </w:rPr>
            </w:pPr>
          </w:p>
        </w:tc>
        <w:tc>
          <w:tcPr>
            <w:tcW w:w="8086" w:type="dxa"/>
            <w:gridSpan w:val="7"/>
            <w:tcBorders>
              <w:top w:val="single" w:sz="4" w:space="0" w:color="auto"/>
              <w:left w:val="single" w:sz="4" w:space="0" w:color="auto"/>
              <w:bottom w:val="single" w:sz="4" w:space="0" w:color="auto"/>
              <w:right w:val="single" w:sz="4" w:space="0" w:color="auto"/>
            </w:tcBorders>
            <w:vAlign w:val="center"/>
          </w:tcPr>
          <w:p w14:paraId="275CA51F" w14:textId="77777777" w:rsidR="00216C36" w:rsidRPr="0030508E" w:rsidRDefault="00216C36" w:rsidP="00213DD5">
            <w:pPr>
              <w:keepNext/>
              <w:keepLines/>
              <w:rPr>
                <w:rFonts w:ascii="Arial Narrow" w:eastAsia="Calibri" w:hAnsi="Arial Narrow"/>
                <w:color w:val="000000" w:themeColor="text1"/>
                <w:sz w:val="20"/>
                <w:szCs w:val="20"/>
              </w:rPr>
            </w:pPr>
            <w:r w:rsidRPr="0030508E">
              <w:rPr>
                <w:rFonts w:ascii="Arial Narrow" w:hAnsi="Arial Narrow"/>
                <w:b/>
                <w:color w:val="000000" w:themeColor="text1"/>
                <w:sz w:val="20"/>
                <w:szCs w:val="20"/>
              </w:rPr>
              <w:t xml:space="preserve">Restriction type: </w:t>
            </w:r>
            <w:r w:rsidRPr="0030508E">
              <w:rPr>
                <w:rFonts w:ascii="Arial Narrow" w:eastAsia="Calibri" w:hAnsi="Arial Narrow"/>
                <w:color w:val="000000" w:themeColor="text1"/>
                <w:sz w:val="20"/>
                <w:szCs w:val="20"/>
              </w:rPr>
              <w:fldChar w:fldCharType="begin">
                <w:ffData>
                  <w:name w:val=""/>
                  <w:enabled/>
                  <w:calcOnExit w:val="0"/>
                  <w:checkBox>
                    <w:sizeAuto/>
                    <w:default w:val="1"/>
                  </w:checkBox>
                </w:ffData>
              </w:fldChar>
            </w:r>
            <w:r w:rsidRPr="0030508E">
              <w:rPr>
                <w:rFonts w:ascii="Arial Narrow" w:eastAsia="Calibri" w:hAnsi="Arial Narrow"/>
                <w:color w:val="000000" w:themeColor="text1"/>
                <w:sz w:val="20"/>
                <w:szCs w:val="20"/>
              </w:rPr>
              <w:instrText xml:space="preserve"> FORMCHECKBOX </w:instrText>
            </w:r>
            <w:r w:rsidRPr="0030508E">
              <w:rPr>
                <w:rFonts w:ascii="Arial Narrow" w:eastAsia="Calibri" w:hAnsi="Arial Narrow"/>
                <w:color w:val="000000" w:themeColor="text1"/>
                <w:sz w:val="20"/>
                <w:szCs w:val="20"/>
              </w:rPr>
            </w:r>
            <w:r w:rsidRPr="0030508E">
              <w:rPr>
                <w:rFonts w:ascii="Arial Narrow" w:eastAsia="Calibri" w:hAnsi="Arial Narrow"/>
                <w:color w:val="000000" w:themeColor="text1"/>
                <w:sz w:val="20"/>
                <w:szCs w:val="20"/>
              </w:rPr>
              <w:fldChar w:fldCharType="separate"/>
            </w:r>
            <w:r w:rsidRPr="0030508E">
              <w:rPr>
                <w:rFonts w:ascii="Arial Narrow" w:eastAsia="Calibri" w:hAnsi="Arial Narrow"/>
                <w:color w:val="000000" w:themeColor="text1"/>
                <w:sz w:val="20"/>
                <w:szCs w:val="20"/>
              </w:rPr>
              <w:fldChar w:fldCharType="end"/>
            </w:r>
            <w:r w:rsidRPr="0030508E">
              <w:rPr>
                <w:rFonts w:ascii="Arial Narrow" w:eastAsia="Calibri" w:hAnsi="Arial Narrow"/>
                <w:color w:val="000000" w:themeColor="text1"/>
                <w:sz w:val="20"/>
                <w:szCs w:val="20"/>
              </w:rPr>
              <w:t>Authority Required ((immediate assessment) (Telephone/online PBS Authorities system))</w:t>
            </w:r>
          </w:p>
        </w:tc>
      </w:tr>
      <w:tr w:rsidR="00216C36" w:rsidRPr="0030508E" w14:paraId="115AD3CB" w14:textId="77777777" w:rsidTr="004F572F">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274" w:type="dxa"/>
            <w:gridSpan w:val="3"/>
            <w:vAlign w:val="center"/>
            <w:hideMark/>
          </w:tcPr>
          <w:p w14:paraId="498CADCA" w14:textId="593EC349" w:rsidR="00216C36" w:rsidRPr="0030508E" w:rsidRDefault="00216C36" w:rsidP="00213DD5">
            <w:pPr>
              <w:jc w:val="center"/>
              <w:rPr>
                <w:rFonts w:ascii="Arial Narrow" w:hAnsi="Arial Narrow"/>
                <w:color w:val="000000" w:themeColor="text1"/>
                <w:sz w:val="20"/>
                <w:szCs w:val="20"/>
              </w:rPr>
            </w:pPr>
          </w:p>
        </w:tc>
        <w:tc>
          <w:tcPr>
            <w:tcW w:w="8086" w:type="dxa"/>
            <w:gridSpan w:val="7"/>
            <w:vAlign w:val="center"/>
            <w:hideMark/>
          </w:tcPr>
          <w:p w14:paraId="34F40B1B" w14:textId="77777777" w:rsidR="00216C36" w:rsidRPr="0030508E" w:rsidRDefault="00216C36" w:rsidP="00213DD5">
            <w:pPr>
              <w:rPr>
                <w:rFonts w:ascii="Arial Narrow" w:hAnsi="Arial Narrow"/>
                <w:color w:val="000000" w:themeColor="text1"/>
                <w:sz w:val="20"/>
                <w:szCs w:val="20"/>
              </w:rPr>
            </w:pPr>
            <w:r w:rsidRPr="0030508E">
              <w:rPr>
                <w:rFonts w:ascii="Arial Narrow" w:hAnsi="Arial Narrow"/>
                <w:b/>
                <w:bCs/>
                <w:color w:val="000000" w:themeColor="text1"/>
                <w:sz w:val="20"/>
                <w:szCs w:val="20"/>
              </w:rPr>
              <w:t>Indication:</w:t>
            </w:r>
            <w:r w:rsidRPr="0030508E">
              <w:rPr>
                <w:rFonts w:ascii="Arial Narrow" w:hAnsi="Arial Narrow"/>
                <w:color w:val="000000" w:themeColor="text1"/>
                <w:sz w:val="20"/>
                <w:szCs w:val="20"/>
              </w:rPr>
              <w:t xml:space="preserve"> Hypoparathyroidism</w:t>
            </w:r>
          </w:p>
        </w:tc>
      </w:tr>
      <w:tr w:rsidR="00216C36" w:rsidRPr="0030508E" w14:paraId="0654E539" w14:textId="77777777" w:rsidTr="004F572F">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274" w:type="dxa"/>
            <w:gridSpan w:val="3"/>
            <w:vAlign w:val="center"/>
            <w:hideMark/>
          </w:tcPr>
          <w:p w14:paraId="647BC313" w14:textId="77777777" w:rsidR="00216C36" w:rsidRPr="0030508E" w:rsidRDefault="00216C36" w:rsidP="00213DD5">
            <w:pPr>
              <w:jc w:val="center"/>
              <w:rPr>
                <w:rFonts w:ascii="Arial Narrow" w:hAnsi="Arial Narrow"/>
                <w:color w:val="000000" w:themeColor="text1"/>
                <w:sz w:val="20"/>
                <w:szCs w:val="20"/>
              </w:rPr>
            </w:pPr>
          </w:p>
        </w:tc>
        <w:tc>
          <w:tcPr>
            <w:tcW w:w="8086" w:type="dxa"/>
            <w:gridSpan w:val="7"/>
            <w:vAlign w:val="center"/>
            <w:hideMark/>
          </w:tcPr>
          <w:p w14:paraId="7AF78FCF" w14:textId="61B4E8E8" w:rsidR="00216C36" w:rsidRPr="0030508E" w:rsidRDefault="00216C36" w:rsidP="00213DD5">
            <w:pPr>
              <w:rPr>
                <w:rFonts w:ascii="Arial Narrow" w:hAnsi="Arial Narrow"/>
                <w:color w:val="000000" w:themeColor="text1"/>
                <w:sz w:val="20"/>
                <w:szCs w:val="20"/>
              </w:rPr>
            </w:pPr>
            <w:r w:rsidRPr="0030508E">
              <w:rPr>
                <w:rFonts w:ascii="Arial Narrow" w:hAnsi="Arial Narrow"/>
                <w:b/>
                <w:bCs/>
                <w:color w:val="000000" w:themeColor="text1"/>
                <w:sz w:val="20"/>
                <w:szCs w:val="20"/>
              </w:rPr>
              <w:t>Treatment Phase:</w:t>
            </w:r>
            <w:r w:rsidRPr="0030508E">
              <w:rPr>
                <w:rFonts w:ascii="Arial Narrow" w:hAnsi="Arial Narrow"/>
                <w:color w:val="000000" w:themeColor="text1"/>
                <w:sz w:val="20"/>
                <w:szCs w:val="20"/>
              </w:rPr>
              <w:t xml:space="preserve"> Subsequent continuing treatment</w:t>
            </w:r>
          </w:p>
        </w:tc>
      </w:tr>
      <w:tr w:rsidR="00216C36" w:rsidRPr="0030508E" w14:paraId="0AC1C39A" w14:textId="77777777" w:rsidTr="004F572F">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274" w:type="dxa"/>
            <w:gridSpan w:val="3"/>
            <w:vAlign w:val="center"/>
          </w:tcPr>
          <w:p w14:paraId="01EA7A47" w14:textId="57D6B6DD" w:rsidR="00216C36" w:rsidRPr="0030508E" w:rsidRDefault="00216C36" w:rsidP="00213DD5">
            <w:pPr>
              <w:jc w:val="center"/>
              <w:rPr>
                <w:rFonts w:ascii="Arial Narrow" w:hAnsi="Arial Narrow"/>
                <w:color w:val="000000" w:themeColor="text1"/>
                <w:sz w:val="20"/>
                <w:szCs w:val="20"/>
              </w:rPr>
            </w:pPr>
          </w:p>
        </w:tc>
        <w:tc>
          <w:tcPr>
            <w:tcW w:w="8086" w:type="dxa"/>
            <w:gridSpan w:val="7"/>
            <w:vAlign w:val="center"/>
          </w:tcPr>
          <w:p w14:paraId="1B619C9C" w14:textId="77777777" w:rsidR="00216C36" w:rsidRPr="0030508E" w:rsidRDefault="00216C36" w:rsidP="00213DD5">
            <w:pPr>
              <w:rPr>
                <w:rFonts w:ascii="Arial Narrow" w:hAnsi="Arial Narrow"/>
                <w:b/>
                <w:bCs/>
                <w:color w:val="000000" w:themeColor="text1"/>
                <w:sz w:val="20"/>
                <w:szCs w:val="20"/>
              </w:rPr>
            </w:pPr>
            <w:r w:rsidRPr="0030508E">
              <w:rPr>
                <w:rFonts w:ascii="Arial Narrow" w:hAnsi="Arial Narrow"/>
                <w:b/>
                <w:bCs/>
                <w:color w:val="000000" w:themeColor="text1"/>
                <w:sz w:val="20"/>
                <w:szCs w:val="20"/>
              </w:rPr>
              <w:t xml:space="preserve">Clinical criteria: </w:t>
            </w:r>
          </w:p>
        </w:tc>
      </w:tr>
      <w:tr w:rsidR="00216C36" w:rsidRPr="0030508E" w14:paraId="678D121A" w14:textId="77777777" w:rsidTr="004F572F">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274" w:type="dxa"/>
            <w:gridSpan w:val="3"/>
            <w:vAlign w:val="center"/>
          </w:tcPr>
          <w:p w14:paraId="46799488" w14:textId="633212FA" w:rsidR="00216C36" w:rsidRPr="0030508E" w:rsidRDefault="00216C36" w:rsidP="00213DD5">
            <w:pPr>
              <w:jc w:val="center"/>
              <w:rPr>
                <w:rFonts w:ascii="Arial Narrow" w:hAnsi="Arial Narrow"/>
                <w:color w:val="000000" w:themeColor="text1"/>
                <w:sz w:val="20"/>
                <w:szCs w:val="20"/>
              </w:rPr>
            </w:pPr>
          </w:p>
        </w:tc>
        <w:tc>
          <w:tcPr>
            <w:tcW w:w="8086" w:type="dxa"/>
            <w:gridSpan w:val="7"/>
            <w:vAlign w:val="center"/>
          </w:tcPr>
          <w:p w14:paraId="4143F7FA" w14:textId="77777777" w:rsidR="00216C36" w:rsidRPr="0030508E" w:rsidRDefault="00216C36" w:rsidP="00213DD5">
            <w:pPr>
              <w:rPr>
                <w:rFonts w:ascii="Arial Narrow" w:hAnsi="Arial Narrow"/>
                <w:color w:val="000000" w:themeColor="text1"/>
                <w:sz w:val="20"/>
                <w:szCs w:val="20"/>
              </w:rPr>
            </w:pPr>
            <w:r w:rsidRPr="0030508E">
              <w:rPr>
                <w:rFonts w:ascii="Arial Narrow" w:hAnsi="Arial Narrow"/>
                <w:color w:val="000000" w:themeColor="text1"/>
                <w:sz w:val="20"/>
                <w:szCs w:val="20"/>
              </w:rPr>
              <w:t>Patient must have received this drug as their most recent course of PBS-subsidised treatment for this condition</w:t>
            </w:r>
          </w:p>
        </w:tc>
      </w:tr>
      <w:tr w:rsidR="00216C36" w:rsidRPr="0030508E" w14:paraId="30F86F57" w14:textId="77777777" w:rsidTr="004F572F">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274" w:type="dxa"/>
            <w:gridSpan w:val="3"/>
            <w:vAlign w:val="center"/>
          </w:tcPr>
          <w:p w14:paraId="29FC58F2" w14:textId="77777777" w:rsidR="00216C36" w:rsidRPr="0030508E" w:rsidRDefault="00216C36" w:rsidP="00213DD5">
            <w:pPr>
              <w:jc w:val="center"/>
              <w:rPr>
                <w:rFonts w:ascii="Arial Narrow" w:hAnsi="Arial Narrow"/>
                <w:color w:val="000000" w:themeColor="text1"/>
                <w:sz w:val="20"/>
                <w:szCs w:val="20"/>
              </w:rPr>
            </w:pPr>
          </w:p>
        </w:tc>
        <w:tc>
          <w:tcPr>
            <w:tcW w:w="8086" w:type="dxa"/>
            <w:gridSpan w:val="7"/>
            <w:vAlign w:val="center"/>
          </w:tcPr>
          <w:p w14:paraId="50ED0C29" w14:textId="77777777" w:rsidR="00216C36" w:rsidRPr="0030508E" w:rsidRDefault="00216C36" w:rsidP="00213DD5">
            <w:pPr>
              <w:rPr>
                <w:rFonts w:ascii="Arial Narrow" w:hAnsi="Arial Narrow"/>
                <w:b/>
                <w:bCs/>
                <w:color w:val="000000" w:themeColor="text1"/>
                <w:sz w:val="20"/>
                <w:szCs w:val="20"/>
              </w:rPr>
            </w:pPr>
            <w:r w:rsidRPr="0030508E">
              <w:rPr>
                <w:rFonts w:ascii="Arial Narrow" w:hAnsi="Arial Narrow"/>
                <w:b/>
                <w:bCs/>
                <w:color w:val="000000" w:themeColor="text1"/>
                <w:sz w:val="20"/>
                <w:szCs w:val="20"/>
              </w:rPr>
              <w:t>AND</w:t>
            </w:r>
          </w:p>
        </w:tc>
      </w:tr>
      <w:tr w:rsidR="00216C36" w:rsidRPr="0030508E" w14:paraId="75D80908" w14:textId="77777777" w:rsidTr="004F572F">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274" w:type="dxa"/>
            <w:gridSpan w:val="3"/>
            <w:vAlign w:val="center"/>
          </w:tcPr>
          <w:p w14:paraId="45D42C67" w14:textId="130EE0BB" w:rsidR="00216C36" w:rsidRPr="0030508E" w:rsidRDefault="00216C36" w:rsidP="00213DD5">
            <w:pPr>
              <w:jc w:val="center"/>
              <w:rPr>
                <w:rFonts w:ascii="Arial Narrow" w:hAnsi="Arial Narrow"/>
                <w:color w:val="000000" w:themeColor="text1"/>
                <w:sz w:val="20"/>
                <w:szCs w:val="20"/>
              </w:rPr>
            </w:pPr>
          </w:p>
        </w:tc>
        <w:tc>
          <w:tcPr>
            <w:tcW w:w="8086" w:type="dxa"/>
            <w:gridSpan w:val="7"/>
            <w:vAlign w:val="center"/>
          </w:tcPr>
          <w:p w14:paraId="77B8566A" w14:textId="77777777" w:rsidR="00216C36" w:rsidRPr="0030508E" w:rsidRDefault="00216C36" w:rsidP="00213DD5">
            <w:pPr>
              <w:rPr>
                <w:rFonts w:ascii="Arial Narrow" w:hAnsi="Arial Narrow"/>
                <w:b/>
                <w:bCs/>
                <w:color w:val="000000" w:themeColor="text1"/>
                <w:sz w:val="20"/>
                <w:szCs w:val="20"/>
              </w:rPr>
            </w:pPr>
            <w:r w:rsidRPr="0030508E">
              <w:rPr>
                <w:rFonts w:ascii="Arial Narrow" w:hAnsi="Arial Narrow"/>
                <w:b/>
                <w:bCs/>
                <w:color w:val="000000" w:themeColor="text1"/>
                <w:sz w:val="20"/>
                <w:szCs w:val="20"/>
              </w:rPr>
              <w:t xml:space="preserve">Clinical criteria: </w:t>
            </w:r>
          </w:p>
        </w:tc>
      </w:tr>
      <w:tr w:rsidR="00216C36" w:rsidRPr="00130928" w14:paraId="570C58EA" w14:textId="77777777" w:rsidTr="004F572F">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274" w:type="dxa"/>
            <w:gridSpan w:val="3"/>
            <w:vAlign w:val="center"/>
          </w:tcPr>
          <w:p w14:paraId="7BDF60BA" w14:textId="3CD02C97" w:rsidR="00216C36" w:rsidRPr="00674940" w:rsidRDefault="00216C36" w:rsidP="00213DD5">
            <w:pPr>
              <w:jc w:val="center"/>
              <w:rPr>
                <w:rFonts w:ascii="Arial Narrow" w:hAnsi="Arial Narrow"/>
                <w:sz w:val="20"/>
                <w:szCs w:val="20"/>
              </w:rPr>
            </w:pPr>
          </w:p>
        </w:tc>
        <w:tc>
          <w:tcPr>
            <w:tcW w:w="8086" w:type="dxa"/>
            <w:gridSpan w:val="7"/>
            <w:vAlign w:val="center"/>
          </w:tcPr>
          <w:p w14:paraId="438EC445" w14:textId="7D9218BA" w:rsidR="00216C36" w:rsidRPr="00674940" w:rsidRDefault="00216C36" w:rsidP="00213DD5">
            <w:pPr>
              <w:jc w:val="left"/>
              <w:rPr>
                <w:rFonts w:ascii="Arial Narrow" w:hAnsi="Arial Narrow"/>
                <w:strike/>
                <w:sz w:val="20"/>
                <w:szCs w:val="20"/>
              </w:rPr>
            </w:pPr>
            <w:r w:rsidRPr="00674940">
              <w:rPr>
                <w:rFonts w:ascii="Arial Narrow" w:hAnsi="Arial Narrow"/>
                <w:sz w:val="20"/>
                <w:szCs w:val="20"/>
              </w:rPr>
              <w:t>Patient must have demonstrated an adequate response to treatment with this drug</w:t>
            </w:r>
          </w:p>
        </w:tc>
      </w:tr>
      <w:tr w:rsidR="00216C36" w:rsidRPr="0030508E" w14:paraId="33C653B1" w14:textId="77777777" w:rsidTr="004F572F">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274" w:type="dxa"/>
            <w:gridSpan w:val="3"/>
            <w:vAlign w:val="center"/>
          </w:tcPr>
          <w:p w14:paraId="0FBBFEA6" w14:textId="194B81B6" w:rsidR="00216C36" w:rsidRPr="0030508E" w:rsidRDefault="00216C36" w:rsidP="00213DD5">
            <w:pPr>
              <w:jc w:val="center"/>
              <w:rPr>
                <w:rFonts w:ascii="Arial Narrow" w:hAnsi="Arial Narrow"/>
                <w:color w:val="000000" w:themeColor="text1"/>
                <w:sz w:val="20"/>
                <w:szCs w:val="20"/>
              </w:rPr>
            </w:pPr>
          </w:p>
        </w:tc>
        <w:tc>
          <w:tcPr>
            <w:tcW w:w="8086" w:type="dxa"/>
            <w:gridSpan w:val="7"/>
            <w:vAlign w:val="center"/>
          </w:tcPr>
          <w:p w14:paraId="3A24E086" w14:textId="77777777" w:rsidR="00216C36" w:rsidRPr="0030508E" w:rsidRDefault="00216C36" w:rsidP="00213DD5">
            <w:pPr>
              <w:rPr>
                <w:rFonts w:ascii="Arial Narrow" w:hAnsi="Arial Narrow"/>
                <w:color w:val="000000" w:themeColor="text1"/>
                <w:sz w:val="20"/>
                <w:szCs w:val="20"/>
              </w:rPr>
            </w:pPr>
            <w:r w:rsidRPr="0030508E">
              <w:rPr>
                <w:rFonts w:ascii="Arial Narrow" w:hAnsi="Arial Narrow"/>
                <w:b/>
                <w:bCs/>
                <w:color w:val="000000" w:themeColor="text1"/>
                <w:sz w:val="20"/>
                <w:szCs w:val="20"/>
              </w:rPr>
              <w:t>Treatment criteria:</w:t>
            </w:r>
          </w:p>
        </w:tc>
      </w:tr>
      <w:tr w:rsidR="00216C36" w:rsidRPr="0030508E" w14:paraId="1D954A31" w14:textId="77777777" w:rsidTr="004F572F">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274" w:type="dxa"/>
            <w:gridSpan w:val="3"/>
            <w:vAlign w:val="center"/>
          </w:tcPr>
          <w:p w14:paraId="5A856D10" w14:textId="00BBE954" w:rsidR="00216C36" w:rsidRPr="0030508E" w:rsidRDefault="00216C36" w:rsidP="00213DD5">
            <w:pPr>
              <w:jc w:val="center"/>
              <w:rPr>
                <w:rFonts w:ascii="Arial Narrow" w:hAnsi="Arial Narrow"/>
                <w:color w:val="000000" w:themeColor="text1"/>
                <w:sz w:val="20"/>
                <w:szCs w:val="20"/>
              </w:rPr>
            </w:pPr>
          </w:p>
        </w:tc>
        <w:tc>
          <w:tcPr>
            <w:tcW w:w="8086" w:type="dxa"/>
            <w:gridSpan w:val="7"/>
            <w:vAlign w:val="center"/>
          </w:tcPr>
          <w:p w14:paraId="4BB5EEC1" w14:textId="0996AD13" w:rsidR="00216C36" w:rsidRPr="007C5E74" w:rsidRDefault="00216C36" w:rsidP="00213DD5">
            <w:pPr>
              <w:pStyle w:val="Default"/>
              <w:rPr>
                <w:rFonts w:ascii="Arial Narrow" w:hAnsi="Arial Narrow"/>
                <w:color w:val="auto"/>
                <w:sz w:val="20"/>
                <w:szCs w:val="20"/>
              </w:rPr>
            </w:pPr>
            <w:r w:rsidRPr="007C5E74">
              <w:rPr>
                <w:rFonts w:ascii="Arial Narrow" w:hAnsi="Arial Narrow"/>
                <w:color w:val="auto"/>
                <w:sz w:val="20"/>
                <w:szCs w:val="20"/>
              </w:rPr>
              <w:t xml:space="preserve">Must be treated by </w:t>
            </w:r>
            <w:r w:rsidRPr="007C5E74">
              <w:rPr>
                <w:rFonts w:ascii="Arial Narrow" w:hAnsi="Arial Narrow"/>
                <w:i/>
                <w:iCs/>
                <w:color w:val="auto"/>
                <w:sz w:val="20"/>
                <w:szCs w:val="20"/>
              </w:rPr>
              <w:t>(i)</w:t>
            </w:r>
            <w:r w:rsidRPr="007C5E74">
              <w:rPr>
                <w:rFonts w:ascii="Arial Narrow" w:hAnsi="Arial Narrow"/>
                <w:color w:val="auto"/>
                <w:sz w:val="20"/>
                <w:szCs w:val="20"/>
              </w:rPr>
              <w:t xml:space="preserve"> an</w:t>
            </w:r>
            <w:r w:rsidRPr="007C5E74">
              <w:rPr>
                <w:rFonts w:ascii="Arial Narrow" w:hAnsi="Arial Narrow"/>
                <w:i/>
                <w:iCs/>
                <w:color w:val="auto"/>
                <w:sz w:val="20"/>
                <w:szCs w:val="20"/>
              </w:rPr>
              <w:t xml:space="preserve"> </w:t>
            </w:r>
            <w:r w:rsidRPr="007C5E74">
              <w:rPr>
                <w:rFonts w:ascii="Arial Narrow" w:hAnsi="Arial Narrow"/>
                <w:color w:val="auto"/>
                <w:sz w:val="20"/>
                <w:szCs w:val="20"/>
              </w:rPr>
              <w:t>endocrinologist</w:t>
            </w:r>
            <w:r w:rsidRPr="007C5E74">
              <w:rPr>
                <w:rFonts w:ascii="Arial Narrow" w:hAnsi="Arial Narrow"/>
                <w:i/>
                <w:iCs/>
                <w:color w:val="auto"/>
                <w:sz w:val="20"/>
                <w:szCs w:val="20"/>
              </w:rPr>
              <w:t xml:space="preserve">, (ii) </w:t>
            </w:r>
            <w:r w:rsidRPr="00D36D07">
              <w:rPr>
                <w:rFonts w:ascii="Arial Narrow" w:hAnsi="Arial Narrow"/>
                <w:color w:val="auto"/>
                <w:sz w:val="20"/>
                <w:szCs w:val="20"/>
              </w:rPr>
              <w:t xml:space="preserve">a </w:t>
            </w:r>
            <w:r w:rsidRPr="00D36D07">
              <w:rPr>
                <w:rFonts w:ascii="Arial Narrow" w:hAnsi="Arial Narrow"/>
                <w:strike/>
                <w:color w:val="auto"/>
                <w:sz w:val="20"/>
                <w:szCs w:val="20"/>
              </w:rPr>
              <w:t>general practitioner</w:t>
            </w:r>
            <w:r>
              <w:rPr>
                <w:rFonts w:ascii="Arial Narrow" w:hAnsi="Arial Narrow"/>
                <w:i/>
                <w:iCs/>
                <w:color w:val="auto"/>
                <w:sz w:val="20"/>
                <w:szCs w:val="20"/>
              </w:rPr>
              <w:t xml:space="preserve"> </w:t>
            </w:r>
            <w:r w:rsidRPr="007C5E74">
              <w:rPr>
                <w:rFonts w:ascii="Arial Narrow" w:hAnsi="Arial Narrow"/>
                <w:i/>
                <w:iCs/>
                <w:color w:val="auto"/>
                <w:sz w:val="20"/>
                <w:szCs w:val="20"/>
              </w:rPr>
              <w:t xml:space="preserve">medical specialist </w:t>
            </w:r>
            <w:r w:rsidRPr="00D36D07">
              <w:rPr>
                <w:rFonts w:ascii="Arial Narrow" w:hAnsi="Arial Narrow"/>
                <w:color w:val="auto"/>
                <w:sz w:val="20"/>
                <w:szCs w:val="20"/>
              </w:rPr>
              <w:t>experienced in the</w:t>
            </w:r>
            <w:r w:rsidRPr="007C5E74">
              <w:rPr>
                <w:rFonts w:ascii="Arial Narrow" w:hAnsi="Arial Narrow"/>
                <w:i/>
                <w:iCs/>
                <w:color w:val="auto"/>
                <w:sz w:val="20"/>
                <w:szCs w:val="20"/>
              </w:rPr>
              <w:t xml:space="preserve"> </w:t>
            </w:r>
            <w:r w:rsidRPr="00D36D07">
              <w:rPr>
                <w:rFonts w:ascii="Arial Narrow" w:hAnsi="Arial Narrow"/>
                <w:color w:val="auto"/>
                <w:sz w:val="20"/>
                <w:szCs w:val="20"/>
              </w:rPr>
              <w:t xml:space="preserve">management of hypoparathyroidism </w:t>
            </w:r>
            <w:r w:rsidRPr="00D36D07">
              <w:rPr>
                <w:rFonts w:ascii="Arial Narrow" w:hAnsi="Arial Narrow"/>
                <w:strike/>
                <w:color w:val="auto"/>
                <w:sz w:val="20"/>
                <w:szCs w:val="20"/>
              </w:rPr>
              <w:t>in consultation with an endocrinologist</w:t>
            </w:r>
            <w:r w:rsidRPr="00D36D07">
              <w:rPr>
                <w:rFonts w:ascii="Arial Narrow" w:hAnsi="Arial Narrow"/>
                <w:i/>
                <w:iCs/>
                <w:strike/>
                <w:color w:val="auto"/>
                <w:sz w:val="20"/>
                <w:szCs w:val="20"/>
              </w:rPr>
              <w:t xml:space="preserve"> </w:t>
            </w:r>
          </w:p>
        </w:tc>
      </w:tr>
      <w:tr w:rsidR="00216C36" w:rsidRPr="00D36D07" w14:paraId="67A6508E" w14:textId="77777777" w:rsidTr="004F572F">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274" w:type="dxa"/>
            <w:gridSpan w:val="3"/>
            <w:vAlign w:val="center"/>
          </w:tcPr>
          <w:p w14:paraId="5F242CD2" w14:textId="77777777" w:rsidR="00216C36" w:rsidRPr="00D36D07" w:rsidRDefault="00216C36" w:rsidP="00500CD6">
            <w:pPr>
              <w:jc w:val="center"/>
              <w:rPr>
                <w:rFonts w:ascii="Arial Narrow" w:hAnsi="Arial Narrow"/>
                <w:sz w:val="20"/>
                <w:szCs w:val="20"/>
              </w:rPr>
            </w:pPr>
          </w:p>
        </w:tc>
        <w:tc>
          <w:tcPr>
            <w:tcW w:w="8086" w:type="dxa"/>
            <w:gridSpan w:val="7"/>
            <w:vAlign w:val="center"/>
          </w:tcPr>
          <w:p w14:paraId="09D8594C" w14:textId="77777777" w:rsidR="00216C36" w:rsidRPr="00D36D07" w:rsidRDefault="00216C36" w:rsidP="00213DD5">
            <w:pPr>
              <w:rPr>
                <w:rFonts w:ascii="Arial Narrow" w:hAnsi="Arial Narrow"/>
                <w:b/>
                <w:bCs/>
                <w:sz w:val="20"/>
                <w:szCs w:val="20"/>
              </w:rPr>
            </w:pPr>
            <w:r w:rsidRPr="00D36D07">
              <w:rPr>
                <w:rFonts w:ascii="Arial Narrow" w:hAnsi="Arial Narrow"/>
                <w:b/>
                <w:bCs/>
                <w:sz w:val="20"/>
                <w:szCs w:val="20"/>
              </w:rPr>
              <w:t>Prescribing Instructions:</w:t>
            </w:r>
          </w:p>
          <w:p w14:paraId="4BE66664" w14:textId="77777777" w:rsidR="00216C36" w:rsidRPr="00D36D07" w:rsidRDefault="00216C36" w:rsidP="00213DD5">
            <w:pPr>
              <w:rPr>
                <w:rFonts w:ascii="Arial Narrow" w:hAnsi="Arial Narrow"/>
                <w:sz w:val="20"/>
                <w:szCs w:val="20"/>
              </w:rPr>
            </w:pPr>
            <w:r w:rsidRPr="00D36D07">
              <w:rPr>
                <w:rFonts w:ascii="Arial Narrow" w:hAnsi="Arial Narrow"/>
                <w:sz w:val="20"/>
                <w:szCs w:val="20"/>
              </w:rPr>
              <w:t>An adequate response to treatment is defined as:</w:t>
            </w:r>
          </w:p>
          <w:p w14:paraId="60F2E37E" w14:textId="77777777" w:rsidR="00216C36" w:rsidRPr="00D36D07" w:rsidRDefault="00216C36" w:rsidP="00213DD5">
            <w:pPr>
              <w:rPr>
                <w:rFonts w:ascii="Arial Narrow" w:hAnsi="Arial Narrow"/>
                <w:sz w:val="20"/>
                <w:szCs w:val="20"/>
              </w:rPr>
            </w:pPr>
            <w:r w:rsidRPr="00D36D07">
              <w:rPr>
                <w:rFonts w:ascii="Arial Narrow" w:hAnsi="Arial Narrow"/>
                <w:sz w:val="20"/>
                <w:szCs w:val="20"/>
              </w:rPr>
              <w:t>An albumin-adjusted serum calcium in the normal range, AND</w:t>
            </w:r>
          </w:p>
          <w:p w14:paraId="610E3875" w14:textId="77777777" w:rsidR="00216C36" w:rsidRPr="00D36D07" w:rsidRDefault="00216C36" w:rsidP="00213DD5">
            <w:pPr>
              <w:rPr>
                <w:rFonts w:ascii="Arial Narrow" w:hAnsi="Arial Narrow"/>
                <w:sz w:val="20"/>
                <w:szCs w:val="20"/>
              </w:rPr>
            </w:pPr>
            <w:r w:rsidRPr="00D36D07">
              <w:rPr>
                <w:rFonts w:ascii="Arial Narrow" w:hAnsi="Arial Narrow"/>
                <w:sz w:val="20"/>
                <w:szCs w:val="20"/>
              </w:rPr>
              <w:t>Without concomitant use of active vitamin D, AND</w:t>
            </w:r>
          </w:p>
          <w:p w14:paraId="7998B89E" w14:textId="77777777" w:rsidR="00216C36" w:rsidRPr="00D36D07" w:rsidRDefault="00216C36" w:rsidP="00213DD5">
            <w:pPr>
              <w:rPr>
                <w:rFonts w:ascii="Arial Narrow" w:hAnsi="Arial Narrow"/>
                <w:sz w:val="20"/>
                <w:szCs w:val="20"/>
              </w:rPr>
            </w:pPr>
            <w:r w:rsidRPr="00D36D07">
              <w:rPr>
                <w:rFonts w:ascii="Arial Narrow" w:hAnsi="Arial Narrow"/>
                <w:sz w:val="20"/>
                <w:szCs w:val="20"/>
              </w:rPr>
              <w:t>Without concomitant use of elemental calcium at a dose of &gt; 600 mg/day, AND</w:t>
            </w:r>
          </w:p>
          <w:p w14:paraId="72EF769D" w14:textId="77777777" w:rsidR="00216C36" w:rsidRPr="00D36D07" w:rsidRDefault="00216C36" w:rsidP="00213DD5">
            <w:r w:rsidRPr="00D36D07">
              <w:rPr>
                <w:rFonts w:ascii="Arial Narrow" w:hAnsi="Arial Narrow"/>
                <w:sz w:val="20"/>
                <w:szCs w:val="20"/>
              </w:rPr>
              <w:t>The dose of this drug must be stable over the last four weeks.</w:t>
            </w:r>
          </w:p>
        </w:tc>
      </w:tr>
      <w:tr w:rsidR="00194E65" w:rsidRPr="00D36D07" w14:paraId="3FCC7FB3" w14:textId="77777777" w:rsidTr="004F572F">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9360" w:type="dxa"/>
            <w:gridSpan w:val="10"/>
            <w:vAlign w:val="center"/>
          </w:tcPr>
          <w:p w14:paraId="7B7B2F24" w14:textId="77777777" w:rsidR="00194E65" w:rsidRPr="00D36D07" w:rsidRDefault="00194E65" w:rsidP="00213DD5">
            <w:pPr>
              <w:rPr>
                <w:rFonts w:ascii="Arial Narrow" w:hAnsi="Arial Narrow"/>
                <w:b/>
                <w:bCs/>
                <w:sz w:val="20"/>
                <w:szCs w:val="20"/>
              </w:rPr>
            </w:pPr>
          </w:p>
        </w:tc>
      </w:tr>
      <w:tr w:rsidR="0087344F" w:rsidRPr="0030508E" w14:paraId="16367E8C" w14:textId="77777777" w:rsidTr="006A6A09">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9360" w:type="dxa"/>
            <w:gridSpan w:val="10"/>
            <w:vAlign w:val="center"/>
          </w:tcPr>
          <w:p w14:paraId="29432BCB" w14:textId="59E7A2C0" w:rsidR="00194E65" w:rsidRPr="0030508E" w:rsidRDefault="00194E65" w:rsidP="00213DD5">
            <w:pPr>
              <w:rPr>
                <w:rFonts w:ascii="Arial Narrow" w:hAnsi="Arial Narrow"/>
                <w:b/>
                <w:bCs/>
                <w:color w:val="000000" w:themeColor="text1"/>
                <w:sz w:val="20"/>
                <w:szCs w:val="20"/>
              </w:rPr>
            </w:pPr>
            <w:r w:rsidRPr="0030508E">
              <w:rPr>
                <w:rFonts w:ascii="Arial Narrow" w:hAnsi="Arial Narrow"/>
                <w:b/>
                <w:bCs/>
                <w:color w:val="000000" w:themeColor="text1"/>
                <w:sz w:val="20"/>
                <w:szCs w:val="20"/>
              </w:rPr>
              <w:t>Restriction Summary [new</w:t>
            </w:r>
            <w:r w:rsidR="00F04B14">
              <w:rPr>
                <w:rFonts w:ascii="Arial Narrow" w:hAnsi="Arial Narrow"/>
                <w:b/>
                <w:bCs/>
                <w:color w:val="000000" w:themeColor="text1"/>
                <w:sz w:val="20"/>
                <w:szCs w:val="20"/>
              </w:rPr>
              <w:t>4</w:t>
            </w:r>
            <w:r w:rsidRPr="0030508E">
              <w:rPr>
                <w:rFonts w:ascii="Arial Narrow" w:hAnsi="Arial Narrow"/>
                <w:b/>
                <w:bCs/>
                <w:color w:val="000000" w:themeColor="text1"/>
                <w:sz w:val="20"/>
                <w:szCs w:val="20"/>
              </w:rPr>
              <w:t>] / Treatment of Concept: [new</w:t>
            </w:r>
            <w:r w:rsidR="00F04B14">
              <w:rPr>
                <w:rFonts w:ascii="Arial Narrow" w:hAnsi="Arial Narrow"/>
                <w:b/>
                <w:bCs/>
                <w:color w:val="000000" w:themeColor="text1"/>
                <w:sz w:val="20"/>
                <w:szCs w:val="20"/>
              </w:rPr>
              <w:t>4</w:t>
            </w:r>
            <w:r w:rsidRPr="0030508E">
              <w:rPr>
                <w:rFonts w:ascii="Arial Narrow" w:hAnsi="Arial Narrow"/>
                <w:b/>
                <w:bCs/>
                <w:color w:val="000000" w:themeColor="text1"/>
                <w:sz w:val="20"/>
                <w:szCs w:val="20"/>
              </w:rPr>
              <w:t>A]</w:t>
            </w:r>
          </w:p>
        </w:tc>
      </w:tr>
      <w:tr w:rsidR="00C9424F" w:rsidRPr="0030508E" w14:paraId="0AAC36BE" w14:textId="77777777" w:rsidTr="002D4F18">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323" w:type="dxa"/>
            <w:gridSpan w:val="4"/>
            <w:vMerge w:val="restart"/>
            <w:tcBorders>
              <w:top w:val="single" w:sz="4" w:space="0" w:color="auto"/>
              <w:left w:val="single" w:sz="4" w:space="0" w:color="auto"/>
              <w:right w:val="single" w:sz="4" w:space="0" w:color="auto"/>
            </w:tcBorders>
          </w:tcPr>
          <w:p w14:paraId="74874356" w14:textId="77777777" w:rsidR="00194E65" w:rsidRPr="0030508E" w:rsidRDefault="00194E65" w:rsidP="00213DD5">
            <w:pPr>
              <w:jc w:val="center"/>
              <w:rPr>
                <w:rFonts w:ascii="Arial Narrow" w:hAnsi="Arial Narrow"/>
                <w:b/>
                <w:color w:val="000000" w:themeColor="text1"/>
                <w:sz w:val="20"/>
                <w:szCs w:val="20"/>
              </w:rPr>
            </w:pPr>
            <w:r w:rsidRPr="0030508E">
              <w:rPr>
                <w:rFonts w:ascii="Arial Narrow" w:hAnsi="Arial Narrow"/>
                <w:b/>
                <w:color w:val="000000" w:themeColor="text1"/>
                <w:sz w:val="20"/>
                <w:szCs w:val="20"/>
              </w:rPr>
              <w:t>Concept ID</w:t>
            </w:r>
            <w:r w:rsidRPr="0030508E">
              <w:rPr>
                <w:rFonts w:ascii="Arial Narrow" w:hAnsi="Arial Narrow"/>
                <w:b/>
                <w:color w:val="000000" w:themeColor="text1"/>
                <w:sz w:val="20"/>
                <w:szCs w:val="20"/>
              </w:rPr>
              <w:br/>
            </w:r>
            <w:r w:rsidRPr="0030508E">
              <w:rPr>
                <w:rFonts w:ascii="Arial Narrow" w:hAnsi="Arial Narrow"/>
                <w:color w:val="000000" w:themeColor="text1"/>
                <w:sz w:val="20"/>
                <w:szCs w:val="20"/>
              </w:rPr>
              <w:t>(for internal Dept. use)</w:t>
            </w:r>
          </w:p>
        </w:tc>
        <w:tc>
          <w:tcPr>
            <w:tcW w:w="8037" w:type="dxa"/>
            <w:gridSpan w:val="6"/>
            <w:tcBorders>
              <w:top w:val="single" w:sz="4" w:space="0" w:color="auto"/>
              <w:left w:val="single" w:sz="4" w:space="0" w:color="auto"/>
              <w:bottom w:val="single" w:sz="4" w:space="0" w:color="auto"/>
              <w:right w:val="single" w:sz="4" w:space="0" w:color="auto"/>
            </w:tcBorders>
            <w:vAlign w:val="center"/>
          </w:tcPr>
          <w:p w14:paraId="042F4264" w14:textId="77777777" w:rsidR="00194E65" w:rsidRPr="0030508E" w:rsidRDefault="00194E65" w:rsidP="00213DD5">
            <w:pPr>
              <w:keepLines/>
              <w:rPr>
                <w:rFonts w:ascii="Arial Narrow" w:hAnsi="Arial Narrow"/>
                <w:color w:val="000000" w:themeColor="text1"/>
                <w:sz w:val="20"/>
                <w:szCs w:val="20"/>
              </w:rPr>
            </w:pPr>
            <w:r w:rsidRPr="0030508E">
              <w:rPr>
                <w:rFonts w:ascii="Arial Narrow" w:hAnsi="Arial Narrow"/>
                <w:b/>
                <w:color w:val="000000" w:themeColor="text1"/>
                <w:sz w:val="20"/>
                <w:szCs w:val="20"/>
              </w:rPr>
              <w:t>Category / Program:</w:t>
            </w:r>
            <w:r w:rsidRPr="0030508E">
              <w:rPr>
                <w:rFonts w:ascii="Arial Narrow" w:hAnsi="Arial Narrow"/>
                <w:color w:val="000000" w:themeColor="text1"/>
                <w:sz w:val="20"/>
                <w:szCs w:val="20"/>
              </w:rPr>
              <w:t xml:space="preserve"> </w:t>
            </w:r>
            <w:r w:rsidRPr="0030508E">
              <w:rPr>
                <w:rFonts w:ascii="Arial Narrow" w:eastAsia="Calibri" w:hAnsi="Arial Narrow"/>
                <w:color w:val="000000" w:themeColor="text1"/>
                <w:sz w:val="20"/>
                <w:szCs w:val="20"/>
              </w:rPr>
              <w:fldChar w:fldCharType="begin">
                <w:ffData>
                  <w:name w:val=""/>
                  <w:enabled/>
                  <w:calcOnExit w:val="0"/>
                  <w:checkBox>
                    <w:sizeAuto/>
                    <w:default w:val="1"/>
                  </w:checkBox>
                </w:ffData>
              </w:fldChar>
            </w:r>
            <w:r w:rsidRPr="0030508E">
              <w:rPr>
                <w:rFonts w:ascii="Arial Narrow" w:eastAsia="Calibri" w:hAnsi="Arial Narrow"/>
                <w:color w:val="000000" w:themeColor="text1"/>
                <w:sz w:val="20"/>
                <w:szCs w:val="20"/>
              </w:rPr>
              <w:instrText xml:space="preserve"> FORMCHECKBOX </w:instrText>
            </w:r>
            <w:r w:rsidRPr="0030508E">
              <w:rPr>
                <w:rFonts w:ascii="Arial Narrow" w:eastAsia="Calibri" w:hAnsi="Arial Narrow"/>
                <w:color w:val="000000" w:themeColor="text1"/>
                <w:sz w:val="20"/>
                <w:szCs w:val="20"/>
              </w:rPr>
            </w:r>
            <w:r w:rsidRPr="0030508E">
              <w:rPr>
                <w:rFonts w:ascii="Arial Narrow" w:eastAsia="Calibri" w:hAnsi="Arial Narrow"/>
                <w:color w:val="000000" w:themeColor="text1"/>
                <w:sz w:val="20"/>
                <w:szCs w:val="20"/>
              </w:rPr>
              <w:fldChar w:fldCharType="separate"/>
            </w:r>
            <w:r w:rsidRPr="0030508E">
              <w:rPr>
                <w:rFonts w:ascii="Arial Narrow" w:eastAsia="Calibri" w:hAnsi="Arial Narrow"/>
                <w:color w:val="000000" w:themeColor="text1"/>
                <w:sz w:val="20"/>
                <w:szCs w:val="20"/>
              </w:rPr>
              <w:fldChar w:fldCharType="end"/>
            </w:r>
            <w:r w:rsidRPr="0030508E">
              <w:rPr>
                <w:rFonts w:ascii="Arial Narrow" w:eastAsia="Calibri" w:hAnsi="Arial Narrow"/>
                <w:color w:val="000000" w:themeColor="text1"/>
                <w:sz w:val="20"/>
                <w:szCs w:val="20"/>
              </w:rPr>
              <w:t xml:space="preserve"> GENERAL - General Schedule (Code GE) </w:t>
            </w:r>
          </w:p>
        </w:tc>
      </w:tr>
      <w:tr w:rsidR="00C9424F" w:rsidRPr="0030508E" w14:paraId="79B3CB4E" w14:textId="77777777" w:rsidTr="002D4F18">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323" w:type="dxa"/>
            <w:gridSpan w:val="4"/>
            <w:vMerge/>
          </w:tcPr>
          <w:p w14:paraId="7B4852A9" w14:textId="77777777" w:rsidR="00194E65" w:rsidRPr="0030508E" w:rsidRDefault="00194E65" w:rsidP="00213DD5">
            <w:pPr>
              <w:rPr>
                <w:rFonts w:ascii="Arial Narrow" w:hAnsi="Arial Narrow"/>
                <w:color w:val="000000" w:themeColor="text1"/>
                <w:sz w:val="20"/>
                <w:szCs w:val="20"/>
              </w:rPr>
            </w:pPr>
          </w:p>
        </w:tc>
        <w:tc>
          <w:tcPr>
            <w:tcW w:w="8037" w:type="dxa"/>
            <w:gridSpan w:val="6"/>
            <w:tcBorders>
              <w:top w:val="single" w:sz="4" w:space="0" w:color="auto"/>
              <w:left w:val="single" w:sz="4" w:space="0" w:color="auto"/>
              <w:bottom w:val="single" w:sz="4" w:space="0" w:color="auto"/>
              <w:right w:val="single" w:sz="4" w:space="0" w:color="auto"/>
            </w:tcBorders>
            <w:vAlign w:val="center"/>
          </w:tcPr>
          <w:p w14:paraId="20980F36" w14:textId="77777777" w:rsidR="00194E65" w:rsidRPr="0030508E" w:rsidRDefault="00194E65" w:rsidP="00213DD5">
            <w:pPr>
              <w:keepNext/>
              <w:keepLines/>
              <w:rPr>
                <w:rFonts w:ascii="Arial Narrow" w:hAnsi="Arial Narrow"/>
                <w:b/>
                <w:color w:val="000000" w:themeColor="text1"/>
                <w:sz w:val="20"/>
                <w:szCs w:val="20"/>
              </w:rPr>
            </w:pPr>
            <w:r w:rsidRPr="0030508E">
              <w:rPr>
                <w:rFonts w:ascii="Arial Narrow" w:hAnsi="Arial Narrow"/>
                <w:b/>
                <w:color w:val="000000" w:themeColor="text1"/>
                <w:sz w:val="20"/>
                <w:szCs w:val="20"/>
              </w:rPr>
              <w:t xml:space="preserve">Prescriber type: </w:t>
            </w:r>
            <w:r w:rsidRPr="0030508E">
              <w:rPr>
                <w:rFonts w:ascii="Arial Narrow" w:hAnsi="Arial Narrow"/>
                <w:color w:val="000000" w:themeColor="text1"/>
                <w:sz w:val="20"/>
                <w:szCs w:val="20"/>
              </w:rPr>
              <w:fldChar w:fldCharType="begin">
                <w:ffData>
                  <w:name w:val=""/>
                  <w:enabled/>
                  <w:calcOnExit w:val="0"/>
                  <w:checkBox>
                    <w:sizeAuto/>
                    <w:default w:val="1"/>
                  </w:checkBox>
                </w:ffData>
              </w:fldChar>
            </w:r>
            <w:r w:rsidRPr="0030508E">
              <w:rPr>
                <w:rFonts w:ascii="Arial Narrow" w:hAnsi="Arial Narrow"/>
                <w:color w:val="000000" w:themeColor="text1"/>
                <w:sz w:val="20"/>
                <w:szCs w:val="20"/>
              </w:rPr>
              <w:instrText xml:space="preserve"> FORMCHECKBOX </w:instrText>
            </w:r>
            <w:r w:rsidRPr="0030508E">
              <w:rPr>
                <w:rFonts w:ascii="Arial Narrow" w:hAnsi="Arial Narrow"/>
                <w:color w:val="000000" w:themeColor="text1"/>
                <w:sz w:val="20"/>
                <w:szCs w:val="20"/>
              </w:rPr>
            </w:r>
            <w:r w:rsidRPr="0030508E">
              <w:rPr>
                <w:rFonts w:ascii="Arial Narrow" w:hAnsi="Arial Narrow"/>
                <w:color w:val="000000" w:themeColor="text1"/>
                <w:sz w:val="20"/>
                <w:szCs w:val="20"/>
              </w:rPr>
              <w:fldChar w:fldCharType="separate"/>
            </w:r>
            <w:r w:rsidRPr="0030508E">
              <w:rPr>
                <w:rFonts w:ascii="Arial Narrow" w:hAnsi="Arial Narrow"/>
                <w:color w:val="000000" w:themeColor="text1"/>
                <w:sz w:val="20"/>
                <w:szCs w:val="20"/>
              </w:rPr>
              <w:fldChar w:fldCharType="end"/>
            </w:r>
            <w:r w:rsidRPr="0030508E">
              <w:rPr>
                <w:rFonts w:ascii="Arial Narrow" w:hAnsi="Arial Narrow"/>
                <w:color w:val="000000" w:themeColor="text1"/>
                <w:sz w:val="20"/>
                <w:szCs w:val="20"/>
              </w:rPr>
              <w:t xml:space="preserve">Medical Practitioners </w:t>
            </w:r>
          </w:p>
        </w:tc>
      </w:tr>
      <w:tr w:rsidR="00C9424F" w:rsidRPr="0030508E" w14:paraId="48B62CA6" w14:textId="77777777" w:rsidTr="002D4F18">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323" w:type="dxa"/>
            <w:gridSpan w:val="4"/>
            <w:vMerge/>
          </w:tcPr>
          <w:p w14:paraId="187833DE" w14:textId="77777777" w:rsidR="00194E65" w:rsidRPr="0030508E" w:rsidRDefault="00194E65" w:rsidP="00213DD5">
            <w:pPr>
              <w:rPr>
                <w:rFonts w:ascii="Arial Narrow" w:hAnsi="Arial Narrow"/>
                <w:color w:val="000000" w:themeColor="text1"/>
                <w:sz w:val="20"/>
                <w:szCs w:val="20"/>
              </w:rPr>
            </w:pPr>
          </w:p>
        </w:tc>
        <w:tc>
          <w:tcPr>
            <w:tcW w:w="8037" w:type="dxa"/>
            <w:gridSpan w:val="6"/>
            <w:tcBorders>
              <w:top w:val="single" w:sz="4" w:space="0" w:color="auto"/>
              <w:left w:val="single" w:sz="4" w:space="0" w:color="auto"/>
              <w:bottom w:val="single" w:sz="4" w:space="0" w:color="auto"/>
              <w:right w:val="single" w:sz="4" w:space="0" w:color="auto"/>
            </w:tcBorders>
            <w:vAlign w:val="center"/>
          </w:tcPr>
          <w:p w14:paraId="566A9A8C" w14:textId="77777777" w:rsidR="00194E65" w:rsidRPr="0030508E" w:rsidRDefault="00194E65" w:rsidP="00213DD5">
            <w:pPr>
              <w:keepNext/>
              <w:keepLines/>
              <w:rPr>
                <w:rFonts w:ascii="Arial Narrow" w:eastAsia="Calibri" w:hAnsi="Arial Narrow"/>
                <w:color w:val="000000" w:themeColor="text1"/>
                <w:sz w:val="20"/>
                <w:szCs w:val="20"/>
              </w:rPr>
            </w:pPr>
            <w:r w:rsidRPr="0030508E">
              <w:rPr>
                <w:rFonts w:ascii="Arial Narrow" w:hAnsi="Arial Narrow"/>
                <w:b/>
                <w:color w:val="000000" w:themeColor="text1"/>
                <w:sz w:val="20"/>
                <w:szCs w:val="20"/>
              </w:rPr>
              <w:t xml:space="preserve">Restriction type: </w:t>
            </w:r>
            <w:r w:rsidRPr="0030508E">
              <w:rPr>
                <w:rFonts w:ascii="Arial Narrow" w:eastAsia="Calibri" w:hAnsi="Arial Narrow"/>
                <w:color w:val="000000" w:themeColor="text1"/>
                <w:sz w:val="20"/>
                <w:szCs w:val="20"/>
              </w:rPr>
              <w:fldChar w:fldCharType="begin">
                <w:ffData>
                  <w:name w:val=""/>
                  <w:enabled/>
                  <w:calcOnExit w:val="0"/>
                  <w:checkBox>
                    <w:sizeAuto/>
                    <w:default w:val="1"/>
                  </w:checkBox>
                </w:ffData>
              </w:fldChar>
            </w:r>
            <w:r w:rsidRPr="0030508E">
              <w:rPr>
                <w:rFonts w:ascii="Arial Narrow" w:eastAsia="Calibri" w:hAnsi="Arial Narrow"/>
                <w:color w:val="000000" w:themeColor="text1"/>
                <w:sz w:val="20"/>
                <w:szCs w:val="20"/>
              </w:rPr>
              <w:instrText xml:space="preserve"> FORMCHECKBOX </w:instrText>
            </w:r>
            <w:r w:rsidRPr="0030508E">
              <w:rPr>
                <w:rFonts w:ascii="Arial Narrow" w:eastAsia="Calibri" w:hAnsi="Arial Narrow"/>
                <w:color w:val="000000" w:themeColor="text1"/>
                <w:sz w:val="20"/>
                <w:szCs w:val="20"/>
              </w:rPr>
            </w:r>
            <w:r w:rsidRPr="0030508E">
              <w:rPr>
                <w:rFonts w:ascii="Arial Narrow" w:eastAsia="Calibri" w:hAnsi="Arial Narrow"/>
                <w:color w:val="000000" w:themeColor="text1"/>
                <w:sz w:val="20"/>
                <w:szCs w:val="20"/>
              </w:rPr>
              <w:fldChar w:fldCharType="separate"/>
            </w:r>
            <w:r w:rsidRPr="0030508E">
              <w:rPr>
                <w:rFonts w:ascii="Arial Narrow" w:eastAsia="Calibri" w:hAnsi="Arial Narrow"/>
                <w:color w:val="000000" w:themeColor="text1"/>
                <w:sz w:val="20"/>
                <w:szCs w:val="20"/>
              </w:rPr>
              <w:fldChar w:fldCharType="end"/>
            </w:r>
            <w:r w:rsidRPr="0030508E">
              <w:rPr>
                <w:rFonts w:ascii="Arial Narrow" w:eastAsia="Calibri" w:hAnsi="Arial Narrow"/>
                <w:color w:val="000000" w:themeColor="text1"/>
                <w:sz w:val="20"/>
                <w:szCs w:val="20"/>
              </w:rPr>
              <w:t>Authority Required ((immediate assessment) (Telephone/online PBS Authorities system))</w:t>
            </w:r>
          </w:p>
        </w:tc>
      </w:tr>
      <w:tr w:rsidR="00CA47FC" w:rsidRPr="0030508E" w14:paraId="132E7BC2" w14:textId="77777777" w:rsidTr="002D4F18">
        <w:tblPrEx>
          <w:tblBorders>
            <w:bottom w:val="single" w:sz="4" w:space="0" w:color="auto"/>
          </w:tblBorders>
          <w:tblCellMar>
            <w:top w:w="15" w:type="dxa"/>
            <w:bottom w:w="15" w:type="dxa"/>
          </w:tblCellMar>
          <w:tblLook w:val="04A0" w:firstRow="1" w:lastRow="0" w:firstColumn="1" w:lastColumn="0" w:noHBand="0" w:noVBand="1"/>
        </w:tblPrEx>
        <w:trPr>
          <w:trHeight w:val="20"/>
        </w:trPr>
        <w:tc>
          <w:tcPr>
            <w:tcW w:w="504" w:type="dxa"/>
            <w:gridSpan w:val="2"/>
            <w:vMerge w:val="restart"/>
            <w:tcBorders>
              <w:left w:val="single" w:sz="4" w:space="0" w:color="auto"/>
              <w:right w:val="single" w:sz="4" w:space="0" w:color="auto"/>
            </w:tcBorders>
            <w:textDirection w:val="btLr"/>
            <w:vAlign w:val="center"/>
          </w:tcPr>
          <w:p w14:paraId="0C06B6D5" w14:textId="77777777" w:rsidR="00CA47FC" w:rsidRPr="0030508E" w:rsidRDefault="00CA47FC" w:rsidP="00213DD5">
            <w:pPr>
              <w:jc w:val="center"/>
              <w:rPr>
                <w:rFonts w:ascii="Arial Narrow" w:hAnsi="Arial Narrow"/>
                <w:color w:val="000000" w:themeColor="text1"/>
                <w:sz w:val="20"/>
                <w:szCs w:val="20"/>
              </w:rPr>
            </w:pPr>
            <w:r w:rsidRPr="0030508E">
              <w:rPr>
                <w:rFonts w:ascii="Arial Narrow" w:hAnsi="Arial Narrow"/>
                <w:color w:val="000000" w:themeColor="text1"/>
                <w:sz w:val="20"/>
                <w:szCs w:val="20"/>
              </w:rPr>
              <w:t>Prescribing rule level</w:t>
            </w:r>
          </w:p>
        </w:tc>
        <w:tc>
          <w:tcPr>
            <w:tcW w:w="819" w:type="dxa"/>
            <w:gridSpan w:val="2"/>
            <w:vAlign w:val="center"/>
          </w:tcPr>
          <w:p w14:paraId="78A0BB94" w14:textId="26CFC741" w:rsidR="00CA47FC" w:rsidRPr="0030508E" w:rsidRDefault="00CA47FC" w:rsidP="00213DD5">
            <w:pPr>
              <w:jc w:val="center"/>
              <w:rPr>
                <w:rFonts w:ascii="Arial Narrow" w:hAnsi="Arial Narrow"/>
                <w:color w:val="000000" w:themeColor="text1"/>
                <w:sz w:val="20"/>
                <w:szCs w:val="20"/>
              </w:rPr>
            </w:pPr>
          </w:p>
        </w:tc>
        <w:tc>
          <w:tcPr>
            <w:tcW w:w="8037" w:type="dxa"/>
            <w:gridSpan w:val="6"/>
            <w:tcBorders>
              <w:top w:val="single" w:sz="4" w:space="0" w:color="auto"/>
            </w:tcBorders>
          </w:tcPr>
          <w:p w14:paraId="4949116E" w14:textId="77777777" w:rsidR="00CA47FC" w:rsidRPr="0030508E" w:rsidRDefault="00CA47FC" w:rsidP="00213DD5">
            <w:pPr>
              <w:rPr>
                <w:rFonts w:ascii="Arial Narrow" w:hAnsi="Arial Narrow"/>
                <w:color w:val="000000" w:themeColor="text1"/>
                <w:sz w:val="20"/>
                <w:szCs w:val="20"/>
              </w:rPr>
            </w:pPr>
            <w:r w:rsidRPr="0030508E">
              <w:rPr>
                <w:rStyle w:val="Strong"/>
                <w:rFonts w:ascii="Arial Narrow" w:eastAsiaTheme="majorEastAsia" w:hAnsi="Arial Narrow" w:cs="Open Sans"/>
                <w:i/>
                <w:iCs/>
                <w:color w:val="000000" w:themeColor="text1"/>
                <w:sz w:val="20"/>
                <w:szCs w:val="20"/>
                <w:bdr w:val="none" w:sz="0" w:space="0" w:color="auto" w:frame="1"/>
              </w:rPr>
              <w:t>Administrative Advice:</w:t>
            </w:r>
            <w:r>
              <w:rPr>
                <w:rStyle w:val="Strong"/>
                <w:rFonts w:ascii="Arial Narrow" w:eastAsiaTheme="majorEastAsia" w:hAnsi="Arial Narrow" w:cs="Open Sans"/>
                <w:i/>
                <w:iCs/>
                <w:color w:val="000000" w:themeColor="text1"/>
                <w:sz w:val="20"/>
                <w:szCs w:val="20"/>
                <w:bdr w:val="none" w:sz="0" w:space="0" w:color="auto" w:frame="1"/>
              </w:rPr>
              <w:t xml:space="preserve"> </w:t>
            </w:r>
            <w:r w:rsidRPr="0030508E">
              <w:rPr>
                <w:rFonts w:ascii="Arial Narrow" w:hAnsi="Arial Narrow" w:cs="Open Sans"/>
                <w:i/>
                <w:iCs/>
                <w:color w:val="000000" w:themeColor="text1"/>
                <w:sz w:val="20"/>
                <w:szCs w:val="20"/>
              </w:rPr>
              <w:t>No increase in the maximum quantity or number of units may be authorised.</w:t>
            </w:r>
          </w:p>
        </w:tc>
      </w:tr>
      <w:tr w:rsidR="00CA47FC" w:rsidRPr="0030508E" w14:paraId="09015E40" w14:textId="77777777" w:rsidTr="002D4F18">
        <w:tblPrEx>
          <w:tblBorders>
            <w:bottom w:val="single" w:sz="4" w:space="0" w:color="auto"/>
          </w:tblBorders>
          <w:tblCellMar>
            <w:top w:w="15" w:type="dxa"/>
            <w:bottom w:w="15" w:type="dxa"/>
          </w:tblCellMar>
          <w:tblLook w:val="04A0" w:firstRow="1" w:lastRow="0" w:firstColumn="1" w:lastColumn="0" w:noHBand="0" w:noVBand="1"/>
        </w:tblPrEx>
        <w:trPr>
          <w:trHeight w:val="20"/>
        </w:trPr>
        <w:tc>
          <w:tcPr>
            <w:tcW w:w="504" w:type="dxa"/>
            <w:gridSpan w:val="2"/>
            <w:vMerge/>
          </w:tcPr>
          <w:p w14:paraId="794E904C" w14:textId="77777777" w:rsidR="00CA47FC" w:rsidRPr="0030508E" w:rsidRDefault="00CA47FC" w:rsidP="00213DD5">
            <w:pPr>
              <w:rPr>
                <w:rFonts w:ascii="Arial Narrow" w:hAnsi="Arial Narrow"/>
                <w:color w:val="000000" w:themeColor="text1"/>
                <w:sz w:val="20"/>
                <w:szCs w:val="20"/>
              </w:rPr>
            </w:pPr>
          </w:p>
        </w:tc>
        <w:tc>
          <w:tcPr>
            <w:tcW w:w="819" w:type="dxa"/>
            <w:gridSpan w:val="2"/>
            <w:vAlign w:val="center"/>
          </w:tcPr>
          <w:p w14:paraId="5602B71C" w14:textId="0C1BDF9C" w:rsidR="00CA47FC" w:rsidRPr="0030508E" w:rsidRDefault="00CA47FC" w:rsidP="00213DD5">
            <w:pPr>
              <w:jc w:val="center"/>
              <w:rPr>
                <w:rFonts w:ascii="Arial Narrow" w:hAnsi="Arial Narrow"/>
                <w:color w:val="000000" w:themeColor="text1"/>
                <w:sz w:val="20"/>
                <w:szCs w:val="20"/>
              </w:rPr>
            </w:pPr>
          </w:p>
        </w:tc>
        <w:tc>
          <w:tcPr>
            <w:tcW w:w="8037" w:type="dxa"/>
            <w:gridSpan w:val="6"/>
          </w:tcPr>
          <w:p w14:paraId="41377E9F" w14:textId="77777777" w:rsidR="00CA47FC" w:rsidRPr="0030508E" w:rsidRDefault="00CA47FC" w:rsidP="00213DD5">
            <w:pPr>
              <w:rPr>
                <w:rFonts w:ascii="Arial Narrow" w:hAnsi="Arial Narrow"/>
                <w:b/>
                <w:bCs/>
                <w:color w:val="000000" w:themeColor="text1"/>
                <w:sz w:val="20"/>
                <w:szCs w:val="20"/>
              </w:rPr>
            </w:pPr>
            <w:r w:rsidRPr="0030508E">
              <w:rPr>
                <w:rStyle w:val="Strong"/>
                <w:rFonts w:ascii="Arial Narrow" w:eastAsiaTheme="majorEastAsia" w:hAnsi="Arial Narrow" w:cs="Open Sans"/>
                <w:i/>
                <w:iCs/>
                <w:color w:val="000000" w:themeColor="text1"/>
                <w:sz w:val="20"/>
                <w:szCs w:val="20"/>
                <w:bdr w:val="none" w:sz="0" w:space="0" w:color="auto" w:frame="1"/>
              </w:rPr>
              <w:t>Administrative Advice:</w:t>
            </w:r>
            <w:r>
              <w:rPr>
                <w:rStyle w:val="Strong"/>
                <w:rFonts w:ascii="Arial Narrow" w:eastAsiaTheme="majorEastAsia" w:hAnsi="Arial Narrow" w:cs="Open Sans"/>
                <w:i/>
                <w:iCs/>
                <w:color w:val="000000" w:themeColor="text1"/>
                <w:sz w:val="20"/>
                <w:szCs w:val="20"/>
                <w:bdr w:val="none" w:sz="0" w:space="0" w:color="auto" w:frame="1"/>
              </w:rPr>
              <w:t xml:space="preserve"> </w:t>
            </w:r>
            <w:r w:rsidRPr="0030508E">
              <w:rPr>
                <w:rFonts w:ascii="Arial Narrow" w:hAnsi="Arial Narrow" w:cs="Open Sans"/>
                <w:i/>
                <w:iCs/>
                <w:color w:val="000000" w:themeColor="text1"/>
                <w:sz w:val="20"/>
                <w:szCs w:val="20"/>
              </w:rPr>
              <w:t>No increase in the maximum number of repeats may be authorised.</w:t>
            </w:r>
          </w:p>
        </w:tc>
      </w:tr>
      <w:tr w:rsidR="00CA47FC" w:rsidRPr="0030508E" w14:paraId="5F36E155" w14:textId="77777777" w:rsidTr="002D4F18">
        <w:tblPrEx>
          <w:tblBorders>
            <w:bottom w:val="single" w:sz="4" w:space="0" w:color="auto"/>
          </w:tblBorders>
          <w:tblCellMar>
            <w:top w:w="15" w:type="dxa"/>
            <w:bottom w:w="15" w:type="dxa"/>
          </w:tblCellMar>
          <w:tblLook w:val="04A0" w:firstRow="1" w:lastRow="0" w:firstColumn="1" w:lastColumn="0" w:noHBand="0" w:noVBand="1"/>
        </w:tblPrEx>
        <w:trPr>
          <w:trHeight w:val="20"/>
        </w:trPr>
        <w:tc>
          <w:tcPr>
            <w:tcW w:w="504" w:type="dxa"/>
            <w:gridSpan w:val="2"/>
            <w:vMerge/>
          </w:tcPr>
          <w:p w14:paraId="1489717A" w14:textId="77777777" w:rsidR="00CA47FC" w:rsidRPr="0030508E" w:rsidRDefault="00CA47FC" w:rsidP="00213DD5">
            <w:pPr>
              <w:rPr>
                <w:rFonts w:ascii="Arial Narrow" w:hAnsi="Arial Narrow"/>
                <w:color w:val="000000" w:themeColor="text1"/>
                <w:sz w:val="20"/>
                <w:szCs w:val="20"/>
              </w:rPr>
            </w:pPr>
          </w:p>
        </w:tc>
        <w:tc>
          <w:tcPr>
            <w:tcW w:w="819" w:type="dxa"/>
            <w:gridSpan w:val="2"/>
            <w:vAlign w:val="center"/>
          </w:tcPr>
          <w:p w14:paraId="77D31FF2" w14:textId="245E12BB" w:rsidR="00CA47FC" w:rsidRPr="0030508E" w:rsidRDefault="00CA47FC" w:rsidP="00213DD5">
            <w:pPr>
              <w:jc w:val="center"/>
              <w:rPr>
                <w:rFonts w:ascii="Arial Narrow" w:hAnsi="Arial Narrow"/>
                <w:color w:val="000000" w:themeColor="text1"/>
                <w:sz w:val="20"/>
                <w:szCs w:val="20"/>
              </w:rPr>
            </w:pPr>
          </w:p>
        </w:tc>
        <w:tc>
          <w:tcPr>
            <w:tcW w:w="8037" w:type="dxa"/>
            <w:gridSpan w:val="6"/>
            <w:vAlign w:val="center"/>
          </w:tcPr>
          <w:p w14:paraId="797D83D1" w14:textId="77777777" w:rsidR="00CA47FC" w:rsidRPr="0030508E" w:rsidRDefault="00CA47FC" w:rsidP="00213DD5">
            <w:pPr>
              <w:pStyle w:val="NormalWeb"/>
              <w:spacing w:before="0" w:after="0"/>
              <w:textAlignment w:val="baseline"/>
              <w:rPr>
                <w:rStyle w:val="Strong"/>
                <w:rFonts w:ascii="Arial Narrow" w:eastAsiaTheme="majorEastAsia" w:hAnsi="Arial Narrow" w:cs="Open Sans"/>
                <w:i/>
                <w:iCs/>
                <w:color w:val="000000" w:themeColor="text1"/>
                <w:sz w:val="20"/>
                <w:szCs w:val="20"/>
                <w:bdr w:val="none" w:sz="0" w:space="0" w:color="auto" w:frame="1"/>
              </w:rPr>
            </w:pPr>
            <w:r w:rsidRPr="0030508E">
              <w:rPr>
                <w:rFonts w:ascii="Arial Narrow" w:hAnsi="Arial Narrow"/>
                <w:b/>
                <w:bCs/>
                <w:i/>
                <w:iCs/>
                <w:color w:val="000000" w:themeColor="text1"/>
                <w:sz w:val="20"/>
                <w:szCs w:val="20"/>
              </w:rPr>
              <w:t xml:space="preserve">Administrative Advice: </w:t>
            </w:r>
            <w:r w:rsidRPr="0030508E">
              <w:rPr>
                <w:rFonts w:ascii="Arial Narrow" w:hAnsi="Arial Narrow"/>
                <w:bCs/>
                <w:i/>
                <w:iCs/>
                <w:color w:val="000000" w:themeColor="text1"/>
                <w:sz w:val="20"/>
                <w:szCs w:val="20"/>
              </w:rPr>
              <w:t>Applications for authorisation under this restriction may be made in real time using the Online PBS Authorities system (see www.servicesaustralia.gov.au/HPOS) or by telephone by contacting Services Australia on 1800 888 333.</w:t>
            </w:r>
          </w:p>
        </w:tc>
      </w:tr>
      <w:tr w:rsidR="00CA47FC" w:rsidRPr="0030508E" w14:paraId="1289BB78" w14:textId="77777777" w:rsidTr="002D4F18">
        <w:tblPrEx>
          <w:tblBorders>
            <w:bottom w:val="single" w:sz="4" w:space="0" w:color="auto"/>
          </w:tblBorders>
          <w:tblCellMar>
            <w:top w:w="15" w:type="dxa"/>
            <w:bottom w:w="15" w:type="dxa"/>
          </w:tblCellMar>
          <w:tblLook w:val="04A0" w:firstRow="1" w:lastRow="0" w:firstColumn="1" w:lastColumn="0" w:noHBand="0" w:noVBand="1"/>
        </w:tblPrEx>
        <w:trPr>
          <w:trHeight w:val="20"/>
        </w:trPr>
        <w:tc>
          <w:tcPr>
            <w:tcW w:w="504" w:type="dxa"/>
            <w:gridSpan w:val="2"/>
            <w:vMerge/>
          </w:tcPr>
          <w:p w14:paraId="576F762F" w14:textId="77777777" w:rsidR="00CA47FC" w:rsidRPr="0030508E" w:rsidRDefault="00CA47FC" w:rsidP="00213DD5">
            <w:pPr>
              <w:rPr>
                <w:rFonts w:ascii="Arial Narrow" w:hAnsi="Arial Narrow"/>
                <w:color w:val="000000" w:themeColor="text1"/>
                <w:sz w:val="20"/>
                <w:szCs w:val="20"/>
              </w:rPr>
            </w:pPr>
          </w:p>
        </w:tc>
        <w:tc>
          <w:tcPr>
            <w:tcW w:w="819" w:type="dxa"/>
            <w:gridSpan w:val="2"/>
            <w:vAlign w:val="center"/>
          </w:tcPr>
          <w:p w14:paraId="6A15D006" w14:textId="4801461B" w:rsidR="00CA47FC" w:rsidRPr="0030508E" w:rsidRDefault="00CA47FC" w:rsidP="00213DD5">
            <w:pPr>
              <w:jc w:val="center"/>
              <w:rPr>
                <w:rFonts w:ascii="Arial Narrow" w:hAnsi="Arial Narrow"/>
                <w:color w:val="000000" w:themeColor="text1"/>
                <w:sz w:val="20"/>
                <w:szCs w:val="20"/>
              </w:rPr>
            </w:pPr>
          </w:p>
        </w:tc>
        <w:tc>
          <w:tcPr>
            <w:tcW w:w="8037" w:type="dxa"/>
            <w:gridSpan w:val="6"/>
          </w:tcPr>
          <w:p w14:paraId="61DA660C" w14:textId="77777777" w:rsidR="00CA47FC" w:rsidRPr="0030508E" w:rsidRDefault="00CA47FC" w:rsidP="00213DD5">
            <w:pPr>
              <w:rPr>
                <w:rFonts w:ascii="Arial Narrow" w:hAnsi="Arial Narrow"/>
                <w:b/>
                <w:bCs/>
                <w:color w:val="000000" w:themeColor="text1"/>
                <w:sz w:val="20"/>
                <w:szCs w:val="20"/>
              </w:rPr>
            </w:pPr>
            <w:r w:rsidRPr="0030508E">
              <w:rPr>
                <w:rStyle w:val="Strong"/>
                <w:rFonts w:ascii="Arial Narrow" w:eastAsiaTheme="majorEastAsia" w:hAnsi="Arial Narrow" w:cs="Open Sans"/>
                <w:i/>
                <w:iCs/>
                <w:color w:val="000000" w:themeColor="text1"/>
                <w:sz w:val="20"/>
                <w:szCs w:val="20"/>
                <w:bdr w:val="none" w:sz="0" w:space="0" w:color="auto" w:frame="1"/>
              </w:rPr>
              <w:t>Administrative Advice:</w:t>
            </w:r>
            <w:r>
              <w:rPr>
                <w:rStyle w:val="Strong"/>
                <w:rFonts w:ascii="Arial Narrow" w:eastAsiaTheme="majorEastAsia" w:hAnsi="Arial Narrow" w:cs="Open Sans"/>
                <w:i/>
                <w:iCs/>
                <w:color w:val="000000" w:themeColor="text1"/>
                <w:sz w:val="20"/>
                <w:szCs w:val="20"/>
                <w:bdr w:val="none" w:sz="0" w:space="0" w:color="auto" w:frame="1"/>
              </w:rPr>
              <w:t xml:space="preserve"> </w:t>
            </w:r>
            <w:r w:rsidRPr="0030508E">
              <w:rPr>
                <w:rFonts w:ascii="Arial Narrow" w:hAnsi="Arial Narrow" w:cs="Open Sans"/>
                <w:i/>
                <w:iCs/>
                <w:color w:val="000000" w:themeColor="text1"/>
                <w:sz w:val="20"/>
                <w:szCs w:val="20"/>
              </w:rPr>
              <w:t>Special Pricing Arrangements apply.</w:t>
            </w:r>
          </w:p>
        </w:tc>
      </w:tr>
      <w:tr w:rsidR="00CA47FC" w:rsidRPr="0030508E" w14:paraId="7198FC43" w14:textId="77777777" w:rsidTr="002D4F18">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323" w:type="dxa"/>
            <w:gridSpan w:val="4"/>
            <w:vAlign w:val="center"/>
          </w:tcPr>
          <w:p w14:paraId="48E9ADA8" w14:textId="77777777" w:rsidR="00CA47FC" w:rsidRPr="0030508E" w:rsidRDefault="00CA47FC" w:rsidP="00213DD5">
            <w:pPr>
              <w:keepLines/>
              <w:jc w:val="center"/>
              <w:rPr>
                <w:rFonts w:ascii="Arial Narrow" w:hAnsi="Arial Narrow"/>
                <w:color w:val="000000" w:themeColor="text1"/>
                <w:sz w:val="20"/>
                <w:szCs w:val="20"/>
              </w:rPr>
            </w:pPr>
          </w:p>
        </w:tc>
        <w:tc>
          <w:tcPr>
            <w:tcW w:w="8037" w:type="dxa"/>
            <w:gridSpan w:val="6"/>
            <w:vAlign w:val="center"/>
          </w:tcPr>
          <w:p w14:paraId="47B7CF50" w14:textId="77777777" w:rsidR="00CA47FC" w:rsidRPr="0030508E" w:rsidRDefault="00CA47FC" w:rsidP="00213DD5">
            <w:pPr>
              <w:keepLines/>
              <w:rPr>
                <w:rFonts w:ascii="Arial Narrow" w:hAnsi="Arial Narrow"/>
                <w:color w:val="000000" w:themeColor="text1"/>
                <w:sz w:val="20"/>
                <w:szCs w:val="20"/>
              </w:rPr>
            </w:pPr>
            <w:proofErr w:type="spellStart"/>
            <w:r w:rsidRPr="4D2BAA30">
              <w:rPr>
                <w:rFonts w:ascii="Arial Narrow" w:hAnsi="Arial Narrow"/>
                <w:b/>
                <w:bCs/>
                <w:color w:val="000000" w:themeColor="text1"/>
                <w:sz w:val="20"/>
                <w:szCs w:val="20"/>
              </w:rPr>
              <w:t>Episodicity</w:t>
            </w:r>
            <w:proofErr w:type="spellEnd"/>
            <w:r w:rsidRPr="4D2BAA30">
              <w:rPr>
                <w:rFonts w:ascii="Arial Narrow" w:hAnsi="Arial Narrow"/>
                <w:b/>
                <w:bCs/>
                <w:color w:val="000000" w:themeColor="text1"/>
                <w:sz w:val="20"/>
                <w:szCs w:val="20"/>
              </w:rPr>
              <w:t xml:space="preserve">: </w:t>
            </w:r>
            <w:r w:rsidRPr="4D2BAA30">
              <w:rPr>
                <w:rFonts w:ascii="Arial Narrow" w:hAnsi="Arial Narrow"/>
                <w:color w:val="000000" w:themeColor="text1"/>
                <w:sz w:val="20"/>
                <w:szCs w:val="20"/>
              </w:rPr>
              <w:t>Chronic</w:t>
            </w:r>
          </w:p>
        </w:tc>
      </w:tr>
      <w:tr w:rsidR="00CA47FC" w:rsidRPr="0030508E" w14:paraId="430AE035" w14:textId="77777777" w:rsidTr="002D4F18">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323" w:type="dxa"/>
            <w:gridSpan w:val="4"/>
            <w:vAlign w:val="center"/>
            <w:hideMark/>
          </w:tcPr>
          <w:p w14:paraId="15128C21" w14:textId="73EB6028" w:rsidR="00CA47FC" w:rsidRPr="0030508E" w:rsidRDefault="00CA47FC" w:rsidP="00213DD5">
            <w:pPr>
              <w:keepLines/>
              <w:jc w:val="center"/>
              <w:rPr>
                <w:rFonts w:ascii="Arial Narrow" w:hAnsi="Arial Narrow"/>
                <w:color w:val="000000" w:themeColor="text1"/>
                <w:sz w:val="20"/>
                <w:szCs w:val="20"/>
              </w:rPr>
            </w:pPr>
          </w:p>
        </w:tc>
        <w:tc>
          <w:tcPr>
            <w:tcW w:w="8037" w:type="dxa"/>
            <w:gridSpan w:val="6"/>
            <w:vAlign w:val="center"/>
            <w:hideMark/>
          </w:tcPr>
          <w:p w14:paraId="03969626" w14:textId="77777777" w:rsidR="00CA47FC" w:rsidRPr="0030508E" w:rsidRDefault="00CA47FC" w:rsidP="00213DD5">
            <w:pPr>
              <w:keepLines/>
              <w:rPr>
                <w:rFonts w:ascii="Arial Narrow" w:hAnsi="Arial Narrow"/>
                <w:color w:val="000000" w:themeColor="text1"/>
                <w:sz w:val="20"/>
                <w:szCs w:val="20"/>
              </w:rPr>
            </w:pPr>
            <w:r w:rsidRPr="0030508E">
              <w:rPr>
                <w:rFonts w:ascii="Arial Narrow" w:hAnsi="Arial Narrow"/>
                <w:b/>
                <w:bCs/>
                <w:color w:val="000000" w:themeColor="text1"/>
                <w:sz w:val="20"/>
                <w:szCs w:val="20"/>
              </w:rPr>
              <w:t>Indication:</w:t>
            </w:r>
            <w:r w:rsidRPr="0030508E">
              <w:rPr>
                <w:rFonts w:ascii="Arial Narrow" w:hAnsi="Arial Narrow"/>
                <w:color w:val="000000" w:themeColor="text1"/>
                <w:sz w:val="20"/>
                <w:szCs w:val="20"/>
              </w:rPr>
              <w:t xml:space="preserve"> Hypoparathyroidism</w:t>
            </w:r>
          </w:p>
        </w:tc>
      </w:tr>
      <w:tr w:rsidR="00CA47FC" w:rsidRPr="0030508E" w14:paraId="541313B1" w14:textId="77777777" w:rsidTr="002D4F18">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323" w:type="dxa"/>
            <w:gridSpan w:val="4"/>
            <w:vAlign w:val="center"/>
            <w:hideMark/>
          </w:tcPr>
          <w:p w14:paraId="13483822" w14:textId="77777777" w:rsidR="00CA47FC" w:rsidRPr="0030508E" w:rsidRDefault="00CA47FC" w:rsidP="00213DD5">
            <w:pPr>
              <w:jc w:val="center"/>
              <w:rPr>
                <w:rFonts w:ascii="Arial Narrow" w:hAnsi="Arial Narrow"/>
                <w:color w:val="000000" w:themeColor="text1"/>
                <w:sz w:val="20"/>
                <w:szCs w:val="20"/>
              </w:rPr>
            </w:pPr>
          </w:p>
        </w:tc>
        <w:tc>
          <w:tcPr>
            <w:tcW w:w="8037" w:type="dxa"/>
            <w:gridSpan w:val="6"/>
            <w:vAlign w:val="center"/>
            <w:hideMark/>
          </w:tcPr>
          <w:p w14:paraId="549E32E3" w14:textId="35BC9FA7" w:rsidR="00CA47FC" w:rsidRPr="0030508E" w:rsidRDefault="00CA47FC" w:rsidP="00213DD5">
            <w:pPr>
              <w:rPr>
                <w:rFonts w:ascii="Arial Narrow" w:hAnsi="Arial Narrow"/>
                <w:color w:val="000000" w:themeColor="text1"/>
                <w:sz w:val="20"/>
                <w:szCs w:val="20"/>
              </w:rPr>
            </w:pPr>
            <w:r w:rsidRPr="0030508E">
              <w:rPr>
                <w:rFonts w:ascii="Arial Narrow" w:hAnsi="Arial Narrow"/>
                <w:b/>
                <w:bCs/>
                <w:color w:val="000000" w:themeColor="text1"/>
                <w:sz w:val="20"/>
                <w:szCs w:val="20"/>
              </w:rPr>
              <w:t>Treatment Phase</w:t>
            </w:r>
            <w:r>
              <w:rPr>
                <w:rFonts w:ascii="Arial Narrow" w:hAnsi="Arial Narrow"/>
                <w:b/>
                <w:bCs/>
                <w:color w:val="000000" w:themeColor="text1"/>
                <w:sz w:val="20"/>
                <w:szCs w:val="20"/>
              </w:rPr>
              <w:t>:</w:t>
            </w:r>
            <w:r w:rsidRPr="0030508E">
              <w:rPr>
                <w:rFonts w:ascii="Arial Narrow" w:hAnsi="Arial Narrow"/>
                <w:b/>
                <w:bCs/>
                <w:color w:val="000000" w:themeColor="text1"/>
                <w:sz w:val="20"/>
                <w:szCs w:val="20"/>
              </w:rPr>
              <w:t xml:space="preserve"> </w:t>
            </w:r>
            <w:r w:rsidR="00C9424F">
              <w:rPr>
                <w:rFonts w:ascii="Arial Narrow" w:hAnsi="Arial Narrow"/>
                <w:color w:val="000000" w:themeColor="text1"/>
                <w:sz w:val="20"/>
                <w:szCs w:val="20"/>
              </w:rPr>
              <w:t xml:space="preserve">Grandfather </w:t>
            </w:r>
            <w:r w:rsidR="008E5C14" w:rsidRPr="008E5C14">
              <w:rPr>
                <w:rFonts w:ascii="Arial Narrow" w:hAnsi="Arial Narrow"/>
                <w:color w:val="000000" w:themeColor="text1"/>
                <w:sz w:val="20"/>
                <w:szCs w:val="20"/>
              </w:rPr>
              <w:t>(transition from non-PBS subsidised treatment)</w:t>
            </w:r>
          </w:p>
        </w:tc>
      </w:tr>
      <w:tr w:rsidR="00411EE7" w:rsidRPr="0030508E" w14:paraId="5A8FF094" w14:textId="77777777" w:rsidTr="002D4F18">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323" w:type="dxa"/>
            <w:gridSpan w:val="4"/>
            <w:vAlign w:val="center"/>
          </w:tcPr>
          <w:p w14:paraId="5AA6A056" w14:textId="27D4E362" w:rsidR="00411EE7" w:rsidRPr="0030508E" w:rsidRDefault="00411EE7" w:rsidP="00213DD5">
            <w:pPr>
              <w:jc w:val="center"/>
              <w:rPr>
                <w:rFonts w:ascii="Arial Narrow" w:hAnsi="Arial Narrow"/>
                <w:color w:val="000000" w:themeColor="text1"/>
                <w:sz w:val="20"/>
                <w:szCs w:val="20"/>
              </w:rPr>
            </w:pPr>
          </w:p>
        </w:tc>
        <w:tc>
          <w:tcPr>
            <w:tcW w:w="8037" w:type="dxa"/>
            <w:gridSpan w:val="6"/>
            <w:vAlign w:val="center"/>
          </w:tcPr>
          <w:p w14:paraId="4561F8BB" w14:textId="66C79D0D" w:rsidR="00411EE7" w:rsidRPr="0030508E" w:rsidRDefault="00411EE7" w:rsidP="00213DD5">
            <w:pPr>
              <w:rPr>
                <w:rFonts w:ascii="Arial Narrow" w:hAnsi="Arial Narrow"/>
                <w:b/>
                <w:bCs/>
                <w:color w:val="000000" w:themeColor="text1"/>
                <w:sz w:val="20"/>
                <w:szCs w:val="20"/>
              </w:rPr>
            </w:pPr>
            <w:r w:rsidRPr="0030508E">
              <w:rPr>
                <w:rFonts w:ascii="Arial Narrow" w:hAnsi="Arial Narrow"/>
                <w:b/>
                <w:bCs/>
                <w:color w:val="000000" w:themeColor="text1"/>
                <w:sz w:val="20"/>
                <w:szCs w:val="20"/>
              </w:rPr>
              <w:t xml:space="preserve">Clinical criteria: </w:t>
            </w:r>
          </w:p>
        </w:tc>
      </w:tr>
      <w:tr w:rsidR="00411EE7" w:rsidRPr="0030508E" w14:paraId="5823AF00" w14:textId="77777777" w:rsidTr="002D4F18">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323" w:type="dxa"/>
            <w:gridSpan w:val="4"/>
            <w:vAlign w:val="center"/>
          </w:tcPr>
          <w:p w14:paraId="5F0D4504" w14:textId="77777777" w:rsidR="00411EE7" w:rsidRPr="0030508E" w:rsidRDefault="00411EE7" w:rsidP="00213DD5">
            <w:pPr>
              <w:jc w:val="center"/>
              <w:rPr>
                <w:rFonts w:ascii="Arial Narrow" w:hAnsi="Arial Narrow"/>
                <w:color w:val="000000" w:themeColor="text1"/>
                <w:sz w:val="20"/>
                <w:szCs w:val="20"/>
              </w:rPr>
            </w:pPr>
          </w:p>
        </w:tc>
        <w:tc>
          <w:tcPr>
            <w:tcW w:w="8037" w:type="dxa"/>
            <w:gridSpan w:val="6"/>
            <w:vAlign w:val="center"/>
          </w:tcPr>
          <w:p w14:paraId="1B1D8FD5" w14:textId="46080ECC" w:rsidR="00411EE7" w:rsidRPr="002D4F18" w:rsidRDefault="006748B7" w:rsidP="00213DD5">
            <w:pPr>
              <w:rPr>
                <w:rFonts w:ascii="Arial Narrow" w:hAnsi="Arial Narrow"/>
                <w:color w:val="000000" w:themeColor="text1"/>
                <w:sz w:val="20"/>
                <w:szCs w:val="20"/>
              </w:rPr>
            </w:pPr>
            <w:r w:rsidRPr="002D4F18">
              <w:rPr>
                <w:rFonts w:ascii="Arial Narrow" w:hAnsi="Arial Narrow"/>
                <w:color w:val="000000" w:themeColor="text1"/>
                <w:sz w:val="20"/>
                <w:szCs w:val="20"/>
              </w:rPr>
              <w:t>The patient must have received non-PBS subsidised palopegteriparatide treatment for this condition prior to [listing date to be inserted]</w:t>
            </w:r>
          </w:p>
        </w:tc>
      </w:tr>
      <w:tr w:rsidR="00411EE7" w:rsidRPr="0030508E" w14:paraId="4EA2F405" w14:textId="77777777" w:rsidTr="002D4F18">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323" w:type="dxa"/>
            <w:gridSpan w:val="4"/>
            <w:vAlign w:val="center"/>
            <w:hideMark/>
          </w:tcPr>
          <w:p w14:paraId="7AE75659" w14:textId="2D23DC07" w:rsidR="00411EE7" w:rsidRPr="0030508E" w:rsidRDefault="00411EE7" w:rsidP="00213DD5">
            <w:pPr>
              <w:jc w:val="center"/>
              <w:rPr>
                <w:rFonts w:ascii="Arial Narrow" w:hAnsi="Arial Narrow"/>
                <w:color w:val="000000" w:themeColor="text1"/>
                <w:sz w:val="20"/>
                <w:szCs w:val="20"/>
              </w:rPr>
            </w:pPr>
          </w:p>
        </w:tc>
        <w:tc>
          <w:tcPr>
            <w:tcW w:w="8037" w:type="dxa"/>
            <w:gridSpan w:val="6"/>
            <w:vAlign w:val="center"/>
            <w:hideMark/>
          </w:tcPr>
          <w:p w14:paraId="17E88780" w14:textId="77777777" w:rsidR="00411EE7" w:rsidRPr="0030508E" w:rsidRDefault="00411EE7" w:rsidP="00213DD5">
            <w:pPr>
              <w:rPr>
                <w:rFonts w:ascii="Arial Narrow" w:hAnsi="Arial Narrow"/>
                <w:bCs/>
                <w:color w:val="000000" w:themeColor="text1"/>
                <w:sz w:val="20"/>
                <w:szCs w:val="20"/>
              </w:rPr>
            </w:pPr>
            <w:r w:rsidRPr="0030508E">
              <w:rPr>
                <w:rFonts w:ascii="Arial Narrow" w:hAnsi="Arial Narrow"/>
                <w:b/>
                <w:bCs/>
                <w:color w:val="000000" w:themeColor="text1"/>
                <w:sz w:val="20"/>
                <w:szCs w:val="20"/>
              </w:rPr>
              <w:t xml:space="preserve">Clinical criteria: </w:t>
            </w:r>
          </w:p>
        </w:tc>
      </w:tr>
      <w:tr w:rsidR="00411EE7" w:rsidRPr="0030508E" w14:paraId="5BFF717C" w14:textId="77777777" w:rsidTr="002D4F18">
        <w:tblPrEx>
          <w:tblBorders>
            <w:bottom w:val="single" w:sz="4" w:space="0" w:color="auto"/>
          </w:tblBorders>
          <w:tblCellMar>
            <w:top w:w="15" w:type="dxa"/>
            <w:bottom w:w="15" w:type="dxa"/>
          </w:tblCellMar>
          <w:tblLook w:val="04A0" w:firstRow="1" w:lastRow="0" w:firstColumn="1" w:lastColumn="0" w:noHBand="0" w:noVBand="1"/>
        </w:tblPrEx>
        <w:trPr>
          <w:cantSplit/>
          <w:trHeight w:val="743"/>
        </w:trPr>
        <w:tc>
          <w:tcPr>
            <w:tcW w:w="1323" w:type="dxa"/>
            <w:gridSpan w:val="4"/>
            <w:vAlign w:val="center"/>
          </w:tcPr>
          <w:p w14:paraId="5C783856" w14:textId="53BCBF93" w:rsidR="00411EE7" w:rsidRPr="0030508E" w:rsidRDefault="00411EE7" w:rsidP="00213DD5">
            <w:pPr>
              <w:jc w:val="center"/>
              <w:rPr>
                <w:rFonts w:ascii="Arial Narrow" w:hAnsi="Arial Narrow"/>
                <w:color w:val="000000" w:themeColor="text1"/>
                <w:sz w:val="20"/>
                <w:szCs w:val="20"/>
              </w:rPr>
            </w:pPr>
          </w:p>
        </w:tc>
        <w:tc>
          <w:tcPr>
            <w:tcW w:w="8037" w:type="dxa"/>
            <w:gridSpan w:val="6"/>
            <w:vAlign w:val="center"/>
          </w:tcPr>
          <w:p w14:paraId="68929F8A" w14:textId="241363E8" w:rsidR="00411EE7" w:rsidRPr="0030508E" w:rsidRDefault="000F06A0" w:rsidP="00213DD5">
            <w:pPr>
              <w:pStyle w:val="PBACTabletext"/>
              <w:keepNext w:val="0"/>
              <w:keepLines w:val="0"/>
              <w:suppressLineNumbers w:val="0"/>
              <w:spacing w:after="40"/>
              <w:rPr>
                <w:b/>
                <w:bCs/>
                <w:color w:val="000000" w:themeColor="text1"/>
                <w:szCs w:val="20"/>
              </w:rPr>
            </w:pPr>
            <w:r w:rsidRPr="002D4F18">
              <w:rPr>
                <w:strike/>
                <w:color w:val="000000" w:themeColor="text1"/>
              </w:rPr>
              <w:t>Prior to commencement of non-PBS subsidised palopegteriparatide,</w:t>
            </w:r>
            <w:r>
              <w:rPr>
                <w:color w:val="000000" w:themeColor="text1"/>
              </w:rPr>
              <w:t xml:space="preserve"> p</w:t>
            </w:r>
            <w:r w:rsidR="00411EE7" w:rsidRPr="383E5602">
              <w:rPr>
                <w:color w:val="000000" w:themeColor="text1"/>
                <w:szCs w:val="20"/>
              </w:rPr>
              <w:t xml:space="preserve">atient must have been diagnosed with chronic hypoparathyroidism due to </w:t>
            </w:r>
            <w:r w:rsidR="00411EE7" w:rsidRPr="383E5602">
              <w:rPr>
                <w:i/>
                <w:iCs/>
                <w:color w:val="000000" w:themeColor="text1"/>
                <w:szCs w:val="20"/>
              </w:rPr>
              <w:t>one of (i)</w:t>
            </w:r>
            <w:r w:rsidR="00411EE7" w:rsidRPr="383E5602">
              <w:rPr>
                <w:color w:val="000000" w:themeColor="text1"/>
                <w:szCs w:val="20"/>
              </w:rPr>
              <w:t xml:space="preserve"> postsurgical, </w:t>
            </w:r>
            <w:r w:rsidR="00411EE7" w:rsidRPr="383E5602">
              <w:rPr>
                <w:i/>
                <w:iCs/>
                <w:color w:val="000000" w:themeColor="text1"/>
                <w:szCs w:val="20"/>
              </w:rPr>
              <w:t>(ii)</w:t>
            </w:r>
            <w:r w:rsidR="00411EE7" w:rsidRPr="383E5602">
              <w:rPr>
                <w:color w:val="000000" w:themeColor="text1"/>
                <w:szCs w:val="20"/>
              </w:rPr>
              <w:t xml:space="preserve"> auto-immune, </w:t>
            </w:r>
            <w:r w:rsidR="00411EE7" w:rsidRPr="383E5602">
              <w:rPr>
                <w:i/>
                <w:iCs/>
                <w:color w:val="000000" w:themeColor="text1"/>
                <w:szCs w:val="20"/>
              </w:rPr>
              <w:t>(iii)</w:t>
            </w:r>
            <w:r w:rsidR="00411EE7" w:rsidRPr="383E5602">
              <w:rPr>
                <w:color w:val="000000" w:themeColor="text1"/>
                <w:szCs w:val="20"/>
              </w:rPr>
              <w:t xml:space="preserve"> genetic, </w:t>
            </w:r>
            <w:r w:rsidR="00411EE7" w:rsidRPr="383E5602">
              <w:rPr>
                <w:strike/>
                <w:color w:val="000000" w:themeColor="text1"/>
                <w:szCs w:val="20"/>
              </w:rPr>
              <w:t>or</w:t>
            </w:r>
            <w:r w:rsidR="00411EE7" w:rsidRPr="383E5602">
              <w:rPr>
                <w:color w:val="000000" w:themeColor="text1"/>
                <w:szCs w:val="20"/>
              </w:rPr>
              <w:t xml:space="preserve"> </w:t>
            </w:r>
            <w:r w:rsidR="00411EE7" w:rsidRPr="383E5602">
              <w:rPr>
                <w:i/>
                <w:iCs/>
                <w:color w:val="000000" w:themeColor="text1"/>
                <w:szCs w:val="20"/>
              </w:rPr>
              <w:t>(iv)</w:t>
            </w:r>
            <w:r w:rsidR="00411EE7" w:rsidRPr="383E5602">
              <w:rPr>
                <w:color w:val="000000" w:themeColor="text1"/>
                <w:szCs w:val="20"/>
              </w:rPr>
              <w:t xml:space="preserve"> idiopathic causes for </w:t>
            </w:r>
            <w:r w:rsidR="00411EE7" w:rsidRPr="00AE73A2">
              <w:rPr>
                <w:strike/>
                <w:szCs w:val="20"/>
              </w:rPr>
              <w:t xml:space="preserve">(&gt; </w:t>
            </w:r>
            <w:r w:rsidR="00411EE7" w:rsidRPr="00AE73A2">
              <w:rPr>
                <w:i/>
                <w:iCs/>
                <w:szCs w:val="20"/>
              </w:rPr>
              <w:t>a minimum of</w:t>
            </w:r>
            <w:r w:rsidR="00411EE7" w:rsidRPr="00AE73A2">
              <w:rPr>
                <w:szCs w:val="20"/>
              </w:rPr>
              <w:t xml:space="preserve"> 12 months. </w:t>
            </w:r>
            <w:r w:rsidR="00411EE7" w:rsidRPr="00AE73A2">
              <w:rPr>
                <w:i/>
                <w:iCs/>
                <w:szCs w:val="20"/>
              </w:rPr>
              <w:t>This is</w:t>
            </w:r>
            <w:r w:rsidR="00411EE7" w:rsidRPr="00AE73A2">
              <w:rPr>
                <w:strike/>
                <w:szCs w:val="20"/>
              </w:rPr>
              <w:t>),</w:t>
            </w:r>
            <w:r w:rsidR="00411EE7" w:rsidRPr="00AE73A2">
              <w:rPr>
                <w:szCs w:val="20"/>
              </w:rPr>
              <w:t xml:space="preserve"> esta</w:t>
            </w:r>
            <w:r w:rsidR="00411EE7" w:rsidRPr="383E5602">
              <w:rPr>
                <w:color w:val="000000" w:themeColor="text1"/>
                <w:szCs w:val="20"/>
              </w:rPr>
              <w:t xml:space="preserve">blished </w:t>
            </w:r>
            <w:r w:rsidR="00411EE7" w:rsidRPr="0030508E">
              <w:rPr>
                <w:color w:val="000000" w:themeColor="text1"/>
                <w:szCs w:val="20"/>
              </w:rPr>
              <w:t>based on presence of persistent hypocalcaemia in the setting of inappropriately low serum parathyroid hormone (PTH) levels (PTH levels at or below the median value of the reference range at the laboratory)</w:t>
            </w:r>
          </w:p>
        </w:tc>
      </w:tr>
      <w:tr w:rsidR="00411EE7" w:rsidRPr="0030508E" w14:paraId="2B3042C3" w14:textId="77777777" w:rsidTr="002D4F18">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323" w:type="dxa"/>
            <w:gridSpan w:val="4"/>
            <w:vAlign w:val="center"/>
            <w:hideMark/>
          </w:tcPr>
          <w:p w14:paraId="71B181A7" w14:textId="77777777" w:rsidR="00411EE7" w:rsidRPr="0030508E" w:rsidRDefault="00411EE7" w:rsidP="00213DD5">
            <w:pPr>
              <w:jc w:val="center"/>
              <w:rPr>
                <w:rFonts w:ascii="Arial Narrow" w:hAnsi="Arial Narrow"/>
                <w:color w:val="000000" w:themeColor="text1"/>
                <w:sz w:val="20"/>
                <w:szCs w:val="20"/>
              </w:rPr>
            </w:pPr>
          </w:p>
        </w:tc>
        <w:tc>
          <w:tcPr>
            <w:tcW w:w="8037" w:type="dxa"/>
            <w:gridSpan w:val="6"/>
            <w:vAlign w:val="center"/>
            <w:hideMark/>
          </w:tcPr>
          <w:p w14:paraId="41C7DB2E" w14:textId="77777777" w:rsidR="00411EE7" w:rsidRPr="0030508E" w:rsidRDefault="00411EE7" w:rsidP="00213DD5">
            <w:pPr>
              <w:rPr>
                <w:rFonts w:ascii="Arial Narrow" w:hAnsi="Arial Narrow"/>
                <w:color w:val="000000" w:themeColor="text1"/>
                <w:sz w:val="20"/>
                <w:szCs w:val="20"/>
              </w:rPr>
            </w:pPr>
            <w:r w:rsidRPr="0030508E">
              <w:rPr>
                <w:rFonts w:ascii="Arial Narrow" w:hAnsi="Arial Narrow"/>
                <w:b/>
                <w:bCs/>
                <w:color w:val="000000" w:themeColor="text1"/>
                <w:sz w:val="20"/>
                <w:szCs w:val="20"/>
              </w:rPr>
              <w:t>AND</w:t>
            </w:r>
          </w:p>
        </w:tc>
      </w:tr>
      <w:tr w:rsidR="00411EE7" w:rsidRPr="0030508E" w14:paraId="16FECA3C" w14:textId="77777777" w:rsidTr="002D4F18">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323" w:type="dxa"/>
            <w:gridSpan w:val="4"/>
            <w:vAlign w:val="center"/>
          </w:tcPr>
          <w:p w14:paraId="757DFE84" w14:textId="0B0E4BBD" w:rsidR="00411EE7" w:rsidRPr="0030508E" w:rsidRDefault="00411EE7" w:rsidP="00213DD5">
            <w:pPr>
              <w:jc w:val="center"/>
              <w:rPr>
                <w:rFonts w:ascii="Arial Narrow" w:hAnsi="Arial Narrow"/>
                <w:color w:val="000000" w:themeColor="text1"/>
                <w:sz w:val="20"/>
                <w:szCs w:val="20"/>
              </w:rPr>
            </w:pPr>
          </w:p>
        </w:tc>
        <w:tc>
          <w:tcPr>
            <w:tcW w:w="8037" w:type="dxa"/>
            <w:gridSpan w:val="6"/>
            <w:vAlign w:val="center"/>
            <w:hideMark/>
          </w:tcPr>
          <w:p w14:paraId="7D99F952" w14:textId="77777777" w:rsidR="00411EE7" w:rsidRPr="0030508E" w:rsidRDefault="00411EE7" w:rsidP="00213DD5">
            <w:pPr>
              <w:rPr>
                <w:rFonts w:ascii="Arial Narrow" w:hAnsi="Arial Narrow"/>
                <w:color w:val="000000" w:themeColor="text1"/>
                <w:sz w:val="20"/>
                <w:szCs w:val="20"/>
              </w:rPr>
            </w:pPr>
            <w:r w:rsidRPr="0030508E">
              <w:rPr>
                <w:rFonts w:ascii="Arial Narrow" w:hAnsi="Arial Narrow"/>
                <w:b/>
                <w:bCs/>
                <w:color w:val="000000" w:themeColor="text1"/>
                <w:sz w:val="20"/>
                <w:szCs w:val="20"/>
              </w:rPr>
              <w:t>Clinical criteria:</w:t>
            </w:r>
          </w:p>
        </w:tc>
      </w:tr>
      <w:tr w:rsidR="00411EE7" w:rsidRPr="0030508E" w14:paraId="7EB4CEDD" w14:textId="77777777" w:rsidTr="002D4F18">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323" w:type="dxa"/>
            <w:gridSpan w:val="4"/>
            <w:vAlign w:val="center"/>
          </w:tcPr>
          <w:p w14:paraId="47A1149F" w14:textId="3E7C4343" w:rsidR="00411EE7" w:rsidRPr="0030508E" w:rsidRDefault="00411EE7" w:rsidP="00213DD5">
            <w:pPr>
              <w:jc w:val="center"/>
              <w:rPr>
                <w:rFonts w:ascii="Arial Narrow" w:hAnsi="Arial Narrow"/>
                <w:color w:val="000000" w:themeColor="text1"/>
                <w:sz w:val="20"/>
                <w:szCs w:val="20"/>
              </w:rPr>
            </w:pPr>
          </w:p>
        </w:tc>
        <w:tc>
          <w:tcPr>
            <w:tcW w:w="8037" w:type="dxa"/>
            <w:gridSpan w:val="6"/>
            <w:vAlign w:val="center"/>
            <w:hideMark/>
          </w:tcPr>
          <w:p w14:paraId="09A0F3C7" w14:textId="77777777" w:rsidR="00411EE7" w:rsidRPr="0030508E" w:rsidRDefault="00411EE7" w:rsidP="00213DD5">
            <w:pPr>
              <w:rPr>
                <w:rFonts w:ascii="Arial Narrow" w:hAnsi="Arial Narrow"/>
                <w:i/>
                <w:iCs/>
                <w:color w:val="000000" w:themeColor="text1"/>
                <w:sz w:val="20"/>
                <w:szCs w:val="20"/>
              </w:rPr>
            </w:pPr>
            <w:r w:rsidRPr="383E5602">
              <w:rPr>
                <w:rFonts w:ascii="Arial Narrow" w:hAnsi="Arial Narrow"/>
                <w:color w:val="000000" w:themeColor="text1"/>
                <w:sz w:val="20"/>
                <w:szCs w:val="20"/>
              </w:rPr>
              <w:t>Patient must have been treated with calcitriol ≥ 0.5 mcg/day in addition to elemental calcium ≥ 800 mg/day for at least 12 weeks</w:t>
            </w:r>
            <w:r w:rsidRPr="383E5602">
              <w:rPr>
                <w:rFonts w:ascii="Arial Narrow" w:hAnsi="Arial Narrow"/>
                <w:i/>
                <w:iCs/>
                <w:color w:val="000000" w:themeColor="text1"/>
                <w:sz w:val="20"/>
                <w:szCs w:val="20"/>
              </w:rPr>
              <w:t xml:space="preserve"> prior to initiating treatment with this drug</w:t>
            </w:r>
          </w:p>
        </w:tc>
      </w:tr>
      <w:tr w:rsidR="00411EE7" w:rsidRPr="0030508E" w14:paraId="6E6CA8F0" w14:textId="77777777" w:rsidTr="002D4F18">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323" w:type="dxa"/>
            <w:gridSpan w:val="4"/>
            <w:vAlign w:val="center"/>
          </w:tcPr>
          <w:p w14:paraId="7970EF9D" w14:textId="77777777" w:rsidR="00411EE7" w:rsidRPr="0030508E" w:rsidRDefault="00411EE7" w:rsidP="00213DD5">
            <w:pPr>
              <w:jc w:val="center"/>
              <w:rPr>
                <w:rFonts w:ascii="Arial Narrow" w:hAnsi="Arial Narrow"/>
                <w:color w:val="000000" w:themeColor="text1"/>
                <w:sz w:val="20"/>
                <w:szCs w:val="20"/>
              </w:rPr>
            </w:pPr>
          </w:p>
        </w:tc>
        <w:tc>
          <w:tcPr>
            <w:tcW w:w="8037" w:type="dxa"/>
            <w:gridSpan w:val="6"/>
            <w:vAlign w:val="center"/>
            <w:hideMark/>
          </w:tcPr>
          <w:p w14:paraId="7CA559A2" w14:textId="77777777" w:rsidR="00411EE7" w:rsidRPr="0030508E" w:rsidRDefault="00411EE7" w:rsidP="00213DD5">
            <w:pPr>
              <w:rPr>
                <w:rFonts w:ascii="Arial Narrow" w:hAnsi="Arial Narrow"/>
                <w:color w:val="000000" w:themeColor="text1"/>
                <w:sz w:val="20"/>
                <w:szCs w:val="20"/>
              </w:rPr>
            </w:pPr>
            <w:r w:rsidRPr="0030508E">
              <w:rPr>
                <w:rFonts w:ascii="Arial Narrow" w:hAnsi="Arial Narrow"/>
                <w:b/>
                <w:bCs/>
                <w:color w:val="000000" w:themeColor="text1"/>
                <w:sz w:val="20"/>
                <w:szCs w:val="20"/>
              </w:rPr>
              <w:t>AND</w:t>
            </w:r>
          </w:p>
        </w:tc>
      </w:tr>
      <w:tr w:rsidR="00411EE7" w:rsidRPr="0030508E" w14:paraId="45506483" w14:textId="77777777" w:rsidTr="002D4F18">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323" w:type="dxa"/>
            <w:gridSpan w:val="4"/>
            <w:vAlign w:val="center"/>
          </w:tcPr>
          <w:p w14:paraId="599A0096" w14:textId="402D449F" w:rsidR="00411EE7" w:rsidRPr="0030508E" w:rsidRDefault="00411EE7" w:rsidP="00213DD5">
            <w:pPr>
              <w:jc w:val="center"/>
              <w:rPr>
                <w:rFonts w:ascii="Arial Narrow" w:hAnsi="Arial Narrow"/>
                <w:color w:val="000000" w:themeColor="text1"/>
                <w:sz w:val="20"/>
                <w:szCs w:val="20"/>
              </w:rPr>
            </w:pPr>
          </w:p>
        </w:tc>
        <w:tc>
          <w:tcPr>
            <w:tcW w:w="8037" w:type="dxa"/>
            <w:gridSpan w:val="6"/>
            <w:vAlign w:val="center"/>
            <w:hideMark/>
          </w:tcPr>
          <w:p w14:paraId="04156F02" w14:textId="77777777" w:rsidR="00411EE7" w:rsidRPr="0030508E" w:rsidRDefault="00411EE7" w:rsidP="00213DD5">
            <w:pPr>
              <w:rPr>
                <w:rFonts w:ascii="Arial Narrow" w:hAnsi="Arial Narrow"/>
                <w:color w:val="000000" w:themeColor="text1"/>
                <w:sz w:val="20"/>
                <w:szCs w:val="20"/>
              </w:rPr>
            </w:pPr>
            <w:r w:rsidRPr="0030508E">
              <w:rPr>
                <w:rFonts w:ascii="Arial Narrow" w:hAnsi="Arial Narrow"/>
                <w:b/>
                <w:bCs/>
                <w:color w:val="000000" w:themeColor="text1"/>
                <w:sz w:val="20"/>
                <w:szCs w:val="20"/>
              </w:rPr>
              <w:t>Clinical criteria:</w:t>
            </w:r>
          </w:p>
        </w:tc>
      </w:tr>
      <w:tr w:rsidR="00411EE7" w:rsidRPr="0030508E" w14:paraId="6F77DA74" w14:textId="77777777" w:rsidTr="002D4F18">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323" w:type="dxa"/>
            <w:gridSpan w:val="4"/>
            <w:vAlign w:val="center"/>
          </w:tcPr>
          <w:p w14:paraId="382CC5B0" w14:textId="23AE5517" w:rsidR="00411EE7" w:rsidRPr="0030508E" w:rsidRDefault="00411EE7" w:rsidP="00213DD5">
            <w:pPr>
              <w:jc w:val="center"/>
              <w:rPr>
                <w:rFonts w:ascii="Arial Narrow" w:hAnsi="Arial Narrow"/>
                <w:color w:val="000000" w:themeColor="text1"/>
                <w:sz w:val="20"/>
                <w:szCs w:val="20"/>
              </w:rPr>
            </w:pPr>
          </w:p>
        </w:tc>
        <w:tc>
          <w:tcPr>
            <w:tcW w:w="8037" w:type="dxa"/>
            <w:gridSpan w:val="6"/>
            <w:vAlign w:val="center"/>
            <w:hideMark/>
          </w:tcPr>
          <w:p w14:paraId="28A8D172" w14:textId="77777777" w:rsidR="00411EE7" w:rsidRPr="0030508E" w:rsidRDefault="00411EE7" w:rsidP="00213DD5">
            <w:pPr>
              <w:rPr>
                <w:rFonts w:ascii="Arial Narrow" w:hAnsi="Arial Narrow"/>
                <w:color w:val="000000" w:themeColor="text1"/>
                <w:sz w:val="20"/>
                <w:szCs w:val="20"/>
              </w:rPr>
            </w:pPr>
            <w:r w:rsidRPr="0030508E">
              <w:rPr>
                <w:rFonts w:ascii="Arial Narrow" w:hAnsi="Arial Narrow"/>
                <w:color w:val="000000" w:themeColor="text1"/>
                <w:sz w:val="20"/>
                <w:szCs w:val="20"/>
              </w:rPr>
              <w:t>Patient must have</w:t>
            </w:r>
            <w:r w:rsidRPr="0030508E">
              <w:rPr>
                <w:rFonts w:ascii="Arial Narrow" w:hAnsi="Arial Narrow"/>
                <w:i/>
                <w:iCs/>
                <w:color w:val="000000" w:themeColor="text1"/>
                <w:sz w:val="20"/>
                <w:szCs w:val="20"/>
              </w:rPr>
              <w:t xml:space="preserve"> </w:t>
            </w:r>
            <w:r w:rsidRPr="0030508E">
              <w:rPr>
                <w:rFonts w:ascii="Arial Narrow" w:hAnsi="Arial Narrow"/>
                <w:color w:val="000000" w:themeColor="text1"/>
                <w:sz w:val="20"/>
                <w:szCs w:val="20"/>
              </w:rPr>
              <w:t>calcium serum levels &lt; 2.0 mmol/L; OR</w:t>
            </w:r>
          </w:p>
        </w:tc>
      </w:tr>
      <w:tr w:rsidR="00411EE7" w:rsidRPr="0030508E" w14:paraId="6E088BBE" w14:textId="77777777" w:rsidTr="002D4F18">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323" w:type="dxa"/>
            <w:gridSpan w:val="4"/>
            <w:vAlign w:val="center"/>
          </w:tcPr>
          <w:p w14:paraId="64047E63" w14:textId="72031836" w:rsidR="00411EE7" w:rsidRPr="0030508E" w:rsidRDefault="00411EE7" w:rsidP="00213DD5">
            <w:pPr>
              <w:jc w:val="center"/>
              <w:rPr>
                <w:rFonts w:ascii="Arial Narrow" w:hAnsi="Arial Narrow"/>
                <w:color w:val="000000" w:themeColor="text1"/>
                <w:sz w:val="20"/>
                <w:szCs w:val="20"/>
              </w:rPr>
            </w:pPr>
          </w:p>
        </w:tc>
        <w:tc>
          <w:tcPr>
            <w:tcW w:w="8037" w:type="dxa"/>
            <w:gridSpan w:val="6"/>
            <w:vAlign w:val="center"/>
          </w:tcPr>
          <w:p w14:paraId="1B718BAF" w14:textId="7D27BA61" w:rsidR="00411EE7" w:rsidRPr="0030508E" w:rsidRDefault="00411EE7" w:rsidP="00213DD5">
            <w:pPr>
              <w:rPr>
                <w:rFonts w:ascii="Arial Narrow" w:hAnsi="Arial Narrow"/>
                <w:color w:val="000000" w:themeColor="text1"/>
                <w:sz w:val="20"/>
                <w:szCs w:val="20"/>
              </w:rPr>
            </w:pPr>
            <w:r w:rsidRPr="00D82111">
              <w:rPr>
                <w:rFonts w:ascii="Arial Narrow" w:hAnsi="Arial Narrow"/>
                <w:color w:val="000000" w:themeColor="text1"/>
                <w:sz w:val="20"/>
                <w:szCs w:val="20"/>
              </w:rPr>
              <w:t>Patient must have had</w:t>
            </w:r>
            <w:r w:rsidRPr="0030508E">
              <w:rPr>
                <w:rFonts w:ascii="Arial Narrow" w:hAnsi="Arial Narrow"/>
                <w:color w:val="000000" w:themeColor="text1"/>
                <w:sz w:val="20"/>
                <w:szCs w:val="20"/>
              </w:rPr>
              <w:t xml:space="preserve"> serum phosphate &gt; 1.5 mmol/L </w:t>
            </w:r>
            <w:r w:rsidRPr="0030508E">
              <w:rPr>
                <w:rFonts w:ascii="Arial Narrow" w:hAnsi="Arial Narrow"/>
                <w:i/>
                <w:iCs/>
                <w:color w:val="000000" w:themeColor="text1"/>
                <w:sz w:val="20"/>
                <w:szCs w:val="20"/>
              </w:rPr>
              <w:t>at the commencement of therapy</w:t>
            </w:r>
            <w:r w:rsidR="00745D7A">
              <w:rPr>
                <w:rFonts w:ascii="Arial Narrow" w:hAnsi="Arial Narrow"/>
                <w:i/>
                <w:iCs/>
                <w:color w:val="000000" w:themeColor="text1"/>
                <w:sz w:val="20"/>
                <w:szCs w:val="20"/>
              </w:rPr>
              <w:t xml:space="preserve"> under this restriction</w:t>
            </w:r>
            <w:r w:rsidRPr="0030508E">
              <w:rPr>
                <w:rFonts w:ascii="Arial Narrow" w:hAnsi="Arial Narrow"/>
                <w:i/>
                <w:iCs/>
                <w:color w:val="000000" w:themeColor="text1"/>
                <w:sz w:val="20"/>
                <w:szCs w:val="20"/>
              </w:rPr>
              <w:t xml:space="preserve">; </w:t>
            </w:r>
            <w:r w:rsidRPr="0030508E">
              <w:rPr>
                <w:rFonts w:ascii="Arial Narrow" w:hAnsi="Arial Narrow"/>
                <w:color w:val="000000" w:themeColor="text1"/>
                <w:sz w:val="20"/>
                <w:szCs w:val="20"/>
              </w:rPr>
              <w:t>OR</w:t>
            </w:r>
          </w:p>
        </w:tc>
      </w:tr>
      <w:tr w:rsidR="00411EE7" w:rsidRPr="006E2FFD" w14:paraId="2E93E57F" w14:textId="77777777" w:rsidTr="002D4F18">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323" w:type="dxa"/>
            <w:gridSpan w:val="4"/>
            <w:vAlign w:val="center"/>
          </w:tcPr>
          <w:p w14:paraId="58E5E9B0" w14:textId="7BC4CD0B" w:rsidR="00411EE7" w:rsidRPr="006E2FFD" w:rsidRDefault="00411EE7" w:rsidP="00213DD5">
            <w:pPr>
              <w:jc w:val="center"/>
              <w:rPr>
                <w:rFonts w:ascii="Arial Narrow" w:hAnsi="Arial Narrow"/>
                <w:sz w:val="20"/>
                <w:szCs w:val="20"/>
              </w:rPr>
            </w:pPr>
          </w:p>
        </w:tc>
        <w:tc>
          <w:tcPr>
            <w:tcW w:w="8037" w:type="dxa"/>
            <w:gridSpan w:val="6"/>
            <w:vAlign w:val="center"/>
          </w:tcPr>
          <w:p w14:paraId="0742F3E9" w14:textId="5578BF3D" w:rsidR="00411EE7" w:rsidRPr="006E2FFD" w:rsidRDefault="00411EE7" w:rsidP="00213DD5">
            <w:pPr>
              <w:rPr>
                <w:rFonts w:ascii="Arial Narrow" w:hAnsi="Arial Narrow"/>
                <w:sz w:val="20"/>
                <w:szCs w:val="20"/>
              </w:rPr>
            </w:pPr>
            <w:r w:rsidRPr="006E2FFD">
              <w:rPr>
                <w:rFonts w:ascii="Arial Narrow" w:hAnsi="Arial Narrow"/>
                <w:i/>
                <w:iCs/>
                <w:sz w:val="20"/>
                <w:szCs w:val="20"/>
              </w:rPr>
              <w:t>Patient must have had</w:t>
            </w:r>
            <w:r w:rsidRPr="006E2FFD">
              <w:rPr>
                <w:rFonts w:ascii="Arial Narrow" w:hAnsi="Arial Narrow"/>
                <w:sz w:val="20"/>
                <w:szCs w:val="20"/>
              </w:rPr>
              <w:t xml:space="preserve"> prior emergency room/urgent care visits related to hypoparathyroidism in the previous 6 months </w:t>
            </w:r>
            <w:r w:rsidRPr="006E2FFD">
              <w:rPr>
                <w:rFonts w:ascii="Arial Narrow" w:hAnsi="Arial Narrow"/>
                <w:i/>
                <w:iCs/>
                <w:sz w:val="20"/>
                <w:szCs w:val="20"/>
              </w:rPr>
              <w:t xml:space="preserve">prior to initiating treatment </w:t>
            </w:r>
            <w:r w:rsidR="00745D7A">
              <w:rPr>
                <w:rFonts w:ascii="Arial Narrow" w:hAnsi="Arial Narrow"/>
                <w:i/>
                <w:iCs/>
                <w:sz w:val="20"/>
                <w:szCs w:val="20"/>
              </w:rPr>
              <w:t xml:space="preserve">under this restriction </w:t>
            </w:r>
            <w:r w:rsidRPr="006E2FFD">
              <w:rPr>
                <w:rFonts w:ascii="Arial Narrow" w:hAnsi="Arial Narrow"/>
                <w:i/>
                <w:iCs/>
                <w:sz w:val="20"/>
                <w:szCs w:val="20"/>
              </w:rPr>
              <w:t xml:space="preserve">with this drug; </w:t>
            </w:r>
            <w:r w:rsidRPr="006E2FFD">
              <w:rPr>
                <w:rFonts w:ascii="Arial Narrow" w:hAnsi="Arial Narrow"/>
                <w:sz w:val="20"/>
                <w:szCs w:val="20"/>
              </w:rPr>
              <w:t>OR</w:t>
            </w:r>
          </w:p>
        </w:tc>
      </w:tr>
      <w:tr w:rsidR="00411EE7" w:rsidRPr="006E2FFD" w14:paraId="271B7E5F" w14:textId="77777777" w:rsidTr="002D4F18">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323" w:type="dxa"/>
            <w:gridSpan w:val="4"/>
            <w:vAlign w:val="center"/>
          </w:tcPr>
          <w:p w14:paraId="7AD80749" w14:textId="47FB21E5" w:rsidR="00411EE7" w:rsidRPr="006E2FFD" w:rsidRDefault="00411EE7" w:rsidP="00213DD5">
            <w:pPr>
              <w:jc w:val="center"/>
              <w:rPr>
                <w:rFonts w:ascii="Arial Narrow" w:hAnsi="Arial Narrow"/>
                <w:sz w:val="20"/>
                <w:szCs w:val="20"/>
              </w:rPr>
            </w:pPr>
          </w:p>
        </w:tc>
        <w:tc>
          <w:tcPr>
            <w:tcW w:w="8037" w:type="dxa"/>
            <w:gridSpan w:val="6"/>
            <w:vAlign w:val="center"/>
          </w:tcPr>
          <w:p w14:paraId="4C9C66AB" w14:textId="101B83C2" w:rsidR="00411EE7" w:rsidRPr="006E2FFD" w:rsidRDefault="00411EE7" w:rsidP="00213DD5">
            <w:pPr>
              <w:rPr>
                <w:rFonts w:ascii="Arial Narrow" w:hAnsi="Arial Narrow"/>
                <w:i/>
                <w:iCs/>
                <w:sz w:val="20"/>
                <w:szCs w:val="20"/>
              </w:rPr>
            </w:pPr>
            <w:r w:rsidRPr="006E2FFD">
              <w:rPr>
                <w:rFonts w:ascii="Arial Narrow" w:hAnsi="Arial Narrow"/>
                <w:i/>
                <w:iCs/>
                <w:sz w:val="20"/>
                <w:szCs w:val="20"/>
              </w:rPr>
              <w:t>Patient must have had</w:t>
            </w:r>
            <w:r w:rsidRPr="006E2FFD">
              <w:rPr>
                <w:rFonts w:ascii="Arial Narrow" w:hAnsi="Arial Narrow"/>
                <w:sz w:val="20"/>
                <w:szCs w:val="20"/>
              </w:rPr>
              <w:t xml:space="preserve"> prior hospitalisations related to hypoparathyroidism in the previous 6 months </w:t>
            </w:r>
            <w:r w:rsidRPr="006E2FFD">
              <w:rPr>
                <w:rFonts w:ascii="Arial Narrow" w:hAnsi="Arial Narrow"/>
                <w:i/>
                <w:iCs/>
                <w:sz w:val="20"/>
                <w:szCs w:val="20"/>
              </w:rPr>
              <w:t>prior to initiating treatment with this drug</w:t>
            </w:r>
            <w:r w:rsidR="00745D7A">
              <w:rPr>
                <w:rFonts w:ascii="Arial Narrow" w:hAnsi="Arial Narrow"/>
                <w:i/>
                <w:iCs/>
                <w:sz w:val="20"/>
                <w:szCs w:val="20"/>
              </w:rPr>
              <w:t xml:space="preserve"> under this restriction</w:t>
            </w:r>
            <w:r w:rsidRPr="006E2FFD">
              <w:rPr>
                <w:rFonts w:ascii="Arial Narrow" w:hAnsi="Arial Narrow"/>
                <w:i/>
                <w:iCs/>
                <w:sz w:val="20"/>
                <w:szCs w:val="20"/>
              </w:rPr>
              <w:t xml:space="preserve">; </w:t>
            </w:r>
            <w:r w:rsidRPr="006E2FFD">
              <w:rPr>
                <w:rFonts w:ascii="Arial Narrow" w:hAnsi="Arial Narrow"/>
                <w:sz w:val="20"/>
                <w:szCs w:val="20"/>
              </w:rPr>
              <w:t>OR</w:t>
            </w:r>
          </w:p>
        </w:tc>
      </w:tr>
      <w:tr w:rsidR="00411EE7" w:rsidRPr="0030508E" w14:paraId="0D88F974" w14:textId="77777777" w:rsidTr="002D4F18">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323" w:type="dxa"/>
            <w:gridSpan w:val="4"/>
            <w:vAlign w:val="center"/>
          </w:tcPr>
          <w:p w14:paraId="64CBCA97" w14:textId="0850349F" w:rsidR="00411EE7" w:rsidRPr="0030508E" w:rsidRDefault="00411EE7" w:rsidP="00213DD5">
            <w:pPr>
              <w:jc w:val="center"/>
              <w:rPr>
                <w:rFonts w:ascii="Arial Narrow" w:hAnsi="Arial Narrow"/>
                <w:color w:val="000000" w:themeColor="text1"/>
                <w:sz w:val="20"/>
                <w:szCs w:val="20"/>
              </w:rPr>
            </w:pPr>
          </w:p>
        </w:tc>
        <w:tc>
          <w:tcPr>
            <w:tcW w:w="8037" w:type="dxa"/>
            <w:gridSpan w:val="6"/>
            <w:vAlign w:val="center"/>
          </w:tcPr>
          <w:p w14:paraId="7927F904" w14:textId="77777777" w:rsidR="00411EE7" w:rsidRPr="0030508E" w:rsidRDefault="00411EE7" w:rsidP="00213DD5">
            <w:pPr>
              <w:rPr>
                <w:rFonts w:ascii="Arial Narrow" w:hAnsi="Arial Narrow"/>
                <w:color w:val="000000" w:themeColor="text1"/>
                <w:sz w:val="20"/>
                <w:szCs w:val="20"/>
              </w:rPr>
            </w:pPr>
            <w:r w:rsidRPr="0030508E">
              <w:rPr>
                <w:rFonts w:ascii="Arial Narrow" w:hAnsi="Arial Narrow"/>
                <w:color w:val="000000" w:themeColor="text1"/>
                <w:sz w:val="20"/>
                <w:szCs w:val="20"/>
              </w:rPr>
              <w:t>Patient must have had 24-hour urinary calcium level &gt; 7 mmol/24 hours</w:t>
            </w:r>
            <w:r>
              <w:rPr>
                <w:rFonts w:ascii="Arial Narrow" w:hAnsi="Arial Narrow"/>
                <w:color w:val="000000" w:themeColor="text1"/>
                <w:sz w:val="20"/>
                <w:szCs w:val="20"/>
              </w:rPr>
              <w:t>; OR</w:t>
            </w:r>
          </w:p>
        </w:tc>
      </w:tr>
      <w:tr w:rsidR="00411EE7" w:rsidRPr="001F3C8A" w14:paraId="7C691B7F" w14:textId="77777777" w:rsidTr="002D4F18">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323" w:type="dxa"/>
            <w:gridSpan w:val="4"/>
            <w:vAlign w:val="center"/>
          </w:tcPr>
          <w:p w14:paraId="5AD6994D" w14:textId="07FF76DB" w:rsidR="00411EE7" w:rsidRPr="001F3C8A" w:rsidRDefault="00411EE7" w:rsidP="00213DD5">
            <w:pPr>
              <w:jc w:val="center"/>
              <w:rPr>
                <w:rFonts w:ascii="Arial Narrow" w:hAnsi="Arial Narrow"/>
                <w:sz w:val="20"/>
                <w:szCs w:val="20"/>
              </w:rPr>
            </w:pPr>
          </w:p>
        </w:tc>
        <w:tc>
          <w:tcPr>
            <w:tcW w:w="8037" w:type="dxa"/>
            <w:gridSpan w:val="6"/>
            <w:vAlign w:val="center"/>
          </w:tcPr>
          <w:p w14:paraId="75C407B8" w14:textId="77777777" w:rsidR="00411EE7" w:rsidRPr="001F3C8A" w:rsidRDefault="00411EE7" w:rsidP="00213DD5">
            <w:pPr>
              <w:rPr>
                <w:rFonts w:ascii="Arial Narrow" w:hAnsi="Arial Narrow"/>
                <w:sz w:val="20"/>
                <w:szCs w:val="20"/>
              </w:rPr>
            </w:pPr>
            <w:r w:rsidRPr="001F3C8A">
              <w:rPr>
                <w:rFonts w:ascii="Arial Narrow" w:hAnsi="Arial Narrow"/>
                <w:sz w:val="20"/>
                <w:szCs w:val="20"/>
              </w:rPr>
              <w:t xml:space="preserve">Patient must have a history of </w:t>
            </w:r>
            <w:r w:rsidRPr="00F772F7">
              <w:rPr>
                <w:rFonts w:ascii="Arial Narrow" w:hAnsi="Arial Narrow"/>
                <w:i/>
                <w:iCs/>
                <w:sz w:val="20"/>
                <w:szCs w:val="20"/>
              </w:rPr>
              <w:t>one of</w:t>
            </w:r>
            <w:r>
              <w:rPr>
                <w:rFonts w:ascii="Arial Narrow" w:hAnsi="Arial Narrow"/>
                <w:sz w:val="20"/>
                <w:szCs w:val="20"/>
              </w:rPr>
              <w:t xml:space="preserve"> </w:t>
            </w:r>
            <w:r w:rsidRPr="001F3C8A">
              <w:rPr>
                <w:rFonts w:ascii="Arial Narrow" w:hAnsi="Arial Narrow"/>
                <w:i/>
                <w:iCs/>
                <w:sz w:val="20"/>
                <w:szCs w:val="20"/>
              </w:rPr>
              <w:t>(i)</w:t>
            </w:r>
            <w:r>
              <w:rPr>
                <w:rFonts w:ascii="Arial Narrow" w:hAnsi="Arial Narrow"/>
                <w:sz w:val="20"/>
                <w:szCs w:val="20"/>
              </w:rPr>
              <w:t xml:space="preserve"> </w:t>
            </w:r>
            <w:r w:rsidRPr="001F3C8A">
              <w:rPr>
                <w:rFonts w:ascii="Arial Narrow" w:hAnsi="Arial Narrow"/>
                <w:sz w:val="20"/>
                <w:szCs w:val="20"/>
              </w:rPr>
              <w:t xml:space="preserve">nephrolithiasis, </w:t>
            </w:r>
            <w:r w:rsidRPr="001F3C8A">
              <w:rPr>
                <w:rFonts w:ascii="Arial Narrow" w:hAnsi="Arial Narrow"/>
                <w:strike/>
                <w:sz w:val="20"/>
                <w:szCs w:val="20"/>
              </w:rPr>
              <w:t>or a history of</w:t>
            </w:r>
            <w:r w:rsidRPr="001F3C8A">
              <w:rPr>
                <w:rFonts w:ascii="Arial Narrow" w:hAnsi="Arial Narrow"/>
                <w:sz w:val="20"/>
                <w:szCs w:val="20"/>
              </w:rPr>
              <w:t xml:space="preserve"> </w:t>
            </w:r>
            <w:r w:rsidRPr="001F3C8A">
              <w:rPr>
                <w:rFonts w:ascii="Arial Narrow" w:hAnsi="Arial Narrow"/>
                <w:i/>
                <w:iCs/>
                <w:sz w:val="20"/>
                <w:szCs w:val="20"/>
              </w:rPr>
              <w:t>(ii)</w:t>
            </w:r>
            <w:r>
              <w:rPr>
                <w:rFonts w:ascii="Arial Narrow" w:hAnsi="Arial Narrow"/>
                <w:sz w:val="20"/>
                <w:szCs w:val="20"/>
              </w:rPr>
              <w:t xml:space="preserve"> </w:t>
            </w:r>
            <w:r w:rsidRPr="001F3C8A">
              <w:rPr>
                <w:rFonts w:ascii="Arial Narrow" w:hAnsi="Arial Narrow"/>
                <w:sz w:val="20"/>
                <w:szCs w:val="20"/>
              </w:rPr>
              <w:t xml:space="preserve">nephrocalcinosis, </w:t>
            </w:r>
            <w:r w:rsidRPr="001F3C8A">
              <w:rPr>
                <w:rFonts w:ascii="Arial Narrow" w:hAnsi="Arial Narrow"/>
                <w:strike/>
                <w:sz w:val="20"/>
                <w:szCs w:val="20"/>
              </w:rPr>
              <w:t>or</w:t>
            </w:r>
            <w:r w:rsidRPr="001F3C8A">
              <w:rPr>
                <w:rFonts w:ascii="Arial Narrow" w:hAnsi="Arial Narrow"/>
                <w:sz w:val="20"/>
                <w:szCs w:val="20"/>
              </w:rPr>
              <w:t xml:space="preserve"> </w:t>
            </w:r>
            <w:r w:rsidRPr="00354BB6">
              <w:rPr>
                <w:rFonts w:ascii="Arial Narrow" w:hAnsi="Arial Narrow"/>
                <w:i/>
                <w:iCs/>
                <w:sz w:val="20"/>
                <w:szCs w:val="20"/>
              </w:rPr>
              <w:t>(iii) an estimated</w:t>
            </w:r>
            <w:r>
              <w:rPr>
                <w:rFonts w:ascii="Arial Narrow" w:hAnsi="Arial Narrow"/>
                <w:sz w:val="20"/>
                <w:szCs w:val="20"/>
              </w:rPr>
              <w:t xml:space="preserve"> </w:t>
            </w:r>
            <w:r w:rsidRPr="00354BB6">
              <w:rPr>
                <w:rFonts w:ascii="Arial Narrow" w:hAnsi="Arial Narrow"/>
                <w:i/>
                <w:iCs/>
                <w:sz w:val="20"/>
                <w:szCs w:val="20"/>
              </w:rPr>
              <w:t>glomerular filtration rate (</w:t>
            </w:r>
            <w:r w:rsidRPr="001F3C8A">
              <w:rPr>
                <w:rFonts w:ascii="Arial Narrow" w:hAnsi="Arial Narrow"/>
                <w:sz w:val="20"/>
                <w:szCs w:val="20"/>
              </w:rPr>
              <w:t>eGFR</w:t>
            </w:r>
            <w:r w:rsidRPr="00354BB6">
              <w:rPr>
                <w:rFonts w:ascii="Arial Narrow" w:hAnsi="Arial Narrow"/>
                <w:i/>
                <w:iCs/>
                <w:sz w:val="20"/>
                <w:szCs w:val="20"/>
              </w:rPr>
              <w:t>)</w:t>
            </w:r>
            <w:r>
              <w:rPr>
                <w:rFonts w:ascii="Arial Narrow" w:hAnsi="Arial Narrow"/>
                <w:sz w:val="20"/>
                <w:szCs w:val="20"/>
              </w:rPr>
              <w:t xml:space="preserve"> </w:t>
            </w:r>
            <w:r w:rsidRPr="00354BB6">
              <w:rPr>
                <w:rFonts w:ascii="Arial Narrow" w:hAnsi="Arial Narrow"/>
                <w:strike/>
                <w:sz w:val="20"/>
                <w:szCs w:val="20"/>
              </w:rPr>
              <w:t>&lt;</w:t>
            </w:r>
            <w:r w:rsidRPr="001F3C8A">
              <w:rPr>
                <w:rFonts w:ascii="Arial Narrow" w:hAnsi="Arial Narrow"/>
                <w:sz w:val="20"/>
                <w:szCs w:val="20"/>
              </w:rPr>
              <w:t xml:space="preserve"> </w:t>
            </w:r>
            <w:r w:rsidRPr="00354BB6">
              <w:rPr>
                <w:rFonts w:ascii="Arial Narrow" w:hAnsi="Arial Narrow"/>
                <w:i/>
                <w:iCs/>
                <w:sz w:val="20"/>
                <w:szCs w:val="20"/>
              </w:rPr>
              <w:t>less than</w:t>
            </w:r>
            <w:r>
              <w:rPr>
                <w:rFonts w:ascii="Arial Narrow" w:hAnsi="Arial Narrow"/>
                <w:sz w:val="20"/>
                <w:szCs w:val="20"/>
              </w:rPr>
              <w:t xml:space="preserve"> </w:t>
            </w:r>
            <w:r w:rsidRPr="001F3C8A">
              <w:rPr>
                <w:rFonts w:ascii="Arial Narrow" w:hAnsi="Arial Narrow"/>
                <w:sz w:val="20"/>
                <w:szCs w:val="20"/>
              </w:rPr>
              <w:t>60 mL/min/1.73m</w:t>
            </w:r>
            <w:r w:rsidRPr="00354BB6">
              <w:rPr>
                <w:rFonts w:ascii="Arial Narrow" w:hAnsi="Arial Narrow"/>
                <w:sz w:val="20"/>
                <w:szCs w:val="20"/>
                <w:vertAlign w:val="superscript"/>
              </w:rPr>
              <w:t>2</w:t>
            </w:r>
            <w:r w:rsidRPr="001F3C8A">
              <w:rPr>
                <w:rFonts w:ascii="Arial Narrow" w:hAnsi="Arial Narrow"/>
                <w:sz w:val="20"/>
                <w:szCs w:val="20"/>
              </w:rPr>
              <w:t xml:space="preserve"> </w:t>
            </w:r>
            <w:r w:rsidRPr="00354BB6">
              <w:rPr>
                <w:rFonts w:ascii="Arial Narrow" w:hAnsi="Arial Narrow"/>
                <w:strike/>
                <w:sz w:val="20"/>
                <w:szCs w:val="20"/>
              </w:rPr>
              <w:t>(estimated glomerular filtration rate)</w:t>
            </w:r>
          </w:p>
        </w:tc>
      </w:tr>
      <w:tr w:rsidR="00411EE7" w:rsidRPr="009B11A5" w14:paraId="35BED4B4" w14:textId="77777777" w:rsidTr="002D4F18">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323" w:type="dxa"/>
            <w:gridSpan w:val="4"/>
            <w:vAlign w:val="center"/>
          </w:tcPr>
          <w:p w14:paraId="6750C880" w14:textId="77777777" w:rsidR="00411EE7" w:rsidRPr="009B11A5" w:rsidRDefault="00411EE7" w:rsidP="00213DD5">
            <w:pPr>
              <w:jc w:val="center"/>
              <w:rPr>
                <w:rFonts w:ascii="Arial Narrow" w:hAnsi="Arial Narrow"/>
                <w:color w:val="000000" w:themeColor="text1"/>
                <w:sz w:val="20"/>
                <w:szCs w:val="20"/>
              </w:rPr>
            </w:pPr>
          </w:p>
        </w:tc>
        <w:tc>
          <w:tcPr>
            <w:tcW w:w="8037" w:type="dxa"/>
            <w:gridSpan w:val="6"/>
            <w:vAlign w:val="center"/>
          </w:tcPr>
          <w:p w14:paraId="2128CFF6" w14:textId="77777777" w:rsidR="00411EE7" w:rsidRPr="009B11A5" w:rsidRDefault="00411EE7" w:rsidP="00213DD5">
            <w:pPr>
              <w:rPr>
                <w:rFonts w:ascii="Arial Narrow" w:hAnsi="Arial Narrow"/>
                <w:color w:val="000000" w:themeColor="text1"/>
                <w:sz w:val="20"/>
                <w:szCs w:val="20"/>
              </w:rPr>
            </w:pPr>
            <w:r w:rsidRPr="009B11A5">
              <w:rPr>
                <w:rFonts w:ascii="Arial Narrow" w:hAnsi="Arial Narrow"/>
                <w:b/>
                <w:bCs/>
                <w:color w:val="000000" w:themeColor="text1"/>
                <w:sz w:val="20"/>
                <w:szCs w:val="20"/>
              </w:rPr>
              <w:t>AND</w:t>
            </w:r>
          </w:p>
        </w:tc>
      </w:tr>
      <w:tr w:rsidR="00411EE7" w:rsidRPr="009B11A5" w14:paraId="5D024C97" w14:textId="77777777" w:rsidTr="002D4F18">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323" w:type="dxa"/>
            <w:gridSpan w:val="4"/>
            <w:vAlign w:val="center"/>
          </w:tcPr>
          <w:p w14:paraId="74F2CA0A" w14:textId="6E7F60C9" w:rsidR="00411EE7" w:rsidRPr="009B11A5" w:rsidRDefault="00411EE7" w:rsidP="00213DD5">
            <w:pPr>
              <w:jc w:val="center"/>
              <w:rPr>
                <w:rFonts w:ascii="Arial Narrow" w:hAnsi="Arial Narrow"/>
                <w:sz w:val="20"/>
                <w:szCs w:val="20"/>
              </w:rPr>
            </w:pPr>
          </w:p>
        </w:tc>
        <w:tc>
          <w:tcPr>
            <w:tcW w:w="8037" w:type="dxa"/>
            <w:gridSpan w:val="6"/>
            <w:vAlign w:val="center"/>
          </w:tcPr>
          <w:p w14:paraId="213DDADE" w14:textId="77777777" w:rsidR="00411EE7" w:rsidRPr="009B11A5" w:rsidRDefault="00411EE7" w:rsidP="00213DD5">
            <w:pPr>
              <w:rPr>
                <w:rFonts w:ascii="Arial Narrow" w:hAnsi="Arial Narrow"/>
                <w:b/>
                <w:bCs/>
                <w:sz w:val="20"/>
                <w:szCs w:val="20"/>
              </w:rPr>
            </w:pPr>
            <w:r w:rsidRPr="009B11A5">
              <w:rPr>
                <w:rFonts w:ascii="Arial Narrow" w:hAnsi="Arial Narrow"/>
                <w:b/>
                <w:bCs/>
                <w:sz w:val="20"/>
                <w:szCs w:val="20"/>
              </w:rPr>
              <w:t>Clinical Criteria</w:t>
            </w:r>
          </w:p>
        </w:tc>
      </w:tr>
      <w:tr w:rsidR="00411EE7" w:rsidRPr="009B11A5" w14:paraId="7DA12B7F" w14:textId="77777777" w:rsidTr="002D4F18">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323" w:type="dxa"/>
            <w:gridSpan w:val="4"/>
            <w:vAlign w:val="center"/>
          </w:tcPr>
          <w:p w14:paraId="3C4123CF" w14:textId="77777777" w:rsidR="00411EE7" w:rsidRPr="00F575EC" w:rsidRDefault="00411EE7" w:rsidP="00213DD5">
            <w:pPr>
              <w:jc w:val="center"/>
              <w:rPr>
                <w:rFonts w:ascii="Arial Narrow" w:hAnsi="Arial Narrow"/>
                <w:i/>
                <w:iCs/>
                <w:sz w:val="20"/>
                <w:szCs w:val="20"/>
              </w:rPr>
            </w:pPr>
          </w:p>
        </w:tc>
        <w:tc>
          <w:tcPr>
            <w:tcW w:w="8037" w:type="dxa"/>
            <w:gridSpan w:val="6"/>
            <w:vAlign w:val="center"/>
          </w:tcPr>
          <w:p w14:paraId="2A0785B5" w14:textId="77777777" w:rsidR="00411EE7" w:rsidRPr="009B11A5" w:rsidRDefault="00411EE7" w:rsidP="00213DD5">
            <w:pPr>
              <w:rPr>
                <w:rFonts w:ascii="Arial Narrow" w:hAnsi="Arial Narrow"/>
                <w:sz w:val="20"/>
                <w:szCs w:val="20"/>
              </w:rPr>
            </w:pPr>
            <w:r w:rsidRPr="009B11A5">
              <w:rPr>
                <w:rFonts w:ascii="Arial Narrow" w:hAnsi="Arial Narrow"/>
                <w:sz w:val="20"/>
                <w:szCs w:val="20"/>
              </w:rPr>
              <w:t xml:space="preserve">Patient must </w:t>
            </w:r>
            <w:r w:rsidRPr="009B11A5">
              <w:rPr>
                <w:rFonts w:ascii="Arial Narrow" w:hAnsi="Arial Narrow"/>
                <w:strike/>
                <w:sz w:val="20"/>
                <w:szCs w:val="20"/>
              </w:rPr>
              <w:t>not</w:t>
            </w:r>
            <w:r w:rsidRPr="009B11A5">
              <w:rPr>
                <w:rFonts w:ascii="Arial Narrow" w:hAnsi="Arial Narrow"/>
                <w:sz w:val="20"/>
                <w:szCs w:val="20"/>
              </w:rPr>
              <w:t xml:space="preserve"> have an estimated glomerular filtration rate (eGFR) of </w:t>
            </w:r>
            <w:r w:rsidRPr="009B11A5">
              <w:rPr>
                <w:rFonts w:ascii="Arial Narrow" w:hAnsi="Arial Narrow"/>
                <w:strike/>
                <w:sz w:val="20"/>
                <w:szCs w:val="20"/>
              </w:rPr>
              <w:t>less than or equal to</w:t>
            </w:r>
            <w:r w:rsidRPr="009B11A5">
              <w:rPr>
                <w:rFonts w:ascii="Arial Narrow" w:hAnsi="Arial Narrow"/>
                <w:sz w:val="20"/>
                <w:szCs w:val="20"/>
              </w:rPr>
              <w:t xml:space="preserve"> greater than 30 mL/min/1.73 m</w:t>
            </w:r>
            <w:r w:rsidRPr="009B11A5">
              <w:rPr>
                <w:rFonts w:ascii="Arial Narrow" w:hAnsi="Arial Narrow"/>
                <w:sz w:val="20"/>
                <w:szCs w:val="20"/>
                <w:vertAlign w:val="superscript"/>
              </w:rPr>
              <w:t>2</w:t>
            </w:r>
            <w:r w:rsidRPr="009B11A5">
              <w:rPr>
                <w:rFonts w:ascii="Arial Narrow" w:hAnsi="Arial Narrow"/>
                <w:sz w:val="20"/>
                <w:szCs w:val="20"/>
              </w:rPr>
              <w:t xml:space="preserve"> </w:t>
            </w:r>
            <w:r w:rsidRPr="009B11A5">
              <w:rPr>
                <w:rFonts w:ascii="Arial Narrow" w:hAnsi="Arial Narrow"/>
                <w:strike/>
                <w:sz w:val="20"/>
                <w:szCs w:val="20"/>
              </w:rPr>
              <w:t>(estimated glomerular filtration rate)</w:t>
            </w:r>
          </w:p>
        </w:tc>
      </w:tr>
      <w:tr w:rsidR="00411EE7" w:rsidRPr="00F772F7" w14:paraId="0F2F4C4B" w14:textId="77777777" w:rsidTr="002D4F18">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323" w:type="dxa"/>
            <w:gridSpan w:val="4"/>
            <w:vAlign w:val="center"/>
          </w:tcPr>
          <w:p w14:paraId="2B0E9090" w14:textId="77777777" w:rsidR="00411EE7" w:rsidRPr="00B10B7D" w:rsidRDefault="00411EE7" w:rsidP="00213DD5">
            <w:pPr>
              <w:jc w:val="center"/>
              <w:rPr>
                <w:rFonts w:ascii="Arial Narrow" w:hAnsi="Arial Narrow"/>
                <w:i/>
                <w:iCs/>
                <w:color w:val="FF0000"/>
                <w:sz w:val="20"/>
                <w:szCs w:val="20"/>
              </w:rPr>
            </w:pPr>
          </w:p>
        </w:tc>
        <w:tc>
          <w:tcPr>
            <w:tcW w:w="8037" w:type="dxa"/>
            <w:gridSpan w:val="6"/>
            <w:vAlign w:val="center"/>
          </w:tcPr>
          <w:p w14:paraId="68CCADAA" w14:textId="77777777" w:rsidR="00411EE7" w:rsidRPr="00F772F7" w:rsidRDefault="00411EE7" w:rsidP="00213DD5">
            <w:pPr>
              <w:rPr>
                <w:rFonts w:ascii="Arial Narrow" w:hAnsi="Arial Narrow"/>
                <w:b/>
                <w:bCs/>
                <w:color w:val="FF0000"/>
                <w:sz w:val="20"/>
                <w:szCs w:val="20"/>
              </w:rPr>
            </w:pPr>
            <w:r w:rsidRPr="00F772F7">
              <w:rPr>
                <w:rFonts w:ascii="Arial Narrow" w:hAnsi="Arial Narrow"/>
                <w:b/>
                <w:bCs/>
                <w:sz w:val="20"/>
                <w:szCs w:val="20"/>
              </w:rPr>
              <w:t>AND</w:t>
            </w:r>
          </w:p>
        </w:tc>
      </w:tr>
      <w:tr w:rsidR="00411EE7" w:rsidRPr="0030508E" w14:paraId="6784FFA0" w14:textId="77777777" w:rsidTr="002D4F18">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323" w:type="dxa"/>
            <w:gridSpan w:val="4"/>
            <w:vAlign w:val="center"/>
          </w:tcPr>
          <w:p w14:paraId="6C4B2BF3" w14:textId="27B0E5D3" w:rsidR="00411EE7" w:rsidRPr="0030508E" w:rsidRDefault="00411EE7" w:rsidP="00213DD5">
            <w:pPr>
              <w:jc w:val="center"/>
              <w:rPr>
                <w:rFonts w:ascii="Arial Narrow" w:hAnsi="Arial Narrow"/>
                <w:color w:val="000000" w:themeColor="text1"/>
                <w:sz w:val="20"/>
                <w:szCs w:val="20"/>
              </w:rPr>
            </w:pPr>
          </w:p>
        </w:tc>
        <w:tc>
          <w:tcPr>
            <w:tcW w:w="8037" w:type="dxa"/>
            <w:gridSpan w:val="6"/>
            <w:vAlign w:val="center"/>
          </w:tcPr>
          <w:p w14:paraId="1AE1E7C4" w14:textId="77777777" w:rsidR="00411EE7" w:rsidRPr="0030508E" w:rsidRDefault="00411EE7" w:rsidP="00213DD5">
            <w:pPr>
              <w:rPr>
                <w:rFonts w:ascii="Arial Narrow" w:hAnsi="Arial Narrow"/>
                <w:b/>
                <w:bCs/>
                <w:color w:val="000000" w:themeColor="text1"/>
                <w:sz w:val="20"/>
                <w:szCs w:val="20"/>
              </w:rPr>
            </w:pPr>
            <w:r w:rsidRPr="0030508E">
              <w:rPr>
                <w:rFonts w:ascii="Arial Narrow" w:hAnsi="Arial Narrow"/>
                <w:b/>
                <w:bCs/>
                <w:color w:val="000000" w:themeColor="text1"/>
                <w:sz w:val="20"/>
                <w:szCs w:val="20"/>
              </w:rPr>
              <w:t>Clinical criteria:</w:t>
            </w:r>
          </w:p>
        </w:tc>
      </w:tr>
      <w:tr w:rsidR="00411EE7" w:rsidRPr="0030508E" w14:paraId="56204558" w14:textId="77777777" w:rsidTr="002D4F18">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323" w:type="dxa"/>
            <w:gridSpan w:val="4"/>
            <w:vAlign w:val="center"/>
          </w:tcPr>
          <w:p w14:paraId="744F8A84" w14:textId="486D8B38" w:rsidR="00411EE7" w:rsidRPr="0030508E" w:rsidRDefault="00411EE7" w:rsidP="00213DD5">
            <w:pPr>
              <w:jc w:val="center"/>
              <w:rPr>
                <w:rFonts w:ascii="Arial Narrow" w:hAnsi="Arial Narrow"/>
                <w:color w:val="000000" w:themeColor="text1"/>
                <w:sz w:val="20"/>
                <w:szCs w:val="20"/>
              </w:rPr>
            </w:pPr>
          </w:p>
        </w:tc>
        <w:tc>
          <w:tcPr>
            <w:tcW w:w="8037" w:type="dxa"/>
            <w:gridSpan w:val="6"/>
            <w:vAlign w:val="center"/>
          </w:tcPr>
          <w:p w14:paraId="2A81F1A6" w14:textId="61347E5F" w:rsidR="00411EE7" w:rsidRPr="0030508E" w:rsidRDefault="003D4E62" w:rsidP="00213DD5">
            <w:pPr>
              <w:rPr>
                <w:rFonts w:ascii="Arial Narrow" w:hAnsi="Arial Narrow"/>
                <w:color w:val="000000" w:themeColor="text1"/>
                <w:sz w:val="20"/>
                <w:szCs w:val="20"/>
              </w:rPr>
            </w:pPr>
            <w:r w:rsidRPr="003D4E62">
              <w:rPr>
                <w:rFonts w:ascii="Arial Narrow" w:hAnsi="Arial Narrow"/>
                <w:color w:val="000000" w:themeColor="text1"/>
                <w:sz w:val="20"/>
                <w:szCs w:val="20"/>
              </w:rPr>
              <w:t>If treatment with non-PBS funded palopegteriparatide has exceeded 26 weeks, patient must have demonstrated an adequate response to treatment with this drug after 26 weeks of treatment</w:t>
            </w:r>
          </w:p>
        </w:tc>
      </w:tr>
      <w:tr w:rsidR="00411EE7" w:rsidRPr="0030508E" w14:paraId="4CBB0275" w14:textId="77777777" w:rsidTr="002D4F18">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323" w:type="dxa"/>
            <w:gridSpan w:val="4"/>
            <w:vAlign w:val="center"/>
          </w:tcPr>
          <w:p w14:paraId="2F112B38" w14:textId="2D82CCB2" w:rsidR="00411EE7" w:rsidRPr="0030508E" w:rsidRDefault="00411EE7" w:rsidP="00213DD5">
            <w:pPr>
              <w:keepNext/>
              <w:jc w:val="center"/>
              <w:rPr>
                <w:rFonts w:ascii="Arial Narrow" w:hAnsi="Arial Narrow"/>
                <w:color w:val="000000" w:themeColor="text1"/>
                <w:sz w:val="20"/>
                <w:szCs w:val="20"/>
              </w:rPr>
            </w:pPr>
          </w:p>
        </w:tc>
        <w:tc>
          <w:tcPr>
            <w:tcW w:w="8037" w:type="dxa"/>
            <w:gridSpan w:val="6"/>
            <w:vAlign w:val="center"/>
            <w:hideMark/>
          </w:tcPr>
          <w:p w14:paraId="40B3CC8D" w14:textId="77777777" w:rsidR="00411EE7" w:rsidRPr="0030508E" w:rsidRDefault="00411EE7" w:rsidP="00213DD5">
            <w:pPr>
              <w:keepNext/>
              <w:rPr>
                <w:rFonts w:ascii="Arial Narrow" w:hAnsi="Arial Narrow"/>
                <w:color w:val="000000" w:themeColor="text1"/>
                <w:sz w:val="20"/>
                <w:szCs w:val="20"/>
              </w:rPr>
            </w:pPr>
            <w:r w:rsidRPr="0030508E">
              <w:rPr>
                <w:rFonts w:ascii="Arial Narrow" w:hAnsi="Arial Narrow"/>
                <w:b/>
                <w:bCs/>
                <w:color w:val="000000" w:themeColor="text1"/>
                <w:sz w:val="20"/>
                <w:szCs w:val="20"/>
              </w:rPr>
              <w:t>Treatment criteria:</w:t>
            </w:r>
          </w:p>
        </w:tc>
      </w:tr>
      <w:tr w:rsidR="00411EE7" w:rsidRPr="00DA6E79" w14:paraId="370F0727" w14:textId="77777777" w:rsidTr="002D4F18">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323" w:type="dxa"/>
            <w:gridSpan w:val="4"/>
            <w:vAlign w:val="center"/>
          </w:tcPr>
          <w:p w14:paraId="3D5A160D" w14:textId="0DF38AFB" w:rsidR="00411EE7" w:rsidRPr="00DA6E79" w:rsidRDefault="00411EE7" w:rsidP="00213DD5">
            <w:pPr>
              <w:keepNext/>
              <w:jc w:val="center"/>
              <w:rPr>
                <w:rFonts w:ascii="Arial Narrow" w:hAnsi="Arial Narrow"/>
                <w:sz w:val="20"/>
                <w:szCs w:val="20"/>
              </w:rPr>
            </w:pPr>
          </w:p>
        </w:tc>
        <w:tc>
          <w:tcPr>
            <w:tcW w:w="8037" w:type="dxa"/>
            <w:gridSpan w:val="6"/>
            <w:vAlign w:val="center"/>
          </w:tcPr>
          <w:p w14:paraId="440CB881" w14:textId="54139E6F" w:rsidR="00411EE7" w:rsidRPr="00DA6E79" w:rsidRDefault="00411EE7" w:rsidP="00213DD5">
            <w:pPr>
              <w:keepNext/>
              <w:rPr>
                <w:rFonts w:ascii="Arial Narrow" w:hAnsi="Arial Narrow"/>
                <w:sz w:val="20"/>
                <w:szCs w:val="20"/>
              </w:rPr>
            </w:pPr>
            <w:r w:rsidRPr="00DA6E79">
              <w:rPr>
                <w:rFonts w:ascii="Arial Narrow" w:hAnsi="Arial Narrow"/>
                <w:sz w:val="20"/>
                <w:szCs w:val="20"/>
              </w:rPr>
              <w:t xml:space="preserve">Must be treated by </w:t>
            </w:r>
            <w:r w:rsidRPr="00DA6E79">
              <w:rPr>
                <w:rFonts w:ascii="Arial Narrow" w:hAnsi="Arial Narrow"/>
                <w:i/>
                <w:iCs/>
                <w:sz w:val="20"/>
                <w:szCs w:val="20"/>
              </w:rPr>
              <w:t>either (i)</w:t>
            </w:r>
            <w:r w:rsidRPr="00DA6E79">
              <w:rPr>
                <w:rFonts w:ascii="Arial Narrow" w:hAnsi="Arial Narrow"/>
                <w:sz w:val="20"/>
                <w:szCs w:val="20"/>
              </w:rPr>
              <w:t xml:space="preserve"> an</w:t>
            </w:r>
            <w:r w:rsidRPr="00DA6E79">
              <w:rPr>
                <w:rFonts w:ascii="Arial Narrow" w:hAnsi="Arial Narrow"/>
                <w:i/>
                <w:iCs/>
                <w:sz w:val="20"/>
                <w:szCs w:val="20"/>
              </w:rPr>
              <w:t xml:space="preserve"> </w:t>
            </w:r>
            <w:r w:rsidRPr="00DA6E79">
              <w:rPr>
                <w:rFonts w:ascii="Arial Narrow" w:hAnsi="Arial Narrow"/>
                <w:sz w:val="20"/>
                <w:szCs w:val="20"/>
              </w:rPr>
              <w:t>endocrinologist</w:t>
            </w:r>
            <w:r w:rsidRPr="00DA6E79">
              <w:rPr>
                <w:rFonts w:ascii="Arial Narrow" w:hAnsi="Arial Narrow"/>
                <w:i/>
                <w:iCs/>
                <w:sz w:val="20"/>
                <w:szCs w:val="20"/>
              </w:rPr>
              <w:t xml:space="preserve">, </w:t>
            </w:r>
            <w:r w:rsidRPr="009B11A5">
              <w:rPr>
                <w:rFonts w:ascii="Arial Narrow" w:hAnsi="Arial Narrow"/>
                <w:i/>
                <w:iCs/>
                <w:sz w:val="20"/>
                <w:szCs w:val="20"/>
              </w:rPr>
              <w:t>(ii)</w:t>
            </w:r>
            <w:r w:rsidRPr="009B11A5">
              <w:rPr>
                <w:rFonts w:ascii="Arial Narrow" w:hAnsi="Arial Narrow"/>
                <w:sz w:val="20"/>
                <w:szCs w:val="20"/>
              </w:rPr>
              <w:t xml:space="preserve"> a </w:t>
            </w:r>
            <w:r w:rsidRPr="009B11A5">
              <w:rPr>
                <w:rFonts w:ascii="Arial Narrow" w:hAnsi="Arial Narrow"/>
                <w:i/>
                <w:iCs/>
                <w:sz w:val="20"/>
                <w:szCs w:val="20"/>
              </w:rPr>
              <w:t xml:space="preserve">medical </w:t>
            </w:r>
            <w:r w:rsidRPr="009B11A5">
              <w:rPr>
                <w:rFonts w:ascii="Arial Narrow" w:hAnsi="Arial Narrow"/>
                <w:sz w:val="20"/>
                <w:szCs w:val="20"/>
              </w:rPr>
              <w:t xml:space="preserve">specialist experienced in the </w:t>
            </w:r>
            <w:r w:rsidRPr="009B11A5">
              <w:rPr>
                <w:rFonts w:ascii="Arial Narrow" w:hAnsi="Arial Narrow"/>
                <w:strike/>
                <w:sz w:val="20"/>
                <w:szCs w:val="20"/>
              </w:rPr>
              <w:t xml:space="preserve">treatment </w:t>
            </w:r>
            <w:r w:rsidRPr="009B11A5">
              <w:rPr>
                <w:rFonts w:ascii="Arial Narrow" w:hAnsi="Arial Narrow"/>
                <w:sz w:val="20"/>
                <w:szCs w:val="20"/>
              </w:rPr>
              <w:t>management of hypoparathyroidism</w:t>
            </w:r>
            <w:r w:rsidRPr="00DA6E79">
              <w:rPr>
                <w:rFonts w:ascii="Arial Narrow" w:hAnsi="Arial Narrow"/>
                <w:i/>
                <w:iCs/>
                <w:sz w:val="20"/>
                <w:szCs w:val="20"/>
              </w:rPr>
              <w:t xml:space="preserve"> </w:t>
            </w:r>
          </w:p>
        </w:tc>
      </w:tr>
      <w:tr w:rsidR="0087344F" w:rsidRPr="0030508E" w14:paraId="4C4E34C1" w14:textId="77777777" w:rsidTr="006A6A09">
        <w:tblPrEx>
          <w:tblBorders>
            <w:bottom w:val="single" w:sz="4" w:space="0" w:color="auto"/>
          </w:tblBorders>
          <w:tblCellMar>
            <w:top w:w="15" w:type="dxa"/>
            <w:bottom w:w="15" w:type="dxa"/>
          </w:tblCellMar>
          <w:tblLook w:val="04A0" w:firstRow="1" w:lastRow="0" w:firstColumn="1" w:lastColumn="0" w:noHBand="0" w:noVBand="1"/>
        </w:tblPrEx>
        <w:trPr>
          <w:cantSplit/>
          <w:trHeight w:val="20"/>
        </w:trPr>
        <w:tc>
          <w:tcPr>
            <w:tcW w:w="1323" w:type="dxa"/>
            <w:gridSpan w:val="4"/>
            <w:vAlign w:val="center"/>
          </w:tcPr>
          <w:p w14:paraId="659CE384" w14:textId="62C3B687" w:rsidR="00C6283D" w:rsidRPr="0030508E" w:rsidRDefault="00C6283D" w:rsidP="00500CD6">
            <w:pPr>
              <w:jc w:val="center"/>
              <w:rPr>
                <w:rFonts w:ascii="Arial Narrow" w:hAnsi="Arial Narrow"/>
                <w:color w:val="000000" w:themeColor="text1"/>
                <w:sz w:val="20"/>
                <w:szCs w:val="20"/>
              </w:rPr>
            </w:pPr>
          </w:p>
        </w:tc>
        <w:tc>
          <w:tcPr>
            <w:tcW w:w="8037" w:type="dxa"/>
            <w:gridSpan w:val="6"/>
            <w:vAlign w:val="center"/>
          </w:tcPr>
          <w:p w14:paraId="7E27D703" w14:textId="77777777" w:rsidR="00C6283D" w:rsidRPr="00D36D07" w:rsidRDefault="00C6283D" w:rsidP="00213DD5">
            <w:pPr>
              <w:rPr>
                <w:rFonts w:ascii="Arial Narrow" w:hAnsi="Arial Narrow"/>
                <w:b/>
                <w:bCs/>
                <w:sz w:val="20"/>
                <w:szCs w:val="20"/>
              </w:rPr>
            </w:pPr>
            <w:r w:rsidRPr="00D36D07">
              <w:rPr>
                <w:rFonts w:ascii="Arial Narrow" w:hAnsi="Arial Narrow"/>
                <w:b/>
                <w:bCs/>
                <w:sz w:val="20"/>
                <w:szCs w:val="20"/>
              </w:rPr>
              <w:t>Prescribing Instructions:</w:t>
            </w:r>
          </w:p>
          <w:p w14:paraId="59707CC2" w14:textId="77777777" w:rsidR="00C6283D" w:rsidRPr="00D36D07" w:rsidRDefault="00C6283D" w:rsidP="00213DD5">
            <w:pPr>
              <w:rPr>
                <w:rFonts w:ascii="Arial Narrow" w:hAnsi="Arial Narrow"/>
                <w:sz w:val="20"/>
                <w:szCs w:val="20"/>
              </w:rPr>
            </w:pPr>
            <w:r w:rsidRPr="00D36D07">
              <w:rPr>
                <w:rFonts w:ascii="Arial Narrow" w:hAnsi="Arial Narrow"/>
                <w:sz w:val="20"/>
                <w:szCs w:val="20"/>
              </w:rPr>
              <w:t>An adequate response to treatment is defined as:</w:t>
            </w:r>
          </w:p>
          <w:p w14:paraId="4B6F0341" w14:textId="77777777" w:rsidR="00C6283D" w:rsidRPr="00D36D07" w:rsidRDefault="00C6283D" w:rsidP="00213DD5">
            <w:pPr>
              <w:rPr>
                <w:rFonts w:ascii="Arial Narrow" w:hAnsi="Arial Narrow"/>
                <w:sz w:val="20"/>
                <w:szCs w:val="20"/>
              </w:rPr>
            </w:pPr>
            <w:r w:rsidRPr="00D36D07">
              <w:rPr>
                <w:rFonts w:ascii="Arial Narrow" w:hAnsi="Arial Narrow"/>
                <w:sz w:val="20"/>
                <w:szCs w:val="20"/>
              </w:rPr>
              <w:t>An albumin-adjusted serum calcium in the normal range, AND</w:t>
            </w:r>
          </w:p>
          <w:p w14:paraId="7CDCBA36" w14:textId="77777777" w:rsidR="00C6283D" w:rsidRPr="00D36D07" w:rsidRDefault="00C6283D" w:rsidP="00213DD5">
            <w:pPr>
              <w:rPr>
                <w:rFonts w:ascii="Arial Narrow" w:hAnsi="Arial Narrow"/>
                <w:sz w:val="20"/>
                <w:szCs w:val="20"/>
              </w:rPr>
            </w:pPr>
            <w:r w:rsidRPr="00D36D07">
              <w:rPr>
                <w:rFonts w:ascii="Arial Narrow" w:hAnsi="Arial Narrow"/>
                <w:sz w:val="20"/>
                <w:szCs w:val="20"/>
              </w:rPr>
              <w:t>Without concomitant use of active vitamin D, AND</w:t>
            </w:r>
          </w:p>
          <w:p w14:paraId="3AE0B582" w14:textId="77777777" w:rsidR="00C6283D" w:rsidRPr="00D36D07" w:rsidRDefault="00C6283D" w:rsidP="00213DD5">
            <w:pPr>
              <w:rPr>
                <w:rFonts w:ascii="Arial Narrow" w:hAnsi="Arial Narrow"/>
                <w:sz w:val="20"/>
                <w:szCs w:val="20"/>
              </w:rPr>
            </w:pPr>
            <w:r w:rsidRPr="00D36D07">
              <w:rPr>
                <w:rFonts w:ascii="Arial Narrow" w:hAnsi="Arial Narrow"/>
                <w:sz w:val="20"/>
                <w:szCs w:val="20"/>
              </w:rPr>
              <w:t>Without concomitant use of elemental calcium at a dose of &gt; 600 mg/day, AND</w:t>
            </w:r>
          </w:p>
          <w:p w14:paraId="4ED13E41" w14:textId="59A01ADC" w:rsidR="00C6283D" w:rsidRPr="0030508E" w:rsidRDefault="00C6283D" w:rsidP="00213DD5">
            <w:pPr>
              <w:rPr>
                <w:rFonts w:ascii="Arial Narrow" w:hAnsi="Arial Narrow"/>
                <w:b/>
                <w:bCs/>
                <w:color w:val="000000" w:themeColor="text1"/>
                <w:sz w:val="20"/>
                <w:szCs w:val="20"/>
              </w:rPr>
            </w:pPr>
            <w:r w:rsidRPr="00D36D07">
              <w:rPr>
                <w:rFonts w:ascii="Arial Narrow" w:hAnsi="Arial Narrow"/>
                <w:sz w:val="20"/>
                <w:szCs w:val="20"/>
              </w:rPr>
              <w:t>The dose of this drug must be stable over the last four weeks.</w:t>
            </w:r>
          </w:p>
        </w:tc>
      </w:tr>
    </w:tbl>
    <w:p w14:paraId="5F908193" w14:textId="4605658E" w:rsidR="00E13B10" w:rsidRPr="00E13B10" w:rsidRDefault="00E13B10" w:rsidP="00213DD5">
      <w:pPr>
        <w:pStyle w:val="3-BodyText"/>
        <w:numPr>
          <w:ilvl w:val="0"/>
          <w:numId w:val="0"/>
        </w:numPr>
        <w:spacing w:before="120"/>
        <w:ind w:left="720"/>
        <w:rPr>
          <w:i/>
          <w:iCs/>
        </w:rPr>
      </w:pPr>
      <w:bookmarkStart w:id="6" w:name="_Hlk76375324"/>
      <w:r w:rsidRPr="00E13B10">
        <w:rPr>
          <w:i/>
          <w:iCs/>
        </w:rPr>
        <w:t>For more detail on PBAC’s view, see section 7 PBAC outcome.</w:t>
      </w:r>
      <w:bookmarkEnd w:id="6"/>
    </w:p>
    <w:p w14:paraId="74B8BE4E" w14:textId="296695E0" w:rsidR="00AF6C96" w:rsidRDefault="002A44E4" w:rsidP="00213DD5">
      <w:pPr>
        <w:pStyle w:val="2-SectionHeading"/>
      </w:pPr>
      <w:r>
        <w:t>Consideration of the evidence</w:t>
      </w:r>
    </w:p>
    <w:p w14:paraId="066F3F8A" w14:textId="77777777" w:rsidR="00FF639C" w:rsidRPr="006E1229" w:rsidRDefault="00FF639C" w:rsidP="00213DD5">
      <w:pPr>
        <w:pStyle w:val="4-SubsectionHeading"/>
      </w:pPr>
      <w:bookmarkStart w:id="7" w:name="_Hlk76375935"/>
      <w:r w:rsidRPr="006E1229">
        <w:t xml:space="preserve">Sponsor </w:t>
      </w:r>
      <w:r w:rsidRPr="004E23FB">
        <w:t>hearing</w:t>
      </w:r>
    </w:p>
    <w:p w14:paraId="1A100BA6" w14:textId="055D8775" w:rsidR="00FF639C" w:rsidRPr="00F91542" w:rsidRDefault="00FF639C" w:rsidP="00213DD5">
      <w:pPr>
        <w:pStyle w:val="3-BodyText"/>
        <w:rPr>
          <w:rFonts w:ascii="Calibri" w:hAnsi="Calibri" w:cs="Calibri"/>
          <w:bCs/>
          <w:snapToGrid w:val="0"/>
        </w:rPr>
      </w:pPr>
      <w:r w:rsidRPr="00F91542">
        <w:rPr>
          <w:rFonts w:ascii="Calibri" w:hAnsi="Calibri" w:cs="Calibri"/>
          <w:bCs/>
          <w:snapToGrid w:val="0"/>
        </w:rPr>
        <w:t>There was no hearing for this item.</w:t>
      </w:r>
    </w:p>
    <w:p w14:paraId="119F7A35" w14:textId="77777777" w:rsidR="00FF639C" w:rsidRPr="006E1229" w:rsidRDefault="00FF639C" w:rsidP="00213DD5">
      <w:pPr>
        <w:pStyle w:val="4-SubsectionHeading"/>
      </w:pPr>
      <w:r w:rsidRPr="006E1229">
        <w:t>Consumer comments</w:t>
      </w:r>
    </w:p>
    <w:p w14:paraId="09A8A032" w14:textId="1A476BDB" w:rsidR="00C5345F" w:rsidRDefault="00C5345F" w:rsidP="00213DD5">
      <w:pPr>
        <w:pStyle w:val="3-BodyText"/>
        <w:rPr>
          <w:rFonts w:cs="Arial"/>
          <w:bCs/>
          <w:snapToGrid w:val="0"/>
        </w:rPr>
      </w:pPr>
      <w:bookmarkStart w:id="8" w:name="_Hlk76382618"/>
      <w:bookmarkEnd w:id="7"/>
      <w:r w:rsidRPr="008174DF">
        <w:rPr>
          <w:rFonts w:cs="Arial"/>
          <w:bCs/>
          <w:snapToGrid w:val="0"/>
        </w:rPr>
        <w:t xml:space="preserve">The PBAC noted and welcomed the input from an individual (1) via the Consumer Comments facility on the PBS website. The individual described their experience with surgically induced hypoparathyroidism and tetany, noting that patients experiencing this rare condition are frequently ignored or misunderstood, </w:t>
      </w:r>
      <w:r w:rsidR="001D1B60">
        <w:rPr>
          <w:rFonts w:cs="Arial"/>
          <w:bCs/>
          <w:snapToGrid w:val="0"/>
        </w:rPr>
        <w:t xml:space="preserve">as </w:t>
      </w:r>
      <w:r w:rsidRPr="008174DF">
        <w:rPr>
          <w:rFonts w:cs="Arial"/>
          <w:bCs/>
          <w:snapToGrid w:val="0"/>
        </w:rPr>
        <w:t>there are limited endocrinologists or general practitioners who can manage the debilitating symptoms</w:t>
      </w:r>
      <w:r w:rsidR="001D1B60">
        <w:rPr>
          <w:rFonts w:cs="Arial"/>
          <w:bCs/>
          <w:snapToGrid w:val="0"/>
        </w:rPr>
        <w:t xml:space="preserve">, and feel like they are </w:t>
      </w:r>
      <w:r w:rsidRPr="008174DF">
        <w:rPr>
          <w:rFonts w:cs="Arial"/>
          <w:bCs/>
          <w:snapToGrid w:val="0"/>
        </w:rPr>
        <w:t>in a permanent state of ‘flight or fight’.</w:t>
      </w:r>
      <w:r>
        <w:rPr>
          <w:rFonts w:cs="Arial"/>
          <w:bCs/>
          <w:snapToGrid w:val="0"/>
        </w:rPr>
        <w:t xml:space="preserve"> </w:t>
      </w:r>
      <w:r w:rsidRPr="008174DF">
        <w:rPr>
          <w:rFonts w:cs="Arial"/>
          <w:bCs/>
          <w:snapToGrid w:val="0"/>
        </w:rPr>
        <w:t xml:space="preserve">The contributor described </w:t>
      </w:r>
      <w:r w:rsidR="00564753">
        <w:rPr>
          <w:rFonts w:cs="Arial"/>
          <w:bCs/>
          <w:snapToGrid w:val="0"/>
        </w:rPr>
        <w:t>how their</w:t>
      </w:r>
      <w:r w:rsidRPr="008174DF">
        <w:rPr>
          <w:rFonts w:cs="Arial"/>
          <w:bCs/>
          <w:snapToGrid w:val="0"/>
        </w:rPr>
        <w:t xml:space="preserve"> calcium levels are consistently at the bottom of the "normal" range, and they frequently display symptoms of hypocalcaemia (i.e. difficulty forming words, mild tetany, etc). Overall, the input states </w:t>
      </w:r>
      <w:r w:rsidR="00564753">
        <w:rPr>
          <w:rFonts w:cs="Arial"/>
          <w:bCs/>
          <w:snapToGrid w:val="0"/>
        </w:rPr>
        <w:t xml:space="preserve">although it is possible to </w:t>
      </w:r>
      <w:r w:rsidRPr="008174DF">
        <w:rPr>
          <w:rFonts w:cs="Arial"/>
          <w:bCs/>
          <w:snapToGrid w:val="0"/>
        </w:rPr>
        <w:t>manage this condition to a degree, it require</w:t>
      </w:r>
      <w:r w:rsidR="00564753">
        <w:rPr>
          <w:rFonts w:cs="Arial"/>
          <w:bCs/>
          <w:snapToGrid w:val="0"/>
        </w:rPr>
        <w:t>s</w:t>
      </w:r>
      <w:r w:rsidRPr="008174DF">
        <w:rPr>
          <w:rFonts w:cs="Arial"/>
          <w:bCs/>
          <w:snapToGrid w:val="0"/>
        </w:rPr>
        <w:t xml:space="preserve"> endless vigilance, and are rarely asymptomatic. </w:t>
      </w:r>
      <w:r w:rsidR="00564753">
        <w:rPr>
          <w:rFonts w:cs="Arial"/>
          <w:bCs/>
          <w:snapToGrid w:val="0"/>
        </w:rPr>
        <w:t>The i</w:t>
      </w:r>
      <w:r w:rsidRPr="008174DF">
        <w:rPr>
          <w:rFonts w:cs="Arial"/>
          <w:bCs/>
          <w:snapToGrid w:val="0"/>
        </w:rPr>
        <w:t>nput further state</w:t>
      </w:r>
      <w:r w:rsidR="00564753">
        <w:rPr>
          <w:rFonts w:cs="Arial"/>
          <w:bCs/>
          <w:snapToGrid w:val="0"/>
        </w:rPr>
        <w:t>d</w:t>
      </w:r>
      <w:r w:rsidRPr="008174DF">
        <w:rPr>
          <w:rFonts w:cs="Arial"/>
          <w:bCs/>
          <w:snapToGrid w:val="0"/>
        </w:rPr>
        <w:t xml:space="preserve"> </w:t>
      </w:r>
      <w:r w:rsidR="001573C8">
        <w:rPr>
          <w:rFonts w:cs="Arial"/>
          <w:bCs/>
          <w:snapToGrid w:val="0"/>
        </w:rPr>
        <w:t xml:space="preserve">that the listing of </w:t>
      </w:r>
      <w:r w:rsidRPr="008174DF">
        <w:rPr>
          <w:rFonts w:cs="Arial"/>
          <w:bCs/>
          <w:snapToGrid w:val="0"/>
        </w:rPr>
        <w:t xml:space="preserve">palopegteriparatide could be life-changing, and not having to consume </w:t>
      </w:r>
      <w:r w:rsidR="001573C8">
        <w:rPr>
          <w:rFonts w:cs="Arial"/>
          <w:bCs/>
          <w:snapToGrid w:val="0"/>
        </w:rPr>
        <w:t xml:space="preserve">so </w:t>
      </w:r>
      <w:r w:rsidRPr="008174DF">
        <w:rPr>
          <w:rFonts w:cs="Arial"/>
          <w:bCs/>
          <w:snapToGrid w:val="0"/>
        </w:rPr>
        <w:t xml:space="preserve">many </w:t>
      </w:r>
      <w:r w:rsidR="001573C8">
        <w:rPr>
          <w:rFonts w:cs="Arial"/>
          <w:bCs/>
          <w:snapToGrid w:val="0"/>
        </w:rPr>
        <w:t xml:space="preserve">calcium and magnesium </w:t>
      </w:r>
      <w:r w:rsidRPr="008174DF">
        <w:rPr>
          <w:rFonts w:cs="Arial"/>
          <w:bCs/>
          <w:snapToGrid w:val="0"/>
        </w:rPr>
        <w:t xml:space="preserve">tablets </w:t>
      </w:r>
      <w:r w:rsidR="001573C8">
        <w:rPr>
          <w:rFonts w:cs="Arial"/>
          <w:bCs/>
          <w:snapToGrid w:val="0"/>
        </w:rPr>
        <w:t xml:space="preserve">each day </w:t>
      </w:r>
      <w:r w:rsidRPr="008174DF">
        <w:rPr>
          <w:rFonts w:cs="Arial"/>
          <w:bCs/>
          <w:snapToGrid w:val="0"/>
        </w:rPr>
        <w:t>would be advantage</w:t>
      </w:r>
      <w:r w:rsidR="00011F8C">
        <w:rPr>
          <w:rFonts w:cs="Arial"/>
          <w:bCs/>
          <w:snapToGrid w:val="0"/>
        </w:rPr>
        <w:t>ous</w:t>
      </w:r>
      <w:r w:rsidRPr="008174DF">
        <w:rPr>
          <w:rFonts w:cs="Arial"/>
          <w:bCs/>
          <w:snapToGrid w:val="0"/>
        </w:rPr>
        <w:t>.</w:t>
      </w:r>
    </w:p>
    <w:p w14:paraId="2516511E" w14:textId="6CC9660D" w:rsidR="00C5345F" w:rsidRPr="00BC6C42" w:rsidRDefault="00C5345F" w:rsidP="00213DD5">
      <w:pPr>
        <w:pStyle w:val="3-BodyText"/>
        <w:rPr>
          <w:rFonts w:cs="Arial"/>
          <w:bCs/>
          <w:snapToGrid w:val="0"/>
        </w:rPr>
      </w:pPr>
      <w:r>
        <w:rPr>
          <w:snapToGrid w:val="0"/>
        </w:rPr>
        <w:t xml:space="preserve">The PBAC recalled </w:t>
      </w:r>
      <w:r w:rsidR="00011F8C">
        <w:rPr>
          <w:snapToGrid w:val="0"/>
        </w:rPr>
        <w:t xml:space="preserve">that </w:t>
      </w:r>
      <w:r>
        <w:rPr>
          <w:snapToGrid w:val="0"/>
        </w:rPr>
        <w:t xml:space="preserve">the consumer inputs received </w:t>
      </w:r>
      <w:r w:rsidR="00011F8C">
        <w:rPr>
          <w:snapToGrid w:val="0"/>
        </w:rPr>
        <w:t>in relation to</w:t>
      </w:r>
      <w:r>
        <w:rPr>
          <w:snapToGrid w:val="0"/>
        </w:rPr>
        <w:t xml:space="preserve"> the March 2025 submission were supportive of the listing for palopegteriparatide for chronic HPT. The PBAC valued the consumer inputs received for palopegteriparatide as it provided important </w:t>
      </w:r>
      <w:r w:rsidRPr="00874F99">
        <w:rPr>
          <w:rFonts w:cs="Arial"/>
          <w:bCs/>
          <w:snapToGrid w:val="0"/>
        </w:rPr>
        <w:t xml:space="preserve">patient and health care provider perspective for </w:t>
      </w:r>
      <w:r>
        <w:rPr>
          <w:rFonts w:cs="Arial"/>
          <w:bCs/>
          <w:snapToGrid w:val="0"/>
        </w:rPr>
        <w:t>this condition</w:t>
      </w:r>
      <w:r w:rsidRPr="00874F99">
        <w:rPr>
          <w:rFonts w:cs="Arial"/>
          <w:bCs/>
          <w:snapToGrid w:val="0"/>
        </w:rPr>
        <w:t xml:space="preserve">. </w:t>
      </w:r>
    </w:p>
    <w:bookmarkEnd w:id="8"/>
    <w:p w14:paraId="551B6FB4" w14:textId="76513C87" w:rsidR="002A44E4" w:rsidRDefault="00056D19" w:rsidP="00213DD5">
      <w:pPr>
        <w:pStyle w:val="4-SubsectionHeading"/>
      </w:pPr>
      <w:r>
        <w:t>Clinical claim</w:t>
      </w:r>
    </w:p>
    <w:p w14:paraId="35699326" w14:textId="77777777" w:rsidR="003C4889" w:rsidRDefault="003C4889" w:rsidP="00213DD5">
      <w:pPr>
        <w:pStyle w:val="3-BodyText"/>
      </w:pPr>
      <w:r>
        <w:t xml:space="preserve">No new clinical evidence was presented in the early re-entry resubmission. </w:t>
      </w:r>
    </w:p>
    <w:p w14:paraId="4B1212EA" w14:textId="77777777" w:rsidR="0083283B" w:rsidRDefault="003C4889" w:rsidP="00213DD5">
      <w:pPr>
        <w:pStyle w:val="3-BodyText"/>
      </w:pPr>
      <w:r>
        <w:t>The PBAC had previously considered that</w:t>
      </w:r>
      <w:r w:rsidR="0083283B">
        <w:t xml:space="preserve"> p</w:t>
      </w:r>
      <w:r w:rsidR="005A510E">
        <w:t>alopegteriparatide was superior compared to the nominated comparator of conventional therapy in terms of efficacy and likely comparable in terms of safety (</w:t>
      </w:r>
      <w:r w:rsidR="0083283B">
        <w:t>paragraph 7.1, palopegteriparatide minutes, March 2025).</w:t>
      </w:r>
    </w:p>
    <w:p w14:paraId="72937018" w14:textId="66ACCCF7" w:rsidR="00565588" w:rsidRDefault="00A047AE" w:rsidP="00213DD5">
      <w:pPr>
        <w:pStyle w:val="4-SubsectionHeading"/>
      </w:pPr>
      <w:r>
        <w:t>Economic analysis</w:t>
      </w:r>
    </w:p>
    <w:p w14:paraId="46D83B2D" w14:textId="77777777" w:rsidR="001C64E0" w:rsidRDefault="00373C31" w:rsidP="00213DD5">
      <w:pPr>
        <w:pStyle w:val="3-BodyText"/>
      </w:pPr>
      <w:bookmarkStart w:id="9" w:name="_Ref204866046"/>
      <w:r>
        <w:t xml:space="preserve">At the March 2025 meeting, the PBAC </w:t>
      </w:r>
      <w:r w:rsidR="003C3A9E">
        <w:t>considered that a more reasonable base case would</w:t>
      </w:r>
      <w:r w:rsidR="001C64E0">
        <w:t>:</w:t>
      </w:r>
      <w:bookmarkEnd w:id="9"/>
      <w:r w:rsidR="003C3A9E">
        <w:t xml:space="preserve"> </w:t>
      </w:r>
    </w:p>
    <w:p w14:paraId="014926DD" w14:textId="4A94C4F8" w:rsidR="001C64E0" w:rsidRPr="007D6E55" w:rsidRDefault="00D16B91" w:rsidP="00213DD5">
      <w:pPr>
        <w:pStyle w:val="3-BodyText"/>
        <w:numPr>
          <w:ilvl w:val="1"/>
          <w:numId w:val="9"/>
        </w:numPr>
        <w:ind w:left="1080"/>
        <w:rPr>
          <w:i/>
          <w:iCs/>
        </w:rPr>
      </w:pPr>
      <w:r>
        <w:t>r</w:t>
      </w:r>
      <w:r w:rsidR="001C64E0">
        <w:t xml:space="preserve">educe the </w:t>
      </w:r>
      <w:r w:rsidR="003C3A9E">
        <w:t xml:space="preserve">time horizon </w:t>
      </w:r>
      <w:r w:rsidR="001C64E0">
        <w:t xml:space="preserve">from 51 years to </w:t>
      </w:r>
      <w:r w:rsidR="003C3A9E">
        <w:t>30 years</w:t>
      </w:r>
      <w:r w:rsidR="00D16913">
        <w:t>;</w:t>
      </w:r>
    </w:p>
    <w:p w14:paraId="1DC889C3" w14:textId="062D7612" w:rsidR="003E152A" w:rsidRDefault="00D16B91" w:rsidP="00213DD5">
      <w:pPr>
        <w:pStyle w:val="3-BodyText"/>
        <w:numPr>
          <w:ilvl w:val="1"/>
          <w:numId w:val="9"/>
        </w:numPr>
        <w:ind w:left="1080"/>
      </w:pPr>
      <w:r>
        <w:t>h</w:t>
      </w:r>
      <w:r w:rsidR="004C1EAF">
        <w:t>alve the utility increment/decrement applied from Cycle 2 to both the palopegteriparatide and conventional therapy arms</w:t>
      </w:r>
      <w:r w:rsidR="003E152A">
        <w:t xml:space="preserve">; and </w:t>
      </w:r>
    </w:p>
    <w:p w14:paraId="5ABF3D61" w14:textId="1917534E" w:rsidR="003E152A" w:rsidRPr="007D6E55" w:rsidRDefault="00D16B91" w:rsidP="00213DD5">
      <w:pPr>
        <w:pStyle w:val="3-BodyText"/>
        <w:numPr>
          <w:ilvl w:val="1"/>
          <w:numId w:val="9"/>
        </w:numPr>
        <w:ind w:left="1080"/>
        <w:rPr>
          <w:i/>
          <w:iCs/>
        </w:rPr>
      </w:pPr>
      <w:r>
        <w:t>r</w:t>
      </w:r>
      <w:r w:rsidR="003E152A">
        <w:t>emove the anniversary price reductions</w:t>
      </w:r>
      <w:r>
        <w:t xml:space="preserve"> (paragraph 7.17, palopegteriparatide minutes, March 2025)</w:t>
      </w:r>
      <w:r w:rsidR="003E152A">
        <w:t>.</w:t>
      </w:r>
      <w:r w:rsidR="007D6E55">
        <w:t xml:space="preserve"> </w:t>
      </w:r>
    </w:p>
    <w:p w14:paraId="7321E873" w14:textId="11F5B727" w:rsidR="00B448B7" w:rsidRPr="00E90193" w:rsidRDefault="003E152A" w:rsidP="00213DD5">
      <w:pPr>
        <w:pStyle w:val="3-BodyText"/>
        <w:rPr>
          <w:i/>
          <w:iCs/>
        </w:rPr>
      </w:pPr>
      <w:bookmarkStart w:id="10" w:name="_Ref204866048"/>
      <w:r>
        <w:t xml:space="preserve">Further, noting the uncertainties associated with the reliance on chronic kidney disease </w:t>
      </w:r>
      <w:r w:rsidR="004E664A">
        <w:t xml:space="preserve">(CKD) </w:t>
      </w:r>
      <w:r>
        <w:t xml:space="preserve">outcomes, the derivation and application of utilities and </w:t>
      </w:r>
      <w:r w:rsidR="00E71669">
        <w:t xml:space="preserve">the lack of comparative data to inform the inputs, the PBAC considered that palopegteriparatide would be cost effective at an incremental cost effectiveness ratio </w:t>
      </w:r>
      <w:r w:rsidR="00F73C8D">
        <w:t xml:space="preserve">(ICER) </w:t>
      </w:r>
      <w:r w:rsidR="00E71669">
        <w:t xml:space="preserve">of </w:t>
      </w:r>
      <w:r w:rsidR="00640CE0" w:rsidRPr="00640CE0">
        <w:t>$45,000 to &lt; $55,000</w:t>
      </w:r>
      <w:r w:rsidR="00E71669">
        <w:t xml:space="preserve"> per quality adjusted life year (QALY)</w:t>
      </w:r>
      <w:r w:rsidR="00B448B7">
        <w:t xml:space="preserve"> (paragraph 7.17, palopegteriparatide minutes, March 2025).</w:t>
      </w:r>
      <w:r w:rsidR="00E90193">
        <w:t xml:space="preserve"> </w:t>
      </w:r>
      <w:bookmarkEnd w:id="10"/>
    </w:p>
    <w:p w14:paraId="7B17C11F" w14:textId="34EC7749" w:rsidR="002A44E4" w:rsidRDefault="002A44E4" w:rsidP="00213DD5">
      <w:pPr>
        <w:pStyle w:val="3-BodyText"/>
      </w:pPr>
      <w:r>
        <w:t>The resubmission did not revise the model as requested by the PBAC</w:t>
      </w:r>
      <w:r w:rsidR="00295367">
        <w:t>.</w:t>
      </w:r>
    </w:p>
    <w:p w14:paraId="627B09B2" w14:textId="36C0AAA6" w:rsidR="00D16913" w:rsidRPr="0086765C" w:rsidRDefault="0086765C" w:rsidP="00213DD5">
      <w:pPr>
        <w:pStyle w:val="3-BodyText"/>
        <w:numPr>
          <w:ilvl w:val="0"/>
          <w:numId w:val="0"/>
        </w:numPr>
        <w:rPr>
          <w:u w:val="single"/>
        </w:rPr>
      </w:pPr>
      <w:r w:rsidRPr="0086765C">
        <w:rPr>
          <w:u w:val="single"/>
        </w:rPr>
        <w:t>Time horizon</w:t>
      </w:r>
    </w:p>
    <w:p w14:paraId="76A63486" w14:textId="7A8594E8" w:rsidR="00ED1E84" w:rsidRDefault="00E20C3B" w:rsidP="00213DD5">
      <w:pPr>
        <w:pStyle w:val="3-BodyText"/>
      </w:pPr>
      <w:r>
        <w:t>In March 2025, the PB</w:t>
      </w:r>
      <w:r w:rsidR="00411295">
        <w:t xml:space="preserve">AC considered that the </w:t>
      </w:r>
      <w:r w:rsidR="00594D2F">
        <w:t xml:space="preserve">time horizon of 51 years was long compared to the 26 weeks of comparative </w:t>
      </w:r>
      <w:r w:rsidR="00FE0EE4">
        <w:t xml:space="preserve">evidence from the </w:t>
      </w:r>
      <w:proofErr w:type="spellStart"/>
      <w:r w:rsidR="00FE0EE4">
        <w:t>PaTHway</w:t>
      </w:r>
      <w:proofErr w:type="spellEnd"/>
      <w:r w:rsidR="00FE0EE4">
        <w:t xml:space="preserve"> trial</w:t>
      </w:r>
      <w:r w:rsidR="00B82FEF">
        <w:t xml:space="preserve">. Further, the PBAC noted that the modelled effectiveness of palopegteriparatide was perpetuated over </w:t>
      </w:r>
      <w:r w:rsidR="00ED1E84">
        <w:t>the time horizon, biasing the results in favour of palopegteriparatide</w:t>
      </w:r>
      <w:r w:rsidR="00FE0EE4">
        <w:t xml:space="preserve">. </w:t>
      </w:r>
      <w:r w:rsidR="00413F64">
        <w:t xml:space="preserve">In March 2025, the PBAC </w:t>
      </w:r>
      <w:r w:rsidR="00DC2AA9">
        <w:t>considered that a time horizon of</w:t>
      </w:r>
      <w:r w:rsidR="00413F64">
        <w:t xml:space="preserve"> </w:t>
      </w:r>
      <w:r w:rsidR="00890983">
        <w:br/>
      </w:r>
      <w:r w:rsidR="00413F64">
        <w:t>30 years</w:t>
      </w:r>
      <w:r w:rsidR="00941A97">
        <w:t xml:space="preserve"> </w:t>
      </w:r>
      <w:r w:rsidR="00DC2AA9">
        <w:t xml:space="preserve">would be more appropriate </w:t>
      </w:r>
      <w:r w:rsidR="00941A97">
        <w:t>(paragraph 7.14, palopegteriparatide minutes, March 2025).</w:t>
      </w:r>
    </w:p>
    <w:p w14:paraId="050EEFEB" w14:textId="5A86A0D6" w:rsidR="00D16913" w:rsidRDefault="0086765C" w:rsidP="00213DD5">
      <w:pPr>
        <w:pStyle w:val="3-BodyText"/>
      </w:pPr>
      <w:r>
        <w:t xml:space="preserve">The </w:t>
      </w:r>
      <w:r w:rsidR="004E664A">
        <w:t xml:space="preserve">early re-entry </w:t>
      </w:r>
      <w:r>
        <w:t xml:space="preserve">resubmission did not reduce the time horizon to 30 years. </w:t>
      </w:r>
      <w:r w:rsidR="009E6E8C">
        <w:t>The resubmission stated that patients with chronic HPT will remain on conventional therapy for life</w:t>
      </w:r>
      <w:r w:rsidR="00B57F25">
        <w:t>, which is known to increase the risk of CKD and the rate of progression</w:t>
      </w:r>
      <w:r w:rsidR="00A43F42">
        <w:t xml:space="preserve"> through the stages of CKD. </w:t>
      </w:r>
      <w:r w:rsidR="00ED6E39">
        <w:t>T</w:t>
      </w:r>
      <w:r w:rsidR="00872118">
        <w:t xml:space="preserve">he </w:t>
      </w:r>
      <w:r w:rsidR="00ED6E39">
        <w:t>p</w:t>
      </w:r>
      <w:r w:rsidR="005E5C21">
        <w:t xml:space="preserve">re-PBAC response </w:t>
      </w:r>
      <w:r w:rsidR="00ED6E39">
        <w:t xml:space="preserve">reiterated that </w:t>
      </w:r>
      <w:r w:rsidR="005E5C21" w:rsidRPr="005E5C21">
        <w:t xml:space="preserve"> a lifetime time horizon </w:t>
      </w:r>
      <w:r w:rsidR="00CD4051">
        <w:t>was required to</w:t>
      </w:r>
      <w:r w:rsidR="005E5C21" w:rsidRPr="005E5C21">
        <w:t xml:space="preserve"> adequately quantify </w:t>
      </w:r>
      <w:r w:rsidR="00CD4051">
        <w:t>the effect of palopegteriparatide</w:t>
      </w:r>
      <w:r w:rsidR="00006CA8">
        <w:t xml:space="preserve"> in the</w:t>
      </w:r>
      <w:r w:rsidR="005E5C21" w:rsidRPr="005E5C21">
        <w:t xml:space="preserve"> economic evaluation.</w:t>
      </w:r>
    </w:p>
    <w:p w14:paraId="3C8EAEFA" w14:textId="77777777" w:rsidR="00754ED1" w:rsidRDefault="00983917" w:rsidP="00213DD5">
      <w:pPr>
        <w:pStyle w:val="3-BodyText"/>
      </w:pPr>
      <w:r>
        <w:t xml:space="preserve">The early re-entry resubmission </w:t>
      </w:r>
      <w:r w:rsidR="00F10749">
        <w:t>acknowledged that the level of uncertainty increases with a lengthy time horizon but stated that the discount rate of 5%</w:t>
      </w:r>
      <w:r w:rsidR="008B20B1">
        <w:t xml:space="preserve"> helped mitigate some of those concerns.</w:t>
      </w:r>
      <w:r w:rsidR="00FA5F4F">
        <w:t xml:space="preserve"> </w:t>
      </w:r>
    </w:p>
    <w:p w14:paraId="44B2FA1E" w14:textId="7EB11335" w:rsidR="009028E2" w:rsidRDefault="00FA5F4F" w:rsidP="00213DD5">
      <w:pPr>
        <w:pStyle w:val="3-BodyText"/>
      </w:pPr>
      <w:r>
        <w:t>The early re-entry resubmission proposed decreasing the discount rate to 3.5% if the time horizon is reduced to 30 years</w:t>
      </w:r>
      <w:r w:rsidR="00754ED1">
        <w:t xml:space="preserve">. </w:t>
      </w:r>
      <w:r w:rsidR="00EA5294">
        <w:t xml:space="preserve">A time horizon of 30 years and a discount rate of 3.5% </w:t>
      </w:r>
      <w:r w:rsidR="00CD70A9">
        <w:t xml:space="preserve">resulted in </w:t>
      </w:r>
      <w:r w:rsidR="002C1EE5">
        <w:t xml:space="preserve">an </w:t>
      </w:r>
      <w:r w:rsidR="00CD70A9">
        <w:t xml:space="preserve">ICER of </w:t>
      </w:r>
      <w:r w:rsidR="000A620F" w:rsidRPr="000A620F">
        <w:t>$75,000 to &lt; $95,000</w:t>
      </w:r>
      <w:r w:rsidR="002327BE">
        <w:t xml:space="preserve"> per QALY, as compared to the base case presented in the resubmission of </w:t>
      </w:r>
      <w:r w:rsidR="000A620F" w:rsidRPr="000A620F">
        <w:t>$75,000 to &lt; $95,000</w:t>
      </w:r>
      <w:r w:rsidR="002327BE">
        <w:t xml:space="preserve"> per QALY.</w:t>
      </w:r>
      <w:r w:rsidR="000A620F">
        <w:t xml:space="preserve"> </w:t>
      </w:r>
    </w:p>
    <w:p w14:paraId="1E4E4019" w14:textId="5BC22272" w:rsidR="008B20B1" w:rsidRPr="00634858" w:rsidRDefault="008B20B1" w:rsidP="00213DD5">
      <w:pPr>
        <w:pStyle w:val="3-BodyText"/>
        <w:numPr>
          <w:ilvl w:val="0"/>
          <w:numId w:val="0"/>
        </w:numPr>
        <w:rPr>
          <w:u w:val="single"/>
        </w:rPr>
      </w:pPr>
      <w:r w:rsidRPr="00634858">
        <w:rPr>
          <w:u w:val="single"/>
        </w:rPr>
        <w:t>Utility increment</w:t>
      </w:r>
      <w:r w:rsidR="00634858" w:rsidRPr="00634858">
        <w:rPr>
          <w:u w:val="single"/>
        </w:rPr>
        <w:t xml:space="preserve"> and decrement</w:t>
      </w:r>
    </w:p>
    <w:p w14:paraId="73166195" w14:textId="77777777" w:rsidR="008A2D57" w:rsidRDefault="00E20C3B" w:rsidP="00213DD5">
      <w:pPr>
        <w:pStyle w:val="3-BodyText"/>
      </w:pPr>
      <w:r>
        <w:t xml:space="preserve">In March 2025, the PBAC considered that the application of treatment specific utility increments and decrements from Cycle 2 was </w:t>
      </w:r>
      <w:r w:rsidR="0040384F">
        <w:t>inappropriate, and that this resulted in patients in the palopegteriparatide arm with CKD Stage 1 and 2 having a higher utility than the general population</w:t>
      </w:r>
      <w:r w:rsidR="008A2D57">
        <w:t xml:space="preserve"> which likely overestimated the benefits in the palopegteriparatide arm (paragraph 7.15, palopegteriparatide minutes, March 2025).</w:t>
      </w:r>
    </w:p>
    <w:p w14:paraId="1265C614" w14:textId="5B9687CE" w:rsidR="008B20B1" w:rsidRDefault="004E664A" w:rsidP="00213DD5">
      <w:pPr>
        <w:pStyle w:val="3-BodyText"/>
      </w:pPr>
      <w:r>
        <w:t xml:space="preserve">The early re-entry resubmission did not halve the </w:t>
      </w:r>
      <w:r w:rsidR="00D7688A">
        <w:t>utility increment and decrement applied from Cycle 2 in the economic model</w:t>
      </w:r>
      <w:r w:rsidR="008A364E">
        <w:t xml:space="preserve">, stating that the treatment specific utility values were derived directly from randomised controlled </w:t>
      </w:r>
      <w:r w:rsidR="008B7501">
        <w:t xml:space="preserve">trial </w:t>
      </w:r>
      <w:r w:rsidR="003E27A9">
        <w:t xml:space="preserve">(RCT) </w:t>
      </w:r>
      <w:r w:rsidR="008B7501">
        <w:t>evidence</w:t>
      </w:r>
      <w:r w:rsidR="002D5D7E">
        <w:t xml:space="preserve"> from the </w:t>
      </w:r>
      <w:proofErr w:type="spellStart"/>
      <w:r w:rsidR="002D5D7E">
        <w:t>PaTHway</w:t>
      </w:r>
      <w:proofErr w:type="spellEnd"/>
      <w:r w:rsidR="002D5D7E">
        <w:t xml:space="preserve"> tri</w:t>
      </w:r>
      <w:r w:rsidR="00827936">
        <w:t>a</w:t>
      </w:r>
      <w:r w:rsidR="002D5D7E">
        <w:t>l</w:t>
      </w:r>
      <w:r w:rsidR="001F591B">
        <w:t>.</w:t>
      </w:r>
    </w:p>
    <w:p w14:paraId="34EBBFE4" w14:textId="0B587CF9" w:rsidR="00C87945" w:rsidRDefault="00535A04" w:rsidP="00213DD5">
      <w:pPr>
        <w:pStyle w:val="3-BodyText"/>
      </w:pPr>
      <w:r>
        <w:t xml:space="preserve">The resubmission determined that the PBAC </w:t>
      </w:r>
      <w:r w:rsidR="00153440">
        <w:t xml:space="preserve">recommended halving the </w:t>
      </w:r>
      <w:r w:rsidR="00E62C17">
        <w:t>quality-of-life</w:t>
      </w:r>
      <w:r w:rsidR="00153440">
        <w:t xml:space="preserve"> benefit observed in the trial</w:t>
      </w:r>
      <w:r w:rsidR="00C87945">
        <w:t xml:space="preserve"> as:</w:t>
      </w:r>
    </w:p>
    <w:p w14:paraId="6BF131A4" w14:textId="77777777" w:rsidR="00804D70" w:rsidRDefault="00E75451" w:rsidP="00213DD5">
      <w:pPr>
        <w:pStyle w:val="3-BodyText"/>
        <w:numPr>
          <w:ilvl w:val="1"/>
          <w:numId w:val="10"/>
        </w:numPr>
        <w:ind w:left="1080"/>
      </w:pPr>
      <w:r>
        <w:t>T</w:t>
      </w:r>
      <w:r w:rsidR="00C87945">
        <w:t>he difference in utility values between the palopegteriparatide and conventional therapy arms was not significantly different.</w:t>
      </w:r>
      <w:r>
        <w:t xml:space="preserve"> </w:t>
      </w:r>
    </w:p>
    <w:p w14:paraId="37509417" w14:textId="0B98473A" w:rsidR="001F591B" w:rsidRDefault="00E75451" w:rsidP="00213DD5">
      <w:pPr>
        <w:pStyle w:val="3-BodyText"/>
        <w:numPr>
          <w:ilvl w:val="1"/>
          <w:numId w:val="13"/>
        </w:numPr>
        <w:ind w:left="1440"/>
      </w:pPr>
      <w:r>
        <w:t>The early re-entry resubmission stated that although the utility dif</w:t>
      </w:r>
      <w:r w:rsidR="00546476">
        <w:t xml:space="preserve">ference was not statistically significant when using the UK </w:t>
      </w:r>
      <w:r w:rsidR="00145204">
        <w:t>values</w:t>
      </w:r>
      <w:r w:rsidR="00546476">
        <w:t xml:space="preserve"> set, it did reach statistical significance when the Australian value set was </w:t>
      </w:r>
      <w:r w:rsidR="00145204">
        <w:t>applied.</w:t>
      </w:r>
      <w:r w:rsidR="00B044C4">
        <w:t xml:space="preserve"> </w:t>
      </w:r>
    </w:p>
    <w:p w14:paraId="0D80009B" w14:textId="77777777" w:rsidR="00804D70" w:rsidRDefault="00DC0FA3" w:rsidP="00213DD5">
      <w:pPr>
        <w:pStyle w:val="3-BodyText"/>
        <w:numPr>
          <w:ilvl w:val="1"/>
          <w:numId w:val="10"/>
        </w:numPr>
        <w:ind w:left="1080"/>
      </w:pPr>
      <w:r>
        <w:t>There was potential for double counting of benefits already captured in the CKD health states.</w:t>
      </w:r>
      <w:r w:rsidR="00236156">
        <w:t xml:space="preserve"> </w:t>
      </w:r>
    </w:p>
    <w:p w14:paraId="3D88AEF2" w14:textId="334418F5" w:rsidR="00076799" w:rsidRDefault="00236156" w:rsidP="00213DD5">
      <w:pPr>
        <w:pStyle w:val="3-BodyText"/>
        <w:numPr>
          <w:ilvl w:val="1"/>
          <w:numId w:val="14"/>
        </w:numPr>
        <w:ind w:left="1440"/>
      </w:pPr>
      <w:r>
        <w:t xml:space="preserve">The early re-entry resubmission stated that the utility values applied in the model </w:t>
      </w:r>
      <w:r w:rsidR="002C1EE5">
        <w:t xml:space="preserve">were </w:t>
      </w:r>
      <w:r>
        <w:t xml:space="preserve">specific only to differences in quality of life relating to the severity of CKD and, as they were derived from an external source (Deloitte 2023) and population, they do not capture any </w:t>
      </w:r>
      <w:r w:rsidR="00E62C17">
        <w:t>quality-of-life</w:t>
      </w:r>
      <w:r>
        <w:t xml:space="preserve"> implications associated with HPT symptoms or side effects</w:t>
      </w:r>
      <w:r w:rsidR="00A16579">
        <w:t>, i.e. there is no double counting</w:t>
      </w:r>
      <w:r>
        <w:t xml:space="preserve">. </w:t>
      </w:r>
    </w:p>
    <w:p w14:paraId="71CB7BDE" w14:textId="20D1C1E2" w:rsidR="00C87945" w:rsidRDefault="00236156" w:rsidP="00213DD5">
      <w:pPr>
        <w:pStyle w:val="3-BodyText"/>
        <w:numPr>
          <w:ilvl w:val="1"/>
          <w:numId w:val="14"/>
        </w:numPr>
        <w:ind w:left="1440"/>
      </w:pPr>
      <w:r>
        <w:t>The resubmission state</w:t>
      </w:r>
      <w:r w:rsidR="002C1EE5">
        <w:t>d</w:t>
      </w:r>
      <w:r>
        <w:t xml:space="preserve"> that the CKD health states only capture the </w:t>
      </w:r>
      <w:r w:rsidR="00E62C17">
        <w:t>quality-of-life</w:t>
      </w:r>
      <w:r>
        <w:t xml:space="preserve"> benefits associated with avoiding CKD progression, and that the differences in HPT symptoms and other side effects of conventional therapy can only be captured by the treatment specific utility difference (of 0.118).</w:t>
      </w:r>
      <w:r w:rsidR="000E712A">
        <w:t xml:space="preserve"> The resubmission stated that arbitrarily halving the utility </w:t>
      </w:r>
      <w:r w:rsidR="00204F6A">
        <w:t>decrement places even less value on the outcomes associated with HPT that are deemed important by clinicians and patients.</w:t>
      </w:r>
    </w:p>
    <w:p w14:paraId="722681C6" w14:textId="77777777" w:rsidR="009035A7" w:rsidRDefault="00F12331" w:rsidP="00213DD5">
      <w:pPr>
        <w:pStyle w:val="3-BodyText"/>
        <w:numPr>
          <w:ilvl w:val="1"/>
          <w:numId w:val="10"/>
        </w:numPr>
        <w:ind w:left="1080"/>
      </w:pPr>
      <w:r>
        <w:t>Application of the increments/decrements for the entire model duration was optimistic</w:t>
      </w:r>
      <w:r w:rsidR="00F34175">
        <w:t xml:space="preserve">. </w:t>
      </w:r>
    </w:p>
    <w:p w14:paraId="76279616" w14:textId="687BD851" w:rsidR="00DC0FA3" w:rsidRDefault="00F34175" w:rsidP="00213DD5">
      <w:pPr>
        <w:pStyle w:val="3-BodyText"/>
        <w:numPr>
          <w:ilvl w:val="1"/>
          <w:numId w:val="15"/>
        </w:numPr>
        <w:ind w:left="1440"/>
      </w:pPr>
      <w:r>
        <w:t>The early re-entry resubmission stated that the utility increment in favour of palopegteriparatide is only applied whilst the patient remains on treatment</w:t>
      </w:r>
      <w:r w:rsidR="00BB0102">
        <w:t>, not the entire model duration.</w:t>
      </w:r>
    </w:p>
    <w:p w14:paraId="6AE731F3" w14:textId="77777777" w:rsidR="009035A7" w:rsidRDefault="00F12331" w:rsidP="00213DD5">
      <w:pPr>
        <w:pStyle w:val="3-BodyText"/>
        <w:numPr>
          <w:ilvl w:val="1"/>
          <w:numId w:val="10"/>
        </w:numPr>
        <w:ind w:left="1080"/>
      </w:pPr>
      <w:r>
        <w:t>Some utility values exceeded population norms</w:t>
      </w:r>
      <w:r w:rsidR="00710413">
        <w:t xml:space="preserve">. </w:t>
      </w:r>
    </w:p>
    <w:p w14:paraId="02E81EC0" w14:textId="77777777" w:rsidR="00076799" w:rsidRDefault="00710413" w:rsidP="00213DD5">
      <w:pPr>
        <w:pStyle w:val="3-BodyText"/>
        <w:numPr>
          <w:ilvl w:val="1"/>
          <w:numId w:val="16"/>
        </w:numPr>
        <w:ind w:left="1440"/>
      </w:pPr>
      <w:r>
        <w:t>The early re-entry resubmission stated that alt</w:t>
      </w:r>
      <w:r w:rsidR="00D07188">
        <w:t>hough the utility value for palopegteriparatide treated patients in the model (0.906) was higher than the population norm (0.86) reported in Redwood 2024</w:t>
      </w:r>
      <w:r w:rsidR="008D6078">
        <w:t>, the Redwood 2024 value was based on a survey conducted during the COVID-19 pandemic</w:t>
      </w:r>
      <w:r w:rsidR="00CC595A">
        <w:t>.</w:t>
      </w:r>
      <w:r w:rsidR="004C036C">
        <w:t xml:space="preserve"> </w:t>
      </w:r>
      <w:r w:rsidR="0018123F">
        <w:t>Prior to the pandemic, McCaffrey 2016 reported an Australian population norm value of 0.91</w:t>
      </w:r>
      <w:r w:rsidR="0053528A">
        <w:t xml:space="preserve">. </w:t>
      </w:r>
    </w:p>
    <w:p w14:paraId="3956EB9E" w14:textId="2898A469" w:rsidR="00F12331" w:rsidRDefault="0053528A" w:rsidP="00213DD5">
      <w:pPr>
        <w:pStyle w:val="3-BodyText"/>
        <w:numPr>
          <w:ilvl w:val="1"/>
          <w:numId w:val="16"/>
        </w:numPr>
        <w:ind w:left="1440"/>
      </w:pPr>
      <w:r>
        <w:t xml:space="preserve">The resubmission stated that it was reasonable for the quality of life in the best health state of the model </w:t>
      </w:r>
      <w:r w:rsidR="00F36DCD">
        <w:t>to align closely with the quality of life in the general population as it is the only health state in the model where HPT is controlled without the side-effects and daily pill burden of high dose supplemental calcium</w:t>
      </w:r>
      <w:r w:rsidR="00C672F4">
        <w:t xml:space="preserve"> and that patients can be expected to have a quality of life consistent with that of the general population.</w:t>
      </w:r>
    </w:p>
    <w:p w14:paraId="563E4F51" w14:textId="03968797" w:rsidR="007E7ECF" w:rsidRDefault="007E7ECF" w:rsidP="00213DD5">
      <w:pPr>
        <w:pStyle w:val="3-BodyText"/>
      </w:pPr>
      <w:r>
        <w:t>Overall, the early re-entry resubmission</w:t>
      </w:r>
      <w:r w:rsidR="00F16C3C">
        <w:t xml:space="preserve"> considered that the </w:t>
      </w:r>
      <w:r w:rsidR="002D5D7E">
        <w:t>quality-of-life</w:t>
      </w:r>
      <w:r w:rsidR="00F16C3C">
        <w:t xml:space="preserve"> benefits observed in the </w:t>
      </w:r>
      <w:proofErr w:type="spellStart"/>
      <w:r w:rsidR="002D5D7E">
        <w:t>PaTHway</w:t>
      </w:r>
      <w:proofErr w:type="spellEnd"/>
      <w:r w:rsidR="00F16C3C">
        <w:t xml:space="preserve"> trial were a key feature of the economic model </w:t>
      </w:r>
      <w:r w:rsidR="003E65E4">
        <w:t>and were an important, evidence-based reflection of value for palopegteriparatide</w:t>
      </w:r>
      <w:r w:rsidR="0045248C">
        <w:t>.</w:t>
      </w:r>
    </w:p>
    <w:p w14:paraId="2744252A" w14:textId="77777777" w:rsidR="0045248C" w:rsidRPr="0045248C" w:rsidRDefault="0045248C" w:rsidP="00213DD5">
      <w:pPr>
        <w:pStyle w:val="3-BodyText"/>
        <w:numPr>
          <w:ilvl w:val="0"/>
          <w:numId w:val="0"/>
        </w:numPr>
        <w:rPr>
          <w:u w:val="single"/>
        </w:rPr>
      </w:pPr>
      <w:r w:rsidRPr="0045248C">
        <w:rPr>
          <w:u w:val="single"/>
        </w:rPr>
        <w:t>Anniversary price reductions</w:t>
      </w:r>
    </w:p>
    <w:p w14:paraId="6EAD9AFD" w14:textId="1B66EA7C" w:rsidR="00C672F4" w:rsidRDefault="00C672F4" w:rsidP="00213DD5">
      <w:pPr>
        <w:pStyle w:val="3-BodyText"/>
      </w:pPr>
      <w:r>
        <w:t>The early re-entry resubmission appropriately removed the anniversary price reductions</w:t>
      </w:r>
      <w:r w:rsidR="00EF4F75">
        <w:t>.</w:t>
      </w:r>
    </w:p>
    <w:p w14:paraId="4CF54DA4" w14:textId="6FEB5C6E" w:rsidR="0045248C" w:rsidRPr="00B2414E" w:rsidRDefault="00F2536A" w:rsidP="00213DD5">
      <w:pPr>
        <w:pStyle w:val="3-BodyText"/>
        <w:numPr>
          <w:ilvl w:val="0"/>
          <w:numId w:val="0"/>
        </w:numPr>
        <w:rPr>
          <w:u w:val="single"/>
        </w:rPr>
      </w:pPr>
      <w:r>
        <w:rPr>
          <w:u w:val="single"/>
        </w:rPr>
        <w:t>Re</w:t>
      </w:r>
      <w:r w:rsidR="005D7B2E">
        <w:rPr>
          <w:u w:val="single"/>
        </w:rPr>
        <w:t>liance on CKD outcomes and re</w:t>
      </w:r>
      <w:r>
        <w:rPr>
          <w:u w:val="single"/>
        </w:rPr>
        <w:t xml:space="preserve">quested </w:t>
      </w:r>
      <w:r w:rsidR="00B2414E" w:rsidRPr="00B2414E">
        <w:rPr>
          <w:u w:val="single"/>
        </w:rPr>
        <w:t xml:space="preserve">ICER </w:t>
      </w:r>
    </w:p>
    <w:p w14:paraId="72EFF97B" w14:textId="6A3AE724" w:rsidR="00EF4F75" w:rsidRDefault="0064313E" w:rsidP="00213DD5">
      <w:pPr>
        <w:pStyle w:val="3-BodyText"/>
      </w:pPr>
      <w:r>
        <w:t xml:space="preserve">In March 2025, the PBAC considered that the economic model </w:t>
      </w:r>
      <w:r w:rsidR="00700A9B">
        <w:t xml:space="preserve">was highly uncertain and </w:t>
      </w:r>
      <w:r w:rsidR="007D3A04">
        <w:t xml:space="preserve">was potentially </w:t>
      </w:r>
      <w:r w:rsidR="00054206">
        <w:t>not suitable for decision making, given its reliance on CKD outcomes (paragraph 7.1, palopegteriparatide minutes, March 2025).</w:t>
      </w:r>
      <w:r w:rsidR="001D6FE3">
        <w:t xml:space="preserve"> Further, given the uncertainties </w:t>
      </w:r>
      <w:r w:rsidR="00DD5928">
        <w:t xml:space="preserve">associated with the reliance on CKD outcomes and </w:t>
      </w:r>
      <w:r w:rsidR="00A34F9B">
        <w:t xml:space="preserve">some of the other inputs to the model, the PBAC considered that palopegteriparatide would be cost effective at an ICER of </w:t>
      </w:r>
      <w:r w:rsidR="007B5B20" w:rsidRPr="007B5B20">
        <w:t>$45,000 to &lt; $55,000</w:t>
      </w:r>
      <w:r w:rsidR="00A34F9B">
        <w:t xml:space="preserve"> per QALY (paragraph </w:t>
      </w:r>
      <w:r w:rsidR="00DC7D8D">
        <w:t>7.17, palopegteriparatide minutes, March 2025).</w:t>
      </w:r>
    </w:p>
    <w:p w14:paraId="1992C227" w14:textId="474CC89D" w:rsidR="00E939AC" w:rsidRDefault="00E939AC" w:rsidP="00213DD5">
      <w:pPr>
        <w:pStyle w:val="3-BodyText"/>
      </w:pPr>
      <w:r>
        <w:t>The early re-entry resubmission maintained that it was reasonable for the model to include CKD outcomes</w:t>
      </w:r>
      <w:r w:rsidR="00045997">
        <w:t xml:space="preserve"> as:</w:t>
      </w:r>
    </w:p>
    <w:p w14:paraId="42931428" w14:textId="3D32EFFD" w:rsidR="00045997" w:rsidRDefault="00910CB6" w:rsidP="00213DD5">
      <w:pPr>
        <w:pStyle w:val="3-BodyText"/>
        <w:numPr>
          <w:ilvl w:val="1"/>
          <w:numId w:val="11"/>
        </w:numPr>
        <w:ind w:left="1080"/>
      </w:pPr>
      <w:r>
        <w:t>Patients with chronic HPT managed with conventional therapy have an increased risk of impaired renal function (e.g. reduced eGFR) and progression to end-stage kidney diseas</w:t>
      </w:r>
      <w:r w:rsidR="00E92E5D">
        <w:t>e;</w:t>
      </w:r>
    </w:p>
    <w:p w14:paraId="000DFDA1" w14:textId="71AE79A5" w:rsidR="00E92E5D" w:rsidRDefault="00E92E5D" w:rsidP="00213DD5">
      <w:pPr>
        <w:pStyle w:val="3-BodyText"/>
        <w:numPr>
          <w:ilvl w:val="1"/>
          <w:numId w:val="11"/>
        </w:numPr>
        <w:ind w:left="1080"/>
      </w:pPr>
      <w:r>
        <w:t xml:space="preserve">The </w:t>
      </w:r>
      <w:proofErr w:type="spellStart"/>
      <w:r w:rsidR="002D5D7E">
        <w:t>PaTHway</w:t>
      </w:r>
      <w:proofErr w:type="spellEnd"/>
      <w:r w:rsidR="002D5D7E">
        <w:t xml:space="preserve"> </w:t>
      </w:r>
      <w:r>
        <w:t>trial demonstrated a direct effect of palopegteriparatide on kidney function outcomes</w:t>
      </w:r>
      <w:r w:rsidR="003D225E">
        <w:t>. Patients treated with palopegteriparatide has an improvement in eGFR of 7.9 mL/min/1.73 m</w:t>
      </w:r>
      <w:r w:rsidR="003D225E" w:rsidRPr="00B86D64">
        <w:rPr>
          <w:vertAlign w:val="superscript"/>
        </w:rPr>
        <w:t>2</w:t>
      </w:r>
      <w:r w:rsidR="003D225E">
        <w:t xml:space="preserve"> versus a deterioration of </w:t>
      </w:r>
      <w:r w:rsidR="00890983">
        <w:br/>
      </w:r>
      <w:r w:rsidR="003D225E">
        <w:t xml:space="preserve">-1.9 </w:t>
      </w:r>
      <w:r w:rsidR="00B86D64">
        <w:t>mL/min/1.73 m</w:t>
      </w:r>
      <w:r w:rsidR="00B86D64" w:rsidRPr="00B86D64">
        <w:rPr>
          <w:vertAlign w:val="superscript"/>
        </w:rPr>
        <w:t>2</w:t>
      </w:r>
      <w:r w:rsidR="00B86D64">
        <w:t xml:space="preserve"> in the conventional therapy arm.</w:t>
      </w:r>
    </w:p>
    <w:p w14:paraId="4DB70286" w14:textId="420811D7" w:rsidR="00B86D64" w:rsidRDefault="00B86D64" w:rsidP="00213DD5">
      <w:pPr>
        <w:pStyle w:val="3-BodyText"/>
        <w:numPr>
          <w:ilvl w:val="1"/>
          <w:numId w:val="11"/>
        </w:numPr>
        <w:ind w:left="1080"/>
      </w:pPr>
      <w:r>
        <w:t>Longer term follow</w:t>
      </w:r>
      <w:r w:rsidR="00555CD9">
        <w:t>-</w:t>
      </w:r>
      <w:r>
        <w:t xml:space="preserve">up (156 weeks) </w:t>
      </w:r>
      <w:r w:rsidR="000E14B1">
        <w:t>demonstrated that patients treated with palopegteriparatide maintained their kidney function</w:t>
      </w:r>
      <w:r w:rsidR="00E751A2">
        <w:t>;</w:t>
      </w:r>
    </w:p>
    <w:p w14:paraId="0A4917DE" w14:textId="40661466" w:rsidR="00E751A2" w:rsidRDefault="00E751A2" w:rsidP="00213DD5">
      <w:pPr>
        <w:pStyle w:val="3-BodyText"/>
        <w:numPr>
          <w:ilvl w:val="1"/>
          <w:numId w:val="11"/>
        </w:numPr>
        <w:ind w:left="1080"/>
      </w:pPr>
      <w:r>
        <w:t xml:space="preserve">Real world evidence for another recombinant human parathyroid treatment, </w:t>
      </w:r>
      <w:proofErr w:type="spellStart"/>
      <w:r>
        <w:t>rhPTH</w:t>
      </w:r>
      <w:proofErr w:type="spellEnd"/>
      <w:r w:rsidR="00611A5B">
        <w:t xml:space="preserve"> </w:t>
      </w:r>
      <w:r>
        <w:t>(1-84</w:t>
      </w:r>
      <w:r w:rsidR="00280ADA">
        <w:t>) predicts a slowing of C</w:t>
      </w:r>
      <w:r w:rsidR="00C776EB">
        <w:t>K</w:t>
      </w:r>
      <w:r w:rsidR="00280ADA">
        <w:t>D progression over a period of 5 years (Rejnmark 2023).</w:t>
      </w:r>
    </w:p>
    <w:p w14:paraId="71FAC468" w14:textId="079AACEC" w:rsidR="009F45E4" w:rsidRDefault="0077594E" w:rsidP="00213DD5">
      <w:pPr>
        <w:pStyle w:val="3-BodyText"/>
      </w:pPr>
      <w:r>
        <w:t xml:space="preserve">The resubmission </w:t>
      </w:r>
      <w:r w:rsidR="007E4F5A">
        <w:t xml:space="preserve">stated that the CKD component of the model </w:t>
      </w:r>
      <w:r w:rsidR="00693D88">
        <w:t xml:space="preserve">was </w:t>
      </w:r>
      <w:r w:rsidR="007E4F5A">
        <w:t xml:space="preserve">directly linked to the </w:t>
      </w:r>
      <w:proofErr w:type="spellStart"/>
      <w:r w:rsidR="002D5D7E">
        <w:t>PaTHway</w:t>
      </w:r>
      <w:proofErr w:type="spellEnd"/>
      <w:r w:rsidR="002D5D7E">
        <w:t xml:space="preserve"> trial</w:t>
      </w:r>
      <w:r w:rsidR="003E27A9">
        <w:t xml:space="preserve"> and the known relationship between HPT and CKD</w:t>
      </w:r>
      <w:r w:rsidR="00FB0CF8">
        <w:t xml:space="preserve">. Conversely, a model structure that incorporated other patient relevant </w:t>
      </w:r>
      <w:r w:rsidR="006278EF">
        <w:t xml:space="preserve">complications, as recommended by ESC, would rely on the assumption that palopegteriparatide </w:t>
      </w:r>
      <w:r w:rsidR="00D30408">
        <w:t>would reduce other patient relevant complications of HPT, for which there is no direct evidence</w:t>
      </w:r>
      <w:r w:rsidR="00966063">
        <w:t xml:space="preserve">. The resubmission stated that incorporation of these complications would </w:t>
      </w:r>
      <w:r w:rsidR="002223A8">
        <w:t xml:space="preserve">require the model to </w:t>
      </w:r>
      <w:r w:rsidR="00966063">
        <w:t xml:space="preserve">depart from the </w:t>
      </w:r>
      <w:r w:rsidR="002223A8">
        <w:t>direct evidence and introduce additional uncertainty.</w:t>
      </w:r>
    </w:p>
    <w:p w14:paraId="79A1A60E" w14:textId="660DD42D" w:rsidR="00996551" w:rsidRDefault="00996551" w:rsidP="00213DD5">
      <w:pPr>
        <w:pStyle w:val="3-BodyText"/>
      </w:pPr>
      <w:r>
        <w:t xml:space="preserve">The resubmission </w:t>
      </w:r>
      <w:r w:rsidR="000C11A1">
        <w:t xml:space="preserve">and </w:t>
      </w:r>
      <w:r w:rsidR="00693D88">
        <w:t>p</w:t>
      </w:r>
      <w:r w:rsidR="000C11A1">
        <w:t xml:space="preserve">re-PBAC response </w:t>
      </w:r>
      <w:r w:rsidR="006A5F47">
        <w:t>requested</w:t>
      </w:r>
      <w:r>
        <w:t xml:space="preserve"> that</w:t>
      </w:r>
      <w:r w:rsidR="006A5F47">
        <w:t>,</w:t>
      </w:r>
      <w:r>
        <w:t xml:space="preserve"> </w:t>
      </w:r>
      <w:r w:rsidR="006A5F47">
        <w:t xml:space="preserve">as </w:t>
      </w:r>
      <w:r>
        <w:t>the economic model was based on two parameters alone</w:t>
      </w:r>
      <w:r w:rsidR="006E54FD">
        <w:t xml:space="preserve">, improved quality of life and improved kidney function, </w:t>
      </w:r>
      <w:r w:rsidR="006A5F47">
        <w:t>the PBAC reconsider its conclusion that the model was ‘highly’ uncertain</w:t>
      </w:r>
      <w:r w:rsidR="00937254">
        <w:t xml:space="preserve"> and allow a higher ICER of </w:t>
      </w:r>
      <w:r w:rsidR="007F6B98" w:rsidRPr="007F6B98">
        <w:t>$75,000 to &lt; $95,000</w:t>
      </w:r>
      <w:r w:rsidR="00937254">
        <w:t xml:space="preserve"> per QALY</w:t>
      </w:r>
      <w:r w:rsidR="00E66162">
        <w:t>. The resubmission stated that a higher ICER better reflected the level of uncertainty in the model structure and parameter inputs, the clinical need for new treatments</w:t>
      </w:r>
      <w:r w:rsidR="0076585C">
        <w:t xml:space="preserve"> and the relatively small patient population and budget impact.</w:t>
      </w:r>
    </w:p>
    <w:p w14:paraId="72F672CE" w14:textId="3E25B5B6" w:rsidR="0076585C" w:rsidRPr="0076585C" w:rsidRDefault="0076585C" w:rsidP="00213DD5">
      <w:pPr>
        <w:pStyle w:val="3-BodyText"/>
        <w:numPr>
          <w:ilvl w:val="0"/>
          <w:numId w:val="0"/>
        </w:numPr>
        <w:rPr>
          <w:u w:val="single"/>
        </w:rPr>
      </w:pPr>
      <w:r w:rsidRPr="0076585C">
        <w:rPr>
          <w:u w:val="single"/>
        </w:rPr>
        <w:t>Results</w:t>
      </w:r>
    </w:p>
    <w:p w14:paraId="68AD55CA" w14:textId="03234326" w:rsidR="0076585C" w:rsidRDefault="00ED7E84" w:rsidP="00213DD5">
      <w:pPr>
        <w:pStyle w:val="3-BodyText"/>
      </w:pPr>
      <w:r>
        <w:t xml:space="preserve">The early re-entry resubmission proposed a </w:t>
      </w:r>
      <w:r w:rsidR="00FD3ADE" w:rsidRPr="00FD3ADE">
        <w:rPr>
          <w:color w:val="000000"/>
          <w:w w:val="61"/>
          <w:shd w:val="solid" w:color="000000" w:fill="000000"/>
          <w:fitText w:val="475" w:id="-621624832"/>
          <w14:textFill>
            <w14:solidFill>
              <w14:srgbClr w14:val="000000">
                <w14:alpha w14:val="100000"/>
              </w14:srgbClr>
            </w14:solidFill>
          </w14:textFill>
        </w:rPr>
        <w:t>|||  ||</w:t>
      </w:r>
      <w:r w:rsidR="00FD3ADE" w:rsidRPr="00FD3ADE">
        <w:rPr>
          <w:color w:val="000000"/>
          <w:spacing w:val="5"/>
          <w:w w:val="61"/>
          <w:shd w:val="solid" w:color="000000" w:fill="000000"/>
          <w:fitText w:val="475" w:id="-621624832"/>
          <w14:textFill>
            <w14:solidFill>
              <w14:srgbClr w14:val="000000">
                <w14:alpha w14:val="100000"/>
              </w14:srgbClr>
            </w14:solidFill>
          </w14:textFill>
        </w:rPr>
        <w:t>|</w:t>
      </w:r>
      <w:r w:rsidR="00DB4180">
        <w:t xml:space="preserve">% reduction </w:t>
      </w:r>
      <w:r w:rsidR="009B4E06">
        <w:t>to the effective ex-manufacturer price of palopegteriparatide</w:t>
      </w:r>
      <w:r w:rsidR="000E4639">
        <w:t xml:space="preserve">, which in combination with </w:t>
      </w:r>
      <w:r w:rsidR="00F95C7A">
        <w:t xml:space="preserve">removal of the anniversary price reductions, resulted in an ICER of </w:t>
      </w:r>
      <w:r w:rsidR="009255AD" w:rsidRPr="009255AD">
        <w:t xml:space="preserve">$55,000 to &lt; $75,000 </w:t>
      </w:r>
      <w:r w:rsidR="00F95C7A">
        <w:t xml:space="preserve"> per QALY.</w:t>
      </w:r>
    </w:p>
    <w:p w14:paraId="51284C76" w14:textId="27D89C1F" w:rsidR="00F02AD9" w:rsidRDefault="00F02AD9" w:rsidP="00213DD5">
      <w:pPr>
        <w:pStyle w:val="TableFigureHeading"/>
      </w:pPr>
      <w:r>
        <w:t xml:space="preserve">Table </w:t>
      </w:r>
      <w:r w:rsidR="00251729">
        <w:fldChar w:fldCharType="begin"/>
      </w:r>
      <w:r w:rsidR="00251729">
        <w:instrText xml:space="preserve"> SEQ Table \* ARABIC </w:instrText>
      </w:r>
      <w:r w:rsidR="00251729">
        <w:fldChar w:fldCharType="separate"/>
      </w:r>
      <w:r w:rsidR="005F7320">
        <w:rPr>
          <w:noProof/>
        </w:rPr>
        <w:t>2</w:t>
      </w:r>
      <w:r w:rsidR="00251729">
        <w:rPr>
          <w:noProof/>
        </w:rPr>
        <w:fldChar w:fldCharType="end"/>
      </w:r>
      <w:r>
        <w:t xml:space="preserve">: </w:t>
      </w:r>
      <w:r w:rsidR="008B4A3A">
        <w:t>Results of the revised economic evaluation</w:t>
      </w:r>
    </w:p>
    <w:tbl>
      <w:tblPr>
        <w:tblStyle w:val="TableGrid"/>
        <w:tblW w:w="0" w:type="auto"/>
        <w:tblLook w:val="04A0" w:firstRow="1" w:lastRow="0" w:firstColumn="1" w:lastColumn="0" w:noHBand="0" w:noVBand="1"/>
        <w:tblCaption w:val="Table 2: Results of the revised economic evaluation"/>
      </w:tblPr>
      <w:tblGrid>
        <w:gridCol w:w="4195"/>
        <w:gridCol w:w="2520"/>
        <w:gridCol w:w="2280"/>
      </w:tblGrid>
      <w:tr w:rsidR="00084B39" w:rsidRPr="00084B39" w14:paraId="796DA4ED" w14:textId="77777777" w:rsidTr="00F02AD9">
        <w:tc>
          <w:tcPr>
            <w:tcW w:w="4195" w:type="dxa"/>
          </w:tcPr>
          <w:p w14:paraId="3C502315" w14:textId="77777777" w:rsidR="00084B39" w:rsidRPr="00084B39" w:rsidRDefault="00084B39" w:rsidP="00213DD5">
            <w:pPr>
              <w:pStyle w:val="3-BodyText"/>
              <w:numPr>
                <w:ilvl w:val="0"/>
                <w:numId w:val="0"/>
              </w:numPr>
              <w:spacing w:after="0"/>
              <w:rPr>
                <w:rFonts w:ascii="Arial Narrow" w:hAnsi="Arial Narrow"/>
                <w:b/>
                <w:bCs/>
                <w:sz w:val="20"/>
                <w:szCs w:val="20"/>
              </w:rPr>
            </w:pPr>
          </w:p>
        </w:tc>
        <w:tc>
          <w:tcPr>
            <w:tcW w:w="2520" w:type="dxa"/>
          </w:tcPr>
          <w:p w14:paraId="695EBBC9" w14:textId="42164C31" w:rsidR="00084B39" w:rsidRPr="00084B39" w:rsidRDefault="00084B39" w:rsidP="00213DD5">
            <w:pPr>
              <w:pStyle w:val="3-BodyText"/>
              <w:numPr>
                <w:ilvl w:val="0"/>
                <w:numId w:val="0"/>
              </w:numPr>
              <w:spacing w:after="0"/>
              <w:jc w:val="center"/>
              <w:rPr>
                <w:rFonts w:ascii="Arial Narrow" w:hAnsi="Arial Narrow"/>
                <w:b/>
                <w:bCs/>
                <w:sz w:val="20"/>
                <w:szCs w:val="20"/>
              </w:rPr>
            </w:pPr>
            <w:r w:rsidRPr="00084B39">
              <w:rPr>
                <w:rFonts w:ascii="Arial Narrow" w:hAnsi="Arial Narrow"/>
                <w:b/>
                <w:bCs/>
                <w:sz w:val="20"/>
                <w:szCs w:val="20"/>
              </w:rPr>
              <w:t>March 2025 model</w:t>
            </w:r>
          </w:p>
        </w:tc>
        <w:tc>
          <w:tcPr>
            <w:tcW w:w="2280" w:type="dxa"/>
          </w:tcPr>
          <w:p w14:paraId="72570215" w14:textId="674E2F69" w:rsidR="00084B39" w:rsidRPr="00084B39" w:rsidRDefault="00084B39" w:rsidP="00213DD5">
            <w:pPr>
              <w:pStyle w:val="3-BodyText"/>
              <w:numPr>
                <w:ilvl w:val="0"/>
                <w:numId w:val="0"/>
              </w:numPr>
              <w:spacing w:after="0"/>
              <w:jc w:val="center"/>
              <w:rPr>
                <w:rFonts w:ascii="Arial Narrow" w:hAnsi="Arial Narrow"/>
                <w:b/>
                <w:bCs/>
                <w:sz w:val="20"/>
                <w:szCs w:val="20"/>
              </w:rPr>
            </w:pPr>
            <w:r w:rsidRPr="00084B39">
              <w:rPr>
                <w:rFonts w:ascii="Arial Narrow" w:hAnsi="Arial Narrow"/>
                <w:b/>
                <w:bCs/>
                <w:sz w:val="20"/>
                <w:szCs w:val="20"/>
              </w:rPr>
              <w:t>July 20</w:t>
            </w:r>
            <w:r w:rsidR="005C714F">
              <w:rPr>
                <w:rFonts w:ascii="Arial Narrow" w:hAnsi="Arial Narrow"/>
                <w:b/>
                <w:bCs/>
                <w:sz w:val="20"/>
                <w:szCs w:val="20"/>
              </w:rPr>
              <w:t>2</w:t>
            </w:r>
            <w:r w:rsidRPr="00084B39">
              <w:rPr>
                <w:rFonts w:ascii="Arial Narrow" w:hAnsi="Arial Narrow"/>
                <w:b/>
                <w:bCs/>
                <w:sz w:val="20"/>
                <w:szCs w:val="20"/>
              </w:rPr>
              <w:t>5 model</w:t>
            </w:r>
          </w:p>
        </w:tc>
      </w:tr>
      <w:tr w:rsidR="00084B39" w14:paraId="0359B4D0" w14:textId="77777777" w:rsidTr="00F02AD9">
        <w:tc>
          <w:tcPr>
            <w:tcW w:w="4195" w:type="dxa"/>
          </w:tcPr>
          <w:p w14:paraId="5CA92B67" w14:textId="6DBE8883" w:rsidR="00084B39" w:rsidRPr="008F2FF1" w:rsidRDefault="00084B39" w:rsidP="00213DD5">
            <w:pPr>
              <w:pStyle w:val="3-BodyText"/>
              <w:numPr>
                <w:ilvl w:val="0"/>
                <w:numId w:val="0"/>
              </w:numPr>
              <w:spacing w:after="0"/>
              <w:rPr>
                <w:rFonts w:ascii="Arial Narrow" w:hAnsi="Arial Narrow"/>
                <w:sz w:val="20"/>
                <w:szCs w:val="20"/>
              </w:rPr>
            </w:pPr>
            <w:r>
              <w:rPr>
                <w:rFonts w:ascii="Arial Narrow" w:hAnsi="Arial Narrow"/>
                <w:sz w:val="20"/>
                <w:szCs w:val="20"/>
              </w:rPr>
              <w:t>Base case</w:t>
            </w:r>
          </w:p>
        </w:tc>
        <w:tc>
          <w:tcPr>
            <w:tcW w:w="2520" w:type="dxa"/>
          </w:tcPr>
          <w:p w14:paraId="60F2F6DE" w14:textId="26735089" w:rsidR="00084B39" w:rsidRPr="00751424" w:rsidRDefault="00084B39" w:rsidP="00213DD5">
            <w:pPr>
              <w:pStyle w:val="3-BodyText"/>
              <w:numPr>
                <w:ilvl w:val="0"/>
                <w:numId w:val="0"/>
              </w:numPr>
              <w:spacing w:after="0"/>
              <w:jc w:val="center"/>
              <w:rPr>
                <w:rFonts w:ascii="Arial Narrow" w:hAnsi="Arial Narrow"/>
                <w:sz w:val="20"/>
                <w:szCs w:val="20"/>
                <w:vertAlign w:val="superscript"/>
              </w:rPr>
            </w:pPr>
            <w:r>
              <w:rPr>
                <w:rFonts w:ascii="Arial Narrow" w:hAnsi="Arial Narrow"/>
                <w:sz w:val="20"/>
                <w:szCs w:val="20"/>
              </w:rPr>
              <w:t>$</w:t>
            </w:r>
            <w:r w:rsidR="00FD3ADE" w:rsidRPr="00FD3ADE">
              <w:rPr>
                <w:rFonts w:ascii="Arial Narrow" w:hAnsi="Arial Narrow"/>
                <w:color w:val="000000"/>
                <w:spacing w:val="48"/>
                <w:sz w:val="20"/>
                <w:szCs w:val="20"/>
                <w:shd w:val="solid" w:color="000000" w:fill="000000"/>
                <w:fitText w:val="315" w:id="-621624831"/>
                <w14:textFill>
                  <w14:solidFill>
                    <w14:srgbClr w14:val="000000">
                      <w14:alpha w14:val="100000"/>
                    </w14:srgbClr>
                  </w14:solidFill>
                </w14:textFill>
              </w:rPr>
              <w:t>|||</w:t>
            </w:r>
            <w:r w:rsidR="00FD3ADE" w:rsidRPr="00FD3ADE">
              <w:rPr>
                <w:rFonts w:ascii="Arial Narrow" w:hAnsi="Arial Narrow"/>
                <w:color w:val="000000"/>
                <w:spacing w:val="1"/>
                <w:sz w:val="20"/>
                <w:szCs w:val="20"/>
                <w:shd w:val="solid" w:color="000000" w:fill="000000"/>
                <w:fitText w:val="315" w:id="-621624831"/>
                <w14:textFill>
                  <w14:solidFill>
                    <w14:srgbClr w14:val="000000">
                      <w14:alpha w14:val="100000"/>
                    </w14:srgbClr>
                  </w14:solidFill>
                </w14:textFill>
              </w:rPr>
              <w:t>|</w:t>
            </w:r>
            <w:r w:rsidR="004D4389">
              <w:rPr>
                <w:rFonts w:ascii="Arial Narrow" w:hAnsi="Arial Narrow"/>
                <w:sz w:val="20"/>
                <w:szCs w:val="20"/>
                <w:vertAlign w:val="superscript"/>
              </w:rPr>
              <w:t>1</w:t>
            </w:r>
          </w:p>
        </w:tc>
        <w:tc>
          <w:tcPr>
            <w:tcW w:w="2280" w:type="dxa"/>
          </w:tcPr>
          <w:p w14:paraId="63F5846E" w14:textId="6CA4DC2A" w:rsidR="00084B39" w:rsidRPr="00751424" w:rsidRDefault="00084B39" w:rsidP="00213DD5">
            <w:pPr>
              <w:pStyle w:val="3-BodyText"/>
              <w:numPr>
                <w:ilvl w:val="0"/>
                <w:numId w:val="0"/>
              </w:numPr>
              <w:spacing w:after="0"/>
              <w:jc w:val="center"/>
              <w:rPr>
                <w:rFonts w:ascii="Arial Narrow" w:hAnsi="Arial Narrow"/>
                <w:sz w:val="20"/>
                <w:szCs w:val="20"/>
                <w:vertAlign w:val="superscript"/>
              </w:rPr>
            </w:pPr>
            <w:r>
              <w:rPr>
                <w:rFonts w:ascii="Arial Narrow" w:hAnsi="Arial Narrow"/>
                <w:sz w:val="20"/>
                <w:szCs w:val="20"/>
              </w:rPr>
              <w:t>$</w:t>
            </w:r>
            <w:r w:rsidR="00FD3ADE" w:rsidRPr="00FD3ADE">
              <w:rPr>
                <w:rFonts w:ascii="Arial Narrow" w:hAnsi="Arial Narrow"/>
                <w:color w:val="000000"/>
                <w:spacing w:val="48"/>
                <w:sz w:val="20"/>
                <w:szCs w:val="20"/>
                <w:shd w:val="solid" w:color="000000" w:fill="000000"/>
                <w:fitText w:val="315" w:id="-621624830"/>
                <w14:textFill>
                  <w14:solidFill>
                    <w14:srgbClr w14:val="000000">
                      <w14:alpha w14:val="100000"/>
                    </w14:srgbClr>
                  </w14:solidFill>
                </w14:textFill>
              </w:rPr>
              <w:t>|||</w:t>
            </w:r>
            <w:r w:rsidR="00FD3ADE" w:rsidRPr="00FD3ADE">
              <w:rPr>
                <w:rFonts w:ascii="Arial Narrow" w:hAnsi="Arial Narrow"/>
                <w:color w:val="000000"/>
                <w:spacing w:val="1"/>
                <w:sz w:val="20"/>
                <w:szCs w:val="20"/>
                <w:shd w:val="solid" w:color="000000" w:fill="000000"/>
                <w:fitText w:val="315" w:id="-621624830"/>
                <w14:textFill>
                  <w14:solidFill>
                    <w14:srgbClr w14:val="000000">
                      <w14:alpha w14:val="100000"/>
                    </w14:srgbClr>
                  </w14:solidFill>
                </w14:textFill>
              </w:rPr>
              <w:t>|</w:t>
            </w:r>
            <w:r w:rsidR="004D4389">
              <w:rPr>
                <w:rFonts w:ascii="Arial Narrow" w:hAnsi="Arial Narrow"/>
                <w:sz w:val="20"/>
                <w:szCs w:val="20"/>
                <w:vertAlign w:val="superscript"/>
              </w:rPr>
              <w:t>1</w:t>
            </w:r>
          </w:p>
        </w:tc>
      </w:tr>
      <w:tr w:rsidR="00084B39" w14:paraId="3DA08305" w14:textId="77777777" w:rsidTr="00F02AD9">
        <w:tc>
          <w:tcPr>
            <w:tcW w:w="4195" w:type="dxa"/>
          </w:tcPr>
          <w:p w14:paraId="7E5D22C9" w14:textId="684E46A8" w:rsidR="00084B39" w:rsidRPr="008F2FF1" w:rsidRDefault="007C7D03" w:rsidP="00213DD5">
            <w:pPr>
              <w:pStyle w:val="3-BodyText"/>
              <w:numPr>
                <w:ilvl w:val="0"/>
                <w:numId w:val="0"/>
              </w:numPr>
              <w:spacing w:after="0"/>
              <w:rPr>
                <w:rFonts w:ascii="Arial Narrow" w:hAnsi="Arial Narrow"/>
                <w:sz w:val="20"/>
                <w:szCs w:val="20"/>
              </w:rPr>
            </w:pPr>
            <w:r>
              <w:rPr>
                <w:rFonts w:ascii="Arial Narrow" w:hAnsi="Arial Narrow"/>
                <w:sz w:val="20"/>
                <w:szCs w:val="20"/>
              </w:rPr>
              <w:t>+</w:t>
            </w:r>
            <w:r w:rsidR="00A806A1">
              <w:rPr>
                <w:rFonts w:ascii="Arial Narrow" w:hAnsi="Arial Narrow"/>
                <w:sz w:val="20"/>
                <w:szCs w:val="20"/>
              </w:rPr>
              <w:t xml:space="preserve"> </w:t>
            </w:r>
            <w:r w:rsidR="00084B39">
              <w:rPr>
                <w:rFonts w:ascii="Arial Narrow" w:hAnsi="Arial Narrow"/>
                <w:sz w:val="20"/>
                <w:szCs w:val="20"/>
              </w:rPr>
              <w:t>Reduction in time horizon from 51 to 30 years</w:t>
            </w:r>
          </w:p>
        </w:tc>
        <w:tc>
          <w:tcPr>
            <w:tcW w:w="2520" w:type="dxa"/>
          </w:tcPr>
          <w:p w14:paraId="560C819D" w14:textId="37FFE6DA" w:rsidR="00084B39" w:rsidRPr="00751424" w:rsidRDefault="00084B39" w:rsidP="00213DD5">
            <w:pPr>
              <w:pStyle w:val="3-BodyText"/>
              <w:numPr>
                <w:ilvl w:val="0"/>
                <w:numId w:val="0"/>
              </w:numPr>
              <w:spacing w:after="0"/>
              <w:jc w:val="center"/>
              <w:rPr>
                <w:rFonts w:ascii="Arial Narrow" w:hAnsi="Arial Narrow"/>
                <w:sz w:val="20"/>
                <w:szCs w:val="20"/>
                <w:vertAlign w:val="superscript"/>
              </w:rPr>
            </w:pPr>
            <w:r>
              <w:rPr>
                <w:rFonts w:ascii="Arial Narrow" w:hAnsi="Arial Narrow"/>
                <w:sz w:val="20"/>
                <w:szCs w:val="20"/>
              </w:rPr>
              <w:t>$</w:t>
            </w:r>
            <w:r w:rsidR="00FD3ADE" w:rsidRPr="00FD3ADE">
              <w:rPr>
                <w:rFonts w:ascii="Arial Narrow" w:hAnsi="Arial Narrow"/>
                <w:color w:val="000000"/>
                <w:spacing w:val="48"/>
                <w:sz w:val="20"/>
                <w:szCs w:val="20"/>
                <w:shd w:val="solid" w:color="000000" w:fill="000000"/>
                <w:fitText w:val="315" w:id="-621624829"/>
                <w14:textFill>
                  <w14:solidFill>
                    <w14:srgbClr w14:val="000000">
                      <w14:alpha w14:val="100000"/>
                    </w14:srgbClr>
                  </w14:solidFill>
                </w14:textFill>
              </w:rPr>
              <w:t>|||</w:t>
            </w:r>
            <w:r w:rsidR="00FD3ADE" w:rsidRPr="00FD3ADE">
              <w:rPr>
                <w:rFonts w:ascii="Arial Narrow" w:hAnsi="Arial Narrow"/>
                <w:color w:val="000000"/>
                <w:spacing w:val="1"/>
                <w:sz w:val="20"/>
                <w:szCs w:val="20"/>
                <w:shd w:val="solid" w:color="000000" w:fill="000000"/>
                <w:fitText w:val="315" w:id="-621624829"/>
                <w14:textFill>
                  <w14:solidFill>
                    <w14:srgbClr w14:val="000000">
                      <w14:alpha w14:val="100000"/>
                    </w14:srgbClr>
                  </w14:solidFill>
                </w14:textFill>
              </w:rPr>
              <w:t>|</w:t>
            </w:r>
            <w:r w:rsidR="00201AE9">
              <w:rPr>
                <w:rFonts w:ascii="Arial Narrow" w:hAnsi="Arial Narrow"/>
                <w:sz w:val="20"/>
                <w:szCs w:val="20"/>
                <w:vertAlign w:val="superscript"/>
              </w:rPr>
              <w:t>2</w:t>
            </w:r>
          </w:p>
        </w:tc>
        <w:tc>
          <w:tcPr>
            <w:tcW w:w="2280" w:type="dxa"/>
          </w:tcPr>
          <w:p w14:paraId="38D542F8" w14:textId="73CEFF0F" w:rsidR="00084B39" w:rsidRPr="008F2FF1" w:rsidRDefault="00084B39" w:rsidP="00213DD5">
            <w:pPr>
              <w:pStyle w:val="3-BodyText"/>
              <w:numPr>
                <w:ilvl w:val="0"/>
                <w:numId w:val="0"/>
              </w:numPr>
              <w:spacing w:after="0"/>
              <w:jc w:val="center"/>
              <w:rPr>
                <w:rFonts w:ascii="Arial Narrow" w:hAnsi="Arial Narrow"/>
                <w:sz w:val="20"/>
                <w:szCs w:val="20"/>
              </w:rPr>
            </w:pPr>
            <w:r>
              <w:rPr>
                <w:rFonts w:ascii="Arial Narrow" w:hAnsi="Arial Narrow"/>
                <w:sz w:val="20"/>
                <w:szCs w:val="20"/>
              </w:rPr>
              <w:t>-</w:t>
            </w:r>
          </w:p>
        </w:tc>
      </w:tr>
      <w:tr w:rsidR="00084B39" w14:paraId="45D7E904" w14:textId="77777777" w:rsidTr="00F02AD9">
        <w:tc>
          <w:tcPr>
            <w:tcW w:w="4195" w:type="dxa"/>
          </w:tcPr>
          <w:p w14:paraId="51CF1D9F" w14:textId="1E168352" w:rsidR="00084B39" w:rsidRPr="008F2FF1" w:rsidRDefault="007C7D03" w:rsidP="00213DD5">
            <w:pPr>
              <w:pStyle w:val="3-BodyText"/>
              <w:numPr>
                <w:ilvl w:val="0"/>
                <w:numId w:val="0"/>
              </w:numPr>
              <w:spacing w:after="0"/>
              <w:rPr>
                <w:rFonts w:ascii="Arial Narrow" w:hAnsi="Arial Narrow"/>
                <w:sz w:val="20"/>
                <w:szCs w:val="20"/>
              </w:rPr>
            </w:pPr>
            <w:r>
              <w:rPr>
                <w:rFonts w:ascii="Arial Narrow" w:hAnsi="Arial Narrow"/>
                <w:sz w:val="20"/>
                <w:szCs w:val="20"/>
              </w:rPr>
              <w:t>+</w:t>
            </w:r>
            <w:r w:rsidR="00A806A1">
              <w:rPr>
                <w:rFonts w:ascii="Arial Narrow" w:hAnsi="Arial Narrow"/>
                <w:sz w:val="20"/>
                <w:szCs w:val="20"/>
              </w:rPr>
              <w:t xml:space="preserve"> </w:t>
            </w:r>
            <w:r w:rsidR="00084B39">
              <w:rPr>
                <w:rFonts w:ascii="Arial Narrow" w:hAnsi="Arial Narrow"/>
                <w:sz w:val="20"/>
                <w:szCs w:val="20"/>
              </w:rPr>
              <w:t>Halving of utility increment/decrement</w:t>
            </w:r>
          </w:p>
        </w:tc>
        <w:tc>
          <w:tcPr>
            <w:tcW w:w="2520" w:type="dxa"/>
          </w:tcPr>
          <w:p w14:paraId="11B04F8E" w14:textId="6AB17210" w:rsidR="00084B39" w:rsidRPr="00751424" w:rsidRDefault="00084B39" w:rsidP="00213DD5">
            <w:pPr>
              <w:pStyle w:val="3-BodyText"/>
              <w:numPr>
                <w:ilvl w:val="0"/>
                <w:numId w:val="0"/>
              </w:numPr>
              <w:spacing w:after="0"/>
              <w:jc w:val="center"/>
              <w:rPr>
                <w:rFonts w:ascii="Arial Narrow" w:hAnsi="Arial Narrow"/>
                <w:sz w:val="20"/>
                <w:szCs w:val="20"/>
                <w:vertAlign w:val="superscript"/>
              </w:rPr>
            </w:pPr>
            <w:r>
              <w:rPr>
                <w:rFonts w:ascii="Arial Narrow" w:hAnsi="Arial Narrow"/>
                <w:sz w:val="20"/>
                <w:szCs w:val="20"/>
              </w:rPr>
              <w:t>$</w:t>
            </w:r>
            <w:r w:rsidR="00FD3ADE" w:rsidRPr="00FD3ADE">
              <w:rPr>
                <w:rFonts w:ascii="Arial Narrow" w:hAnsi="Arial Narrow"/>
                <w:color w:val="000000"/>
                <w:spacing w:val="48"/>
                <w:sz w:val="20"/>
                <w:szCs w:val="20"/>
                <w:shd w:val="solid" w:color="000000" w:fill="000000"/>
                <w:fitText w:val="315" w:id="-621624828"/>
                <w14:textFill>
                  <w14:solidFill>
                    <w14:srgbClr w14:val="000000">
                      <w14:alpha w14:val="100000"/>
                    </w14:srgbClr>
                  </w14:solidFill>
                </w14:textFill>
              </w:rPr>
              <w:t>|||</w:t>
            </w:r>
            <w:r w:rsidR="00FD3ADE" w:rsidRPr="00FD3ADE">
              <w:rPr>
                <w:rFonts w:ascii="Arial Narrow" w:hAnsi="Arial Narrow"/>
                <w:color w:val="000000"/>
                <w:spacing w:val="1"/>
                <w:sz w:val="20"/>
                <w:szCs w:val="20"/>
                <w:shd w:val="solid" w:color="000000" w:fill="000000"/>
                <w:fitText w:val="315" w:id="-621624828"/>
                <w14:textFill>
                  <w14:solidFill>
                    <w14:srgbClr w14:val="000000">
                      <w14:alpha w14:val="100000"/>
                    </w14:srgbClr>
                  </w14:solidFill>
                </w14:textFill>
              </w:rPr>
              <w:t>|</w:t>
            </w:r>
            <w:r w:rsidR="00201AE9">
              <w:rPr>
                <w:rFonts w:ascii="Arial Narrow" w:hAnsi="Arial Narrow"/>
                <w:sz w:val="20"/>
                <w:szCs w:val="20"/>
                <w:vertAlign w:val="superscript"/>
              </w:rPr>
              <w:t>3</w:t>
            </w:r>
          </w:p>
        </w:tc>
        <w:tc>
          <w:tcPr>
            <w:tcW w:w="2280" w:type="dxa"/>
          </w:tcPr>
          <w:p w14:paraId="33E8B88D" w14:textId="671BEAD1" w:rsidR="00084B39" w:rsidRPr="008F2FF1" w:rsidRDefault="00084B39" w:rsidP="00213DD5">
            <w:pPr>
              <w:pStyle w:val="3-BodyText"/>
              <w:numPr>
                <w:ilvl w:val="0"/>
                <w:numId w:val="0"/>
              </w:numPr>
              <w:spacing w:after="0"/>
              <w:jc w:val="center"/>
              <w:rPr>
                <w:rFonts w:ascii="Arial Narrow" w:hAnsi="Arial Narrow"/>
                <w:sz w:val="20"/>
                <w:szCs w:val="20"/>
              </w:rPr>
            </w:pPr>
            <w:r>
              <w:rPr>
                <w:rFonts w:ascii="Arial Narrow" w:hAnsi="Arial Narrow"/>
                <w:sz w:val="20"/>
                <w:szCs w:val="20"/>
              </w:rPr>
              <w:t>-</w:t>
            </w:r>
          </w:p>
        </w:tc>
      </w:tr>
      <w:tr w:rsidR="00084B39" w14:paraId="184DAE45" w14:textId="77777777" w:rsidTr="00F02AD9">
        <w:tc>
          <w:tcPr>
            <w:tcW w:w="4195" w:type="dxa"/>
          </w:tcPr>
          <w:p w14:paraId="071319DF" w14:textId="26F33587" w:rsidR="00084B39" w:rsidRPr="008F2FF1" w:rsidRDefault="007C7D03" w:rsidP="00213DD5">
            <w:pPr>
              <w:pStyle w:val="3-BodyText"/>
              <w:numPr>
                <w:ilvl w:val="0"/>
                <w:numId w:val="0"/>
              </w:numPr>
              <w:spacing w:after="0"/>
              <w:rPr>
                <w:rFonts w:ascii="Arial Narrow" w:hAnsi="Arial Narrow"/>
                <w:sz w:val="20"/>
                <w:szCs w:val="20"/>
              </w:rPr>
            </w:pPr>
            <w:r>
              <w:rPr>
                <w:rFonts w:ascii="Arial Narrow" w:hAnsi="Arial Narrow"/>
                <w:sz w:val="20"/>
                <w:szCs w:val="20"/>
              </w:rPr>
              <w:t xml:space="preserve">+ </w:t>
            </w:r>
            <w:r w:rsidR="00084B39">
              <w:rPr>
                <w:rFonts w:ascii="Arial Narrow" w:hAnsi="Arial Narrow"/>
                <w:sz w:val="20"/>
                <w:szCs w:val="20"/>
              </w:rPr>
              <w:t>Removal of anniversary price reductions</w:t>
            </w:r>
          </w:p>
        </w:tc>
        <w:tc>
          <w:tcPr>
            <w:tcW w:w="2520" w:type="dxa"/>
          </w:tcPr>
          <w:p w14:paraId="02D42435" w14:textId="17DE27A3" w:rsidR="00084B39" w:rsidRPr="00751424" w:rsidRDefault="00084B39" w:rsidP="00213DD5">
            <w:pPr>
              <w:pStyle w:val="3-BodyText"/>
              <w:numPr>
                <w:ilvl w:val="0"/>
                <w:numId w:val="0"/>
              </w:numPr>
              <w:spacing w:after="0"/>
              <w:jc w:val="center"/>
              <w:rPr>
                <w:rFonts w:ascii="Arial Narrow" w:hAnsi="Arial Narrow"/>
                <w:sz w:val="20"/>
                <w:szCs w:val="20"/>
                <w:vertAlign w:val="superscript"/>
              </w:rPr>
            </w:pPr>
            <w:r>
              <w:rPr>
                <w:rFonts w:ascii="Arial Narrow" w:hAnsi="Arial Narrow"/>
                <w:sz w:val="20"/>
                <w:szCs w:val="20"/>
              </w:rPr>
              <w:t>$</w:t>
            </w:r>
            <w:r w:rsidR="00FD3ADE" w:rsidRPr="00FD3ADE">
              <w:rPr>
                <w:rFonts w:ascii="Arial Narrow" w:hAnsi="Arial Narrow"/>
                <w:color w:val="000000"/>
                <w:spacing w:val="48"/>
                <w:sz w:val="20"/>
                <w:szCs w:val="20"/>
                <w:shd w:val="solid" w:color="000000" w:fill="000000"/>
                <w:fitText w:val="315" w:id="-621624827"/>
                <w14:textFill>
                  <w14:solidFill>
                    <w14:srgbClr w14:val="000000">
                      <w14:alpha w14:val="100000"/>
                    </w14:srgbClr>
                  </w14:solidFill>
                </w14:textFill>
              </w:rPr>
              <w:t>|||</w:t>
            </w:r>
            <w:r w:rsidR="00FD3ADE" w:rsidRPr="00FD3ADE">
              <w:rPr>
                <w:rFonts w:ascii="Arial Narrow" w:hAnsi="Arial Narrow"/>
                <w:color w:val="000000"/>
                <w:spacing w:val="1"/>
                <w:sz w:val="20"/>
                <w:szCs w:val="20"/>
                <w:shd w:val="solid" w:color="000000" w:fill="000000"/>
                <w:fitText w:val="315" w:id="-621624827"/>
                <w14:textFill>
                  <w14:solidFill>
                    <w14:srgbClr w14:val="000000">
                      <w14:alpha w14:val="100000"/>
                    </w14:srgbClr>
                  </w14:solidFill>
                </w14:textFill>
              </w:rPr>
              <w:t>|</w:t>
            </w:r>
            <w:r w:rsidR="00D53F2E">
              <w:rPr>
                <w:rFonts w:ascii="Arial Narrow" w:hAnsi="Arial Narrow"/>
                <w:sz w:val="20"/>
                <w:szCs w:val="20"/>
                <w:vertAlign w:val="superscript"/>
              </w:rPr>
              <w:t>4</w:t>
            </w:r>
          </w:p>
        </w:tc>
        <w:tc>
          <w:tcPr>
            <w:tcW w:w="2280" w:type="dxa"/>
          </w:tcPr>
          <w:p w14:paraId="1F7DAE77" w14:textId="0AD4D76F" w:rsidR="00084B39" w:rsidRPr="00751424" w:rsidRDefault="00084B39" w:rsidP="00213DD5">
            <w:pPr>
              <w:pStyle w:val="3-BodyText"/>
              <w:numPr>
                <w:ilvl w:val="0"/>
                <w:numId w:val="0"/>
              </w:numPr>
              <w:spacing w:after="0"/>
              <w:jc w:val="center"/>
              <w:rPr>
                <w:rFonts w:ascii="Arial Narrow" w:hAnsi="Arial Narrow"/>
                <w:sz w:val="20"/>
                <w:szCs w:val="20"/>
                <w:vertAlign w:val="superscript"/>
              </w:rPr>
            </w:pPr>
            <w:r>
              <w:rPr>
                <w:rFonts w:ascii="Arial Narrow" w:hAnsi="Arial Narrow"/>
                <w:sz w:val="20"/>
                <w:szCs w:val="20"/>
              </w:rPr>
              <w:t>$</w:t>
            </w:r>
            <w:r w:rsidR="00FD3ADE" w:rsidRPr="00FD3ADE">
              <w:rPr>
                <w:rFonts w:ascii="Arial Narrow" w:hAnsi="Arial Narrow"/>
                <w:color w:val="000000"/>
                <w:spacing w:val="48"/>
                <w:sz w:val="20"/>
                <w:szCs w:val="20"/>
                <w:shd w:val="solid" w:color="000000" w:fill="000000"/>
                <w:fitText w:val="315" w:id="-621624826"/>
                <w14:textFill>
                  <w14:solidFill>
                    <w14:srgbClr w14:val="000000">
                      <w14:alpha w14:val="100000"/>
                    </w14:srgbClr>
                  </w14:solidFill>
                </w14:textFill>
              </w:rPr>
              <w:t>|||</w:t>
            </w:r>
            <w:r w:rsidR="00FD3ADE" w:rsidRPr="00FD3ADE">
              <w:rPr>
                <w:rFonts w:ascii="Arial Narrow" w:hAnsi="Arial Narrow"/>
                <w:color w:val="000000"/>
                <w:spacing w:val="1"/>
                <w:sz w:val="20"/>
                <w:szCs w:val="20"/>
                <w:shd w:val="solid" w:color="000000" w:fill="000000"/>
                <w:fitText w:val="315" w:id="-621624826"/>
                <w14:textFill>
                  <w14:solidFill>
                    <w14:srgbClr w14:val="000000">
                      <w14:alpha w14:val="100000"/>
                    </w14:srgbClr>
                  </w14:solidFill>
                </w14:textFill>
              </w:rPr>
              <w:t>|</w:t>
            </w:r>
            <w:r w:rsidR="00201AE9">
              <w:rPr>
                <w:rFonts w:ascii="Arial Narrow" w:hAnsi="Arial Narrow"/>
                <w:sz w:val="20"/>
                <w:szCs w:val="20"/>
                <w:vertAlign w:val="superscript"/>
              </w:rPr>
              <w:t>2</w:t>
            </w:r>
          </w:p>
        </w:tc>
      </w:tr>
      <w:tr w:rsidR="00084B39" w:rsidRPr="00A806A1" w14:paraId="5277DDF7" w14:textId="77777777" w:rsidTr="00F02AD9">
        <w:tc>
          <w:tcPr>
            <w:tcW w:w="4195" w:type="dxa"/>
          </w:tcPr>
          <w:p w14:paraId="59CF9318" w14:textId="18EA204B" w:rsidR="00084B39" w:rsidRPr="00A806A1" w:rsidRDefault="007C7D03" w:rsidP="00213DD5">
            <w:pPr>
              <w:pStyle w:val="3-BodyText"/>
              <w:numPr>
                <w:ilvl w:val="0"/>
                <w:numId w:val="0"/>
              </w:numPr>
              <w:spacing w:after="0"/>
              <w:rPr>
                <w:rFonts w:ascii="Arial Narrow" w:hAnsi="Arial Narrow"/>
                <w:b/>
                <w:bCs/>
                <w:sz w:val="20"/>
                <w:szCs w:val="20"/>
              </w:rPr>
            </w:pPr>
            <w:r>
              <w:rPr>
                <w:rFonts w:ascii="Arial Narrow" w:hAnsi="Arial Narrow"/>
                <w:b/>
                <w:bCs/>
                <w:sz w:val="20"/>
                <w:szCs w:val="20"/>
              </w:rPr>
              <w:t>+</w:t>
            </w:r>
            <w:r w:rsidR="00A806A1">
              <w:rPr>
                <w:rFonts w:ascii="Arial Narrow" w:hAnsi="Arial Narrow"/>
                <w:b/>
                <w:bCs/>
                <w:sz w:val="20"/>
                <w:szCs w:val="20"/>
              </w:rPr>
              <w:t xml:space="preserve"> </w:t>
            </w:r>
            <w:r w:rsidR="00FD3ADE" w:rsidRPr="00FD3ADE">
              <w:rPr>
                <w:rFonts w:ascii="Arial Narrow" w:hAnsi="Arial Narrow"/>
                <w:b/>
                <w:bCs/>
                <w:color w:val="000000"/>
                <w:spacing w:val="12"/>
                <w:sz w:val="20"/>
                <w:szCs w:val="20"/>
                <w:shd w:val="solid" w:color="000000" w:fill="000000"/>
                <w:fitText w:val="340" w:id="-621624825"/>
                <w14:textFill>
                  <w14:solidFill>
                    <w14:srgbClr w14:val="000000">
                      <w14:alpha w14:val="100000"/>
                    </w14:srgbClr>
                  </w14:solidFill>
                </w14:textFill>
              </w:rPr>
              <w:t>||  |</w:t>
            </w:r>
            <w:r w:rsidR="00FD3ADE" w:rsidRPr="00FD3ADE">
              <w:rPr>
                <w:rFonts w:ascii="Arial Narrow" w:hAnsi="Arial Narrow"/>
                <w:b/>
                <w:bCs/>
                <w:color w:val="000000"/>
                <w:spacing w:val="5"/>
                <w:sz w:val="20"/>
                <w:szCs w:val="20"/>
                <w:shd w:val="solid" w:color="000000" w:fill="000000"/>
                <w:fitText w:val="340" w:id="-621624825"/>
                <w14:textFill>
                  <w14:solidFill>
                    <w14:srgbClr w14:val="000000">
                      <w14:alpha w14:val="100000"/>
                    </w14:srgbClr>
                  </w14:solidFill>
                </w14:textFill>
              </w:rPr>
              <w:t>|</w:t>
            </w:r>
            <w:r w:rsidR="00084B39" w:rsidRPr="00A806A1">
              <w:rPr>
                <w:rFonts w:ascii="Arial Narrow" w:hAnsi="Arial Narrow"/>
                <w:b/>
                <w:bCs/>
                <w:sz w:val="20"/>
                <w:szCs w:val="20"/>
              </w:rPr>
              <w:t>% price reduction</w:t>
            </w:r>
          </w:p>
        </w:tc>
        <w:tc>
          <w:tcPr>
            <w:tcW w:w="2520" w:type="dxa"/>
          </w:tcPr>
          <w:p w14:paraId="0B4AEBA8" w14:textId="3B2F2BAA" w:rsidR="00084B39" w:rsidRPr="00751424" w:rsidRDefault="00084B39" w:rsidP="00213DD5">
            <w:pPr>
              <w:pStyle w:val="3-BodyText"/>
              <w:numPr>
                <w:ilvl w:val="0"/>
                <w:numId w:val="0"/>
              </w:numPr>
              <w:spacing w:after="0"/>
              <w:jc w:val="center"/>
              <w:rPr>
                <w:rFonts w:ascii="Arial Narrow" w:hAnsi="Arial Narrow"/>
                <w:b/>
                <w:bCs/>
                <w:sz w:val="20"/>
                <w:szCs w:val="20"/>
                <w:vertAlign w:val="superscript"/>
              </w:rPr>
            </w:pPr>
            <w:r w:rsidRPr="00A806A1">
              <w:rPr>
                <w:rFonts w:ascii="Arial Narrow" w:hAnsi="Arial Narrow"/>
                <w:b/>
                <w:bCs/>
                <w:sz w:val="20"/>
                <w:szCs w:val="20"/>
              </w:rPr>
              <w:t>$</w:t>
            </w:r>
            <w:r w:rsidR="00FD3ADE" w:rsidRPr="00FD3ADE">
              <w:rPr>
                <w:rFonts w:ascii="Arial Narrow" w:hAnsi="Arial Narrow"/>
                <w:b/>
                <w:bCs/>
                <w:color w:val="000000"/>
                <w:spacing w:val="58"/>
                <w:sz w:val="20"/>
                <w:szCs w:val="20"/>
                <w:shd w:val="solid" w:color="000000" w:fill="000000"/>
                <w:fitText w:val="360" w:id="-621624824"/>
                <w14:textFill>
                  <w14:solidFill>
                    <w14:srgbClr w14:val="000000">
                      <w14:alpha w14:val="100000"/>
                    </w14:srgbClr>
                  </w14:solidFill>
                </w14:textFill>
              </w:rPr>
              <w:t>|||</w:t>
            </w:r>
            <w:r w:rsidR="00FD3ADE" w:rsidRPr="00FD3ADE">
              <w:rPr>
                <w:rFonts w:ascii="Arial Narrow" w:hAnsi="Arial Narrow"/>
                <w:b/>
                <w:bCs/>
                <w:color w:val="000000"/>
                <w:spacing w:val="3"/>
                <w:sz w:val="20"/>
                <w:szCs w:val="20"/>
                <w:shd w:val="solid" w:color="000000" w:fill="000000"/>
                <w:fitText w:val="360" w:id="-621624824"/>
                <w14:textFill>
                  <w14:solidFill>
                    <w14:srgbClr w14:val="000000">
                      <w14:alpha w14:val="100000"/>
                    </w14:srgbClr>
                  </w14:solidFill>
                </w14:textFill>
              </w:rPr>
              <w:t>|</w:t>
            </w:r>
            <w:r w:rsidR="00201AE9">
              <w:rPr>
                <w:rFonts w:ascii="Arial Narrow" w:hAnsi="Arial Narrow"/>
                <w:b/>
                <w:bCs/>
                <w:sz w:val="20"/>
                <w:szCs w:val="20"/>
                <w:vertAlign w:val="superscript"/>
              </w:rPr>
              <w:t>2</w:t>
            </w:r>
          </w:p>
        </w:tc>
        <w:tc>
          <w:tcPr>
            <w:tcW w:w="2280" w:type="dxa"/>
          </w:tcPr>
          <w:p w14:paraId="543F456D" w14:textId="7BEB0961" w:rsidR="00084B39" w:rsidRPr="00751424" w:rsidRDefault="00084B39" w:rsidP="00213DD5">
            <w:pPr>
              <w:pStyle w:val="3-BodyText"/>
              <w:numPr>
                <w:ilvl w:val="0"/>
                <w:numId w:val="0"/>
              </w:numPr>
              <w:spacing w:after="0"/>
              <w:jc w:val="center"/>
              <w:rPr>
                <w:rFonts w:ascii="Arial Narrow" w:hAnsi="Arial Narrow"/>
                <w:b/>
                <w:bCs/>
                <w:sz w:val="20"/>
                <w:szCs w:val="20"/>
                <w:vertAlign w:val="superscript"/>
              </w:rPr>
            </w:pPr>
            <w:r w:rsidRPr="00A806A1">
              <w:rPr>
                <w:rFonts w:ascii="Arial Narrow" w:hAnsi="Arial Narrow"/>
                <w:b/>
                <w:bCs/>
                <w:sz w:val="20"/>
                <w:szCs w:val="20"/>
              </w:rPr>
              <w:t>$</w:t>
            </w:r>
            <w:r w:rsidR="00FD3ADE" w:rsidRPr="00FD3ADE">
              <w:rPr>
                <w:rFonts w:ascii="Arial Narrow" w:hAnsi="Arial Narrow"/>
                <w:b/>
                <w:bCs/>
                <w:color w:val="000000"/>
                <w:spacing w:val="58"/>
                <w:sz w:val="20"/>
                <w:szCs w:val="20"/>
                <w:shd w:val="solid" w:color="000000" w:fill="000000"/>
                <w:fitText w:val="360" w:id="-621624823"/>
                <w14:textFill>
                  <w14:solidFill>
                    <w14:srgbClr w14:val="000000">
                      <w14:alpha w14:val="100000"/>
                    </w14:srgbClr>
                  </w14:solidFill>
                </w14:textFill>
              </w:rPr>
              <w:t>|||</w:t>
            </w:r>
            <w:r w:rsidR="00FD3ADE" w:rsidRPr="00FD3ADE">
              <w:rPr>
                <w:rFonts w:ascii="Arial Narrow" w:hAnsi="Arial Narrow"/>
                <w:b/>
                <w:bCs/>
                <w:color w:val="000000"/>
                <w:spacing w:val="3"/>
                <w:sz w:val="20"/>
                <w:szCs w:val="20"/>
                <w:shd w:val="solid" w:color="000000" w:fill="000000"/>
                <w:fitText w:val="360" w:id="-621624823"/>
                <w14:textFill>
                  <w14:solidFill>
                    <w14:srgbClr w14:val="000000">
                      <w14:alpha w14:val="100000"/>
                    </w14:srgbClr>
                  </w14:solidFill>
                </w14:textFill>
              </w:rPr>
              <w:t>|</w:t>
            </w:r>
            <w:r w:rsidR="008833B8">
              <w:rPr>
                <w:rFonts w:ascii="Arial Narrow" w:hAnsi="Arial Narrow"/>
                <w:b/>
                <w:bCs/>
                <w:sz w:val="20"/>
                <w:szCs w:val="20"/>
                <w:vertAlign w:val="superscript"/>
              </w:rPr>
              <w:t>5</w:t>
            </w:r>
          </w:p>
        </w:tc>
      </w:tr>
    </w:tbl>
    <w:p w14:paraId="553F4384" w14:textId="6DAB21B2" w:rsidR="00F95C7A" w:rsidRDefault="004532F0" w:rsidP="00213DD5">
      <w:pPr>
        <w:pStyle w:val="TableFigureFooter"/>
      </w:pPr>
      <w:r>
        <w:t xml:space="preserve">Source: </w:t>
      </w:r>
      <w:r w:rsidR="00D4125E">
        <w:t xml:space="preserve">Table 6, p14 of the July 2025 early re-entry resubmission and </w:t>
      </w:r>
      <w:r w:rsidR="00F02AD9">
        <w:t>Palopegteriparatide_CUA.xlsx</w:t>
      </w:r>
    </w:p>
    <w:p w14:paraId="5754C316" w14:textId="1DDFA7D8" w:rsidR="00F95C7A" w:rsidRDefault="00F02AD9" w:rsidP="00213DD5">
      <w:pPr>
        <w:pStyle w:val="TableFigureFooter"/>
      </w:pPr>
      <w:r>
        <w:t>ICER = incremental cost effectiveness ratio</w:t>
      </w:r>
    </w:p>
    <w:p w14:paraId="74B4D876" w14:textId="77777777" w:rsidR="00025570" w:rsidRPr="00025570" w:rsidRDefault="00025570" w:rsidP="00025570">
      <w:pPr>
        <w:pStyle w:val="TableFigureFooter"/>
        <w:rPr>
          <w:i/>
        </w:rPr>
      </w:pPr>
      <w:r w:rsidRPr="00025570">
        <w:rPr>
          <w:i/>
        </w:rPr>
        <w:t xml:space="preserve">The redacted values correspond to the following ranges: </w:t>
      </w:r>
    </w:p>
    <w:p w14:paraId="58E11AEE" w14:textId="7B40AC00" w:rsidR="00025570" w:rsidRPr="00025570" w:rsidRDefault="00025570" w:rsidP="00025570">
      <w:pPr>
        <w:pStyle w:val="TableFigureFooter"/>
        <w:rPr>
          <w:i/>
        </w:rPr>
      </w:pPr>
      <w:r w:rsidRPr="00025570">
        <w:rPr>
          <w:i/>
          <w:vertAlign w:val="superscript"/>
        </w:rPr>
        <w:t>1</w:t>
      </w:r>
      <w:r w:rsidRPr="00025570">
        <w:rPr>
          <w:i/>
        </w:rPr>
        <w:t xml:space="preserve"> </w:t>
      </w:r>
      <w:r w:rsidR="004D4389" w:rsidRPr="004D4389">
        <w:rPr>
          <w:i/>
        </w:rPr>
        <w:t>$75,000 to &lt; $95,000</w:t>
      </w:r>
    </w:p>
    <w:p w14:paraId="4ED3043C" w14:textId="3796120F" w:rsidR="00025570" w:rsidRPr="00025570" w:rsidRDefault="00025570" w:rsidP="00025570">
      <w:pPr>
        <w:pStyle w:val="TableFigureFooter"/>
        <w:rPr>
          <w:i/>
        </w:rPr>
      </w:pPr>
      <w:r w:rsidRPr="00025570">
        <w:rPr>
          <w:i/>
          <w:vertAlign w:val="superscript"/>
        </w:rPr>
        <w:t>2</w:t>
      </w:r>
      <w:r w:rsidRPr="00025570">
        <w:rPr>
          <w:i/>
        </w:rPr>
        <w:t xml:space="preserve"> </w:t>
      </w:r>
      <w:r w:rsidR="00201AE9" w:rsidRPr="00201AE9">
        <w:rPr>
          <w:i/>
        </w:rPr>
        <w:t xml:space="preserve">$95,000 to &lt; $115,000 </w:t>
      </w:r>
    </w:p>
    <w:p w14:paraId="19069239" w14:textId="77777777" w:rsidR="00D53F2E" w:rsidRDefault="00025570" w:rsidP="00D53F2E">
      <w:pPr>
        <w:pStyle w:val="TableFigureFooter"/>
        <w:rPr>
          <w:i/>
        </w:rPr>
      </w:pPr>
      <w:r w:rsidRPr="00025570">
        <w:rPr>
          <w:i/>
          <w:vertAlign w:val="superscript"/>
        </w:rPr>
        <w:t>3</w:t>
      </w:r>
      <w:r w:rsidRPr="00025570">
        <w:rPr>
          <w:i/>
        </w:rPr>
        <w:t xml:space="preserve"> </w:t>
      </w:r>
      <w:r w:rsidR="00D53F2E" w:rsidRPr="00D53F2E">
        <w:rPr>
          <w:i/>
        </w:rPr>
        <w:t>$115,000 to &lt; $135,000</w:t>
      </w:r>
    </w:p>
    <w:p w14:paraId="34D84B34" w14:textId="625C0000" w:rsidR="00D53F2E" w:rsidRDefault="00D53F2E" w:rsidP="00D53F2E">
      <w:pPr>
        <w:pStyle w:val="TableFigureFooter"/>
        <w:rPr>
          <w:i/>
        </w:rPr>
      </w:pPr>
      <w:r>
        <w:rPr>
          <w:i/>
          <w:vertAlign w:val="superscript"/>
        </w:rPr>
        <w:t xml:space="preserve">4 </w:t>
      </w:r>
      <w:r w:rsidR="008833B8" w:rsidRPr="00751424">
        <w:rPr>
          <w:i/>
        </w:rPr>
        <w:t>$135,000 to &lt; $155,000</w:t>
      </w:r>
    </w:p>
    <w:p w14:paraId="42EEFA11" w14:textId="6D0B3897" w:rsidR="00025570" w:rsidRDefault="008833B8" w:rsidP="00213DD5">
      <w:pPr>
        <w:pStyle w:val="TableFigureFooter"/>
      </w:pPr>
      <w:r>
        <w:rPr>
          <w:i/>
          <w:vertAlign w:val="superscript"/>
        </w:rPr>
        <w:t>5</w:t>
      </w:r>
      <w:r>
        <w:rPr>
          <w:i/>
        </w:rPr>
        <w:t xml:space="preserve"> </w:t>
      </w:r>
      <w:r w:rsidR="006F04D0" w:rsidRPr="006F04D0">
        <w:rPr>
          <w:i/>
        </w:rPr>
        <w:t xml:space="preserve">$55,000 to &lt; $75,000 </w:t>
      </w:r>
    </w:p>
    <w:p w14:paraId="24E2792B" w14:textId="1BC79A27" w:rsidR="004D2FE8" w:rsidRPr="009F35F5" w:rsidRDefault="00F62F6E" w:rsidP="00213DD5">
      <w:pPr>
        <w:pStyle w:val="4-SubsectionHeading"/>
      </w:pPr>
      <w:bookmarkStart w:id="11" w:name="_Toc22897646"/>
      <w:bookmarkStart w:id="12" w:name="_Toc177558655"/>
      <w:r w:rsidRPr="009F35F5">
        <w:t>Palope</w:t>
      </w:r>
      <w:r w:rsidR="004D2FE8" w:rsidRPr="009F35F5">
        <w:t>g</w:t>
      </w:r>
      <w:r w:rsidRPr="009F35F5">
        <w:t>teriparatide</w:t>
      </w:r>
      <w:r w:rsidR="004D2FE8" w:rsidRPr="009F35F5">
        <w:t xml:space="preserve"> cost/patient/year</w:t>
      </w:r>
      <w:bookmarkEnd w:id="11"/>
      <w:bookmarkEnd w:id="12"/>
    </w:p>
    <w:p w14:paraId="0525E265" w14:textId="1A921A7B" w:rsidR="004D2FE8" w:rsidRPr="002C65D5" w:rsidRDefault="004D2FE8" w:rsidP="00213DD5">
      <w:pPr>
        <w:pStyle w:val="3-BodyText"/>
        <w:rPr>
          <w:rFonts w:eastAsiaTheme="minorEastAsia"/>
        </w:rPr>
      </w:pPr>
      <w:r w:rsidRPr="002C65D5">
        <w:t>The estimated drug cost/patient/</w:t>
      </w:r>
      <w:r w:rsidR="007E290C" w:rsidRPr="002C65D5">
        <w:t>year</w:t>
      </w:r>
      <w:r w:rsidRPr="002C65D5">
        <w:t xml:space="preserve"> at the revised price (</w:t>
      </w:r>
      <w:r w:rsidR="00F62F6E" w:rsidRPr="002C65D5">
        <w:t xml:space="preserve">effective DPMQ = </w:t>
      </w:r>
      <w:r w:rsidRPr="002C65D5">
        <w:t>$</w:t>
      </w:r>
      <w:r w:rsidR="00FD3ADE" w:rsidRPr="00FD3ADE">
        <w:rPr>
          <w:color w:val="000000"/>
          <w:w w:val="61"/>
          <w:shd w:val="solid" w:color="000000" w:fill="000000"/>
          <w:fitText w:val="475" w:id="-621624822"/>
          <w14:textFill>
            <w14:solidFill>
              <w14:srgbClr w14:val="000000">
                <w14:alpha w14:val="100000"/>
              </w14:srgbClr>
            </w14:solidFill>
          </w14:textFill>
        </w:rPr>
        <w:t>|||  ||</w:t>
      </w:r>
      <w:r w:rsidR="00FD3ADE" w:rsidRPr="00FD3ADE">
        <w:rPr>
          <w:color w:val="000000"/>
          <w:spacing w:val="5"/>
          <w:w w:val="61"/>
          <w:shd w:val="solid" w:color="000000" w:fill="000000"/>
          <w:fitText w:val="475" w:id="-621624822"/>
          <w14:textFill>
            <w14:solidFill>
              <w14:srgbClr w14:val="000000">
                <w14:alpha w14:val="100000"/>
              </w14:srgbClr>
            </w14:solidFill>
          </w14:textFill>
        </w:rPr>
        <w:t>|</w:t>
      </w:r>
      <w:r w:rsidRPr="002C65D5">
        <w:t>)</w:t>
      </w:r>
      <w:r w:rsidR="001F6CD3" w:rsidRPr="002C65D5">
        <w:t xml:space="preserve">, </w:t>
      </w:r>
      <w:r w:rsidRPr="002C65D5">
        <w:t>would be $</w:t>
      </w:r>
      <w:r w:rsidR="00FD3ADE" w:rsidRPr="00FD3ADE">
        <w:rPr>
          <w:color w:val="000000"/>
          <w:w w:val="61"/>
          <w:shd w:val="solid" w:color="000000" w:fill="000000"/>
          <w:fitText w:val="475" w:id="-621624821"/>
          <w14:textFill>
            <w14:solidFill>
              <w14:srgbClr w14:val="000000">
                <w14:alpha w14:val="100000"/>
              </w14:srgbClr>
            </w14:solidFill>
          </w14:textFill>
        </w:rPr>
        <w:t>|||  ||</w:t>
      </w:r>
      <w:r w:rsidR="00FD3ADE" w:rsidRPr="00FD3ADE">
        <w:rPr>
          <w:color w:val="000000"/>
          <w:spacing w:val="5"/>
          <w:w w:val="61"/>
          <w:shd w:val="solid" w:color="000000" w:fill="000000"/>
          <w:fitText w:val="475" w:id="-621624821"/>
          <w14:textFill>
            <w14:solidFill>
              <w14:srgbClr w14:val="000000">
                <w14:alpha w14:val="100000"/>
              </w14:srgbClr>
            </w14:solidFill>
          </w14:textFill>
        </w:rPr>
        <w:t>|</w:t>
      </w:r>
      <w:r w:rsidRPr="002C65D5">
        <w:t xml:space="preserve">, based on </w:t>
      </w:r>
      <w:r w:rsidR="00EE2DAE" w:rsidRPr="002C65D5">
        <w:t xml:space="preserve">the economic model, </w:t>
      </w:r>
      <w:r w:rsidR="007E290C" w:rsidRPr="002C65D5">
        <w:t xml:space="preserve">12.14 packs per year and a compliance rate of </w:t>
      </w:r>
      <w:r w:rsidRPr="002C65D5">
        <w:t>9</w:t>
      </w:r>
      <w:r w:rsidR="007E290C" w:rsidRPr="002C65D5">
        <w:t>6.4</w:t>
      </w:r>
      <w:r w:rsidRPr="002C65D5">
        <w:t>%. The estimated drug cost/patient/</w:t>
      </w:r>
      <w:r w:rsidR="007E290C" w:rsidRPr="002C65D5">
        <w:t>year</w:t>
      </w:r>
      <w:r w:rsidRPr="002C65D5">
        <w:t xml:space="preserve"> in the </w:t>
      </w:r>
      <w:r w:rsidR="007E290C" w:rsidRPr="002C65D5">
        <w:t>March 2025</w:t>
      </w:r>
      <w:r w:rsidRPr="002C65D5">
        <w:t xml:space="preserve"> submission was $</w:t>
      </w:r>
      <w:r w:rsidR="00FD3ADE" w:rsidRPr="00FD3ADE">
        <w:rPr>
          <w:color w:val="000000"/>
          <w:w w:val="61"/>
          <w:shd w:val="solid" w:color="000000" w:fill="000000"/>
          <w:fitText w:val="475" w:id="-621624820"/>
          <w14:textFill>
            <w14:solidFill>
              <w14:srgbClr w14:val="000000">
                <w14:alpha w14:val="100000"/>
              </w14:srgbClr>
            </w14:solidFill>
          </w14:textFill>
        </w:rPr>
        <w:t>|||  ||</w:t>
      </w:r>
      <w:r w:rsidR="00FD3ADE" w:rsidRPr="00FD3ADE">
        <w:rPr>
          <w:color w:val="000000"/>
          <w:spacing w:val="5"/>
          <w:w w:val="61"/>
          <w:shd w:val="solid" w:color="000000" w:fill="000000"/>
          <w:fitText w:val="475" w:id="-621624820"/>
          <w14:textFill>
            <w14:solidFill>
              <w14:srgbClr w14:val="000000">
                <w14:alpha w14:val="100000"/>
              </w14:srgbClr>
            </w14:solidFill>
          </w14:textFill>
        </w:rPr>
        <w:t>|</w:t>
      </w:r>
      <w:r w:rsidRPr="002C65D5">
        <w:t>.</w:t>
      </w:r>
    </w:p>
    <w:p w14:paraId="4D058154" w14:textId="77777777" w:rsidR="004D2FE8" w:rsidRPr="00120ED8" w:rsidRDefault="004D2FE8" w:rsidP="00213DD5">
      <w:pPr>
        <w:pStyle w:val="4-SubsectionHeading"/>
        <w:rPr>
          <w:color w:val="000000" w:themeColor="text1"/>
        </w:rPr>
      </w:pPr>
      <w:bookmarkStart w:id="13" w:name="_Toc177558656"/>
      <w:r w:rsidRPr="00120ED8">
        <w:rPr>
          <w:color w:val="000000" w:themeColor="text1"/>
        </w:rPr>
        <w:t>Estimated PBS usage &amp; financial implications</w:t>
      </w:r>
      <w:bookmarkEnd w:id="13"/>
    </w:p>
    <w:p w14:paraId="5CBF99CC" w14:textId="275F465B" w:rsidR="00120ED8" w:rsidRDefault="00120ED8" w:rsidP="00213DD5">
      <w:pPr>
        <w:pStyle w:val="3-BodyText"/>
        <w:rPr>
          <w:rFonts w:eastAsiaTheme="minorEastAsia"/>
        </w:rPr>
      </w:pPr>
      <w:bookmarkStart w:id="14" w:name="_Ref204866100"/>
      <w:r>
        <w:rPr>
          <w:rFonts w:eastAsiaTheme="minorEastAsia"/>
        </w:rPr>
        <w:t xml:space="preserve">At the March 2025 meeting, the PBAC </w:t>
      </w:r>
      <w:r w:rsidR="00BC03BD">
        <w:rPr>
          <w:rFonts w:eastAsiaTheme="minorEastAsia"/>
        </w:rPr>
        <w:t>considered that the utilisation of palopegteriparatide was overestimated as:</w:t>
      </w:r>
      <w:bookmarkEnd w:id="14"/>
    </w:p>
    <w:p w14:paraId="5B481B85" w14:textId="7AD5599D" w:rsidR="00BC03BD" w:rsidRDefault="00131B08" w:rsidP="00213DD5">
      <w:pPr>
        <w:pStyle w:val="3-BodyText"/>
        <w:numPr>
          <w:ilvl w:val="1"/>
          <w:numId w:val="12"/>
        </w:numPr>
        <w:ind w:left="1080"/>
        <w:rPr>
          <w:rFonts w:eastAsiaTheme="minorEastAsia"/>
        </w:rPr>
      </w:pPr>
      <w:r>
        <w:rPr>
          <w:rFonts w:eastAsiaTheme="minorEastAsia"/>
        </w:rPr>
        <w:t>t</w:t>
      </w:r>
      <w:r w:rsidR="00D74AF1">
        <w:rPr>
          <w:rFonts w:eastAsiaTheme="minorEastAsia"/>
        </w:rPr>
        <w:t>he prevalence rate of 37.2 per 100,000 was high</w:t>
      </w:r>
      <w:r>
        <w:rPr>
          <w:rFonts w:eastAsiaTheme="minorEastAsia"/>
        </w:rPr>
        <w:t>. The PBAC considered th</w:t>
      </w:r>
      <w:r w:rsidR="00D74AF1">
        <w:rPr>
          <w:rFonts w:eastAsiaTheme="minorEastAsia"/>
        </w:rPr>
        <w:t>at the DUSC estimate of 30.1 per 100,000 was more reasonable; and</w:t>
      </w:r>
    </w:p>
    <w:p w14:paraId="1A5A2F9F" w14:textId="628F04CC" w:rsidR="00D74AF1" w:rsidRDefault="00131B08" w:rsidP="00213DD5">
      <w:pPr>
        <w:pStyle w:val="3-BodyText"/>
        <w:numPr>
          <w:ilvl w:val="1"/>
          <w:numId w:val="12"/>
        </w:numPr>
        <w:ind w:left="1080"/>
        <w:rPr>
          <w:rFonts w:eastAsiaTheme="minorEastAsia"/>
        </w:rPr>
      </w:pPr>
      <w:r>
        <w:rPr>
          <w:rFonts w:eastAsiaTheme="minorEastAsia"/>
        </w:rPr>
        <w:t>t</w:t>
      </w:r>
      <w:r w:rsidR="00E846A8">
        <w:rPr>
          <w:rFonts w:eastAsiaTheme="minorEastAsia"/>
        </w:rPr>
        <w:t xml:space="preserve">he uptake rates applied, </w:t>
      </w:r>
      <w:r w:rsidR="00FD3ADE" w:rsidRPr="00FD3ADE">
        <w:rPr>
          <w:rFonts w:eastAsiaTheme="minorEastAsia"/>
          <w:color w:val="000000"/>
          <w:w w:val="59"/>
          <w:shd w:val="solid" w:color="000000" w:fill="000000"/>
          <w:fitText w:val="460" w:id="-621624819"/>
          <w14:textFill>
            <w14:solidFill>
              <w14:srgbClr w14:val="000000">
                <w14:alpha w14:val="100000"/>
              </w14:srgbClr>
            </w14:solidFill>
          </w14:textFill>
        </w:rPr>
        <w:t>|||  ||</w:t>
      </w:r>
      <w:r w:rsidR="00FD3ADE" w:rsidRPr="00FD3ADE">
        <w:rPr>
          <w:rFonts w:eastAsiaTheme="minorEastAsia"/>
          <w:color w:val="000000"/>
          <w:spacing w:val="5"/>
          <w:w w:val="59"/>
          <w:shd w:val="solid" w:color="000000" w:fill="000000"/>
          <w:fitText w:val="460" w:id="-621624819"/>
          <w14:textFill>
            <w14:solidFill>
              <w14:srgbClr w14:val="000000">
                <w14:alpha w14:val="100000"/>
              </w14:srgbClr>
            </w14:solidFill>
          </w14:textFill>
        </w:rPr>
        <w:t>|</w:t>
      </w:r>
      <w:r w:rsidR="00E846A8">
        <w:rPr>
          <w:rFonts w:eastAsiaTheme="minorEastAsia"/>
        </w:rPr>
        <w:t xml:space="preserve">% in Year 1 increasing to </w:t>
      </w:r>
      <w:r w:rsidR="00FD3ADE" w:rsidRPr="00FD3ADE">
        <w:rPr>
          <w:rFonts w:eastAsiaTheme="minorEastAsia"/>
          <w:color w:val="000000"/>
          <w:w w:val="59"/>
          <w:shd w:val="solid" w:color="000000" w:fill="000000"/>
          <w:fitText w:val="460" w:id="-621624818"/>
          <w14:textFill>
            <w14:solidFill>
              <w14:srgbClr w14:val="000000">
                <w14:alpha w14:val="100000"/>
              </w14:srgbClr>
            </w14:solidFill>
          </w14:textFill>
        </w:rPr>
        <w:t>|||  ||</w:t>
      </w:r>
      <w:r w:rsidR="00FD3ADE" w:rsidRPr="00FD3ADE">
        <w:rPr>
          <w:rFonts w:eastAsiaTheme="minorEastAsia"/>
          <w:color w:val="000000"/>
          <w:spacing w:val="5"/>
          <w:w w:val="59"/>
          <w:shd w:val="solid" w:color="000000" w:fill="000000"/>
          <w:fitText w:val="460" w:id="-621624818"/>
          <w14:textFill>
            <w14:solidFill>
              <w14:srgbClr w14:val="000000">
                <w14:alpha w14:val="100000"/>
              </w14:srgbClr>
            </w14:solidFill>
          </w14:textFill>
        </w:rPr>
        <w:t>|</w:t>
      </w:r>
      <w:r w:rsidR="00E846A8">
        <w:rPr>
          <w:rFonts w:eastAsiaTheme="minorEastAsia"/>
        </w:rPr>
        <w:t>% in Years 5 and 6</w:t>
      </w:r>
      <w:r w:rsidR="00386DC0">
        <w:rPr>
          <w:rFonts w:eastAsiaTheme="minorEastAsia"/>
        </w:rPr>
        <w:t>, were high. The PBAC considered a</w:t>
      </w:r>
      <w:r w:rsidR="00B5682A">
        <w:rPr>
          <w:rFonts w:eastAsiaTheme="minorEastAsia"/>
        </w:rPr>
        <w:t>n uptake</w:t>
      </w:r>
      <w:r w:rsidR="00386DC0">
        <w:rPr>
          <w:rFonts w:eastAsiaTheme="minorEastAsia"/>
        </w:rPr>
        <w:t xml:space="preserve"> rate of </w:t>
      </w:r>
      <w:r w:rsidR="00FD3ADE" w:rsidRPr="00FD3ADE">
        <w:rPr>
          <w:rFonts w:eastAsiaTheme="minorEastAsia"/>
          <w:color w:val="000000"/>
          <w:w w:val="61"/>
          <w:shd w:val="solid" w:color="000000" w:fill="000000"/>
          <w:fitText w:val="475" w:id="-621624817"/>
          <w14:textFill>
            <w14:solidFill>
              <w14:srgbClr w14:val="000000">
                <w14:alpha w14:val="100000"/>
              </w14:srgbClr>
            </w14:solidFill>
          </w14:textFill>
        </w:rPr>
        <w:t>|||  ||</w:t>
      </w:r>
      <w:r w:rsidR="00FD3ADE" w:rsidRPr="00FD3ADE">
        <w:rPr>
          <w:rFonts w:eastAsiaTheme="minorEastAsia"/>
          <w:color w:val="000000"/>
          <w:spacing w:val="5"/>
          <w:w w:val="61"/>
          <w:shd w:val="solid" w:color="000000" w:fill="000000"/>
          <w:fitText w:val="475" w:id="-621624817"/>
          <w14:textFill>
            <w14:solidFill>
              <w14:srgbClr w14:val="000000">
                <w14:alpha w14:val="100000"/>
              </w14:srgbClr>
            </w14:solidFill>
          </w14:textFill>
        </w:rPr>
        <w:t>|</w:t>
      </w:r>
      <w:r w:rsidR="00386DC0">
        <w:rPr>
          <w:rFonts w:eastAsiaTheme="minorEastAsia"/>
        </w:rPr>
        <w:t xml:space="preserve">% in Year 1 increasing to </w:t>
      </w:r>
      <w:r w:rsidR="00FD3ADE" w:rsidRPr="00FD3ADE">
        <w:rPr>
          <w:rFonts w:eastAsiaTheme="minorEastAsia"/>
          <w:color w:val="000000"/>
          <w:w w:val="61"/>
          <w:shd w:val="solid" w:color="000000" w:fill="000000"/>
          <w:fitText w:val="475" w:id="-621624816"/>
          <w14:textFill>
            <w14:solidFill>
              <w14:srgbClr w14:val="000000">
                <w14:alpha w14:val="100000"/>
              </w14:srgbClr>
            </w14:solidFill>
          </w14:textFill>
        </w:rPr>
        <w:t>|||  ||</w:t>
      </w:r>
      <w:r w:rsidR="00FD3ADE" w:rsidRPr="00FD3ADE">
        <w:rPr>
          <w:rFonts w:eastAsiaTheme="minorEastAsia"/>
          <w:color w:val="000000"/>
          <w:spacing w:val="5"/>
          <w:w w:val="61"/>
          <w:shd w:val="solid" w:color="000000" w:fill="000000"/>
          <w:fitText w:val="475" w:id="-621624816"/>
          <w14:textFill>
            <w14:solidFill>
              <w14:srgbClr w14:val="000000">
                <w14:alpha w14:val="100000"/>
              </w14:srgbClr>
            </w14:solidFill>
          </w14:textFill>
        </w:rPr>
        <w:t>|</w:t>
      </w:r>
      <w:r w:rsidR="00386DC0">
        <w:rPr>
          <w:rFonts w:eastAsiaTheme="minorEastAsia"/>
        </w:rPr>
        <w:t>% in Year 6 would be more reasonable</w:t>
      </w:r>
      <w:r w:rsidR="00B2445C">
        <w:rPr>
          <w:rFonts w:eastAsiaTheme="minorEastAsia"/>
        </w:rPr>
        <w:t xml:space="preserve"> due to the likelihood that many patients may not be reviewed by an endocrinologist more often than every 6 to 12 months (paragraph 7.18, palopegteriparatide minutes, March 2025</w:t>
      </w:r>
      <w:r>
        <w:rPr>
          <w:rFonts w:eastAsiaTheme="minorEastAsia"/>
        </w:rPr>
        <w:t>)</w:t>
      </w:r>
      <w:r w:rsidR="00B2445C">
        <w:rPr>
          <w:rFonts w:eastAsiaTheme="minorEastAsia"/>
        </w:rPr>
        <w:t>.</w:t>
      </w:r>
    </w:p>
    <w:p w14:paraId="72B31EA1" w14:textId="5EF18ECB" w:rsidR="00251729" w:rsidRDefault="00251729" w:rsidP="00213DD5">
      <w:pPr>
        <w:pStyle w:val="TableFigureHeading"/>
        <w:rPr>
          <w:rFonts w:eastAsiaTheme="minorEastAsia"/>
        </w:rPr>
      </w:pPr>
      <w:bookmarkStart w:id="15" w:name="_Ref197510315"/>
      <w:bookmarkStart w:id="16" w:name="_Ref197510309"/>
      <w:r>
        <w:t xml:space="preserve">Table </w:t>
      </w:r>
      <w:r>
        <w:fldChar w:fldCharType="begin"/>
      </w:r>
      <w:r>
        <w:instrText xml:space="preserve"> SEQ Table \* ARABIC </w:instrText>
      </w:r>
      <w:r>
        <w:fldChar w:fldCharType="separate"/>
      </w:r>
      <w:r w:rsidR="005F7320">
        <w:rPr>
          <w:noProof/>
        </w:rPr>
        <w:t>3</w:t>
      </w:r>
      <w:r>
        <w:rPr>
          <w:noProof/>
        </w:rPr>
        <w:fldChar w:fldCharType="end"/>
      </w:r>
      <w:bookmarkEnd w:id="15"/>
      <w:r>
        <w:t xml:space="preserve">: </w:t>
      </w:r>
      <w:r w:rsidR="00B9500B">
        <w:t>Utilisation inputs</w:t>
      </w:r>
      <w:bookmarkEnd w:id="16"/>
    </w:p>
    <w:tbl>
      <w:tblPr>
        <w:tblStyle w:val="TableGrid"/>
        <w:tblW w:w="0" w:type="auto"/>
        <w:tblInd w:w="-5" w:type="dxa"/>
        <w:tblLook w:val="04A0" w:firstRow="1" w:lastRow="0" w:firstColumn="1" w:lastColumn="0" w:noHBand="0" w:noVBand="1"/>
        <w:tblCaption w:val="Table 3: Utilisation inputs"/>
      </w:tblPr>
      <w:tblGrid>
        <w:gridCol w:w="2799"/>
        <w:gridCol w:w="2074"/>
        <w:gridCol w:w="2074"/>
        <w:gridCol w:w="2074"/>
      </w:tblGrid>
      <w:tr w:rsidR="00240FD5" w:rsidRPr="00C02068" w14:paraId="65E8E854" w14:textId="77777777" w:rsidTr="007428C6">
        <w:tc>
          <w:tcPr>
            <w:tcW w:w="2799" w:type="dxa"/>
          </w:tcPr>
          <w:p w14:paraId="5503DF15" w14:textId="77777777" w:rsidR="00240FD5" w:rsidRPr="00C02068" w:rsidRDefault="00240FD5" w:rsidP="00213DD5">
            <w:pPr>
              <w:pStyle w:val="TableText"/>
              <w:rPr>
                <w:rFonts w:eastAsiaTheme="minorEastAsia"/>
                <w:b/>
                <w:bCs w:val="0"/>
              </w:rPr>
            </w:pPr>
          </w:p>
        </w:tc>
        <w:tc>
          <w:tcPr>
            <w:tcW w:w="2074" w:type="dxa"/>
            <w:shd w:val="clear" w:color="auto" w:fill="DBE5F1" w:themeFill="accent1" w:themeFillTint="33"/>
          </w:tcPr>
          <w:p w14:paraId="1091FCB4" w14:textId="5101ED02" w:rsidR="00240FD5" w:rsidRPr="00C02068" w:rsidRDefault="00240FD5" w:rsidP="00213DD5">
            <w:pPr>
              <w:pStyle w:val="TableText"/>
              <w:jc w:val="center"/>
              <w:rPr>
                <w:rFonts w:eastAsiaTheme="minorEastAsia"/>
                <w:b/>
                <w:bCs w:val="0"/>
              </w:rPr>
            </w:pPr>
            <w:r w:rsidRPr="00C02068">
              <w:rPr>
                <w:rFonts w:eastAsiaTheme="minorEastAsia"/>
                <w:b/>
                <w:bCs w:val="0"/>
              </w:rPr>
              <w:t>March 2025</w:t>
            </w:r>
            <w:r w:rsidR="00FF7F4C" w:rsidRPr="00C02068">
              <w:rPr>
                <w:rFonts w:eastAsiaTheme="minorEastAsia"/>
                <w:b/>
                <w:bCs w:val="0"/>
              </w:rPr>
              <w:t xml:space="preserve"> submission</w:t>
            </w:r>
          </w:p>
        </w:tc>
        <w:tc>
          <w:tcPr>
            <w:tcW w:w="2074" w:type="dxa"/>
          </w:tcPr>
          <w:p w14:paraId="4B983139" w14:textId="36636EDC" w:rsidR="00240FD5" w:rsidRPr="00C02068" w:rsidRDefault="00FF7F4C" w:rsidP="00213DD5">
            <w:pPr>
              <w:pStyle w:val="TableText"/>
              <w:jc w:val="center"/>
              <w:rPr>
                <w:rFonts w:eastAsiaTheme="minorEastAsia"/>
                <w:b/>
                <w:bCs w:val="0"/>
              </w:rPr>
            </w:pPr>
            <w:r w:rsidRPr="00C02068">
              <w:rPr>
                <w:rFonts w:eastAsiaTheme="minorEastAsia"/>
                <w:b/>
                <w:bCs w:val="0"/>
              </w:rPr>
              <w:t xml:space="preserve">PBAC </w:t>
            </w:r>
            <w:r w:rsidR="00A1282E">
              <w:rPr>
                <w:rFonts w:eastAsiaTheme="minorEastAsia"/>
                <w:b/>
                <w:bCs w:val="0"/>
              </w:rPr>
              <w:t>advice</w:t>
            </w:r>
          </w:p>
        </w:tc>
        <w:tc>
          <w:tcPr>
            <w:tcW w:w="2074" w:type="dxa"/>
          </w:tcPr>
          <w:p w14:paraId="28A53B83" w14:textId="04A0734F" w:rsidR="00240FD5" w:rsidRPr="00C02068" w:rsidRDefault="00FF7F4C" w:rsidP="00213DD5">
            <w:pPr>
              <w:pStyle w:val="TableText"/>
              <w:jc w:val="center"/>
              <w:rPr>
                <w:rFonts w:eastAsiaTheme="minorEastAsia"/>
                <w:b/>
                <w:bCs w:val="0"/>
              </w:rPr>
            </w:pPr>
            <w:r w:rsidRPr="00C02068">
              <w:rPr>
                <w:rFonts w:eastAsiaTheme="minorEastAsia"/>
                <w:b/>
                <w:bCs w:val="0"/>
              </w:rPr>
              <w:t>July 2025 resubmission</w:t>
            </w:r>
          </w:p>
        </w:tc>
      </w:tr>
      <w:tr w:rsidR="00240FD5" w14:paraId="1BBA7376" w14:textId="77777777" w:rsidTr="007428C6">
        <w:tc>
          <w:tcPr>
            <w:tcW w:w="2799" w:type="dxa"/>
          </w:tcPr>
          <w:p w14:paraId="3325D341" w14:textId="55871709" w:rsidR="00240FD5" w:rsidRDefault="00240FD5" w:rsidP="00213DD5">
            <w:pPr>
              <w:pStyle w:val="TableText"/>
              <w:rPr>
                <w:rFonts w:eastAsiaTheme="minorEastAsia"/>
              </w:rPr>
            </w:pPr>
            <w:r>
              <w:rPr>
                <w:rFonts w:eastAsiaTheme="minorEastAsia"/>
              </w:rPr>
              <w:t>Prevalence rate</w:t>
            </w:r>
          </w:p>
        </w:tc>
        <w:tc>
          <w:tcPr>
            <w:tcW w:w="2074" w:type="dxa"/>
            <w:shd w:val="clear" w:color="auto" w:fill="DBE5F1" w:themeFill="accent1" w:themeFillTint="33"/>
          </w:tcPr>
          <w:p w14:paraId="4D263E4D" w14:textId="4C18B2CA" w:rsidR="00240FD5" w:rsidRDefault="00FF7F4C" w:rsidP="00213DD5">
            <w:pPr>
              <w:pStyle w:val="TableText"/>
              <w:jc w:val="center"/>
              <w:rPr>
                <w:rFonts w:eastAsiaTheme="minorEastAsia"/>
              </w:rPr>
            </w:pPr>
            <w:r>
              <w:rPr>
                <w:rFonts w:eastAsiaTheme="minorEastAsia"/>
              </w:rPr>
              <w:t>37.2 per 100,000</w:t>
            </w:r>
          </w:p>
        </w:tc>
        <w:tc>
          <w:tcPr>
            <w:tcW w:w="2074" w:type="dxa"/>
          </w:tcPr>
          <w:p w14:paraId="4F30FA12" w14:textId="21AA319E" w:rsidR="00240FD5" w:rsidRDefault="00FF7F4C" w:rsidP="00213DD5">
            <w:pPr>
              <w:pStyle w:val="TableText"/>
              <w:jc w:val="center"/>
              <w:rPr>
                <w:rFonts w:eastAsiaTheme="minorEastAsia"/>
              </w:rPr>
            </w:pPr>
            <w:r>
              <w:rPr>
                <w:rFonts w:eastAsiaTheme="minorEastAsia"/>
              </w:rPr>
              <w:t>30.1 per 100,000</w:t>
            </w:r>
          </w:p>
        </w:tc>
        <w:tc>
          <w:tcPr>
            <w:tcW w:w="2074" w:type="dxa"/>
          </w:tcPr>
          <w:p w14:paraId="24F6662C" w14:textId="73E63EE2" w:rsidR="00240FD5" w:rsidRDefault="00FF7F4C" w:rsidP="00213DD5">
            <w:pPr>
              <w:pStyle w:val="TableText"/>
              <w:jc w:val="center"/>
              <w:rPr>
                <w:rFonts w:eastAsiaTheme="minorEastAsia"/>
              </w:rPr>
            </w:pPr>
            <w:r>
              <w:rPr>
                <w:rFonts w:eastAsiaTheme="minorEastAsia"/>
              </w:rPr>
              <w:t>33.65 per 100,000</w:t>
            </w:r>
          </w:p>
        </w:tc>
      </w:tr>
      <w:tr w:rsidR="00240FD5" w14:paraId="49641FC8" w14:textId="77777777" w:rsidTr="007428C6">
        <w:tc>
          <w:tcPr>
            <w:tcW w:w="2799" w:type="dxa"/>
          </w:tcPr>
          <w:p w14:paraId="66DD2DFF" w14:textId="4F4EFD63" w:rsidR="00240FD5" w:rsidRDefault="00FF7F4C" w:rsidP="00213DD5">
            <w:pPr>
              <w:pStyle w:val="TableText"/>
              <w:rPr>
                <w:rFonts w:eastAsiaTheme="minorEastAsia"/>
              </w:rPr>
            </w:pPr>
            <w:r>
              <w:rPr>
                <w:rFonts w:eastAsiaTheme="minorEastAsia"/>
              </w:rPr>
              <w:t>Uptake rate</w:t>
            </w:r>
            <w:r w:rsidR="00C02068">
              <w:rPr>
                <w:rFonts w:eastAsiaTheme="minorEastAsia"/>
              </w:rPr>
              <w:t>:</w:t>
            </w:r>
          </w:p>
          <w:p w14:paraId="4E3A6EF2" w14:textId="5878FD70" w:rsidR="00052D41" w:rsidRDefault="00C02068" w:rsidP="00213DD5">
            <w:pPr>
              <w:pStyle w:val="TableText"/>
              <w:rPr>
                <w:rFonts w:eastAsiaTheme="minorEastAsia"/>
              </w:rPr>
            </w:pPr>
            <w:r>
              <w:rPr>
                <w:rFonts w:eastAsiaTheme="minorEastAsia"/>
              </w:rPr>
              <w:t xml:space="preserve">- </w:t>
            </w:r>
            <w:r w:rsidR="00052D41">
              <w:rPr>
                <w:rFonts w:eastAsiaTheme="minorEastAsia"/>
              </w:rPr>
              <w:t>Year 1</w:t>
            </w:r>
          </w:p>
          <w:p w14:paraId="32BF158D" w14:textId="349F983A" w:rsidR="00052D41" w:rsidRDefault="00C02068" w:rsidP="00213DD5">
            <w:pPr>
              <w:pStyle w:val="TableText"/>
              <w:rPr>
                <w:rFonts w:eastAsiaTheme="minorEastAsia"/>
              </w:rPr>
            </w:pPr>
            <w:r>
              <w:rPr>
                <w:rFonts w:eastAsiaTheme="minorEastAsia"/>
              </w:rPr>
              <w:t xml:space="preserve">- </w:t>
            </w:r>
            <w:r w:rsidR="00052D41">
              <w:rPr>
                <w:rFonts w:eastAsiaTheme="minorEastAsia"/>
              </w:rPr>
              <w:t>Year 2</w:t>
            </w:r>
          </w:p>
          <w:p w14:paraId="67AAA1AE" w14:textId="699FC5D4" w:rsidR="00052D41" w:rsidRDefault="00C02068" w:rsidP="00213DD5">
            <w:pPr>
              <w:pStyle w:val="TableText"/>
              <w:rPr>
                <w:rFonts w:eastAsiaTheme="minorEastAsia"/>
              </w:rPr>
            </w:pPr>
            <w:r>
              <w:rPr>
                <w:rFonts w:eastAsiaTheme="minorEastAsia"/>
              </w:rPr>
              <w:t xml:space="preserve">- </w:t>
            </w:r>
            <w:r w:rsidR="00052D41">
              <w:rPr>
                <w:rFonts w:eastAsiaTheme="minorEastAsia"/>
              </w:rPr>
              <w:t>Year 3</w:t>
            </w:r>
          </w:p>
          <w:p w14:paraId="180979CA" w14:textId="31755146" w:rsidR="00052D41" w:rsidRDefault="00C02068" w:rsidP="00213DD5">
            <w:pPr>
              <w:pStyle w:val="TableText"/>
              <w:rPr>
                <w:rFonts w:eastAsiaTheme="minorEastAsia"/>
              </w:rPr>
            </w:pPr>
            <w:r>
              <w:rPr>
                <w:rFonts w:eastAsiaTheme="minorEastAsia"/>
              </w:rPr>
              <w:t xml:space="preserve">- </w:t>
            </w:r>
            <w:r w:rsidR="00052D41">
              <w:rPr>
                <w:rFonts w:eastAsiaTheme="minorEastAsia"/>
              </w:rPr>
              <w:t>Year 4</w:t>
            </w:r>
          </w:p>
          <w:p w14:paraId="3E91EB3D" w14:textId="7CBBBC8C" w:rsidR="00052D41" w:rsidRDefault="00C02068" w:rsidP="00213DD5">
            <w:pPr>
              <w:pStyle w:val="TableText"/>
              <w:rPr>
                <w:rFonts w:eastAsiaTheme="minorEastAsia"/>
              </w:rPr>
            </w:pPr>
            <w:r>
              <w:rPr>
                <w:rFonts w:eastAsiaTheme="minorEastAsia"/>
              </w:rPr>
              <w:t xml:space="preserve">- </w:t>
            </w:r>
            <w:r w:rsidR="00052D41">
              <w:rPr>
                <w:rFonts w:eastAsiaTheme="minorEastAsia"/>
              </w:rPr>
              <w:t>Year 5</w:t>
            </w:r>
          </w:p>
          <w:p w14:paraId="5AEC48A9" w14:textId="493D4A0F" w:rsidR="00052D41" w:rsidRDefault="00C02068" w:rsidP="00213DD5">
            <w:pPr>
              <w:pStyle w:val="TableText"/>
              <w:rPr>
                <w:rFonts w:eastAsiaTheme="minorEastAsia"/>
              </w:rPr>
            </w:pPr>
            <w:r>
              <w:rPr>
                <w:rFonts w:eastAsiaTheme="minorEastAsia"/>
              </w:rPr>
              <w:t xml:space="preserve">- </w:t>
            </w:r>
            <w:r w:rsidR="00052D41">
              <w:rPr>
                <w:rFonts w:eastAsiaTheme="minorEastAsia"/>
              </w:rPr>
              <w:t>Year 6</w:t>
            </w:r>
          </w:p>
        </w:tc>
        <w:tc>
          <w:tcPr>
            <w:tcW w:w="2074" w:type="dxa"/>
            <w:shd w:val="clear" w:color="auto" w:fill="DBE5F1" w:themeFill="accent1" w:themeFillTint="33"/>
          </w:tcPr>
          <w:p w14:paraId="7FFA3840" w14:textId="77777777" w:rsidR="00223A09" w:rsidRDefault="00223A09" w:rsidP="00213DD5">
            <w:pPr>
              <w:pStyle w:val="TableText"/>
              <w:jc w:val="center"/>
              <w:rPr>
                <w:rFonts w:eastAsiaTheme="minorEastAsia"/>
              </w:rPr>
            </w:pPr>
          </w:p>
          <w:p w14:paraId="192766FF" w14:textId="0B93FCCD" w:rsidR="00052D41" w:rsidRDefault="00FD3ADE" w:rsidP="00213DD5">
            <w:pPr>
              <w:pStyle w:val="TableText"/>
              <w:jc w:val="center"/>
              <w:rPr>
                <w:rFonts w:eastAsiaTheme="minorEastAsia"/>
              </w:rPr>
            </w:pPr>
            <w:r w:rsidRPr="00FD3ADE">
              <w:rPr>
                <w:rFonts w:eastAsiaTheme="minorEastAsia"/>
                <w:color w:val="000000"/>
                <w:spacing w:val="53"/>
                <w:shd w:val="solid" w:color="000000" w:fill="000000"/>
                <w:fitText w:val="330" w:id="-621624832"/>
                <w14:textFill>
                  <w14:solidFill>
                    <w14:srgbClr w14:val="000000">
                      <w14:alpha w14:val="100000"/>
                    </w14:srgbClr>
                  </w14:solidFill>
                </w14:textFill>
              </w:rPr>
              <w:t>|||</w:t>
            </w:r>
            <w:r w:rsidRPr="00FD3ADE">
              <w:rPr>
                <w:rFonts w:eastAsiaTheme="minorEastAsia"/>
                <w:color w:val="000000"/>
                <w:spacing w:val="1"/>
                <w:shd w:val="solid" w:color="000000" w:fill="000000"/>
                <w:fitText w:val="330" w:id="-621624832"/>
                <w14:textFill>
                  <w14:solidFill>
                    <w14:srgbClr w14:val="000000">
                      <w14:alpha w14:val="100000"/>
                    </w14:srgbClr>
                  </w14:solidFill>
                </w14:textFill>
              </w:rPr>
              <w:t>|</w:t>
            </w:r>
            <w:r w:rsidR="00052D41">
              <w:rPr>
                <w:rFonts w:eastAsiaTheme="minorEastAsia"/>
              </w:rPr>
              <w:t>%</w:t>
            </w:r>
          </w:p>
          <w:p w14:paraId="63EC2CAA" w14:textId="1D65BDB1" w:rsidR="00052D41" w:rsidRDefault="00FD3ADE" w:rsidP="00213DD5">
            <w:pPr>
              <w:pStyle w:val="TableText"/>
              <w:jc w:val="center"/>
              <w:rPr>
                <w:rFonts w:eastAsiaTheme="minorEastAsia"/>
              </w:rPr>
            </w:pPr>
            <w:r w:rsidRPr="00FD3ADE">
              <w:rPr>
                <w:rFonts w:eastAsiaTheme="minorEastAsia"/>
                <w:color w:val="000000"/>
                <w:spacing w:val="53"/>
                <w:shd w:val="solid" w:color="000000" w:fill="000000"/>
                <w:fitText w:val="330" w:id="-621624831"/>
                <w14:textFill>
                  <w14:solidFill>
                    <w14:srgbClr w14:val="000000">
                      <w14:alpha w14:val="100000"/>
                    </w14:srgbClr>
                  </w14:solidFill>
                </w14:textFill>
              </w:rPr>
              <w:t>|||</w:t>
            </w:r>
            <w:r w:rsidRPr="00FD3ADE">
              <w:rPr>
                <w:rFonts w:eastAsiaTheme="minorEastAsia"/>
                <w:color w:val="000000"/>
                <w:spacing w:val="1"/>
                <w:shd w:val="solid" w:color="000000" w:fill="000000"/>
                <w:fitText w:val="330" w:id="-621624831"/>
                <w14:textFill>
                  <w14:solidFill>
                    <w14:srgbClr w14:val="000000">
                      <w14:alpha w14:val="100000"/>
                    </w14:srgbClr>
                  </w14:solidFill>
                </w14:textFill>
              </w:rPr>
              <w:t>|</w:t>
            </w:r>
            <w:r w:rsidR="00052D41">
              <w:rPr>
                <w:rFonts w:eastAsiaTheme="minorEastAsia"/>
              </w:rPr>
              <w:t>%</w:t>
            </w:r>
          </w:p>
          <w:p w14:paraId="5C03F469" w14:textId="221602A4" w:rsidR="00052D41" w:rsidRDefault="00FD3ADE" w:rsidP="00213DD5">
            <w:pPr>
              <w:pStyle w:val="TableText"/>
              <w:jc w:val="center"/>
              <w:rPr>
                <w:rFonts w:eastAsiaTheme="minorEastAsia"/>
              </w:rPr>
            </w:pPr>
            <w:r w:rsidRPr="00FD3ADE">
              <w:rPr>
                <w:rFonts w:eastAsiaTheme="minorEastAsia"/>
                <w:color w:val="000000"/>
                <w:spacing w:val="53"/>
                <w:shd w:val="solid" w:color="000000" w:fill="000000"/>
                <w:fitText w:val="330" w:id="-621624830"/>
                <w14:textFill>
                  <w14:solidFill>
                    <w14:srgbClr w14:val="000000">
                      <w14:alpha w14:val="100000"/>
                    </w14:srgbClr>
                  </w14:solidFill>
                </w14:textFill>
              </w:rPr>
              <w:t>|||</w:t>
            </w:r>
            <w:r w:rsidRPr="00FD3ADE">
              <w:rPr>
                <w:rFonts w:eastAsiaTheme="minorEastAsia"/>
                <w:color w:val="000000"/>
                <w:spacing w:val="1"/>
                <w:shd w:val="solid" w:color="000000" w:fill="000000"/>
                <w:fitText w:val="330" w:id="-621624830"/>
                <w14:textFill>
                  <w14:solidFill>
                    <w14:srgbClr w14:val="000000">
                      <w14:alpha w14:val="100000"/>
                    </w14:srgbClr>
                  </w14:solidFill>
                </w14:textFill>
              </w:rPr>
              <w:t>|</w:t>
            </w:r>
            <w:r w:rsidR="00052D41">
              <w:rPr>
                <w:rFonts w:eastAsiaTheme="minorEastAsia"/>
              </w:rPr>
              <w:t>%</w:t>
            </w:r>
          </w:p>
          <w:p w14:paraId="16A500B7" w14:textId="7A11E30C" w:rsidR="00052D41" w:rsidRDefault="00FD3ADE" w:rsidP="00213DD5">
            <w:pPr>
              <w:pStyle w:val="TableText"/>
              <w:jc w:val="center"/>
              <w:rPr>
                <w:rFonts w:eastAsiaTheme="minorEastAsia"/>
              </w:rPr>
            </w:pPr>
            <w:r w:rsidRPr="00FD3ADE">
              <w:rPr>
                <w:rFonts w:eastAsiaTheme="minorEastAsia"/>
                <w:color w:val="000000"/>
                <w:spacing w:val="53"/>
                <w:shd w:val="solid" w:color="000000" w:fill="000000"/>
                <w:fitText w:val="330" w:id="-621624829"/>
                <w14:textFill>
                  <w14:solidFill>
                    <w14:srgbClr w14:val="000000">
                      <w14:alpha w14:val="100000"/>
                    </w14:srgbClr>
                  </w14:solidFill>
                </w14:textFill>
              </w:rPr>
              <w:t>|||</w:t>
            </w:r>
            <w:r w:rsidRPr="00FD3ADE">
              <w:rPr>
                <w:rFonts w:eastAsiaTheme="minorEastAsia"/>
                <w:color w:val="000000"/>
                <w:spacing w:val="1"/>
                <w:shd w:val="solid" w:color="000000" w:fill="000000"/>
                <w:fitText w:val="330" w:id="-621624829"/>
                <w14:textFill>
                  <w14:solidFill>
                    <w14:srgbClr w14:val="000000">
                      <w14:alpha w14:val="100000"/>
                    </w14:srgbClr>
                  </w14:solidFill>
                </w14:textFill>
              </w:rPr>
              <w:t>|</w:t>
            </w:r>
            <w:r w:rsidR="00540A85">
              <w:rPr>
                <w:rFonts w:eastAsiaTheme="minorEastAsia"/>
              </w:rPr>
              <w:t>%</w:t>
            </w:r>
          </w:p>
          <w:p w14:paraId="444DBCA2" w14:textId="427901E7" w:rsidR="00540A85" w:rsidRDefault="00FD3ADE" w:rsidP="00213DD5">
            <w:pPr>
              <w:pStyle w:val="TableText"/>
              <w:jc w:val="center"/>
              <w:rPr>
                <w:rFonts w:eastAsiaTheme="minorEastAsia"/>
              </w:rPr>
            </w:pPr>
            <w:r w:rsidRPr="00FD3ADE">
              <w:rPr>
                <w:rFonts w:eastAsiaTheme="minorEastAsia"/>
                <w:color w:val="000000"/>
                <w:spacing w:val="53"/>
                <w:shd w:val="solid" w:color="000000" w:fill="000000"/>
                <w:fitText w:val="330" w:id="-621624828"/>
                <w14:textFill>
                  <w14:solidFill>
                    <w14:srgbClr w14:val="000000">
                      <w14:alpha w14:val="100000"/>
                    </w14:srgbClr>
                  </w14:solidFill>
                </w14:textFill>
              </w:rPr>
              <w:t>|||</w:t>
            </w:r>
            <w:r w:rsidRPr="00FD3ADE">
              <w:rPr>
                <w:rFonts w:eastAsiaTheme="minorEastAsia"/>
                <w:color w:val="000000"/>
                <w:spacing w:val="1"/>
                <w:shd w:val="solid" w:color="000000" w:fill="000000"/>
                <w:fitText w:val="330" w:id="-621624828"/>
                <w14:textFill>
                  <w14:solidFill>
                    <w14:srgbClr w14:val="000000">
                      <w14:alpha w14:val="100000"/>
                    </w14:srgbClr>
                  </w14:solidFill>
                </w14:textFill>
              </w:rPr>
              <w:t>|</w:t>
            </w:r>
            <w:r w:rsidR="00540A85">
              <w:rPr>
                <w:rFonts w:eastAsiaTheme="minorEastAsia"/>
              </w:rPr>
              <w:t>%</w:t>
            </w:r>
          </w:p>
          <w:p w14:paraId="35AC7095" w14:textId="72A50DA9" w:rsidR="00540A85" w:rsidRDefault="00FD3ADE" w:rsidP="00213DD5">
            <w:pPr>
              <w:pStyle w:val="TableText"/>
              <w:jc w:val="center"/>
              <w:rPr>
                <w:rFonts w:eastAsiaTheme="minorEastAsia"/>
              </w:rPr>
            </w:pPr>
            <w:r w:rsidRPr="00FD3ADE">
              <w:rPr>
                <w:rFonts w:eastAsiaTheme="minorEastAsia"/>
                <w:color w:val="000000"/>
                <w:spacing w:val="53"/>
                <w:shd w:val="solid" w:color="000000" w:fill="000000"/>
                <w:fitText w:val="330" w:id="-621624827"/>
                <w14:textFill>
                  <w14:solidFill>
                    <w14:srgbClr w14:val="000000">
                      <w14:alpha w14:val="100000"/>
                    </w14:srgbClr>
                  </w14:solidFill>
                </w14:textFill>
              </w:rPr>
              <w:t>|||</w:t>
            </w:r>
            <w:r w:rsidRPr="00FD3ADE">
              <w:rPr>
                <w:rFonts w:eastAsiaTheme="minorEastAsia"/>
                <w:color w:val="000000"/>
                <w:spacing w:val="1"/>
                <w:shd w:val="solid" w:color="000000" w:fill="000000"/>
                <w:fitText w:val="330" w:id="-621624827"/>
                <w14:textFill>
                  <w14:solidFill>
                    <w14:srgbClr w14:val="000000">
                      <w14:alpha w14:val="100000"/>
                    </w14:srgbClr>
                  </w14:solidFill>
                </w14:textFill>
              </w:rPr>
              <w:t>|</w:t>
            </w:r>
            <w:r w:rsidR="00540A85">
              <w:rPr>
                <w:rFonts w:eastAsiaTheme="minorEastAsia"/>
              </w:rPr>
              <w:t>%</w:t>
            </w:r>
          </w:p>
        </w:tc>
        <w:tc>
          <w:tcPr>
            <w:tcW w:w="2074" w:type="dxa"/>
          </w:tcPr>
          <w:p w14:paraId="178522BD" w14:textId="77777777" w:rsidR="00240FD5" w:rsidRDefault="00240FD5" w:rsidP="00213DD5">
            <w:pPr>
              <w:pStyle w:val="TableText"/>
              <w:jc w:val="center"/>
              <w:rPr>
                <w:rFonts w:eastAsiaTheme="minorEastAsia"/>
              </w:rPr>
            </w:pPr>
          </w:p>
          <w:p w14:paraId="3F6BE97C" w14:textId="28A329F2" w:rsidR="00540A85" w:rsidRDefault="00FD3ADE" w:rsidP="00213DD5">
            <w:pPr>
              <w:pStyle w:val="TableText"/>
              <w:jc w:val="center"/>
              <w:rPr>
                <w:rFonts w:eastAsiaTheme="minorEastAsia"/>
              </w:rPr>
            </w:pPr>
            <w:r w:rsidRPr="00FD3ADE">
              <w:rPr>
                <w:rFonts w:eastAsiaTheme="minorEastAsia"/>
                <w:color w:val="000000"/>
                <w:spacing w:val="53"/>
                <w:shd w:val="solid" w:color="000000" w:fill="000000"/>
                <w:fitText w:val="330" w:id="-621624826"/>
                <w14:textFill>
                  <w14:solidFill>
                    <w14:srgbClr w14:val="000000">
                      <w14:alpha w14:val="100000"/>
                    </w14:srgbClr>
                  </w14:solidFill>
                </w14:textFill>
              </w:rPr>
              <w:t>|||</w:t>
            </w:r>
            <w:r w:rsidRPr="00FD3ADE">
              <w:rPr>
                <w:rFonts w:eastAsiaTheme="minorEastAsia"/>
                <w:color w:val="000000"/>
                <w:spacing w:val="1"/>
                <w:shd w:val="solid" w:color="000000" w:fill="000000"/>
                <w:fitText w:val="330" w:id="-621624826"/>
                <w14:textFill>
                  <w14:solidFill>
                    <w14:srgbClr w14:val="000000">
                      <w14:alpha w14:val="100000"/>
                    </w14:srgbClr>
                  </w14:solidFill>
                </w14:textFill>
              </w:rPr>
              <w:t>|</w:t>
            </w:r>
            <w:r w:rsidR="00540A85">
              <w:rPr>
                <w:rFonts w:eastAsiaTheme="minorEastAsia"/>
              </w:rPr>
              <w:t>%</w:t>
            </w:r>
          </w:p>
          <w:p w14:paraId="1312F8FB" w14:textId="77777777" w:rsidR="00540A85" w:rsidRDefault="00540A85" w:rsidP="00213DD5">
            <w:pPr>
              <w:pStyle w:val="TableText"/>
              <w:jc w:val="center"/>
              <w:rPr>
                <w:rFonts w:eastAsiaTheme="minorEastAsia"/>
              </w:rPr>
            </w:pPr>
            <w:r>
              <w:rPr>
                <w:rFonts w:eastAsiaTheme="minorEastAsia"/>
              </w:rPr>
              <w:t>-</w:t>
            </w:r>
          </w:p>
          <w:p w14:paraId="0D8BAACA" w14:textId="77777777" w:rsidR="00540A85" w:rsidRDefault="00540A85" w:rsidP="00213DD5">
            <w:pPr>
              <w:pStyle w:val="TableText"/>
              <w:jc w:val="center"/>
              <w:rPr>
                <w:rFonts w:eastAsiaTheme="minorEastAsia"/>
              </w:rPr>
            </w:pPr>
            <w:r>
              <w:rPr>
                <w:rFonts w:eastAsiaTheme="minorEastAsia"/>
              </w:rPr>
              <w:t>-</w:t>
            </w:r>
          </w:p>
          <w:p w14:paraId="35DED98A" w14:textId="77777777" w:rsidR="00540A85" w:rsidRDefault="00540A85" w:rsidP="00213DD5">
            <w:pPr>
              <w:pStyle w:val="TableText"/>
              <w:jc w:val="center"/>
              <w:rPr>
                <w:rFonts w:eastAsiaTheme="minorEastAsia"/>
              </w:rPr>
            </w:pPr>
            <w:r>
              <w:rPr>
                <w:rFonts w:eastAsiaTheme="minorEastAsia"/>
              </w:rPr>
              <w:t>-</w:t>
            </w:r>
          </w:p>
          <w:p w14:paraId="3FF50FE9" w14:textId="77777777" w:rsidR="00540A85" w:rsidRDefault="00540A85" w:rsidP="00213DD5">
            <w:pPr>
              <w:pStyle w:val="TableText"/>
              <w:jc w:val="center"/>
              <w:rPr>
                <w:rFonts w:eastAsiaTheme="minorEastAsia"/>
              </w:rPr>
            </w:pPr>
            <w:r>
              <w:rPr>
                <w:rFonts w:eastAsiaTheme="minorEastAsia"/>
              </w:rPr>
              <w:t>-</w:t>
            </w:r>
          </w:p>
          <w:p w14:paraId="3367E144" w14:textId="6D644F71" w:rsidR="00540A85" w:rsidRDefault="00FD3ADE" w:rsidP="00213DD5">
            <w:pPr>
              <w:pStyle w:val="TableText"/>
              <w:jc w:val="center"/>
              <w:rPr>
                <w:rFonts w:eastAsiaTheme="minorEastAsia"/>
              </w:rPr>
            </w:pPr>
            <w:r w:rsidRPr="00FD3ADE">
              <w:rPr>
                <w:rFonts w:eastAsiaTheme="minorEastAsia"/>
                <w:color w:val="000000"/>
                <w:spacing w:val="53"/>
                <w:shd w:val="solid" w:color="000000" w:fill="000000"/>
                <w:fitText w:val="330" w:id="-621624825"/>
                <w14:textFill>
                  <w14:solidFill>
                    <w14:srgbClr w14:val="000000">
                      <w14:alpha w14:val="100000"/>
                    </w14:srgbClr>
                  </w14:solidFill>
                </w14:textFill>
              </w:rPr>
              <w:t>|||</w:t>
            </w:r>
            <w:r w:rsidRPr="00FD3ADE">
              <w:rPr>
                <w:rFonts w:eastAsiaTheme="minorEastAsia"/>
                <w:color w:val="000000"/>
                <w:spacing w:val="1"/>
                <w:shd w:val="solid" w:color="000000" w:fill="000000"/>
                <w:fitText w:val="330" w:id="-621624825"/>
                <w14:textFill>
                  <w14:solidFill>
                    <w14:srgbClr w14:val="000000">
                      <w14:alpha w14:val="100000"/>
                    </w14:srgbClr>
                  </w14:solidFill>
                </w14:textFill>
              </w:rPr>
              <w:t>|</w:t>
            </w:r>
            <w:r w:rsidR="00540A85">
              <w:rPr>
                <w:rFonts w:eastAsiaTheme="minorEastAsia"/>
              </w:rPr>
              <w:t>%</w:t>
            </w:r>
          </w:p>
        </w:tc>
        <w:tc>
          <w:tcPr>
            <w:tcW w:w="2074" w:type="dxa"/>
          </w:tcPr>
          <w:p w14:paraId="4C746B10" w14:textId="77777777" w:rsidR="00240FD5" w:rsidRDefault="00240FD5" w:rsidP="00213DD5">
            <w:pPr>
              <w:pStyle w:val="TableText"/>
              <w:jc w:val="center"/>
              <w:rPr>
                <w:rFonts w:eastAsiaTheme="minorEastAsia"/>
              </w:rPr>
            </w:pPr>
          </w:p>
          <w:p w14:paraId="5B203B92" w14:textId="59ECB377" w:rsidR="00540A85" w:rsidRDefault="00FD3ADE" w:rsidP="00213DD5">
            <w:pPr>
              <w:pStyle w:val="TableText"/>
              <w:jc w:val="center"/>
              <w:rPr>
                <w:rFonts w:eastAsiaTheme="minorEastAsia"/>
              </w:rPr>
            </w:pPr>
            <w:r w:rsidRPr="00FD3ADE">
              <w:rPr>
                <w:rFonts w:eastAsiaTheme="minorEastAsia"/>
                <w:color w:val="000000"/>
                <w:spacing w:val="53"/>
                <w:shd w:val="solid" w:color="000000" w:fill="000000"/>
                <w:fitText w:val="330" w:id="-621624824"/>
                <w14:textFill>
                  <w14:solidFill>
                    <w14:srgbClr w14:val="000000">
                      <w14:alpha w14:val="100000"/>
                    </w14:srgbClr>
                  </w14:solidFill>
                </w14:textFill>
              </w:rPr>
              <w:t>|||</w:t>
            </w:r>
            <w:r w:rsidRPr="00FD3ADE">
              <w:rPr>
                <w:rFonts w:eastAsiaTheme="minorEastAsia"/>
                <w:color w:val="000000"/>
                <w:spacing w:val="1"/>
                <w:shd w:val="solid" w:color="000000" w:fill="000000"/>
                <w:fitText w:val="330" w:id="-621624824"/>
                <w14:textFill>
                  <w14:solidFill>
                    <w14:srgbClr w14:val="000000">
                      <w14:alpha w14:val="100000"/>
                    </w14:srgbClr>
                  </w14:solidFill>
                </w14:textFill>
              </w:rPr>
              <w:t>|</w:t>
            </w:r>
            <w:r w:rsidR="00C02068">
              <w:rPr>
                <w:rFonts w:eastAsiaTheme="minorEastAsia"/>
              </w:rPr>
              <w:t>%</w:t>
            </w:r>
          </w:p>
          <w:p w14:paraId="2827EA01" w14:textId="238C3F54" w:rsidR="00C02068" w:rsidRDefault="00FD3ADE" w:rsidP="00213DD5">
            <w:pPr>
              <w:pStyle w:val="TableText"/>
              <w:jc w:val="center"/>
              <w:rPr>
                <w:rFonts w:eastAsiaTheme="minorEastAsia"/>
              </w:rPr>
            </w:pPr>
            <w:r w:rsidRPr="00FD3ADE">
              <w:rPr>
                <w:rFonts w:eastAsiaTheme="minorEastAsia"/>
                <w:color w:val="000000"/>
                <w:spacing w:val="53"/>
                <w:shd w:val="solid" w:color="000000" w:fill="000000"/>
                <w:fitText w:val="330" w:id="-621624823"/>
                <w14:textFill>
                  <w14:solidFill>
                    <w14:srgbClr w14:val="000000">
                      <w14:alpha w14:val="100000"/>
                    </w14:srgbClr>
                  </w14:solidFill>
                </w14:textFill>
              </w:rPr>
              <w:t>|||</w:t>
            </w:r>
            <w:r w:rsidRPr="00FD3ADE">
              <w:rPr>
                <w:rFonts w:eastAsiaTheme="minorEastAsia"/>
                <w:color w:val="000000"/>
                <w:spacing w:val="1"/>
                <w:shd w:val="solid" w:color="000000" w:fill="000000"/>
                <w:fitText w:val="330" w:id="-621624823"/>
                <w14:textFill>
                  <w14:solidFill>
                    <w14:srgbClr w14:val="000000">
                      <w14:alpha w14:val="100000"/>
                    </w14:srgbClr>
                  </w14:solidFill>
                </w14:textFill>
              </w:rPr>
              <w:t>|</w:t>
            </w:r>
            <w:r w:rsidR="00C02068">
              <w:rPr>
                <w:rFonts w:eastAsiaTheme="minorEastAsia"/>
              </w:rPr>
              <w:t>%</w:t>
            </w:r>
          </w:p>
          <w:p w14:paraId="555D8094" w14:textId="7F223AEF" w:rsidR="00C02068" w:rsidRDefault="00FD3ADE" w:rsidP="00213DD5">
            <w:pPr>
              <w:pStyle w:val="TableText"/>
              <w:jc w:val="center"/>
              <w:rPr>
                <w:rFonts w:eastAsiaTheme="minorEastAsia"/>
              </w:rPr>
            </w:pPr>
            <w:r w:rsidRPr="00FD3ADE">
              <w:rPr>
                <w:rFonts w:eastAsiaTheme="minorEastAsia"/>
                <w:color w:val="000000"/>
                <w:spacing w:val="53"/>
                <w:shd w:val="solid" w:color="000000" w:fill="000000"/>
                <w:fitText w:val="330" w:id="-621624822"/>
                <w14:textFill>
                  <w14:solidFill>
                    <w14:srgbClr w14:val="000000">
                      <w14:alpha w14:val="100000"/>
                    </w14:srgbClr>
                  </w14:solidFill>
                </w14:textFill>
              </w:rPr>
              <w:t>|||</w:t>
            </w:r>
            <w:r w:rsidRPr="00FD3ADE">
              <w:rPr>
                <w:rFonts w:eastAsiaTheme="minorEastAsia"/>
                <w:color w:val="000000"/>
                <w:spacing w:val="1"/>
                <w:shd w:val="solid" w:color="000000" w:fill="000000"/>
                <w:fitText w:val="330" w:id="-621624822"/>
                <w14:textFill>
                  <w14:solidFill>
                    <w14:srgbClr w14:val="000000">
                      <w14:alpha w14:val="100000"/>
                    </w14:srgbClr>
                  </w14:solidFill>
                </w14:textFill>
              </w:rPr>
              <w:t>|</w:t>
            </w:r>
            <w:r w:rsidR="00C02068">
              <w:rPr>
                <w:rFonts w:eastAsiaTheme="minorEastAsia"/>
              </w:rPr>
              <w:t>%</w:t>
            </w:r>
          </w:p>
          <w:p w14:paraId="1637E896" w14:textId="02101DA0" w:rsidR="00C02068" w:rsidRDefault="00FD3ADE" w:rsidP="00213DD5">
            <w:pPr>
              <w:pStyle w:val="TableText"/>
              <w:jc w:val="center"/>
              <w:rPr>
                <w:rFonts w:eastAsiaTheme="minorEastAsia"/>
              </w:rPr>
            </w:pPr>
            <w:r w:rsidRPr="00FD3ADE">
              <w:rPr>
                <w:rFonts w:eastAsiaTheme="minorEastAsia"/>
                <w:color w:val="000000"/>
                <w:spacing w:val="53"/>
                <w:shd w:val="solid" w:color="000000" w:fill="000000"/>
                <w:fitText w:val="330" w:id="-621624821"/>
                <w14:textFill>
                  <w14:solidFill>
                    <w14:srgbClr w14:val="000000">
                      <w14:alpha w14:val="100000"/>
                    </w14:srgbClr>
                  </w14:solidFill>
                </w14:textFill>
              </w:rPr>
              <w:t>|||</w:t>
            </w:r>
            <w:r w:rsidRPr="00FD3ADE">
              <w:rPr>
                <w:rFonts w:eastAsiaTheme="minorEastAsia"/>
                <w:color w:val="000000"/>
                <w:spacing w:val="1"/>
                <w:shd w:val="solid" w:color="000000" w:fill="000000"/>
                <w:fitText w:val="330" w:id="-621624821"/>
                <w14:textFill>
                  <w14:solidFill>
                    <w14:srgbClr w14:val="000000">
                      <w14:alpha w14:val="100000"/>
                    </w14:srgbClr>
                  </w14:solidFill>
                </w14:textFill>
              </w:rPr>
              <w:t>|</w:t>
            </w:r>
            <w:r w:rsidR="00C02068">
              <w:rPr>
                <w:rFonts w:eastAsiaTheme="minorEastAsia"/>
              </w:rPr>
              <w:t>%</w:t>
            </w:r>
          </w:p>
          <w:p w14:paraId="02D0DC4E" w14:textId="238B338A" w:rsidR="00C02068" w:rsidRDefault="00FD3ADE" w:rsidP="00213DD5">
            <w:pPr>
              <w:pStyle w:val="TableText"/>
              <w:jc w:val="center"/>
              <w:rPr>
                <w:rFonts w:eastAsiaTheme="minorEastAsia"/>
              </w:rPr>
            </w:pPr>
            <w:r w:rsidRPr="00FD3ADE">
              <w:rPr>
                <w:rFonts w:eastAsiaTheme="minorEastAsia"/>
                <w:color w:val="000000"/>
                <w:spacing w:val="53"/>
                <w:shd w:val="solid" w:color="000000" w:fill="000000"/>
                <w:fitText w:val="330" w:id="-621624820"/>
                <w14:textFill>
                  <w14:solidFill>
                    <w14:srgbClr w14:val="000000">
                      <w14:alpha w14:val="100000"/>
                    </w14:srgbClr>
                  </w14:solidFill>
                </w14:textFill>
              </w:rPr>
              <w:t>|||</w:t>
            </w:r>
            <w:r w:rsidRPr="00FD3ADE">
              <w:rPr>
                <w:rFonts w:eastAsiaTheme="minorEastAsia"/>
                <w:color w:val="000000"/>
                <w:spacing w:val="1"/>
                <w:shd w:val="solid" w:color="000000" w:fill="000000"/>
                <w:fitText w:val="330" w:id="-621624820"/>
                <w14:textFill>
                  <w14:solidFill>
                    <w14:srgbClr w14:val="000000">
                      <w14:alpha w14:val="100000"/>
                    </w14:srgbClr>
                  </w14:solidFill>
                </w14:textFill>
              </w:rPr>
              <w:t>|</w:t>
            </w:r>
            <w:r w:rsidR="00C02068">
              <w:rPr>
                <w:rFonts w:eastAsiaTheme="minorEastAsia"/>
              </w:rPr>
              <w:t>%</w:t>
            </w:r>
          </w:p>
          <w:p w14:paraId="3339BF14" w14:textId="5BD8456F" w:rsidR="00C02068" w:rsidRDefault="00FD3ADE" w:rsidP="00213DD5">
            <w:pPr>
              <w:pStyle w:val="TableText"/>
              <w:jc w:val="center"/>
              <w:rPr>
                <w:rFonts w:eastAsiaTheme="minorEastAsia"/>
              </w:rPr>
            </w:pPr>
            <w:r w:rsidRPr="007746F5">
              <w:rPr>
                <w:rFonts w:eastAsiaTheme="minorEastAsia"/>
                <w:color w:val="000000"/>
                <w:spacing w:val="53"/>
                <w:shd w:val="solid" w:color="000000" w:fill="000000"/>
                <w:fitText w:val="330" w:id="-621624819"/>
                <w14:textFill>
                  <w14:solidFill>
                    <w14:srgbClr w14:val="000000">
                      <w14:alpha w14:val="100000"/>
                    </w14:srgbClr>
                  </w14:solidFill>
                </w14:textFill>
              </w:rPr>
              <w:t>|||</w:t>
            </w:r>
            <w:r w:rsidRPr="007746F5">
              <w:rPr>
                <w:rFonts w:eastAsiaTheme="minorEastAsia"/>
                <w:color w:val="000000"/>
                <w:spacing w:val="1"/>
                <w:shd w:val="solid" w:color="000000" w:fill="000000"/>
                <w:fitText w:val="330" w:id="-621624819"/>
                <w14:textFill>
                  <w14:solidFill>
                    <w14:srgbClr w14:val="000000">
                      <w14:alpha w14:val="100000"/>
                    </w14:srgbClr>
                  </w14:solidFill>
                </w14:textFill>
              </w:rPr>
              <w:t>|</w:t>
            </w:r>
            <w:r w:rsidR="00C02068">
              <w:rPr>
                <w:rFonts w:eastAsiaTheme="minorEastAsia"/>
              </w:rPr>
              <w:t>%</w:t>
            </w:r>
          </w:p>
        </w:tc>
      </w:tr>
    </w:tbl>
    <w:p w14:paraId="3C9F4F03" w14:textId="7C85CC8C" w:rsidR="007D02F1" w:rsidRDefault="00C02068" w:rsidP="00213DD5">
      <w:pPr>
        <w:pStyle w:val="TableFigureFooter"/>
        <w:rPr>
          <w:rFonts w:eastAsiaTheme="minorEastAsia"/>
        </w:rPr>
      </w:pPr>
      <w:r>
        <w:rPr>
          <w:rFonts w:eastAsiaTheme="minorEastAsia"/>
        </w:rPr>
        <w:t xml:space="preserve">Source:  </w:t>
      </w:r>
      <w:r w:rsidR="007D02F1">
        <w:rPr>
          <w:rFonts w:eastAsiaTheme="minorEastAsia"/>
        </w:rPr>
        <w:t xml:space="preserve">P16 of the July 2025 early re-entry resubmission </w:t>
      </w:r>
      <w:r>
        <w:rPr>
          <w:rFonts w:eastAsiaTheme="minorEastAsia"/>
        </w:rPr>
        <w:t>and Resubmission</w:t>
      </w:r>
      <w:r w:rsidR="004564B4">
        <w:rPr>
          <w:rFonts w:eastAsiaTheme="minorEastAsia"/>
        </w:rPr>
        <w:t xml:space="preserve"> </w:t>
      </w:r>
      <w:r w:rsidR="00C352D0">
        <w:rPr>
          <w:rFonts w:eastAsiaTheme="minorEastAsia"/>
        </w:rPr>
        <w:t>Palopegteriparatide</w:t>
      </w:r>
      <w:r w:rsidR="004564B4">
        <w:rPr>
          <w:rFonts w:eastAsiaTheme="minorEastAsia"/>
        </w:rPr>
        <w:t xml:space="preserve"> </w:t>
      </w:r>
      <w:proofErr w:type="spellStart"/>
      <w:r>
        <w:rPr>
          <w:rFonts w:eastAsiaTheme="minorEastAsia"/>
        </w:rPr>
        <w:t>BIM</w:t>
      </w:r>
      <w:r w:rsidR="007D02F1">
        <w:rPr>
          <w:rFonts w:eastAsiaTheme="minorEastAsia"/>
        </w:rPr>
        <w:t>.xlxs</w:t>
      </w:r>
      <w:proofErr w:type="spellEnd"/>
    </w:p>
    <w:p w14:paraId="68A37901" w14:textId="67EF6F41" w:rsidR="00B2445C" w:rsidRDefault="00AC31E8" w:rsidP="00213DD5">
      <w:pPr>
        <w:pStyle w:val="3-BodyText"/>
        <w:rPr>
          <w:rFonts w:eastAsiaTheme="minorEastAsia"/>
        </w:rPr>
      </w:pPr>
      <w:r>
        <w:rPr>
          <w:rFonts w:eastAsiaTheme="minorEastAsia"/>
        </w:rPr>
        <w:t xml:space="preserve">PBS prescribing data </w:t>
      </w:r>
      <w:r w:rsidR="00486A03">
        <w:rPr>
          <w:rFonts w:eastAsiaTheme="minorEastAsia"/>
        </w:rPr>
        <w:t xml:space="preserve">of calcitriol </w:t>
      </w:r>
      <w:r>
        <w:rPr>
          <w:rFonts w:eastAsiaTheme="minorEastAsia"/>
        </w:rPr>
        <w:t>were used to estimate the p</w:t>
      </w:r>
      <w:r w:rsidR="0087629B">
        <w:rPr>
          <w:rFonts w:eastAsiaTheme="minorEastAsia"/>
        </w:rPr>
        <w:t xml:space="preserve">revalence of HPT in the March 2025 submission. </w:t>
      </w:r>
      <w:r w:rsidR="003B2C67">
        <w:rPr>
          <w:rFonts w:eastAsiaTheme="minorEastAsia"/>
        </w:rPr>
        <w:t>In March 2025, t</w:t>
      </w:r>
      <w:r w:rsidR="005D4B22">
        <w:rPr>
          <w:rFonts w:eastAsiaTheme="minorEastAsia"/>
        </w:rPr>
        <w:t>he DUSC considered that the inclusion of the streamline</w:t>
      </w:r>
      <w:r w:rsidR="001F57BF">
        <w:rPr>
          <w:rFonts w:eastAsiaTheme="minorEastAsia"/>
        </w:rPr>
        <w:t>d</w:t>
      </w:r>
      <w:r w:rsidR="005D4B22">
        <w:rPr>
          <w:rFonts w:eastAsiaTheme="minorEastAsia"/>
        </w:rPr>
        <w:t xml:space="preserve"> authority code for the use of calcitriol for hypocalcaemia</w:t>
      </w:r>
      <w:r w:rsidR="0048770B">
        <w:rPr>
          <w:rFonts w:eastAsiaTheme="minorEastAsia"/>
        </w:rPr>
        <w:t xml:space="preserve"> was inappropriate, as it was specific for patients with hypocalcaemia due to renal disease, not HPT</w:t>
      </w:r>
      <w:r w:rsidR="002108C6">
        <w:rPr>
          <w:rFonts w:eastAsiaTheme="minorEastAsia"/>
        </w:rPr>
        <w:t>.</w:t>
      </w:r>
    </w:p>
    <w:p w14:paraId="4B7161B6" w14:textId="666FA2B1" w:rsidR="00994DF4" w:rsidRPr="001F57BF" w:rsidRDefault="002108C6" w:rsidP="00213DD5">
      <w:pPr>
        <w:pStyle w:val="3-BodyText"/>
        <w:rPr>
          <w:rFonts w:eastAsiaTheme="minorEastAsia"/>
        </w:rPr>
      </w:pPr>
      <w:r w:rsidRPr="001F57BF">
        <w:rPr>
          <w:rFonts w:eastAsiaTheme="minorEastAsia"/>
        </w:rPr>
        <w:t xml:space="preserve">The early re-entry resubmission </w:t>
      </w:r>
      <w:r w:rsidR="00EB7DD5" w:rsidRPr="001F57BF">
        <w:rPr>
          <w:rFonts w:eastAsiaTheme="minorEastAsia"/>
        </w:rPr>
        <w:t>stated that some patients are dispensed calci</w:t>
      </w:r>
      <w:r w:rsidR="00486A03" w:rsidRPr="001F57BF">
        <w:rPr>
          <w:rFonts w:eastAsiaTheme="minorEastAsia"/>
        </w:rPr>
        <w:t>t</w:t>
      </w:r>
      <w:r w:rsidR="00EB7DD5" w:rsidRPr="001F57BF">
        <w:rPr>
          <w:rFonts w:eastAsiaTheme="minorEastAsia"/>
        </w:rPr>
        <w:t xml:space="preserve">riol using the </w:t>
      </w:r>
      <w:r w:rsidR="00D161A8">
        <w:rPr>
          <w:rFonts w:eastAsiaTheme="minorEastAsia"/>
        </w:rPr>
        <w:t>HPT</w:t>
      </w:r>
      <w:r w:rsidR="00D161A8" w:rsidRPr="001F57BF">
        <w:rPr>
          <w:rFonts w:eastAsiaTheme="minorEastAsia"/>
        </w:rPr>
        <w:t xml:space="preserve"> </w:t>
      </w:r>
      <w:r w:rsidR="00EB7DD5" w:rsidRPr="001F57BF">
        <w:rPr>
          <w:rFonts w:eastAsiaTheme="minorEastAsia"/>
        </w:rPr>
        <w:t xml:space="preserve">authority code, and some are dispensed using the </w:t>
      </w:r>
      <w:r w:rsidR="003B7EA6" w:rsidRPr="001F57BF">
        <w:rPr>
          <w:rFonts w:eastAsiaTheme="minorEastAsia"/>
        </w:rPr>
        <w:t>hypocalcaemia code</w:t>
      </w:r>
      <w:r w:rsidR="00557827" w:rsidRPr="001F57BF">
        <w:rPr>
          <w:rFonts w:eastAsiaTheme="minorEastAsia"/>
        </w:rPr>
        <w:t>. T</w:t>
      </w:r>
      <w:r w:rsidR="003B7EA6" w:rsidRPr="001F57BF">
        <w:rPr>
          <w:rFonts w:eastAsiaTheme="minorEastAsia"/>
        </w:rPr>
        <w:t>herefore</w:t>
      </w:r>
      <w:r w:rsidR="00994DF4" w:rsidRPr="001F57BF">
        <w:rPr>
          <w:rFonts w:eastAsiaTheme="minorEastAsia"/>
        </w:rPr>
        <w:t>,</w:t>
      </w:r>
      <w:r w:rsidR="003B7EA6" w:rsidRPr="001F57BF">
        <w:rPr>
          <w:rFonts w:eastAsiaTheme="minorEastAsia"/>
        </w:rPr>
        <w:t xml:space="preserve"> a disp</w:t>
      </w:r>
      <w:r w:rsidR="00466EF9">
        <w:rPr>
          <w:rFonts w:eastAsiaTheme="minorEastAsia"/>
        </w:rPr>
        <w:t>en</w:t>
      </w:r>
      <w:r w:rsidR="003B7EA6" w:rsidRPr="001F57BF">
        <w:rPr>
          <w:rFonts w:eastAsiaTheme="minorEastAsia"/>
        </w:rPr>
        <w:t>sing of calcitriol to the hypocalcaemia code does not necessarily rule out HPT</w:t>
      </w:r>
      <w:r w:rsidR="00557827" w:rsidRPr="001F57BF">
        <w:rPr>
          <w:rFonts w:eastAsiaTheme="minorEastAsia"/>
        </w:rPr>
        <w:t>, especially if that patient has also been prescribed calcitriol under the HPT code.</w:t>
      </w:r>
      <w:r w:rsidR="001F57BF" w:rsidRPr="001F57BF">
        <w:rPr>
          <w:rFonts w:eastAsiaTheme="minorEastAsia"/>
        </w:rPr>
        <w:t xml:space="preserve"> </w:t>
      </w:r>
      <w:r w:rsidR="00994DF4" w:rsidRPr="001F57BF">
        <w:rPr>
          <w:rFonts w:eastAsiaTheme="minorEastAsia"/>
        </w:rPr>
        <w:t>The resubmission stated that the analysis by DUSC ignore</w:t>
      </w:r>
      <w:r w:rsidR="000543DA">
        <w:rPr>
          <w:rFonts w:eastAsiaTheme="minorEastAsia"/>
        </w:rPr>
        <w:t>d</w:t>
      </w:r>
      <w:r w:rsidR="00994DF4" w:rsidRPr="001F57BF">
        <w:rPr>
          <w:rFonts w:eastAsiaTheme="minorEastAsia"/>
        </w:rPr>
        <w:t xml:space="preserve"> all calcitriol dispensing coded to hypocalcaemia</w:t>
      </w:r>
      <w:r w:rsidR="00C62C1E" w:rsidRPr="001F57BF">
        <w:rPr>
          <w:rFonts w:eastAsiaTheme="minorEastAsia"/>
        </w:rPr>
        <w:t xml:space="preserve">, </w:t>
      </w:r>
      <w:r w:rsidR="005517C0" w:rsidRPr="001F57BF">
        <w:rPr>
          <w:rFonts w:eastAsiaTheme="minorEastAsia"/>
        </w:rPr>
        <w:t>underestimating the true prevalence of chronic HPT.</w:t>
      </w:r>
    </w:p>
    <w:p w14:paraId="567DEA2E" w14:textId="73A73CB2" w:rsidR="00DD4E09" w:rsidRDefault="005517C0" w:rsidP="00213DD5">
      <w:pPr>
        <w:pStyle w:val="3-BodyText"/>
        <w:rPr>
          <w:rFonts w:eastAsiaTheme="minorEastAsia"/>
        </w:rPr>
      </w:pPr>
      <w:bookmarkStart w:id="17" w:name="_Ref205544004"/>
      <w:r>
        <w:rPr>
          <w:rFonts w:eastAsiaTheme="minorEastAsia"/>
        </w:rPr>
        <w:t xml:space="preserve">The resubmission acknowledged that the estimate of 37.2 per 100,000 </w:t>
      </w:r>
      <w:r w:rsidR="00B322F6">
        <w:rPr>
          <w:rFonts w:eastAsiaTheme="minorEastAsia"/>
        </w:rPr>
        <w:t xml:space="preserve">was at the higher end of prevalence rates reported in the literature and considered that the DUSC estimate of 30.1 </w:t>
      </w:r>
      <w:r w:rsidR="005E0CD0">
        <w:rPr>
          <w:rFonts w:eastAsiaTheme="minorEastAsia"/>
        </w:rPr>
        <w:t>p</w:t>
      </w:r>
      <w:r w:rsidR="00B322F6">
        <w:rPr>
          <w:rFonts w:eastAsiaTheme="minorEastAsia"/>
        </w:rPr>
        <w:t>er 100</w:t>
      </w:r>
      <w:r w:rsidR="005E0CD0">
        <w:rPr>
          <w:rFonts w:eastAsiaTheme="minorEastAsia"/>
        </w:rPr>
        <w:t xml:space="preserve">,000 was at the lower end. Therefore, the early re-entry resubmission proposed an estimate of 33.65 per 100,000, which was </w:t>
      </w:r>
      <w:r w:rsidR="00DD4E09">
        <w:rPr>
          <w:rFonts w:eastAsiaTheme="minorEastAsia"/>
        </w:rPr>
        <w:t>halfway</w:t>
      </w:r>
      <w:r w:rsidR="00240FD5">
        <w:rPr>
          <w:rFonts w:eastAsiaTheme="minorEastAsia"/>
        </w:rPr>
        <w:t xml:space="preserve"> between the two estimates</w:t>
      </w:r>
      <w:r w:rsidR="00DD4E09">
        <w:rPr>
          <w:rFonts w:eastAsiaTheme="minorEastAsia"/>
        </w:rPr>
        <w:t>.</w:t>
      </w:r>
      <w:bookmarkEnd w:id="17"/>
    </w:p>
    <w:p w14:paraId="0E7D075C" w14:textId="3792105B" w:rsidR="001F57BF" w:rsidRPr="00937471" w:rsidRDefault="001F57BF" w:rsidP="00213DD5">
      <w:pPr>
        <w:pStyle w:val="3-BodyText"/>
        <w:rPr>
          <w:rFonts w:eastAsiaTheme="minorEastAsia"/>
        </w:rPr>
      </w:pPr>
      <w:r>
        <w:rPr>
          <w:rFonts w:eastAsiaTheme="minorEastAsia"/>
        </w:rPr>
        <w:t xml:space="preserve">The early re-entry resubmission amended the uptake rates as requested by the PBAC (see </w:t>
      </w:r>
      <w:r>
        <w:rPr>
          <w:rFonts w:eastAsiaTheme="minorEastAsia"/>
        </w:rPr>
        <w:fldChar w:fldCharType="begin"/>
      </w:r>
      <w:r>
        <w:rPr>
          <w:rFonts w:eastAsiaTheme="minorEastAsia"/>
        </w:rPr>
        <w:instrText xml:space="preserve"> REF _Ref197510315 \h </w:instrText>
      </w:r>
      <w:r>
        <w:rPr>
          <w:rFonts w:eastAsiaTheme="minorEastAsia"/>
        </w:rPr>
      </w:r>
      <w:r>
        <w:rPr>
          <w:rFonts w:eastAsiaTheme="minorEastAsia"/>
        </w:rPr>
        <w:fldChar w:fldCharType="separate"/>
      </w:r>
      <w:r w:rsidR="005F7320">
        <w:t xml:space="preserve">Table </w:t>
      </w:r>
      <w:r w:rsidR="005F7320">
        <w:rPr>
          <w:noProof/>
        </w:rPr>
        <w:t>3</w:t>
      </w:r>
      <w:r>
        <w:rPr>
          <w:rFonts w:eastAsiaTheme="minorEastAsia"/>
        </w:rPr>
        <w:fldChar w:fldCharType="end"/>
      </w:r>
      <w:r w:rsidR="00E35383">
        <w:rPr>
          <w:rFonts w:eastAsiaTheme="minorEastAsia"/>
        </w:rPr>
        <w:t>).</w:t>
      </w:r>
    </w:p>
    <w:p w14:paraId="50A11707" w14:textId="7E159D3B" w:rsidR="004D2FE8" w:rsidRPr="00222E0B" w:rsidRDefault="004D2FE8" w:rsidP="00213DD5">
      <w:pPr>
        <w:pStyle w:val="TableFigureHeading"/>
      </w:pPr>
      <w:r w:rsidRPr="00222E0B">
        <w:t xml:space="preserve">Table </w:t>
      </w:r>
      <w:r w:rsidR="00251729">
        <w:fldChar w:fldCharType="begin"/>
      </w:r>
      <w:r w:rsidR="00251729">
        <w:instrText xml:space="preserve"> SEQ Table \* ARABIC </w:instrText>
      </w:r>
      <w:r w:rsidR="00251729">
        <w:fldChar w:fldCharType="separate"/>
      </w:r>
      <w:r w:rsidR="005F7320">
        <w:rPr>
          <w:noProof/>
        </w:rPr>
        <w:t>4</w:t>
      </w:r>
      <w:r w:rsidR="00251729">
        <w:rPr>
          <w:noProof/>
        </w:rPr>
        <w:fldChar w:fldCharType="end"/>
      </w:r>
      <w:r w:rsidRPr="00222E0B">
        <w:t xml:space="preserve">: </w:t>
      </w:r>
      <w:r w:rsidR="00925B6E" w:rsidRPr="00222E0B">
        <w:t>Revised e</w:t>
      </w:r>
      <w:r w:rsidRPr="00222E0B">
        <w:t>stimated u</w:t>
      </w:r>
      <w:r w:rsidR="00925B6E" w:rsidRPr="00222E0B">
        <w:t xml:space="preserve">tilisation </w:t>
      </w:r>
      <w:r w:rsidRPr="00222E0B">
        <w:t>and financial implications</w:t>
      </w:r>
    </w:p>
    <w:tbl>
      <w:tblPr>
        <w:tblStyle w:val="TableGrid"/>
        <w:tblW w:w="0" w:type="auto"/>
        <w:tblLook w:val="04A0" w:firstRow="1" w:lastRow="0" w:firstColumn="1" w:lastColumn="0" w:noHBand="0" w:noVBand="1"/>
        <w:tblCaption w:val="Table 4: Revised estimated utilisation and financial implications"/>
      </w:tblPr>
      <w:tblGrid>
        <w:gridCol w:w="2242"/>
        <w:gridCol w:w="1014"/>
        <w:gridCol w:w="1244"/>
        <w:gridCol w:w="1129"/>
        <w:gridCol w:w="1129"/>
        <w:gridCol w:w="1129"/>
        <w:gridCol w:w="1129"/>
      </w:tblGrid>
      <w:tr w:rsidR="004D2FE8" w:rsidRPr="00222E0B" w14:paraId="776B790E" w14:textId="77777777" w:rsidTr="00751424">
        <w:tc>
          <w:tcPr>
            <w:tcW w:w="2242" w:type="dxa"/>
            <w:tcMar>
              <w:left w:w="20" w:type="dxa"/>
              <w:right w:w="20" w:type="dxa"/>
            </w:tcMar>
          </w:tcPr>
          <w:p w14:paraId="4EFD3BE9" w14:textId="77777777" w:rsidR="004D2FE8" w:rsidRPr="00222E0B" w:rsidRDefault="004D2FE8" w:rsidP="00213DD5">
            <w:pPr>
              <w:pStyle w:val="TableText"/>
            </w:pPr>
          </w:p>
        </w:tc>
        <w:tc>
          <w:tcPr>
            <w:tcW w:w="1014" w:type="dxa"/>
            <w:tcMar>
              <w:left w:w="20" w:type="dxa"/>
              <w:right w:w="20" w:type="dxa"/>
            </w:tcMar>
            <w:vAlign w:val="center"/>
          </w:tcPr>
          <w:p w14:paraId="63F047B6" w14:textId="77777777" w:rsidR="004D2FE8" w:rsidRPr="00222E0B" w:rsidRDefault="004D2FE8" w:rsidP="00213DD5">
            <w:pPr>
              <w:pStyle w:val="In-tableHeading"/>
              <w:jc w:val="center"/>
            </w:pPr>
            <w:r w:rsidRPr="00222E0B">
              <w:t>Year 1</w:t>
            </w:r>
          </w:p>
        </w:tc>
        <w:tc>
          <w:tcPr>
            <w:tcW w:w="1244" w:type="dxa"/>
            <w:tcMar>
              <w:left w:w="20" w:type="dxa"/>
              <w:right w:w="20" w:type="dxa"/>
            </w:tcMar>
            <w:vAlign w:val="center"/>
          </w:tcPr>
          <w:p w14:paraId="13FC0ACE" w14:textId="77777777" w:rsidR="004D2FE8" w:rsidRPr="00222E0B" w:rsidRDefault="004D2FE8" w:rsidP="00213DD5">
            <w:pPr>
              <w:pStyle w:val="In-tableHeading"/>
              <w:jc w:val="center"/>
            </w:pPr>
            <w:r w:rsidRPr="00222E0B">
              <w:t>Year 2</w:t>
            </w:r>
          </w:p>
        </w:tc>
        <w:tc>
          <w:tcPr>
            <w:tcW w:w="1129" w:type="dxa"/>
            <w:tcMar>
              <w:left w:w="20" w:type="dxa"/>
              <w:right w:w="20" w:type="dxa"/>
            </w:tcMar>
            <w:vAlign w:val="center"/>
          </w:tcPr>
          <w:p w14:paraId="473733B6" w14:textId="77777777" w:rsidR="004D2FE8" w:rsidRPr="00222E0B" w:rsidRDefault="004D2FE8" w:rsidP="00213DD5">
            <w:pPr>
              <w:pStyle w:val="In-tableHeading"/>
              <w:jc w:val="center"/>
            </w:pPr>
            <w:r w:rsidRPr="00222E0B">
              <w:t>Year 3</w:t>
            </w:r>
          </w:p>
        </w:tc>
        <w:tc>
          <w:tcPr>
            <w:tcW w:w="1129" w:type="dxa"/>
            <w:tcMar>
              <w:left w:w="20" w:type="dxa"/>
              <w:right w:w="20" w:type="dxa"/>
            </w:tcMar>
            <w:vAlign w:val="center"/>
          </w:tcPr>
          <w:p w14:paraId="2BC7B3C5" w14:textId="77777777" w:rsidR="004D2FE8" w:rsidRPr="00222E0B" w:rsidRDefault="004D2FE8" w:rsidP="00213DD5">
            <w:pPr>
              <w:pStyle w:val="In-tableHeading"/>
              <w:jc w:val="center"/>
            </w:pPr>
            <w:r w:rsidRPr="00222E0B">
              <w:t>Year 4</w:t>
            </w:r>
          </w:p>
        </w:tc>
        <w:tc>
          <w:tcPr>
            <w:tcW w:w="1129" w:type="dxa"/>
            <w:tcMar>
              <w:left w:w="20" w:type="dxa"/>
              <w:right w:w="20" w:type="dxa"/>
            </w:tcMar>
            <w:vAlign w:val="center"/>
          </w:tcPr>
          <w:p w14:paraId="27486090" w14:textId="77777777" w:rsidR="004D2FE8" w:rsidRPr="00222E0B" w:rsidRDefault="004D2FE8" w:rsidP="00213DD5">
            <w:pPr>
              <w:pStyle w:val="In-tableHeading"/>
              <w:jc w:val="center"/>
            </w:pPr>
            <w:r w:rsidRPr="00222E0B">
              <w:t>Year 5</w:t>
            </w:r>
          </w:p>
        </w:tc>
        <w:tc>
          <w:tcPr>
            <w:tcW w:w="1129" w:type="dxa"/>
            <w:tcMar>
              <w:left w:w="20" w:type="dxa"/>
              <w:right w:w="20" w:type="dxa"/>
            </w:tcMar>
          </w:tcPr>
          <w:p w14:paraId="1EAD3F8B" w14:textId="77777777" w:rsidR="004D2FE8" w:rsidRPr="00222E0B" w:rsidRDefault="004D2FE8" w:rsidP="00213DD5">
            <w:pPr>
              <w:pStyle w:val="In-tableHeading"/>
              <w:jc w:val="center"/>
            </w:pPr>
            <w:r w:rsidRPr="00222E0B">
              <w:t>Year 6</w:t>
            </w:r>
          </w:p>
        </w:tc>
      </w:tr>
      <w:tr w:rsidR="004D2FE8" w:rsidRPr="00222E0B" w14:paraId="0FA222FA" w14:textId="77777777" w:rsidTr="00222E0B">
        <w:tc>
          <w:tcPr>
            <w:tcW w:w="9016" w:type="dxa"/>
            <w:gridSpan w:val="7"/>
            <w:tcMar>
              <w:left w:w="20" w:type="dxa"/>
              <w:right w:w="20" w:type="dxa"/>
            </w:tcMar>
          </w:tcPr>
          <w:p w14:paraId="71100BD0" w14:textId="77777777" w:rsidR="004D2FE8" w:rsidRPr="00222E0B" w:rsidRDefault="004D2FE8" w:rsidP="00213DD5">
            <w:pPr>
              <w:pStyle w:val="In-tableHeading"/>
            </w:pPr>
            <w:r w:rsidRPr="00222E0B">
              <w:rPr>
                <w:lang w:eastAsia="en-US"/>
              </w:rPr>
              <w:t>Estimated extent of use</w:t>
            </w:r>
          </w:p>
        </w:tc>
      </w:tr>
      <w:tr w:rsidR="00397663" w:rsidRPr="00222E0B" w14:paraId="77E7D4B2" w14:textId="77777777" w:rsidTr="00751424">
        <w:tc>
          <w:tcPr>
            <w:tcW w:w="2242" w:type="dxa"/>
            <w:tcMar>
              <w:left w:w="20" w:type="dxa"/>
              <w:right w:w="20" w:type="dxa"/>
            </w:tcMar>
            <w:vAlign w:val="center"/>
          </w:tcPr>
          <w:p w14:paraId="2E2F6ABC" w14:textId="30A4BC09" w:rsidR="00397663" w:rsidRPr="00222E0B" w:rsidRDefault="00397663" w:rsidP="00213DD5">
            <w:pPr>
              <w:pStyle w:val="TableText"/>
            </w:pPr>
            <w:r w:rsidRPr="00222E0B">
              <w:t>Patients treated</w:t>
            </w:r>
          </w:p>
        </w:tc>
        <w:tc>
          <w:tcPr>
            <w:tcW w:w="1014" w:type="dxa"/>
            <w:tcMar>
              <w:left w:w="20" w:type="dxa"/>
              <w:right w:w="20" w:type="dxa"/>
            </w:tcMar>
            <w:vAlign w:val="center"/>
          </w:tcPr>
          <w:p w14:paraId="6C1E8510" w14:textId="3160312E" w:rsidR="00397663" w:rsidRPr="00751424" w:rsidRDefault="00FD3ADE" w:rsidP="00213DD5">
            <w:pPr>
              <w:pStyle w:val="TableText"/>
              <w:jc w:val="center"/>
              <w:rPr>
                <w:highlight w:val="darkGray"/>
                <w:vertAlign w:val="superscript"/>
              </w:rPr>
            </w:pPr>
            <w:r w:rsidRPr="00FD3ADE">
              <w:rPr>
                <w:color w:val="000000"/>
                <w:spacing w:val="53"/>
                <w:shd w:val="solid" w:color="000000" w:fill="000000"/>
                <w:fitText w:val="330" w:id="-621624818"/>
                <w14:textFill>
                  <w14:solidFill>
                    <w14:srgbClr w14:val="000000">
                      <w14:alpha w14:val="100000"/>
                    </w14:srgbClr>
                  </w14:solidFill>
                </w14:textFill>
              </w:rPr>
              <w:t>|||</w:t>
            </w:r>
            <w:r w:rsidRPr="00FD3ADE">
              <w:rPr>
                <w:color w:val="000000"/>
                <w:spacing w:val="1"/>
                <w:shd w:val="solid" w:color="000000" w:fill="000000"/>
                <w:fitText w:val="330" w:id="-621624818"/>
                <w14:textFill>
                  <w14:solidFill>
                    <w14:srgbClr w14:val="000000">
                      <w14:alpha w14:val="100000"/>
                    </w14:srgbClr>
                  </w14:solidFill>
                </w14:textFill>
              </w:rPr>
              <w:t>|</w:t>
            </w:r>
            <w:r w:rsidR="009A0481" w:rsidRPr="00751424">
              <w:rPr>
                <w:vertAlign w:val="superscript"/>
              </w:rPr>
              <w:t>1</w:t>
            </w:r>
          </w:p>
        </w:tc>
        <w:tc>
          <w:tcPr>
            <w:tcW w:w="1244" w:type="dxa"/>
            <w:tcMar>
              <w:left w:w="20" w:type="dxa"/>
              <w:right w:w="20" w:type="dxa"/>
            </w:tcMar>
            <w:vAlign w:val="center"/>
          </w:tcPr>
          <w:p w14:paraId="69E39DB0" w14:textId="34BA1EDF" w:rsidR="00397663" w:rsidRPr="00751424" w:rsidRDefault="00FD3ADE" w:rsidP="00213DD5">
            <w:pPr>
              <w:pStyle w:val="TableText"/>
              <w:jc w:val="center"/>
              <w:rPr>
                <w:highlight w:val="darkGray"/>
              </w:rPr>
            </w:pPr>
            <w:r w:rsidRPr="00FD3ADE">
              <w:rPr>
                <w:color w:val="000000"/>
                <w:spacing w:val="53"/>
                <w:shd w:val="solid" w:color="000000" w:fill="000000"/>
                <w:fitText w:val="330" w:id="-621624817"/>
                <w14:textFill>
                  <w14:solidFill>
                    <w14:srgbClr w14:val="000000">
                      <w14:alpha w14:val="100000"/>
                    </w14:srgbClr>
                  </w14:solidFill>
                </w14:textFill>
              </w:rPr>
              <w:t>|||</w:t>
            </w:r>
            <w:r w:rsidRPr="00FD3ADE">
              <w:rPr>
                <w:color w:val="000000"/>
                <w:spacing w:val="1"/>
                <w:shd w:val="solid" w:color="000000" w:fill="000000"/>
                <w:fitText w:val="330" w:id="-621624817"/>
                <w14:textFill>
                  <w14:solidFill>
                    <w14:srgbClr w14:val="000000">
                      <w14:alpha w14:val="100000"/>
                    </w14:srgbClr>
                  </w14:solidFill>
                </w14:textFill>
              </w:rPr>
              <w:t>|</w:t>
            </w:r>
            <w:r w:rsidR="009A0481" w:rsidRPr="004F3B66">
              <w:rPr>
                <w:vertAlign w:val="superscript"/>
              </w:rPr>
              <w:t>1</w:t>
            </w:r>
          </w:p>
        </w:tc>
        <w:tc>
          <w:tcPr>
            <w:tcW w:w="1129" w:type="dxa"/>
            <w:tcMar>
              <w:left w:w="20" w:type="dxa"/>
              <w:right w:w="20" w:type="dxa"/>
            </w:tcMar>
            <w:vAlign w:val="center"/>
          </w:tcPr>
          <w:p w14:paraId="5C2551E9" w14:textId="15CEC800" w:rsidR="00397663" w:rsidRPr="00751424" w:rsidRDefault="00FD3ADE" w:rsidP="00213DD5">
            <w:pPr>
              <w:pStyle w:val="TableText"/>
              <w:jc w:val="center"/>
              <w:rPr>
                <w:highlight w:val="darkGray"/>
              </w:rPr>
            </w:pPr>
            <w:r w:rsidRPr="00FD3ADE">
              <w:rPr>
                <w:color w:val="000000"/>
                <w:spacing w:val="53"/>
                <w:shd w:val="solid" w:color="000000" w:fill="000000"/>
                <w:fitText w:val="330" w:id="-621624816"/>
                <w14:textFill>
                  <w14:solidFill>
                    <w14:srgbClr w14:val="000000">
                      <w14:alpha w14:val="100000"/>
                    </w14:srgbClr>
                  </w14:solidFill>
                </w14:textFill>
              </w:rPr>
              <w:t>|||</w:t>
            </w:r>
            <w:r w:rsidRPr="00FD3ADE">
              <w:rPr>
                <w:color w:val="000000"/>
                <w:spacing w:val="1"/>
                <w:shd w:val="solid" w:color="000000" w:fill="000000"/>
                <w:fitText w:val="330" w:id="-621624816"/>
                <w14:textFill>
                  <w14:solidFill>
                    <w14:srgbClr w14:val="000000">
                      <w14:alpha w14:val="100000"/>
                    </w14:srgbClr>
                  </w14:solidFill>
                </w14:textFill>
              </w:rPr>
              <w:t>|</w:t>
            </w:r>
            <w:r w:rsidR="009A0481" w:rsidRPr="004F3B66">
              <w:rPr>
                <w:vertAlign w:val="superscript"/>
              </w:rPr>
              <w:t>1</w:t>
            </w:r>
          </w:p>
        </w:tc>
        <w:tc>
          <w:tcPr>
            <w:tcW w:w="1129" w:type="dxa"/>
            <w:tcMar>
              <w:left w:w="20" w:type="dxa"/>
              <w:right w:w="20" w:type="dxa"/>
            </w:tcMar>
            <w:vAlign w:val="center"/>
          </w:tcPr>
          <w:p w14:paraId="1EC443D8" w14:textId="43910AAA" w:rsidR="00397663" w:rsidRPr="00751424" w:rsidRDefault="00FD3ADE" w:rsidP="00213DD5">
            <w:pPr>
              <w:pStyle w:val="TableText"/>
              <w:jc w:val="center"/>
              <w:rPr>
                <w:highlight w:val="darkGray"/>
              </w:rPr>
            </w:pPr>
            <w:r w:rsidRPr="00FD3ADE">
              <w:rPr>
                <w:color w:val="000000"/>
                <w:spacing w:val="53"/>
                <w:shd w:val="solid" w:color="000000" w:fill="000000"/>
                <w:fitText w:val="330" w:id="-621624832"/>
                <w14:textFill>
                  <w14:solidFill>
                    <w14:srgbClr w14:val="000000">
                      <w14:alpha w14:val="100000"/>
                    </w14:srgbClr>
                  </w14:solidFill>
                </w14:textFill>
              </w:rPr>
              <w:t>|||</w:t>
            </w:r>
            <w:r w:rsidRPr="00FD3ADE">
              <w:rPr>
                <w:color w:val="000000"/>
                <w:spacing w:val="1"/>
                <w:shd w:val="solid" w:color="000000" w:fill="000000"/>
                <w:fitText w:val="330" w:id="-621624832"/>
                <w14:textFill>
                  <w14:solidFill>
                    <w14:srgbClr w14:val="000000">
                      <w14:alpha w14:val="100000"/>
                    </w14:srgbClr>
                  </w14:solidFill>
                </w14:textFill>
              </w:rPr>
              <w:t>|</w:t>
            </w:r>
            <w:r w:rsidR="009A0481" w:rsidRPr="004F3B66">
              <w:rPr>
                <w:vertAlign w:val="superscript"/>
              </w:rPr>
              <w:t>1</w:t>
            </w:r>
          </w:p>
        </w:tc>
        <w:tc>
          <w:tcPr>
            <w:tcW w:w="1129" w:type="dxa"/>
            <w:tcMar>
              <w:left w:w="20" w:type="dxa"/>
              <w:right w:w="20" w:type="dxa"/>
            </w:tcMar>
            <w:vAlign w:val="center"/>
          </w:tcPr>
          <w:p w14:paraId="6A6B7408" w14:textId="0AFC264B" w:rsidR="00397663" w:rsidRPr="00751424" w:rsidRDefault="00FD3ADE" w:rsidP="00213DD5">
            <w:pPr>
              <w:pStyle w:val="TableText"/>
              <w:jc w:val="center"/>
              <w:rPr>
                <w:highlight w:val="darkGray"/>
              </w:rPr>
            </w:pPr>
            <w:r w:rsidRPr="00FD3ADE">
              <w:rPr>
                <w:color w:val="000000"/>
                <w:spacing w:val="53"/>
                <w:shd w:val="solid" w:color="000000" w:fill="000000"/>
                <w:fitText w:val="330" w:id="-621624831"/>
                <w14:textFill>
                  <w14:solidFill>
                    <w14:srgbClr w14:val="000000">
                      <w14:alpha w14:val="100000"/>
                    </w14:srgbClr>
                  </w14:solidFill>
                </w14:textFill>
              </w:rPr>
              <w:t>|||</w:t>
            </w:r>
            <w:r w:rsidRPr="00FD3ADE">
              <w:rPr>
                <w:color w:val="000000"/>
                <w:spacing w:val="1"/>
                <w:shd w:val="solid" w:color="000000" w:fill="000000"/>
                <w:fitText w:val="330" w:id="-621624831"/>
                <w14:textFill>
                  <w14:solidFill>
                    <w14:srgbClr w14:val="000000">
                      <w14:alpha w14:val="100000"/>
                    </w14:srgbClr>
                  </w14:solidFill>
                </w14:textFill>
              </w:rPr>
              <w:t>|</w:t>
            </w:r>
            <w:r w:rsidR="009A0481" w:rsidRPr="004F3B66">
              <w:rPr>
                <w:vertAlign w:val="superscript"/>
              </w:rPr>
              <w:t>1</w:t>
            </w:r>
          </w:p>
        </w:tc>
        <w:tc>
          <w:tcPr>
            <w:tcW w:w="1129" w:type="dxa"/>
            <w:tcMar>
              <w:left w:w="20" w:type="dxa"/>
              <w:right w:w="20" w:type="dxa"/>
            </w:tcMar>
            <w:vAlign w:val="center"/>
          </w:tcPr>
          <w:p w14:paraId="374F4A72" w14:textId="1795C84B" w:rsidR="00397663" w:rsidRPr="00751424" w:rsidRDefault="00FD3ADE" w:rsidP="00213DD5">
            <w:pPr>
              <w:pStyle w:val="TableText"/>
              <w:jc w:val="center"/>
              <w:rPr>
                <w:highlight w:val="darkGray"/>
              </w:rPr>
            </w:pPr>
            <w:r w:rsidRPr="00FD3ADE">
              <w:rPr>
                <w:color w:val="000000"/>
                <w:spacing w:val="53"/>
                <w:shd w:val="solid" w:color="000000" w:fill="000000"/>
                <w:fitText w:val="330" w:id="-621624830"/>
                <w14:textFill>
                  <w14:solidFill>
                    <w14:srgbClr w14:val="000000">
                      <w14:alpha w14:val="100000"/>
                    </w14:srgbClr>
                  </w14:solidFill>
                </w14:textFill>
              </w:rPr>
              <w:t>|||</w:t>
            </w:r>
            <w:r w:rsidRPr="00FD3ADE">
              <w:rPr>
                <w:color w:val="000000"/>
                <w:spacing w:val="1"/>
                <w:shd w:val="solid" w:color="000000" w:fill="000000"/>
                <w:fitText w:val="330" w:id="-621624830"/>
                <w14:textFill>
                  <w14:solidFill>
                    <w14:srgbClr w14:val="000000">
                      <w14:alpha w14:val="100000"/>
                    </w14:srgbClr>
                  </w14:solidFill>
                </w14:textFill>
              </w:rPr>
              <w:t>|</w:t>
            </w:r>
            <w:r w:rsidR="009A0481" w:rsidRPr="004F3B66">
              <w:rPr>
                <w:vertAlign w:val="superscript"/>
              </w:rPr>
              <w:t>1</w:t>
            </w:r>
          </w:p>
        </w:tc>
      </w:tr>
      <w:tr w:rsidR="00397663" w:rsidRPr="00222E0B" w14:paraId="6EAE8100" w14:textId="77777777" w:rsidTr="00751424">
        <w:tc>
          <w:tcPr>
            <w:tcW w:w="2242" w:type="dxa"/>
            <w:tcMar>
              <w:left w:w="20" w:type="dxa"/>
              <w:right w:w="20" w:type="dxa"/>
            </w:tcMar>
            <w:vAlign w:val="center"/>
          </w:tcPr>
          <w:p w14:paraId="13D7B657" w14:textId="3B090C71" w:rsidR="00397663" w:rsidRPr="00222E0B" w:rsidRDefault="00397663" w:rsidP="00213DD5">
            <w:pPr>
              <w:pStyle w:val="TableText"/>
            </w:pPr>
            <w:r w:rsidRPr="00222E0B">
              <w:t>Number of scripts dispensed</w:t>
            </w:r>
            <w:r w:rsidR="00222E0B" w:rsidRPr="00222E0B">
              <w:t xml:space="preserve"> </w:t>
            </w:r>
            <w:r w:rsidR="00222E0B" w:rsidRPr="00222E0B">
              <w:rPr>
                <w:vertAlign w:val="superscript"/>
              </w:rPr>
              <w:t>a</w:t>
            </w:r>
          </w:p>
        </w:tc>
        <w:tc>
          <w:tcPr>
            <w:tcW w:w="1014" w:type="dxa"/>
            <w:tcMar>
              <w:left w:w="20" w:type="dxa"/>
              <w:right w:w="20" w:type="dxa"/>
            </w:tcMar>
            <w:vAlign w:val="center"/>
          </w:tcPr>
          <w:p w14:paraId="557ADCE1" w14:textId="08D3FC4C" w:rsidR="00397663" w:rsidRPr="00751424" w:rsidRDefault="00FD3ADE" w:rsidP="00213DD5">
            <w:pPr>
              <w:pStyle w:val="TableText"/>
              <w:jc w:val="center"/>
              <w:rPr>
                <w:highlight w:val="darkGray"/>
                <w:vertAlign w:val="superscript"/>
              </w:rPr>
            </w:pPr>
            <w:r w:rsidRPr="00FD3ADE">
              <w:rPr>
                <w:color w:val="000000"/>
                <w:spacing w:val="53"/>
                <w:shd w:val="solid" w:color="000000" w:fill="000000"/>
                <w:fitText w:val="330" w:id="-621624829"/>
                <w14:textFill>
                  <w14:solidFill>
                    <w14:srgbClr w14:val="000000">
                      <w14:alpha w14:val="100000"/>
                    </w14:srgbClr>
                  </w14:solidFill>
                </w14:textFill>
              </w:rPr>
              <w:t>|||</w:t>
            </w:r>
            <w:r w:rsidRPr="00FD3ADE">
              <w:rPr>
                <w:color w:val="000000"/>
                <w:spacing w:val="1"/>
                <w:shd w:val="solid" w:color="000000" w:fill="000000"/>
                <w:fitText w:val="330" w:id="-621624829"/>
                <w14:textFill>
                  <w14:solidFill>
                    <w14:srgbClr w14:val="000000">
                      <w14:alpha w14:val="100000"/>
                    </w14:srgbClr>
                  </w14:solidFill>
                </w14:textFill>
              </w:rPr>
              <w:t>|</w:t>
            </w:r>
            <w:r w:rsidR="00122E9C" w:rsidRPr="00751424">
              <w:rPr>
                <w:vertAlign w:val="superscript"/>
              </w:rPr>
              <w:t>2</w:t>
            </w:r>
          </w:p>
        </w:tc>
        <w:tc>
          <w:tcPr>
            <w:tcW w:w="1244" w:type="dxa"/>
            <w:tcMar>
              <w:left w:w="20" w:type="dxa"/>
              <w:right w:w="20" w:type="dxa"/>
            </w:tcMar>
            <w:vAlign w:val="center"/>
          </w:tcPr>
          <w:p w14:paraId="65788332" w14:textId="41B57495" w:rsidR="00397663" w:rsidRPr="00751424" w:rsidRDefault="00FD3ADE" w:rsidP="00213DD5">
            <w:pPr>
              <w:pStyle w:val="TableText"/>
              <w:jc w:val="center"/>
              <w:rPr>
                <w:highlight w:val="darkGray"/>
              </w:rPr>
            </w:pPr>
            <w:r w:rsidRPr="00FD3ADE">
              <w:rPr>
                <w:color w:val="000000"/>
                <w:spacing w:val="53"/>
                <w:shd w:val="solid" w:color="000000" w:fill="000000"/>
                <w:fitText w:val="330" w:id="-621624828"/>
                <w14:textFill>
                  <w14:solidFill>
                    <w14:srgbClr w14:val="000000">
                      <w14:alpha w14:val="100000"/>
                    </w14:srgbClr>
                  </w14:solidFill>
                </w14:textFill>
              </w:rPr>
              <w:t>|||</w:t>
            </w:r>
            <w:r w:rsidRPr="00FD3ADE">
              <w:rPr>
                <w:color w:val="000000"/>
                <w:spacing w:val="1"/>
                <w:shd w:val="solid" w:color="000000" w:fill="000000"/>
                <w:fitText w:val="330" w:id="-621624828"/>
                <w14:textFill>
                  <w14:solidFill>
                    <w14:srgbClr w14:val="000000">
                      <w14:alpha w14:val="100000"/>
                    </w14:srgbClr>
                  </w14:solidFill>
                </w14:textFill>
              </w:rPr>
              <w:t>|</w:t>
            </w:r>
            <w:r w:rsidR="00122E9C" w:rsidRPr="004F3B66">
              <w:rPr>
                <w:vertAlign w:val="superscript"/>
              </w:rPr>
              <w:t>2</w:t>
            </w:r>
          </w:p>
        </w:tc>
        <w:tc>
          <w:tcPr>
            <w:tcW w:w="1129" w:type="dxa"/>
            <w:tcMar>
              <w:left w:w="20" w:type="dxa"/>
              <w:right w:w="20" w:type="dxa"/>
            </w:tcMar>
            <w:vAlign w:val="center"/>
          </w:tcPr>
          <w:p w14:paraId="5B4DFEBD" w14:textId="7D7EDAE1" w:rsidR="00397663" w:rsidRPr="00751424" w:rsidRDefault="00FD3ADE" w:rsidP="00213DD5">
            <w:pPr>
              <w:pStyle w:val="TableText"/>
              <w:jc w:val="center"/>
              <w:rPr>
                <w:highlight w:val="darkGray"/>
                <w:vertAlign w:val="superscript"/>
              </w:rPr>
            </w:pPr>
            <w:r w:rsidRPr="00FD3ADE">
              <w:rPr>
                <w:color w:val="000000"/>
                <w:spacing w:val="53"/>
                <w:shd w:val="solid" w:color="000000" w:fill="000000"/>
                <w:fitText w:val="330" w:id="-621624827"/>
                <w14:textFill>
                  <w14:solidFill>
                    <w14:srgbClr w14:val="000000">
                      <w14:alpha w14:val="100000"/>
                    </w14:srgbClr>
                  </w14:solidFill>
                </w14:textFill>
              </w:rPr>
              <w:t>|||</w:t>
            </w:r>
            <w:r w:rsidRPr="00FD3ADE">
              <w:rPr>
                <w:color w:val="000000"/>
                <w:spacing w:val="1"/>
                <w:shd w:val="solid" w:color="000000" w:fill="000000"/>
                <w:fitText w:val="330" w:id="-621624827"/>
                <w14:textFill>
                  <w14:solidFill>
                    <w14:srgbClr w14:val="000000">
                      <w14:alpha w14:val="100000"/>
                    </w14:srgbClr>
                  </w14:solidFill>
                </w14:textFill>
              </w:rPr>
              <w:t>|</w:t>
            </w:r>
            <w:r w:rsidR="00B8075E" w:rsidRPr="00751424">
              <w:rPr>
                <w:vertAlign w:val="superscript"/>
              </w:rPr>
              <w:t>3</w:t>
            </w:r>
          </w:p>
        </w:tc>
        <w:tc>
          <w:tcPr>
            <w:tcW w:w="1129" w:type="dxa"/>
            <w:tcMar>
              <w:left w:w="20" w:type="dxa"/>
              <w:right w:w="20" w:type="dxa"/>
            </w:tcMar>
            <w:vAlign w:val="center"/>
          </w:tcPr>
          <w:p w14:paraId="5A326FE0" w14:textId="5BC7B061" w:rsidR="00397663" w:rsidRPr="00751424" w:rsidRDefault="00FD3ADE" w:rsidP="00213DD5">
            <w:pPr>
              <w:pStyle w:val="TableText"/>
              <w:jc w:val="center"/>
              <w:rPr>
                <w:highlight w:val="darkGray"/>
              </w:rPr>
            </w:pPr>
            <w:r w:rsidRPr="00FD3ADE">
              <w:rPr>
                <w:color w:val="000000"/>
                <w:spacing w:val="53"/>
                <w:shd w:val="solid" w:color="000000" w:fill="000000"/>
                <w:fitText w:val="330" w:id="-621624826"/>
                <w14:textFill>
                  <w14:solidFill>
                    <w14:srgbClr w14:val="000000">
                      <w14:alpha w14:val="100000"/>
                    </w14:srgbClr>
                  </w14:solidFill>
                </w14:textFill>
              </w:rPr>
              <w:t>|||</w:t>
            </w:r>
            <w:r w:rsidRPr="00FD3ADE">
              <w:rPr>
                <w:color w:val="000000"/>
                <w:spacing w:val="1"/>
                <w:shd w:val="solid" w:color="000000" w:fill="000000"/>
                <w:fitText w:val="330" w:id="-621624826"/>
                <w14:textFill>
                  <w14:solidFill>
                    <w14:srgbClr w14:val="000000">
                      <w14:alpha w14:val="100000"/>
                    </w14:srgbClr>
                  </w14:solidFill>
                </w14:textFill>
              </w:rPr>
              <w:t>|</w:t>
            </w:r>
            <w:r w:rsidR="00B8075E" w:rsidRPr="004F3B66">
              <w:rPr>
                <w:vertAlign w:val="superscript"/>
              </w:rPr>
              <w:t>3</w:t>
            </w:r>
          </w:p>
        </w:tc>
        <w:tc>
          <w:tcPr>
            <w:tcW w:w="1129" w:type="dxa"/>
            <w:tcMar>
              <w:left w:w="20" w:type="dxa"/>
              <w:right w:w="20" w:type="dxa"/>
            </w:tcMar>
            <w:vAlign w:val="center"/>
          </w:tcPr>
          <w:p w14:paraId="5BFACEB2" w14:textId="57D56B01" w:rsidR="00397663" w:rsidRPr="00751424" w:rsidRDefault="00FD3ADE" w:rsidP="00213DD5">
            <w:pPr>
              <w:pStyle w:val="TableText"/>
              <w:jc w:val="center"/>
              <w:rPr>
                <w:highlight w:val="darkGray"/>
              </w:rPr>
            </w:pPr>
            <w:r w:rsidRPr="00FD3ADE">
              <w:rPr>
                <w:color w:val="000000"/>
                <w:spacing w:val="53"/>
                <w:shd w:val="solid" w:color="000000" w:fill="000000"/>
                <w:fitText w:val="330" w:id="-621624825"/>
                <w14:textFill>
                  <w14:solidFill>
                    <w14:srgbClr w14:val="000000">
                      <w14:alpha w14:val="100000"/>
                    </w14:srgbClr>
                  </w14:solidFill>
                </w14:textFill>
              </w:rPr>
              <w:t>|||</w:t>
            </w:r>
            <w:r w:rsidRPr="00FD3ADE">
              <w:rPr>
                <w:color w:val="000000"/>
                <w:spacing w:val="1"/>
                <w:shd w:val="solid" w:color="000000" w:fill="000000"/>
                <w:fitText w:val="330" w:id="-621624825"/>
                <w14:textFill>
                  <w14:solidFill>
                    <w14:srgbClr w14:val="000000">
                      <w14:alpha w14:val="100000"/>
                    </w14:srgbClr>
                  </w14:solidFill>
                </w14:textFill>
              </w:rPr>
              <w:t>|</w:t>
            </w:r>
            <w:r w:rsidR="00B8075E" w:rsidRPr="004F3B66">
              <w:rPr>
                <w:vertAlign w:val="superscript"/>
              </w:rPr>
              <w:t>3</w:t>
            </w:r>
          </w:p>
        </w:tc>
        <w:tc>
          <w:tcPr>
            <w:tcW w:w="1129" w:type="dxa"/>
            <w:tcMar>
              <w:left w:w="20" w:type="dxa"/>
              <w:right w:w="20" w:type="dxa"/>
            </w:tcMar>
            <w:vAlign w:val="center"/>
          </w:tcPr>
          <w:p w14:paraId="3FD87933" w14:textId="6943224D" w:rsidR="00397663" w:rsidRPr="00751424" w:rsidRDefault="00FD3ADE" w:rsidP="00213DD5">
            <w:pPr>
              <w:pStyle w:val="TableText"/>
              <w:jc w:val="center"/>
              <w:rPr>
                <w:highlight w:val="darkGray"/>
              </w:rPr>
            </w:pPr>
            <w:r w:rsidRPr="00FD3ADE">
              <w:rPr>
                <w:color w:val="000000"/>
                <w:spacing w:val="53"/>
                <w:shd w:val="solid" w:color="000000" w:fill="000000"/>
                <w:fitText w:val="330" w:id="-621624824"/>
                <w14:textFill>
                  <w14:solidFill>
                    <w14:srgbClr w14:val="000000">
                      <w14:alpha w14:val="100000"/>
                    </w14:srgbClr>
                  </w14:solidFill>
                </w14:textFill>
              </w:rPr>
              <w:t>|||</w:t>
            </w:r>
            <w:r w:rsidRPr="00FD3ADE">
              <w:rPr>
                <w:color w:val="000000"/>
                <w:spacing w:val="1"/>
                <w:shd w:val="solid" w:color="000000" w:fill="000000"/>
                <w:fitText w:val="330" w:id="-621624824"/>
                <w14:textFill>
                  <w14:solidFill>
                    <w14:srgbClr w14:val="000000">
                      <w14:alpha w14:val="100000"/>
                    </w14:srgbClr>
                  </w14:solidFill>
                </w14:textFill>
              </w:rPr>
              <w:t>|</w:t>
            </w:r>
            <w:r w:rsidR="00B8075E" w:rsidRPr="004F3B66">
              <w:rPr>
                <w:vertAlign w:val="superscript"/>
              </w:rPr>
              <w:t>3</w:t>
            </w:r>
          </w:p>
        </w:tc>
      </w:tr>
      <w:tr w:rsidR="004D2FE8" w:rsidRPr="00222E0B" w14:paraId="572ACFC7" w14:textId="77777777" w:rsidTr="00222E0B">
        <w:tc>
          <w:tcPr>
            <w:tcW w:w="9016" w:type="dxa"/>
            <w:gridSpan w:val="7"/>
            <w:tcMar>
              <w:left w:w="20" w:type="dxa"/>
              <w:right w:w="20" w:type="dxa"/>
            </w:tcMar>
          </w:tcPr>
          <w:p w14:paraId="3797D749" w14:textId="1DF651A5" w:rsidR="004D2FE8" w:rsidRPr="00222E0B" w:rsidRDefault="004D2FE8" w:rsidP="00213DD5">
            <w:pPr>
              <w:pStyle w:val="In-tableHeading"/>
            </w:pPr>
            <w:r w:rsidRPr="00222E0B">
              <w:t>Estimated financial implications</w:t>
            </w:r>
            <w:r w:rsidR="00397663" w:rsidRPr="00222E0B">
              <w:t xml:space="preserve"> of palo</w:t>
            </w:r>
            <w:r w:rsidR="00170B58" w:rsidRPr="00222E0B">
              <w:t>pegteriparatide</w:t>
            </w:r>
          </w:p>
        </w:tc>
      </w:tr>
      <w:tr w:rsidR="00397663" w:rsidRPr="00222E0B" w14:paraId="6A041D82" w14:textId="77777777" w:rsidTr="00751424">
        <w:tc>
          <w:tcPr>
            <w:tcW w:w="2242" w:type="dxa"/>
            <w:tcMar>
              <w:left w:w="20" w:type="dxa"/>
              <w:right w:w="20" w:type="dxa"/>
            </w:tcMar>
            <w:vAlign w:val="center"/>
          </w:tcPr>
          <w:p w14:paraId="2071F158" w14:textId="32D1927D" w:rsidR="00397663" w:rsidRPr="00222E0B" w:rsidRDefault="00397663" w:rsidP="00213DD5">
            <w:pPr>
              <w:pStyle w:val="TableText"/>
            </w:pPr>
            <w:r w:rsidRPr="00222E0B">
              <w:t>Cost to PBS/RPBS</w:t>
            </w:r>
            <w:r w:rsidR="00115540">
              <w:t xml:space="preserve"> l</w:t>
            </w:r>
            <w:r w:rsidR="00115540" w:rsidRPr="008D1006">
              <w:t>ess copayments</w:t>
            </w:r>
          </w:p>
        </w:tc>
        <w:tc>
          <w:tcPr>
            <w:tcW w:w="1014" w:type="dxa"/>
            <w:tcMar>
              <w:left w:w="20" w:type="dxa"/>
              <w:right w:w="20" w:type="dxa"/>
            </w:tcMar>
            <w:vAlign w:val="center"/>
          </w:tcPr>
          <w:p w14:paraId="4E446D99" w14:textId="009F10A2" w:rsidR="00397663" w:rsidRPr="00751424" w:rsidRDefault="00397663" w:rsidP="00213DD5">
            <w:pPr>
              <w:pStyle w:val="TableText"/>
              <w:jc w:val="center"/>
              <w:rPr>
                <w:vertAlign w:val="superscript"/>
              </w:rPr>
            </w:pPr>
            <w:r w:rsidRPr="00222E0B">
              <w:t>$</w:t>
            </w:r>
            <w:r w:rsidR="00FD3ADE" w:rsidRPr="00FD3ADE">
              <w:rPr>
                <w:color w:val="000000"/>
                <w:spacing w:val="53"/>
                <w:shd w:val="solid" w:color="000000" w:fill="000000"/>
                <w:fitText w:val="330" w:id="-621624823"/>
                <w14:textFill>
                  <w14:solidFill>
                    <w14:srgbClr w14:val="000000">
                      <w14:alpha w14:val="100000"/>
                    </w14:srgbClr>
                  </w14:solidFill>
                </w14:textFill>
              </w:rPr>
              <w:t>|||</w:t>
            </w:r>
            <w:r w:rsidR="00FD3ADE" w:rsidRPr="00FD3ADE">
              <w:rPr>
                <w:color w:val="000000"/>
                <w:spacing w:val="1"/>
                <w:shd w:val="solid" w:color="000000" w:fill="000000"/>
                <w:fitText w:val="330" w:id="-621624823"/>
                <w14:textFill>
                  <w14:solidFill>
                    <w14:srgbClr w14:val="000000">
                      <w14:alpha w14:val="100000"/>
                    </w14:srgbClr>
                  </w14:solidFill>
                </w14:textFill>
              </w:rPr>
              <w:t>|</w:t>
            </w:r>
            <w:r w:rsidR="00004664">
              <w:rPr>
                <w:vertAlign w:val="superscript"/>
              </w:rPr>
              <w:t>4</w:t>
            </w:r>
          </w:p>
        </w:tc>
        <w:tc>
          <w:tcPr>
            <w:tcW w:w="1244" w:type="dxa"/>
            <w:tcMar>
              <w:left w:w="20" w:type="dxa"/>
              <w:right w:w="20" w:type="dxa"/>
            </w:tcMar>
            <w:vAlign w:val="center"/>
          </w:tcPr>
          <w:p w14:paraId="322D5C00" w14:textId="00D0972B" w:rsidR="00397663" w:rsidRPr="00751424" w:rsidRDefault="00397663" w:rsidP="00213DD5">
            <w:pPr>
              <w:pStyle w:val="TableText"/>
              <w:jc w:val="center"/>
              <w:rPr>
                <w:vertAlign w:val="superscript"/>
              </w:rPr>
            </w:pPr>
            <w:r w:rsidRPr="00222E0B">
              <w:t>$</w:t>
            </w:r>
            <w:r w:rsidR="00FD3ADE" w:rsidRPr="00FD3ADE">
              <w:rPr>
                <w:color w:val="000000"/>
                <w:spacing w:val="53"/>
                <w:shd w:val="solid" w:color="000000" w:fill="000000"/>
                <w:fitText w:val="330" w:id="-621624822"/>
                <w14:textFill>
                  <w14:solidFill>
                    <w14:srgbClr w14:val="000000">
                      <w14:alpha w14:val="100000"/>
                    </w14:srgbClr>
                  </w14:solidFill>
                </w14:textFill>
              </w:rPr>
              <w:t>|||</w:t>
            </w:r>
            <w:r w:rsidR="00FD3ADE" w:rsidRPr="00FD3ADE">
              <w:rPr>
                <w:color w:val="000000"/>
                <w:spacing w:val="1"/>
                <w:shd w:val="solid" w:color="000000" w:fill="000000"/>
                <w:fitText w:val="330" w:id="-621624822"/>
                <w14:textFill>
                  <w14:solidFill>
                    <w14:srgbClr w14:val="000000">
                      <w14:alpha w14:val="100000"/>
                    </w14:srgbClr>
                  </w14:solidFill>
                </w14:textFill>
              </w:rPr>
              <w:t>|</w:t>
            </w:r>
            <w:r w:rsidR="00EC4794">
              <w:rPr>
                <w:vertAlign w:val="superscript"/>
              </w:rPr>
              <w:t>5</w:t>
            </w:r>
          </w:p>
        </w:tc>
        <w:tc>
          <w:tcPr>
            <w:tcW w:w="1129" w:type="dxa"/>
            <w:tcMar>
              <w:left w:w="20" w:type="dxa"/>
              <w:right w:w="20" w:type="dxa"/>
            </w:tcMar>
            <w:vAlign w:val="center"/>
          </w:tcPr>
          <w:p w14:paraId="112F488A" w14:textId="6D835CA2" w:rsidR="00397663" w:rsidRPr="00751424" w:rsidRDefault="00397663" w:rsidP="00213DD5">
            <w:pPr>
              <w:pStyle w:val="TableText"/>
              <w:jc w:val="center"/>
              <w:rPr>
                <w:vertAlign w:val="superscript"/>
              </w:rPr>
            </w:pPr>
            <w:r w:rsidRPr="00222E0B">
              <w:t>$</w:t>
            </w:r>
            <w:r w:rsidR="00FD3ADE" w:rsidRPr="00FD3ADE">
              <w:rPr>
                <w:color w:val="000000"/>
                <w:spacing w:val="53"/>
                <w:shd w:val="solid" w:color="000000" w:fill="000000"/>
                <w:fitText w:val="330" w:id="-621624821"/>
                <w14:textFill>
                  <w14:solidFill>
                    <w14:srgbClr w14:val="000000">
                      <w14:alpha w14:val="100000"/>
                    </w14:srgbClr>
                  </w14:solidFill>
                </w14:textFill>
              </w:rPr>
              <w:t>|||</w:t>
            </w:r>
            <w:r w:rsidR="00FD3ADE" w:rsidRPr="00FD3ADE">
              <w:rPr>
                <w:color w:val="000000"/>
                <w:spacing w:val="1"/>
                <w:shd w:val="solid" w:color="000000" w:fill="000000"/>
                <w:fitText w:val="330" w:id="-621624821"/>
                <w14:textFill>
                  <w14:solidFill>
                    <w14:srgbClr w14:val="000000">
                      <w14:alpha w14:val="100000"/>
                    </w14:srgbClr>
                  </w14:solidFill>
                </w14:textFill>
              </w:rPr>
              <w:t>|</w:t>
            </w:r>
            <w:r w:rsidR="006A5E46">
              <w:rPr>
                <w:vertAlign w:val="superscript"/>
              </w:rPr>
              <w:t>6</w:t>
            </w:r>
          </w:p>
        </w:tc>
        <w:tc>
          <w:tcPr>
            <w:tcW w:w="1129" w:type="dxa"/>
            <w:tcMar>
              <w:left w:w="20" w:type="dxa"/>
              <w:right w:w="20" w:type="dxa"/>
            </w:tcMar>
            <w:vAlign w:val="center"/>
          </w:tcPr>
          <w:p w14:paraId="5DFE961F" w14:textId="58086737" w:rsidR="00397663" w:rsidRPr="00751424" w:rsidRDefault="00397663" w:rsidP="00213DD5">
            <w:pPr>
              <w:pStyle w:val="TableText"/>
              <w:jc w:val="center"/>
              <w:rPr>
                <w:vertAlign w:val="superscript"/>
              </w:rPr>
            </w:pPr>
            <w:r w:rsidRPr="00222E0B">
              <w:t>$</w:t>
            </w:r>
            <w:r w:rsidR="00FD3ADE" w:rsidRPr="00FD3ADE">
              <w:rPr>
                <w:color w:val="000000"/>
                <w:spacing w:val="53"/>
                <w:shd w:val="solid" w:color="000000" w:fill="000000"/>
                <w:fitText w:val="330" w:id="-621624820"/>
                <w14:textFill>
                  <w14:solidFill>
                    <w14:srgbClr w14:val="000000">
                      <w14:alpha w14:val="100000"/>
                    </w14:srgbClr>
                  </w14:solidFill>
                </w14:textFill>
              </w:rPr>
              <w:t>|||</w:t>
            </w:r>
            <w:r w:rsidR="00FD3ADE" w:rsidRPr="00FD3ADE">
              <w:rPr>
                <w:color w:val="000000"/>
                <w:spacing w:val="1"/>
                <w:shd w:val="solid" w:color="000000" w:fill="000000"/>
                <w:fitText w:val="330" w:id="-621624820"/>
                <w14:textFill>
                  <w14:solidFill>
                    <w14:srgbClr w14:val="000000">
                      <w14:alpha w14:val="100000"/>
                    </w14:srgbClr>
                  </w14:solidFill>
                </w14:textFill>
              </w:rPr>
              <w:t>|</w:t>
            </w:r>
            <w:r w:rsidR="006A5E46">
              <w:rPr>
                <w:vertAlign w:val="superscript"/>
              </w:rPr>
              <w:t>6</w:t>
            </w:r>
          </w:p>
        </w:tc>
        <w:tc>
          <w:tcPr>
            <w:tcW w:w="1129" w:type="dxa"/>
            <w:tcMar>
              <w:left w:w="20" w:type="dxa"/>
              <w:right w:w="20" w:type="dxa"/>
            </w:tcMar>
            <w:vAlign w:val="center"/>
          </w:tcPr>
          <w:p w14:paraId="0AD201C0" w14:textId="658F57CF" w:rsidR="00397663" w:rsidRPr="00751424" w:rsidRDefault="00397663" w:rsidP="00213DD5">
            <w:pPr>
              <w:pStyle w:val="TableText"/>
              <w:jc w:val="center"/>
              <w:rPr>
                <w:vertAlign w:val="superscript"/>
              </w:rPr>
            </w:pPr>
            <w:r w:rsidRPr="00222E0B">
              <w:t>$</w:t>
            </w:r>
            <w:r w:rsidR="00FD3ADE" w:rsidRPr="00FD3ADE">
              <w:rPr>
                <w:color w:val="000000"/>
                <w:spacing w:val="53"/>
                <w:shd w:val="solid" w:color="000000" w:fill="000000"/>
                <w:fitText w:val="330" w:id="-621624819"/>
                <w14:textFill>
                  <w14:solidFill>
                    <w14:srgbClr w14:val="000000">
                      <w14:alpha w14:val="100000"/>
                    </w14:srgbClr>
                  </w14:solidFill>
                </w14:textFill>
              </w:rPr>
              <w:t>|||</w:t>
            </w:r>
            <w:r w:rsidR="00FD3ADE" w:rsidRPr="00FD3ADE">
              <w:rPr>
                <w:color w:val="000000"/>
                <w:spacing w:val="1"/>
                <w:shd w:val="solid" w:color="000000" w:fill="000000"/>
                <w:fitText w:val="330" w:id="-621624819"/>
                <w14:textFill>
                  <w14:solidFill>
                    <w14:srgbClr w14:val="000000">
                      <w14:alpha w14:val="100000"/>
                    </w14:srgbClr>
                  </w14:solidFill>
                </w14:textFill>
              </w:rPr>
              <w:t>|</w:t>
            </w:r>
            <w:r w:rsidR="006A5E46">
              <w:rPr>
                <w:vertAlign w:val="superscript"/>
              </w:rPr>
              <w:t>6</w:t>
            </w:r>
          </w:p>
        </w:tc>
        <w:tc>
          <w:tcPr>
            <w:tcW w:w="1129" w:type="dxa"/>
            <w:tcMar>
              <w:left w:w="20" w:type="dxa"/>
              <w:right w:w="20" w:type="dxa"/>
            </w:tcMar>
            <w:vAlign w:val="center"/>
          </w:tcPr>
          <w:p w14:paraId="3599D81A" w14:textId="2414A64C" w:rsidR="00397663" w:rsidRPr="00751424" w:rsidRDefault="00397663" w:rsidP="00213DD5">
            <w:pPr>
              <w:pStyle w:val="TableText"/>
              <w:jc w:val="center"/>
              <w:rPr>
                <w:vertAlign w:val="superscript"/>
              </w:rPr>
            </w:pPr>
            <w:r w:rsidRPr="00222E0B">
              <w:t>$</w:t>
            </w:r>
            <w:r w:rsidR="00FD3ADE" w:rsidRPr="00FD3ADE">
              <w:rPr>
                <w:color w:val="000000"/>
                <w:spacing w:val="53"/>
                <w:shd w:val="solid" w:color="000000" w:fill="000000"/>
                <w:fitText w:val="330" w:id="-621624818"/>
                <w14:textFill>
                  <w14:solidFill>
                    <w14:srgbClr w14:val="000000">
                      <w14:alpha w14:val="100000"/>
                    </w14:srgbClr>
                  </w14:solidFill>
                </w14:textFill>
              </w:rPr>
              <w:t>|||</w:t>
            </w:r>
            <w:r w:rsidR="00FD3ADE" w:rsidRPr="00FD3ADE">
              <w:rPr>
                <w:color w:val="000000"/>
                <w:spacing w:val="1"/>
                <w:shd w:val="solid" w:color="000000" w:fill="000000"/>
                <w:fitText w:val="330" w:id="-621624818"/>
                <w14:textFill>
                  <w14:solidFill>
                    <w14:srgbClr w14:val="000000">
                      <w14:alpha w14:val="100000"/>
                    </w14:srgbClr>
                  </w14:solidFill>
                </w14:textFill>
              </w:rPr>
              <w:t>|</w:t>
            </w:r>
            <w:r w:rsidR="006A5E46">
              <w:rPr>
                <w:vertAlign w:val="superscript"/>
              </w:rPr>
              <w:t>6</w:t>
            </w:r>
          </w:p>
        </w:tc>
      </w:tr>
      <w:tr w:rsidR="00170B58" w:rsidRPr="00222E0B" w14:paraId="66443FA3" w14:textId="77777777" w:rsidTr="00222E0B">
        <w:tc>
          <w:tcPr>
            <w:tcW w:w="9016" w:type="dxa"/>
            <w:gridSpan w:val="7"/>
            <w:tcMar>
              <w:left w:w="20" w:type="dxa"/>
              <w:right w:w="20" w:type="dxa"/>
            </w:tcMar>
            <w:vAlign w:val="center"/>
          </w:tcPr>
          <w:p w14:paraId="12551CF3" w14:textId="146831E8" w:rsidR="00170B58" w:rsidRPr="00222E0B" w:rsidRDefault="00170B58" w:rsidP="00213DD5">
            <w:pPr>
              <w:pStyle w:val="TableText"/>
              <w:rPr>
                <w:b/>
                <w:bCs w:val="0"/>
              </w:rPr>
            </w:pPr>
            <w:r w:rsidRPr="00222E0B">
              <w:rPr>
                <w:b/>
                <w:bCs w:val="0"/>
              </w:rPr>
              <w:t>Estimated financial implications of conventional therapy</w:t>
            </w:r>
          </w:p>
        </w:tc>
      </w:tr>
      <w:tr w:rsidR="000E13D2" w:rsidRPr="00222E0B" w14:paraId="3E109829" w14:textId="77777777" w:rsidTr="00751424">
        <w:tc>
          <w:tcPr>
            <w:tcW w:w="2242" w:type="dxa"/>
            <w:tcMar>
              <w:left w:w="20" w:type="dxa"/>
              <w:right w:w="20" w:type="dxa"/>
            </w:tcMar>
            <w:vAlign w:val="center"/>
          </w:tcPr>
          <w:p w14:paraId="74B74D96" w14:textId="7E708AF0" w:rsidR="000E13D2" w:rsidRPr="00222E0B" w:rsidRDefault="00435896" w:rsidP="00213DD5">
            <w:pPr>
              <w:pStyle w:val="TableText"/>
            </w:pPr>
            <w:r w:rsidRPr="008D1006">
              <w:t>Cost to PBS/RPBS less copayments</w:t>
            </w:r>
          </w:p>
        </w:tc>
        <w:tc>
          <w:tcPr>
            <w:tcW w:w="1014" w:type="dxa"/>
            <w:tcMar>
              <w:left w:w="20" w:type="dxa"/>
              <w:right w:w="20" w:type="dxa"/>
            </w:tcMar>
            <w:vAlign w:val="center"/>
          </w:tcPr>
          <w:p w14:paraId="37286F33" w14:textId="29C7293F" w:rsidR="000E13D2" w:rsidRPr="00751424" w:rsidRDefault="00060DF6" w:rsidP="00213DD5">
            <w:pPr>
              <w:pStyle w:val="TableText"/>
              <w:jc w:val="center"/>
              <w:rPr>
                <w:vertAlign w:val="superscript"/>
              </w:rPr>
            </w:pPr>
            <w:r>
              <w:t>-</w:t>
            </w:r>
            <w:r w:rsidR="000E13D2" w:rsidRPr="00222E0B">
              <w:t>$</w:t>
            </w:r>
            <w:r w:rsidR="00FD3ADE" w:rsidRPr="00FD3ADE">
              <w:rPr>
                <w:color w:val="000000"/>
                <w:spacing w:val="53"/>
                <w:shd w:val="solid" w:color="000000" w:fill="000000"/>
                <w:fitText w:val="330" w:id="-621624817"/>
                <w14:textFill>
                  <w14:solidFill>
                    <w14:srgbClr w14:val="000000">
                      <w14:alpha w14:val="100000"/>
                    </w14:srgbClr>
                  </w14:solidFill>
                </w14:textFill>
              </w:rPr>
              <w:t>|||</w:t>
            </w:r>
            <w:r w:rsidR="00FD3ADE" w:rsidRPr="00FD3ADE">
              <w:rPr>
                <w:color w:val="000000"/>
                <w:spacing w:val="1"/>
                <w:shd w:val="solid" w:color="000000" w:fill="000000"/>
                <w:fitText w:val="330" w:id="-621624817"/>
                <w14:textFill>
                  <w14:solidFill>
                    <w14:srgbClr w14:val="000000">
                      <w14:alpha w14:val="100000"/>
                    </w14:srgbClr>
                  </w14:solidFill>
                </w14:textFill>
              </w:rPr>
              <w:t>|</w:t>
            </w:r>
            <w:r w:rsidR="000C2025">
              <w:rPr>
                <w:vertAlign w:val="superscript"/>
              </w:rPr>
              <w:t>7</w:t>
            </w:r>
          </w:p>
        </w:tc>
        <w:tc>
          <w:tcPr>
            <w:tcW w:w="1244" w:type="dxa"/>
            <w:tcMar>
              <w:left w:w="20" w:type="dxa"/>
              <w:right w:w="20" w:type="dxa"/>
            </w:tcMar>
            <w:vAlign w:val="center"/>
          </w:tcPr>
          <w:p w14:paraId="253ECD2C" w14:textId="54616870" w:rsidR="000E13D2" w:rsidRPr="00751424" w:rsidRDefault="00060DF6" w:rsidP="00213DD5">
            <w:pPr>
              <w:pStyle w:val="TableText"/>
              <w:jc w:val="center"/>
              <w:rPr>
                <w:vertAlign w:val="superscript"/>
              </w:rPr>
            </w:pPr>
            <w:r>
              <w:t>-</w:t>
            </w:r>
            <w:r w:rsidR="000E13D2" w:rsidRPr="00222E0B">
              <w:t>$</w:t>
            </w:r>
            <w:r w:rsidR="00FD3ADE" w:rsidRPr="00FD3ADE">
              <w:rPr>
                <w:color w:val="000000"/>
                <w:spacing w:val="53"/>
                <w:shd w:val="solid" w:color="000000" w:fill="000000"/>
                <w:fitText w:val="330" w:id="-621624816"/>
                <w14:textFill>
                  <w14:solidFill>
                    <w14:srgbClr w14:val="000000">
                      <w14:alpha w14:val="100000"/>
                    </w14:srgbClr>
                  </w14:solidFill>
                </w14:textFill>
              </w:rPr>
              <w:t>|||</w:t>
            </w:r>
            <w:r w:rsidR="00FD3ADE" w:rsidRPr="00FD3ADE">
              <w:rPr>
                <w:color w:val="000000"/>
                <w:spacing w:val="1"/>
                <w:shd w:val="solid" w:color="000000" w:fill="000000"/>
                <w:fitText w:val="330" w:id="-621624816"/>
                <w14:textFill>
                  <w14:solidFill>
                    <w14:srgbClr w14:val="000000">
                      <w14:alpha w14:val="100000"/>
                    </w14:srgbClr>
                  </w14:solidFill>
                </w14:textFill>
              </w:rPr>
              <w:t>|</w:t>
            </w:r>
            <w:r w:rsidR="000C2025">
              <w:rPr>
                <w:vertAlign w:val="superscript"/>
              </w:rPr>
              <w:t>7</w:t>
            </w:r>
          </w:p>
        </w:tc>
        <w:tc>
          <w:tcPr>
            <w:tcW w:w="1129" w:type="dxa"/>
            <w:tcMar>
              <w:left w:w="20" w:type="dxa"/>
              <w:right w:w="20" w:type="dxa"/>
            </w:tcMar>
            <w:vAlign w:val="center"/>
          </w:tcPr>
          <w:p w14:paraId="7551DC0F" w14:textId="504B0C37" w:rsidR="000E13D2" w:rsidRPr="00751424" w:rsidRDefault="00060DF6" w:rsidP="00213DD5">
            <w:pPr>
              <w:pStyle w:val="TableText"/>
              <w:jc w:val="center"/>
              <w:rPr>
                <w:vertAlign w:val="superscript"/>
              </w:rPr>
            </w:pPr>
            <w:r>
              <w:t>-</w:t>
            </w:r>
            <w:r w:rsidR="000E13D2" w:rsidRPr="00222E0B">
              <w:t>$</w:t>
            </w:r>
            <w:r w:rsidR="00FD3ADE" w:rsidRPr="00FD3ADE">
              <w:rPr>
                <w:color w:val="000000"/>
                <w:spacing w:val="53"/>
                <w:shd w:val="solid" w:color="000000" w:fill="000000"/>
                <w:fitText w:val="330" w:id="-621624832"/>
                <w14:textFill>
                  <w14:solidFill>
                    <w14:srgbClr w14:val="000000">
                      <w14:alpha w14:val="100000"/>
                    </w14:srgbClr>
                  </w14:solidFill>
                </w14:textFill>
              </w:rPr>
              <w:t>|||</w:t>
            </w:r>
            <w:r w:rsidR="00FD3ADE" w:rsidRPr="00FD3ADE">
              <w:rPr>
                <w:color w:val="000000"/>
                <w:spacing w:val="1"/>
                <w:shd w:val="solid" w:color="000000" w:fill="000000"/>
                <w:fitText w:val="330" w:id="-621624832"/>
                <w14:textFill>
                  <w14:solidFill>
                    <w14:srgbClr w14:val="000000">
                      <w14:alpha w14:val="100000"/>
                    </w14:srgbClr>
                  </w14:solidFill>
                </w14:textFill>
              </w:rPr>
              <w:t>|</w:t>
            </w:r>
            <w:r w:rsidR="000C2025">
              <w:rPr>
                <w:vertAlign w:val="superscript"/>
              </w:rPr>
              <w:t>7</w:t>
            </w:r>
          </w:p>
        </w:tc>
        <w:tc>
          <w:tcPr>
            <w:tcW w:w="1129" w:type="dxa"/>
            <w:tcMar>
              <w:left w:w="20" w:type="dxa"/>
              <w:right w:w="20" w:type="dxa"/>
            </w:tcMar>
            <w:vAlign w:val="center"/>
          </w:tcPr>
          <w:p w14:paraId="60742BCD" w14:textId="1F0894D4" w:rsidR="000E13D2" w:rsidRPr="00751424" w:rsidRDefault="00060DF6" w:rsidP="00213DD5">
            <w:pPr>
              <w:pStyle w:val="TableText"/>
              <w:jc w:val="center"/>
              <w:rPr>
                <w:vertAlign w:val="superscript"/>
              </w:rPr>
            </w:pPr>
            <w:r>
              <w:t>-</w:t>
            </w:r>
            <w:r w:rsidR="000E13D2" w:rsidRPr="00222E0B">
              <w:t>$</w:t>
            </w:r>
            <w:r w:rsidR="00FD3ADE" w:rsidRPr="00FD3ADE">
              <w:rPr>
                <w:color w:val="000000"/>
                <w:spacing w:val="53"/>
                <w:shd w:val="solid" w:color="000000" w:fill="000000"/>
                <w:fitText w:val="330" w:id="-621624831"/>
                <w14:textFill>
                  <w14:solidFill>
                    <w14:srgbClr w14:val="000000">
                      <w14:alpha w14:val="100000"/>
                    </w14:srgbClr>
                  </w14:solidFill>
                </w14:textFill>
              </w:rPr>
              <w:t>|||</w:t>
            </w:r>
            <w:r w:rsidR="00FD3ADE" w:rsidRPr="00FD3ADE">
              <w:rPr>
                <w:color w:val="000000"/>
                <w:spacing w:val="1"/>
                <w:shd w:val="solid" w:color="000000" w:fill="000000"/>
                <w:fitText w:val="330" w:id="-621624831"/>
                <w14:textFill>
                  <w14:solidFill>
                    <w14:srgbClr w14:val="000000">
                      <w14:alpha w14:val="100000"/>
                    </w14:srgbClr>
                  </w14:solidFill>
                </w14:textFill>
              </w:rPr>
              <w:t>|</w:t>
            </w:r>
            <w:r w:rsidR="000C2025">
              <w:rPr>
                <w:vertAlign w:val="superscript"/>
              </w:rPr>
              <w:t>7</w:t>
            </w:r>
          </w:p>
        </w:tc>
        <w:tc>
          <w:tcPr>
            <w:tcW w:w="1129" w:type="dxa"/>
            <w:tcMar>
              <w:left w:w="20" w:type="dxa"/>
              <w:right w:w="20" w:type="dxa"/>
            </w:tcMar>
            <w:vAlign w:val="center"/>
          </w:tcPr>
          <w:p w14:paraId="63C13727" w14:textId="07BDE643" w:rsidR="000E13D2" w:rsidRPr="00751424" w:rsidRDefault="00060DF6" w:rsidP="00213DD5">
            <w:pPr>
              <w:pStyle w:val="TableText"/>
              <w:jc w:val="center"/>
              <w:rPr>
                <w:vertAlign w:val="superscript"/>
              </w:rPr>
            </w:pPr>
            <w:r>
              <w:t>-</w:t>
            </w:r>
            <w:r w:rsidR="000E13D2" w:rsidRPr="00222E0B">
              <w:t>$</w:t>
            </w:r>
            <w:r w:rsidR="00FD3ADE" w:rsidRPr="00FD3ADE">
              <w:rPr>
                <w:color w:val="000000"/>
                <w:spacing w:val="53"/>
                <w:shd w:val="solid" w:color="000000" w:fill="000000"/>
                <w:fitText w:val="330" w:id="-621624830"/>
                <w14:textFill>
                  <w14:solidFill>
                    <w14:srgbClr w14:val="000000">
                      <w14:alpha w14:val="100000"/>
                    </w14:srgbClr>
                  </w14:solidFill>
                </w14:textFill>
              </w:rPr>
              <w:t>|||</w:t>
            </w:r>
            <w:r w:rsidR="00FD3ADE" w:rsidRPr="00FD3ADE">
              <w:rPr>
                <w:color w:val="000000"/>
                <w:spacing w:val="1"/>
                <w:shd w:val="solid" w:color="000000" w:fill="000000"/>
                <w:fitText w:val="330" w:id="-621624830"/>
                <w14:textFill>
                  <w14:solidFill>
                    <w14:srgbClr w14:val="000000">
                      <w14:alpha w14:val="100000"/>
                    </w14:srgbClr>
                  </w14:solidFill>
                </w14:textFill>
              </w:rPr>
              <w:t>|</w:t>
            </w:r>
            <w:r w:rsidR="000C2025">
              <w:rPr>
                <w:vertAlign w:val="superscript"/>
              </w:rPr>
              <w:t>7</w:t>
            </w:r>
          </w:p>
        </w:tc>
        <w:tc>
          <w:tcPr>
            <w:tcW w:w="1129" w:type="dxa"/>
            <w:tcMar>
              <w:left w:w="20" w:type="dxa"/>
              <w:right w:w="20" w:type="dxa"/>
            </w:tcMar>
            <w:vAlign w:val="center"/>
          </w:tcPr>
          <w:p w14:paraId="066DD1A7" w14:textId="0E26A994" w:rsidR="000E13D2" w:rsidRPr="00751424" w:rsidRDefault="00060DF6" w:rsidP="00213DD5">
            <w:pPr>
              <w:pStyle w:val="TableText"/>
              <w:jc w:val="center"/>
              <w:rPr>
                <w:vertAlign w:val="superscript"/>
              </w:rPr>
            </w:pPr>
            <w:r>
              <w:t>-</w:t>
            </w:r>
            <w:r w:rsidR="000E13D2" w:rsidRPr="00222E0B">
              <w:t>$</w:t>
            </w:r>
            <w:r w:rsidR="00FD3ADE" w:rsidRPr="00FD3ADE">
              <w:rPr>
                <w:color w:val="000000"/>
                <w:spacing w:val="53"/>
                <w:shd w:val="solid" w:color="000000" w:fill="000000"/>
                <w:fitText w:val="330" w:id="-621624829"/>
                <w14:textFill>
                  <w14:solidFill>
                    <w14:srgbClr w14:val="000000">
                      <w14:alpha w14:val="100000"/>
                    </w14:srgbClr>
                  </w14:solidFill>
                </w14:textFill>
              </w:rPr>
              <w:t>|||</w:t>
            </w:r>
            <w:r w:rsidR="00FD3ADE" w:rsidRPr="00FD3ADE">
              <w:rPr>
                <w:color w:val="000000"/>
                <w:spacing w:val="1"/>
                <w:shd w:val="solid" w:color="000000" w:fill="000000"/>
                <w:fitText w:val="330" w:id="-621624829"/>
                <w14:textFill>
                  <w14:solidFill>
                    <w14:srgbClr w14:val="000000">
                      <w14:alpha w14:val="100000"/>
                    </w14:srgbClr>
                  </w14:solidFill>
                </w14:textFill>
              </w:rPr>
              <w:t>|</w:t>
            </w:r>
            <w:r w:rsidR="000C2025">
              <w:rPr>
                <w:vertAlign w:val="superscript"/>
              </w:rPr>
              <w:t>7</w:t>
            </w:r>
          </w:p>
        </w:tc>
      </w:tr>
      <w:tr w:rsidR="00692A6A" w:rsidRPr="00222E0B" w14:paraId="24792BFB" w14:textId="77777777" w:rsidTr="00222E0B">
        <w:tc>
          <w:tcPr>
            <w:tcW w:w="9016" w:type="dxa"/>
            <w:gridSpan w:val="7"/>
            <w:tcMar>
              <w:left w:w="20" w:type="dxa"/>
              <w:right w:w="20" w:type="dxa"/>
            </w:tcMar>
            <w:vAlign w:val="center"/>
          </w:tcPr>
          <w:p w14:paraId="12821C02" w14:textId="574AEF62" w:rsidR="00692A6A" w:rsidRPr="00222E0B" w:rsidRDefault="00692A6A" w:rsidP="00213DD5">
            <w:pPr>
              <w:pStyle w:val="TableText"/>
              <w:rPr>
                <w:b/>
                <w:bCs w:val="0"/>
              </w:rPr>
            </w:pPr>
            <w:r w:rsidRPr="00222E0B">
              <w:rPr>
                <w:b/>
                <w:bCs w:val="0"/>
              </w:rPr>
              <w:t>Net cost</w:t>
            </w:r>
          </w:p>
        </w:tc>
      </w:tr>
      <w:tr w:rsidR="00692A6A" w:rsidRPr="00222E0B" w14:paraId="3626DEA0" w14:textId="77777777" w:rsidTr="00751424">
        <w:tc>
          <w:tcPr>
            <w:tcW w:w="2242" w:type="dxa"/>
            <w:tcMar>
              <w:left w:w="20" w:type="dxa"/>
              <w:right w:w="20" w:type="dxa"/>
            </w:tcMar>
            <w:vAlign w:val="center"/>
          </w:tcPr>
          <w:p w14:paraId="60840642" w14:textId="68049CFE" w:rsidR="00692A6A" w:rsidRPr="00222E0B" w:rsidRDefault="00692A6A" w:rsidP="00213DD5">
            <w:pPr>
              <w:pStyle w:val="TableText"/>
            </w:pPr>
            <w:r w:rsidRPr="00222E0B">
              <w:t>Net cost to PBS/RPBS</w:t>
            </w:r>
          </w:p>
        </w:tc>
        <w:tc>
          <w:tcPr>
            <w:tcW w:w="1014" w:type="dxa"/>
            <w:tcMar>
              <w:left w:w="20" w:type="dxa"/>
              <w:right w:w="20" w:type="dxa"/>
            </w:tcMar>
            <w:vAlign w:val="center"/>
          </w:tcPr>
          <w:p w14:paraId="43F0EB71" w14:textId="44624A4F" w:rsidR="00692A6A" w:rsidRPr="00751424" w:rsidRDefault="00692A6A" w:rsidP="00213DD5">
            <w:pPr>
              <w:pStyle w:val="TableText"/>
              <w:jc w:val="center"/>
              <w:rPr>
                <w:vertAlign w:val="superscript"/>
              </w:rPr>
            </w:pPr>
            <w:r w:rsidRPr="00222E0B">
              <w:rPr>
                <w:b/>
                <w:lang w:eastAsia="en-US"/>
              </w:rPr>
              <w:t>$</w:t>
            </w:r>
            <w:r w:rsidR="00FD3ADE" w:rsidRPr="00FD3ADE">
              <w:rPr>
                <w:b/>
                <w:color w:val="000000"/>
                <w:spacing w:val="53"/>
                <w:shd w:val="solid" w:color="000000" w:fill="000000"/>
                <w:fitText w:val="345" w:id="-621624828"/>
                <w:lang w:eastAsia="en-US"/>
                <w14:textFill>
                  <w14:solidFill>
                    <w14:srgbClr w14:val="000000">
                      <w14:alpha w14:val="100000"/>
                    </w14:srgbClr>
                  </w14:solidFill>
                </w14:textFill>
              </w:rPr>
              <w:t>|||</w:t>
            </w:r>
            <w:r w:rsidR="00FD3ADE" w:rsidRPr="00FD3ADE">
              <w:rPr>
                <w:b/>
                <w:color w:val="000000"/>
                <w:spacing w:val="3"/>
                <w:shd w:val="solid" w:color="000000" w:fill="000000"/>
                <w:fitText w:val="345" w:id="-621624828"/>
                <w:lang w:eastAsia="en-US"/>
                <w14:textFill>
                  <w14:solidFill>
                    <w14:srgbClr w14:val="000000">
                      <w14:alpha w14:val="100000"/>
                    </w14:srgbClr>
                  </w14:solidFill>
                </w14:textFill>
              </w:rPr>
              <w:t>|</w:t>
            </w:r>
            <w:r w:rsidR="000C2025">
              <w:rPr>
                <w:b/>
                <w:vertAlign w:val="superscript"/>
                <w:lang w:eastAsia="en-US"/>
              </w:rPr>
              <w:t>4</w:t>
            </w:r>
          </w:p>
        </w:tc>
        <w:tc>
          <w:tcPr>
            <w:tcW w:w="1244" w:type="dxa"/>
            <w:tcMar>
              <w:left w:w="20" w:type="dxa"/>
              <w:right w:w="20" w:type="dxa"/>
            </w:tcMar>
            <w:vAlign w:val="center"/>
          </w:tcPr>
          <w:p w14:paraId="0C85233F" w14:textId="3AE342EA" w:rsidR="00692A6A" w:rsidRPr="00751424" w:rsidRDefault="00692A6A" w:rsidP="00213DD5">
            <w:pPr>
              <w:pStyle w:val="TableText"/>
              <w:jc w:val="center"/>
              <w:rPr>
                <w:vertAlign w:val="superscript"/>
              </w:rPr>
            </w:pPr>
            <w:r w:rsidRPr="00222E0B">
              <w:rPr>
                <w:b/>
                <w:lang w:eastAsia="en-US"/>
              </w:rPr>
              <w:t>$</w:t>
            </w:r>
            <w:r w:rsidR="00FD3ADE" w:rsidRPr="00FD3ADE">
              <w:rPr>
                <w:b/>
                <w:color w:val="000000"/>
                <w:spacing w:val="58"/>
                <w:shd w:val="solid" w:color="000000" w:fill="000000"/>
                <w:fitText w:val="360" w:id="-621624827"/>
                <w:lang w:eastAsia="en-US"/>
                <w14:textFill>
                  <w14:solidFill>
                    <w14:srgbClr w14:val="000000">
                      <w14:alpha w14:val="100000"/>
                    </w14:srgbClr>
                  </w14:solidFill>
                </w14:textFill>
              </w:rPr>
              <w:t>|||</w:t>
            </w:r>
            <w:r w:rsidR="00FD3ADE" w:rsidRPr="00FD3ADE">
              <w:rPr>
                <w:b/>
                <w:color w:val="000000"/>
                <w:spacing w:val="3"/>
                <w:shd w:val="solid" w:color="000000" w:fill="000000"/>
                <w:fitText w:val="360" w:id="-621624827"/>
                <w:lang w:eastAsia="en-US"/>
                <w14:textFill>
                  <w14:solidFill>
                    <w14:srgbClr w14:val="000000">
                      <w14:alpha w14:val="100000"/>
                    </w14:srgbClr>
                  </w14:solidFill>
                </w14:textFill>
              </w:rPr>
              <w:t>|</w:t>
            </w:r>
            <w:r w:rsidR="000C2025">
              <w:rPr>
                <w:b/>
                <w:vertAlign w:val="superscript"/>
                <w:lang w:eastAsia="en-US"/>
              </w:rPr>
              <w:t>5</w:t>
            </w:r>
          </w:p>
        </w:tc>
        <w:tc>
          <w:tcPr>
            <w:tcW w:w="1129" w:type="dxa"/>
            <w:tcMar>
              <w:left w:w="20" w:type="dxa"/>
              <w:right w:w="20" w:type="dxa"/>
            </w:tcMar>
            <w:vAlign w:val="center"/>
          </w:tcPr>
          <w:p w14:paraId="6AA5EF84" w14:textId="46607FBF" w:rsidR="00692A6A" w:rsidRPr="00751424" w:rsidRDefault="00692A6A" w:rsidP="00213DD5">
            <w:pPr>
              <w:pStyle w:val="TableText"/>
              <w:jc w:val="center"/>
              <w:rPr>
                <w:vertAlign w:val="superscript"/>
              </w:rPr>
            </w:pPr>
            <w:r w:rsidRPr="00222E0B">
              <w:rPr>
                <w:b/>
                <w:lang w:eastAsia="en-US"/>
              </w:rPr>
              <w:t>$</w:t>
            </w:r>
            <w:r w:rsidR="00FD3ADE" w:rsidRPr="00FD3ADE">
              <w:rPr>
                <w:b/>
                <w:color w:val="000000"/>
                <w:spacing w:val="58"/>
                <w:shd w:val="solid" w:color="000000" w:fill="000000"/>
                <w:fitText w:val="360" w:id="-621624826"/>
                <w:lang w:eastAsia="en-US"/>
                <w14:textFill>
                  <w14:solidFill>
                    <w14:srgbClr w14:val="000000">
                      <w14:alpha w14:val="100000"/>
                    </w14:srgbClr>
                  </w14:solidFill>
                </w14:textFill>
              </w:rPr>
              <w:t>|||</w:t>
            </w:r>
            <w:r w:rsidR="00FD3ADE" w:rsidRPr="00FD3ADE">
              <w:rPr>
                <w:b/>
                <w:color w:val="000000"/>
                <w:spacing w:val="3"/>
                <w:shd w:val="solid" w:color="000000" w:fill="000000"/>
                <w:fitText w:val="360" w:id="-621624826"/>
                <w:lang w:eastAsia="en-US"/>
                <w14:textFill>
                  <w14:solidFill>
                    <w14:srgbClr w14:val="000000">
                      <w14:alpha w14:val="100000"/>
                    </w14:srgbClr>
                  </w14:solidFill>
                </w14:textFill>
              </w:rPr>
              <w:t>|</w:t>
            </w:r>
            <w:r w:rsidR="000C2025">
              <w:rPr>
                <w:b/>
                <w:vertAlign w:val="superscript"/>
                <w:lang w:eastAsia="en-US"/>
              </w:rPr>
              <w:t>5</w:t>
            </w:r>
          </w:p>
        </w:tc>
        <w:tc>
          <w:tcPr>
            <w:tcW w:w="1129" w:type="dxa"/>
            <w:tcMar>
              <w:left w:w="20" w:type="dxa"/>
              <w:right w:w="20" w:type="dxa"/>
            </w:tcMar>
            <w:vAlign w:val="center"/>
          </w:tcPr>
          <w:p w14:paraId="7AE28DAA" w14:textId="20066EC3" w:rsidR="00692A6A" w:rsidRPr="00751424" w:rsidRDefault="00692A6A" w:rsidP="00213DD5">
            <w:pPr>
              <w:pStyle w:val="TableText"/>
              <w:jc w:val="center"/>
              <w:rPr>
                <w:vertAlign w:val="superscript"/>
              </w:rPr>
            </w:pPr>
            <w:r w:rsidRPr="00222E0B">
              <w:rPr>
                <w:b/>
                <w:lang w:eastAsia="en-US"/>
              </w:rPr>
              <w:t>$</w:t>
            </w:r>
            <w:r w:rsidR="00FD3ADE" w:rsidRPr="00FD3ADE">
              <w:rPr>
                <w:b/>
                <w:color w:val="000000"/>
                <w:spacing w:val="58"/>
                <w:shd w:val="solid" w:color="000000" w:fill="000000"/>
                <w:fitText w:val="360" w:id="-621624825"/>
                <w:lang w:eastAsia="en-US"/>
                <w14:textFill>
                  <w14:solidFill>
                    <w14:srgbClr w14:val="000000">
                      <w14:alpha w14:val="100000"/>
                    </w14:srgbClr>
                  </w14:solidFill>
                </w14:textFill>
              </w:rPr>
              <w:t>|||</w:t>
            </w:r>
            <w:r w:rsidR="00FD3ADE" w:rsidRPr="00FD3ADE">
              <w:rPr>
                <w:b/>
                <w:color w:val="000000"/>
                <w:spacing w:val="3"/>
                <w:shd w:val="solid" w:color="000000" w:fill="000000"/>
                <w:fitText w:val="360" w:id="-621624825"/>
                <w:lang w:eastAsia="en-US"/>
                <w14:textFill>
                  <w14:solidFill>
                    <w14:srgbClr w14:val="000000">
                      <w14:alpha w14:val="100000"/>
                    </w14:srgbClr>
                  </w14:solidFill>
                </w14:textFill>
              </w:rPr>
              <w:t>|</w:t>
            </w:r>
            <w:r w:rsidR="000C2025">
              <w:rPr>
                <w:b/>
                <w:vertAlign w:val="superscript"/>
                <w:lang w:eastAsia="en-US"/>
              </w:rPr>
              <w:t>6</w:t>
            </w:r>
          </w:p>
        </w:tc>
        <w:tc>
          <w:tcPr>
            <w:tcW w:w="1129" w:type="dxa"/>
            <w:tcMar>
              <w:left w:w="20" w:type="dxa"/>
              <w:right w:w="20" w:type="dxa"/>
            </w:tcMar>
            <w:vAlign w:val="center"/>
          </w:tcPr>
          <w:p w14:paraId="6061B67B" w14:textId="532498C1" w:rsidR="00692A6A" w:rsidRPr="00751424" w:rsidRDefault="00692A6A" w:rsidP="00213DD5">
            <w:pPr>
              <w:pStyle w:val="TableText"/>
              <w:jc w:val="center"/>
              <w:rPr>
                <w:vertAlign w:val="superscript"/>
              </w:rPr>
            </w:pPr>
            <w:r w:rsidRPr="00222E0B">
              <w:rPr>
                <w:b/>
                <w:lang w:eastAsia="en-US"/>
              </w:rPr>
              <w:t>$</w:t>
            </w:r>
            <w:r w:rsidR="00FD3ADE" w:rsidRPr="00FD3ADE">
              <w:rPr>
                <w:b/>
                <w:color w:val="000000"/>
                <w:spacing w:val="58"/>
                <w:shd w:val="solid" w:color="000000" w:fill="000000"/>
                <w:fitText w:val="360" w:id="-621624824"/>
                <w:lang w:eastAsia="en-US"/>
                <w14:textFill>
                  <w14:solidFill>
                    <w14:srgbClr w14:val="000000">
                      <w14:alpha w14:val="100000"/>
                    </w14:srgbClr>
                  </w14:solidFill>
                </w14:textFill>
              </w:rPr>
              <w:t>|||</w:t>
            </w:r>
            <w:r w:rsidR="00FD3ADE" w:rsidRPr="00FD3ADE">
              <w:rPr>
                <w:b/>
                <w:color w:val="000000"/>
                <w:spacing w:val="3"/>
                <w:shd w:val="solid" w:color="000000" w:fill="000000"/>
                <w:fitText w:val="360" w:id="-621624824"/>
                <w:lang w:eastAsia="en-US"/>
                <w14:textFill>
                  <w14:solidFill>
                    <w14:srgbClr w14:val="000000">
                      <w14:alpha w14:val="100000"/>
                    </w14:srgbClr>
                  </w14:solidFill>
                </w14:textFill>
              </w:rPr>
              <w:t>|</w:t>
            </w:r>
            <w:r w:rsidR="000C2025">
              <w:rPr>
                <w:b/>
                <w:vertAlign w:val="superscript"/>
                <w:lang w:eastAsia="en-US"/>
              </w:rPr>
              <w:t>6</w:t>
            </w:r>
          </w:p>
        </w:tc>
        <w:tc>
          <w:tcPr>
            <w:tcW w:w="1129" w:type="dxa"/>
            <w:tcMar>
              <w:left w:w="20" w:type="dxa"/>
              <w:right w:w="20" w:type="dxa"/>
            </w:tcMar>
            <w:vAlign w:val="center"/>
          </w:tcPr>
          <w:p w14:paraId="1FA2731D" w14:textId="218B45D4" w:rsidR="00692A6A" w:rsidRPr="00751424" w:rsidRDefault="00692A6A" w:rsidP="00213DD5">
            <w:pPr>
              <w:pStyle w:val="TableText"/>
              <w:jc w:val="center"/>
              <w:rPr>
                <w:vertAlign w:val="superscript"/>
              </w:rPr>
            </w:pPr>
            <w:r w:rsidRPr="00222E0B">
              <w:rPr>
                <w:b/>
                <w:lang w:eastAsia="en-US"/>
              </w:rPr>
              <w:t>$</w:t>
            </w:r>
            <w:r w:rsidR="00FD3ADE" w:rsidRPr="00FD3ADE">
              <w:rPr>
                <w:b/>
                <w:color w:val="000000"/>
                <w:spacing w:val="58"/>
                <w:shd w:val="solid" w:color="000000" w:fill="000000"/>
                <w:fitText w:val="360" w:id="-621624823"/>
                <w:lang w:eastAsia="en-US"/>
                <w14:textFill>
                  <w14:solidFill>
                    <w14:srgbClr w14:val="000000">
                      <w14:alpha w14:val="100000"/>
                    </w14:srgbClr>
                  </w14:solidFill>
                </w14:textFill>
              </w:rPr>
              <w:t>|||</w:t>
            </w:r>
            <w:r w:rsidR="00FD3ADE" w:rsidRPr="00FD3ADE">
              <w:rPr>
                <w:b/>
                <w:color w:val="000000"/>
                <w:spacing w:val="3"/>
                <w:shd w:val="solid" w:color="000000" w:fill="000000"/>
                <w:fitText w:val="360" w:id="-621624823"/>
                <w:lang w:eastAsia="en-US"/>
                <w14:textFill>
                  <w14:solidFill>
                    <w14:srgbClr w14:val="000000">
                      <w14:alpha w14:val="100000"/>
                    </w14:srgbClr>
                  </w14:solidFill>
                </w14:textFill>
              </w:rPr>
              <w:t>|</w:t>
            </w:r>
            <w:r w:rsidR="000C2025">
              <w:rPr>
                <w:b/>
                <w:vertAlign w:val="superscript"/>
                <w:lang w:eastAsia="en-US"/>
              </w:rPr>
              <w:t>6</w:t>
            </w:r>
          </w:p>
        </w:tc>
      </w:tr>
      <w:tr w:rsidR="004D2FE8" w:rsidRPr="00222E0B" w:rsidDel="008147AE" w14:paraId="34C214C4" w14:textId="77777777" w:rsidTr="00222E0B">
        <w:tc>
          <w:tcPr>
            <w:tcW w:w="9016" w:type="dxa"/>
            <w:gridSpan w:val="7"/>
            <w:shd w:val="clear" w:color="auto" w:fill="DBE5F1" w:themeFill="accent1" w:themeFillTint="33"/>
            <w:tcMar>
              <w:left w:w="20" w:type="dxa"/>
              <w:right w:w="20" w:type="dxa"/>
            </w:tcMar>
            <w:vAlign w:val="center"/>
          </w:tcPr>
          <w:p w14:paraId="06C0FD4D" w14:textId="5E210157" w:rsidR="004D2FE8" w:rsidRPr="00222E0B" w:rsidDel="008147AE" w:rsidRDefault="004D2FE8" w:rsidP="00213DD5">
            <w:pPr>
              <w:pStyle w:val="In-tableHeading"/>
            </w:pPr>
            <w:r w:rsidRPr="00222E0B">
              <w:t>Previous submission (</w:t>
            </w:r>
            <w:r w:rsidR="00692A6A" w:rsidRPr="00222E0B">
              <w:t>March 2025</w:t>
            </w:r>
            <w:r w:rsidRPr="00222E0B">
              <w:t>)</w:t>
            </w:r>
          </w:p>
        </w:tc>
      </w:tr>
      <w:tr w:rsidR="00692A6A" w:rsidRPr="00222E0B" w14:paraId="0CA3BB93" w14:textId="77777777" w:rsidTr="00222E0B">
        <w:tc>
          <w:tcPr>
            <w:tcW w:w="9016" w:type="dxa"/>
            <w:gridSpan w:val="7"/>
            <w:shd w:val="clear" w:color="auto" w:fill="DBE5F1" w:themeFill="accent1" w:themeFillTint="33"/>
            <w:tcMar>
              <w:left w:w="20" w:type="dxa"/>
              <w:right w:w="20" w:type="dxa"/>
            </w:tcMar>
          </w:tcPr>
          <w:p w14:paraId="537D654A" w14:textId="77777777" w:rsidR="00692A6A" w:rsidRPr="00222E0B" w:rsidRDefault="00692A6A" w:rsidP="00213DD5">
            <w:pPr>
              <w:pStyle w:val="In-tableHeading"/>
            </w:pPr>
            <w:r w:rsidRPr="00222E0B">
              <w:rPr>
                <w:lang w:eastAsia="en-US"/>
              </w:rPr>
              <w:t>Estimated extent of use</w:t>
            </w:r>
          </w:p>
        </w:tc>
      </w:tr>
      <w:tr w:rsidR="007366F6" w:rsidRPr="00222E0B" w14:paraId="662CA03D" w14:textId="77777777" w:rsidTr="00751424">
        <w:tc>
          <w:tcPr>
            <w:tcW w:w="2242" w:type="dxa"/>
            <w:shd w:val="clear" w:color="auto" w:fill="DBE5F1" w:themeFill="accent1" w:themeFillTint="33"/>
            <w:tcMar>
              <w:left w:w="20" w:type="dxa"/>
              <w:right w:w="20" w:type="dxa"/>
            </w:tcMar>
            <w:vAlign w:val="center"/>
          </w:tcPr>
          <w:p w14:paraId="005FBB44" w14:textId="3C951889" w:rsidR="007366F6" w:rsidRPr="00222E0B" w:rsidRDefault="007366F6" w:rsidP="00213DD5">
            <w:pPr>
              <w:pStyle w:val="TableText"/>
            </w:pPr>
            <w:r w:rsidRPr="00222E0B">
              <w:t>Patients treated</w:t>
            </w:r>
          </w:p>
        </w:tc>
        <w:tc>
          <w:tcPr>
            <w:tcW w:w="1014" w:type="dxa"/>
            <w:shd w:val="clear" w:color="auto" w:fill="DBE5F1" w:themeFill="accent1" w:themeFillTint="33"/>
            <w:tcMar>
              <w:left w:w="20" w:type="dxa"/>
              <w:right w:w="20" w:type="dxa"/>
            </w:tcMar>
            <w:vAlign w:val="center"/>
          </w:tcPr>
          <w:p w14:paraId="739FD067" w14:textId="1B19EC71" w:rsidR="007366F6" w:rsidRPr="00751424" w:rsidRDefault="00FD3ADE" w:rsidP="00213DD5">
            <w:pPr>
              <w:pStyle w:val="TableText"/>
              <w:jc w:val="center"/>
              <w:rPr>
                <w:highlight w:val="darkGray"/>
                <w:vertAlign w:val="superscript"/>
              </w:rPr>
            </w:pPr>
            <w:r w:rsidRPr="00FD3ADE">
              <w:rPr>
                <w:color w:val="000000"/>
                <w:spacing w:val="53"/>
                <w:shd w:val="solid" w:color="000000" w:fill="000000"/>
                <w:fitText w:val="330" w:id="-621624822"/>
                <w14:textFill>
                  <w14:solidFill>
                    <w14:srgbClr w14:val="000000">
                      <w14:alpha w14:val="100000"/>
                    </w14:srgbClr>
                  </w14:solidFill>
                </w14:textFill>
              </w:rPr>
              <w:t>|||</w:t>
            </w:r>
            <w:r w:rsidRPr="00FD3ADE">
              <w:rPr>
                <w:color w:val="000000"/>
                <w:spacing w:val="1"/>
                <w:shd w:val="solid" w:color="000000" w:fill="000000"/>
                <w:fitText w:val="330" w:id="-621624822"/>
                <w14:textFill>
                  <w14:solidFill>
                    <w14:srgbClr w14:val="000000">
                      <w14:alpha w14:val="100000"/>
                    </w14:srgbClr>
                  </w14:solidFill>
                </w14:textFill>
              </w:rPr>
              <w:t>|</w:t>
            </w:r>
            <w:r w:rsidR="00B8075E" w:rsidRPr="00751424">
              <w:rPr>
                <w:vertAlign w:val="superscript"/>
              </w:rPr>
              <w:t>1</w:t>
            </w:r>
          </w:p>
        </w:tc>
        <w:tc>
          <w:tcPr>
            <w:tcW w:w="1244" w:type="dxa"/>
            <w:shd w:val="clear" w:color="auto" w:fill="DBE5F1" w:themeFill="accent1" w:themeFillTint="33"/>
            <w:tcMar>
              <w:left w:w="20" w:type="dxa"/>
              <w:right w:w="20" w:type="dxa"/>
            </w:tcMar>
            <w:vAlign w:val="center"/>
          </w:tcPr>
          <w:p w14:paraId="550B022B" w14:textId="10C878AD" w:rsidR="007366F6" w:rsidRPr="00751424" w:rsidRDefault="00FD3ADE" w:rsidP="00213DD5">
            <w:pPr>
              <w:pStyle w:val="TableText"/>
              <w:jc w:val="center"/>
              <w:rPr>
                <w:highlight w:val="darkGray"/>
                <w:vertAlign w:val="superscript"/>
              </w:rPr>
            </w:pPr>
            <w:r w:rsidRPr="00FD3ADE">
              <w:rPr>
                <w:color w:val="000000"/>
                <w:spacing w:val="53"/>
                <w:shd w:val="solid" w:color="000000" w:fill="000000"/>
                <w:fitText w:val="330" w:id="-621624821"/>
                <w14:textFill>
                  <w14:solidFill>
                    <w14:srgbClr w14:val="000000">
                      <w14:alpha w14:val="100000"/>
                    </w14:srgbClr>
                  </w14:solidFill>
                </w14:textFill>
              </w:rPr>
              <w:t>|||</w:t>
            </w:r>
            <w:r w:rsidRPr="00FD3ADE">
              <w:rPr>
                <w:color w:val="000000"/>
                <w:spacing w:val="1"/>
                <w:shd w:val="solid" w:color="000000" w:fill="000000"/>
                <w:fitText w:val="330" w:id="-621624821"/>
                <w14:textFill>
                  <w14:solidFill>
                    <w14:srgbClr w14:val="000000">
                      <w14:alpha w14:val="100000"/>
                    </w14:srgbClr>
                  </w14:solidFill>
                </w14:textFill>
              </w:rPr>
              <w:t>|</w:t>
            </w:r>
            <w:r w:rsidR="00B8075E" w:rsidRPr="00751424">
              <w:rPr>
                <w:vertAlign w:val="superscript"/>
              </w:rPr>
              <w:t>1</w:t>
            </w:r>
          </w:p>
        </w:tc>
        <w:tc>
          <w:tcPr>
            <w:tcW w:w="1129" w:type="dxa"/>
            <w:shd w:val="clear" w:color="auto" w:fill="DBE5F1" w:themeFill="accent1" w:themeFillTint="33"/>
            <w:tcMar>
              <w:left w:w="20" w:type="dxa"/>
              <w:right w:w="20" w:type="dxa"/>
            </w:tcMar>
            <w:vAlign w:val="center"/>
          </w:tcPr>
          <w:p w14:paraId="225F1280" w14:textId="60747CE1" w:rsidR="007366F6" w:rsidRPr="00751424" w:rsidRDefault="00FD3ADE" w:rsidP="00213DD5">
            <w:pPr>
              <w:pStyle w:val="TableText"/>
              <w:jc w:val="center"/>
              <w:rPr>
                <w:highlight w:val="darkGray"/>
              </w:rPr>
            </w:pPr>
            <w:r w:rsidRPr="00FD3ADE">
              <w:rPr>
                <w:color w:val="000000"/>
                <w:spacing w:val="53"/>
                <w:shd w:val="solid" w:color="000000" w:fill="000000"/>
                <w:fitText w:val="330" w:id="-621624820"/>
                <w14:textFill>
                  <w14:solidFill>
                    <w14:srgbClr w14:val="000000">
                      <w14:alpha w14:val="100000"/>
                    </w14:srgbClr>
                  </w14:solidFill>
                </w14:textFill>
              </w:rPr>
              <w:t>|||</w:t>
            </w:r>
            <w:r w:rsidRPr="00FD3ADE">
              <w:rPr>
                <w:color w:val="000000"/>
                <w:spacing w:val="1"/>
                <w:shd w:val="solid" w:color="000000" w:fill="000000"/>
                <w:fitText w:val="330" w:id="-621624820"/>
                <w14:textFill>
                  <w14:solidFill>
                    <w14:srgbClr w14:val="000000">
                      <w14:alpha w14:val="100000"/>
                    </w14:srgbClr>
                  </w14:solidFill>
                </w14:textFill>
              </w:rPr>
              <w:t>|</w:t>
            </w:r>
            <w:r w:rsidR="00B8075E" w:rsidRPr="004F3B66">
              <w:rPr>
                <w:vertAlign w:val="superscript"/>
              </w:rPr>
              <w:t>1</w:t>
            </w:r>
          </w:p>
        </w:tc>
        <w:tc>
          <w:tcPr>
            <w:tcW w:w="1129" w:type="dxa"/>
            <w:shd w:val="clear" w:color="auto" w:fill="DBE5F1" w:themeFill="accent1" w:themeFillTint="33"/>
            <w:tcMar>
              <w:left w:w="20" w:type="dxa"/>
              <w:right w:w="20" w:type="dxa"/>
            </w:tcMar>
            <w:vAlign w:val="center"/>
          </w:tcPr>
          <w:p w14:paraId="34557B0A" w14:textId="26349F03" w:rsidR="007366F6" w:rsidRPr="00751424" w:rsidRDefault="00FD3ADE" w:rsidP="00213DD5">
            <w:pPr>
              <w:pStyle w:val="TableText"/>
              <w:jc w:val="center"/>
              <w:rPr>
                <w:highlight w:val="darkGray"/>
              </w:rPr>
            </w:pPr>
            <w:r w:rsidRPr="00FD3ADE">
              <w:rPr>
                <w:color w:val="000000"/>
                <w:spacing w:val="53"/>
                <w:shd w:val="solid" w:color="000000" w:fill="000000"/>
                <w:fitText w:val="330" w:id="-621624819"/>
                <w14:textFill>
                  <w14:solidFill>
                    <w14:srgbClr w14:val="000000">
                      <w14:alpha w14:val="100000"/>
                    </w14:srgbClr>
                  </w14:solidFill>
                </w14:textFill>
              </w:rPr>
              <w:t>|||</w:t>
            </w:r>
            <w:r w:rsidRPr="00FD3ADE">
              <w:rPr>
                <w:color w:val="000000"/>
                <w:spacing w:val="1"/>
                <w:shd w:val="solid" w:color="000000" w:fill="000000"/>
                <w:fitText w:val="330" w:id="-621624819"/>
                <w14:textFill>
                  <w14:solidFill>
                    <w14:srgbClr w14:val="000000">
                      <w14:alpha w14:val="100000"/>
                    </w14:srgbClr>
                  </w14:solidFill>
                </w14:textFill>
              </w:rPr>
              <w:t>|</w:t>
            </w:r>
            <w:r w:rsidR="00B8075E" w:rsidRPr="004F3B66">
              <w:rPr>
                <w:vertAlign w:val="superscript"/>
              </w:rPr>
              <w:t>1</w:t>
            </w:r>
          </w:p>
        </w:tc>
        <w:tc>
          <w:tcPr>
            <w:tcW w:w="1129" w:type="dxa"/>
            <w:shd w:val="clear" w:color="auto" w:fill="DBE5F1" w:themeFill="accent1" w:themeFillTint="33"/>
            <w:tcMar>
              <w:left w:w="20" w:type="dxa"/>
              <w:right w:w="20" w:type="dxa"/>
            </w:tcMar>
            <w:vAlign w:val="center"/>
          </w:tcPr>
          <w:p w14:paraId="4E5DED7F" w14:textId="56D1A5D9" w:rsidR="007366F6" w:rsidRPr="00751424" w:rsidRDefault="00FD3ADE" w:rsidP="00213DD5">
            <w:pPr>
              <w:pStyle w:val="TableText"/>
              <w:jc w:val="center"/>
              <w:rPr>
                <w:highlight w:val="darkGray"/>
              </w:rPr>
            </w:pPr>
            <w:r w:rsidRPr="00FD3ADE">
              <w:rPr>
                <w:color w:val="000000"/>
                <w:spacing w:val="53"/>
                <w:shd w:val="solid" w:color="000000" w:fill="000000"/>
                <w:fitText w:val="330" w:id="-621624818"/>
                <w14:textFill>
                  <w14:solidFill>
                    <w14:srgbClr w14:val="000000">
                      <w14:alpha w14:val="100000"/>
                    </w14:srgbClr>
                  </w14:solidFill>
                </w14:textFill>
              </w:rPr>
              <w:t>|||</w:t>
            </w:r>
            <w:r w:rsidRPr="00FD3ADE">
              <w:rPr>
                <w:color w:val="000000"/>
                <w:spacing w:val="1"/>
                <w:shd w:val="solid" w:color="000000" w:fill="000000"/>
                <w:fitText w:val="330" w:id="-621624818"/>
                <w14:textFill>
                  <w14:solidFill>
                    <w14:srgbClr w14:val="000000">
                      <w14:alpha w14:val="100000"/>
                    </w14:srgbClr>
                  </w14:solidFill>
                </w14:textFill>
              </w:rPr>
              <w:t>|</w:t>
            </w:r>
            <w:r w:rsidR="00B8075E" w:rsidRPr="004F3B66">
              <w:rPr>
                <w:vertAlign w:val="superscript"/>
              </w:rPr>
              <w:t>1</w:t>
            </w:r>
          </w:p>
        </w:tc>
        <w:tc>
          <w:tcPr>
            <w:tcW w:w="1129" w:type="dxa"/>
            <w:shd w:val="clear" w:color="auto" w:fill="DBE5F1" w:themeFill="accent1" w:themeFillTint="33"/>
            <w:tcMar>
              <w:left w:w="20" w:type="dxa"/>
              <w:right w:w="20" w:type="dxa"/>
            </w:tcMar>
            <w:vAlign w:val="center"/>
          </w:tcPr>
          <w:p w14:paraId="046D0A31" w14:textId="032D077A" w:rsidR="007366F6" w:rsidRPr="00751424" w:rsidRDefault="00FD3ADE" w:rsidP="00213DD5">
            <w:pPr>
              <w:pStyle w:val="TableText"/>
              <w:jc w:val="center"/>
              <w:rPr>
                <w:highlight w:val="darkGray"/>
              </w:rPr>
            </w:pPr>
            <w:r w:rsidRPr="00FD3ADE">
              <w:rPr>
                <w:color w:val="000000"/>
                <w:spacing w:val="53"/>
                <w:shd w:val="solid" w:color="000000" w:fill="000000"/>
                <w:fitText w:val="330" w:id="-621624817"/>
                <w14:textFill>
                  <w14:solidFill>
                    <w14:srgbClr w14:val="000000">
                      <w14:alpha w14:val="100000"/>
                    </w14:srgbClr>
                  </w14:solidFill>
                </w14:textFill>
              </w:rPr>
              <w:t>|||</w:t>
            </w:r>
            <w:r w:rsidRPr="00FD3ADE">
              <w:rPr>
                <w:color w:val="000000"/>
                <w:spacing w:val="1"/>
                <w:shd w:val="solid" w:color="000000" w:fill="000000"/>
                <w:fitText w:val="330" w:id="-621624817"/>
                <w14:textFill>
                  <w14:solidFill>
                    <w14:srgbClr w14:val="000000">
                      <w14:alpha w14:val="100000"/>
                    </w14:srgbClr>
                  </w14:solidFill>
                </w14:textFill>
              </w:rPr>
              <w:t>|</w:t>
            </w:r>
            <w:r w:rsidR="00B8075E" w:rsidRPr="004F3B66">
              <w:rPr>
                <w:vertAlign w:val="superscript"/>
              </w:rPr>
              <w:t>1</w:t>
            </w:r>
          </w:p>
        </w:tc>
      </w:tr>
      <w:tr w:rsidR="007366F6" w:rsidRPr="00222E0B" w14:paraId="29E27542" w14:textId="77777777" w:rsidTr="00751424">
        <w:tc>
          <w:tcPr>
            <w:tcW w:w="2242" w:type="dxa"/>
            <w:shd w:val="clear" w:color="auto" w:fill="DBE5F1" w:themeFill="accent1" w:themeFillTint="33"/>
            <w:tcMar>
              <w:left w:w="20" w:type="dxa"/>
              <w:right w:w="20" w:type="dxa"/>
            </w:tcMar>
            <w:vAlign w:val="center"/>
          </w:tcPr>
          <w:p w14:paraId="590C24F7" w14:textId="73706CC1" w:rsidR="007366F6" w:rsidRPr="00222E0B" w:rsidRDefault="007366F6" w:rsidP="00213DD5">
            <w:pPr>
              <w:pStyle w:val="TableText"/>
            </w:pPr>
            <w:r w:rsidRPr="00222E0B">
              <w:t>Number of scripts dispensed</w:t>
            </w:r>
            <w:r w:rsidR="00222E0B" w:rsidRPr="00222E0B">
              <w:t xml:space="preserve"> </w:t>
            </w:r>
            <w:r w:rsidR="00222E0B" w:rsidRPr="00222E0B">
              <w:rPr>
                <w:vertAlign w:val="superscript"/>
              </w:rPr>
              <w:t>a</w:t>
            </w:r>
          </w:p>
        </w:tc>
        <w:tc>
          <w:tcPr>
            <w:tcW w:w="1014" w:type="dxa"/>
            <w:shd w:val="clear" w:color="auto" w:fill="DBE5F1" w:themeFill="accent1" w:themeFillTint="33"/>
            <w:tcMar>
              <w:left w:w="20" w:type="dxa"/>
              <w:right w:w="20" w:type="dxa"/>
            </w:tcMar>
            <w:vAlign w:val="center"/>
          </w:tcPr>
          <w:p w14:paraId="41F30BA5" w14:textId="4357E5BE" w:rsidR="007366F6" w:rsidRPr="00751424" w:rsidRDefault="00FD3ADE" w:rsidP="00213DD5">
            <w:pPr>
              <w:pStyle w:val="TableText"/>
              <w:jc w:val="center"/>
              <w:rPr>
                <w:highlight w:val="darkGray"/>
              </w:rPr>
            </w:pPr>
            <w:r w:rsidRPr="00FD3ADE">
              <w:rPr>
                <w:color w:val="000000"/>
                <w:spacing w:val="53"/>
                <w:shd w:val="solid" w:color="000000" w:fill="000000"/>
                <w:fitText w:val="330" w:id="-621624816"/>
                <w14:textFill>
                  <w14:solidFill>
                    <w14:srgbClr w14:val="000000">
                      <w14:alpha w14:val="100000"/>
                    </w14:srgbClr>
                  </w14:solidFill>
                </w14:textFill>
              </w:rPr>
              <w:t>|||</w:t>
            </w:r>
            <w:r w:rsidRPr="00FD3ADE">
              <w:rPr>
                <w:color w:val="000000"/>
                <w:spacing w:val="1"/>
                <w:shd w:val="solid" w:color="000000" w:fill="000000"/>
                <w:fitText w:val="330" w:id="-621624816"/>
                <w14:textFill>
                  <w14:solidFill>
                    <w14:srgbClr w14:val="000000">
                      <w14:alpha w14:val="100000"/>
                    </w14:srgbClr>
                  </w14:solidFill>
                </w14:textFill>
              </w:rPr>
              <w:t>|</w:t>
            </w:r>
            <w:r w:rsidR="00B8075E" w:rsidRPr="004F3B66">
              <w:rPr>
                <w:vertAlign w:val="superscript"/>
              </w:rPr>
              <w:t>3</w:t>
            </w:r>
          </w:p>
        </w:tc>
        <w:tc>
          <w:tcPr>
            <w:tcW w:w="1244" w:type="dxa"/>
            <w:shd w:val="clear" w:color="auto" w:fill="DBE5F1" w:themeFill="accent1" w:themeFillTint="33"/>
            <w:tcMar>
              <w:left w:w="20" w:type="dxa"/>
              <w:right w:w="20" w:type="dxa"/>
            </w:tcMar>
            <w:vAlign w:val="center"/>
          </w:tcPr>
          <w:p w14:paraId="241292B5" w14:textId="114DC8DD" w:rsidR="007366F6" w:rsidRPr="00751424" w:rsidRDefault="00FD3ADE" w:rsidP="00213DD5">
            <w:pPr>
              <w:pStyle w:val="TableText"/>
              <w:jc w:val="center"/>
              <w:rPr>
                <w:highlight w:val="darkGray"/>
              </w:rPr>
            </w:pPr>
            <w:r w:rsidRPr="00FD3ADE">
              <w:rPr>
                <w:color w:val="000000"/>
                <w:spacing w:val="53"/>
                <w:shd w:val="solid" w:color="000000" w:fill="000000"/>
                <w:fitText w:val="330" w:id="-621624832"/>
                <w14:textFill>
                  <w14:solidFill>
                    <w14:srgbClr w14:val="000000">
                      <w14:alpha w14:val="100000"/>
                    </w14:srgbClr>
                  </w14:solidFill>
                </w14:textFill>
              </w:rPr>
              <w:t>|||</w:t>
            </w:r>
            <w:r w:rsidRPr="00FD3ADE">
              <w:rPr>
                <w:color w:val="000000"/>
                <w:spacing w:val="1"/>
                <w:shd w:val="solid" w:color="000000" w:fill="000000"/>
                <w:fitText w:val="330" w:id="-621624832"/>
                <w14:textFill>
                  <w14:solidFill>
                    <w14:srgbClr w14:val="000000">
                      <w14:alpha w14:val="100000"/>
                    </w14:srgbClr>
                  </w14:solidFill>
                </w14:textFill>
              </w:rPr>
              <w:t>|</w:t>
            </w:r>
            <w:r w:rsidR="00B8075E" w:rsidRPr="004F3B66">
              <w:rPr>
                <w:vertAlign w:val="superscript"/>
              </w:rPr>
              <w:t>3</w:t>
            </w:r>
          </w:p>
        </w:tc>
        <w:tc>
          <w:tcPr>
            <w:tcW w:w="1129" w:type="dxa"/>
            <w:shd w:val="clear" w:color="auto" w:fill="DBE5F1" w:themeFill="accent1" w:themeFillTint="33"/>
            <w:tcMar>
              <w:left w:w="20" w:type="dxa"/>
              <w:right w:w="20" w:type="dxa"/>
            </w:tcMar>
            <w:vAlign w:val="center"/>
          </w:tcPr>
          <w:p w14:paraId="7792F474" w14:textId="4F9F8435" w:rsidR="007366F6" w:rsidRPr="00751424" w:rsidRDefault="00FD3ADE" w:rsidP="00213DD5">
            <w:pPr>
              <w:pStyle w:val="TableText"/>
              <w:jc w:val="center"/>
              <w:rPr>
                <w:highlight w:val="darkGray"/>
              </w:rPr>
            </w:pPr>
            <w:r w:rsidRPr="00FD3ADE">
              <w:rPr>
                <w:color w:val="000000"/>
                <w:spacing w:val="53"/>
                <w:shd w:val="solid" w:color="000000" w:fill="000000"/>
                <w:fitText w:val="330" w:id="-621624831"/>
                <w14:textFill>
                  <w14:solidFill>
                    <w14:srgbClr w14:val="000000">
                      <w14:alpha w14:val="100000"/>
                    </w14:srgbClr>
                  </w14:solidFill>
                </w14:textFill>
              </w:rPr>
              <w:t>|||</w:t>
            </w:r>
            <w:r w:rsidRPr="00FD3ADE">
              <w:rPr>
                <w:color w:val="000000"/>
                <w:spacing w:val="1"/>
                <w:shd w:val="solid" w:color="000000" w:fill="000000"/>
                <w:fitText w:val="330" w:id="-621624831"/>
                <w14:textFill>
                  <w14:solidFill>
                    <w14:srgbClr w14:val="000000">
                      <w14:alpha w14:val="100000"/>
                    </w14:srgbClr>
                  </w14:solidFill>
                </w14:textFill>
              </w:rPr>
              <w:t>|</w:t>
            </w:r>
            <w:r w:rsidR="00B8075E" w:rsidRPr="004F3B66">
              <w:rPr>
                <w:vertAlign w:val="superscript"/>
              </w:rPr>
              <w:t>3</w:t>
            </w:r>
          </w:p>
        </w:tc>
        <w:tc>
          <w:tcPr>
            <w:tcW w:w="1129" w:type="dxa"/>
            <w:shd w:val="clear" w:color="auto" w:fill="DBE5F1" w:themeFill="accent1" w:themeFillTint="33"/>
            <w:tcMar>
              <w:left w:w="20" w:type="dxa"/>
              <w:right w:w="20" w:type="dxa"/>
            </w:tcMar>
            <w:vAlign w:val="center"/>
          </w:tcPr>
          <w:p w14:paraId="5BB90A03" w14:textId="0F2F5507" w:rsidR="007366F6" w:rsidRPr="00751424" w:rsidRDefault="00FD3ADE" w:rsidP="00213DD5">
            <w:pPr>
              <w:pStyle w:val="TableText"/>
              <w:jc w:val="center"/>
              <w:rPr>
                <w:highlight w:val="darkGray"/>
                <w:vertAlign w:val="superscript"/>
              </w:rPr>
            </w:pPr>
            <w:r w:rsidRPr="00FD3ADE">
              <w:rPr>
                <w:color w:val="000000"/>
                <w:spacing w:val="53"/>
                <w:shd w:val="solid" w:color="000000" w:fill="000000"/>
                <w:fitText w:val="330" w:id="-621624830"/>
                <w14:textFill>
                  <w14:solidFill>
                    <w14:srgbClr w14:val="000000">
                      <w14:alpha w14:val="100000"/>
                    </w14:srgbClr>
                  </w14:solidFill>
                </w14:textFill>
              </w:rPr>
              <w:t>|||</w:t>
            </w:r>
            <w:r w:rsidRPr="00FD3ADE">
              <w:rPr>
                <w:color w:val="000000"/>
                <w:spacing w:val="1"/>
                <w:shd w:val="solid" w:color="000000" w:fill="000000"/>
                <w:fitText w:val="330" w:id="-621624830"/>
                <w14:textFill>
                  <w14:solidFill>
                    <w14:srgbClr w14:val="000000">
                      <w14:alpha w14:val="100000"/>
                    </w14:srgbClr>
                  </w14:solidFill>
                </w14:textFill>
              </w:rPr>
              <w:t>|</w:t>
            </w:r>
            <w:r w:rsidR="00634A26" w:rsidRPr="00751424">
              <w:rPr>
                <w:vertAlign w:val="superscript"/>
              </w:rPr>
              <w:t>8</w:t>
            </w:r>
          </w:p>
        </w:tc>
        <w:tc>
          <w:tcPr>
            <w:tcW w:w="1129" w:type="dxa"/>
            <w:shd w:val="clear" w:color="auto" w:fill="DBE5F1" w:themeFill="accent1" w:themeFillTint="33"/>
            <w:tcMar>
              <w:left w:w="20" w:type="dxa"/>
              <w:right w:w="20" w:type="dxa"/>
            </w:tcMar>
            <w:vAlign w:val="center"/>
          </w:tcPr>
          <w:p w14:paraId="64C2094D" w14:textId="42DE6955" w:rsidR="007366F6" w:rsidRPr="00751424" w:rsidRDefault="00FD3ADE" w:rsidP="00213DD5">
            <w:pPr>
              <w:pStyle w:val="TableText"/>
              <w:jc w:val="center"/>
              <w:rPr>
                <w:highlight w:val="darkGray"/>
                <w:vertAlign w:val="superscript"/>
              </w:rPr>
            </w:pPr>
            <w:r w:rsidRPr="00FD3ADE">
              <w:rPr>
                <w:color w:val="000000"/>
                <w:spacing w:val="53"/>
                <w:shd w:val="solid" w:color="000000" w:fill="000000"/>
                <w:fitText w:val="330" w:id="-621624829"/>
                <w14:textFill>
                  <w14:solidFill>
                    <w14:srgbClr w14:val="000000">
                      <w14:alpha w14:val="100000"/>
                    </w14:srgbClr>
                  </w14:solidFill>
                </w14:textFill>
              </w:rPr>
              <w:t>|||</w:t>
            </w:r>
            <w:r w:rsidRPr="00FD3ADE">
              <w:rPr>
                <w:color w:val="000000"/>
                <w:spacing w:val="1"/>
                <w:shd w:val="solid" w:color="000000" w:fill="000000"/>
                <w:fitText w:val="330" w:id="-621624829"/>
                <w14:textFill>
                  <w14:solidFill>
                    <w14:srgbClr w14:val="000000">
                      <w14:alpha w14:val="100000"/>
                    </w14:srgbClr>
                  </w14:solidFill>
                </w14:textFill>
              </w:rPr>
              <w:t>|</w:t>
            </w:r>
            <w:r w:rsidR="00634A26" w:rsidRPr="00751424">
              <w:rPr>
                <w:vertAlign w:val="superscript"/>
              </w:rPr>
              <w:t>8</w:t>
            </w:r>
          </w:p>
        </w:tc>
        <w:tc>
          <w:tcPr>
            <w:tcW w:w="1129" w:type="dxa"/>
            <w:shd w:val="clear" w:color="auto" w:fill="DBE5F1" w:themeFill="accent1" w:themeFillTint="33"/>
            <w:tcMar>
              <w:left w:w="20" w:type="dxa"/>
              <w:right w:w="20" w:type="dxa"/>
            </w:tcMar>
            <w:vAlign w:val="center"/>
          </w:tcPr>
          <w:p w14:paraId="02EBC49D" w14:textId="051698E8" w:rsidR="007366F6" w:rsidRPr="00751424" w:rsidRDefault="00FD3ADE" w:rsidP="00213DD5">
            <w:pPr>
              <w:pStyle w:val="TableText"/>
              <w:jc w:val="center"/>
              <w:rPr>
                <w:highlight w:val="darkGray"/>
                <w:vertAlign w:val="superscript"/>
              </w:rPr>
            </w:pPr>
            <w:r w:rsidRPr="00FD3ADE">
              <w:rPr>
                <w:color w:val="000000"/>
                <w:spacing w:val="53"/>
                <w:shd w:val="solid" w:color="000000" w:fill="000000"/>
                <w:fitText w:val="330" w:id="-621624828"/>
                <w14:textFill>
                  <w14:solidFill>
                    <w14:srgbClr w14:val="000000">
                      <w14:alpha w14:val="100000"/>
                    </w14:srgbClr>
                  </w14:solidFill>
                </w14:textFill>
              </w:rPr>
              <w:t>|||</w:t>
            </w:r>
            <w:r w:rsidRPr="00FD3ADE">
              <w:rPr>
                <w:color w:val="000000"/>
                <w:spacing w:val="1"/>
                <w:shd w:val="solid" w:color="000000" w:fill="000000"/>
                <w:fitText w:val="330" w:id="-621624828"/>
                <w14:textFill>
                  <w14:solidFill>
                    <w14:srgbClr w14:val="000000">
                      <w14:alpha w14:val="100000"/>
                    </w14:srgbClr>
                  </w14:solidFill>
                </w14:textFill>
              </w:rPr>
              <w:t>|</w:t>
            </w:r>
            <w:r w:rsidR="00634A26" w:rsidRPr="00751424">
              <w:rPr>
                <w:vertAlign w:val="superscript"/>
              </w:rPr>
              <w:t>8</w:t>
            </w:r>
          </w:p>
        </w:tc>
      </w:tr>
      <w:tr w:rsidR="00692A6A" w:rsidRPr="00222E0B" w14:paraId="2BB259E5" w14:textId="77777777" w:rsidTr="00222E0B">
        <w:tc>
          <w:tcPr>
            <w:tcW w:w="9016" w:type="dxa"/>
            <w:gridSpan w:val="7"/>
            <w:shd w:val="clear" w:color="auto" w:fill="DBE5F1" w:themeFill="accent1" w:themeFillTint="33"/>
            <w:tcMar>
              <w:left w:w="20" w:type="dxa"/>
              <w:right w:w="20" w:type="dxa"/>
            </w:tcMar>
          </w:tcPr>
          <w:p w14:paraId="6FB91D9F" w14:textId="77777777" w:rsidR="00692A6A" w:rsidRPr="00222E0B" w:rsidRDefault="00692A6A" w:rsidP="00213DD5">
            <w:pPr>
              <w:pStyle w:val="In-tableHeading"/>
            </w:pPr>
            <w:r w:rsidRPr="00222E0B">
              <w:t>Estimated financial implications of palopegteriparatide</w:t>
            </w:r>
          </w:p>
        </w:tc>
      </w:tr>
      <w:tr w:rsidR="007366F6" w:rsidRPr="00222E0B" w14:paraId="6291B5B6" w14:textId="77777777" w:rsidTr="00751424">
        <w:tc>
          <w:tcPr>
            <w:tcW w:w="2242" w:type="dxa"/>
            <w:shd w:val="clear" w:color="auto" w:fill="DBE5F1" w:themeFill="accent1" w:themeFillTint="33"/>
            <w:tcMar>
              <w:left w:w="20" w:type="dxa"/>
              <w:right w:w="20" w:type="dxa"/>
            </w:tcMar>
            <w:vAlign w:val="center"/>
          </w:tcPr>
          <w:p w14:paraId="742F66DA" w14:textId="37E1DC6B" w:rsidR="007366F6" w:rsidRPr="00222E0B" w:rsidRDefault="007366F6" w:rsidP="00213DD5">
            <w:pPr>
              <w:pStyle w:val="TableText"/>
            </w:pPr>
            <w:r w:rsidRPr="00222E0B">
              <w:t>Cost to PBS/RPBS</w:t>
            </w:r>
            <w:r w:rsidR="00435896">
              <w:t xml:space="preserve"> l</w:t>
            </w:r>
            <w:r w:rsidR="00435896" w:rsidRPr="008D1006">
              <w:t>ess copayments</w:t>
            </w:r>
          </w:p>
        </w:tc>
        <w:tc>
          <w:tcPr>
            <w:tcW w:w="1014" w:type="dxa"/>
            <w:shd w:val="clear" w:color="auto" w:fill="DBE5F1" w:themeFill="accent1" w:themeFillTint="33"/>
            <w:tcMar>
              <w:left w:w="20" w:type="dxa"/>
              <w:right w:w="20" w:type="dxa"/>
            </w:tcMar>
            <w:vAlign w:val="center"/>
          </w:tcPr>
          <w:p w14:paraId="5989B008" w14:textId="61A54990" w:rsidR="007366F6" w:rsidRPr="00751424" w:rsidRDefault="007366F6" w:rsidP="00213DD5">
            <w:pPr>
              <w:pStyle w:val="TableText"/>
              <w:jc w:val="center"/>
              <w:rPr>
                <w:vertAlign w:val="superscript"/>
              </w:rPr>
            </w:pPr>
            <w:r w:rsidRPr="00222E0B">
              <w:t>$</w:t>
            </w:r>
            <w:r w:rsidR="00FD3ADE" w:rsidRPr="00FD3ADE">
              <w:rPr>
                <w:color w:val="000000"/>
                <w:spacing w:val="53"/>
                <w:shd w:val="solid" w:color="000000" w:fill="000000"/>
                <w:fitText w:val="330" w:id="-621624827"/>
                <w14:textFill>
                  <w14:solidFill>
                    <w14:srgbClr w14:val="000000">
                      <w14:alpha w14:val="100000"/>
                    </w14:srgbClr>
                  </w14:solidFill>
                </w14:textFill>
              </w:rPr>
              <w:t>|||</w:t>
            </w:r>
            <w:r w:rsidR="00FD3ADE" w:rsidRPr="00FD3ADE">
              <w:rPr>
                <w:color w:val="000000"/>
                <w:spacing w:val="1"/>
                <w:shd w:val="solid" w:color="000000" w:fill="000000"/>
                <w:fitText w:val="330" w:id="-621624827"/>
                <w14:textFill>
                  <w14:solidFill>
                    <w14:srgbClr w14:val="000000">
                      <w14:alpha w14:val="100000"/>
                    </w14:srgbClr>
                  </w14:solidFill>
                </w14:textFill>
              </w:rPr>
              <w:t>|</w:t>
            </w:r>
            <w:r w:rsidR="00634A26">
              <w:rPr>
                <w:vertAlign w:val="superscript"/>
              </w:rPr>
              <w:t>6</w:t>
            </w:r>
          </w:p>
        </w:tc>
        <w:tc>
          <w:tcPr>
            <w:tcW w:w="1244" w:type="dxa"/>
            <w:shd w:val="clear" w:color="auto" w:fill="DBE5F1" w:themeFill="accent1" w:themeFillTint="33"/>
            <w:tcMar>
              <w:left w:w="20" w:type="dxa"/>
              <w:right w:w="20" w:type="dxa"/>
            </w:tcMar>
            <w:vAlign w:val="center"/>
          </w:tcPr>
          <w:p w14:paraId="1233000C" w14:textId="0DEC6A94" w:rsidR="007366F6" w:rsidRPr="00751424" w:rsidRDefault="007366F6" w:rsidP="00213DD5">
            <w:pPr>
              <w:pStyle w:val="TableText"/>
              <w:jc w:val="center"/>
              <w:rPr>
                <w:vertAlign w:val="superscript"/>
              </w:rPr>
            </w:pPr>
            <w:r w:rsidRPr="00222E0B">
              <w:t>$</w:t>
            </w:r>
            <w:r w:rsidR="00FD3ADE" w:rsidRPr="00FD3ADE">
              <w:rPr>
                <w:color w:val="000000"/>
                <w:spacing w:val="53"/>
                <w:shd w:val="solid" w:color="000000" w:fill="000000"/>
                <w:fitText w:val="330" w:id="-621624826"/>
                <w14:textFill>
                  <w14:solidFill>
                    <w14:srgbClr w14:val="000000">
                      <w14:alpha w14:val="100000"/>
                    </w14:srgbClr>
                  </w14:solidFill>
                </w14:textFill>
              </w:rPr>
              <w:t>|||</w:t>
            </w:r>
            <w:r w:rsidR="00FD3ADE" w:rsidRPr="00FD3ADE">
              <w:rPr>
                <w:color w:val="000000"/>
                <w:spacing w:val="1"/>
                <w:shd w:val="solid" w:color="000000" w:fill="000000"/>
                <w:fitText w:val="330" w:id="-621624826"/>
                <w14:textFill>
                  <w14:solidFill>
                    <w14:srgbClr w14:val="000000">
                      <w14:alpha w14:val="100000"/>
                    </w14:srgbClr>
                  </w14:solidFill>
                </w14:textFill>
              </w:rPr>
              <w:t>|</w:t>
            </w:r>
            <w:r w:rsidR="00676A41">
              <w:rPr>
                <w:vertAlign w:val="superscript"/>
              </w:rPr>
              <w:t>9</w:t>
            </w:r>
          </w:p>
        </w:tc>
        <w:tc>
          <w:tcPr>
            <w:tcW w:w="1129" w:type="dxa"/>
            <w:shd w:val="clear" w:color="auto" w:fill="DBE5F1" w:themeFill="accent1" w:themeFillTint="33"/>
            <w:tcMar>
              <w:left w:w="20" w:type="dxa"/>
              <w:right w:w="20" w:type="dxa"/>
            </w:tcMar>
            <w:vAlign w:val="center"/>
          </w:tcPr>
          <w:p w14:paraId="4995775E" w14:textId="4464D1BC" w:rsidR="007366F6" w:rsidRPr="00751424" w:rsidRDefault="007366F6" w:rsidP="00213DD5">
            <w:pPr>
              <w:pStyle w:val="TableText"/>
              <w:jc w:val="center"/>
              <w:rPr>
                <w:vertAlign w:val="superscript"/>
              </w:rPr>
            </w:pPr>
            <w:r w:rsidRPr="00222E0B">
              <w:t>$</w:t>
            </w:r>
            <w:r w:rsidR="00FD3ADE" w:rsidRPr="00FD3ADE">
              <w:rPr>
                <w:color w:val="000000"/>
                <w:spacing w:val="53"/>
                <w:shd w:val="solid" w:color="000000" w:fill="000000"/>
                <w:fitText w:val="330" w:id="-621624825"/>
                <w14:textFill>
                  <w14:solidFill>
                    <w14:srgbClr w14:val="000000">
                      <w14:alpha w14:val="100000"/>
                    </w14:srgbClr>
                  </w14:solidFill>
                </w14:textFill>
              </w:rPr>
              <w:t>|||</w:t>
            </w:r>
            <w:r w:rsidR="00FD3ADE" w:rsidRPr="00FD3ADE">
              <w:rPr>
                <w:color w:val="000000"/>
                <w:spacing w:val="1"/>
                <w:shd w:val="solid" w:color="000000" w:fill="000000"/>
                <w:fitText w:val="330" w:id="-621624825"/>
                <w14:textFill>
                  <w14:solidFill>
                    <w14:srgbClr w14:val="000000">
                      <w14:alpha w14:val="100000"/>
                    </w14:srgbClr>
                  </w14:solidFill>
                </w14:textFill>
              </w:rPr>
              <w:t>|</w:t>
            </w:r>
            <w:r w:rsidR="00A03178">
              <w:rPr>
                <w:vertAlign w:val="superscript"/>
              </w:rPr>
              <w:t>10</w:t>
            </w:r>
          </w:p>
        </w:tc>
        <w:tc>
          <w:tcPr>
            <w:tcW w:w="1129" w:type="dxa"/>
            <w:shd w:val="clear" w:color="auto" w:fill="DBE5F1" w:themeFill="accent1" w:themeFillTint="33"/>
            <w:tcMar>
              <w:left w:w="20" w:type="dxa"/>
              <w:right w:w="20" w:type="dxa"/>
            </w:tcMar>
            <w:vAlign w:val="center"/>
          </w:tcPr>
          <w:p w14:paraId="06113508" w14:textId="46663D78" w:rsidR="007366F6" w:rsidRPr="00751424" w:rsidRDefault="007366F6" w:rsidP="00213DD5">
            <w:pPr>
              <w:pStyle w:val="TableText"/>
              <w:jc w:val="center"/>
              <w:rPr>
                <w:vertAlign w:val="superscript"/>
              </w:rPr>
            </w:pPr>
            <w:r w:rsidRPr="00222E0B">
              <w:t>$</w:t>
            </w:r>
            <w:r w:rsidR="00FD3ADE" w:rsidRPr="00FD3ADE">
              <w:rPr>
                <w:color w:val="000000"/>
                <w:spacing w:val="53"/>
                <w:shd w:val="solid" w:color="000000" w:fill="000000"/>
                <w:fitText w:val="330" w:id="-621624824"/>
                <w14:textFill>
                  <w14:solidFill>
                    <w14:srgbClr w14:val="000000">
                      <w14:alpha w14:val="100000"/>
                    </w14:srgbClr>
                  </w14:solidFill>
                </w14:textFill>
              </w:rPr>
              <w:t>|||</w:t>
            </w:r>
            <w:r w:rsidR="00FD3ADE" w:rsidRPr="00FD3ADE">
              <w:rPr>
                <w:color w:val="000000"/>
                <w:spacing w:val="1"/>
                <w:shd w:val="solid" w:color="000000" w:fill="000000"/>
                <w:fitText w:val="330" w:id="-621624824"/>
                <w14:textFill>
                  <w14:solidFill>
                    <w14:srgbClr w14:val="000000">
                      <w14:alpha w14:val="100000"/>
                    </w14:srgbClr>
                  </w14:solidFill>
                </w14:textFill>
              </w:rPr>
              <w:t>|</w:t>
            </w:r>
            <w:r w:rsidR="00A03178">
              <w:rPr>
                <w:vertAlign w:val="superscript"/>
              </w:rPr>
              <w:t>10</w:t>
            </w:r>
          </w:p>
        </w:tc>
        <w:tc>
          <w:tcPr>
            <w:tcW w:w="1129" w:type="dxa"/>
            <w:shd w:val="clear" w:color="auto" w:fill="DBE5F1" w:themeFill="accent1" w:themeFillTint="33"/>
            <w:tcMar>
              <w:left w:w="20" w:type="dxa"/>
              <w:right w:w="20" w:type="dxa"/>
            </w:tcMar>
            <w:vAlign w:val="center"/>
          </w:tcPr>
          <w:p w14:paraId="5D2C2C40" w14:textId="223C1165" w:rsidR="007366F6" w:rsidRPr="00751424" w:rsidRDefault="007366F6" w:rsidP="00213DD5">
            <w:pPr>
              <w:pStyle w:val="TableText"/>
              <w:jc w:val="center"/>
              <w:rPr>
                <w:vertAlign w:val="superscript"/>
              </w:rPr>
            </w:pPr>
            <w:r w:rsidRPr="00222E0B">
              <w:t>$</w:t>
            </w:r>
            <w:r w:rsidR="00FD3ADE" w:rsidRPr="00FD3ADE">
              <w:rPr>
                <w:color w:val="000000"/>
                <w:spacing w:val="53"/>
                <w:shd w:val="solid" w:color="000000" w:fill="000000"/>
                <w:fitText w:val="330" w:id="-621624823"/>
                <w14:textFill>
                  <w14:solidFill>
                    <w14:srgbClr w14:val="000000">
                      <w14:alpha w14:val="100000"/>
                    </w14:srgbClr>
                  </w14:solidFill>
                </w14:textFill>
              </w:rPr>
              <w:t>|||</w:t>
            </w:r>
            <w:r w:rsidR="00FD3ADE" w:rsidRPr="00FD3ADE">
              <w:rPr>
                <w:color w:val="000000"/>
                <w:spacing w:val="1"/>
                <w:shd w:val="solid" w:color="000000" w:fill="000000"/>
                <w:fitText w:val="330" w:id="-621624823"/>
                <w14:textFill>
                  <w14:solidFill>
                    <w14:srgbClr w14:val="000000">
                      <w14:alpha w14:val="100000"/>
                    </w14:srgbClr>
                  </w14:solidFill>
                </w14:textFill>
              </w:rPr>
              <w:t>|</w:t>
            </w:r>
            <w:r w:rsidR="00A03178">
              <w:rPr>
                <w:vertAlign w:val="superscript"/>
              </w:rPr>
              <w:t>10</w:t>
            </w:r>
          </w:p>
        </w:tc>
        <w:tc>
          <w:tcPr>
            <w:tcW w:w="1129" w:type="dxa"/>
            <w:shd w:val="clear" w:color="auto" w:fill="DBE5F1" w:themeFill="accent1" w:themeFillTint="33"/>
            <w:tcMar>
              <w:left w:w="20" w:type="dxa"/>
              <w:right w:w="20" w:type="dxa"/>
            </w:tcMar>
            <w:vAlign w:val="center"/>
          </w:tcPr>
          <w:p w14:paraId="02AA83DF" w14:textId="3D89D7BF" w:rsidR="007366F6" w:rsidRPr="00751424" w:rsidRDefault="007366F6" w:rsidP="00213DD5">
            <w:pPr>
              <w:pStyle w:val="TableText"/>
              <w:jc w:val="center"/>
              <w:rPr>
                <w:vertAlign w:val="superscript"/>
              </w:rPr>
            </w:pPr>
            <w:r w:rsidRPr="00222E0B">
              <w:t>$</w:t>
            </w:r>
            <w:r w:rsidR="00FD3ADE" w:rsidRPr="00FD3ADE">
              <w:rPr>
                <w:color w:val="000000"/>
                <w:spacing w:val="53"/>
                <w:shd w:val="solid" w:color="000000" w:fill="000000"/>
                <w:fitText w:val="330" w:id="-621624822"/>
                <w14:textFill>
                  <w14:solidFill>
                    <w14:srgbClr w14:val="000000">
                      <w14:alpha w14:val="100000"/>
                    </w14:srgbClr>
                  </w14:solidFill>
                </w14:textFill>
              </w:rPr>
              <w:t>|||</w:t>
            </w:r>
            <w:r w:rsidR="00FD3ADE" w:rsidRPr="00FD3ADE">
              <w:rPr>
                <w:color w:val="000000"/>
                <w:spacing w:val="1"/>
                <w:shd w:val="solid" w:color="000000" w:fill="000000"/>
                <w:fitText w:val="330" w:id="-621624822"/>
                <w14:textFill>
                  <w14:solidFill>
                    <w14:srgbClr w14:val="000000">
                      <w14:alpha w14:val="100000"/>
                    </w14:srgbClr>
                  </w14:solidFill>
                </w14:textFill>
              </w:rPr>
              <w:t>|</w:t>
            </w:r>
            <w:r w:rsidR="00A03178">
              <w:rPr>
                <w:vertAlign w:val="superscript"/>
              </w:rPr>
              <w:t>11</w:t>
            </w:r>
          </w:p>
        </w:tc>
      </w:tr>
      <w:tr w:rsidR="00692A6A" w:rsidRPr="00222E0B" w14:paraId="714FA9B1" w14:textId="77777777" w:rsidTr="00222E0B">
        <w:tc>
          <w:tcPr>
            <w:tcW w:w="9016" w:type="dxa"/>
            <w:gridSpan w:val="7"/>
            <w:shd w:val="clear" w:color="auto" w:fill="DBE5F1" w:themeFill="accent1" w:themeFillTint="33"/>
            <w:tcMar>
              <w:left w:w="20" w:type="dxa"/>
              <w:right w:w="20" w:type="dxa"/>
            </w:tcMar>
            <w:vAlign w:val="center"/>
          </w:tcPr>
          <w:p w14:paraId="0AF4EDB3" w14:textId="77777777" w:rsidR="00692A6A" w:rsidRPr="00222E0B" w:rsidRDefault="00692A6A" w:rsidP="00213DD5">
            <w:pPr>
              <w:pStyle w:val="TableText"/>
              <w:rPr>
                <w:b/>
                <w:bCs w:val="0"/>
              </w:rPr>
            </w:pPr>
            <w:r w:rsidRPr="00222E0B">
              <w:rPr>
                <w:b/>
                <w:bCs w:val="0"/>
              </w:rPr>
              <w:t>Estimated financial implications of conventional therapy</w:t>
            </w:r>
          </w:p>
        </w:tc>
      </w:tr>
      <w:tr w:rsidR="007366F6" w:rsidRPr="00222E0B" w14:paraId="5A0F815E" w14:textId="77777777" w:rsidTr="00751424">
        <w:tc>
          <w:tcPr>
            <w:tcW w:w="2242" w:type="dxa"/>
            <w:shd w:val="clear" w:color="auto" w:fill="DBE5F1" w:themeFill="accent1" w:themeFillTint="33"/>
            <w:tcMar>
              <w:left w:w="20" w:type="dxa"/>
              <w:right w:w="20" w:type="dxa"/>
            </w:tcMar>
            <w:vAlign w:val="center"/>
          </w:tcPr>
          <w:p w14:paraId="182DD7F3" w14:textId="3E8F0E00" w:rsidR="007366F6" w:rsidRPr="00222E0B" w:rsidRDefault="00435896" w:rsidP="00213DD5">
            <w:pPr>
              <w:pStyle w:val="TableText"/>
            </w:pPr>
            <w:r w:rsidRPr="008D1006">
              <w:t>Cost to PBS/RPBS less copayments</w:t>
            </w:r>
          </w:p>
        </w:tc>
        <w:tc>
          <w:tcPr>
            <w:tcW w:w="1014" w:type="dxa"/>
            <w:shd w:val="clear" w:color="auto" w:fill="DBE5F1" w:themeFill="accent1" w:themeFillTint="33"/>
            <w:tcMar>
              <w:left w:w="20" w:type="dxa"/>
              <w:right w:w="20" w:type="dxa"/>
            </w:tcMar>
            <w:vAlign w:val="center"/>
          </w:tcPr>
          <w:p w14:paraId="31C24771" w14:textId="328AAF04" w:rsidR="007366F6" w:rsidRPr="00751424" w:rsidRDefault="00060DF6" w:rsidP="00213DD5">
            <w:pPr>
              <w:pStyle w:val="TableText"/>
              <w:jc w:val="center"/>
              <w:rPr>
                <w:vertAlign w:val="superscript"/>
              </w:rPr>
            </w:pPr>
            <w:r>
              <w:t>-</w:t>
            </w:r>
            <w:r w:rsidR="007366F6" w:rsidRPr="00222E0B">
              <w:t>$</w:t>
            </w:r>
            <w:r w:rsidR="00FD3ADE" w:rsidRPr="00FD3ADE">
              <w:rPr>
                <w:color w:val="000000"/>
                <w:spacing w:val="53"/>
                <w:shd w:val="solid" w:color="000000" w:fill="000000"/>
                <w:fitText w:val="330" w:id="-621624821"/>
                <w14:textFill>
                  <w14:solidFill>
                    <w14:srgbClr w14:val="000000">
                      <w14:alpha w14:val="100000"/>
                    </w14:srgbClr>
                  </w14:solidFill>
                </w14:textFill>
              </w:rPr>
              <w:t>|||</w:t>
            </w:r>
            <w:r w:rsidR="00FD3ADE" w:rsidRPr="00FD3ADE">
              <w:rPr>
                <w:color w:val="000000"/>
                <w:spacing w:val="1"/>
                <w:shd w:val="solid" w:color="000000" w:fill="000000"/>
                <w:fitText w:val="330" w:id="-621624821"/>
                <w14:textFill>
                  <w14:solidFill>
                    <w14:srgbClr w14:val="000000">
                      <w14:alpha w14:val="100000"/>
                    </w14:srgbClr>
                  </w14:solidFill>
                </w14:textFill>
              </w:rPr>
              <w:t>|</w:t>
            </w:r>
            <w:r w:rsidR="000C2025">
              <w:rPr>
                <w:vertAlign w:val="superscript"/>
              </w:rPr>
              <w:t>7</w:t>
            </w:r>
          </w:p>
        </w:tc>
        <w:tc>
          <w:tcPr>
            <w:tcW w:w="1244" w:type="dxa"/>
            <w:shd w:val="clear" w:color="auto" w:fill="DBE5F1" w:themeFill="accent1" w:themeFillTint="33"/>
            <w:tcMar>
              <w:left w:w="20" w:type="dxa"/>
              <w:right w:w="20" w:type="dxa"/>
            </w:tcMar>
            <w:vAlign w:val="center"/>
          </w:tcPr>
          <w:p w14:paraId="053B7C71" w14:textId="617133FB" w:rsidR="007366F6" w:rsidRPr="00751424" w:rsidRDefault="00060DF6" w:rsidP="00213DD5">
            <w:pPr>
              <w:pStyle w:val="TableText"/>
              <w:jc w:val="center"/>
              <w:rPr>
                <w:vertAlign w:val="superscript"/>
              </w:rPr>
            </w:pPr>
            <w:r>
              <w:t>-</w:t>
            </w:r>
            <w:r w:rsidR="007366F6" w:rsidRPr="00222E0B">
              <w:t>$</w:t>
            </w:r>
            <w:r w:rsidR="00FD3ADE" w:rsidRPr="00FD3ADE">
              <w:rPr>
                <w:color w:val="000000"/>
                <w:spacing w:val="53"/>
                <w:shd w:val="solid" w:color="000000" w:fill="000000"/>
                <w:fitText w:val="330" w:id="-621624820"/>
                <w14:textFill>
                  <w14:solidFill>
                    <w14:srgbClr w14:val="000000">
                      <w14:alpha w14:val="100000"/>
                    </w14:srgbClr>
                  </w14:solidFill>
                </w14:textFill>
              </w:rPr>
              <w:t>|||</w:t>
            </w:r>
            <w:r w:rsidR="00FD3ADE" w:rsidRPr="00FD3ADE">
              <w:rPr>
                <w:color w:val="000000"/>
                <w:spacing w:val="1"/>
                <w:shd w:val="solid" w:color="000000" w:fill="000000"/>
                <w:fitText w:val="330" w:id="-621624820"/>
                <w14:textFill>
                  <w14:solidFill>
                    <w14:srgbClr w14:val="000000">
                      <w14:alpha w14:val="100000"/>
                    </w14:srgbClr>
                  </w14:solidFill>
                </w14:textFill>
              </w:rPr>
              <w:t>|</w:t>
            </w:r>
            <w:r w:rsidR="000C2025">
              <w:rPr>
                <w:vertAlign w:val="superscript"/>
              </w:rPr>
              <w:t>7</w:t>
            </w:r>
          </w:p>
        </w:tc>
        <w:tc>
          <w:tcPr>
            <w:tcW w:w="1129" w:type="dxa"/>
            <w:shd w:val="clear" w:color="auto" w:fill="DBE5F1" w:themeFill="accent1" w:themeFillTint="33"/>
            <w:tcMar>
              <w:left w:w="20" w:type="dxa"/>
              <w:right w:w="20" w:type="dxa"/>
            </w:tcMar>
            <w:vAlign w:val="center"/>
          </w:tcPr>
          <w:p w14:paraId="5621ABFA" w14:textId="6C99B6E7" w:rsidR="007366F6" w:rsidRPr="00751424" w:rsidRDefault="00060DF6" w:rsidP="00213DD5">
            <w:pPr>
              <w:pStyle w:val="TableText"/>
              <w:jc w:val="center"/>
              <w:rPr>
                <w:vertAlign w:val="superscript"/>
              </w:rPr>
            </w:pPr>
            <w:r>
              <w:t>-</w:t>
            </w:r>
            <w:r w:rsidR="007366F6" w:rsidRPr="00222E0B">
              <w:t>$</w:t>
            </w:r>
            <w:r w:rsidR="00FD3ADE" w:rsidRPr="00FD3ADE">
              <w:rPr>
                <w:color w:val="000000"/>
                <w:spacing w:val="53"/>
                <w:shd w:val="solid" w:color="000000" w:fill="000000"/>
                <w:fitText w:val="330" w:id="-621624819"/>
                <w14:textFill>
                  <w14:solidFill>
                    <w14:srgbClr w14:val="000000">
                      <w14:alpha w14:val="100000"/>
                    </w14:srgbClr>
                  </w14:solidFill>
                </w14:textFill>
              </w:rPr>
              <w:t>|||</w:t>
            </w:r>
            <w:r w:rsidR="00FD3ADE" w:rsidRPr="00FD3ADE">
              <w:rPr>
                <w:color w:val="000000"/>
                <w:spacing w:val="1"/>
                <w:shd w:val="solid" w:color="000000" w:fill="000000"/>
                <w:fitText w:val="330" w:id="-621624819"/>
                <w14:textFill>
                  <w14:solidFill>
                    <w14:srgbClr w14:val="000000">
                      <w14:alpha w14:val="100000"/>
                    </w14:srgbClr>
                  </w14:solidFill>
                </w14:textFill>
              </w:rPr>
              <w:t>|</w:t>
            </w:r>
            <w:r w:rsidR="000C2025">
              <w:rPr>
                <w:vertAlign w:val="superscript"/>
              </w:rPr>
              <w:t>7</w:t>
            </w:r>
          </w:p>
        </w:tc>
        <w:tc>
          <w:tcPr>
            <w:tcW w:w="1129" w:type="dxa"/>
            <w:shd w:val="clear" w:color="auto" w:fill="DBE5F1" w:themeFill="accent1" w:themeFillTint="33"/>
            <w:tcMar>
              <w:left w:w="20" w:type="dxa"/>
              <w:right w:w="20" w:type="dxa"/>
            </w:tcMar>
            <w:vAlign w:val="center"/>
          </w:tcPr>
          <w:p w14:paraId="64CF871C" w14:textId="58EE141B" w:rsidR="007366F6" w:rsidRPr="00751424" w:rsidRDefault="00060DF6" w:rsidP="00213DD5">
            <w:pPr>
              <w:pStyle w:val="TableText"/>
              <w:jc w:val="center"/>
              <w:rPr>
                <w:vertAlign w:val="superscript"/>
              </w:rPr>
            </w:pPr>
            <w:r>
              <w:t>-</w:t>
            </w:r>
            <w:r w:rsidR="007366F6" w:rsidRPr="00222E0B">
              <w:t>$</w:t>
            </w:r>
            <w:r w:rsidR="00FD3ADE" w:rsidRPr="00FD3ADE">
              <w:rPr>
                <w:color w:val="000000"/>
                <w:spacing w:val="53"/>
                <w:shd w:val="solid" w:color="000000" w:fill="000000"/>
                <w:fitText w:val="330" w:id="-621624818"/>
                <w14:textFill>
                  <w14:solidFill>
                    <w14:srgbClr w14:val="000000">
                      <w14:alpha w14:val="100000"/>
                    </w14:srgbClr>
                  </w14:solidFill>
                </w14:textFill>
              </w:rPr>
              <w:t>|||</w:t>
            </w:r>
            <w:r w:rsidR="00FD3ADE" w:rsidRPr="00FD3ADE">
              <w:rPr>
                <w:color w:val="000000"/>
                <w:spacing w:val="1"/>
                <w:shd w:val="solid" w:color="000000" w:fill="000000"/>
                <w:fitText w:val="330" w:id="-621624818"/>
                <w14:textFill>
                  <w14:solidFill>
                    <w14:srgbClr w14:val="000000">
                      <w14:alpha w14:val="100000"/>
                    </w14:srgbClr>
                  </w14:solidFill>
                </w14:textFill>
              </w:rPr>
              <w:t>|</w:t>
            </w:r>
            <w:r w:rsidR="000C2025">
              <w:rPr>
                <w:vertAlign w:val="superscript"/>
              </w:rPr>
              <w:t>7</w:t>
            </w:r>
          </w:p>
        </w:tc>
        <w:tc>
          <w:tcPr>
            <w:tcW w:w="1129" w:type="dxa"/>
            <w:shd w:val="clear" w:color="auto" w:fill="DBE5F1" w:themeFill="accent1" w:themeFillTint="33"/>
            <w:tcMar>
              <w:left w:w="20" w:type="dxa"/>
              <w:right w:w="20" w:type="dxa"/>
            </w:tcMar>
            <w:vAlign w:val="center"/>
          </w:tcPr>
          <w:p w14:paraId="087F2F97" w14:textId="4B35D817" w:rsidR="007366F6" w:rsidRPr="00751424" w:rsidRDefault="00060DF6" w:rsidP="00213DD5">
            <w:pPr>
              <w:pStyle w:val="TableText"/>
              <w:jc w:val="center"/>
              <w:rPr>
                <w:vertAlign w:val="superscript"/>
              </w:rPr>
            </w:pPr>
            <w:r>
              <w:t>-</w:t>
            </w:r>
            <w:r w:rsidR="007366F6" w:rsidRPr="00222E0B">
              <w:t>$</w:t>
            </w:r>
            <w:r w:rsidR="00FD3ADE" w:rsidRPr="00FD3ADE">
              <w:rPr>
                <w:color w:val="000000"/>
                <w:spacing w:val="53"/>
                <w:shd w:val="solid" w:color="000000" w:fill="000000"/>
                <w:fitText w:val="330" w:id="-621624817"/>
                <w14:textFill>
                  <w14:solidFill>
                    <w14:srgbClr w14:val="000000">
                      <w14:alpha w14:val="100000"/>
                    </w14:srgbClr>
                  </w14:solidFill>
                </w14:textFill>
              </w:rPr>
              <w:t>|||</w:t>
            </w:r>
            <w:r w:rsidR="00FD3ADE" w:rsidRPr="00FD3ADE">
              <w:rPr>
                <w:color w:val="000000"/>
                <w:spacing w:val="1"/>
                <w:shd w:val="solid" w:color="000000" w:fill="000000"/>
                <w:fitText w:val="330" w:id="-621624817"/>
                <w14:textFill>
                  <w14:solidFill>
                    <w14:srgbClr w14:val="000000">
                      <w14:alpha w14:val="100000"/>
                    </w14:srgbClr>
                  </w14:solidFill>
                </w14:textFill>
              </w:rPr>
              <w:t>|</w:t>
            </w:r>
            <w:r w:rsidR="000C2025">
              <w:rPr>
                <w:vertAlign w:val="superscript"/>
              </w:rPr>
              <w:t>7</w:t>
            </w:r>
          </w:p>
        </w:tc>
        <w:tc>
          <w:tcPr>
            <w:tcW w:w="1129" w:type="dxa"/>
            <w:shd w:val="clear" w:color="auto" w:fill="DBE5F1" w:themeFill="accent1" w:themeFillTint="33"/>
            <w:tcMar>
              <w:left w:w="20" w:type="dxa"/>
              <w:right w:w="20" w:type="dxa"/>
            </w:tcMar>
            <w:vAlign w:val="center"/>
          </w:tcPr>
          <w:p w14:paraId="12517559" w14:textId="2F59C133" w:rsidR="007366F6" w:rsidRPr="00751424" w:rsidRDefault="00060DF6" w:rsidP="00213DD5">
            <w:pPr>
              <w:pStyle w:val="TableText"/>
              <w:jc w:val="center"/>
              <w:rPr>
                <w:vertAlign w:val="superscript"/>
              </w:rPr>
            </w:pPr>
            <w:r>
              <w:t>-</w:t>
            </w:r>
            <w:r w:rsidR="007366F6" w:rsidRPr="00222E0B">
              <w:t>$</w:t>
            </w:r>
            <w:r w:rsidR="00FD3ADE" w:rsidRPr="00FD3ADE">
              <w:rPr>
                <w:color w:val="000000"/>
                <w:spacing w:val="53"/>
                <w:shd w:val="solid" w:color="000000" w:fill="000000"/>
                <w:fitText w:val="330" w:id="-621624816"/>
                <w14:textFill>
                  <w14:solidFill>
                    <w14:srgbClr w14:val="000000">
                      <w14:alpha w14:val="100000"/>
                    </w14:srgbClr>
                  </w14:solidFill>
                </w14:textFill>
              </w:rPr>
              <w:t>|||</w:t>
            </w:r>
            <w:r w:rsidR="00FD3ADE" w:rsidRPr="00FD3ADE">
              <w:rPr>
                <w:color w:val="000000"/>
                <w:spacing w:val="1"/>
                <w:shd w:val="solid" w:color="000000" w:fill="000000"/>
                <w:fitText w:val="330" w:id="-621624816"/>
                <w14:textFill>
                  <w14:solidFill>
                    <w14:srgbClr w14:val="000000">
                      <w14:alpha w14:val="100000"/>
                    </w14:srgbClr>
                  </w14:solidFill>
                </w14:textFill>
              </w:rPr>
              <w:t>|</w:t>
            </w:r>
            <w:r w:rsidR="000C2025">
              <w:rPr>
                <w:vertAlign w:val="superscript"/>
              </w:rPr>
              <w:t>7</w:t>
            </w:r>
          </w:p>
        </w:tc>
      </w:tr>
      <w:tr w:rsidR="005440B3" w:rsidRPr="00222E0B" w14:paraId="5A4C3E2D" w14:textId="77777777" w:rsidTr="00222E0B">
        <w:tc>
          <w:tcPr>
            <w:tcW w:w="9016" w:type="dxa"/>
            <w:gridSpan w:val="7"/>
            <w:shd w:val="clear" w:color="auto" w:fill="DBE5F1" w:themeFill="accent1" w:themeFillTint="33"/>
            <w:tcMar>
              <w:left w:w="20" w:type="dxa"/>
              <w:right w:w="20" w:type="dxa"/>
            </w:tcMar>
            <w:vAlign w:val="center"/>
          </w:tcPr>
          <w:p w14:paraId="1FE2C92B" w14:textId="77777777" w:rsidR="005440B3" w:rsidRPr="00222E0B" w:rsidRDefault="005440B3" w:rsidP="00213DD5">
            <w:pPr>
              <w:pStyle w:val="TableText"/>
              <w:rPr>
                <w:b/>
                <w:bCs w:val="0"/>
              </w:rPr>
            </w:pPr>
            <w:r w:rsidRPr="00222E0B">
              <w:rPr>
                <w:b/>
                <w:bCs w:val="0"/>
              </w:rPr>
              <w:t>Net cost</w:t>
            </w:r>
          </w:p>
        </w:tc>
      </w:tr>
      <w:tr w:rsidR="005659D6" w:rsidRPr="00222E0B" w14:paraId="29B4382B" w14:textId="77777777" w:rsidTr="00751424">
        <w:tc>
          <w:tcPr>
            <w:tcW w:w="2242" w:type="dxa"/>
            <w:shd w:val="clear" w:color="auto" w:fill="DBE5F1" w:themeFill="accent1" w:themeFillTint="33"/>
            <w:tcMar>
              <w:left w:w="20" w:type="dxa"/>
              <w:right w:w="20" w:type="dxa"/>
            </w:tcMar>
            <w:vAlign w:val="center"/>
          </w:tcPr>
          <w:p w14:paraId="39FA3018" w14:textId="77777777" w:rsidR="005659D6" w:rsidRPr="00222E0B" w:rsidRDefault="005659D6" w:rsidP="00213DD5">
            <w:pPr>
              <w:pStyle w:val="TableText"/>
            </w:pPr>
            <w:r w:rsidRPr="00222E0B">
              <w:t>Net cost to PBS/RPBS</w:t>
            </w:r>
          </w:p>
        </w:tc>
        <w:tc>
          <w:tcPr>
            <w:tcW w:w="1014" w:type="dxa"/>
            <w:shd w:val="clear" w:color="auto" w:fill="DBE5F1" w:themeFill="accent1" w:themeFillTint="33"/>
            <w:tcMar>
              <w:left w:w="20" w:type="dxa"/>
              <w:right w:w="20" w:type="dxa"/>
            </w:tcMar>
          </w:tcPr>
          <w:p w14:paraId="4E13EA33" w14:textId="6FD14873" w:rsidR="005659D6" w:rsidRPr="00751424" w:rsidRDefault="005659D6" w:rsidP="00213DD5">
            <w:pPr>
              <w:pStyle w:val="TableText"/>
              <w:jc w:val="center"/>
              <w:rPr>
                <w:vertAlign w:val="superscript"/>
              </w:rPr>
            </w:pPr>
            <w:r>
              <w:rPr>
                <w:b/>
                <w:lang w:eastAsia="en-US"/>
              </w:rPr>
              <w:t>$</w:t>
            </w:r>
            <w:r w:rsidR="00FD3ADE" w:rsidRPr="00FD3ADE">
              <w:rPr>
                <w:b/>
                <w:color w:val="000000"/>
                <w:spacing w:val="53"/>
                <w:shd w:val="solid" w:color="000000" w:fill="000000"/>
                <w:fitText w:val="345" w:id="-621624832"/>
                <w:lang w:eastAsia="en-US"/>
                <w14:textFill>
                  <w14:solidFill>
                    <w14:srgbClr w14:val="000000">
                      <w14:alpha w14:val="100000"/>
                    </w14:srgbClr>
                  </w14:solidFill>
                </w14:textFill>
              </w:rPr>
              <w:t>|||</w:t>
            </w:r>
            <w:r w:rsidR="00FD3ADE" w:rsidRPr="00FD3ADE">
              <w:rPr>
                <w:b/>
                <w:color w:val="000000"/>
                <w:spacing w:val="3"/>
                <w:shd w:val="solid" w:color="000000" w:fill="000000"/>
                <w:fitText w:val="345" w:id="-621624832"/>
                <w:lang w:eastAsia="en-US"/>
                <w14:textFill>
                  <w14:solidFill>
                    <w14:srgbClr w14:val="000000">
                      <w14:alpha w14:val="100000"/>
                    </w14:srgbClr>
                  </w14:solidFill>
                </w14:textFill>
              </w:rPr>
              <w:t>|</w:t>
            </w:r>
            <w:r w:rsidR="00676A41">
              <w:rPr>
                <w:b/>
                <w:vertAlign w:val="superscript"/>
                <w:lang w:eastAsia="en-US"/>
              </w:rPr>
              <w:t>6</w:t>
            </w:r>
          </w:p>
        </w:tc>
        <w:tc>
          <w:tcPr>
            <w:tcW w:w="1244" w:type="dxa"/>
            <w:shd w:val="clear" w:color="auto" w:fill="DBE5F1" w:themeFill="accent1" w:themeFillTint="33"/>
            <w:tcMar>
              <w:left w:w="20" w:type="dxa"/>
              <w:right w:w="20" w:type="dxa"/>
            </w:tcMar>
          </w:tcPr>
          <w:p w14:paraId="6D0C8C6D" w14:textId="39790A45" w:rsidR="005659D6" w:rsidRPr="00751424" w:rsidRDefault="005659D6" w:rsidP="00213DD5">
            <w:pPr>
              <w:pStyle w:val="TableText"/>
              <w:jc w:val="center"/>
              <w:rPr>
                <w:vertAlign w:val="superscript"/>
              </w:rPr>
            </w:pPr>
            <w:r>
              <w:rPr>
                <w:b/>
                <w:lang w:eastAsia="en-US"/>
              </w:rPr>
              <w:t>$</w:t>
            </w:r>
            <w:r w:rsidR="00FD3ADE" w:rsidRPr="00FD3ADE">
              <w:rPr>
                <w:b/>
                <w:color w:val="000000"/>
                <w:spacing w:val="58"/>
                <w:shd w:val="solid" w:color="000000" w:fill="000000"/>
                <w:fitText w:val="360" w:id="-621624831"/>
                <w:lang w:eastAsia="en-US"/>
                <w14:textFill>
                  <w14:solidFill>
                    <w14:srgbClr w14:val="000000">
                      <w14:alpha w14:val="100000"/>
                    </w14:srgbClr>
                  </w14:solidFill>
                </w14:textFill>
              </w:rPr>
              <w:t>|||</w:t>
            </w:r>
            <w:r w:rsidR="00FD3ADE" w:rsidRPr="00FD3ADE">
              <w:rPr>
                <w:b/>
                <w:color w:val="000000"/>
                <w:spacing w:val="3"/>
                <w:shd w:val="solid" w:color="000000" w:fill="000000"/>
                <w:fitText w:val="360" w:id="-621624831"/>
                <w:lang w:eastAsia="en-US"/>
                <w14:textFill>
                  <w14:solidFill>
                    <w14:srgbClr w14:val="000000">
                      <w14:alpha w14:val="100000"/>
                    </w14:srgbClr>
                  </w14:solidFill>
                </w14:textFill>
              </w:rPr>
              <w:t>|</w:t>
            </w:r>
            <w:r w:rsidR="00676A41">
              <w:rPr>
                <w:b/>
                <w:vertAlign w:val="superscript"/>
                <w:lang w:eastAsia="en-US"/>
              </w:rPr>
              <w:t>9</w:t>
            </w:r>
          </w:p>
        </w:tc>
        <w:tc>
          <w:tcPr>
            <w:tcW w:w="1129" w:type="dxa"/>
            <w:shd w:val="clear" w:color="auto" w:fill="DBE5F1" w:themeFill="accent1" w:themeFillTint="33"/>
            <w:tcMar>
              <w:left w:w="20" w:type="dxa"/>
              <w:right w:w="20" w:type="dxa"/>
            </w:tcMar>
          </w:tcPr>
          <w:p w14:paraId="15743300" w14:textId="2FD9B9EF" w:rsidR="005659D6" w:rsidRPr="00751424" w:rsidRDefault="005659D6" w:rsidP="00213DD5">
            <w:pPr>
              <w:pStyle w:val="TableText"/>
              <w:jc w:val="center"/>
              <w:rPr>
                <w:vertAlign w:val="superscript"/>
              </w:rPr>
            </w:pPr>
            <w:r>
              <w:rPr>
                <w:b/>
                <w:lang w:eastAsia="en-US"/>
              </w:rPr>
              <w:t>$</w:t>
            </w:r>
            <w:r w:rsidR="00FD3ADE" w:rsidRPr="00FD3ADE">
              <w:rPr>
                <w:b/>
                <w:color w:val="000000"/>
                <w:spacing w:val="58"/>
                <w:shd w:val="solid" w:color="000000" w:fill="000000"/>
                <w:fitText w:val="360" w:id="-621624830"/>
                <w:lang w:eastAsia="en-US"/>
                <w14:textFill>
                  <w14:solidFill>
                    <w14:srgbClr w14:val="000000">
                      <w14:alpha w14:val="100000"/>
                    </w14:srgbClr>
                  </w14:solidFill>
                </w14:textFill>
              </w:rPr>
              <w:t>|||</w:t>
            </w:r>
            <w:r w:rsidR="00FD3ADE" w:rsidRPr="00FD3ADE">
              <w:rPr>
                <w:b/>
                <w:color w:val="000000"/>
                <w:spacing w:val="3"/>
                <w:shd w:val="solid" w:color="000000" w:fill="000000"/>
                <w:fitText w:val="360" w:id="-621624830"/>
                <w:lang w:eastAsia="en-US"/>
                <w14:textFill>
                  <w14:solidFill>
                    <w14:srgbClr w14:val="000000">
                      <w14:alpha w14:val="100000"/>
                    </w14:srgbClr>
                  </w14:solidFill>
                </w14:textFill>
              </w:rPr>
              <w:t>|</w:t>
            </w:r>
            <w:r w:rsidR="00A03178">
              <w:rPr>
                <w:b/>
                <w:vertAlign w:val="superscript"/>
                <w:lang w:eastAsia="en-US"/>
              </w:rPr>
              <w:t>10</w:t>
            </w:r>
          </w:p>
        </w:tc>
        <w:tc>
          <w:tcPr>
            <w:tcW w:w="1129" w:type="dxa"/>
            <w:shd w:val="clear" w:color="auto" w:fill="DBE5F1" w:themeFill="accent1" w:themeFillTint="33"/>
            <w:tcMar>
              <w:left w:w="20" w:type="dxa"/>
              <w:right w:w="20" w:type="dxa"/>
            </w:tcMar>
          </w:tcPr>
          <w:p w14:paraId="25D55527" w14:textId="06798151" w:rsidR="005659D6" w:rsidRPr="00751424" w:rsidRDefault="005659D6" w:rsidP="00213DD5">
            <w:pPr>
              <w:pStyle w:val="TableText"/>
              <w:jc w:val="center"/>
              <w:rPr>
                <w:vertAlign w:val="superscript"/>
              </w:rPr>
            </w:pPr>
            <w:r>
              <w:rPr>
                <w:b/>
                <w:lang w:eastAsia="en-US"/>
              </w:rPr>
              <w:t>$</w:t>
            </w:r>
            <w:r w:rsidR="00FD3ADE" w:rsidRPr="00FD3ADE">
              <w:rPr>
                <w:b/>
                <w:color w:val="000000"/>
                <w:spacing w:val="58"/>
                <w:shd w:val="solid" w:color="000000" w:fill="000000"/>
                <w:fitText w:val="360" w:id="-621624829"/>
                <w:lang w:eastAsia="en-US"/>
                <w14:textFill>
                  <w14:solidFill>
                    <w14:srgbClr w14:val="000000">
                      <w14:alpha w14:val="100000"/>
                    </w14:srgbClr>
                  </w14:solidFill>
                </w14:textFill>
              </w:rPr>
              <w:t>|||</w:t>
            </w:r>
            <w:r w:rsidR="00FD3ADE" w:rsidRPr="00FD3ADE">
              <w:rPr>
                <w:b/>
                <w:color w:val="000000"/>
                <w:spacing w:val="3"/>
                <w:shd w:val="solid" w:color="000000" w:fill="000000"/>
                <w:fitText w:val="360" w:id="-621624829"/>
                <w:lang w:eastAsia="en-US"/>
                <w14:textFill>
                  <w14:solidFill>
                    <w14:srgbClr w14:val="000000">
                      <w14:alpha w14:val="100000"/>
                    </w14:srgbClr>
                  </w14:solidFill>
                </w14:textFill>
              </w:rPr>
              <w:t>|</w:t>
            </w:r>
            <w:r w:rsidR="00A03178">
              <w:rPr>
                <w:b/>
                <w:vertAlign w:val="superscript"/>
                <w:lang w:eastAsia="en-US"/>
              </w:rPr>
              <w:t>10</w:t>
            </w:r>
          </w:p>
        </w:tc>
        <w:tc>
          <w:tcPr>
            <w:tcW w:w="1129" w:type="dxa"/>
            <w:shd w:val="clear" w:color="auto" w:fill="DBE5F1" w:themeFill="accent1" w:themeFillTint="33"/>
            <w:tcMar>
              <w:left w:w="20" w:type="dxa"/>
              <w:right w:w="20" w:type="dxa"/>
            </w:tcMar>
          </w:tcPr>
          <w:p w14:paraId="04307DF5" w14:textId="28EF514F" w:rsidR="005659D6" w:rsidRPr="00751424" w:rsidRDefault="005659D6" w:rsidP="00213DD5">
            <w:pPr>
              <w:pStyle w:val="TableText"/>
              <w:jc w:val="center"/>
              <w:rPr>
                <w:vertAlign w:val="superscript"/>
              </w:rPr>
            </w:pPr>
            <w:r>
              <w:rPr>
                <w:b/>
                <w:lang w:eastAsia="en-US"/>
              </w:rPr>
              <w:t>$</w:t>
            </w:r>
            <w:r w:rsidR="00FD3ADE" w:rsidRPr="00FD3ADE">
              <w:rPr>
                <w:b/>
                <w:color w:val="000000"/>
                <w:spacing w:val="58"/>
                <w:shd w:val="solid" w:color="000000" w:fill="000000"/>
                <w:fitText w:val="360" w:id="-621624828"/>
                <w:lang w:eastAsia="en-US"/>
                <w14:textFill>
                  <w14:solidFill>
                    <w14:srgbClr w14:val="000000">
                      <w14:alpha w14:val="100000"/>
                    </w14:srgbClr>
                  </w14:solidFill>
                </w14:textFill>
              </w:rPr>
              <w:t>|||</w:t>
            </w:r>
            <w:r w:rsidR="00FD3ADE" w:rsidRPr="00FD3ADE">
              <w:rPr>
                <w:b/>
                <w:color w:val="000000"/>
                <w:spacing w:val="3"/>
                <w:shd w:val="solid" w:color="000000" w:fill="000000"/>
                <w:fitText w:val="360" w:id="-621624828"/>
                <w:lang w:eastAsia="en-US"/>
                <w14:textFill>
                  <w14:solidFill>
                    <w14:srgbClr w14:val="000000">
                      <w14:alpha w14:val="100000"/>
                    </w14:srgbClr>
                  </w14:solidFill>
                </w14:textFill>
              </w:rPr>
              <w:t>|</w:t>
            </w:r>
            <w:r w:rsidR="00A03178">
              <w:rPr>
                <w:b/>
                <w:vertAlign w:val="superscript"/>
                <w:lang w:eastAsia="en-US"/>
              </w:rPr>
              <w:t>10</w:t>
            </w:r>
          </w:p>
        </w:tc>
        <w:tc>
          <w:tcPr>
            <w:tcW w:w="1129" w:type="dxa"/>
            <w:shd w:val="clear" w:color="auto" w:fill="DBE5F1" w:themeFill="accent1" w:themeFillTint="33"/>
            <w:tcMar>
              <w:left w:w="20" w:type="dxa"/>
              <w:right w:w="20" w:type="dxa"/>
            </w:tcMar>
          </w:tcPr>
          <w:p w14:paraId="535CC9BD" w14:textId="7C245098" w:rsidR="005659D6" w:rsidRPr="00751424" w:rsidRDefault="005659D6" w:rsidP="00213DD5">
            <w:pPr>
              <w:pStyle w:val="TableText"/>
              <w:jc w:val="center"/>
              <w:rPr>
                <w:vertAlign w:val="superscript"/>
              </w:rPr>
            </w:pPr>
            <w:r>
              <w:rPr>
                <w:b/>
                <w:lang w:eastAsia="en-US"/>
              </w:rPr>
              <w:t>$</w:t>
            </w:r>
            <w:r w:rsidR="00FD3ADE" w:rsidRPr="007746F5">
              <w:rPr>
                <w:b/>
                <w:color w:val="000000"/>
                <w:spacing w:val="58"/>
                <w:shd w:val="solid" w:color="000000" w:fill="000000"/>
                <w:fitText w:val="360" w:id="-621624827"/>
                <w:lang w:eastAsia="en-US"/>
                <w14:textFill>
                  <w14:solidFill>
                    <w14:srgbClr w14:val="000000">
                      <w14:alpha w14:val="100000"/>
                    </w14:srgbClr>
                  </w14:solidFill>
                </w14:textFill>
              </w:rPr>
              <w:t>|||</w:t>
            </w:r>
            <w:r w:rsidR="00FD3ADE" w:rsidRPr="007746F5">
              <w:rPr>
                <w:b/>
                <w:color w:val="000000"/>
                <w:spacing w:val="3"/>
                <w:shd w:val="solid" w:color="000000" w:fill="000000"/>
                <w:fitText w:val="360" w:id="-621624827"/>
                <w:lang w:eastAsia="en-US"/>
                <w14:textFill>
                  <w14:solidFill>
                    <w14:srgbClr w14:val="000000">
                      <w14:alpha w14:val="100000"/>
                    </w14:srgbClr>
                  </w14:solidFill>
                </w14:textFill>
              </w:rPr>
              <w:t>|</w:t>
            </w:r>
            <w:r w:rsidR="00A03178">
              <w:rPr>
                <w:b/>
                <w:vertAlign w:val="superscript"/>
                <w:lang w:eastAsia="en-US"/>
              </w:rPr>
              <w:t>10</w:t>
            </w:r>
          </w:p>
        </w:tc>
      </w:tr>
    </w:tbl>
    <w:p w14:paraId="7AE245DC" w14:textId="6A9B7C6D" w:rsidR="005440B3" w:rsidRPr="00222E0B" w:rsidRDefault="005440B3" w:rsidP="00213DD5">
      <w:pPr>
        <w:pStyle w:val="TableFigureFooter"/>
      </w:pPr>
      <w:r w:rsidRPr="00222E0B">
        <w:t>Source: Tables 8 and 9, p17 of the July 2025 early re-entry resubmission</w:t>
      </w:r>
    </w:p>
    <w:p w14:paraId="23E514B2" w14:textId="77777777" w:rsidR="00222E0B" w:rsidRDefault="00222E0B" w:rsidP="00213DD5">
      <w:pPr>
        <w:pStyle w:val="TableFigureFooter"/>
      </w:pPr>
      <w:r w:rsidRPr="00222E0B">
        <w:rPr>
          <w:vertAlign w:val="superscript"/>
        </w:rPr>
        <w:t xml:space="preserve">a </w:t>
      </w:r>
      <w:r w:rsidRPr="00222E0B">
        <w:t>Estimation based on 7 scripts (in first 6 months of first year of treatment) for initiating patients on palopegteriparatide, and 4.79 scripts (in second 6 months in the first year of treatment) for responding initiating patients and 11.67 scripts per year for continuing patients in following years.</w:t>
      </w:r>
    </w:p>
    <w:p w14:paraId="7C13B6D2" w14:textId="77777777" w:rsidR="00074544" w:rsidRPr="00074544" w:rsidRDefault="00074544" w:rsidP="00074544">
      <w:pPr>
        <w:pStyle w:val="TableFigureFooter"/>
        <w:rPr>
          <w:i/>
        </w:rPr>
      </w:pPr>
      <w:r w:rsidRPr="00074544">
        <w:rPr>
          <w:i/>
        </w:rPr>
        <w:t xml:space="preserve">The redacted values correspond to the following ranges: </w:t>
      </w:r>
    </w:p>
    <w:p w14:paraId="1B5987F5" w14:textId="533018B1" w:rsidR="00074544" w:rsidRPr="00074544" w:rsidRDefault="00074544" w:rsidP="00074544">
      <w:pPr>
        <w:pStyle w:val="TableFigureFooter"/>
        <w:rPr>
          <w:i/>
        </w:rPr>
      </w:pPr>
      <w:r w:rsidRPr="00074544">
        <w:rPr>
          <w:i/>
          <w:vertAlign w:val="superscript"/>
        </w:rPr>
        <w:t>1</w:t>
      </w:r>
      <w:r w:rsidRPr="00074544">
        <w:rPr>
          <w:i/>
        </w:rPr>
        <w:t xml:space="preserve"> </w:t>
      </w:r>
      <w:r w:rsidR="009A0481" w:rsidRPr="009A0481">
        <w:rPr>
          <w:i/>
        </w:rPr>
        <w:t>500 to &lt; 5,000</w:t>
      </w:r>
    </w:p>
    <w:p w14:paraId="54C18A9C" w14:textId="6FBDE157" w:rsidR="00074544" w:rsidRPr="00074544" w:rsidRDefault="00074544" w:rsidP="00074544">
      <w:pPr>
        <w:pStyle w:val="TableFigureFooter"/>
        <w:rPr>
          <w:i/>
        </w:rPr>
      </w:pPr>
      <w:r w:rsidRPr="00074544">
        <w:rPr>
          <w:i/>
          <w:vertAlign w:val="superscript"/>
        </w:rPr>
        <w:t>2</w:t>
      </w:r>
      <w:r w:rsidRPr="00074544">
        <w:rPr>
          <w:i/>
        </w:rPr>
        <w:t xml:space="preserve"> </w:t>
      </w:r>
      <w:r w:rsidR="00122E9C" w:rsidRPr="00122E9C">
        <w:rPr>
          <w:i/>
        </w:rPr>
        <w:t>10,000 to &lt; 20,000</w:t>
      </w:r>
    </w:p>
    <w:p w14:paraId="1FEF5CE3" w14:textId="254217B0" w:rsidR="00074544" w:rsidRPr="00074544" w:rsidRDefault="00074544" w:rsidP="00074544">
      <w:pPr>
        <w:pStyle w:val="TableFigureFooter"/>
        <w:rPr>
          <w:i/>
        </w:rPr>
      </w:pPr>
      <w:r w:rsidRPr="00074544">
        <w:rPr>
          <w:i/>
          <w:vertAlign w:val="superscript"/>
        </w:rPr>
        <w:t>3</w:t>
      </w:r>
      <w:r w:rsidRPr="00074544">
        <w:rPr>
          <w:i/>
        </w:rPr>
        <w:t xml:space="preserve"> </w:t>
      </w:r>
      <w:r w:rsidR="00B8075E" w:rsidRPr="00B8075E">
        <w:rPr>
          <w:i/>
        </w:rPr>
        <w:t>20,000 to &lt; 30,000</w:t>
      </w:r>
    </w:p>
    <w:p w14:paraId="3CCB3E9E" w14:textId="2930D1AC" w:rsidR="00074544" w:rsidRPr="00074544" w:rsidRDefault="00074544" w:rsidP="00074544">
      <w:pPr>
        <w:pStyle w:val="TableFigureFooter"/>
        <w:rPr>
          <w:i/>
        </w:rPr>
      </w:pPr>
      <w:r w:rsidRPr="00074544">
        <w:rPr>
          <w:i/>
          <w:vertAlign w:val="superscript"/>
        </w:rPr>
        <w:t>4</w:t>
      </w:r>
      <w:r w:rsidRPr="00074544">
        <w:rPr>
          <w:i/>
        </w:rPr>
        <w:t xml:space="preserve"> </w:t>
      </w:r>
      <w:r w:rsidR="00004664" w:rsidRPr="00004664">
        <w:rPr>
          <w:i/>
        </w:rPr>
        <w:t>$20 million to &lt; $30 million</w:t>
      </w:r>
    </w:p>
    <w:p w14:paraId="5C2DF82E" w14:textId="3CEA56C6" w:rsidR="00074544" w:rsidRPr="00074544" w:rsidRDefault="00074544" w:rsidP="00074544">
      <w:pPr>
        <w:pStyle w:val="TableFigureFooter"/>
        <w:rPr>
          <w:i/>
        </w:rPr>
      </w:pPr>
      <w:r w:rsidRPr="00074544">
        <w:rPr>
          <w:i/>
          <w:vertAlign w:val="superscript"/>
        </w:rPr>
        <w:t>5</w:t>
      </w:r>
      <w:r w:rsidRPr="00074544">
        <w:rPr>
          <w:i/>
        </w:rPr>
        <w:t xml:space="preserve"> </w:t>
      </w:r>
      <w:r w:rsidR="00EC4794" w:rsidRPr="00EC4794">
        <w:rPr>
          <w:i/>
        </w:rPr>
        <w:t>$30 million to &lt; $40 million</w:t>
      </w:r>
    </w:p>
    <w:p w14:paraId="54B01BC2" w14:textId="77777777" w:rsidR="006A5E46" w:rsidRPr="006A5E46" w:rsidRDefault="00074544" w:rsidP="006A5E46">
      <w:pPr>
        <w:pStyle w:val="TableFigureFooter"/>
        <w:rPr>
          <w:i/>
        </w:rPr>
      </w:pPr>
      <w:r w:rsidRPr="00074544">
        <w:rPr>
          <w:i/>
          <w:vertAlign w:val="superscript"/>
        </w:rPr>
        <w:t>6</w:t>
      </w:r>
      <w:r w:rsidRPr="00074544">
        <w:rPr>
          <w:i/>
        </w:rPr>
        <w:t xml:space="preserve"> </w:t>
      </w:r>
      <w:r w:rsidR="006A5E46" w:rsidRPr="006A5E46">
        <w:rPr>
          <w:i/>
        </w:rPr>
        <w:t>$40 million to &lt; $50 million</w:t>
      </w:r>
    </w:p>
    <w:p w14:paraId="6A96F32C" w14:textId="41A473A8" w:rsidR="00074544" w:rsidRDefault="006A5E46" w:rsidP="00074544">
      <w:pPr>
        <w:pStyle w:val="TableFigureFooter"/>
        <w:rPr>
          <w:i/>
        </w:rPr>
      </w:pPr>
      <w:r>
        <w:rPr>
          <w:i/>
          <w:vertAlign w:val="superscript"/>
        </w:rPr>
        <w:t>7</w:t>
      </w:r>
      <w:r>
        <w:rPr>
          <w:i/>
        </w:rPr>
        <w:t xml:space="preserve"> </w:t>
      </w:r>
      <w:r w:rsidR="000C2025" w:rsidRPr="000C2025">
        <w:rPr>
          <w:i/>
        </w:rPr>
        <w:t>$0 to &lt; $10 million</w:t>
      </w:r>
    </w:p>
    <w:p w14:paraId="5FC2BE61" w14:textId="77777777" w:rsidR="00634A26" w:rsidRDefault="000C2025" w:rsidP="00634A26">
      <w:pPr>
        <w:pStyle w:val="TableFigureFooter"/>
        <w:rPr>
          <w:i/>
        </w:rPr>
      </w:pPr>
      <w:r>
        <w:rPr>
          <w:i/>
          <w:vertAlign w:val="superscript"/>
        </w:rPr>
        <w:t>8</w:t>
      </w:r>
      <w:r>
        <w:rPr>
          <w:i/>
        </w:rPr>
        <w:t xml:space="preserve"> </w:t>
      </w:r>
      <w:r w:rsidR="00634A26" w:rsidRPr="00634A26">
        <w:rPr>
          <w:i/>
        </w:rPr>
        <w:t>30,000 to &lt; 40,000</w:t>
      </w:r>
    </w:p>
    <w:p w14:paraId="78BEAA87" w14:textId="77777777" w:rsidR="00676A41" w:rsidRDefault="00676A41" w:rsidP="00676A41">
      <w:pPr>
        <w:pStyle w:val="TableFigureFooter"/>
        <w:rPr>
          <w:i/>
        </w:rPr>
      </w:pPr>
      <w:r>
        <w:rPr>
          <w:i/>
          <w:vertAlign w:val="superscript"/>
        </w:rPr>
        <w:t>9</w:t>
      </w:r>
      <w:r>
        <w:rPr>
          <w:i/>
        </w:rPr>
        <w:t xml:space="preserve"> </w:t>
      </w:r>
      <w:r w:rsidRPr="00676A41">
        <w:rPr>
          <w:i/>
        </w:rPr>
        <w:t>$50 million to &lt; $60 million</w:t>
      </w:r>
    </w:p>
    <w:p w14:paraId="6C47DA03" w14:textId="77777777" w:rsidR="00A03178" w:rsidRDefault="00C511E5" w:rsidP="00A03178">
      <w:pPr>
        <w:pStyle w:val="TableFigureFooter"/>
        <w:rPr>
          <w:i/>
        </w:rPr>
      </w:pPr>
      <w:r>
        <w:rPr>
          <w:i/>
          <w:vertAlign w:val="superscript"/>
        </w:rPr>
        <w:t xml:space="preserve">10 </w:t>
      </w:r>
      <w:r w:rsidR="00A03178" w:rsidRPr="00A03178">
        <w:rPr>
          <w:i/>
        </w:rPr>
        <w:t>$60 million to &lt; $70 million</w:t>
      </w:r>
    </w:p>
    <w:p w14:paraId="3B5A2E5F" w14:textId="756A7B3F" w:rsidR="000C2025" w:rsidRPr="000C2025" w:rsidRDefault="00A03178" w:rsidP="00074544">
      <w:pPr>
        <w:pStyle w:val="TableFigureFooter"/>
        <w:rPr>
          <w:i/>
        </w:rPr>
      </w:pPr>
      <w:r>
        <w:rPr>
          <w:i/>
          <w:vertAlign w:val="superscript"/>
        </w:rPr>
        <w:t>11</w:t>
      </w:r>
      <w:r>
        <w:rPr>
          <w:i/>
        </w:rPr>
        <w:t xml:space="preserve"> </w:t>
      </w:r>
      <w:r w:rsidR="00217097" w:rsidRPr="00217097">
        <w:rPr>
          <w:i/>
        </w:rPr>
        <w:t>$70 million to &lt; $80 million</w:t>
      </w:r>
    </w:p>
    <w:p w14:paraId="324E54B4" w14:textId="77777777" w:rsidR="00074544" w:rsidRPr="00222E0B" w:rsidRDefault="00074544" w:rsidP="00213DD5">
      <w:pPr>
        <w:pStyle w:val="TableFigureFooter"/>
      </w:pPr>
    </w:p>
    <w:p w14:paraId="4E0E0BE6" w14:textId="1B6FE20D" w:rsidR="00363491" w:rsidRDefault="00125265" w:rsidP="00213DD5">
      <w:pPr>
        <w:pStyle w:val="3-BodyText"/>
        <w:rPr>
          <w:rFonts w:eastAsiaTheme="minorEastAsia"/>
        </w:rPr>
      </w:pPr>
      <w:r>
        <w:rPr>
          <w:rFonts w:eastAsiaTheme="minorEastAsia"/>
        </w:rPr>
        <w:t xml:space="preserve">The </w:t>
      </w:r>
      <w:r w:rsidR="000B1363">
        <w:rPr>
          <w:rFonts w:eastAsiaTheme="minorEastAsia"/>
        </w:rPr>
        <w:t xml:space="preserve">estimated net cost to the PBS/RPBS in the early re-entry resubmission was </w:t>
      </w:r>
      <w:r w:rsidR="008E5C9C" w:rsidRPr="008E5C9C">
        <w:rPr>
          <w:rFonts w:eastAsiaTheme="minorEastAsia"/>
        </w:rPr>
        <w:t>$20 million to &lt; $30</w:t>
      </w:r>
      <w:r w:rsidR="007F4D05">
        <w:rPr>
          <w:rFonts w:eastAsiaTheme="minorEastAsia"/>
        </w:rPr>
        <w:t> </w:t>
      </w:r>
      <w:r w:rsidR="000B1363">
        <w:rPr>
          <w:rFonts w:eastAsiaTheme="minorEastAsia"/>
        </w:rPr>
        <w:t>million in Year 1, $</w:t>
      </w:r>
      <w:r w:rsidR="00A55B64" w:rsidRPr="00A55B64">
        <w:rPr>
          <w:rFonts w:eastAsiaTheme="minorEastAsia"/>
        </w:rPr>
        <w:t>40 million to &lt; $50 million</w:t>
      </w:r>
      <w:r w:rsidR="000B1363">
        <w:rPr>
          <w:rFonts w:eastAsiaTheme="minorEastAsia"/>
        </w:rPr>
        <w:t xml:space="preserve"> in Year 6 and </w:t>
      </w:r>
      <w:r w:rsidR="00B57327">
        <w:rPr>
          <w:rFonts w:eastAsiaTheme="minorEastAsia"/>
        </w:rPr>
        <w:t xml:space="preserve">totalling </w:t>
      </w:r>
      <w:r w:rsidR="00D77A13" w:rsidRPr="00D77A13">
        <w:rPr>
          <w:rFonts w:eastAsiaTheme="minorEastAsia"/>
        </w:rPr>
        <w:t>$200 million to &lt; $300 million</w:t>
      </w:r>
      <w:r w:rsidR="00B57327">
        <w:rPr>
          <w:rFonts w:eastAsiaTheme="minorEastAsia"/>
        </w:rPr>
        <w:t xml:space="preserve"> over the first </w:t>
      </w:r>
      <w:r w:rsidR="007F4D05">
        <w:rPr>
          <w:rFonts w:eastAsiaTheme="minorEastAsia"/>
        </w:rPr>
        <w:t>6 </w:t>
      </w:r>
      <w:r w:rsidR="00B57327">
        <w:rPr>
          <w:rFonts w:eastAsiaTheme="minorEastAsia"/>
        </w:rPr>
        <w:t xml:space="preserve">years of listing. In March 2025, the total cost over the first 6 years of listing was </w:t>
      </w:r>
      <w:r w:rsidR="00B54AA3" w:rsidRPr="00B54AA3">
        <w:rPr>
          <w:rFonts w:eastAsiaTheme="minorEastAsia"/>
        </w:rPr>
        <w:t>$300 million to &lt; $400 million</w:t>
      </w:r>
      <w:r w:rsidR="00363491">
        <w:rPr>
          <w:rFonts w:eastAsiaTheme="minorEastAsia"/>
        </w:rPr>
        <w:t xml:space="preserve">. </w:t>
      </w:r>
    </w:p>
    <w:p w14:paraId="0A8AE75B" w14:textId="48A4D443" w:rsidR="005659D6" w:rsidRDefault="005659D6" w:rsidP="00213DD5">
      <w:pPr>
        <w:pStyle w:val="4-SubsectionHeading"/>
        <w:keepNext/>
        <w:keepLines/>
        <w:rPr>
          <w:rFonts w:eastAsiaTheme="minorEastAsia"/>
        </w:rPr>
      </w:pPr>
      <w:r>
        <w:rPr>
          <w:rFonts w:eastAsiaTheme="minorEastAsia"/>
        </w:rPr>
        <w:t>Financial Management – Risk Sharing Arrangement</w:t>
      </w:r>
      <w:r w:rsidR="00B14B3B">
        <w:rPr>
          <w:rFonts w:eastAsiaTheme="minorEastAsia"/>
        </w:rPr>
        <w:t>s</w:t>
      </w:r>
    </w:p>
    <w:p w14:paraId="4F5811E0" w14:textId="08101C91" w:rsidR="005659D6" w:rsidRPr="008E1FDA" w:rsidRDefault="00B14B3B" w:rsidP="00213DD5">
      <w:pPr>
        <w:pStyle w:val="3-BodyText"/>
        <w:keepNext/>
        <w:keepLines/>
        <w:rPr>
          <w:rFonts w:eastAsiaTheme="minorEastAsia"/>
        </w:rPr>
      </w:pPr>
      <w:r>
        <w:rPr>
          <w:rFonts w:eastAsiaTheme="minorEastAsia"/>
        </w:rPr>
        <w:t xml:space="preserve">In March 2025, the PBAC </w:t>
      </w:r>
      <w:r w:rsidR="008E1FDA" w:rsidRPr="008E1FDA">
        <w:rPr>
          <w:rFonts w:eastAsiaTheme="minorEastAsia"/>
          <w:lang w:val="en-GB"/>
        </w:rPr>
        <w:t xml:space="preserve">considered that an RSA, with a rebate of </w:t>
      </w:r>
      <w:r w:rsidR="00FD3ADE" w:rsidRPr="00FD3ADE">
        <w:rPr>
          <w:rFonts w:eastAsiaTheme="minorEastAsia"/>
          <w:color w:val="000000"/>
          <w:w w:val="61"/>
          <w:shd w:val="solid" w:color="000000" w:fill="000000"/>
          <w:fitText w:val="475" w:id="-621624826"/>
          <w:lang w:val="en-GB"/>
          <w14:textFill>
            <w14:solidFill>
              <w14:srgbClr w14:val="000000">
                <w14:alpha w14:val="100000"/>
              </w14:srgbClr>
            </w14:solidFill>
          </w14:textFill>
        </w:rPr>
        <w:t>|||  ||</w:t>
      </w:r>
      <w:r w:rsidR="00FD3ADE" w:rsidRPr="00FD3ADE">
        <w:rPr>
          <w:rFonts w:eastAsiaTheme="minorEastAsia"/>
          <w:color w:val="000000"/>
          <w:spacing w:val="5"/>
          <w:w w:val="61"/>
          <w:shd w:val="solid" w:color="000000" w:fill="000000"/>
          <w:fitText w:val="475" w:id="-621624826"/>
          <w:lang w:val="en-GB"/>
          <w14:textFill>
            <w14:solidFill>
              <w14:srgbClr w14:val="000000">
                <w14:alpha w14:val="100000"/>
              </w14:srgbClr>
            </w14:solidFill>
          </w14:textFill>
        </w:rPr>
        <w:t>|</w:t>
      </w:r>
      <w:r w:rsidR="008E1FDA" w:rsidRPr="008E1FDA">
        <w:rPr>
          <w:rFonts w:eastAsiaTheme="minorEastAsia"/>
          <w:lang w:val="en-GB"/>
        </w:rPr>
        <w:t>% for use above the expenditure caps would be required to mitigate the risk of usage in the first line HPT population who are adequately controlled on conventional therapy</w:t>
      </w:r>
      <w:r w:rsidR="008E1FDA">
        <w:rPr>
          <w:rFonts w:eastAsiaTheme="minorEastAsia"/>
          <w:lang w:val="en-GB"/>
        </w:rPr>
        <w:t xml:space="preserve"> (paragraph 7.19, palopegteriparatide minutes, March 2025)</w:t>
      </w:r>
      <w:r w:rsidR="008E1FDA" w:rsidRPr="008E1FDA">
        <w:rPr>
          <w:rFonts w:eastAsiaTheme="minorEastAsia"/>
          <w:lang w:val="en-GB"/>
        </w:rPr>
        <w:t>.</w:t>
      </w:r>
    </w:p>
    <w:p w14:paraId="7C4C2658" w14:textId="329CFEBC" w:rsidR="00555CD9" w:rsidRPr="00555CD9" w:rsidRDefault="000A40B6" w:rsidP="00213DD5">
      <w:pPr>
        <w:pStyle w:val="3-BodyText"/>
        <w:rPr>
          <w:rFonts w:eastAsiaTheme="minorEastAsia"/>
        </w:rPr>
      </w:pPr>
      <w:r>
        <w:rPr>
          <w:rFonts w:eastAsiaTheme="minorEastAsia"/>
          <w:lang w:val="en-GB"/>
        </w:rPr>
        <w:t xml:space="preserve">The early re-entry resubmission stated that the decrease in the prevalence and uptake rates </w:t>
      </w:r>
      <w:r w:rsidR="005434B7">
        <w:rPr>
          <w:rFonts w:eastAsiaTheme="minorEastAsia"/>
          <w:lang w:val="en-GB"/>
        </w:rPr>
        <w:t xml:space="preserve">increases the risk of breaching the expenditure caps towards the sponsor. Therefore, a </w:t>
      </w:r>
      <w:r w:rsidR="00555CD9">
        <w:rPr>
          <w:rFonts w:eastAsiaTheme="minorEastAsia"/>
          <w:lang w:val="en-GB"/>
        </w:rPr>
        <w:t xml:space="preserve">rebate of </w:t>
      </w:r>
      <w:r w:rsidR="00FD3ADE" w:rsidRPr="007746F5">
        <w:rPr>
          <w:rFonts w:eastAsiaTheme="minorEastAsia"/>
          <w:color w:val="000000"/>
          <w:w w:val="59"/>
          <w:shd w:val="solid" w:color="000000" w:fill="000000"/>
          <w:fitText w:val="460" w:id="-621624825"/>
          <w:lang w:val="en-GB"/>
          <w14:textFill>
            <w14:solidFill>
              <w14:srgbClr w14:val="000000">
                <w14:alpha w14:val="100000"/>
              </w14:srgbClr>
            </w14:solidFill>
          </w14:textFill>
        </w:rPr>
        <w:t>||</w:t>
      </w:r>
      <w:proofErr w:type="gramStart"/>
      <w:r w:rsidR="00FD3ADE" w:rsidRPr="007746F5">
        <w:rPr>
          <w:rFonts w:eastAsiaTheme="minorEastAsia"/>
          <w:color w:val="000000"/>
          <w:w w:val="59"/>
          <w:shd w:val="solid" w:color="000000" w:fill="000000"/>
          <w:fitText w:val="460" w:id="-621624825"/>
          <w:lang w:val="en-GB"/>
          <w14:textFill>
            <w14:solidFill>
              <w14:srgbClr w14:val="000000">
                <w14:alpha w14:val="100000"/>
              </w14:srgbClr>
            </w14:solidFill>
          </w14:textFill>
        </w:rPr>
        <w:t>|  |</w:t>
      </w:r>
      <w:proofErr w:type="gramEnd"/>
      <w:r w:rsidR="00FD3ADE" w:rsidRPr="007746F5">
        <w:rPr>
          <w:rFonts w:eastAsiaTheme="minorEastAsia"/>
          <w:color w:val="000000"/>
          <w:w w:val="59"/>
          <w:shd w:val="solid" w:color="000000" w:fill="000000"/>
          <w:fitText w:val="460" w:id="-621624825"/>
          <w:lang w:val="en-GB"/>
          <w14:textFill>
            <w14:solidFill>
              <w14:srgbClr w14:val="000000">
                <w14:alpha w14:val="100000"/>
              </w14:srgbClr>
            </w14:solidFill>
          </w14:textFill>
        </w:rPr>
        <w:t>|</w:t>
      </w:r>
      <w:r w:rsidR="00FD3ADE" w:rsidRPr="007746F5">
        <w:rPr>
          <w:rFonts w:eastAsiaTheme="minorEastAsia"/>
          <w:color w:val="000000"/>
          <w:spacing w:val="5"/>
          <w:w w:val="59"/>
          <w:shd w:val="solid" w:color="000000" w:fill="000000"/>
          <w:fitText w:val="460" w:id="-621624825"/>
          <w:lang w:val="en-GB"/>
          <w14:textFill>
            <w14:solidFill>
              <w14:srgbClr w14:val="000000">
                <w14:alpha w14:val="100000"/>
              </w14:srgbClr>
            </w14:solidFill>
          </w14:textFill>
        </w:rPr>
        <w:t>|</w:t>
      </w:r>
      <w:r w:rsidR="00555CD9">
        <w:rPr>
          <w:rFonts w:eastAsiaTheme="minorEastAsia"/>
          <w:lang w:val="en-GB"/>
        </w:rPr>
        <w:t xml:space="preserve">% for use above the expenditure caps </w:t>
      </w:r>
      <w:r w:rsidR="000543DA">
        <w:rPr>
          <w:rFonts w:eastAsiaTheme="minorEastAsia"/>
          <w:lang w:val="en-GB"/>
        </w:rPr>
        <w:t xml:space="preserve">was </w:t>
      </w:r>
      <w:r w:rsidR="00555CD9">
        <w:rPr>
          <w:rFonts w:eastAsiaTheme="minorEastAsia"/>
          <w:lang w:val="en-GB"/>
        </w:rPr>
        <w:t>proposed in the resubmission to man</w:t>
      </w:r>
      <w:r w:rsidR="000C57D8">
        <w:rPr>
          <w:rFonts w:eastAsiaTheme="minorEastAsia"/>
          <w:lang w:val="en-GB"/>
        </w:rPr>
        <w:t>a</w:t>
      </w:r>
      <w:r w:rsidR="00555CD9">
        <w:rPr>
          <w:rFonts w:eastAsiaTheme="minorEastAsia"/>
          <w:lang w:val="en-GB"/>
        </w:rPr>
        <w:t>ge the risk of use beyond the requested restriction.</w:t>
      </w:r>
    </w:p>
    <w:p w14:paraId="4FC52D34" w14:textId="0C85CEC9" w:rsidR="00201FB8" w:rsidRDefault="00B67F0F" w:rsidP="00213DD5">
      <w:pPr>
        <w:ind w:firstLine="720"/>
        <w:jc w:val="left"/>
        <w:rPr>
          <w:i/>
          <w:iCs/>
        </w:rPr>
      </w:pPr>
      <w:r w:rsidRPr="00E13B10">
        <w:rPr>
          <w:i/>
          <w:iCs/>
        </w:rPr>
        <w:t>For more detail on PBAC’s view, see section 7 PBAC outcome.</w:t>
      </w:r>
    </w:p>
    <w:p w14:paraId="1D550D13" w14:textId="77777777" w:rsidR="00DF31B6" w:rsidRPr="0090150D" w:rsidRDefault="00DF31B6" w:rsidP="00213DD5">
      <w:pPr>
        <w:pStyle w:val="2-SectionHeading"/>
      </w:pPr>
      <w:bookmarkStart w:id="18" w:name="_Hlk76381249"/>
      <w:bookmarkStart w:id="19" w:name="_Hlk76377955"/>
      <w:r w:rsidRPr="0090150D">
        <w:t>PBAC Outcome</w:t>
      </w:r>
    </w:p>
    <w:p w14:paraId="72801BE7" w14:textId="196F9E99" w:rsidR="001D0CAD" w:rsidRPr="001D0CAD" w:rsidRDefault="0008433F" w:rsidP="00213DD5">
      <w:pPr>
        <w:pStyle w:val="3-BodyText"/>
        <w:rPr>
          <w:snapToGrid w:val="0"/>
          <w:lang w:val="en-GB"/>
        </w:rPr>
      </w:pPr>
      <w:bookmarkStart w:id="20" w:name="_Hlk111543188"/>
      <w:r w:rsidRPr="00CE42B4">
        <w:rPr>
          <w:snapToGrid w:val="0"/>
          <w:lang w:val="en-GB"/>
        </w:rPr>
        <w:t>The PBAC did not recommend</w:t>
      </w:r>
      <w:r>
        <w:rPr>
          <w:snapToGrid w:val="0"/>
          <w:lang w:val="en-GB"/>
        </w:rPr>
        <w:t xml:space="preserve"> palopegteriparatide for the treatment of patients with chronic hypoparathyroidism (HPT) who are inadequately controlled on conventional therapy (i.e. active vitamin D and calcium supplements). </w:t>
      </w:r>
      <w:r w:rsidR="00EC1B2D">
        <w:rPr>
          <w:rFonts w:cs="Arial"/>
          <w:snapToGrid w:val="0"/>
          <w:lang w:val="en-GB"/>
        </w:rPr>
        <w:t>T</w:t>
      </w:r>
      <w:r w:rsidR="001D0CAD" w:rsidRPr="001D0CAD">
        <w:rPr>
          <w:snapToGrid w:val="0"/>
        </w:rPr>
        <w:t xml:space="preserve">he </w:t>
      </w:r>
      <w:r w:rsidR="00EC1B2D">
        <w:rPr>
          <w:snapToGrid w:val="0"/>
        </w:rPr>
        <w:t xml:space="preserve">PBAC reaffirmed that it </w:t>
      </w:r>
      <w:r w:rsidR="001D0CAD" w:rsidRPr="001D0CAD">
        <w:rPr>
          <w:snapToGrid w:val="0"/>
        </w:rPr>
        <w:t xml:space="preserve">considered that </w:t>
      </w:r>
      <w:r w:rsidR="00754B7E">
        <w:rPr>
          <w:snapToGrid w:val="0"/>
        </w:rPr>
        <w:t xml:space="preserve">palopegteriparatide </w:t>
      </w:r>
      <w:r w:rsidR="001D0CAD" w:rsidRPr="001D0CAD">
        <w:rPr>
          <w:snapToGrid w:val="0"/>
        </w:rPr>
        <w:t xml:space="preserve">provided a benefit over </w:t>
      </w:r>
      <w:r w:rsidR="00754B7E">
        <w:rPr>
          <w:snapToGrid w:val="0"/>
        </w:rPr>
        <w:t xml:space="preserve">conventional therapy </w:t>
      </w:r>
      <w:r w:rsidR="001D0CAD" w:rsidRPr="001D0CAD">
        <w:rPr>
          <w:snapToGrid w:val="0"/>
        </w:rPr>
        <w:t xml:space="preserve">in terms of efficacy. However, the PBAC </w:t>
      </w:r>
      <w:r w:rsidR="00C80C22">
        <w:rPr>
          <w:snapToGrid w:val="0"/>
        </w:rPr>
        <w:t>noted</w:t>
      </w:r>
      <w:r w:rsidR="00C80C22" w:rsidRPr="001D0CAD">
        <w:rPr>
          <w:snapToGrid w:val="0"/>
        </w:rPr>
        <w:t xml:space="preserve"> </w:t>
      </w:r>
      <w:r w:rsidR="001D0CAD" w:rsidRPr="001D0CAD">
        <w:rPr>
          <w:snapToGrid w:val="0"/>
        </w:rPr>
        <w:t xml:space="preserve">that the resubmission did not appropriately address the issues raised in </w:t>
      </w:r>
      <w:r w:rsidR="00EC1B2D">
        <w:rPr>
          <w:snapToGrid w:val="0"/>
        </w:rPr>
        <w:t xml:space="preserve">March 2025 </w:t>
      </w:r>
      <w:r w:rsidR="001D0CAD" w:rsidRPr="001D0CAD">
        <w:rPr>
          <w:snapToGrid w:val="0"/>
        </w:rPr>
        <w:t>relating to the economi</w:t>
      </w:r>
      <w:r w:rsidR="001D0CAD" w:rsidRPr="00AA397B">
        <w:rPr>
          <w:snapToGrid w:val="0"/>
        </w:rPr>
        <w:t xml:space="preserve">c evaluation. The PBAC </w:t>
      </w:r>
      <w:r w:rsidR="00C80C22">
        <w:rPr>
          <w:snapToGrid w:val="0"/>
        </w:rPr>
        <w:t xml:space="preserve">considered </w:t>
      </w:r>
      <w:r w:rsidR="001D0CAD" w:rsidRPr="00AA397B">
        <w:rPr>
          <w:snapToGrid w:val="0"/>
        </w:rPr>
        <w:t>the revised economic model</w:t>
      </w:r>
      <w:r w:rsidR="000731F0">
        <w:rPr>
          <w:snapToGrid w:val="0"/>
        </w:rPr>
        <w:t xml:space="preserve">, which did not </w:t>
      </w:r>
      <w:r w:rsidR="00F45545">
        <w:rPr>
          <w:snapToGrid w:val="0"/>
        </w:rPr>
        <w:t xml:space="preserve">adequately </w:t>
      </w:r>
      <w:r w:rsidR="000731F0">
        <w:rPr>
          <w:snapToGrid w:val="0"/>
        </w:rPr>
        <w:t xml:space="preserve">incorporate </w:t>
      </w:r>
      <w:r w:rsidR="00F45545">
        <w:rPr>
          <w:snapToGrid w:val="0"/>
        </w:rPr>
        <w:t>the PBAC advice</w:t>
      </w:r>
      <w:r w:rsidR="000731F0">
        <w:rPr>
          <w:snapToGrid w:val="0"/>
        </w:rPr>
        <w:t xml:space="preserve"> from March 2025, </w:t>
      </w:r>
      <w:r w:rsidR="00A34631">
        <w:rPr>
          <w:snapToGrid w:val="0"/>
        </w:rPr>
        <w:t>remained</w:t>
      </w:r>
      <w:r w:rsidR="001D0CAD" w:rsidRPr="00AA397B">
        <w:rPr>
          <w:snapToGrid w:val="0"/>
        </w:rPr>
        <w:t xml:space="preserve"> optimistic</w:t>
      </w:r>
      <w:r w:rsidR="00A34631">
        <w:rPr>
          <w:snapToGrid w:val="0"/>
        </w:rPr>
        <w:t xml:space="preserve"> and </w:t>
      </w:r>
      <w:r w:rsidR="001D0CAD" w:rsidRPr="00AA397B">
        <w:rPr>
          <w:snapToGrid w:val="0"/>
        </w:rPr>
        <w:t>the revised incremental cost-effectiveness ratio (ICER) was high</w:t>
      </w:r>
      <w:r w:rsidR="00414257">
        <w:rPr>
          <w:snapToGrid w:val="0"/>
        </w:rPr>
        <w:t xml:space="preserve">. The PBAC considered that </w:t>
      </w:r>
      <w:r w:rsidR="00AA397B" w:rsidRPr="00AA397B">
        <w:rPr>
          <w:snapToGrid w:val="0"/>
        </w:rPr>
        <w:t xml:space="preserve">palopegteriparatide </w:t>
      </w:r>
      <w:r w:rsidR="001D0CAD" w:rsidRPr="00AA397B">
        <w:rPr>
          <w:snapToGrid w:val="0"/>
        </w:rPr>
        <w:t xml:space="preserve">was not cost-effective at the price proposed in the resubmission. </w:t>
      </w:r>
      <w:r w:rsidR="00E863FF" w:rsidRPr="00AA397B">
        <w:rPr>
          <w:snapToGrid w:val="0"/>
          <w:lang w:val="en-GB"/>
        </w:rPr>
        <w:t xml:space="preserve">The </w:t>
      </w:r>
      <w:r w:rsidR="008533B1">
        <w:rPr>
          <w:snapToGrid w:val="0"/>
          <w:lang w:val="en-GB"/>
        </w:rPr>
        <w:t xml:space="preserve">PBAC </w:t>
      </w:r>
      <w:r w:rsidR="001526A5">
        <w:rPr>
          <w:snapToGrid w:val="0"/>
          <w:lang w:val="en-GB"/>
        </w:rPr>
        <w:t>considered that the</w:t>
      </w:r>
      <w:r w:rsidR="008533B1">
        <w:rPr>
          <w:snapToGrid w:val="0"/>
          <w:lang w:val="en-GB"/>
        </w:rPr>
        <w:t xml:space="preserve"> revised</w:t>
      </w:r>
      <w:r w:rsidR="001526A5">
        <w:rPr>
          <w:snapToGrid w:val="0"/>
          <w:lang w:val="en-GB"/>
        </w:rPr>
        <w:t xml:space="preserve"> utilisation estimates were reasonable</w:t>
      </w:r>
      <w:r w:rsidR="008205F1">
        <w:rPr>
          <w:snapToGrid w:val="0"/>
          <w:lang w:val="en-GB"/>
        </w:rPr>
        <w:t xml:space="preserve">. The PBAC </w:t>
      </w:r>
      <w:r w:rsidR="00E863FF" w:rsidRPr="00AA397B">
        <w:rPr>
          <w:snapToGrid w:val="0"/>
          <w:lang w:val="en-GB"/>
        </w:rPr>
        <w:t>maintained its previous view that a risk sharing arrangement (RSA) would be required to mitigate the risk of usage in the first line setting.</w:t>
      </w:r>
    </w:p>
    <w:p w14:paraId="23C8EAFC" w14:textId="77777777" w:rsidR="006318A4" w:rsidRPr="00A9037F" w:rsidRDefault="006318A4" w:rsidP="00213DD5">
      <w:pPr>
        <w:pStyle w:val="3-BodyText"/>
        <w:rPr>
          <w:rFonts w:cs="Arial"/>
          <w:snapToGrid w:val="0"/>
          <w:lang w:val="en-GB"/>
        </w:rPr>
      </w:pPr>
      <w:r w:rsidRPr="00A9037F">
        <w:rPr>
          <w:rFonts w:cs="Arial"/>
          <w:snapToGrid w:val="0"/>
          <w:lang w:val="en-GB"/>
        </w:rPr>
        <w:t>The primary reason for this outcome was due to the economic evaluation.</w:t>
      </w:r>
    </w:p>
    <w:p w14:paraId="26E22B68" w14:textId="6D0A74AE" w:rsidR="00B6392C" w:rsidRPr="00681AA1" w:rsidRDefault="00824929" w:rsidP="00213DD5">
      <w:pPr>
        <w:pStyle w:val="3-BodyText"/>
        <w:rPr>
          <w:rFonts w:cs="Arial"/>
          <w:snapToGrid w:val="0"/>
          <w:lang w:val="en-GB"/>
        </w:rPr>
      </w:pPr>
      <w:r>
        <w:rPr>
          <w:snapToGrid w:val="0"/>
          <w:lang w:val="en-GB"/>
        </w:rPr>
        <w:t>The PBAC noted</w:t>
      </w:r>
      <w:r w:rsidR="008B5DBB">
        <w:rPr>
          <w:snapToGrid w:val="0"/>
          <w:lang w:val="en-GB"/>
        </w:rPr>
        <w:t xml:space="preserve"> </w:t>
      </w:r>
      <w:r w:rsidR="008B7AD1">
        <w:rPr>
          <w:snapToGrid w:val="0"/>
          <w:lang w:val="en-GB"/>
        </w:rPr>
        <w:t xml:space="preserve">that a </w:t>
      </w:r>
      <w:r>
        <w:rPr>
          <w:snapToGrid w:val="0"/>
          <w:lang w:val="en-GB"/>
        </w:rPr>
        <w:t>c</w:t>
      </w:r>
      <w:r w:rsidRPr="00BE4B7D">
        <w:rPr>
          <w:snapToGrid w:val="0"/>
          <w:lang w:val="en-GB"/>
        </w:rPr>
        <w:t xml:space="preserve">linical need exists for a proportion of patients with </w:t>
      </w:r>
      <w:r w:rsidR="008B7AD1">
        <w:rPr>
          <w:snapToGrid w:val="0"/>
          <w:lang w:val="en-GB"/>
        </w:rPr>
        <w:t>HPT</w:t>
      </w:r>
      <w:r w:rsidR="008B7AD1" w:rsidRPr="00BE4B7D">
        <w:rPr>
          <w:snapToGrid w:val="0"/>
          <w:lang w:val="en-GB"/>
        </w:rPr>
        <w:t xml:space="preserve"> </w:t>
      </w:r>
      <w:r w:rsidRPr="00BE4B7D">
        <w:rPr>
          <w:snapToGrid w:val="0"/>
          <w:lang w:val="en-GB"/>
        </w:rPr>
        <w:t>who struggle to maintain calcium levels with conventional therapy (active Vitamin D and calcium) and for those who develop nephrocalcinosis, kidney stones or kidney impairment</w:t>
      </w:r>
      <w:r>
        <w:rPr>
          <w:snapToGrid w:val="0"/>
          <w:lang w:val="en-GB"/>
        </w:rPr>
        <w:t xml:space="preserve">. The PBAC noted </w:t>
      </w:r>
      <w:r>
        <w:rPr>
          <w:rFonts w:cs="Arial"/>
          <w:snapToGrid w:val="0"/>
          <w:lang w:val="en-GB"/>
        </w:rPr>
        <w:t>s</w:t>
      </w:r>
      <w:r w:rsidRPr="00FB20B7">
        <w:rPr>
          <w:rFonts w:cs="Arial"/>
          <w:snapToGrid w:val="0"/>
          <w:lang w:val="en-GB"/>
        </w:rPr>
        <w:t xml:space="preserve">ome patients </w:t>
      </w:r>
      <w:r w:rsidR="008B7AD1">
        <w:rPr>
          <w:rFonts w:cs="Arial"/>
          <w:snapToGrid w:val="0"/>
          <w:lang w:val="en-GB"/>
        </w:rPr>
        <w:t>experience</w:t>
      </w:r>
      <w:r w:rsidR="008B7AD1" w:rsidRPr="00FB20B7">
        <w:rPr>
          <w:rFonts w:cs="Arial"/>
          <w:snapToGrid w:val="0"/>
          <w:lang w:val="en-GB"/>
        </w:rPr>
        <w:t xml:space="preserve"> </w:t>
      </w:r>
      <w:r w:rsidRPr="00FB20B7">
        <w:rPr>
          <w:rFonts w:cs="Arial"/>
          <w:snapToGrid w:val="0"/>
          <w:lang w:val="en-GB"/>
        </w:rPr>
        <w:t xml:space="preserve">considerable volatility in calcium levels </w:t>
      </w:r>
      <w:r w:rsidR="00AB10E2">
        <w:rPr>
          <w:rFonts w:cs="Arial"/>
          <w:snapToGrid w:val="0"/>
          <w:lang w:val="en-GB"/>
        </w:rPr>
        <w:t xml:space="preserve">which can result in </w:t>
      </w:r>
      <w:r w:rsidR="00007AC7">
        <w:rPr>
          <w:rFonts w:cs="Arial"/>
          <w:snapToGrid w:val="0"/>
          <w:lang w:val="en-GB"/>
        </w:rPr>
        <w:t xml:space="preserve">debilitating symptoms such as </w:t>
      </w:r>
      <w:r w:rsidRPr="00FB20B7">
        <w:rPr>
          <w:rFonts w:cs="Arial"/>
          <w:snapToGrid w:val="0"/>
          <w:lang w:val="en-GB"/>
        </w:rPr>
        <w:t>tetany</w:t>
      </w:r>
      <w:r w:rsidR="009E5E22">
        <w:rPr>
          <w:rFonts w:cs="Arial"/>
          <w:snapToGrid w:val="0"/>
          <w:lang w:val="en-GB"/>
        </w:rPr>
        <w:t>, seizures</w:t>
      </w:r>
      <w:r w:rsidR="007179B3">
        <w:rPr>
          <w:rFonts w:cs="Arial"/>
          <w:snapToGrid w:val="0"/>
          <w:lang w:val="en-GB"/>
        </w:rPr>
        <w:t xml:space="preserve">, </w:t>
      </w:r>
      <w:r w:rsidR="00A76AB0">
        <w:rPr>
          <w:rFonts w:cs="Arial"/>
          <w:snapToGrid w:val="0"/>
          <w:lang w:val="en-GB"/>
        </w:rPr>
        <w:t>chronic kidney disease</w:t>
      </w:r>
      <w:r w:rsidR="00E95E39">
        <w:rPr>
          <w:rFonts w:cs="Arial"/>
          <w:snapToGrid w:val="0"/>
          <w:lang w:val="en-GB"/>
        </w:rPr>
        <w:t xml:space="preserve"> and cardiovascular disease</w:t>
      </w:r>
      <w:r>
        <w:rPr>
          <w:rFonts w:cs="Arial"/>
          <w:snapToGrid w:val="0"/>
          <w:lang w:val="en-GB"/>
        </w:rPr>
        <w:t xml:space="preserve">, which was reflected in the </w:t>
      </w:r>
      <w:r w:rsidR="002C1292" w:rsidRPr="00681AA1">
        <w:rPr>
          <w:rFonts w:cs="Arial"/>
          <w:snapToGrid w:val="0"/>
          <w:lang w:val="en-GB"/>
        </w:rPr>
        <w:t>consumer input</w:t>
      </w:r>
      <w:r w:rsidR="009620A4" w:rsidRPr="00681AA1">
        <w:rPr>
          <w:rFonts w:cs="Arial"/>
          <w:snapToGrid w:val="0"/>
          <w:lang w:val="en-GB"/>
        </w:rPr>
        <w:t xml:space="preserve"> </w:t>
      </w:r>
      <w:r>
        <w:rPr>
          <w:rFonts w:cs="Arial"/>
          <w:snapToGrid w:val="0"/>
          <w:lang w:val="en-GB"/>
        </w:rPr>
        <w:t xml:space="preserve">received </w:t>
      </w:r>
      <w:r w:rsidR="009620A4" w:rsidRPr="00681AA1">
        <w:rPr>
          <w:snapToGrid w:val="0"/>
          <w:lang w:val="en-GB"/>
        </w:rPr>
        <w:t xml:space="preserve">for this resubmission </w:t>
      </w:r>
      <w:r w:rsidR="00271F0E">
        <w:rPr>
          <w:snapToGrid w:val="0"/>
          <w:lang w:val="en-GB"/>
        </w:rPr>
        <w:t xml:space="preserve">as well as </w:t>
      </w:r>
      <w:r w:rsidR="009620A4" w:rsidRPr="00681AA1">
        <w:rPr>
          <w:snapToGrid w:val="0"/>
          <w:lang w:val="en-GB"/>
        </w:rPr>
        <w:t xml:space="preserve">the input received </w:t>
      </w:r>
      <w:r w:rsidR="00FA01DE">
        <w:rPr>
          <w:snapToGrid w:val="0"/>
          <w:lang w:val="en-GB"/>
        </w:rPr>
        <w:t>for the</w:t>
      </w:r>
      <w:r w:rsidR="00FA01DE" w:rsidRPr="00681AA1">
        <w:rPr>
          <w:snapToGrid w:val="0"/>
          <w:lang w:val="en-GB"/>
        </w:rPr>
        <w:t xml:space="preserve"> </w:t>
      </w:r>
      <w:r w:rsidR="009620A4" w:rsidRPr="00681AA1">
        <w:rPr>
          <w:snapToGrid w:val="0"/>
          <w:lang w:val="en-GB"/>
        </w:rPr>
        <w:t>March 2025</w:t>
      </w:r>
      <w:r w:rsidR="00271F0E">
        <w:rPr>
          <w:snapToGrid w:val="0"/>
          <w:lang w:val="en-GB"/>
        </w:rPr>
        <w:t xml:space="preserve"> submission.</w:t>
      </w:r>
      <w:r w:rsidR="002C1292" w:rsidRPr="00681AA1">
        <w:rPr>
          <w:rFonts w:cs="Arial"/>
          <w:snapToGrid w:val="0"/>
          <w:lang w:val="en-GB"/>
        </w:rPr>
        <w:t xml:space="preserve"> The PBAC </w:t>
      </w:r>
      <w:r w:rsidR="008E65B3">
        <w:rPr>
          <w:rFonts w:cs="Arial"/>
          <w:snapToGrid w:val="0"/>
          <w:lang w:val="en-GB"/>
        </w:rPr>
        <w:t xml:space="preserve">recalled </w:t>
      </w:r>
      <w:r w:rsidR="005423A2">
        <w:rPr>
          <w:rFonts w:cs="Arial"/>
          <w:snapToGrid w:val="0"/>
          <w:lang w:val="en-GB"/>
        </w:rPr>
        <w:t xml:space="preserve">the consumer inputs </w:t>
      </w:r>
      <w:r w:rsidR="00C21975">
        <w:rPr>
          <w:rFonts w:cs="Arial"/>
          <w:snapToGrid w:val="0"/>
          <w:lang w:val="en-GB"/>
        </w:rPr>
        <w:t xml:space="preserve">also </w:t>
      </w:r>
      <w:r w:rsidR="002C1292" w:rsidRPr="00681AA1">
        <w:rPr>
          <w:rFonts w:cs="Arial"/>
          <w:snapToGrid w:val="0"/>
          <w:lang w:val="en-GB"/>
        </w:rPr>
        <w:t>noted the burden associated with conventional therapy</w:t>
      </w:r>
      <w:r w:rsidR="004853FC">
        <w:rPr>
          <w:rFonts w:cs="Arial"/>
          <w:snapToGrid w:val="0"/>
          <w:lang w:val="en-GB"/>
        </w:rPr>
        <w:t xml:space="preserve"> and that the listing of </w:t>
      </w:r>
      <w:r w:rsidR="002C1292" w:rsidRPr="00681AA1">
        <w:rPr>
          <w:rFonts w:cs="Arial"/>
          <w:snapToGrid w:val="0"/>
          <w:lang w:val="en-GB"/>
        </w:rPr>
        <w:t xml:space="preserve">palopegteriparatide was likely to improve HPT control and reduce complications in patients who are inadequately controlled on calcium and vitamin D supplements. </w:t>
      </w:r>
    </w:p>
    <w:p w14:paraId="7ED65E1B" w14:textId="6B2842DD" w:rsidR="006318A4" w:rsidRDefault="006318A4" w:rsidP="00213DD5">
      <w:pPr>
        <w:pStyle w:val="3-BodyText"/>
        <w:rPr>
          <w:rFonts w:cs="Arial"/>
          <w:snapToGrid w:val="0"/>
          <w:lang w:val="en-GB"/>
        </w:rPr>
      </w:pPr>
      <w:r w:rsidRPr="006318A4">
        <w:rPr>
          <w:rFonts w:cs="Arial"/>
          <w:snapToGrid w:val="0"/>
          <w:lang w:val="en-GB"/>
        </w:rPr>
        <w:t xml:space="preserve">The PBAC </w:t>
      </w:r>
      <w:r w:rsidR="00D84E00">
        <w:rPr>
          <w:rFonts w:cs="Arial"/>
          <w:snapToGrid w:val="0"/>
          <w:lang w:val="en-GB"/>
        </w:rPr>
        <w:t xml:space="preserve">reiterated </w:t>
      </w:r>
      <w:r w:rsidRPr="006318A4">
        <w:rPr>
          <w:rFonts w:cs="Arial"/>
          <w:snapToGrid w:val="0"/>
          <w:lang w:val="en-GB"/>
        </w:rPr>
        <w:t xml:space="preserve">that the proposed place in therapy, as a second-line treatment for patients who are inadequately controlled on conventional therapy, was reasonable. The PBAC </w:t>
      </w:r>
      <w:r w:rsidR="00D84E00">
        <w:rPr>
          <w:rFonts w:cs="Arial"/>
          <w:snapToGrid w:val="0"/>
          <w:lang w:val="en-GB"/>
        </w:rPr>
        <w:t xml:space="preserve">reiterated </w:t>
      </w:r>
      <w:r w:rsidRPr="006318A4">
        <w:rPr>
          <w:rFonts w:cs="Arial"/>
          <w:snapToGrid w:val="0"/>
          <w:lang w:val="en-GB"/>
        </w:rPr>
        <w:t>that the nomination of conventional therapy, consisting of active vitamin D and calcium supplements, as the comparator was appropriate.</w:t>
      </w:r>
    </w:p>
    <w:p w14:paraId="5B4A0511" w14:textId="7DBD7370" w:rsidR="001D0CAD" w:rsidRPr="006318A4" w:rsidRDefault="001D0CAD" w:rsidP="00213DD5">
      <w:pPr>
        <w:pStyle w:val="3-BodyText"/>
        <w:rPr>
          <w:rFonts w:cs="Arial"/>
          <w:snapToGrid w:val="0"/>
          <w:lang w:val="en-GB"/>
        </w:rPr>
      </w:pPr>
      <w:r>
        <w:rPr>
          <w:snapToGrid w:val="0"/>
          <w:lang w:val="en-GB"/>
        </w:rPr>
        <w:t>The PBAC reaffirmed its advice from the March 2025 consideration that palopegteriparatide was superior compared to conventional therapy in terms of efficacy and likely comparable in terms of safety.</w:t>
      </w:r>
      <w:r w:rsidR="009B2AD4">
        <w:rPr>
          <w:snapToGrid w:val="0"/>
          <w:lang w:val="en-GB"/>
        </w:rPr>
        <w:t xml:space="preserve"> </w:t>
      </w:r>
      <w:r w:rsidR="00E05BD2">
        <w:rPr>
          <w:snapToGrid w:val="0"/>
          <w:lang w:val="en-GB"/>
        </w:rPr>
        <w:t xml:space="preserve"> </w:t>
      </w:r>
      <w:r w:rsidR="00023C0B">
        <w:rPr>
          <w:snapToGrid w:val="0"/>
          <w:lang w:val="en-GB"/>
        </w:rPr>
        <w:t xml:space="preserve">The PBAC recalled that </w:t>
      </w:r>
      <w:r w:rsidR="004D3699">
        <w:rPr>
          <w:snapToGrid w:val="0"/>
          <w:lang w:val="en-GB"/>
        </w:rPr>
        <w:t>it had previously considered that whilst the evidence indicate</w:t>
      </w:r>
      <w:r w:rsidR="00774089">
        <w:rPr>
          <w:snapToGrid w:val="0"/>
          <w:lang w:val="en-GB"/>
        </w:rPr>
        <w:t>d</w:t>
      </w:r>
      <w:r w:rsidR="004D3699">
        <w:rPr>
          <w:snapToGrid w:val="0"/>
          <w:lang w:val="en-GB"/>
        </w:rPr>
        <w:t xml:space="preserve"> that palopegteriparatide </w:t>
      </w:r>
      <w:r w:rsidR="00B942A5">
        <w:rPr>
          <w:snapToGrid w:val="0"/>
          <w:lang w:val="en-GB"/>
        </w:rPr>
        <w:t>is effective for some patients</w:t>
      </w:r>
      <w:r w:rsidR="00E05BD2">
        <w:rPr>
          <w:snapToGrid w:val="0"/>
          <w:lang w:val="en-GB"/>
        </w:rPr>
        <w:t xml:space="preserve">, </w:t>
      </w:r>
      <w:r w:rsidR="006B3515" w:rsidRPr="006B3515">
        <w:rPr>
          <w:snapToGrid w:val="0"/>
          <w:lang w:val="en-GB"/>
        </w:rPr>
        <w:t>the magnitude of the benefit was uncertain as the trial population was small, the surrogate trial outcomes were not directly related to morbidity or mortality</w:t>
      </w:r>
      <w:r w:rsidR="0041550E">
        <w:rPr>
          <w:snapToGrid w:val="0"/>
          <w:lang w:val="en-GB"/>
        </w:rPr>
        <w:t>,</w:t>
      </w:r>
      <w:r w:rsidR="006B3515" w:rsidRPr="006B3515">
        <w:rPr>
          <w:snapToGrid w:val="0"/>
          <w:lang w:val="en-GB"/>
        </w:rPr>
        <w:t xml:space="preserve"> and the dose titration algorithm for the conventional therapy arm was not representative of standard clinical management.</w:t>
      </w:r>
    </w:p>
    <w:bookmarkEnd w:id="20"/>
    <w:p w14:paraId="4AFC4F55" w14:textId="4AB398DC" w:rsidR="00F43A9F" w:rsidRPr="00C4374F" w:rsidRDefault="00F43A9F" w:rsidP="00213DD5">
      <w:pPr>
        <w:pStyle w:val="3-BodyText"/>
        <w:rPr>
          <w:snapToGrid w:val="0"/>
          <w:lang w:val="en-GB"/>
        </w:rPr>
      </w:pPr>
      <w:r w:rsidRPr="00C4374F">
        <w:rPr>
          <w:snapToGrid w:val="0"/>
        </w:rPr>
        <w:t xml:space="preserve">The PBAC recalled </w:t>
      </w:r>
      <w:r w:rsidR="00782ED8" w:rsidRPr="00C4374F">
        <w:rPr>
          <w:snapToGrid w:val="0"/>
        </w:rPr>
        <w:t xml:space="preserve">its </w:t>
      </w:r>
      <w:r w:rsidR="00972F98" w:rsidRPr="00C4374F">
        <w:rPr>
          <w:snapToGrid w:val="0"/>
        </w:rPr>
        <w:t>previous advice regarding</w:t>
      </w:r>
      <w:r w:rsidRPr="00C4374F">
        <w:rPr>
          <w:snapToGrid w:val="0"/>
        </w:rPr>
        <w:t xml:space="preserve"> the economic model </w:t>
      </w:r>
      <w:r w:rsidR="008A255B" w:rsidRPr="00C4374F">
        <w:rPr>
          <w:snapToGrid w:val="0"/>
        </w:rPr>
        <w:t>and cost-effectiveness of palopegteriparatide</w:t>
      </w:r>
      <w:r w:rsidR="00414257">
        <w:rPr>
          <w:snapToGrid w:val="0"/>
        </w:rPr>
        <w:t xml:space="preserve"> </w:t>
      </w:r>
      <w:r w:rsidR="00EA310E" w:rsidRPr="00C4374F">
        <w:rPr>
          <w:snapToGrid w:val="0"/>
        </w:rPr>
        <w:t>(see Table 1 and paragraph</w:t>
      </w:r>
      <w:r w:rsidR="00140042" w:rsidRPr="00C4374F">
        <w:rPr>
          <w:snapToGrid w:val="0"/>
        </w:rPr>
        <w:t>s 4.8 and 4.9</w:t>
      </w:r>
      <w:r w:rsidR="00EA310E" w:rsidRPr="00C4374F">
        <w:rPr>
          <w:snapToGrid w:val="0"/>
        </w:rPr>
        <w:t>)</w:t>
      </w:r>
      <w:r w:rsidR="00490BB9">
        <w:rPr>
          <w:snapToGrid w:val="0"/>
        </w:rPr>
        <w:t xml:space="preserve"> to</w:t>
      </w:r>
      <w:r w:rsidR="001955E5" w:rsidRPr="00C4374F">
        <w:rPr>
          <w:snapToGrid w:val="0"/>
        </w:rPr>
        <w:t>:</w:t>
      </w:r>
    </w:p>
    <w:p w14:paraId="4AA02ED3" w14:textId="77777777" w:rsidR="00404150" w:rsidRPr="00C4374F" w:rsidRDefault="00404150" w:rsidP="00213DD5">
      <w:pPr>
        <w:pStyle w:val="ListParagraph"/>
        <w:numPr>
          <w:ilvl w:val="1"/>
          <w:numId w:val="41"/>
        </w:numPr>
        <w:ind w:left="993"/>
        <w:jc w:val="both"/>
        <w:rPr>
          <w:i/>
          <w:iCs/>
          <w:color w:val="0D0D0D" w:themeColor="text1" w:themeTint="F2"/>
          <w:sz w:val="20"/>
        </w:rPr>
      </w:pPr>
      <w:r w:rsidRPr="00C4374F">
        <w:t>reduce the time horizon from 51 years to 30 years;</w:t>
      </w:r>
    </w:p>
    <w:p w14:paraId="7E314497" w14:textId="63BFFEDE" w:rsidR="00404150" w:rsidRPr="00C4374F" w:rsidRDefault="00404150" w:rsidP="00213DD5">
      <w:pPr>
        <w:pStyle w:val="ListParagraph"/>
        <w:numPr>
          <w:ilvl w:val="1"/>
          <w:numId w:val="41"/>
        </w:numPr>
        <w:ind w:left="993"/>
        <w:jc w:val="both"/>
        <w:rPr>
          <w:i/>
          <w:iCs/>
          <w:color w:val="0D0D0D" w:themeColor="text1" w:themeTint="F2"/>
          <w:sz w:val="20"/>
        </w:rPr>
      </w:pPr>
      <w:r w:rsidRPr="00C4374F">
        <w:t xml:space="preserve">halve the utility increment/decrement applied from Cycle 2 to both the palopegteriparatide and conventional therapy arms; </w:t>
      </w:r>
    </w:p>
    <w:p w14:paraId="1E5D3C6E" w14:textId="77777777" w:rsidR="00C4374F" w:rsidRPr="00C4374F" w:rsidRDefault="00404150" w:rsidP="00213DD5">
      <w:pPr>
        <w:pStyle w:val="ListParagraph"/>
        <w:numPr>
          <w:ilvl w:val="1"/>
          <w:numId w:val="41"/>
        </w:numPr>
        <w:ind w:left="993"/>
        <w:jc w:val="both"/>
      </w:pPr>
      <w:r w:rsidRPr="00C4374F">
        <w:t>remove the anniversary price reductions</w:t>
      </w:r>
      <w:r w:rsidR="00C4374F" w:rsidRPr="00C4374F">
        <w:t>; and</w:t>
      </w:r>
    </w:p>
    <w:p w14:paraId="4321634B" w14:textId="2E3FC3B9" w:rsidR="00404150" w:rsidRPr="00C4374F" w:rsidRDefault="00490BB9" w:rsidP="00213DD5">
      <w:pPr>
        <w:pStyle w:val="ListParagraph"/>
        <w:numPr>
          <w:ilvl w:val="1"/>
          <w:numId w:val="41"/>
        </w:numPr>
        <w:ind w:left="993"/>
        <w:jc w:val="both"/>
        <w:rPr>
          <w:i/>
          <w:iCs/>
          <w:color w:val="0D0D0D" w:themeColor="text1" w:themeTint="F2"/>
          <w:sz w:val="20"/>
        </w:rPr>
      </w:pPr>
      <w:r>
        <w:t xml:space="preserve">present </w:t>
      </w:r>
      <w:r w:rsidR="00C4374F" w:rsidRPr="00C4374F">
        <w:t xml:space="preserve">an ICER </w:t>
      </w:r>
      <w:r w:rsidR="000B677B">
        <w:t xml:space="preserve">of </w:t>
      </w:r>
      <w:r w:rsidR="00C4374F" w:rsidRPr="00C4374F">
        <w:t xml:space="preserve">no more than </w:t>
      </w:r>
      <w:r w:rsidR="00255CDD" w:rsidRPr="00255CDD">
        <w:t>$45,000 to &lt; $55,000</w:t>
      </w:r>
      <w:r w:rsidR="00C4374F" w:rsidRPr="00C4374F">
        <w:t xml:space="preserve"> per quality adjusted life year (QALY)</w:t>
      </w:r>
      <w:r w:rsidR="00F95D0C" w:rsidRPr="00C4374F">
        <w:t>.</w:t>
      </w:r>
    </w:p>
    <w:p w14:paraId="1690C976" w14:textId="4D4CCF2C" w:rsidR="005A717F" w:rsidRPr="005A717F" w:rsidRDefault="00404150" w:rsidP="00213DD5">
      <w:pPr>
        <w:pStyle w:val="3-BodyText"/>
        <w:rPr>
          <w:snapToGrid w:val="0"/>
          <w:lang w:val="en-GB"/>
        </w:rPr>
      </w:pPr>
      <w:r w:rsidRPr="00404150">
        <w:rPr>
          <w:snapToGrid w:val="0"/>
        </w:rPr>
        <w:t xml:space="preserve">The PBAC noted that the resubmission </w:t>
      </w:r>
      <w:r w:rsidR="004341B2">
        <w:rPr>
          <w:snapToGrid w:val="0"/>
        </w:rPr>
        <w:t>remove</w:t>
      </w:r>
      <w:r w:rsidR="00774089">
        <w:rPr>
          <w:snapToGrid w:val="0"/>
        </w:rPr>
        <w:t>d</w:t>
      </w:r>
      <w:r w:rsidR="004341B2">
        <w:rPr>
          <w:snapToGrid w:val="0"/>
        </w:rPr>
        <w:t xml:space="preserve"> the anniversary price reductions</w:t>
      </w:r>
      <w:r w:rsidR="00BE7707">
        <w:rPr>
          <w:snapToGrid w:val="0"/>
        </w:rPr>
        <w:t xml:space="preserve">, </w:t>
      </w:r>
      <w:r w:rsidR="00ED5BAA">
        <w:rPr>
          <w:snapToGrid w:val="0"/>
        </w:rPr>
        <w:t>but</w:t>
      </w:r>
      <w:r w:rsidR="00E4202A">
        <w:rPr>
          <w:snapToGrid w:val="0"/>
        </w:rPr>
        <w:t xml:space="preserve"> </w:t>
      </w:r>
      <w:r w:rsidR="00C252CA">
        <w:rPr>
          <w:snapToGrid w:val="0"/>
        </w:rPr>
        <w:t>maintained a time horizon of 51 years</w:t>
      </w:r>
      <w:r w:rsidR="00BA2B92">
        <w:rPr>
          <w:snapToGrid w:val="0"/>
        </w:rPr>
        <w:t xml:space="preserve"> and</w:t>
      </w:r>
      <w:r w:rsidR="00E447E9">
        <w:rPr>
          <w:snapToGrid w:val="0"/>
        </w:rPr>
        <w:t xml:space="preserve"> </w:t>
      </w:r>
      <w:r w:rsidR="004A586D">
        <w:rPr>
          <w:snapToGrid w:val="0"/>
        </w:rPr>
        <w:t xml:space="preserve">did not halve </w:t>
      </w:r>
      <w:r w:rsidR="003A2477">
        <w:rPr>
          <w:snapToGrid w:val="0"/>
        </w:rPr>
        <w:t xml:space="preserve">the utility values </w:t>
      </w:r>
      <w:r w:rsidR="00E93B49">
        <w:rPr>
          <w:snapToGrid w:val="0"/>
        </w:rPr>
        <w:t xml:space="preserve">from </w:t>
      </w:r>
      <w:r w:rsidR="00F62D1C">
        <w:rPr>
          <w:snapToGrid w:val="0"/>
        </w:rPr>
        <w:t>Cycle 2</w:t>
      </w:r>
      <w:r w:rsidR="00BA2B92">
        <w:rPr>
          <w:snapToGrid w:val="0"/>
        </w:rPr>
        <w:t xml:space="preserve">. The resubmission </w:t>
      </w:r>
      <w:r w:rsidR="00E93B49">
        <w:rPr>
          <w:snapToGrid w:val="0"/>
        </w:rPr>
        <w:t xml:space="preserve">proposed </w:t>
      </w:r>
      <w:r w:rsidR="004F0EA7">
        <w:rPr>
          <w:snapToGrid w:val="0"/>
        </w:rPr>
        <w:t xml:space="preserve">a </w:t>
      </w:r>
      <w:r w:rsidR="00FD3ADE" w:rsidRPr="007746F5">
        <w:rPr>
          <w:snapToGrid w:val="0"/>
          <w:color w:val="000000"/>
          <w:w w:val="59"/>
          <w:shd w:val="solid" w:color="000000" w:fill="000000"/>
          <w:fitText w:val="460" w:id="-621624824"/>
          <w14:textFill>
            <w14:solidFill>
              <w14:srgbClr w14:val="000000">
                <w14:alpha w14:val="100000"/>
              </w14:srgbClr>
            </w14:solidFill>
          </w14:textFill>
        </w:rPr>
        <w:t>|||  ||</w:t>
      </w:r>
      <w:r w:rsidR="00FD3ADE" w:rsidRPr="007746F5">
        <w:rPr>
          <w:snapToGrid w:val="0"/>
          <w:color w:val="000000"/>
          <w:spacing w:val="5"/>
          <w:w w:val="59"/>
          <w:shd w:val="solid" w:color="000000" w:fill="000000"/>
          <w:fitText w:val="460" w:id="-621624824"/>
          <w14:textFill>
            <w14:solidFill>
              <w14:srgbClr w14:val="000000">
                <w14:alpha w14:val="100000"/>
              </w14:srgbClr>
            </w14:solidFill>
          </w14:textFill>
        </w:rPr>
        <w:t>|</w:t>
      </w:r>
      <w:r w:rsidR="004F0EA7">
        <w:rPr>
          <w:snapToGrid w:val="0"/>
        </w:rPr>
        <w:t>% price reduction</w:t>
      </w:r>
      <w:r w:rsidR="00BA2B92">
        <w:rPr>
          <w:snapToGrid w:val="0"/>
        </w:rPr>
        <w:t xml:space="preserve">, which in combination with the </w:t>
      </w:r>
      <w:r w:rsidR="00354576">
        <w:rPr>
          <w:snapToGrid w:val="0"/>
        </w:rPr>
        <w:t xml:space="preserve">removal of the </w:t>
      </w:r>
      <w:r w:rsidR="00BA2B92">
        <w:rPr>
          <w:snapToGrid w:val="0"/>
        </w:rPr>
        <w:t>anniversary price reduction</w:t>
      </w:r>
      <w:r w:rsidR="00354576">
        <w:rPr>
          <w:snapToGrid w:val="0"/>
        </w:rPr>
        <w:t xml:space="preserve">s, </w:t>
      </w:r>
      <w:r w:rsidR="004F0EA7">
        <w:rPr>
          <w:snapToGrid w:val="0"/>
        </w:rPr>
        <w:t xml:space="preserve">resulted in an </w:t>
      </w:r>
      <w:r w:rsidR="001E6501">
        <w:rPr>
          <w:snapToGrid w:val="0"/>
        </w:rPr>
        <w:t xml:space="preserve">ICER </w:t>
      </w:r>
      <w:r w:rsidR="004F0EA7">
        <w:rPr>
          <w:snapToGrid w:val="0"/>
        </w:rPr>
        <w:t xml:space="preserve">of </w:t>
      </w:r>
      <w:r w:rsidR="001D6EBF" w:rsidRPr="001D6EBF">
        <w:rPr>
          <w:snapToGrid w:val="0"/>
        </w:rPr>
        <w:t>$75,000 to &lt; $95,000</w:t>
      </w:r>
      <w:r w:rsidR="004F0EA7">
        <w:rPr>
          <w:snapToGrid w:val="0"/>
        </w:rPr>
        <w:t xml:space="preserve"> per QALY gained. </w:t>
      </w:r>
    </w:p>
    <w:p w14:paraId="63BA54A5" w14:textId="7ED70888" w:rsidR="008655FC" w:rsidRPr="00B563A6" w:rsidRDefault="00731E23" w:rsidP="00213DD5">
      <w:pPr>
        <w:pStyle w:val="3-BodyText"/>
        <w:rPr>
          <w:snapToGrid w:val="0"/>
        </w:rPr>
      </w:pPr>
      <w:bookmarkStart w:id="21" w:name="_Ref204865873"/>
      <w:r>
        <w:rPr>
          <w:snapToGrid w:val="0"/>
        </w:rPr>
        <w:t>T</w:t>
      </w:r>
      <w:r w:rsidR="004F0EA7">
        <w:rPr>
          <w:snapToGrid w:val="0"/>
        </w:rPr>
        <w:t xml:space="preserve">he PBAC </w:t>
      </w:r>
      <w:r w:rsidR="00806D43">
        <w:rPr>
          <w:snapToGrid w:val="0"/>
        </w:rPr>
        <w:t xml:space="preserve">accepted </w:t>
      </w:r>
      <w:r w:rsidR="00590541">
        <w:rPr>
          <w:snapToGrid w:val="0"/>
        </w:rPr>
        <w:t>the resubmission’s</w:t>
      </w:r>
      <w:r w:rsidR="00931021">
        <w:rPr>
          <w:snapToGrid w:val="0"/>
        </w:rPr>
        <w:t xml:space="preserve"> arguments </w:t>
      </w:r>
      <w:r w:rsidR="00F54079">
        <w:rPr>
          <w:snapToGrid w:val="0"/>
        </w:rPr>
        <w:t xml:space="preserve">to not halve </w:t>
      </w:r>
      <w:r w:rsidR="00E05181">
        <w:rPr>
          <w:snapToGrid w:val="0"/>
        </w:rPr>
        <w:t>the utility values</w:t>
      </w:r>
      <w:r w:rsidR="00F54079">
        <w:rPr>
          <w:snapToGrid w:val="0"/>
        </w:rPr>
        <w:t xml:space="preserve"> as the model did </w:t>
      </w:r>
      <w:r w:rsidR="00F54079" w:rsidRPr="00F54079">
        <w:rPr>
          <w:snapToGrid w:val="0"/>
        </w:rPr>
        <w:t>not include symptoms related to hypocalcaemia in the disutilities (only CKD)</w:t>
      </w:r>
      <w:r w:rsidR="008655FC">
        <w:rPr>
          <w:snapToGrid w:val="0"/>
        </w:rPr>
        <w:t>.</w:t>
      </w:r>
    </w:p>
    <w:p w14:paraId="7E7BABEE" w14:textId="4D7DA866" w:rsidR="00180967" w:rsidRPr="008D3984" w:rsidRDefault="008655FC" w:rsidP="00213DD5">
      <w:pPr>
        <w:pStyle w:val="3-BodyText"/>
        <w:rPr>
          <w:snapToGrid w:val="0"/>
          <w:lang w:val="en-GB"/>
        </w:rPr>
      </w:pPr>
      <w:r>
        <w:rPr>
          <w:snapToGrid w:val="0"/>
        </w:rPr>
        <w:t>T</w:t>
      </w:r>
      <w:r w:rsidR="00ED28C5">
        <w:rPr>
          <w:snapToGrid w:val="0"/>
        </w:rPr>
        <w:t xml:space="preserve">he PBAC did not </w:t>
      </w:r>
      <w:r w:rsidR="001C7A02">
        <w:rPr>
          <w:snapToGrid w:val="0"/>
        </w:rPr>
        <w:t xml:space="preserve">accept </w:t>
      </w:r>
      <w:r w:rsidR="00976F60">
        <w:rPr>
          <w:snapToGrid w:val="0"/>
        </w:rPr>
        <w:t>the resubmission</w:t>
      </w:r>
      <w:r w:rsidR="004467D6">
        <w:rPr>
          <w:snapToGrid w:val="0"/>
        </w:rPr>
        <w:t xml:space="preserve">’s proposal to </w:t>
      </w:r>
      <w:r w:rsidR="00F60971">
        <w:rPr>
          <w:snapToGrid w:val="0"/>
        </w:rPr>
        <w:t xml:space="preserve">maintain a </w:t>
      </w:r>
      <w:r w:rsidR="00C352D0">
        <w:rPr>
          <w:snapToGrid w:val="0"/>
        </w:rPr>
        <w:t>51-year</w:t>
      </w:r>
      <w:r w:rsidR="00F60971">
        <w:rPr>
          <w:snapToGrid w:val="0"/>
        </w:rPr>
        <w:t xml:space="preserve"> </w:t>
      </w:r>
      <w:r w:rsidR="00180967">
        <w:rPr>
          <w:snapToGrid w:val="0"/>
        </w:rPr>
        <w:t xml:space="preserve">time horizon, </w:t>
      </w:r>
      <w:r w:rsidR="004739C3">
        <w:rPr>
          <w:snapToGrid w:val="0"/>
        </w:rPr>
        <w:t>n</w:t>
      </w:r>
      <w:r w:rsidR="00180967">
        <w:rPr>
          <w:snapToGrid w:val="0"/>
        </w:rPr>
        <w:t xml:space="preserve">or the </w:t>
      </w:r>
      <w:r w:rsidR="00490BB9">
        <w:rPr>
          <w:snapToGrid w:val="0"/>
        </w:rPr>
        <w:t>p</w:t>
      </w:r>
      <w:r w:rsidR="00180967">
        <w:rPr>
          <w:snapToGrid w:val="0"/>
        </w:rPr>
        <w:t>re-PBAC respons</w:t>
      </w:r>
      <w:r w:rsidR="00771BE1">
        <w:rPr>
          <w:snapToGrid w:val="0"/>
        </w:rPr>
        <w:t>e</w:t>
      </w:r>
      <w:r w:rsidR="004739C3">
        <w:rPr>
          <w:snapToGrid w:val="0"/>
        </w:rPr>
        <w:t>’s</w:t>
      </w:r>
      <w:r w:rsidR="00180967">
        <w:rPr>
          <w:snapToGrid w:val="0"/>
        </w:rPr>
        <w:t xml:space="preserve"> alternative </w:t>
      </w:r>
      <w:r w:rsidR="00FE50CB">
        <w:rPr>
          <w:snapToGrid w:val="0"/>
        </w:rPr>
        <w:t xml:space="preserve">proposal </w:t>
      </w:r>
      <w:r w:rsidR="00180967">
        <w:rPr>
          <w:snapToGrid w:val="0"/>
        </w:rPr>
        <w:t xml:space="preserve">of having a </w:t>
      </w:r>
      <w:r w:rsidR="00C352D0">
        <w:rPr>
          <w:snapToGrid w:val="0"/>
        </w:rPr>
        <w:t>51-year</w:t>
      </w:r>
      <w:r w:rsidR="004739C3">
        <w:rPr>
          <w:snapToGrid w:val="0"/>
        </w:rPr>
        <w:t xml:space="preserve"> </w:t>
      </w:r>
      <w:r w:rsidR="00180967">
        <w:rPr>
          <w:snapToGrid w:val="0"/>
        </w:rPr>
        <w:t xml:space="preserve">time horizon </w:t>
      </w:r>
      <w:r w:rsidR="00534627">
        <w:rPr>
          <w:snapToGrid w:val="0"/>
        </w:rPr>
        <w:t xml:space="preserve">with </w:t>
      </w:r>
      <w:r w:rsidR="00180967">
        <w:rPr>
          <w:snapToGrid w:val="0"/>
        </w:rPr>
        <w:t xml:space="preserve">a 3.5% discount rate. </w:t>
      </w:r>
      <w:r w:rsidR="00180967" w:rsidRPr="008D3984">
        <w:rPr>
          <w:snapToGrid w:val="0"/>
        </w:rPr>
        <w:t xml:space="preserve">The PBAC </w:t>
      </w:r>
      <w:r w:rsidR="008D3984">
        <w:rPr>
          <w:snapToGrid w:val="0"/>
        </w:rPr>
        <w:t>again noted</w:t>
      </w:r>
      <w:r w:rsidR="00180967" w:rsidRPr="008D3984">
        <w:rPr>
          <w:snapToGrid w:val="0"/>
        </w:rPr>
        <w:t xml:space="preserve"> that </w:t>
      </w:r>
      <w:r w:rsidR="00180967" w:rsidRPr="008D3984">
        <w:rPr>
          <w:snapToGrid w:val="0"/>
          <w:lang w:val="en-GB"/>
        </w:rPr>
        <w:t xml:space="preserve">the time horizon of </w:t>
      </w:r>
      <w:r w:rsidR="00890983">
        <w:rPr>
          <w:snapToGrid w:val="0"/>
          <w:lang w:val="en-GB"/>
        </w:rPr>
        <w:br/>
      </w:r>
      <w:r w:rsidR="00180967" w:rsidRPr="008D3984">
        <w:rPr>
          <w:snapToGrid w:val="0"/>
          <w:lang w:val="en-GB"/>
        </w:rPr>
        <w:t>51 years applied in the model was long compared to the 26 weeks of comparative evidence from the PaTHway trial</w:t>
      </w:r>
      <w:r w:rsidR="00410FA7">
        <w:rPr>
          <w:snapToGrid w:val="0"/>
          <w:lang w:val="en-GB"/>
        </w:rPr>
        <w:t>, and</w:t>
      </w:r>
      <w:r w:rsidR="00180967" w:rsidRPr="008D3984">
        <w:rPr>
          <w:snapToGrid w:val="0"/>
          <w:lang w:val="en-GB"/>
        </w:rPr>
        <w:t xml:space="preserve"> that the modelled effectiveness of palopegteriparatide was perpetuated over this period, biasing the results in favour palopegteriparatide.</w:t>
      </w:r>
      <w:r w:rsidR="0014381E" w:rsidRPr="008D3984">
        <w:rPr>
          <w:snapToGrid w:val="0"/>
          <w:lang w:val="en-GB"/>
        </w:rPr>
        <w:t xml:space="preserve"> </w:t>
      </w:r>
      <w:bookmarkEnd w:id="21"/>
    </w:p>
    <w:p w14:paraId="621034FB" w14:textId="5AC28CC7" w:rsidR="005A717F" w:rsidRDefault="001955E5" w:rsidP="00213DD5">
      <w:pPr>
        <w:pStyle w:val="3-BodyText"/>
        <w:rPr>
          <w:snapToGrid w:val="0"/>
          <w:lang w:val="en-GB"/>
        </w:rPr>
      </w:pPr>
      <w:bookmarkStart w:id="22" w:name="_Ref204865882"/>
      <w:r w:rsidRPr="003E4E7F">
        <w:rPr>
          <w:snapToGrid w:val="0"/>
          <w:lang w:val="en-GB"/>
        </w:rPr>
        <w:t>The PBAC considered the ICER presented in the resubmission was high and that palopegteriparatide was not cost-effective at the price proposed.</w:t>
      </w:r>
      <w:r>
        <w:rPr>
          <w:snapToGrid w:val="0"/>
          <w:lang w:val="en-GB"/>
        </w:rPr>
        <w:t xml:space="preserve"> </w:t>
      </w:r>
      <w:r w:rsidR="00771BE1" w:rsidRPr="003E4E7F">
        <w:rPr>
          <w:snapToGrid w:val="0"/>
          <w:lang w:val="en-GB"/>
        </w:rPr>
        <w:t xml:space="preserve">The PBAC </w:t>
      </w:r>
      <w:r w:rsidR="007B6210" w:rsidRPr="003E4E7F">
        <w:rPr>
          <w:snapToGrid w:val="0"/>
          <w:lang w:val="en-GB"/>
        </w:rPr>
        <w:t xml:space="preserve">maintained its previous view that </w:t>
      </w:r>
      <w:r w:rsidR="00920626" w:rsidRPr="003E4E7F">
        <w:rPr>
          <w:snapToGrid w:val="0"/>
          <w:lang w:val="en-GB"/>
        </w:rPr>
        <w:t xml:space="preserve">palopegteriparatide would be cost effective at an ICER of </w:t>
      </w:r>
      <w:r w:rsidR="0015572C">
        <w:rPr>
          <w:snapToGrid w:val="0"/>
          <w:lang w:val="en-GB"/>
        </w:rPr>
        <w:t xml:space="preserve">no more than </w:t>
      </w:r>
      <w:r w:rsidR="00825350" w:rsidRPr="00825350">
        <w:rPr>
          <w:snapToGrid w:val="0"/>
          <w:lang w:val="en-GB"/>
        </w:rPr>
        <w:t>$45,000 to &lt; $55,000</w:t>
      </w:r>
      <w:r w:rsidR="00920626" w:rsidRPr="003E4E7F">
        <w:rPr>
          <w:snapToGrid w:val="0"/>
          <w:lang w:val="en-GB"/>
        </w:rPr>
        <w:t xml:space="preserve"> per QALY, n</w:t>
      </w:r>
      <w:r w:rsidR="007B6210" w:rsidRPr="003E4E7F">
        <w:rPr>
          <w:snapToGrid w:val="0"/>
          <w:lang w:val="en-GB"/>
        </w:rPr>
        <w:t>oting the uncertainties associated with the reliance on CKD outcomes and the lack of comparative data to inform the inputs</w:t>
      </w:r>
      <w:r w:rsidR="004136F7" w:rsidRPr="003E4E7F">
        <w:rPr>
          <w:snapToGrid w:val="0"/>
          <w:lang w:val="en-GB"/>
        </w:rPr>
        <w:t xml:space="preserve">. </w:t>
      </w:r>
      <w:bookmarkEnd w:id="22"/>
    </w:p>
    <w:p w14:paraId="051FD080" w14:textId="15ED05F5" w:rsidR="00A26D1A" w:rsidRPr="00EA310E" w:rsidRDefault="00A26D1A" w:rsidP="00213DD5">
      <w:pPr>
        <w:pStyle w:val="3-BodyText"/>
        <w:rPr>
          <w:snapToGrid w:val="0"/>
          <w:lang w:val="en-GB"/>
        </w:rPr>
      </w:pPr>
      <w:r w:rsidRPr="00F43A9F">
        <w:rPr>
          <w:snapToGrid w:val="0"/>
        </w:rPr>
        <w:t xml:space="preserve">The PBAC recalled </w:t>
      </w:r>
      <w:r w:rsidR="00542696">
        <w:rPr>
          <w:snapToGrid w:val="0"/>
        </w:rPr>
        <w:t>its advice regarding</w:t>
      </w:r>
      <w:r w:rsidRPr="00F43A9F">
        <w:rPr>
          <w:snapToGrid w:val="0"/>
        </w:rPr>
        <w:t xml:space="preserve"> the </w:t>
      </w:r>
      <w:r w:rsidR="001A6E93">
        <w:rPr>
          <w:snapToGrid w:val="0"/>
          <w:lang w:val="en-GB"/>
        </w:rPr>
        <w:t>utilisation and financial estimates</w:t>
      </w:r>
      <w:r>
        <w:rPr>
          <w:snapToGrid w:val="0"/>
        </w:rPr>
        <w:t xml:space="preserve"> (see </w:t>
      </w:r>
      <w:r w:rsidRPr="002C65D5">
        <w:rPr>
          <w:snapToGrid w:val="0"/>
        </w:rPr>
        <w:t>Table 1 and paragraphs 4.</w:t>
      </w:r>
      <w:r w:rsidR="00981BED" w:rsidRPr="002C65D5">
        <w:rPr>
          <w:snapToGrid w:val="0"/>
        </w:rPr>
        <w:t>26</w:t>
      </w:r>
      <w:r>
        <w:rPr>
          <w:snapToGrid w:val="0"/>
        </w:rPr>
        <w:t>)</w:t>
      </w:r>
      <w:r w:rsidR="00490BB9">
        <w:rPr>
          <w:snapToGrid w:val="0"/>
        </w:rPr>
        <w:t xml:space="preserve"> to</w:t>
      </w:r>
      <w:r w:rsidR="001955E5">
        <w:rPr>
          <w:snapToGrid w:val="0"/>
        </w:rPr>
        <w:t>:</w:t>
      </w:r>
    </w:p>
    <w:p w14:paraId="7A014739" w14:textId="410A5781" w:rsidR="007F27AC" w:rsidRPr="007F27AC" w:rsidRDefault="00490BB9" w:rsidP="00213DD5">
      <w:pPr>
        <w:pStyle w:val="ListParagraph"/>
        <w:numPr>
          <w:ilvl w:val="1"/>
          <w:numId w:val="41"/>
        </w:numPr>
        <w:ind w:left="993"/>
        <w:jc w:val="both"/>
      </w:pPr>
      <w:r>
        <w:t>r</w:t>
      </w:r>
      <w:r w:rsidR="007F27AC" w:rsidRPr="007F27AC">
        <w:t>educe the prevalence from 37.2 per 100,000 to 30.1 per 100,000;</w:t>
      </w:r>
      <w:r>
        <w:t xml:space="preserve"> and</w:t>
      </w:r>
    </w:p>
    <w:p w14:paraId="347E343C" w14:textId="0A5B192C" w:rsidR="007F27AC" w:rsidRPr="007F27AC" w:rsidRDefault="00490BB9" w:rsidP="00213DD5">
      <w:pPr>
        <w:pStyle w:val="ListParagraph"/>
        <w:numPr>
          <w:ilvl w:val="1"/>
          <w:numId w:val="41"/>
        </w:numPr>
        <w:ind w:left="993"/>
        <w:jc w:val="both"/>
        <w:rPr>
          <w:rFonts w:eastAsiaTheme="minorHAnsi" w:cstheme="minorBidi"/>
          <w:szCs w:val="22"/>
          <w:lang w:val="en-GB"/>
        </w:rPr>
      </w:pPr>
      <w:r>
        <w:t>a</w:t>
      </w:r>
      <w:r w:rsidR="007F27AC" w:rsidRPr="007F27AC">
        <w:t xml:space="preserve">pply an uptake rate of </w:t>
      </w:r>
      <w:r w:rsidR="00FD3ADE" w:rsidRPr="00FD3ADE">
        <w:rPr>
          <w:color w:val="000000"/>
          <w:w w:val="59"/>
          <w:shd w:val="solid" w:color="000000" w:fill="000000"/>
          <w:fitText w:val="460" w:id="-621624823"/>
          <w14:textFill>
            <w14:solidFill>
              <w14:srgbClr w14:val="000000">
                <w14:alpha w14:val="100000"/>
              </w14:srgbClr>
            </w14:solidFill>
          </w14:textFill>
        </w:rPr>
        <w:t>|||  ||</w:t>
      </w:r>
      <w:r w:rsidR="00FD3ADE" w:rsidRPr="00FD3ADE">
        <w:rPr>
          <w:color w:val="000000"/>
          <w:spacing w:val="5"/>
          <w:w w:val="59"/>
          <w:shd w:val="solid" w:color="000000" w:fill="000000"/>
          <w:fitText w:val="460" w:id="-621624823"/>
          <w14:textFill>
            <w14:solidFill>
              <w14:srgbClr w14:val="000000">
                <w14:alpha w14:val="100000"/>
              </w14:srgbClr>
            </w14:solidFill>
          </w14:textFill>
        </w:rPr>
        <w:t>|</w:t>
      </w:r>
      <w:r w:rsidR="007F27AC" w:rsidRPr="007F27AC">
        <w:t xml:space="preserve">% in Year 1, increasing to </w:t>
      </w:r>
      <w:r w:rsidR="00FD3ADE" w:rsidRPr="00FD3ADE">
        <w:rPr>
          <w:color w:val="000000"/>
          <w:w w:val="61"/>
          <w:shd w:val="solid" w:color="000000" w:fill="000000"/>
          <w:fitText w:val="475" w:id="-621624822"/>
          <w14:textFill>
            <w14:solidFill>
              <w14:srgbClr w14:val="000000">
                <w14:alpha w14:val="100000"/>
              </w14:srgbClr>
            </w14:solidFill>
          </w14:textFill>
        </w:rPr>
        <w:t>|||  ||</w:t>
      </w:r>
      <w:r w:rsidR="00FD3ADE" w:rsidRPr="00FD3ADE">
        <w:rPr>
          <w:color w:val="000000"/>
          <w:spacing w:val="5"/>
          <w:w w:val="61"/>
          <w:shd w:val="solid" w:color="000000" w:fill="000000"/>
          <w:fitText w:val="475" w:id="-621624822"/>
          <w14:textFill>
            <w14:solidFill>
              <w14:srgbClr w14:val="000000">
                <w14:alpha w14:val="100000"/>
              </w14:srgbClr>
            </w14:solidFill>
          </w14:textFill>
        </w:rPr>
        <w:t>|</w:t>
      </w:r>
      <w:r w:rsidR="007F27AC" w:rsidRPr="007F27AC">
        <w:t>% in Year 6.</w:t>
      </w:r>
    </w:p>
    <w:p w14:paraId="2D3D4CC4" w14:textId="4707DD27" w:rsidR="00A26D1A" w:rsidRPr="005A717F" w:rsidRDefault="00A26D1A" w:rsidP="00213DD5">
      <w:pPr>
        <w:pStyle w:val="3-BodyText"/>
        <w:rPr>
          <w:snapToGrid w:val="0"/>
          <w:lang w:val="en-GB"/>
        </w:rPr>
      </w:pPr>
      <w:r w:rsidRPr="00404150">
        <w:rPr>
          <w:snapToGrid w:val="0"/>
        </w:rPr>
        <w:t xml:space="preserve">The PBAC noted that the resubmission </w:t>
      </w:r>
      <w:r w:rsidR="001961AD">
        <w:rPr>
          <w:snapToGrid w:val="0"/>
        </w:rPr>
        <w:t>applied</w:t>
      </w:r>
      <w:r w:rsidR="00F65A05">
        <w:rPr>
          <w:snapToGrid w:val="0"/>
        </w:rPr>
        <w:t xml:space="preserve"> </w:t>
      </w:r>
      <w:r w:rsidR="008F6D0F">
        <w:rPr>
          <w:snapToGrid w:val="0"/>
        </w:rPr>
        <w:t xml:space="preserve">the </w:t>
      </w:r>
      <w:r w:rsidR="00F65A05">
        <w:rPr>
          <w:snapToGrid w:val="0"/>
        </w:rPr>
        <w:t xml:space="preserve">above </w:t>
      </w:r>
      <w:r w:rsidR="008F6D0F">
        <w:rPr>
          <w:snapToGrid w:val="0"/>
        </w:rPr>
        <w:t>upta</w:t>
      </w:r>
      <w:r w:rsidR="003B0E46">
        <w:rPr>
          <w:snapToGrid w:val="0"/>
        </w:rPr>
        <w:t>k</w:t>
      </w:r>
      <w:r w:rsidR="008F6D0F">
        <w:rPr>
          <w:snapToGrid w:val="0"/>
        </w:rPr>
        <w:t>e rate</w:t>
      </w:r>
      <w:r w:rsidR="001955E5">
        <w:rPr>
          <w:snapToGrid w:val="0"/>
        </w:rPr>
        <w:t>; h</w:t>
      </w:r>
      <w:r w:rsidR="008F6D0F">
        <w:rPr>
          <w:snapToGrid w:val="0"/>
        </w:rPr>
        <w:t xml:space="preserve">owever, the resubmission </w:t>
      </w:r>
      <w:r w:rsidR="008F6D0F" w:rsidRPr="008F6D0F">
        <w:rPr>
          <w:snapToGrid w:val="0"/>
        </w:rPr>
        <w:t xml:space="preserve">proposed </w:t>
      </w:r>
      <w:r w:rsidR="00730036">
        <w:rPr>
          <w:snapToGrid w:val="0"/>
        </w:rPr>
        <w:t xml:space="preserve">a prevalence </w:t>
      </w:r>
      <w:r w:rsidR="008F6D0F" w:rsidRPr="008F6D0F">
        <w:rPr>
          <w:snapToGrid w:val="0"/>
        </w:rPr>
        <w:t xml:space="preserve">estimate of 33.65 per 100,000, which was halfway between the </w:t>
      </w:r>
      <w:r w:rsidR="00730036">
        <w:rPr>
          <w:snapToGrid w:val="0"/>
        </w:rPr>
        <w:t xml:space="preserve">original submission’s </w:t>
      </w:r>
      <w:r w:rsidR="008F6D0F" w:rsidRPr="008F6D0F">
        <w:rPr>
          <w:snapToGrid w:val="0"/>
        </w:rPr>
        <w:t>estimates</w:t>
      </w:r>
      <w:r w:rsidR="008F6D0F">
        <w:rPr>
          <w:snapToGrid w:val="0"/>
        </w:rPr>
        <w:t xml:space="preserve"> </w:t>
      </w:r>
      <w:r w:rsidR="00730036">
        <w:rPr>
          <w:snapToGrid w:val="0"/>
        </w:rPr>
        <w:t xml:space="preserve">and PBAC’s </w:t>
      </w:r>
      <w:r w:rsidR="00F105A5">
        <w:rPr>
          <w:snapToGrid w:val="0"/>
        </w:rPr>
        <w:t xml:space="preserve">requested estimate. </w:t>
      </w:r>
      <w:r w:rsidR="00647A92">
        <w:rPr>
          <w:snapToGrid w:val="0"/>
        </w:rPr>
        <w:t xml:space="preserve">The PBAC </w:t>
      </w:r>
      <w:r w:rsidR="007B2D47">
        <w:rPr>
          <w:snapToGrid w:val="0"/>
        </w:rPr>
        <w:t xml:space="preserve">noted </w:t>
      </w:r>
      <w:r w:rsidR="00235EA1">
        <w:rPr>
          <w:snapToGrid w:val="0"/>
        </w:rPr>
        <w:t>the prevalence of H</w:t>
      </w:r>
      <w:r w:rsidR="00712BF9">
        <w:rPr>
          <w:snapToGrid w:val="0"/>
        </w:rPr>
        <w:t>PT</w:t>
      </w:r>
      <w:r w:rsidR="007B2D47">
        <w:rPr>
          <w:snapToGrid w:val="0"/>
        </w:rPr>
        <w:t xml:space="preserve"> was</w:t>
      </w:r>
      <w:r w:rsidR="00712BF9">
        <w:rPr>
          <w:snapToGrid w:val="0"/>
        </w:rPr>
        <w:t xml:space="preserve"> estimated</w:t>
      </w:r>
      <w:r w:rsidR="007B2D47">
        <w:rPr>
          <w:snapToGrid w:val="0"/>
        </w:rPr>
        <w:t xml:space="preserve"> based on </w:t>
      </w:r>
      <w:r w:rsidR="00235EA1">
        <w:rPr>
          <w:rFonts w:eastAsiaTheme="minorEastAsia"/>
        </w:rPr>
        <w:t xml:space="preserve">PBS prescribing data of calcitriol </w:t>
      </w:r>
      <w:r w:rsidR="007B2D47">
        <w:rPr>
          <w:snapToGrid w:val="0"/>
        </w:rPr>
        <w:t>use and</w:t>
      </w:r>
      <w:r w:rsidR="00C5610E">
        <w:rPr>
          <w:snapToGrid w:val="0"/>
        </w:rPr>
        <w:t xml:space="preserve"> </w:t>
      </w:r>
      <w:r w:rsidR="00A5078D">
        <w:rPr>
          <w:snapToGrid w:val="0"/>
        </w:rPr>
        <w:t xml:space="preserve">considered </w:t>
      </w:r>
      <w:r w:rsidR="00647A92">
        <w:rPr>
          <w:snapToGrid w:val="0"/>
        </w:rPr>
        <w:t xml:space="preserve">the resubmission’s prevalence estimate </w:t>
      </w:r>
      <w:r w:rsidR="00A5078D">
        <w:rPr>
          <w:snapToGrid w:val="0"/>
        </w:rPr>
        <w:t xml:space="preserve">of </w:t>
      </w:r>
      <w:r w:rsidR="00D72E61" w:rsidRPr="008F6D0F">
        <w:rPr>
          <w:snapToGrid w:val="0"/>
        </w:rPr>
        <w:t>33.65 per 100,000</w:t>
      </w:r>
      <w:r w:rsidR="00D72E61">
        <w:rPr>
          <w:snapToGrid w:val="0"/>
        </w:rPr>
        <w:t xml:space="preserve"> </w:t>
      </w:r>
      <w:r w:rsidR="004A08E6">
        <w:rPr>
          <w:snapToGrid w:val="0"/>
        </w:rPr>
        <w:t xml:space="preserve">as a </w:t>
      </w:r>
      <w:r w:rsidR="00D21B46">
        <w:rPr>
          <w:snapToGrid w:val="0"/>
        </w:rPr>
        <w:t xml:space="preserve">reasonable </w:t>
      </w:r>
      <w:r w:rsidR="00FC2F98">
        <w:rPr>
          <w:snapToGrid w:val="0"/>
        </w:rPr>
        <w:t xml:space="preserve">estimate </w:t>
      </w:r>
      <w:r w:rsidR="00D72E61">
        <w:rPr>
          <w:snapToGrid w:val="0"/>
        </w:rPr>
        <w:t>account</w:t>
      </w:r>
      <w:r w:rsidR="00FC2F98">
        <w:rPr>
          <w:snapToGrid w:val="0"/>
        </w:rPr>
        <w:t>ing</w:t>
      </w:r>
      <w:r w:rsidR="00D72E61">
        <w:rPr>
          <w:snapToGrid w:val="0"/>
        </w:rPr>
        <w:t xml:space="preserve"> </w:t>
      </w:r>
      <w:r w:rsidR="00091089">
        <w:rPr>
          <w:snapToGrid w:val="0"/>
        </w:rPr>
        <w:t xml:space="preserve">for </w:t>
      </w:r>
      <w:r w:rsidR="007763E2">
        <w:rPr>
          <w:snapToGrid w:val="0"/>
        </w:rPr>
        <w:t xml:space="preserve">calcitriol </w:t>
      </w:r>
      <w:r w:rsidR="00091089">
        <w:rPr>
          <w:snapToGrid w:val="0"/>
        </w:rPr>
        <w:t>use</w:t>
      </w:r>
      <w:r w:rsidR="005D6D9C">
        <w:rPr>
          <w:snapToGrid w:val="0"/>
        </w:rPr>
        <w:t xml:space="preserve"> </w:t>
      </w:r>
      <w:r w:rsidR="00862B36">
        <w:rPr>
          <w:snapToGrid w:val="0"/>
        </w:rPr>
        <w:t xml:space="preserve">under </w:t>
      </w:r>
      <w:r w:rsidR="000664E3">
        <w:rPr>
          <w:snapToGrid w:val="0"/>
        </w:rPr>
        <w:t xml:space="preserve">the </w:t>
      </w:r>
      <w:r w:rsidR="00D72E61">
        <w:rPr>
          <w:snapToGrid w:val="0"/>
        </w:rPr>
        <w:t xml:space="preserve">hypocalcaemia </w:t>
      </w:r>
      <w:r w:rsidR="000664E3">
        <w:rPr>
          <w:snapToGrid w:val="0"/>
        </w:rPr>
        <w:t>code</w:t>
      </w:r>
      <w:r w:rsidR="006E4735">
        <w:rPr>
          <w:snapToGrid w:val="0"/>
        </w:rPr>
        <w:t xml:space="preserve"> </w:t>
      </w:r>
      <w:r w:rsidR="00426A59">
        <w:rPr>
          <w:snapToGrid w:val="0"/>
        </w:rPr>
        <w:t xml:space="preserve">(paragraph </w:t>
      </w:r>
      <w:r w:rsidR="00426A59">
        <w:rPr>
          <w:snapToGrid w:val="0"/>
        </w:rPr>
        <w:fldChar w:fldCharType="begin"/>
      </w:r>
      <w:r w:rsidR="00426A59">
        <w:rPr>
          <w:snapToGrid w:val="0"/>
        </w:rPr>
        <w:instrText xml:space="preserve"> REF _Ref205544004 \r \h </w:instrText>
      </w:r>
      <w:r w:rsidR="00426A59">
        <w:rPr>
          <w:snapToGrid w:val="0"/>
        </w:rPr>
      </w:r>
      <w:r w:rsidR="00426A59">
        <w:rPr>
          <w:snapToGrid w:val="0"/>
        </w:rPr>
        <w:fldChar w:fldCharType="separate"/>
      </w:r>
      <w:r w:rsidR="005F7320">
        <w:rPr>
          <w:snapToGrid w:val="0"/>
        </w:rPr>
        <w:t>4.27</w:t>
      </w:r>
      <w:r w:rsidR="00426A59">
        <w:rPr>
          <w:snapToGrid w:val="0"/>
        </w:rPr>
        <w:fldChar w:fldCharType="end"/>
      </w:r>
      <w:r w:rsidR="00426A59">
        <w:rPr>
          <w:snapToGrid w:val="0"/>
        </w:rPr>
        <w:t>)</w:t>
      </w:r>
      <w:r w:rsidR="000664E3">
        <w:rPr>
          <w:snapToGrid w:val="0"/>
        </w:rPr>
        <w:t xml:space="preserve">. </w:t>
      </w:r>
    </w:p>
    <w:p w14:paraId="29683B1E" w14:textId="5864B756" w:rsidR="005C44DB" w:rsidRPr="00BB686E" w:rsidRDefault="005C44DB" w:rsidP="00213DD5">
      <w:pPr>
        <w:pStyle w:val="3-BodyText"/>
        <w:rPr>
          <w:snapToGrid w:val="0"/>
          <w:lang w:val="en-GB"/>
        </w:rPr>
      </w:pPr>
      <w:r>
        <w:t xml:space="preserve">The PBAC noted </w:t>
      </w:r>
      <w:r w:rsidR="00080899">
        <w:t xml:space="preserve">its previous advice regarding the </w:t>
      </w:r>
      <w:r w:rsidR="00BB686E">
        <w:t>restrictions for palopegteriparatide</w:t>
      </w:r>
      <w:r w:rsidR="00AC1D80">
        <w:t xml:space="preserve"> were incorp</w:t>
      </w:r>
      <w:r w:rsidR="00024CE2">
        <w:t xml:space="preserve">orated in </w:t>
      </w:r>
      <w:r w:rsidR="000316F3">
        <w:t xml:space="preserve">the </w:t>
      </w:r>
      <w:r w:rsidR="00024CE2">
        <w:t>resubmission</w:t>
      </w:r>
      <w:r w:rsidR="00BB686E">
        <w:t>, includ</w:t>
      </w:r>
      <w:r w:rsidR="00024CE2">
        <w:t>ing</w:t>
      </w:r>
      <w:r w:rsidR="002B622B">
        <w:t xml:space="preserve"> that</w:t>
      </w:r>
      <w:r w:rsidR="00BB686E">
        <w:t>:</w:t>
      </w:r>
    </w:p>
    <w:p w14:paraId="5CA38934" w14:textId="079CD7E3" w:rsidR="00BB686E" w:rsidRDefault="002B622B" w:rsidP="00213DD5">
      <w:pPr>
        <w:pStyle w:val="ListParagraph"/>
        <w:numPr>
          <w:ilvl w:val="1"/>
          <w:numId w:val="41"/>
        </w:numPr>
        <w:ind w:left="993"/>
      </w:pPr>
      <w:r>
        <w:t>a</w:t>
      </w:r>
      <w:r w:rsidR="00935323">
        <w:t>s per</w:t>
      </w:r>
      <w:r w:rsidR="00BB686E">
        <w:t xml:space="preserve"> the PaTHway trial</w:t>
      </w:r>
      <w:r w:rsidR="001B20EA">
        <w:t>,</w:t>
      </w:r>
      <w:r w:rsidR="00BB686E">
        <w:t xml:space="preserve"> patients with an estimated glomerular filtration rate (eGFR) of </w:t>
      </w:r>
      <w:r w:rsidR="00BB686E" w:rsidRPr="00BB686E">
        <w:t>≤</w:t>
      </w:r>
      <w:r w:rsidR="00BB686E">
        <w:t xml:space="preserve"> 30 mL/min/1.73 m</w:t>
      </w:r>
      <w:r w:rsidR="00BB686E" w:rsidRPr="00BB686E">
        <w:rPr>
          <w:vertAlign w:val="superscript"/>
        </w:rPr>
        <w:t>2</w:t>
      </w:r>
      <w:r w:rsidR="001B20EA">
        <w:t xml:space="preserve"> </w:t>
      </w:r>
      <w:r w:rsidR="007B1F68">
        <w:t>were</w:t>
      </w:r>
      <w:r w:rsidR="001B20EA">
        <w:t xml:space="preserve"> excluded</w:t>
      </w:r>
      <w:r w:rsidR="00BB686E">
        <w:t>;</w:t>
      </w:r>
    </w:p>
    <w:p w14:paraId="08D369BC" w14:textId="1969AB42" w:rsidR="00BB686E" w:rsidRDefault="002B622B" w:rsidP="00213DD5">
      <w:pPr>
        <w:pStyle w:val="ListParagraph"/>
        <w:numPr>
          <w:ilvl w:val="1"/>
          <w:numId w:val="41"/>
        </w:numPr>
        <w:ind w:left="993"/>
      </w:pPr>
      <w:r>
        <w:t>t</w:t>
      </w:r>
      <w:r w:rsidR="00BB686E">
        <w:t>he initial and first continuing treatment restrictions require</w:t>
      </w:r>
      <w:r w:rsidR="007A11F4">
        <w:t>d</w:t>
      </w:r>
      <w:r w:rsidR="00BB686E">
        <w:t xml:space="preserve"> treatment by an endocrinologist, or a specialist experienced in the treatment of HPT;</w:t>
      </w:r>
    </w:p>
    <w:p w14:paraId="318BFC9B" w14:textId="5B2C7834" w:rsidR="00BB686E" w:rsidRDefault="002B622B" w:rsidP="00213DD5">
      <w:pPr>
        <w:pStyle w:val="ListParagraph"/>
        <w:numPr>
          <w:ilvl w:val="1"/>
          <w:numId w:val="41"/>
        </w:numPr>
        <w:ind w:left="993"/>
      </w:pPr>
      <w:r>
        <w:t>t</w:t>
      </w:r>
      <w:r w:rsidR="00BB686E">
        <w:t>he restriction</w:t>
      </w:r>
      <w:r w:rsidR="009E1B12">
        <w:t>s</w:t>
      </w:r>
      <w:r w:rsidR="00BB686E">
        <w:t xml:space="preserve"> </w:t>
      </w:r>
      <w:r w:rsidR="007A11F4">
        <w:t>were</w:t>
      </w:r>
      <w:r w:rsidR="00BB686E">
        <w:t xml:space="preserve"> age agnostic;</w:t>
      </w:r>
      <w:r w:rsidR="00EA45D4">
        <w:t xml:space="preserve"> and</w:t>
      </w:r>
    </w:p>
    <w:p w14:paraId="62669FB2" w14:textId="19B0CDF3" w:rsidR="00BB686E" w:rsidRDefault="002B622B" w:rsidP="00213DD5">
      <w:pPr>
        <w:pStyle w:val="ListParagraph"/>
        <w:numPr>
          <w:ilvl w:val="1"/>
          <w:numId w:val="41"/>
        </w:numPr>
        <w:ind w:left="993"/>
      </w:pPr>
      <w:r>
        <w:t>t</w:t>
      </w:r>
      <w:r w:rsidR="00BB686E">
        <w:t>he response criteria currently described in the first continuing treatment restriction</w:t>
      </w:r>
      <w:r w:rsidR="00D772D4">
        <w:t xml:space="preserve"> </w:t>
      </w:r>
      <w:r w:rsidR="007A11F4">
        <w:t>were</w:t>
      </w:r>
      <w:r w:rsidR="00D772D4">
        <w:t xml:space="preserve"> included in the subsequent continuing treatment restriction</w:t>
      </w:r>
      <w:r w:rsidR="00BB686E">
        <w:t>.</w:t>
      </w:r>
    </w:p>
    <w:p w14:paraId="2B7B60A1" w14:textId="63AA08F1" w:rsidR="00C511FE" w:rsidRDefault="00C511FE" w:rsidP="00213DD5">
      <w:pPr>
        <w:pStyle w:val="3-BodyText"/>
        <w:rPr>
          <w:snapToGrid w:val="0"/>
          <w:lang w:val="en-GB"/>
        </w:rPr>
      </w:pPr>
      <w:bookmarkStart w:id="23" w:name="_Ref194490399"/>
      <w:r>
        <w:rPr>
          <w:snapToGrid w:val="0"/>
          <w:lang w:val="en-GB"/>
        </w:rPr>
        <w:t xml:space="preserve">The PBAC </w:t>
      </w:r>
      <w:r w:rsidR="001C776F">
        <w:rPr>
          <w:snapToGrid w:val="0"/>
          <w:lang w:val="en-GB"/>
        </w:rPr>
        <w:t xml:space="preserve">noted the resubmission proposed </w:t>
      </w:r>
      <w:r w:rsidR="001C776F" w:rsidRPr="001C776F">
        <w:rPr>
          <w:snapToGrid w:val="0"/>
          <w:lang w:val="en-GB"/>
        </w:rPr>
        <w:t xml:space="preserve">a rebate of </w:t>
      </w:r>
      <w:r w:rsidR="00FD3ADE" w:rsidRPr="00FD3ADE">
        <w:rPr>
          <w:snapToGrid w:val="0"/>
          <w:color w:val="000000"/>
          <w:w w:val="59"/>
          <w:shd w:val="solid" w:color="000000" w:fill="000000"/>
          <w:fitText w:val="460" w:id="-621624821"/>
          <w:lang w:val="en-GB"/>
          <w14:textFill>
            <w14:solidFill>
              <w14:srgbClr w14:val="000000">
                <w14:alpha w14:val="100000"/>
              </w14:srgbClr>
            </w14:solidFill>
          </w14:textFill>
        </w:rPr>
        <w:t>||</w:t>
      </w:r>
      <w:proofErr w:type="gramStart"/>
      <w:r w:rsidR="00FD3ADE" w:rsidRPr="00FD3ADE">
        <w:rPr>
          <w:snapToGrid w:val="0"/>
          <w:color w:val="000000"/>
          <w:w w:val="59"/>
          <w:shd w:val="solid" w:color="000000" w:fill="000000"/>
          <w:fitText w:val="460" w:id="-621624821"/>
          <w:lang w:val="en-GB"/>
          <w14:textFill>
            <w14:solidFill>
              <w14:srgbClr w14:val="000000">
                <w14:alpha w14:val="100000"/>
              </w14:srgbClr>
            </w14:solidFill>
          </w14:textFill>
        </w:rPr>
        <w:t>|  |</w:t>
      </w:r>
      <w:proofErr w:type="gramEnd"/>
      <w:r w:rsidR="00FD3ADE" w:rsidRPr="00FD3ADE">
        <w:rPr>
          <w:snapToGrid w:val="0"/>
          <w:color w:val="000000"/>
          <w:w w:val="59"/>
          <w:shd w:val="solid" w:color="000000" w:fill="000000"/>
          <w:fitText w:val="460" w:id="-621624821"/>
          <w:lang w:val="en-GB"/>
          <w14:textFill>
            <w14:solidFill>
              <w14:srgbClr w14:val="000000">
                <w14:alpha w14:val="100000"/>
              </w14:srgbClr>
            </w14:solidFill>
          </w14:textFill>
        </w:rPr>
        <w:t>|</w:t>
      </w:r>
      <w:r w:rsidR="00FD3ADE" w:rsidRPr="00FD3ADE">
        <w:rPr>
          <w:snapToGrid w:val="0"/>
          <w:color w:val="000000"/>
          <w:spacing w:val="5"/>
          <w:w w:val="59"/>
          <w:shd w:val="solid" w:color="000000" w:fill="000000"/>
          <w:fitText w:val="460" w:id="-621624821"/>
          <w:lang w:val="en-GB"/>
          <w14:textFill>
            <w14:solidFill>
              <w14:srgbClr w14:val="000000">
                <w14:alpha w14:val="100000"/>
              </w14:srgbClr>
            </w14:solidFill>
          </w14:textFill>
        </w:rPr>
        <w:t>|</w:t>
      </w:r>
      <w:r w:rsidR="001C776F" w:rsidRPr="001C776F">
        <w:rPr>
          <w:snapToGrid w:val="0"/>
          <w:lang w:val="en-GB"/>
        </w:rPr>
        <w:t xml:space="preserve">% for use above the expenditure caps </w:t>
      </w:r>
      <w:r w:rsidR="001C776F">
        <w:rPr>
          <w:snapToGrid w:val="0"/>
          <w:lang w:val="en-GB"/>
        </w:rPr>
        <w:t xml:space="preserve">to account </w:t>
      </w:r>
      <w:r w:rsidR="00D2097E">
        <w:rPr>
          <w:snapToGrid w:val="0"/>
          <w:lang w:val="en-GB"/>
        </w:rPr>
        <w:t xml:space="preserve">for </w:t>
      </w:r>
      <w:r w:rsidR="001C776F" w:rsidRPr="001C776F">
        <w:rPr>
          <w:snapToGrid w:val="0"/>
          <w:lang w:val="en-GB"/>
        </w:rPr>
        <w:t xml:space="preserve">the decrease in the prevalence and uptake rates </w:t>
      </w:r>
      <w:r w:rsidR="008538D2">
        <w:rPr>
          <w:snapToGrid w:val="0"/>
          <w:lang w:val="en-GB"/>
        </w:rPr>
        <w:t xml:space="preserve">in the revised estimates, noting these changes </w:t>
      </w:r>
      <w:r w:rsidR="001C776F" w:rsidRPr="001C776F">
        <w:rPr>
          <w:snapToGrid w:val="0"/>
          <w:lang w:val="en-GB"/>
        </w:rPr>
        <w:t>increase</w:t>
      </w:r>
      <w:r w:rsidR="008538D2">
        <w:rPr>
          <w:snapToGrid w:val="0"/>
          <w:lang w:val="en-GB"/>
        </w:rPr>
        <w:t>d</w:t>
      </w:r>
      <w:r w:rsidR="001C776F" w:rsidRPr="001C776F">
        <w:rPr>
          <w:snapToGrid w:val="0"/>
          <w:lang w:val="en-GB"/>
        </w:rPr>
        <w:t xml:space="preserve"> the risk of breaching the expenditure caps towards the sponsor. </w:t>
      </w:r>
      <w:r w:rsidR="008538D2">
        <w:rPr>
          <w:snapToGrid w:val="0"/>
          <w:lang w:val="en-GB"/>
        </w:rPr>
        <w:t>Howe</w:t>
      </w:r>
      <w:r w:rsidR="00A23388">
        <w:rPr>
          <w:snapToGrid w:val="0"/>
          <w:lang w:val="en-GB"/>
        </w:rPr>
        <w:t xml:space="preserve">ver, the PBAC </w:t>
      </w:r>
      <w:r>
        <w:rPr>
          <w:snapToGrid w:val="0"/>
          <w:lang w:val="en-GB"/>
        </w:rPr>
        <w:t xml:space="preserve">maintained its previous view that an RSA with a </w:t>
      </w:r>
      <w:r w:rsidR="00FD3ADE" w:rsidRPr="007746F5">
        <w:rPr>
          <w:snapToGrid w:val="0"/>
          <w:color w:val="000000"/>
          <w:w w:val="61"/>
          <w:shd w:val="solid" w:color="000000" w:fill="000000"/>
          <w:fitText w:val="475" w:id="-621624820"/>
          <w:lang w:val="en-GB"/>
          <w14:textFill>
            <w14:solidFill>
              <w14:srgbClr w14:val="000000">
                <w14:alpha w14:val="100000"/>
              </w14:srgbClr>
            </w14:solidFill>
          </w14:textFill>
        </w:rPr>
        <w:t>||</w:t>
      </w:r>
      <w:proofErr w:type="gramStart"/>
      <w:r w:rsidR="00FD3ADE" w:rsidRPr="007746F5">
        <w:rPr>
          <w:snapToGrid w:val="0"/>
          <w:color w:val="000000"/>
          <w:w w:val="61"/>
          <w:shd w:val="solid" w:color="000000" w:fill="000000"/>
          <w:fitText w:val="475" w:id="-621624820"/>
          <w:lang w:val="en-GB"/>
          <w14:textFill>
            <w14:solidFill>
              <w14:srgbClr w14:val="000000">
                <w14:alpha w14:val="100000"/>
              </w14:srgbClr>
            </w14:solidFill>
          </w14:textFill>
        </w:rPr>
        <w:t>|  |</w:t>
      </w:r>
      <w:proofErr w:type="gramEnd"/>
      <w:r w:rsidR="00FD3ADE" w:rsidRPr="007746F5">
        <w:rPr>
          <w:snapToGrid w:val="0"/>
          <w:color w:val="000000"/>
          <w:w w:val="61"/>
          <w:shd w:val="solid" w:color="000000" w:fill="000000"/>
          <w:fitText w:val="475" w:id="-621624820"/>
          <w:lang w:val="en-GB"/>
          <w14:textFill>
            <w14:solidFill>
              <w14:srgbClr w14:val="000000">
                <w14:alpha w14:val="100000"/>
              </w14:srgbClr>
            </w14:solidFill>
          </w14:textFill>
        </w:rPr>
        <w:t>|</w:t>
      </w:r>
      <w:r w:rsidR="00FD3ADE" w:rsidRPr="007746F5">
        <w:rPr>
          <w:snapToGrid w:val="0"/>
          <w:color w:val="000000"/>
          <w:spacing w:val="5"/>
          <w:w w:val="61"/>
          <w:shd w:val="solid" w:color="000000" w:fill="000000"/>
          <w:fitText w:val="475" w:id="-621624820"/>
          <w:lang w:val="en-GB"/>
          <w14:textFill>
            <w14:solidFill>
              <w14:srgbClr w14:val="000000">
                <w14:alpha w14:val="100000"/>
              </w14:srgbClr>
            </w14:solidFill>
          </w14:textFill>
        </w:rPr>
        <w:t>|</w:t>
      </w:r>
      <w:r w:rsidR="00C955F7">
        <w:rPr>
          <w:snapToGrid w:val="0"/>
          <w:lang w:val="en-GB"/>
        </w:rPr>
        <w:t xml:space="preserve">% </w:t>
      </w:r>
      <w:r>
        <w:rPr>
          <w:snapToGrid w:val="0"/>
          <w:lang w:val="en-GB"/>
        </w:rPr>
        <w:t>rebate for use above the expenditure caps</w:t>
      </w:r>
      <w:r w:rsidR="00E4035C">
        <w:rPr>
          <w:snapToGrid w:val="0"/>
          <w:lang w:val="en-GB"/>
        </w:rPr>
        <w:t>,</w:t>
      </w:r>
      <w:r>
        <w:rPr>
          <w:snapToGrid w:val="0"/>
          <w:lang w:val="en-GB"/>
        </w:rPr>
        <w:t xml:space="preserve"> would be required to mitigate the risk of usage in the first line HPT population who are adequately controlled on conventional therapy.</w:t>
      </w:r>
      <w:bookmarkEnd w:id="23"/>
    </w:p>
    <w:p w14:paraId="01BB0D82" w14:textId="5B9F1FF7" w:rsidR="0086518B" w:rsidRDefault="0086518B" w:rsidP="00213DD5">
      <w:pPr>
        <w:pStyle w:val="3-BodyText"/>
        <w:rPr>
          <w:snapToGrid w:val="0"/>
          <w:lang w:val="en-GB"/>
        </w:rPr>
      </w:pPr>
      <w:r w:rsidRPr="0086518B">
        <w:rPr>
          <w:snapToGrid w:val="0"/>
        </w:rPr>
        <w:t xml:space="preserve">The PBAC considered any resubmission </w:t>
      </w:r>
      <w:r w:rsidR="00B17692">
        <w:rPr>
          <w:snapToGrid w:val="0"/>
        </w:rPr>
        <w:t xml:space="preserve">for palopegteriparatide </w:t>
      </w:r>
      <w:r w:rsidRPr="0086518B">
        <w:rPr>
          <w:snapToGrid w:val="0"/>
        </w:rPr>
        <w:t>needs to address the outstanding issues related to the economic evaluation</w:t>
      </w:r>
      <w:r w:rsidR="009A532B">
        <w:rPr>
          <w:snapToGrid w:val="0"/>
        </w:rPr>
        <w:t xml:space="preserve"> as described in paragraphs </w:t>
      </w:r>
      <w:r w:rsidR="009E4750">
        <w:rPr>
          <w:snapToGrid w:val="0"/>
        </w:rPr>
        <w:fldChar w:fldCharType="begin"/>
      </w:r>
      <w:r w:rsidR="009E4750">
        <w:rPr>
          <w:snapToGrid w:val="0"/>
        </w:rPr>
        <w:instrText xml:space="preserve"> REF _Ref204865873 \r \h </w:instrText>
      </w:r>
      <w:r w:rsidR="009E4750">
        <w:rPr>
          <w:snapToGrid w:val="0"/>
        </w:rPr>
      </w:r>
      <w:r w:rsidR="009E4750">
        <w:rPr>
          <w:snapToGrid w:val="0"/>
        </w:rPr>
        <w:fldChar w:fldCharType="separate"/>
      </w:r>
      <w:r w:rsidR="005F7320">
        <w:rPr>
          <w:snapToGrid w:val="0"/>
        </w:rPr>
        <w:t>5.8</w:t>
      </w:r>
      <w:r w:rsidR="009E4750">
        <w:rPr>
          <w:snapToGrid w:val="0"/>
        </w:rPr>
        <w:fldChar w:fldCharType="end"/>
      </w:r>
      <w:r w:rsidR="00CD2146">
        <w:rPr>
          <w:snapToGrid w:val="0"/>
        </w:rPr>
        <w:t xml:space="preserve"> and </w:t>
      </w:r>
      <w:r w:rsidR="009E4750">
        <w:rPr>
          <w:snapToGrid w:val="0"/>
        </w:rPr>
        <w:fldChar w:fldCharType="begin"/>
      </w:r>
      <w:r w:rsidR="009E4750">
        <w:rPr>
          <w:snapToGrid w:val="0"/>
        </w:rPr>
        <w:instrText xml:space="preserve"> REF _Ref204865882 \r \h </w:instrText>
      </w:r>
      <w:r w:rsidR="009E4750">
        <w:rPr>
          <w:snapToGrid w:val="0"/>
        </w:rPr>
      </w:r>
      <w:r w:rsidR="009E4750">
        <w:rPr>
          <w:snapToGrid w:val="0"/>
        </w:rPr>
        <w:fldChar w:fldCharType="separate"/>
      </w:r>
      <w:r w:rsidR="005F7320">
        <w:rPr>
          <w:snapToGrid w:val="0"/>
        </w:rPr>
        <w:t>5.10</w:t>
      </w:r>
      <w:r w:rsidR="009E4750">
        <w:rPr>
          <w:snapToGrid w:val="0"/>
        </w:rPr>
        <w:fldChar w:fldCharType="end"/>
      </w:r>
      <w:r w:rsidRPr="0086518B">
        <w:rPr>
          <w:snapToGrid w:val="0"/>
        </w:rPr>
        <w:t>. The resubmission may be lodged at any future standard due date for PBAC submissions using the standard re-entry pathway.</w:t>
      </w:r>
    </w:p>
    <w:p w14:paraId="08D61605" w14:textId="7B1C24C2" w:rsidR="00DF31B6" w:rsidRPr="007D4707" w:rsidRDefault="00DF31B6" w:rsidP="00213DD5">
      <w:pPr>
        <w:pStyle w:val="3-BodyText"/>
        <w:rPr>
          <w:snapToGrid w:val="0"/>
          <w:lang w:val="en-GB"/>
        </w:rPr>
      </w:pPr>
      <w:r w:rsidRPr="00525B39">
        <w:rPr>
          <w:snapToGrid w:val="0"/>
          <w:lang w:val="en-GB"/>
        </w:rPr>
        <w:t>The PBAC noted that this submission is eligible for an Independent Review.</w:t>
      </w:r>
    </w:p>
    <w:p w14:paraId="18177AA9" w14:textId="77777777" w:rsidR="00DF31B6" w:rsidRPr="00525B39" w:rsidRDefault="00DF31B6" w:rsidP="00213DD5">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57C96BC0" w14:textId="4F780AB1" w:rsidR="00DF31B6" w:rsidRDefault="00DF31B6" w:rsidP="00213DD5">
      <w:pPr>
        <w:rPr>
          <w:rFonts w:asciiTheme="minorHAnsi" w:hAnsiTheme="minorHAnsi" w:cs="Arial"/>
          <w:bCs/>
          <w:snapToGrid w:val="0"/>
          <w:lang w:val="en-GB"/>
        </w:rPr>
      </w:pPr>
      <w:r>
        <w:rPr>
          <w:rFonts w:asciiTheme="minorHAnsi" w:hAnsiTheme="minorHAnsi" w:cs="Arial"/>
          <w:bCs/>
          <w:snapToGrid w:val="0"/>
          <w:lang w:val="en-GB"/>
        </w:rPr>
        <w:t>Not recommended</w:t>
      </w:r>
    </w:p>
    <w:p w14:paraId="4E884854" w14:textId="77777777" w:rsidR="00F61F19" w:rsidRPr="00F61F19" w:rsidRDefault="00F61F19" w:rsidP="00F61F19">
      <w:pPr>
        <w:keepNext/>
        <w:spacing w:before="240" w:after="120"/>
        <w:ind w:left="720" w:hanging="720"/>
        <w:jc w:val="left"/>
        <w:outlineLvl w:val="0"/>
        <w:rPr>
          <w:rFonts w:asciiTheme="minorHAnsi" w:hAnsiTheme="minorHAnsi" w:cs="Arial"/>
          <w:b/>
          <w:bCs/>
          <w:snapToGrid w:val="0"/>
          <w:sz w:val="32"/>
          <w:szCs w:val="32"/>
          <w:lang w:val="en-GB"/>
        </w:rPr>
      </w:pPr>
      <w:r w:rsidRPr="00F61F19">
        <w:rPr>
          <w:rFonts w:asciiTheme="minorHAnsi" w:hAnsiTheme="minorHAnsi" w:cs="Arial"/>
          <w:b/>
          <w:snapToGrid w:val="0"/>
          <w:sz w:val="32"/>
          <w:szCs w:val="32"/>
        </w:rPr>
        <w:t>9</w:t>
      </w:r>
      <w:r w:rsidRPr="00F61F19">
        <w:rPr>
          <w:rFonts w:asciiTheme="minorHAnsi" w:hAnsiTheme="minorHAnsi" w:cs="Arial"/>
          <w:b/>
          <w:snapToGrid w:val="0"/>
          <w:sz w:val="32"/>
          <w:szCs w:val="32"/>
        </w:rPr>
        <w:tab/>
        <w:t>Context for Decision</w:t>
      </w:r>
    </w:p>
    <w:p w14:paraId="5D4B93C8" w14:textId="77777777" w:rsidR="00F61F19" w:rsidRPr="00F61F19" w:rsidRDefault="00F61F19" w:rsidP="00F61F19">
      <w:pPr>
        <w:spacing w:after="120"/>
        <w:ind w:left="720"/>
        <w:rPr>
          <w:rFonts w:asciiTheme="minorHAnsi" w:hAnsiTheme="minorHAnsi" w:cs="Arial"/>
          <w:bCs/>
          <w:lang w:val="en-GB"/>
        </w:rPr>
      </w:pPr>
      <w:r w:rsidRPr="00F61F19">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771549F" w14:textId="77777777" w:rsidR="00F61F19" w:rsidRPr="00F61F19" w:rsidRDefault="00F61F19" w:rsidP="00F61F19">
      <w:pPr>
        <w:keepNext/>
        <w:spacing w:before="240" w:after="120"/>
        <w:ind w:left="720" w:hanging="720"/>
        <w:jc w:val="left"/>
        <w:outlineLvl w:val="0"/>
        <w:rPr>
          <w:rFonts w:asciiTheme="minorHAnsi" w:hAnsiTheme="minorHAnsi" w:cs="Arial"/>
          <w:b/>
          <w:snapToGrid w:val="0"/>
          <w:sz w:val="32"/>
          <w:szCs w:val="32"/>
        </w:rPr>
      </w:pPr>
      <w:r w:rsidRPr="00F61F19">
        <w:rPr>
          <w:rFonts w:asciiTheme="minorHAnsi" w:hAnsiTheme="minorHAnsi" w:cs="Arial"/>
          <w:b/>
          <w:snapToGrid w:val="0"/>
          <w:sz w:val="32"/>
          <w:szCs w:val="32"/>
        </w:rPr>
        <w:t>10</w:t>
      </w:r>
      <w:r w:rsidRPr="00F61F19">
        <w:rPr>
          <w:rFonts w:asciiTheme="minorHAnsi" w:hAnsiTheme="minorHAnsi" w:cs="Arial"/>
          <w:b/>
          <w:snapToGrid w:val="0"/>
          <w:sz w:val="32"/>
          <w:szCs w:val="32"/>
        </w:rPr>
        <w:tab/>
        <w:t>Sponsor’s Comment</w:t>
      </w:r>
    </w:p>
    <w:p w14:paraId="47ADC089" w14:textId="77777777" w:rsidR="00632655" w:rsidRPr="00751424" w:rsidRDefault="00632655" w:rsidP="00632655">
      <w:pPr>
        <w:spacing w:after="120" w:line="276" w:lineRule="auto"/>
        <w:ind w:left="720"/>
        <w:rPr>
          <w:rFonts w:asciiTheme="minorHAnsi" w:eastAsiaTheme="minorHAnsi" w:hAnsiTheme="minorHAnsi" w:cs="Arial"/>
          <w:bCs/>
          <w:szCs w:val="22"/>
          <w:lang w:eastAsia="en-US"/>
        </w:rPr>
      </w:pPr>
      <w:r w:rsidRPr="00751424">
        <w:rPr>
          <w:rFonts w:asciiTheme="minorHAnsi" w:eastAsiaTheme="minorHAnsi" w:hAnsiTheme="minorHAnsi" w:cs="Arial"/>
          <w:bCs/>
          <w:szCs w:val="22"/>
          <w:lang w:eastAsia="en-US"/>
        </w:rPr>
        <w:t>Specialised Therapeutics (ST) acknowledges the significant input from patient groups, individuals, and 46 healthcare professionals who supported the submissions for Yorvipath. Whilst we appreciate that the PBAC has recognised the clinical need for and the superior effectiveness of Yorvipath compared to current treatments, we are disappointed that the treatment has not met the PBAC’s willingness-to-pay expectations. Consequently, it is with regret that Yorvipath will not be made available to Australian patients at this time, as further and highly costly submissions to the PBAC are unlikely to be successful given the current impasse on pricing. </w:t>
      </w:r>
    </w:p>
    <w:p w14:paraId="31A8C223" w14:textId="77777777" w:rsidR="004D20E7" w:rsidRPr="00525B39" w:rsidRDefault="004D20E7" w:rsidP="00213DD5">
      <w:pPr>
        <w:rPr>
          <w:rFonts w:asciiTheme="minorHAnsi" w:hAnsiTheme="minorHAnsi" w:cs="Arial"/>
          <w:bCs/>
          <w:snapToGrid w:val="0"/>
          <w:lang w:val="en-GB"/>
        </w:rPr>
      </w:pPr>
    </w:p>
    <w:p w14:paraId="65379417" w14:textId="77777777" w:rsidR="00DF31B6" w:rsidRPr="00525B39" w:rsidRDefault="00DF31B6" w:rsidP="00213DD5">
      <w:pPr>
        <w:rPr>
          <w:rFonts w:asciiTheme="minorHAnsi" w:hAnsiTheme="minorHAnsi" w:cs="Arial"/>
          <w:b/>
          <w:bCs/>
          <w:snapToGrid w:val="0"/>
        </w:rPr>
      </w:pPr>
    </w:p>
    <w:bookmarkEnd w:id="18"/>
    <w:bookmarkEnd w:id="19"/>
    <w:p w14:paraId="43C5B7E1" w14:textId="77777777" w:rsidR="00DF31B6" w:rsidRDefault="00DF31B6" w:rsidP="00213DD5">
      <w:pPr>
        <w:jc w:val="left"/>
      </w:pPr>
    </w:p>
    <w:sectPr w:rsidR="00DF31B6" w:rsidSect="00C27B58">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479B4" w14:textId="77777777" w:rsidR="007607DC" w:rsidRDefault="007607DC">
      <w:r>
        <w:separator/>
      </w:r>
    </w:p>
    <w:p w14:paraId="551DC18F" w14:textId="77777777" w:rsidR="007607DC" w:rsidRDefault="007607DC"/>
    <w:p w14:paraId="71977C9D" w14:textId="77777777" w:rsidR="007607DC" w:rsidRDefault="007607DC"/>
  </w:endnote>
  <w:endnote w:type="continuationSeparator" w:id="0">
    <w:p w14:paraId="6B495AB4" w14:textId="77777777" w:rsidR="007607DC" w:rsidRDefault="007607DC">
      <w:r>
        <w:continuationSeparator/>
      </w:r>
    </w:p>
    <w:p w14:paraId="7829A406" w14:textId="77777777" w:rsidR="007607DC" w:rsidRDefault="007607DC"/>
    <w:p w14:paraId="7086651A" w14:textId="77777777" w:rsidR="007607DC" w:rsidRDefault="007607DC"/>
  </w:endnote>
  <w:endnote w:type="continuationNotice" w:id="1">
    <w:p w14:paraId="5AC864D1" w14:textId="77777777" w:rsidR="007607DC" w:rsidRDefault="007607DC"/>
    <w:p w14:paraId="54D07FC4" w14:textId="77777777" w:rsidR="007607DC" w:rsidRDefault="007607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ontserrat">
    <w:charset w:val="00"/>
    <w:family w:val="auto"/>
    <w:pitch w:val="variable"/>
    <w:sig w:usb0="2000020F" w:usb1="00000003" w:usb2="00000000" w:usb3="00000000" w:csb0="00000197" w:csb1="00000000"/>
  </w:font>
  <w:font w:name="@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39"/>
      <w:gridCol w:w="1347"/>
      <w:gridCol w:w="3840"/>
    </w:tblGrid>
    <w:tr w:rsidR="00240165" w14:paraId="4075D3FE" w14:textId="77777777" w:rsidTr="005A3173">
      <w:trPr>
        <w:trHeight w:val="151"/>
      </w:trPr>
      <w:tc>
        <w:tcPr>
          <w:tcW w:w="2250" w:type="pct"/>
          <w:tcBorders>
            <w:top w:val="nil"/>
            <w:left w:val="nil"/>
            <w:bottom w:val="single" w:sz="4" w:space="0" w:color="4F81BD"/>
            <w:right w:val="nil"/>
          </w:tcBorders>
        </w:tcPr>
        <w:p w14:paraId="096D0DDE" w14:textId="47AAE67D" w:rsidR="00240165" w:rsidRPr="005A3173" w:rsidRDefault="00410140" w:rsidP="005A3173">
          <w:pPr>
            <w:spacing w:line="276" w:lineRule="auto"/>
            <w:rPr>
              <w:rFonts w:eastAsia="MS Gothic"/>
              <w:b/>
              <w:bCs/>
              <w:color w:val="4F81BD"/>
            </w:rPr>
          </w:pPr>
          <w:r>
            <w:rPr>
              <w:rFonts w:eastAsia="MS Gothic"/>
              <w:b/>
              <w:bCs/>
              <w:noProof/>
              <w:color w:val="4F81BD"/>
            </w:rPr>
            <mc:AlternateContent>
              <mc:Choice Requires="wps">
                <w:drawing>
                  <wp:anchor distT="0" distB="0" distL="0" distR="0" simplePos="0" relativeHeight="251663365" behindDoc="0" locked="0" layoutInCell="1" allowOverlap="1" wp14:anchorId="02592786" wp14:editId="10C3E198">
                    <wp:simplePos x="635" y="635"/>
                    <wp:positionH relativeFrom="page">
                      <wp:align>center</wp:align>
                    </wp:positionH>
                    <wp:positionV relativeFrom="page">
                      <wp:align>bottom</wp:align>
                    </wp:positionV>
                    <wp:extent cx="551815" cy="376555"/>
                    <wp:effectExtent l="0" t="0" r="635" b="0"/>
                    <wp:wrapNone/>
                    <wp:docPr id="116522740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7450DE6" w14:textId="4F32DE69" w:rsidR="00410140" w:rsidRPr="00410140" w:rsidRDefault="00410140" w:rsidP="00410140">
                                <w:pPr>
                                  <w:rPr>
                                    <w:rFonts w:eastAsia="Calibri" w:cs="Calibri"/>
                                    <w:noProof/>
                                    <w:color w:val="FF0000"/>
                                  </w:rPr>
                                </w:pPr>
                                <w:r w:rsidRPr="00410140">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592786"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29.65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17450DE6" w14:textId="4F32DE69" w:rsidR="00410140" w:rsidRPr="00410140" w:rsidRDefault="00410140" w:rsidP="00410140">
                          <w:pPr>
                            <w:rPr>
                              <w:rFonts w:eastAsia="Calibri" w:cs="Calibri"/>
                              <w:noProof/>
                              <w:color w:val="FF0000"/>
                            </w:rPr>
                          </w:pPr>
                          <w:r w:rsidRPr="00410140">
                            <w:rPr>
                              <w:rFonts w:eastAsia="Calibri" w:cs="Calibri"/>
                              <w:noProof/>
                              <w:color w:val="FF0000"/>
                            </w:rPr>
                            <w:t>OFFICIAL</w:t>
                          </w:r>
                        </w:p>
                      </w:txbxContent>
                    </v:textbox>
                    <w10:wrap anchorx="page" anchory="page"/>
                  </v:shape>
                </w:pict>
              </mc:Fallback>
            </mc:AlternateContent>
          </w:r>
        </w:p>
      </w:tc>
      <w:tc>
        <w:tcPr>
          <w:tcW w:w="500" w:type="pct"/>
          <w:vMerge w:val="restart"/>
          <w:noWrap/>
          <w:vAlign w:val="center"/>
          <w:hideMark/>
        </w:tcPr>
        <w:p w14:paraId="37B9A2BD" w14:textId="77777777" w:rsidR="00240165" w:rsidRPr="005A3173" w:rsidRDefault="00240165"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240165" w:rsidRPr="005A3173" w:rsidRDefault="00240165" w:rsidP="005A3173">
          <w:pPr>
            <w:spacing w:line="276" w:lineRule="auto"/>
            <w:rPr>
              <w:rFonts w:eastAsia="MS Gothic"/>
              <w:b/>
              <w:bCs/>
              <w:color w:val="4F81BD"/>
            </w:rPr>
          </w:pPr>
        </w:p>
      </w:tc>
    </w:tr>
    <w:tr w:rsidR="00240165" w14:paraId="32EF4DB8" w14:textId="77777777" w:rsidTr="005A3173">
      <w:trPr>
        <w:trHeight w:val="150"/>
      </w:trPr>
      <w:tc>
        <w:tcPr>
          <w:tcW w:w="2250" w:type="pct"/>
          <w:tcBorders>
            <w:top w:val="single" w:sz="4" w:space="0" w:color="4F81BD"/>
            <w:left w:val="nil"/>
            <w:bottom w:val="nil"/>
            <w:right w:val="nil"/>
          </w:tcBorders>
        </w:tcPr>
        <w:p w14:paraId="03528A4C" w14:textId="77777777" w:rsidR="00240165" w:rsidRPr="005A3173" w:rsidRDefault="00240165" w:rsidP="005A3173">
          <w:pPr>
            <w:spacing w:line="276" w:lineRule="auto"/>
            <w:rPr>
              <w:rFonts w:eastAsia="MS Gothic"/>
              <w:b/>
              <w:bCs/>
              <w:color w:val="4F81BD"/>
            </w:rPr>
          </w:pPr>
        </w:p>
      </w:tc>
      <w:tc>
        <w:tcPr>
          <w:tcW w:w="0" w:type="auto"/>
          <w:vMerge/>
          <w:vAlign w:val="center"/>
          <w:hideMark/>
        </w:tcPr>
        <w:p w14:paraId="109042FB" w14:textId="77777777" w:rsidR="00240165" w:rsidRPr="005A3173" w:rsidRDefault="00240165" w:rsidP="005A3173">
          <w:pPr>
            <w:rPr>
              <w:color w:val="365F91"/>
              <w:sz w:val="22"/>
              <w:szCs w:val="22"/>
            </w:rPr>
          </w:pPr>
        </w:p>
      </w:tc>
      <w:tc>
        <w:tcPr>
          <w:tcW w:w="2250" w:type="pct"/>
          <w:tcBorders>
            <w:top w:val="single" w:sz="4" w:space="0" w:color="4F81BD"/>
            <w:left w:val="nil"/>
            <w:bottom w:val="nil"/>
            <w:right w:val="nil"/>
          </w:tcBorders>
        </w:tcPr>
        <w:p w14:paraId="09664199" w14:textId="77777777" w:rsidR="00240165" w:rsidRPr="005A3173" w:rsidRDefault="00240165" w:rsidP="005A3173">
          <w:pPr>
            <w:spacing w:line="276" w:lineRule="auto"/>
            <w:rPr>
              <w:rFonts w:eastAsia="MS Gothic"/>
              <w:b/>
              <w:bCs/>
              <w:color w:val="4F81BD"/>
            </w:rPr>
          </w:pPr>
        </w:p>
      </w:tc>
    </w:tr>
  </w:tbl>
  <w:p w14:paraId="21855C18" w14:textId="77777777" w:rsidR="00240165" w:rsidRDefault="00240165" w:rsidP="00653D69">
    <w:pPr>
      <w:framePr w:wrap="around" w:vAnchor="text" w:hAnchor="margin" w:xAlign="center" w:y="1"/>
    </w:pPr>
    <w:r>
      <w:fldChar w:fldCharType="begin"/>
    </w:r>
    <w:r>
      <w:instrText xml:space="preserve">PAGE  </w:instrText>
    </w:r>
    <w:r>
      <w:fldChar w:fldCharType="end"/>
    </w:r>
  </w:p>
  <w:p w14:paraId="142ACCCE" w14:textId="77777777" w:rsidR="00240165" w:rsidRDefault="00240165"/>
  <w:p w14:paraId="48FFA445" w14:textId="77777777" w:rsidR="00240165" w:rsidRDefault="00240165"/>
  <w:p w14:paraId="49A45502" w14:textId="77777777" w:rsidR="00240165" w:rsidRDefault="002401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9A4EC" w14:textId="6068C0D6" w:rsidR="00774465" w:rsidRDefault="00410140" w:rsidP="00774465">
    <w:pPr>
      <w:pStyle w:val="Footer"/>
    </w:pPr>
    <w:r>
      <w:rPr>
        <w:noProof/>
      </w:rPr>
      <mc:AlternateContent>
        <mc:Choice Requires="wps">
          <w:drawing>
            <wp:anchor distT="0" distB="0" distL="0" distR="0" simplePos="0" relativeHeight="251664389" behindDoc="0" locked="0" layoutInCell="1" allowOverlap="1" wp14:anchorId="2DBAB3FA" wp14:editId="3F89C9D5">
              <wp:simplePos x="635" y="635"/>
              <wp:positionH relativeFrom="page">
                <wp:align>center</wp:align>
              </wp:positionH>
              <wp:positionV relativeFrom="page">
                <wp:align>bottom</wp:align>
              </wp:positionV>
              <wp:extent cx="551815" cy="376555"/>
              <wp:effectExtent l="0" t="0" r="635" b="0"/>
              <wp:wrapNone/>
              <wp:docPr id="108308769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A0B999E" w14:textId="6A11144B" w:rsidR="00410140" w:rsidRPr="00410140" w:rsidRDefault="00410140" w:rsidP="00410140">
                          <w:pPr>
                            <w:rPr>
                              <w:rFonts w:eastAsia="Calibri" w:cs="Calibri"/>
                              <w:noProof/>
                              <w:color w:val="FF0000"/>
                            </w:rPr>
                          </w:pPr>
                          <w:r w:rsidRPr="00410140">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BAB3FA"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29.65pt;z-index:2516643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3A0B999E" w14:textId="6A11144B" w:rsidR="00410140" w:rsidRPr="00410140" w:rsidRDefault="00410140" w:rsidP="00410140">
                    <w:pPr>
                      <w:rPr>
                        <w:rFonts w:eastAsia="Calibri" w:cs="Calibri"/>
                        <w:noProof/>
                        <w:color w:val="FF0000"/>
                      </w:rPr>
                    </w:pPr>
                    <w:r w:rsidRPr="00410140">
                      <w:rPr>
                        <w:rFonts w:eastAsia="Calibri" w:cs="Calibri"/>
                        <w:noProof/>
                        <w:color w:val="FF0000"/>
                      </w:rPr>
                      <w:t>OFFICIAL</w:t>
                    </w:r>
                  </w:p>
                </w:txbxContent>
              </v:textbox>
              <w10:wrap anchorx="page" anchory="page"/>
            </v:shape>
          </w:pict>
        </mc:Fallback>
      </mc:AlternateContent>
    </w:r>
  </w:p>
  <w:sdt>
    <w:sdtPr>
      <w:id w:val="95759956"/>
      <w:docPartObj>
        <w:docPartGallery w:val="Page Numbers (Bottom of Page)"/>
        <w:docPartUnique/>
      </w:docPartObj>
    </w:sdtPr>
    <w:sdtEndPr>
      <w:rPr>
        <w:b/>
        <w:bCs/>
        <w:noProof/>
      </w:rPr>
    </w:sdtEndPr>
    <w:sdtContent>
      <w:p w14:paraId="07DAAF98" w14:textId="785FADEA" w:rsidR="00CF066B" w:rsidRPr="003B50A6" w:rsidRDefault="00774465" w:rsidP="00774465">
        <w:pPr>
          <w:pStyle w:val="Footer"/>
          <w:rPr>
            <w:b/>
            <w:bCs/>
          </w:rPr>
        </w:pPr>
        <w:r w:rsidRPr="003B50A6">
          <w:rPr>
            <w:b/>
            <w:bCs/>
          </w:rPr>
          <w:fldChar w:fldCharType="begin"/>
        </w:r>
        <w:r w:rsidRPr="003B50A6">
          <w:rPr>
            <w:b/>
            <w:bCs/>
          </w:rPr>
          <w:instrText xml:space="preserve"> PAGE   \* MERGEFORMAT </w:instrText>
        </w:r>
        <w:r w:rsidRPr="003B50A6">
          <w:rPr>
            <w:b/>
            <w:bCs/>
          </w:rPr>
          <w:fldChar w:fldCharType="separate"/>
        </w:r>
        <w:r w:rsidRPr="003B50A6">
          <w:rPr>
            <w:b/>
            <w:bCs/>
            <w:noProof/>
          </w:rPr>
          <w:t>2</w:t>
        </w:r>
        <w:r w:rsidRPr="003B50A6">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839"/>
      <w:gridCol w:w="1347"/>
      <w:gridCol w:w="3840"/>
    </w:tblGrid>
    <w:tr w:rsidR="00240165" w14:paraId="1B1A9BFB" w14:textId="77777777" w:rsidTr="005A3173">
      <w:trPr>
        <w:trHeight w:val="151"/>
      </w:trPr>
      <w:tc>
        <w:tcPr>
          <w:tcW w:w="2250" w:type="pct"/>
          <w:tcBorders>
            <w:top w:val="nil"/>
            <w:left w:val="nil"/>
            <w:bottom w:val="single" w:sz="4" w:space="0" w:color="4F81BD"/>
            <w:right w:val="nil"/>
          </w:tcBorders>
        </w:tcPr>
        <w:p w14:paraId="1AEC0F9B" w14:textId="54E3379A" w:rsidR="00240165" w:rsidRPr="005A3173" w:rsidRDefault="00410140" w:rsidP="005A3173">
          <w:pPr>
            <w:spacing w:line="276" w:lineRule="auto"/>
            <w:rPr>
              <w:rFonts w:eastAsia="MS Gothic"/>
              <w:b/>
              <w:bCs/>
              <w:color w:val="4F81BD"/>
            </w:rPr>
          </w:pPr>
          <w:r>
            <w:rPr>
              <w:rFonts w:eastAsia="MS Gothic"/>
              <w:b/>
              <w:bCs/>
              <w:noProof/>
              <w:color w:val="4F81BD"/>
            </w:rPr>
            <mc:AlternateContent>
              <mc:Choice Requires="wps">
                <w:drawing>
                  <wp:anchor distT="0" distB="0" distL="0" distR="0" simplePos="0" relativeHeight="251662341" behindDoc="0" locked="0" layoutInCell="1" allowOverlap="1" wp14:anchorId="2BD8DFF2" wp14:editId="3C3F3E4B">
                    <wp:simplePos x="635" y="635"/>
                    <wp:positionH relativeFrom="page">
                      <wp:align>center</wp:align>
                    </wp:positionH>
                    <wp:positionV relativeFrom="page">
                      <wp:align>bottom</wp:align>
                    </wp:positionV>
                    <wp:extent cx="551815" cy="376555"/>
                    <wp:effectExtent l="0" t="0" r="635" b="0"/>
                    <wp:wrapNone/>
                    <wp:docPr id="174081171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D81E898" w14:textId="6BC4D799" w:rsidR="00410140" w:rsidRPr="00410140" w:rsidRDefault="00410140" w:rsidP="00410140">
                                <w:pPr>
                                  <w:rPr>
                                    <w:rFonts w:eastAsia="Calibri" w:cs="Calibri"/>
                                    <w:noProof/>
                                    <w:color w:val="FF0000"/>
                                  </w:rPr>
                                </w:pPr>
                                <w:r w:rsidRPr="00410140">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D8DFF2"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29.65pt;z-index:251662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2D81E898" w14:textId="6BC4D799" w:rsidR="00410140" w:rsidRPr="00410140" w:rsidRDefault="00410140" w:rsidP="00410140">
                          <w:pPr>
                            <w:rPr>
                              <w:rFonts w:eastAsia="Calibri" w:cs="Calibri"/>
                              <w:noProof/>
                              <w:color w:val="FF0000"/>
                            </w:rPr>
                          </w:pPr>
                          <w:r w:rsidRPr="00410140">
                            <w:rPr>
                              <w:rFonts w:eastAsia="Calibri" w:cs="Calibri"/>
                              <w:noProof/>
                              <w:color w:val="FF0000"/>
                            </w:rPr>
                            <w:t>OFFICIAL</w:t>
                          </w:r>
                        </w:p>
                      </w:txbxContent>
                    </v:textbox>
                    <w10:wrap anchorx="page" anchory="page"/>
                  </v:shape>
                </w:pict>
              </mc:Fallback>
            </mc:AlternateContent>
          </w:r>
        </w:p>
      </w:tc>
      <w:tc>
        <w:tcPr>
          <w:tcW w:w="500" w:type="pct"/>
          <w:vMerge w:val="restart"/>
          <w:noWrap/>
          <w:vAlign w:val="center"/>
          <w:hideMark/>
        </w:tcPr>
        <w:p w14:paraId="6D1F795C" w14:textId="77777777" w:rsidR="00240165" w:rsidRPr="005A3173" w:rsidRDefault="00240165"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240165" w:rsidRPr="005A3173" w:rsidRDefault="00240165" w:rsidP="005A3173">
          <w:pPr>
            <w:spacing w:line="276" w:lineRule="auto"/>
            <w:rPr>
              <w:rFonts w:eastAsia="MS Gothic"/>
              <w:b/>
              <w:bCs/>
              <w:color w:val="4F81BD"/>
            </w:rPr>
          </w:pPr>
        </w:p>
      </w:tc>
    </w:tr>
    <w:tr w:rsidR="00240165" w14:paraId="0A17FD7B" w14:textId="77777777" w:rsidTr="005A3173">
      <w:trPr>
        <w:trHeight w:val="150"/>
      </w:trPr>
      <w:tc>
        <w:tcPr>
          <w:tcW w:w="2250" w:type="pct"/>
          <w:tcBorders>
            <w:top w:val="single" w:sz="4" w:space="0" w:color="4F81BD"/>
            <w:left w:val="nil"/>
            <w:bottom w:val="nil"/>
            <w:right w:val="nil"/>
          </w:tcBorders>
        </w:tcPr>
        <w:p w14:paraId="66DEA9D9" w14:textId="77777777" w:rsidR="00240165" w:rsidRPr="005A3173" w:rsidRDefault="00240165" w:rsidP="005A3173">
          <w:pPr>
            <w:spacing w:line="276" w:lineRule="auto"/>
            <w:rPr>
              <w:rFonts w:eastAsia="MS Gothic"/>
              <w:b/>
              <w:bCs/>
              <w:color w:val="4F81BD"/>
            </w:rPr>
          </w:pPr>
        </w:p>
      </w:tc>
      <w:tc>
        <w:tcPr>
          <w:tcW w:w="0" w:type="auto"/>
          <w:vMerge/>
          <w:vAlign w:val="center"/>
          <w:hideMark/>
        </w:tcPr>
        <w:p w14:paraId="0726D67B" w14:textId="77777777" w:rsidR="00240165" w:rsidRPr="005A3173" w:rsidRDefault="00240165" w:rsidP="005A3173">
          <w:pPr>
            <w:rPr>
              <w:color w:val="365F91"/>
              <w:sz w:val="22"/>
              <w:szCs w:val="22"/>
            </w:rPr>
          </w:pPr>
        </w:p>
      </w:tc>
      <w:tc>
        <w:tcPr>
          <w:tcW w:w="2250" w:type="pct"/>
          <w:tcBorders>
            <w:top w:val="single" w:sz="4" w:space="0" w:color="4F81BD"/>
            <w:left w:val="nil"/>
            <w:bottom w:val="nil"/>
            <w:right w:val="nil"/>
          </w:tcBorders>
        </w:tcPr>
        <w:p w14:paraId="77FEEEB1" w14:textId="77777777" w:rsidR="00240165" w:rsidRPr="005A3173" w:rsidRDefault="00240165" w:rsidP="005A3173">
          <w:pP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39"/>
      <w:gridCol w:w="1347"/>
      <w:gridCol w:w="3840"/>
    </w:tblGrid>
    <w:tr w:rsidR="00240165" w14:paraId="434C4AE3" w14:textId="77777777" w:rsidTr="005A3173">
      <w:trPr>
        <w:trHeight w:val="151"/>
      </w:trPr>
      <w:tc>
        <w:tcPr>
          <w:tcW w:w="2250" w:type="pct"/>
          <w:tcBorders>
            <w:top w:val="nil"/>
            <w:left w:val="nil"/>
            <w:bottom w:val="single" w:sz="4" w:space="0" w:color="4F81BD"/>
            <w:right w:val="nil"/>
          </w:tcBorders>
        </w:tcPr>
        <w:p w14:paraId="556410DA" w14:textId="77777777" w:rsidR="00240165" w:rsidRPr="005A3173" w:rsidRDefault="00240165" w:rsidP="005A3173">
          <w:pPr>
            <w:spacing w:line="276" w:lineRule="auto"/>
            <w:rPr>
              <w:rFonts w:eastAsia="MS Gothic"/>
              <w:b/>
              <w:bCs/>
              <w:color w:val="4F81BD"/>
            </w:rPr>
          </w:pPr>
        </w:p>
      </w:tc>
      <w:tc>
        <w:tcPr>
          <w:tcW w:w="500" w:type="pct"/>
          <w:vMerge w:val="restart"/>
          <w:noWrap/>
          <w:vAlign w:val="center"/>
          <w:hideMark/>
        </w:tcPr>
        <w:p w14:paraId="7AE76BBC" w14:textId="77777777" w:rsidR="00240165" w:rsidRPr="005A3173" w:rsidRDefault="00240165"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240165" w:rsidRPr="005A3173" w:rsidRDefault="00240165" w:rsidP="005A3173">
          <w:pPr>
            <w:spacing w:line="276" w:lineRule="auto"/>
            <w:rPr>
              <w:rFonts w:eastAsia="MS Gothic"/>
              <w:b/>
              <w:bCs/>
              <w:color w:val="4F81BD"/>
            </w:rPr>
          </w:pPr>
        </w:p>
      </w:tc>
    </w:tr>
    <w:tr w:rsidR="00240165" w14:paraId="2F5EEC4C" w14:textId="77777777" w:rsidTr="005A3173">
      <w:trPr>
        <w:trHeight w:val="150"/>
      </w:trPr>
      <w:tc>
        <w:tcPr>
          <w:tcW w:w="2250" w:type="pct"/>
          <w:tcBorders>
            <w:top w:val="single" w:sz="4" w:space="0" w:color="4F81BD"/>
            <w:left w:val="nil"/>
            <w:bottom w:val="nil"/>
            <w:right w:val="nil"/>
          </w:tcBorders>
        </w:tcPr>
        <w:p w14:paraId="60E1BA15" w14:textId="77777777" w:rsidR="00240165" w:rsidRPr="005A3173" w:rsidRDefault="00240165" w:rsidP="005A3173">
          <w:pPr>
            <w:spacing w:line="276" w:lineRule="auto"/>
            <w:rPr>
              <w:rFonts w:eastAsia="MS Gothic"/>
              <w:b/>
              <w:bCs/>
              <w:color w:val="4F81BD"/>
            </w:rPr>
          </w:pPr>
        </w:p>
      </w:tc>
      <w:tc>
        <w:tcPr>
          <w:tcW w:w="0" w:type="auto"/>
          <w:vMerge/>
          <w:vAlign w:val="center"/>
          <w:hideMark/>
        </w:tcPr>
        <w:p w14:paraId="4EACACBE" w14:textId="77777777" w:rsidR="00240165" w:rsidRPr="005A3173" w:rsidRDefault="00240165" w:rsidP="005A3173">
          <w:pPr>
            <w:rPr>
              <w:color w:val="365F91"/>
              <w:sz w:val="22"/>
              <w:szCs w:val="22"/>
            </w:rPr>
          </w:pPr>
        </w:p>
      </w:tc>
      <w:tc>
        <w:tcPr>
          <w:tcW w:w="2250" w:type="pct"/>
          <w:tcBorders>
            <w:top w:val="single" w:sz="4" w:space="0" w:color="4F81BD"/>
            <w:left w:val="nil"/>
            <w:bottom w:val="nil"/>
            <w:right w:val="nil"/>
          </w:tcBorders>
        </w:tcPr>
        <w:p w14:paraId="516BCB31" w14:textId="77777777" w:rsidR="00240165" w:rsidRPr="005A3173" w:rsidRDefault="00240165" w:rsidP="005A3173">
          <w:pPr>
            <w:spacing w:line="276" w:lineRule="auto"/>
            <w:rPr>
              <w:rFonts w:eastAsia="MS Gothic"/>
              <w:b/>
              <w:bCs/>
              <w:color w:val="4F81BD"/>
            </w:rPr>
          </w:pPr>
        </w:p>
      </w:tc>
    </w:tr>
  </w:tbl>
  <w:p w14:paraId="679BDCC0" w14:textId="77777777" w:rsidR="00240165" w:rsidRPr="007C0F57" w:rsidRDefault="00240165" w:rsidP="007C0F57">
    <w:pP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fldChar w:fldCharType="begin"/>
    </w:r>
    <w:r>
      <w:instrText xml:space="preserve"> PAGE </w:instrText>
    </w:r>
    <w:r>
      <w:fldChar w:fldCharType="separate"/>
    </w:r>
    <w:r>
      <w:rPr>
        <w:noProof/>
      </w:rPr>
      <w:t>1</w:t>
    </w:r>
    <w:r>
      <w:fldChar w:fldCharType="end"/>
    </w:r>
    <w:r w:rsidRPr="007C0F57">
      <w:rPr>
        <w:b/>
        <w:i/>
        <w:sz w:val="20"/>
        <w:szCs w:val="20"/>
      </w:rPr>
      <w:t>BAC Meeting</w:t>
    </w:r>
  </w:p>
  <w:p w14:paraId="617093FB" w14:textId="77777777" w:rsidR="00240165" w:rsidRPr="007C0F57" w:rsidRDefault="00240165" w:rsidP="007C0F57">
    <w:pPr>
      <w:jc w:val="center"/>
      <w:rPr>
        <w:b/>
        <w:i/>
        <w:sz w:val="20"/>
        <w:szCs w:val="20"/>
      </w:rPr>
    </w:pPr>
    <w:r w:rsidRPr="007C0F57">
      <w:rPr>
        <w:b/>
        <w:i/>
        <w:sz w:val="20"/>
        <w:szCs w:val="20"/>
      </w:rPr>
      <w:t>Commercial-in-Confidence</w:t>
    </w:r>
  </w:p>
  <w:p w14:paraId="36E9E30B" w14:textId="77777777" w:rsidR="00240165" w:rsidRDefault="00240165"/>
  <w:p w14:paraId="419E5320" w14:textId="77777777" w:rsidR="00240165" w:rsidRDefault="002401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E0636" w14:textId="77777777" w:rsidR="007607DC" w:rsidRDefault="007607DC">
      <w:r>
        <w:separator/>
      </w:r>
    </w:p>
    <w:p w14:paraId="29711E69" w14:textId="77777777" w:rsidR="007607DC" w:rsidRDefault="007607DC"/>
    <w:p w14:paraId="73A85EFC" w14:textId="77777777" w:rsidR="007607DC" w:rsidRDefault="007607DC"/>
  </w:footnote>
  <w:footnote w:type="continuationSeparator" w:id="0">
    <w:p w14:paraId="4138DE1F" w14:textId="77777777" w:rsidR="007607DC" w:rsidRDefault="007607DC">
      <w:r>
        <w:continuationSeparator/>
      </w:r>
    </w:p>
    <w:p w14:paraId="3DAE28EC" w14:textId="77777777" w:rsidR="007607DC" w:rsidRDefault="007607DC"/>
    <w:p w14:paraId="5D64C185" w14:textId="77777777" w:rsidR="007607DC" w:rsidRDefault="007607DC"/>
  </w:footnote>
  <w:footnote w:type="continuationNotice" w:id="1">
    <w:p w14:paraId="0C323F74" w14:textId="77777777" w:rsidR="007607DC" w:rsidRDefault="007607DC"/>
    <w:p w14:paraId="7EB8F6D1" w14:textId="77777777" w:rsidR="007607DC" w:rsidRDefault="007607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881"/>
      <w:gridCol w:w="1347"/>
      <w:gridCol w:w="3684"/>
    </w:tblGrid>
    <w:tr w:rsidR="00240165" w:rsidRPr="008E0D90" w14:paraId="263B07EE" w14:textId="77777777" w:rsidTr="00A06225">
      <w:trPr>
        <w:trHeight w:val="151"/>
      </w:trPr>
      <w:tc>
        <w:tcPr>
          <w:tcW w:w="2389" w:type="pct"/>
          <w:tcBorders>
            <w:top w:val="nil"/>
            <w:left w:val="nil"/>
            <w:bottom w:val="single" w:sz="4" w:space="0" w:color="4F81BD"/>
            <w:right w:val="nil"/>
          </w:tcBorders>
        </w:tcPr>
        <w:p w14:paraId="4C63CCAF" w14:textId="03609D0F" w:rsidR="00240165" w:rsidRPr="00A06225" w:rsidRDefault="00410140">
          <w:pPr>
            <w:spacing w:line="276" w:lineRule="auto"/>
            <w:rPr>
              <w:rFonts w:ascii="Cambria" w:eastAsia="MS Gothic" w:hAnsi="Cambria"/>
              <w:b/>
              <w:bCs/>
              <w:color w:val="4F81BD"/>
            </w:rPr>
          </w:pPr>
          <w:r>
            <w:rPr>
              <w:rFonts w:ascii="Cambria" w:eastAsia="MS Gothic" w:hAnsi="Cambria"/>
              <w:b/>
              <w:bCs/>
              <w:noProof/>
              <w:color w:val="4F81BD"/>
            </w:rPr>
            <mc:AlternateContent>
              <mc:Choice Requires="wps">
                <w:drawing>
                  <wp:anchor distT="0" distB="0" distL="0" distR="0" simplePos="0" relativeHeight="251660293" behindDoc="0" locked="0" layoutInCell="1" allowOverlap="1" wp14:anchorId="2C75F57C" wp14:editId="6F675E83">
                    <wp:simplePos x="635" y="635"/>
                    <wp:positionH relativeFrom="page">
                      <wp:align>center</wp:align>
                    </wp:positionH>
                    <wp:positionV relativeFrom="page">
                      <wp:align>top</wp:align>
                    </wp:positionV>
                    <wp:extent cx="551815" cy="376555"/>
                    <wp:effectExtent l="0" t="0" r="635" b="4445"/>
                    <wp:wrapNone/>
                    <wp:docPr id="14670644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4A0C05B" w14:textId="06005DCC" w:rsidR="00410140" w:rsidRPr="00410140" w:rsidRDefault="00410140" w:rsidP="00410140">
                                <w:pPr>
                                  <w:rPr>
                                    <w:rFonts w:eastAsia="Calibri" w:cs="Calibri"/>
                                    <w:noProof/>
                                    <w:color w:val="FF0000"/>
                                  </w:rPr>
                                </w:pPr>
                                <w:r w:rsidRPr="00410140">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75F57C"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fill o:detectmouseclick="t"/>
                    <v:textbox style="mso-fit-shape-to-text:t" inset="0,15pt,0,0">
                      <w:txbxContent>
                        <w:p w14:paraId="64A0C05B" w14:textId="06005DCC" w:rsidR="00410140" w:rsidRPr="00410140" w:rsidRDefault="00410140" w:rsidP="00410140">
                          <w:pPr>
                            <w:rPr>
                              <w:rFonts w:eastAsia="Calibri" w:cs="Calibri"/>
                              <w:noProof/>
                              <w:color w:val="FF0000"/>
                            </w:rPr>
                          </w:pPr>
                          <w:r w:rsidRPr="00410140">
                            <w:rPr>
                              <w:rFonts w:eastAsia="Calibri" w:cs="Calibri"/>
                              <w:noProof/>
                              <w:color w:val="FF0000"/>
                            </w:rPr>
                            <w:t>OFFICIAL</w:t>
                          </w:r>
                        </w:p>
                      </w:txbxContent>
                    </v:textbox>
                    <w10:wrap anchorx="page" anchory="page"/>
                  </v:shape>
                </w:pict>
              </mc:Fallback>
            </mc:AlternateContent>
          </w:r>
        </w:p>
      </w:tc>
      <w:tc>
        <w:tcPr>
          <w:tcW w:w="333" w:type="pct"/>
          <w:vMerge w:val="restart"/>
          <w:noWrap/>
          <w:vAlign w:val="center"/>
          <w:hideMark/>
        </w:tcPr>
        <w:p w14:paraId="2BB03196" w14:textId="77777777" w:rsidR="00240165" w:rsidRPr="00A06225" w:rsidRDefault="00240165" w:rsidP="00A06225">
          <w:pPr>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240165" w:rsidRPr="00A06225" w:rsidRDefault="00240165">
          <w:pPr>
            <w:spacing w:line="276" w:lineRule="auto"/>
            <w:rPr>
              <w:rFonts w:ascii="Cambria" w:eastAsia="MS Gothic" w:hAnsi="Cambria"/>
              <w:b/>
              <w:bCs/>
              <w:color w:val="4F81BD"/>
            </w:rPr>
          </w:pPr>
        </w:p>
      </w:tc>
    </w:tr>
    <w:tr w:rsidR="00240165"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240165" w:rsidRPr="00A06225" w:rsidRDefault="00240165">
          <w:pPr>
            <w:spacing w:line="276" w:lineRule="auto"/>
            <w:rPr>
              <w:rFonts w:ascii="Cambria" w:eastAsia="MS Gothic" w:hAnsi="Cambria"/>
              <w:b/>
              <w:bCs/>
              <w:color w:val="4F81BD"/>
            </w:rPr>
          </w:pPr>
        </w:p>
      </w:tc>
      <w:tc>
        <w:tcPr>
          <w:tcW w:w="0" w:type="auto"/>
          <w:vMerge/>
          <w:vAlign w:val="center"/>
          <w:hideMark/>
        </w:tcPr>
        <w:p w14:paraId="00B70FF1" w14:textId="77777777" w:rsidR="00240165" w:rsidRPr="00A06225" w:rsidRDefault="00240165">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240165" w:rsidRPr="00A06225" w:rsidRDefault="00240165">
          <w:pPr>
            <w:spacing w:line="276" w:lineRule="auto"/>
            <w:rPr>
              <w:rFonts w:ascii="Cambria" w:eastAsia="MS Gothic" w:hAnsi="Cambria"/>
              <w:b/>
              <w:bCs/>
              <w:color w:val="4F81BD"/>
            </w:rPr>
          </w:pPr>
        </w:p>
      </w:tc>
    </w:tr>
  </w:tbl>
  <w:p w14:paraId="7DCC695F" w14:textId="77777777" w:rsidR="00240165" w:rsidRDefault="00240165"/>
  <w:p w14:paraId="25F34A60" w14:textId="77777777" w:rsidR="00240165" w:rsidRDefault="00240165"/>
  <w:p w14:paraId="571F4956" w14:textId="77777777" w:rsidR="00240165" w:rsidRDefault="0024016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D45E5" w14:textId="34D73265" w:rsidR="00774465" w:rsidRPr="00C56D78" w:rsidRDefault="00410140" w:rsidP="00774465">
    <w:pPr>
      <w:keepNext/>
      <w:tabs>
        <w:tab w:val="center" w:pos="4513"/>
        <w:tab w:val="right" w:pos="9026"/>
      </w:tabs>
      <w:jc w:val="center"/>
      <w:rPr>
        <w:rFonts w:asciiTheme="minorHAnsi" w:eastAsiaTheme="minorEastAsia" w:hAnsiTheme="minorHAnsi" w:cstheme="minorHAnsi"/>
        <w:i/>
        <w:color w:val="808080"/>
      </w:rPr>
    </w:pPr>
    <w:r>
      <w:rPr>
        <w:rFonts w:asciiTheme="minorHAnsi" w:eastAsiaTheme="minorEastAsia" w:hAnsiTheme="minorHAnsi" w:cstheme="minorHAnsi"/>
        <w:i/>
        <w:noProof/>
        <w:color w:val="808080"/>
      </w:rPr>
      <mc:AlternateContent>
        <mc:Choice Requires="wps">
          <w:drawing>
            <wp:anchor distT="0" distB="0" distL="0" distR="0" simplePos="0" relativeHeight="251661317" behindDoc="0" locked="0" layoutInCell="1" allowOverlap="1" wp14:anchorId="3EB525A2" wp14:editId="02FD4F75">
              <wp:simplePos x="635" y="635"/>
              <wp:positionH relativeFrom="page">
                <wp:align>center</wp:align>
              </wp:positionH>
              <wp:positionV relativeFrom="page">
                <wp:align>top</wp:align>
              </wp:positionV>
              <wp:extent cx="551815" cy="376555"/>
              <wp:effectExtent l="0" t="0" r="635" b="4445"/>
              <wp:wrapNone/>
              <wp:docPr id="163770755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BAD3EF8" w14:textId="105579D4" w:rsidR="00410140" w:rsidRPr="00410140" w:rsidRDefault="00410140" w:rsidP="00410140">
                          <w:pPr>
                            <w:rPr>
                              <w:rFonts w:eastAsia="Calibri" w:cs="Calibri"/>
                              <w:noProof/>
                              <w:color w:val="FF0000"/>
                            </w:rPr>
                          </w:pPr>
                          <w:r w:rsidRPr="00410140">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B525A2"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613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0BAD3EF8" w14:textId="105579D4" w:rsidR="00410140" w:rsidRPr="00410140" w:rsidRDefault="00410140" w:rsidP="00410140">
                    <w:pPr>
                      <w:rPr>
                        <w:rFonts w:eastAsia="Calibri" w:cs="Calibri"/>
                        <w:noProof/>
                        <w:color w:val="FF0000"/>
                      </w:rPr>
                    </w:pPr>
                    <w:r w:rsidRPr="00410140">
                      <w:rPr>
                        <w:rFonts w:eastAsia="Calibri" w:cs="Calibri"/>
                        <w:noProof/>
                        <w:color w:val="FF0000"/>
                      </w:rPr>
                      <w:t>OFFICIAL</w:t>
                    </w:r>
                  </w:p>
                </w:txbxContent>
              </v:textbox>
              <w10:wrap anchorx="page" anchory="page"/>
            </v:shape>
          </w:pict>
        </mc:Fallback>
      </mc:AlternateContent>
    </w:r>
    <w:r w:rsidR="004D20E7">
      <w:rPr>
        <w:rFonts w:asciiTheme="minorHAnsi" w:eastAsiaTheme="minorEastAsia" w:hAnsiTheme="minorHAnsi" w:cstheme="minorHAnsi"/>
        <w:i/>
        <w:color w:val="808080"/>
      </w:rPr>
      <w:t>Public Summary Document</w:t>
    </w:r>
    <w:r w:rsidR="00774465">
      <w:rPr>
        <w:rFonts w:asciiTheme="minorHAnsi" w:eastAsiaTheme="minorEastAsia" w:hAnsiTheme="minorHAnsi" w:cstheme="minorHAnsi"/>
        <w:i/>
        <w:color w:val="808080"/>
      </w:rPr>
      <w:t xml:space="preserve"> – </w:t>
    </w:r>
    <w:r w:rsidR="00CD06DB">
      <w:rPr>
        <w:rFonts w:asciiTheme="minorHAnsi" w:eastAsiaTheme="minorEastAsia" w:hAnsiTheme="minorHAnsi" w:cstheme="minorHAnsi"/>
        <w:i/>
        <w:color w:val="808080"/>
      </w:rPr>
      <w:t>July 2025</w:t>
    </w:r>
    <w:r w:rsidR="00774465" w:rsidRPr="00C56D78">
      <w:rPr>
        <w:rFonts w:asciiTheme="minorHAnsi" w:eastAsiaTheme="minorEastAsia" w:hAnsiTheme="minorHAnsi" w:cstheme="minorHAnsi"/>
        <w:i/>
        <w:color w:val="808080"/>
      </w:rPr>
      <w:t xml:space="preserve"> PBAC Meeting</w:t>
    </w:r>
  </w:p>
  <w:p w14:paraId="74A766A4" w14:textId="77777777" w:rsidR="00240165" w:rsidRDefault="00240165" w:rsidP="007744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2B2EC" w14:textId="481117F5" w:rsidR="00F06851" w:rsidRDefault="00410140">
    <w:pPr>
      <w:pStyle w:val="Header"/>
    </w:pPr>
    <w:r>
      <w:rPr>
        <w:noProof/>
      </w:rPr>
      <mc:AlternateContent>
        <mc:Choice Requires="wps">
          <w:drawing>
            <wp:anchor distT="0" distB="0" distL="0" distR="0" simplePos="0" relativeHeight="251659269" behindDoc="0" locked="0" layoutInCell="1" allowOverlap="1" wp14:anchorId="52D0FBCD" wp14:editId="1F9F2E9D">
              <wp:simplePos x="635" y="635"/>
              <wp:positionH relativeFrom="page">
                <wp:align>center</wp:align>
              </wp:positionH>
              <wp:positionV relativeFrom="page">
                <wp:align>top</wp:align>
              </wp:positionV>
              <wp:extent cx="551815" cy="376555"/>
              <wp:effectExtent l="0" t="0" r="635" b="4445"/>
              <wp:wrapNone/>
              <wp:docPr id="128444150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8BA4C2F" w14:textId="6E095201" w:rsidR="00410140" w:rsidRPr="00410140" w:rsidRDefault="00410140" w:rsidP="00410140">
                          <w:pPr>
                            <w:rPr>
                              <w:rFonts w:eastAsia="Calibri" w:cs="Calibri"/>
                              <w:noProof/>
                              <w:color w:val="FF0000"/>
                            </w:rPr>
                          </w:pPr>
                          <w:r w:rsidRPr="00410140">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D0FBCD"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29.65pt;z-index:251659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08BA4C2F" w14:textId="6E095201" w:rsidR="00410140" w:rsidRPr="00410140" w:rsidRDefault="00410140" w:rsidP="00410140">
                    <w:pPr>
                      <w:rPr>
                        <w:rFonts w:eastAsia="Calibri" w:cs="Calibri"/>
                        <w:noProof/>
                        <w:color w:val="FF0000"/>
                      </w:rPr>
                    </w:pPr>
                    <w:r w:rsidRPr="00410140">
                      <w:rPr>
                        <w:rFonts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A35AD5"/>
    <w:multiLevelType w:val="multilevel"/>
    <w:tmpl w:val="EB2EFC4C"/>
    <w:lvl w:ilvl="0">
      <w:start w:val="1"/>
      <w:numFmt w:val="decimal"/>
      <w:lvlText w:val="%1"/>
      <w:lvlJc w:val="left"/>
      <w:pPr>
        <w:ind w:left="720" w:hanging="720"/>
      </w:pPr>
      <w:rPr>
        <w:rFonts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2700" w:hanging="360"/>
      </w:pPr>
      <w:rPr>
        <w:rFonts w:ascii="Symbol" w:hAnsi="Symbol"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424596"/>
    <w:multiLevelType w:val="hybridMultilevel"/>
    <w:tmpl w:val="B9DCB58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3258C4"/>
    <w:multiLevelType w:val="multilevel"/>
    <w:tmpl w:val="DCFE7A10"/>
    <w:lvl w:ilvl="0">
      <w:start w:val="1"/>
      <w:numFmt w:val="decimal"/>
      <w:lvlText w:val="%1"/>
      <w:lvlJc w:val="left"/>
      <w:pPr>
        <w:ind w:left="720" w:hanging="720"/>
      </w:pPr>
      <w:rPr>
        <w:rFonts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2700" w:hanging="360"/>
      </w:pPr>
      <w:rPr>
        <w:rFonts w:ascii="Symbol" w:hAnsi="Symbol"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 w15:restartNumberingAfterBreak="0">
    <w:nsid w:val="1111597B"/>
    <w:multiLevelType w:val="multilevel"/>
    <w:tmpl w:val="361C34D0"/>
    <w:lvl w:ilvl="0">
      <w:start w:val="1"/>
      <w:numFmt w:val="decimal"/>
      <w:lvlText w:val="%1"/>
      <w:lvlJc w:val="left"/>
      <w:pPr>
        <w:ind w:left="720" w:hanging="720"/>
      </w:pPr>
      <w:rPr>
        <w:rFonts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2700" w:hanging="360"/>
      </w:pPr>
      <w:rPr>
        <w:rFonts w:ascii="Symbol" w:hAnsi="Symbol"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 w15:restartNumberingAfterBreak="0">
    <w:nsid w:val="17204F3F"/>
    <w:multiLevelType w:val="hybridMultilevel"/>
    <w:tmpl w:val="A7C49C3E"/>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D324599"/>
    <w:multiLevelType w:val="multilevel"/>
    <w:tmpl w:val="E4FC53F4"/>
    <w:lvl w:ilvl="0">
      <w:start w:val="1"/>
      <w:numFmt w:val="decimal"/>
      <w:lvlText w:val="%1"/>
      <w:lvlJc w:val="left"/>
      <w:pPr>
        <w:ind w:left="720" w:hanging="720"/>
      </w:pPr>
      <w:rPr>
        <w:rFonts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2700" w:hanging="360"/>
      </w:pPr>
      <w:rPr>
        <w:rFonts w:ascii="Symbol" w:hAnsi="Symbol"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9"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6F63D13"/>
    <w:multiLevelType w:val="hybridMultilevel"/>
    <w:tmpl w:val="6E3C92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7B314E8"/>
    <w:multiLevelType w:val="multilevel"/>
    <w:tmpl w:val="8494C20A"/>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B697560"/>
    <w:multiLevelType w:val="hybridMultilevel"/>
    <w:tmpl w:val="86CEEFDA"/>
    <w:lvl w:ilvl="0" w:tplc="3340684A">
      <w:start w:val="1"/>
      <w:numFmt w:val="bullet"/>
      <w:lvlText w:val="•"/>
      <w:lvlJc w:val="left"/>
      <w:pPr>
        <w:tabs>
          <w:tab w:val="num" w:pos="720"/>
        </w:tabs>
        <w:ind w:left="720" w:hanging="360"/>
      </w:pPr>
      <w:rPr>
        <w:rFonts w:ascii="Arial" w:hAnsi="Arial" w:hint="default"/>
      </w:rPr>
    </w:lvl>
    <w:lvl w:ilvl="1" w:tplc="4432A674" w:tentative="1">
      <w:start w:val="1"/>
      <w:numFmt w:val="bullet"/>
      <w:lvlText w:val="•"/>
      <w:lvlJc w:val="left"/>
      <w:pPr>
        <w:tabs>
          <w:tab w:val="num" w:pos="1440"/>
        </w:tabs>
        <w:ind w:left="1440" w:hanging="360"/>
      </w:pPr>
      <w:rPr>
        <w:rFonts w:ascii="Arial" w:hAnsi="Arial" w:hint="default"/>
      </w:rPr>
    </w:lvl>
    <w:lvl w:ilvl="2" w:tplc="64C2CA26" w:tentative="1">
      <w:start w:val="1"/>
      <w:numFmt w:val="bullet"/>
      <w:lvlText w:val="•"/>
      <w:lvlJc w:val="left"/>
      <w:pPr>
        <w:tabs>
          <w:tab w:val="num" w:pos="2160"/>
        </w:tabs>
        <w:ind w:left="2160" w:hanging="360"/>
      </w:pPr>
      <w:rPr>
        <w:rFonts w:ascii="Arial" w:hAnsi="Arial" w:hint="default"/>
      </w:rPr>
    </w:lvl>
    <w:lvl w:ilvl="3" w:tplc="A58A3A90" w:tentative="1">
      <w:start w:val="1"/>
      <w:numFmt w:val="bullet"/>
      <w:lvlText w:val="•"/>
      <w:lvlJc w:val="left"/>
      <w:pPr>
        <w:tabs>
          <w:tab w:val="num" w:pos="2880"/>
        </w:tabs>
        <w:ind w:left="2880" w:hanging="360"/>
      </w:pPr>
      <w:rPr>
        <w:rFonts w:ascii="Arial" w:hAnsi="Arial" w:hint="default"/>
      </w:rPr>
    </w:lvl>
    <w:lvl w:ilvl="4" w:tplc="F04E76CC" w:tentative="1">
      <w:start w:val="1"/>
      <w:numFmt w:val="bullet"/>
      <w:lvlText w:val="•"/>
      <w:lvlJc w:val="left"/>
      <w:pPr>
        <w:tabs>
          <w:tab w:val="num" w:pos="3600"/>
        </w:tabs>
        <w:ind w:left="3600" w:hanging="360"/>
      </w:pPr>
      <w:rPr>
        <w:rFonts w:ascii="Arial" w:hAnsi="Arial" w:hint="default"/>
      </w:rPr>
    </w:lvl>
    <w:lvl w:ilvl="5" w:tplc="EE04BE1E" w:tentative="1">
      <w:start w:val="1"/>
      <w:numFmt w:val="bullet"/>
      <w:lvlText w:val="•"/>
      <w:lvlJc w:val="left"/>
      <w:pPr>
        <w:tabs>
          <w:tab w:val="num" w:pos="4320"/>
        </w:tabs>
        <w:ind w:left="4320" w:hanging="360"/>
      </w:pPr>
      <w:rPr>
        <w:rFonts w:ascii="Arial" w:hAnsi="Arial" w:hint="default"/>
      </w:rPr>
    </w:lvl>
    <w:lvl w:ilvl="6" w:tplc="F6A84E08" w:tentative="1">
      <w:start w:val="1"/>
      <w:numFmt w:val="bullet"/>
      <w:lvlText w:val="•"/>
      <w:lvlJc w:val="left"/>
      <w:pPr>
        <w:tabs>
          <w:tab w:val="num" w:pos="5040"/>
        </w:tabs>
        <w:ind w:left="5040" w:hanging="360"/>
      </w:pPr>
      <w:rPr>
        <w:rFonts w:ascii="Arial" w:hAnsi="Arial" w:hint="default"/>
      </w:rPr>
    </w:lvl>
    <w:lvl w:ilvl="7" w:tplc="F800CB34" w:tentative="1">
      <w:start w:val="1"/>
      <w:numFmt w:val="bullet"/>
      <w:lvlText w:val="•"/>
      <w:lvlJc w:val="left"/>
      <w:pPr>
        <w:tabs>
          <w:tab w:val="num" w:pos="5760"/>
        </w:tabs>
        <w:ind w:left="5760" w:hanging="360"/>
      </w:pPr>
      <w:rPr>
        <w:rFonts w:ascii="Arial" w:hAnsi="Arial" w:hint="default"/>
      </w:rPr>
    </w:lvl>
    <w:lvl w:ilvl="8" w:tplc="1932E58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E2D1206"/>
    <w:multiLevelType w:val="multilevel"/>
    <w:tmpl w:val="4314D482"/>
    <w:lvl w:ilvl="0">
      <w:start w:val="1"/>
      <w:numFmt w:val="decimal"/>
      <w:lvlText w:val="%1"/>
      <w:lvlJc w:val="left"/>
      <w:pPr>
        <w:ind w:left="720" w:hanging="720"/>
      </w:pPr>
      <w:rPr>
        <w:rFonts w:hint="default"/>
      </w:rPr>
    </w:lvl>
    <w:lvl w:ilvl="1">
      <w:start w:val="1"/>
      <w:numFmt w:val="lowerRoman"/>
      <w:lvlText w:val="%2."/>
      <w:lvlJc w:val="right"/>
      <w:pPr>
        <w:ind w:left="360" w:hanging="360"/>
      </w:pPr>
    </w:lvl>
    <w:lvl w:ilvl="2">
      <w:start w:val="1"/>
      <w:numFmt w:val="bullet"/>
      <w:lvlText w:val=""/>
      <w:lvlJc w:val="left"/>
      <w:pPr>
        <w:ind w:left="2700" w:hanging="360"/>
      </w:pPr>
      <w:rPr>
        <w:rFonts w:ascii="Symbol" w:hAnsi="Symbol"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3E8414F0"/>
    <w:multiLevelType w:val="multilevel"/>
    <w:tmpl w:val="CC9C1894"/>
    <w:lvl w:ilvl="0">
      <w:start w:val="1"/>
      <w:numFmt w:val="decimal"/>
      <w:lvlText w:val="%1"/>
      <w:lvlJc w:val="left"/>
      <w:pPr>
        <w:ind w:left="720" w:hanging="720"/>
      </w:pPr>
      <w:rPr>
        <w:rFonts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2700" w:hanging="360"/>
      </w:pPr>
      <w:rPr>
        <w:rFonts w:ascii="Symbol" w:hAnsi="Symbol"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7" w15:restartNumberingAfterBreak="0">
    <w:nsid w:val="41CE3325"/>
    <w:multiLevelType w:val="multilevel"/>
    <w:tmpl w:val="361C34D0"/>
    <w:lvl w:ilvl="0">
      <w:start w:val="1"/>
      <w:numFmt w:val="decimal"/>
      <w:lvlText w:val="%1"/>
      <w:lvlJc w:val="left"/>
      <w:pPr>
        <w:ind w:left="720" w:hanging="720"/>
      </w:pPr>
      <w:rPr>
        <w:rFonts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2700" w:hanging="360"/>
      </w:pPr>
      <w:rPr>
        <w:rFonts w:ascii="Symbol" w:hAnsi="Symbol"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 w15:restartNumberingAfterBreak="0">
    <w:nsid w:val="49964247"/>
    <w:multiLevelType w:val="multilevel"/>
    <w:tmpl w:val="E4FC53F4"/>
    <w:lvl w:ilvl="0">
      <w:start w:val="1"/>
      <w:numFmt w:val="decimal"/>
      <w:lvlText w:val="%1"/>
      <w:lvlJc w:val="left"/>
      <w:pPr>
        <w:ind w:left="720" w:hanging="720"/>
      </w:pPr>
      <w:rPr>
        <w:rFonts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2700" w:hanging="360"/>
      </w:pPr>
      <w:rPr>
        <w:rFonts w:ascii="Symbol" w:hAnsi="Symbol"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9" w15:restartNumberingAfterBreak="0">
    <w:nsid w:val="4E4332DC"/>
    <w:multiLevelType w:val="hybridMultilevel"/>
    <w:tmpl w:val="DB8662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99D22AD"/>
    <w:multiLevelType w:val="multilevel"/>
    <w:tmpl w:val="E49AA538"/>
    <w:lvl w:ilvl="0">
      <w:start w:val="1"/>
      <w:numFmt w:val="decimal"/>
      <w:lvlText w:val="%1"/>
      <w:lvlJc w:val="left"/>
      <w:pPr>
        <w:ind w:left="720" w:hanging="720"/>
      </w:pPr>
      <w:rPr>
        <w:rFonts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2700" w:hanging="360"/>
      </w:pPr>
      <w:rPr>
        <w:rFonts w:ascii="Symbol" w:hAnsi="Symbol"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3" w15:restartNumberingAfterBreak="0">
    <w:nsid w:val="5AF069B8"/>
    <w:multiLevelType w:val="hybridMultilevel"/>
    <w:tmpl w:val="058C3E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DAC5FFD"/>
    <w:multiLevelType w:val="multilevel"/>
    <w:tmpl w:val="B830A2DE"/>
    <w:lvl w:ilvl="0">
      <w:start w:val="1"/>
      <w:numFmt w:val="decimal"/>
      <w:pStyle w:val="2-SectionHeading"/>
      <w:lvlText w:val="%1"/>
      <w:lvlJc w:val="left"/>
      <w:pPr>
        <w:ind w:left="720" w:hanging="720"/>
      </w:pPr>
      <w:rPr>
        <w:rFonts w:hint="default"/>
      </w:rPr>
    </w:lvl>
    <w:lvl w:ilvl="1">
      <w:start w:val="1"/>
      <w:numFmt w:val="decimal"/>
      <w:pStyle w:val="3-BodyText"/>
      <w:lvlText w:val="%1.%2"/>
      <w:lvlJc w:val="left"/>
      <w:pPr>
        <w:ind w:left="720" w:hanging="720"/>
      </w:pPr>
      <w:rPr>
        <w:i w:val="0"/>
        <w:iCs w:val="0"/>
      </w:rPr>
    </w:lvl>
    <w:lvl w:ilvl="2">
      <w:start w:val="1"/>
      <w:numFmt w:val="bullet"/>
      <w:lvlText w:val=""/>
      <w:lvlJc w:val="left"/>
      <w:pPr>
        <w:ind w:left="2700" w:hanging="360"/>
      </w:pPr>
      <w:rPr>
        <w:rFonts w:ascii="Symbol" w:hAnsi="Symbol"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5" w15:restartNumberingAfterBreak="0">
    <w:nsid w:val="5EE121F8"/>
    <w:multiLevelType w:val="hybridMultilevel"/>
    <w:tmpl w:val="B38C9A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61C044AD"/>
    <w:multiLevelType w:val="multilevel"/>
    <w:tmpl w:val="361C34D0"/>
    <w:lvl w:ilvl="0">
      <w:start w:val="1"/>
      <w:numFmt w:val="decimal"/>
      <w:lvlText w:val="%1"/>
      <w:lvlJc w:val="left"/>
      <w:pPr>
        <w:ind w:left="720" w:hanging="720"/>
      </w:pPr>
      <w:rPr>
        <w:rFonts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2700" w:hanging="360"/>
      </w:pPr>
      <w:rPr>
        <w:rFonts w:ascii="Symbol" w:hAnsi="Symbol"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8" w15:restartNumberingAfterBreak="0">
    <w:nsid w:val="69924C11"/>
    <w:multiLevelType w:val="multilevel"/>
    <w:tmpl w:val="CC9C1894"/>
    <w:lvl w:ilvl="0">
      <w:start w:val="1"/>
      <w:numFmt w:val="decimal"/>
      <w:lvlText w:val="%1"/>
      <w:lvlJc w:val="left"/>
      <w:pPr>
        <w:ind w:left="720" w:hanging="720"/>
      </w:pPr>
      <w:rPr>
        <w:rFonts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2700" w:hanging="360"/>
      </w:pPr>
      <w:rPr>
        <w:rFonts w:ascii="Symbol" w:hAnsi="Symbol"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9" w15:restartNumberingAfterBreak="0">
    <w:nsid w:val="69B93E46"/>
    <w:multiLevelType w:val="multilevel"/>
    <w:tmpl w:val="094CE19C"/>
    <w:lvl w:ilvl="0">
      <w:start w:val="1"/>
      <w:numFmt w:val="bullet"/>
      <w:lvlText w:val=""/>
      <w:lvlJc w:val="left"/>
      <w:pPr>
        <w:ind w:left="720" w:hanging="720"/>
      </w:pPr>
      <w:rPr>
        <w:rFonts w:ascii="Symbol" w:hAnsi="Symbol"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2700" w:hanging="360"/>
      </w:pPr>
      <w:rPr>
        <w:rFonts w:ascii="Symbol" w:hAnsi="Symbol"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0"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1E93DC9"/>
    <w:multiLevelType w:val="multilevel"/>
    <w:tmpl w:val="CC9C1894"/>
    <w:lvl w:ilvl="0">
      <w:start w:val="1"/>
      <w:numFmt w:val="decimal"/>
      <w:lvlText w:val="%1"/>
      <w:lvlJc w:val="left"/>
      <w:pPr>
        <w:ind w:left="720" w:hanging="720"/>
      </w:pPr>
      <w:rPr>
        <w:rFonts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2700" w:hanging="360"/>
      </w:pPr>
      <w:rPr>
        <w:rFonts w:ascii="Symbol" w:hAnsi="Symbol"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2" w15:restartNumberingAfterBreak="0">
    <w:nsid w:val="784D033C"/>
    <w:multiLevelType w:val="multilevel"/>
    <w:tmpl w:val="4A3660E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180194493">
    <w:abstractNumId w:val="32"/>
  </w:num>
  <w:num w:numId="2" w16cid:durableId="1742173966">
    <w:abstractNumId w:val="24"/>
  </w:num>
  <w:num w:numId="3" w16cid:durableId="440031396">
    <w:abstractNumId w:val="23"/>
  </w:num>
  <w:num w:numId="4" w16cid:durableId="1607073853">
    <w:abstractNumId w:val="25"/>
  </w:num>
  <w:num w:numId="5" w16cid:durableId="717703159">
    <w:abstractNumId w:val="3"/>
  </w:num>
  <w:num w:numId="6" w16cid:durableId="995844250">
    <w:abstractNumId w:val="19"/>
  </w:num>
  <w:num w:numId="7" w16cid:durableId="1228225917">
    <w:abstractNumId w:val="12"/>
  </w:num>
  <w:num w:numId="8" w16cid:durableId="1289386481">
    <w:abstractNumId w:val="8"/>
  </w:num>
  <w:num w:numId="9" w16cid:durableId="1315062609">
    <w:abstractNumId w:val="18"/>
  </w:num>
  <w:num w:numId="10" w16cid:durableId="725298986">
    <w:abstractNumId w:val="15"/>
  </w:num>
  <w:num w:numId="11" w16cid:durableId="2044865658">
    <w:abstractNumId w:val="5"/>
  </w:num>
  <w:num w:numId="12" w16cid:durableId="1945379921">
    <w:abstractNumId w:val="22"/>
  </w:num>
  <w:num w:numId="13" w16cid:durableId="1434203836">
    <w:abstractNumId w:val="27"/>
  </w:num>
  <w:num w:numId="14" w16cid:durableId="1591742412">
    <w:abstractNumId w:val="17"/>
  </w:num>
  <w:num w:numId="15" w16cid:durableId="1140000377">
    <w:abstractNumId w:val="6"/>
  </w:num>
  <w:num w:numId="16" w16cid:durableId="1862931356">
    <w:abstractNumId w:val="1"/>
  </w:num>
  <w:num w:numId="17" w16cid:durableId="1660116426">
    <w:abstractNumId w:val="2"/>
  </w:num>
  <w:num w:numId="18" w16cid:durableId="1573005167">
    <w:abstractNumId w:val="20"/>
  </w:num>
  <w:num w:numId="19" w16cid:durableId="408699874">
    <w:abstractNumId w:val="21"/>
  </w:num>
  <w:num w:numId="20" w16cid:durableId="1569418770">
    <w:abstractNumId w:val="4"/>
  </w:num>
  <w:num w:numId="21" w16cid:durableId="705176722">
    <w:abstractNumId w:val="0"/>
  </w:num>
  <w:num w:numId="22" w16cid:durableId="1926569401">
    <w:abstractNumId w:val="10"/>
  </w:num>
  <w:num w:numId="23" w16cid:durableId="1979457665">
    <w:abstractNumId w:val="11"/>
  </w:num>
  <w:num w:numId="24" w16cid:durableId="2038313566">
    <w:abstractNumId w:val="9"/>
  </w:num>
  <w:num w:numId="25" w16cid:durableId="1297443176">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9997201">
    <w:abstractNumId w:val="30"/>
  </w:num>
  <w:num w:numId="27" w16cid:durableId="1967159570">
    <w:abstractNumId w:val="24"/>
  </w:num>
  <w:num w:numId="28" w16cid:durableId="870874733">
    <w:abstractNumId w:val="24"/>
  </w:num>
  <w:num w:numId="29" w16cid:durableId="1229535387">
    <w:abstractNumId w:val="24"/>
  </w:num>
  <w:num w:numId="30" w16cid:durableId="785539282">
    <w:abstractNumId w:val="24"/>
  </w:num>
  <w:num w:numId="31" w16cid:durableId="664208309">
    <w:abstractNumId w:val="24"/>
  </w:num>
  <w:num w:numId="32" w16cid:durableId="1048411102">
    <w:abstractNumId w:val="24"/>
  </w:num>
  <w:num w:numId="33" w16cid:durableId="549078983">
    <w:abstractNumId w:val="24"/>
  </w:num>
  <w:num w:numId="34" w16cid:durableId="1366295598">
    <w:abstractNumId w:val="24"/>
  </w:num>
  <w:num w:numId="35" w16cid:durableId="1554850704">
    <w:abstractNumId w:val="24"/>
  </w:num>
  <w:num w:numId="36" w16cid:durableId="1826971505">
    <w:abstractNumId w:val="14"/>
  </w:num>
  <w:num w:numId="37" w16cid:durableId="2073775541">
    <w:abstractNumId w:val="16"/>
  </w:num>
  <w:num w:numId="38" w16cid:durableId="91632625">
    <w:abstractNumId w:val="31"/>
  </w:num>
  <w:num w:numId="39" w16cid:durableId="743602266">
    <w:abstractNumId w:val="28"/>
  </w:num>
  <w:num w:numId="40" w16cid:durableId="1263107543">
    <w:abstractNumId w:val="29"/>
  </w:num>
  <w:num w:numId="41" w16cid:durableId="1491948538">
    <w:abstractNumId w:val="7"/>
  </w:num>
  <w:num w:numId="42" w16cid:durableId="80957775">
    <w:abstractNumId w:val="24"/>
  </w:num>
  <w:num w:numId="43" w16cid:durableId="153837752">
    <w:abstractNumId w:val="24"/>
  </w:num>
  <w:num w:numId="44" w16cid:durableId="108014796">
    <w:abstractNumId w:val="24"/>
  </w:num>
  <w:num w:numId="45" w16cid:durableId="2008634621">
    <w:abstractNumId w:val="13"/>
  </w:num>
  <w:num w:numId="46" w16cid:durableId="836926170">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proofState w:spelling="clean"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6F8"/>
    <w:rsid w:val="0000080A"/>
    <w:rsid w:val="00001663"/>
    <w:rsid w:val="000016D8"/>
    <w:rsid w:val="000025AD"/>
    <w:rsid w:val="0000335D"/>
    <w:rsid w:val="00004664"/>
    <w:rsid w:val="00006CA8"/>
    <w:rsid w:val="00007AC7"/>
    <w:rsid w:val="00011A59"/>
    <w:rsid w:val="00011F8C"/>
    <w:rsid w:val="000132A4"/>
    <w:rsid w:val="00013633"/>
    <w:rsid w:val="0001567B"/>
    <w:rsid w:val="00016A41"/>
    <w:rsid w:val="00020ECE"/>
    <w:rsid w:val="000214D1"/>
    <w:rsid w:val="000223F1"/>
    <w:rsid w:val="0002395F"/>
    <w:rsid w:val="00023C0B"/>
    <w:rsid w:val="00024333"/>
    <w:rsid w:val="0002464A"/>
    <w:rsid w:val="00024CE2"/>
    <w:rsid w:val="00025570"/>
    <w:rsid w:val="00025A04"/>
    <w:rsid w:val="0003050E"/>
    <w:rsid w:val="0003106B"/>
    <w:rsid w:val="000316F3"/>
    <w:rsid w:val="00032189"/>
    <w:rsid w:val="00032B13"/>
    <w:rsid w:val="00033A3E"/>
    <w:rsid w:val="00033C1D"/>
    <w:rsid w:val="0003453F"/>
    <w:rsid w:val="00034905"/>
    <w:rsid w:val="00041658"/>
    <w:rsid w:val="000421A1"/>
    <w:rsid w:val="0004240E"/>
    <w:rsid w:val="00044EC4"/>
    <w:rsid w:val="00045997"/>
    <w:rsid w:val="00045E26"/>
    <w:rsid w:val="000514B5"/>
    <w:rsid w:val="000528E2"/>
    <w:rsid w:val="00052D41"/>
    <w:rsid w:val="0005322E"/>
    <w:rsid w:val="00054206"/>
    <w:rsid w:val="000543DA"/>
    <w:rsid w:val="00054409"/>
    <w:rsid w:val="00054E2B"/>
    <w:rsid w:val="00056D19"/>
    <w:rsid w:val="000579EF"/>
    <w:rsid w:val="0006006F"/>
    <w:rsid w:val="00060DF6"/>
    <w:rsid w:val="00060E64"/>
    <w:rsid w:val="0006302D"/>
    <w:rsid w:val="000643B5"/>
    <w:rsid w:val="00066193"/>
    <w:rsid w:val="000664E3"/>
    <w:rsid w:val="00066755"/>
    <w:rsid w:val="00067B6B"/>
    <w:rsid w:val="00071A5B"/>
    <w:rsid w:val="000731F0"/>
    <w:rsid w:val="0007337F"/>
    <w:rsid w:val="00073D51"/>
    <w:rsid w:val="00074544"/>
    <w:rsid w:val="0007547D"/>
    <w:rsid w:val="000756E3"/>
    <w:rsid w:val="000763D5"/>
    <w:rsid w:val="00076799"/>
    <w:rsid w:val="00076C38"/>
    <w:rsid w:val="00077143"/>
    <w:rsid w:val="000776F9"/>
    <w:rsid w:val="00077DF7"/>
    <w:rsid w:val="0008050C"/>
    <w:rsid w:val="00080899"/>
    <w:rsid w:val="00081A6B"/>
    <w:rsid w:val="00082169"/>
    <w:rsid w:val="00082EFF"/>
    <w:rsid w:val="00083249"/>
    <w:rsid w:val="000834BE"/>
    <w:rsid w:val="00083F01"/>
    <w:rsid w:val="0008433F"/>
    <w:rsid w:val="00084B39"/>
    <w:rsid w:val="00085A02"/>
    <w:rsid w:val="00087C4C"/>
    <w:rsid w:val="00090C0E"/>
    <w:rsid w:val="00090E63"/>
    <w:rsid w:val="00091089"/>
    <w:rsid w:val="000918CB"/>
    <w:rsid w:val="00091B06"/>
    <w:rsid w:val="000935E7"/>
    <w:rsid w:val="00094621"/>
    <w:rsid w:val="000951C4"/>
    <w:rsid w:val="00095ADA"/>
    <w:rsid w:val="000969AD"/>
    <w:rsid w:val="000975FB"/>
    <w:rsid w:val="000A2660"/>
    <w:rsid w:val="000A3AA2"/>
    <w:rsid w:val="000A40B6"/>
    <w:rsid w:val="000A44B2"/>
    <w:rsid w:val="000A52F6"/>
    <w:rsid w:val="000A620F"/>
    <w:rsid w:val="000B0743"/>
    <w:rsid w:val="000B1363"/>
    <w:rsid w:val="000B1577"/>
    <w:rsid w:val="000B22E1"/>
    <w:rsid w:val="000B290F"/>
    <w:rsid w:val="000B44C3"/>
    <w:rsid w:val="000B558D"/>
    <w:rsid w:val="000B5A89"/>
    <w:rsid w:val="000B65F6"/>
    <w:rsid w:val="000B677B"/>
    <w:rsid w:val="000B7767"/>
    <w:rsid w:val="000C11A1"/>
    <w:rsid w:val="000C13E7"/>
    <w:rsid w:val="000C2025"/>
    <w:rsid w:val="000C3040"/>
    <w:rsid w:val="000C409E"/>
    <w:rsid w:val="000C57D8"/>
    <w:rsid w:val="000C5F95"/>
    <w:rsid w:val="000C6996"/>
    <w:rsid w:val="000C7C46"/>
    <w:rsid w:val="000D09E9"/>
    <w:rsid w:val="000D0CD3"/>
    <w:rsid w:val="000D113F"/>
    <w:rsid w:val="000D23BA"/>
    <w:rsid w:val="000D2496"/>
    <w:rsid w:val="000D4213"/>
    <w:rsid w:val="000D5E99"/>
    <w:rsid w:val="000E0EC0"/>
    <w:rsid w:val="000E13D2"/>
    <w:rsid w:val="000E14B1"/>
    <w:rsid w:val="000E19B7"/>
    <w:rsid w:val="000E20FC"/>
    <w:rsid w:val="000E2503"/>
    <w:rsid w:val="000E3886"/>
    <w:rsid w:val="000E3DFB"/>
    <w:rsid w:val="000E4639"/>
    <w:rsid w:val="000E5EA1"/>
    <w:rsid w:val="000E681E"/>
    <w:rsid w:val="000E712A"/>
    <w:rsid w:val="000E72CD"/>
    <w:rsid w:val="000E7E52"/>
    <w:rsid w:val="000F0003"/>
    <w:rsid w:val="000F0095"/>
    <w:rsid w:val="000F06A0"/>
    <w:rsid w:val="000F1493"/>
    <w:rsid w:val="000F19CE"/>
    <w:rsid w:val="000F3384"/>
    <w:rsid w:val="000F423A"/>
    <w:rsid w:val="000F4298"/>
    <w:rsid w:val="000F4E6A"/>
    <w:rsid w:val="000F7354"/>
    <w:rsid w:val="00101ABE"/>
    <w:rsid w:val="00102202"/>
    <w:rsid w:val="0010227D"/>
    <w:rsid w:val="00102700"/>
    <w:rsid w:val="001027CE"/>
    <w:rsid w:val="0010289B"/>
    <w:rsid w:val="00102A78"/>
    <w:rsid w:val="00103118"/>
    <w:rsid w:val="00104227"/>
    <w:rsid w:val="0010662C"/>
    <w:rsid w:val="001107BF"/>
    <w:rsid w:val="00112094"/>
    <w:rsid w:val="00113649"/>
    <w:rsid w:val="00113D5C"/>
    <w:rsid w:val="00115540"/>
    <w:rsid w:val="001171EE"/>
    <w:rsid w:val="00120929"/>
    <w:rsid w:val="00120ED8"/>
    <w:rsid w:val="00121E16"/>
    <w:rsid w:val="001227E8"/>
    <w:rsid w:val="00122B40"/>
    <w:rsid w:val="00122E9C"/>
    <w:rsid w:val="0012417C"/>
    <w:rsid w:val="00124BF2"/>
    <w:rsid w:val="00125265"/>
    <w:rsid w:val="0012597F"/>
    <w:rsid w:val="00125AD3"/>
    <w:rsid w:val="001267A7"/>
    <w:rsid w:val="0012749D"/>
    <w:rsid w:val="00127E1C"/>
    <w:rsid w:val="001306A5"/>
    <w:rsid w:val="001311AE"/>
    <w:rsid w:val="00131461"/>
    <w:rsid w:val="00131B08"/>
    <w:rsid w:val="00136F5D"/>
    <w:rsid w:val="00140042"/>
    <w:rsid w:val="00140B74"/>
    <w:rsid w:val="00140D94"/>
    <w:rsid w:val="00142395"/>
    <w:rsid w:val="00142714"/>
    <w:rsid w:val="00143233"/>
    <w:rsid w:val="0014381E"/>
    <w:rsid w:val="00144D09"/>
    <w:rsid w:val="00145204"/>
    <w:rsid w:val="001452ED"/>
    <w:rsid w:val="0014639C"/>
    <w:rsid w:val="00146710"/>
    <w:rsid w:val="00147566"/>
    <w:rsid w:val="00147D84"/>
    <w:rsid w:val="001517CB"/>
    <w:rsid w:val="001526A5"/>
    <w:rsid w:val="00153440"/>
    <w:rsid w:val="001549C1"/>
    <w:rsid w:val="00154A18"/>
    <w:rsid w:val="001554F9"/>
    <w:rsid w:val="0015572C"/>
    <w:rsid w:val="001557C5"/>
    <w:rsid w:val="00156C8D"/>
    <w:rsid w:val="001573C8"/>
    <w:rsid w:val="00157DB9"/>
    <w:rsid w:val="00160F4D"/>
    <w:rsid w:val="00162BDD"/>
    <w:rsid w:val="00162D4E"/>
    <w:rsid w:val="00163329"/>
    <w:rsid w:val="00163858"/>
    <w:rsid w:val="00164623"/>
    <w:rsid w:val="001652DE"/>
    <w:rsid w:val="00165B64"/>
    <w:rsid w:val="00170B58"/>
    <w:rsid w:val="00175D97"/>
    <w:rsid w:val="00176B9D"/>
    <w:rsid w:val="00180713"/>
    <w:rsid w:val="00180720"/>
    <w:rsid w:val="00180967"/>
    <w:rsid w:val="0018123F"/>
    <w:rsid w:val="00182AA7"/>
    <w:rsid w:val="001830CE"/>
    <w:rsid w:val="001836E3"/>
    <w:rsid w:val="00184C39"/>
    <w:rsid w:val="00185557"/>
    <w:rsid w:val="0018643B"/>
    <w:rsid w:val="00192397"/>
    <w:rsid w:val="00194E65"/>
    <w:rsid w:val="001955E5"/>
    <w:rsid w:val="001961AD"/>
    <w:rsid w:val="00196307"/>
    <w:rsid w:val="001A0D10"/>
    <w:rsid w:val="001A1054"/>
    <w:rsid w:val="001A13AC"/>
    <w:rsid w:val="001A1889"/>
    <w:rsid w:val="001A31C8"/>
    <w:rsid w:val="001A33EA"/>
    <w:rsid w:val="001A4413"/>
    <w:rsid w:val="001A4C4F"/>
    <w:rsid w:val="001A5A2B"/>
    <w:rsid w:val="001A5E86"/>
    <w:rsid w:val="001A67F1"/>
    <w:rsid w:val="001A6E93"/>
    <w:rsid w:val="001A76FB"/>
    <w:rsid w:val="001B017F"/>
    <w:rsid w:val="001B05AE"/>
    <w:rsid w:val="001B0B79"/>
    <w:rsid w:val="001B20EA"/>
    <w:rsid w:val="001B2BBC"/>
    <w:rsid w:val="001B378E"/>
    <w:rsid w:val="001B3A40"/>
    <w:rsid w:val="001B3FFE"/>
    <w:rsid w:val="001B4F22"/>
    <w:rsid w:val="001B5129"/>
    <w:rsid w:val="001B75D3"/>
    <w:rsid w:val="001C02BF"/>
    <w:rsid w:val="001C0B4C"/>
    <w:rsid w:val="001C0EC4"/>
    <w:rsid w:val="001C1195"/>
    <w:rsid w:val="001C12AE"/>
    <w:rsid w:val="001C1E84"/>
    <w:rsid w:val="001C2148"/>
    <w:rsid w:val="001C2CCC"/>
    <w:rsid w:val="001C2E42"/>
    <w:rsid w:val="001C64E0"/>
    <w:rsid w:val="001C6CD5"/>
    <w:rsid w:val="001C758C"/>
    <w:rsid w:val="001C776F"/>
    <w:rsid w:val="001C789D"/>
    <w:rsid w:val="001C7A02"/>
    <w:rsid w:val="001D0CAD"/>
    <w:rsid w:val="001D1B60"/>
    <w:rsid w:val="001D1F5F"/>
    <w:rsid w:val="001D2331"/>
    <w:rsid w:val="001D37BE"/>
    <w:rsid w:val="001D3ECE"/>
    <w:rsid w:val="001D615C"/>
    <w:rsid w:val="001D6EBF"/>
    <w:rsid w:val="001D6FE3"/>
    <w:rsid w:val="001E06D2"/>
    <w:rsid w:val="001E17C4"/>
    <w:rsid w:val="001E6501"/>
    <w:rsid w:val="001F005B"/>
    <w:rsid w:val="001F1618"/>
    <w:rsid w:val="001F1850"/>
    <w:rsid w:val="001F1D9C"/>
    <w:rsid w:val="001F1FBF"/>
    <w:rsid w:val="001F2F1C"/>
    <w:rsid w:val="001F3189"/>
    <w:rsid w:val="001F3C8A"/>
    <w:rsid w:val="001F57BF"/>
    <w:rsid w:val="001F591B"/>
    <w:rsid w:val="001F6CD3"/>
    <w:rsid w:val="001F75FC"/>
    <w:rsid w:val="00200F36"/>
    <w:rsid w:val="00201AE9"/>
    <w:rsid w:val="00201FB8"/>
    <w:rsid w:val="002025D2"/>
    <w:rsid w:val="00203FAC"/>
    <w:rsid w:val="0020495D"/>
    <w:rsid w:val="00204F6A"/>
    <w:rsid w:val="002063B4"/>
    <w:rsid w:val="00206A84"/>
    <w:rsid w:val="0020747D"/>
    <w:rsid w:val="002108C6"/>
    <w:rsid w:val="002118B0"/>
    <w:rsid w:val="00212480"/>
    <w:rsid w:val="00213CFB"/>
    <w:rsid w:val="00213DD5"/>
    <w:rsid w:val="00214200"/>
    <w:rsid w:val="0021553C"/>
    <w:rsid w:val="0021557B"/>
    <w:rsid w:val="002157E3"/>
    <w:rsid w:val="00215AB3"/>
    <w:rsid w:val="002163AC"/>
    <w:rsid w:val="00216C36"/>
    <w:rsid w:val="00217097"/>
    <w:rsid w:val="002174FD"/>
    <w:rsid w:val="00217BE1"/>
    <w:rsid w:val="00220DAE"/>
    <w:rsid w:val="002214B9"/>
    <w:rsid w:val="00221F51"/>
    <w:rsid w:val="002223A8"/>
    <w:rsid w:val="00222E0B"/>
    <w:rsid w:val="00222E25"/>
    <w:rsid w:val="0022391B"/>
    <w:rsid w:val="00223A09"/>
    <w:rsid w:val="00223ED5"/>
    <w:rsid w:val="0022726A"/>
    <w:rsid w:val="00227505"/>
    <w:rsid w:val="00230841"/>
    <w:rsid w:val="00230F63"/>
    <w:rsid w:val="00231E29"/>
    <w:rsid w:val="002327BE"/>
    <w:rsid w:val="0023281C"/>
    <w:rsid w:val="00234252"/>
    <w:rsid w:val="0023466E"/>
    <w:rsid w:val="00235EA1"/>
    <w:rsid w:val="00236156"/>
    <w:rsid w:val="00236302"/>
    <w:rsid w:val="00237AC6"/>
    <w:rsid w:val="00240165"/>
    <w:rsid w:val="00240FD5"/>
    <w:rsid w:val="00243B87"/>
    <w:rsid w:val="00244139"/>
    <w:rsid w:val="00244490"/>
    <w:rsid w:val="00245B9C"/>
    <w:rsid w:val="00251729"/>
    <w:rsid w:val="00253499"/>
    <w:rsid w:val="002551A4"/>
    <w:rsid w:val="00255349"/>
    <w:rsid w:val="00255CDD"/>
    <w:rsid w:val="00257664"/>
    <w:rsid w:val="00265151"/>
    <w:rsid w:val="00265C2C"/>
    <w:rsid w:val="00266509"/>
    <w:rsid w:val="00271BA1"/>
    <w:rsid w:val="00271F0E"/>
    <w:rsid w:val="00273908"/>
    <w:rsid w:val="00273AC5"/>
    <w:rsid w:val="00274455"/>
    <w:rsid w:val="00274F90"/>
    <w:rsid w:val="002757E9"/>
    <w:rsid w:val="002762FA"/>
    <w:rsid w:val="00277505"/>
    <w:rsid w:val="00280ADA"/>
    <w:rsid w:val="0028158C"/>
    <w:rsid w:val="002823B6"/>
    <w:rsid w:val="0028276F"/>
    <w:rsid w:val="0028310C"/>
    <w:rsid w:val="002832AE"/>
    <w:rsid w:val="00285B8F"/>
    <w:rsid w:val="00287F1C"/>
    <w:rsid w:val="00290C03"/>
    <w:rsid w:val="0029339B"/>
    <w:rsid w:val="00294274"/>
    <w:rsid w:val="0029458F"/>
    <w:rsid w:val="00295367"/>
    <w:rsid w:val="002A018F"/>
    <w:rsid w:val="002A0E04"/>
    <w:rsid w:val="002A104C"/>
    <w:rsid w:val="002A1EF7"/>
    <w:rsid w:val="002A1F81"/>
    <w:rsid w:val="002A44E4"/>
    <w:rsid w:val="002A494D"/>
    <w:rsid w:val="002A4960"/>
    <w:rsid w:val="002A636A"/>
    <w:rsid w:val="002B0AE0"/>
    <w:rsid w:val="002B13F2"/>
    <w:rsid w:val="002B1AE6"/>
    <w:rsid w:val="002B1D51"/>
    <w:rsid w:val="002B2DE8"/>
    <w:rsid w:val="002B30F8"/>
    <w:rsid w:val="002B388A"/>
    <w:rsid w:val="002B5596"/>
    <w:rsid w:val="002B588F"/>
    <w:rsid w:val="002B617E"/>
    <w:rsid w:val="002B622B"/>
    <w:rsid w:val="002B77D7"/>
    <w:rsid w:val="002C1292"/>
    <w:rsid w:val="002C1B22"/>
    <w:rsid w:val="002C1EE5"/>
    <w:rsid w:val="002C212F"/>
    <w:rsid w:val="002C26FD"/>
    <w:rsid w:val="002C2F35"/>
    <w:rsid w:val="002C633F"/>
    <w:rsid w:val="002C65D5"/>
    <w:rsid w:val="002C6AA9"/>
    <w:rsid w:val="002C7485"/>
    <w:rsid w:val="002D0C05"/>
    <w:rsid w:val="002D147F"/>
    <w:rsid w:val="002D2641"/>
    <w:rsid w:val="002D283A"/>
    <w:rsid w:val="002D4543"/>
    <w:rsid w:val="002D49F6"/>
    <w:rsid w:val="002D4F18"/>
    <w:rsid w:val="002D5D7E"/>
    <w:rsid w:val="002D76B1"/>
    <w:rsid w:val="002D7FDA"/>
    <w:rsid w:val="002E2BDD"/>
    <w:rsid w:val="002E3153"/>
    <w:rsid w:val="002E5292"/>
    <w:rsid w:val="002E5DBF"/>
    <w:rsid w:val="002E72CA"/>
    <w:rsid w:val="002E7E00"/>
    <w:rsid w:val="002F1D07"/>
    <w:rsid w:val="002F458B"/>
    <w:rsid w:val="002F600D"/>
    <w:rsid w:val="002F7E47"/>
    <w:rsid w:val="00300AD6"/>
    <w:rsid w:val="00300B1B"/>
    <w:rsid w:val="003019D0"/>
    <w:rsid w:val="003064AF"/>
    <w:rsid w:val="00307FE2"/>
    <w:rsid w:val="00310171"/>
    <w:rsid w:val="003104CC"/>
    <w:rsid w:val="003109C0"/>
    <w:rsid w:val="00310A8B"/>
    <w:rsid w:val="00310B68"/>
    <w:rsid w:val="0031236D"/>
    <w:rsid w:val="00313043"/>
    <w:rsid w:val="0031427A"/>
    <w:rsid w:val="003157FC"/>
    <w:rsid w:val="003160D2"/>
    <w:rsid w:val="003173FC"/>
    <w:rsid w:val="00317C6C"/>
    <w:rsid w:val="0032014E"/>
    <w:rsid w:val="00320B80"/>
    <w:rsid w:val="00320CD3"/>
    <w:rsid w:val="00323121"/>
    <w:rsid w:val="003234F5"/>
    <w:rsid w:val="0032412A"/>
    <w:rsid w:val="00326E79"/>
    <w:rsid w:val="0032748A"/>
    <w:rsid w:val="003301B1"/>
    <w:rsid w:val="00330B7C"/>
    <w:rsid w:val="00331189"/>
    <w:rsid w:val="0033263D"/>
    <w:rsid w:val="00334191"/>
    <w:rsid w:val="0033518A"/>
    <w:rsid w:val="00335535"/>
    <w:rsid w:val="003367EF"/>
    <w:rsid w:val="003373EF"/>
    <w:rsid w:val="00341AE4"/>
    <w:rsid w:val="00343467"/>
    <w:rsid w:val="003476EE"/>
    <w:rsid w:val="00353F44"/>
    <w:rsid w:val="003541DD"/>
    <w:rsid w:val="00354576"/>
    <w:rsid w:val="00354BB6"/>
    <w:rsid w:val="00356E5B"/>
    <w:rsid w:val="003609AB"/>
    <w:rsid w:val="00362107"/>
    <w:rsid w:val="00363491"/>
    <w:rsid w:val="00364F20"/>
    <w:rsid w:val="003677F7"/>
    <w:rsid w:val="003736C9"/>
    <w:rsid w:val="00373C31"/>
    <w:rsid w:val="0037470C"/>
    <w:rsid w:val="00374BF9"/>
    <w:rsid w:val="00375F1F"/>
    <w:rsid w:val="003775D5"/>
    <w:rsid w:val="003806E6"/>
    <w:rsid w:val="00380B2C"/>
    <w:rsid w:val="00381343"/>
    <w:rsid w:val="00382D45"/>
    <w:rsid w:val="00383B77"/>
    <w:rsid w:val="00383EDB"/>
    <w:rsid w:val="00384988"/>
    <w:rsid w:val="00386DC0"/>
    <w:rsid w:val="003872CF"/>
    <w:rsid w:val="003952E3"/>
    <w:rsid w:val="00397663"/>
    <w:rsid w:val="0039782C"/>
    <w:rsid w:val="003A13A6"/>
    <w:rsid w:val="003A2477"/>
    <w:rsid w:val="003A3226"/>
    <w:rsid w:val="003A5B4A"/>
    <w:rsid w:val="003A5D95"/>
    <w:rsid w:val="003B0D3A"/>
    <w:rsid w:val="003B0E46"/>
    <w:rsid w:val="003B2302"/>
    <w:rsid w:val="003B23C5"/>
    <w:rsid w:val="003B2A75"/>
    <w:rsid w:val="003B2C67"/>
    <w:rsid w:val="003B4890"/>
    <w:rsid w:val="003B49B2"/>
    <w:rsid w:val="003B50A6"/>
    <w:rsid w:val="003B6124"/>
    <w:rsid w:val="003B7732"/>
    <w:rsid w:val="003B7960"/>
    <w:rsid w:val="003B7EA6"/>
    <w:rsid w:val="003C093A"/>
    <w:rsid w:val="003C1ECF"/>
    <w:rsid w:val="003C2FB5"/>
    <w:rsid w:val="003C329F"/>
    <w:rsid w:val="003C3A9E"/>
    <w:rsid w:val="003C4889"/>
    <w:rsid w:val="003C7E49"/>
    <w:rsid w:val="003D0A1A"/>
    <w:rsid w:val="003D1E34"/>
    <w:rsid w:val="003D225E"/>
    <w:rsid w:val="003D24C5"/>
    <w:rsid w:val="003D27D1"/>
    <w:rsid w:val="003D4594"/>
    <w:rsid w:val="003D4AC4"/>
    <w:rsid w:val="003D4E62"/>
    <w:rsid w:val="003D63B7"/>
    <w:rsid w:val="003D6701"/>
    <w:rsid w:val="003D74C5"/>
    <w:rsid w:val="003E152A"/>
    <w:rsid w:val="003E27A9"/>
    <w:rsid w:val="003E3C10"/>
    <w:rsid w:val="003E4374"/>
    <w:rsid w:val="003E468B"/>
    <w:rsid w:val="003E4E7F"/>
    <w:rsid w:val="003E62BD"/>
    <w:rsid w:val="003E65E4"/>
    <w:rsid w:val="003F044F"/>
    <w:rsid w:val="003F0C3A"/>
    <w:rsid w:val="003F1261"/>
    <w:rsid w:val="003F15F0"/>
    <w:rsid w:val="003F222A"/>
    <w:rsid w:val="003F287C"/>
    <w:rsid w:val="003F3228"/>
    <w:rsid w:val="003F46B4"/>
    <w:rsid w:val="003F59B9"/>
    <w:rsid w:val="003F5C8C"/>
    <w:rsid w:val="003F63CE"/>
    <w:rsid w:val="003F775A"/>
    <w:rsid w:val="003F79E0"/>
    <w:rsid w:val="00400E55"/>
    <w:rsid w:val="0040128E"/>
    <w:rsid w:val="00401897"/>
    <w:rsid w:val="00401DC1"/>
    <w:rsid w:val="0040216B"/>
    <w:rsid w:val="0040384F"/>
    <w:rsid w:val="00404150"/>
    <w:rsid w:val="00404B26"/>
    <w:rsid w:val="00405880"/>
    <w:rsid w:val="00405EC6"/>
    <w:rsid w:val="00410140"/>
    <w:rsid w:val="00410FA7"/>
    <w:rsid w:val="0041122D"/>
    <w:rsid w:val="00411295"/>
    <w:rsid w:val="00411676"/>
    <w:rsid w:val="00411EE7"/>
    <w:rsid w:val="004136F7"/>
    <w:rsid w:val="00413F64"/>
    <w:rsid w:val="00414257"/>
    <w:rsid w:val="0041550E"/>
    <w:rsid w:val="00416ADC"/>
    <w:rsid w:val="0041755C"/>
    <w:rsid w:val="00420400"/>
    <w:rsid w:val="0042245F"/>
    <w:rsid w:val="00424A40"/>
    <w:rsid w:val="004252EC"/>
    <w:rsid w:val="00425CB8"/>
    <w:rsid w:val="00426A59"/>
    <w:rsid w:val="0042718E"/>
    <w:rsid w:val="00430B50"/>
    <w:rsid w:val="00430D39"/>
    <w:rsid w:val="004341B2"/>
    <w:rsid w:val="00435896"/>
    <w:rsid w:val="00435A50"/>
    <w:rsid w:val="00437317"/>
    <w:rsid w:val="0043769C"/>
    <w:rsid w:val="00440AE3"/>
    <w:rsid w:val="00441963"/>
    <w:rsid w:val="00442C91"/>
    <w:rsid w:val="0044491D"/>
    <w:rsid w:val="00444D45"/>
    <w:rsid w:val="004465BD"/>
    <w:rsid w:val="004467D6"/>
    <w:rsid w:val="00446938"/>
    <w:rsid w:val="0045248C"/>
    <w:rsid w:val="004528FA"/>
    <w:rsid w:val="00452C64"/>
    <w:rsid w:val="004532F0"/>
    <w:rsid w:val="00454436"/>
    <w:rsid w:val="00455147"/>
    <w:rsid w:val="004558BB"/>
    <w:rsid w:val="004564B4"/>
    <w:rsid w:val="004569AA"/>
    <w:rsid w:val="00456D7A"/>
    <w:rsid w:val="00461A44"/>
    <w:rsid w:val="00462174"/>
    <w:rsid w:val="00462D26"/>
    <w:rsid w:val="0046385A"/>
    <w:rsid w:val="00464D24"/>
    <w:rsid w:val="00466ADA"/>
    <w:rsid w:val="00466CA6"/>
    <w:rsid w:val="00466EF9"/>
    <w:rsid w:val="004702BB"/>
    <w:rsid w:val="0047191F"/>
    <w:rsid w:val="0047354F"/>
    <w:rsid w:val="004739C3"/>
    <w:rsid w:val="0047494B"/>
    <w:rsid w:val="004755FC"/>
    <w:rsid w:val="00476245"/>
    <w:rsid w:val="00476F49"/>
    <w:rsid w:val="00477A9B"/>
    <w:rsid w:val="00481E1D"/>
    <w:rsid w:val="00482D6A"/>
    <w:rsid w:val="00483035"/>
    <w:rsid w:val="00483196"/>
    <w:rsid w:val="004853FC"/>
    <w:rsid w:val="00485940"/>
    <w:rsid w:val="00486A03"/>
    <w:rsid w:val="00486C95"/>
    <w:rsid w:val="0048770B"/>
    <w:rsid w:val="004877C2"/>
    <w:rsid w:val="004904B9"/>
    <w:rsid w:val="00490BB9"/>
    <w:rsid w:val="00494829"/>
    <w:rsid w:val="00495F61"/>
    <w:rsid w:val="00496662"/>
    <w:rsid w:val="004A08E6"/>
    <w:rsid w:val="004A19DE"/>
    <w:rsid w:val="004A2484"/>
    <w:rsid w:val="004A3D7B"/>
    <w:rsid w:val="004A586D"/>
    <w:rsid w:val="004A5A85"/>
    <w:rsid w:val="004A71D1"/>
    <w:rsid w:val="004A7C5B"/>
    <w:rsid w:val="004B0FE7"/>
    <w:rsid w:val="004B1845"/>
    <w:rsid w:val="004B1B2E"/>
    <w:rsid w:val="004B2348"/>
    <w:rsid w:val="004B2CAA"/>
    <w:rsid w:val="004B2E01"/>
    <w:rsid w:val="004B2E98"/>
    <w:rsid w:val="004B5640"/>
    <w:rsid w:val="004B58FF"/>
    <w:rsid w:val="004B5BE7"/>
    <w:rsid w:val="004B6084"/>
    <w:rsid w:val="004BCF29"/>
    <w:rsid w:val="004C036C"/>
    <w:rsid w:val="004C03D0"/>
    <w:rsid w:val="004C074B"/>
    <w:rsid w:val="004C1BD7"/>
    <w:rsid w:val="004C1EAF"/>
    <w:rsid w:val="004C239C"/>
    <w:rsid w:val="004C2EDE"/>
    <w:rsid w:val="004C31FE"/>
    <w:rsid w:val="004C5101"/>
    <w:rsid w:val="004C524C"/>
    <w:rsid w:val="004C5FFA"/>
    <w:rsid w:val="004C691D"/>
    <w:rsid w:val="004C6C07"/>
    <w:rsid w:val="004C7E15"/>
    <w:rsid w:val="004D20E7"/>
    <w:rsid w:val="004D22E6"/>
    <w:rsid w:val="004D2CD1"/>
    <w:rsid w:val="004D2FE8"/>
    <w:rsid w:val="004D3699"/>
    <w:rsid w:val="004D4389"/>
    <w:rsid w:val="004D44CA"/>
    <w:rsid w:val="004D4FF6"/>
    <w:rsid w:val="004D5ADD"/>
    <w:rsid w:val="004E1B22"/>
    <w:rsid w:val="004E23FB"/>
    <w:rsid w:val="004E664A"/>
    <w:rsid w:val="004E692D"/>
    <w:rsid w:val="004E7230"/>
    <w:rsid w:val="004E7D87"/>
    <w:rsid w:val="004E7E71"/>
    <w:rsid w:val="004F0EA7"/>
    <w:rsid w:val="004F2553"/>
    <w:rsid w:val="004F306A"/>
    <w:rsid w:val="004F572F"/>
    <w:rsid w:val="004F5C3B"/>
    <w:rsid w:val="004F5D1F"/>
    <w:rsid w:val="004F6160"/>
    <w:rsid w:val="00500267"/>
    <w:rsid w:val="00500A08"/>
    <w:rsid w:val="00500CD6"/>
    <w:rsid w:val="00500E0E"/>
    <w:rsid w:val="00501554"/>
    <w:rsid w:val="00501931"/>
    <w:rsid w:val="00502486"/>
    <w:rsid w:val="00502AFE"/>
    <w:rsid w:val="00502E64"/>
    <w:rsid w:val="00503AD7"/>
    <w:rsid w:val="005048D4"/>
    <w:rsid w:val="00504E0C"/>
    <w:rsid w:val="00504E13"/>
    <w:rsid w:val="00507B71"/>
    <w:rsid w:val="005109D4"/>
    <w:rsid w:val="00510E81"/>
    <w:rsid w:val="005110FF"/>
    <w:rsid w:val="00514CD7"/>
    <w:rsid w:val="005167EC"/>
    <w:rsid w:val="005170DA"/>
    <w:rsid w:val="00520D6A"/>
    <w:rsid w:val="00521F4E"/>
    <w:rsid w:val="00522DB6"/>
    <w:rsid w:val="00524900"/>
    <w:rsid w:val="005251F2"/>
    <w:rsid w:val="005264A7"/>
    <w:rsid w:val="0052792D"/>
    <w:rsid w:val="00527DC6"/>
    <w:rsid w:val="005319B2"/>
    <w:rsid w:val="0053209E"/>
    <w:rsid w:val="00532402"/>
    <w:rsid w:val="00532C74"/>
    <w:rsid w:val="00534627"/>
    <w:rsid w:val="00534E2E"/>
    <w:rsid w:val="0053528A"/>
    <w:rsid w:val="005354F6"/>
    <w:rsid w:val="00535641"/>
    <w:rsid w:val="00535A04"/>
    <w:rsid w:val="005376E6"/>
    <w:rsid w:val="0054064C"/>
    <w:rsid w:val="00540A85"/>
    <w:rsid w:val="005423A2"/>
    <w:rsid w:val="00542696"/>
    <w:rsid w:val="00542E78"/>
    <w:rsid w:val="005434B7"/>
    <w:rsid w:val="005440B3"/>
    <w:rsid w:val="00544552"/>
    <w:rsid w:val="00545130"/>
    <w:rsid w:val="005453D6"/>
    <w:rsid w:val="00546476"/>
    <w:rsid w:val="005517C0"/>
    <w:rsid w:val="005517CD"/>
    <w:rsid w:val="00551D43"/>
    <w:rsid w:val="0055286A"/>
    <w:rsid w:val="00553DD4"/>
    <w:rsid w:val="00555745"/>
    <w:rsid w:val="00555CD9"/>
    <w:rsid w:val="0055604C"/>
    <w:rsid w:val="005560B4"/>
    <w:rsid w:val="0055663A"/>
    <w:rsid w:val="00557827"/>
    <w:rsid w:val="00557D4F"/>
    <w:rsid w:val="00560426"/>
    <w:rsid w:val="0056122E"/>
    <w:rsid w:val="005615AD"/>
    <w:rsid w:val="00563B2B"/>
    <w:rsid w:val="00564753"/>
    <w:rsid w:val="0056484E"/>
    <w:rsid w:val="00565588"/>
    <w:rsid w:val="005659D6"/>
    <w:rsid w:val="00565B7E"/>
    <w:rsid w:val="00565C4A"/>
    <w:rsid w:val="005661CD"/>
    <w:rsid w:val="00567D8A"/>
    <w:rsid w:val="00572FED"/>
    <w:rsid w:val="005764CD"/>
    <w:rsid w:val="00577C4D"/>
    <w:rsid w:val="00580532"/>
    <w:rsid w:val="00580ADF"/>
    <w:rsid w:val="00581932"/>
    <w:rsid w:val="005826CC"/>
    <w:rsid w:val="005827A3"/>
    <w:rsid w:val="0058351F"/>
    <w:rsid w:val="005844C7"/>
    <w:rsid w:val="00585D05"/>
    <w:rsid w:val="00586817"/>
    <w:rsid w:val="00590541"/>
    <w:rsid w:val="00594D2F"/>
    <w:rsid w:val="005955FD"/>
    <w:rsid w:val="00595708"/>
    <w:rsid w:val="00595E5C"/>
    <w:rsid w:val="005963BB"/>
    <w:rsid w:val="00597CBA"/>
    <w:rsid w:val="005A3173"/>
    <w:rsid w:val="005A3223"/>
    <w:rsid w:val="005A3796"/>
    <w:rsid w:val="005A3DA3"/>
    <w:rsid w:val="005A510E"/>
    <w:rsid w:val="005A52C4"/>
    <w:rsid w:val="005A5735"/>
    <w:rsid w:val="005A58A0"/>
    <w:rsid w:val="005A63A1"/>
    <w:rsid w:val="005A717F"/>
    <w:rsid w:val="005B3EAA"/>
    <w:rsid w:val="005C038B"/>
    <w:rsid w:val="005C13D4"/>
    <w:rsid w:val="005C1749"/>
    <w:rsid w:val="005C44DB"/>
    <w:rsid w:val="005C44ED"/>
    <w:rsid w:val="005C46A9"/>
    <w:rsid w:val="005C4F73"/>
    <w:rsid w:val="005C5B4D"/>
    <w:rsid w:val="005C714F"/>
    <w:rsid w:val="005C77B0"/>
    <w:rsid w:val="005D03AB"/>
    <w:rsid w:val="005D1FFD"/>
    <w:rsid w:val="005D401D"/>
    <w:rsid w:val="005D4B22"/>
    <w:rsid w:val="005D5017"/>
    <w:rsid w:val="005D63FA"/>
    <w:rsid w:val="005D6D9C"/>
    <w:rsid w:val="005D73C7"/>
    <w:rsid w:val="005D7B2E"/>
    <w:rsid w:val="005E0C2D"/>
    <w:rsid w:val="005E0CD0"/>
    <w:rsid w:val="005E0D82"/>
    <w:rsid w:val="005E1333"/>
    <w:rsid w:val="005E3136"/>
    <w:rsid w:val="005E43C6"/>
    <w:rsid w:val="005E507D"/>
    <w:rsid w:val="005E5C21"/>
    <w:rsid w:val="005E5DC3"/>
    <w:rsid w:val="005F0AD0"/>
    <w:rsid w:val="005F4B32"/>
    <w:rsid w:val="005F5E4F"/>
    <w:rsid w:val="005F7320"/>
    <w:rsid w:val="00600D44"/>
    <w:rsid w:val="0060160B"/>
    <w:rsid w:val="00601A91"/>
    <w:rsid w:val="00602BA3"/>
    <w:rsid w:val="00603B25"/>
    <w:rsid w:val="00605B63"/>
    <w:rsid w:val="00605F9A"/>
    <w:rsid w:val="00606442"/>
    <w:rsid w:val="006065E5"/>
    <w:rsid w:val="00606EED"/>
    <w:rsid w:val="006102C5"/>
    <w:rsid w:val="006117EC"/>
    <w:rsid w:val="00611A5B"/>
    <w:rsid w:val="00612A95"/>
    <w:rsid w:val="00612E34"/>
    <w:rsid w:val="006135F5"/>
    <w:rsid w:val="00613999"/>
    <w:rsid w:val="00614159"/>
    <w:rsid w:val="006158A3"/>
    <w:rsid w:val="00616A50"/>
    <w:rsid w:val="00616C5F"/>
    <w:rsid w:val="00616DAC"/>
    <w:rsid w:val="006170E0"/>
    <w:rsid w:val="00617725"/>
    <w:rsid w:val="00617C00"/>
    <w:rsid w:val="00624918"/>
    <w:rsid w:val="006263BF"/>
    <w:rsid w:val="0062748A"/>
    <w:rsid w:val="006278EF"/>
    <w:rsid w:val="00630A2C"/>
    <w:rsid w:val="006318A4"/>
    <w:rsid w:val="00632655"/>
    <w:rsid w:val="00632F14"/>
    <w:rsid w:val="00633B66"/>
    <w:rsid w:val="0063434C"/>
    <w:rsid w:val="00634858"/>
    <w:rsid w:val="00634A26"/>
    <w:rsid w:val="00636735"/>
    <w:rsid w:val="0063682E"/>
    <w:rsid w:val="00636AA3"/>
    <w:rsid w:val="00640088"/>
    <w:rsid w:val="00640CE0"/>
    <w:rsid w:val="0064175D"/>
    <w:rsid w:val="00642672"/>
    <w:rsid w:val="006426B1"/>
    <w:rsid w:val="00642DA8"/>
    <w:rsid w:val="0064313E"/>
    <w:rsid w:val="006436CD"/>
    <w:rsid w:val="006459DE"/>
    <w:rsid w:val="00646707"/>
    <w:rsid w:val="00647483"/>
    <w:rsid w:val="006479AC"/>
    <w:rsid w:val="00647A92"/>
    <w:rsid w:val="006505EF"/>
    <w:rsid w:val="00651169"/>
    <w:rsid w:val="0065121A"/>
    <w:rsid w:val="00651965"/>
    <w:rsid w:val="006528C8"/>
    <w:rsid w:val="00653D69"/>
    <w:rsid w:val="00653D7F"/>
    <w:rsid w:val="00653F85"/>
    <w:rsid w:val="006552E6"/>
    <w:rsid w:val="00655794"/>
    <w:rsid w:val="00657C63"/>
    <w:rsid w:val="00661CBC"/>
    <w:rsid w:val="00661DA1"/>
    <w:rsid w:val="0066212F"/>
    <w:rsid w:val="00662B85"/>
    <w:rsid w:val="00663506"/>
    <w:rsid w:val="00666C49"/>
    <w:rsid w:val="006670BE"/>
    <w:rsid w:val="00667DA4"/>
    <w:rsid w:val="00670A76"/>
    <w:rsid w:val="006711AA"/>
    <w:rsid w:val="00672B57"/>
    <w:rsid w:val="00672C35"/>
    <w:rsid w:val="006733B4"/>
    <w:rsid w:val="006735EF"/>
    <w:rsid w:val="00673F1F"/>
    <w:rsid w:val="006748B7"/>
    <w:rsid w:val="00674940"/>
    <w:rsid w:val="00675622"/>
    <w:rsid w:val="00676A41"/>
    <w:rsid w:val="0067747D"/>
    <w:rsid w:val="00680121"/>
    <w:rsid w:val="006818D5"/>
    <w:rsid w:val="00681AA1"/>
    <w:rsid w:val="00681CA4"/>
    <w:rsid w:val="00686299"/>
    <w:rsid w:val="0069039D"/>
    <w:rsid w:val="006906DB"/>
    <w:rsid w:val="00691900"/>
    <w:rsid w:val="00691E6C"/>
    <w:rsid w:val="00692000"/>
    <w:rsid w:val="00692A6A"/>
    <w:rsid w:val="0069342D"/>
    <w:rsid w:val="00693500"/>
    <w:rsid w:val="00693D88"/>
    <w:rsid w:val="00693DFB"/>
    <w:rsid w:val="0069454C"/>
    <w:rsid w:val="0069501D"/>
    <w:rsid w:val="00696129"/>
    <w:rsid w:val="006967DB"/>
    <w:rsid w:val="00697CF2"/>
    <w:rsid w:val="00697ED7"/>
    <w:rsid w:val="006A09D2"/>
    <w:rsid w:val="006A09EF"/>
    <w:rsid w:val="006A12A5"/>
    <w:rsid w:val="006A1BAF"/>
    <w:rsid w:val="006A1CBC"/>
    <w:rsid w:val="006A2515"/>
    <w:rsid w:val="006A5E20"/>
    <w:rsid w:val="006A5E46"/>
    <w:rsid w:val="006A5F47"/>
    <w:rsid w:val="006A67B8"/>
    <w:rsid w:val="006A6A09"/>
    <w:rsid w:val="006B0D94"/>
    <w:rsid w:val="006B2BBC"/>
    <w:rsid w:val="006B333C"/>
    <w:rsid w:val="006B3515"/>
    <w:rsid w:val="006B4591"/>
    <w:rsid w:val="006B485D"/>
    <w:rsid w:val="006B5C19"/>
    <w:rsid w:val="006B72A6"/>
    <w:rsid w:val="006B7B43"/>
    <w:rsid w:val="006C0C45"/>
    <w:rsid w:val="006C1533"/>
    <w:rsid w:val="006C334C"/>
    <w:rsid w:val="006C36F0"/>
    <w:rsid w:val="006C3833"/>
    <w:rsid w:val="006C4BB8"/>
    <w:rsid w:val="006C5B33"/>
    <w:rsid w:val="006C5E9C"/>
    <w:rsid w:val="006C6157"/>
    <w:rsid w:val="006C685F"/>
    <w:rsid w:val="006C6C10"/>
    <w:rsid w:val="006C708E"/>
    <w:rsid w:val="006D0945"/>
    <w:rsid w:val="006D14E7"/>
    <w:rsid w:val="006D2CD9"/>
    <w:rsid w:val="006D4444"/>
    <w:rsid w:val="006D5F11"/>
    <w:rsid w:val="006D6493"/>
    <w:rsid w:val="006D6EC7"/>
    <w:rsid w:val="006D7C57"/>
    <w:rsid w:val="006E03E3"/>
    <w:rsid w:val="006E1BCD"/>
    <w:rsid w:val="006E2732"/>
    <w:rsid w:val="006E2FFD"/>
    <w:rsid w:val="006E3EB4"/>
    <w:rsid w:val="006E44E4"/>
    <w:rsid w:val="006E4735"/>
    <w:rsid w:val="006E54FD"/>
    <w:rsid w:val="006E59CD"/>
    <w:rsid w:val="006E5C1E"/>
    <w:rsid w:val="006F04D0"/>
    <w:rsid w:val="006F0A71"/>
    <w:rsid w:val="006F40C2"/>
    <w:rsid w:val="006F5125"/>
    <w:rsid w:val="006F733D"/>
    <w:rsid w:val="006F777E"/>
    <w:rsid w:val="007008E9"/>
    <w:rsid w:val="00700A9B"/>
    <w:rsid w:val="00701F48"/>
    <w:rsid w:val="00702B6F"/>
    <w:rsid w:val="00704069"/>
    <w:rsid w:val="0070442D"/>
    <w:rsid w:val="007045DF"/>
    <w:rsid w:val="00704AA7"/>
    <w:rsid w:val="00706A2F"/>
    <w:rsid w:val="00706EEE"/>
    <w:rsid w:val="0070718E"/>
    <w:rsid w:val="00707E52"/>
    <w:rsid w:val="00710259"/>
    <w:rsid w:val="0071031F"/>
    <w:rsid w:val="00710413"/>
    <w:rsid w:val="00710492"/>
    <w:rsid w:val="00712116"/>
    <w:rsid w:val="0071227C"/>
    <w:rsid w:val="00712BF9"/>
    <w:rsid w:val="0071340B"/>
    <w:rsid w:val="00713DC4"/>
    <w:rsid w:val="0071436D"/>
    <w:rsid w:val="00714F62"/>
    <w:rsid w:val="0071594E"/>
    <w:rsid w:val="00715BBB"/>
    <w:rsid w:val="007174BB"/>
    <w:rsid w:val="0071769A"/>
    <w:rsid w:val="007179B3"/>
    <w:rsid w:val="0072025D"/>
    <w:rsid w:val="00723328"/>
    <w:rsid w:val="00730036"/>
    <w:rsid w:val="0073024E"/>
    <w:rsid w:val="00731114"/>
    <w:rsid w:val="0073137C"/>
    <w:rsid w:val="00731E23"/>
    <w:rsid w:val="007340B9"/>
    <w:rsid w:val="007353D3"/>
    <w:rsid w:val="007361A7"/>
    <w:rsid w:val="007366F6"/>
    <w:rsid w:val="00737F4D"/>
    <w:rsid w:val="0074156B"/>
    <w:rsid w:val="00741619"/>
    <w:rsid w:val="007428C6"/>
    <w:rsid w:val="00742DAC"/>
    <w:rsid w:val="00743764"/>
    <w:rsid w:val="007458A9"/>
    <w:rsid w:val="00745D7A"/>
    <w:rsid w:val="00747092"/>
    <w:rsid w:val="0074727A"/>
    <w:rsid w:val="00751424"/>
    <w:rsid w:val="00751F37"/>
    <w:rsid w:val="007526E6"/>
    <w:rsid w:val="00754B7E"/>
    <w:rsid w:val="00754DF9"/>
    <w:rsid w:val="00754ED1"/>
    <w:rsid w:val="007550C0"/>
    <w:rsid w:val="007555E8"/>
    <w:rsid w:val="00755CC5"/>
    <w:rsid w:val="007607DC"/>
    <w:rsid w:val="00761B69"/>
    <w:rsid w:val="00761D23"/>
    <w:rsid w:val="0076420C"/>
    <w:rsid w:val="0076585C"/>
    <w:rsid w:val="007671F7"/>
    <w:rsid w:val="00770849"/>
    <w:rsid w:val="00771BE1"/>
    <w:rsid w:val="00771D07"/>
    <w:rsid w:val="00772FE4"/>
    <w:rsid w:val="00773BE3"/>
    <w:rsid w:val="00773E15"/>
    <w:rsid w:val="00773EE1"/>
    <w:rsid w:val="00774089"/>
    <w:rsid w:val="007743DD"/>
    <w:rsid w:val="00774465"/>
    <w:rsid w:val="007746F5"/>
    <w:rsid w:val="00774E2C"/>
    <w:rsid w:val="0077518D"/>
    <w:rsid w:val="007753C2"/>
    <w:rsid w:val="0077594E"/>
    <w:rsid w:val="00775A08"/>
    <w:rsid w:val="007763E2"/>
    <w:rsid w:val="007768CE"/>
    <w:rsid w:val="00781BF8"/>
    <w:rsid w:val="00782317"/>
    <w:rsid w:val="00782ED8"/>
    <w:rsid w:val="007838B8"/>
    <w:rsid w:val="0078425F"/>
    <w:rsid w:val="00784445"/>
    <w:rsid w:val="007853F3"/>
    <w:rsid w:val="00785BB0"/>
    <w:rsid w:val="00787861"/>
    <w:rsid w:val="00791134"/>
    <w:rsid w:val="007915BA"/>
    <w:rsid w:val="00791844"/>
    <w:rsid w:val="00792513"/>
    <w:rsid w:val="007979BD"/>
    <w:rsid w:val="00797B25"/>
    <w:rsid w:val="007A08C6"/>
    <w:rsid w:val="007A11F4"/>
    <w:rsid w:val="007A65AB"/>
    <w:rsid w:val="007A6A2F"/>
    <w:rsid w:val="007B010A"/>
    <w:rsid w:val="007B024E"/>
    <w:rsid w:val="007B1F68"/>
    <w:rsid w:val="007B2D47"/>
    <w:rsid w:val="007B3DDC"/>
    <w:rsid w:val="007B5B20"/>
    <w:rsid w:val="007B6210"/>
    <w:rsid w:val="007B631D"/>
    <w:rsid w:val="007B72A6"/>
    <w:rsid w:val="007C06D2"/>
    <w:rsid w:val="007C08E0"/>
    <w:rsid w:val="007C0F57"/>
    <w:rsid w:val="007C1CBA"/>
    <w:rsid w:val="007C2D27"/>
    <w:rsid w:val="007C329B"/>
    <w:rsid w:val="007C40B6"/>
    <w:rsid w:val="007C5E74"/>
    <w:rsid w:val="007C729F"/>
    <w:rsid w:val="007C7D03"/>
    <w:rsid w:val="007D02F1"/>
    <w:rsid w:val="007D16DE"/>
    <w:rsid w:val="007D3A04"/>
    <w:rsid w:val="007D3CF5"/>
    <w:rsid w:val="007D503D"/>
    <w:rsid w:val="007D59E7"/>
    <w:rsid w:val="007D5F2A"/>
    <w:rsid w:val="007D6E55"/>
    <w:rsid w:val="007E1D28"/>
    <w:rsid w:val="007E290C"/>
    <w:rsid w:val="007E4F5A"/>
    <w:rsid w:val="007E74F3"/>
    <w:rsid w:val="007E7B18"/>
    <w:rsid w:val="007E7ECF"/>
    <w:rsid w:val="007F0021"/>
    <w:rsid w:val="007F08D0"/>
    <w:rsid w:val="007F2641"/>
    <w:rsid w:val="007F27AC"/>
    <w:rsid w:val="007F4AAF"/>
    <w:rsid w:val="007F4D05"/>
    <w:rsid w:val="007F574F"/>
    <w:rsid w:val="007F6949"/>
    <w:rsid w:val="007F69E8"/>
    <w:rsid w:val="007F6B98"/>
    <w:rsid w:val="007F761B"/>
    <w:rsid w:val="007F7C36"/>
    <w:rsid w:val="008003C0"/>
    <w:rsid w:val="008036EE"/>
    <w:rsid w:val="00804D70"/>
    <w:rsid w:val="008055AF"/>
    <w:rsid w:val="008057CD"/>
    <w:rsid w:val="00805FD4"/>
    <w:rsid w:val="00806796"/>
    <w:rsid w:val="00806D43"/>
    <w:rsid w:val="0080777C"/>
    <w:rsid w:val="00810167"/>
    <w:rsid w:val="00811CC0"/>
    <w:rsid w:val="008124FE"/>
    <w:rsid w:val="00814017"/>
    <w:rsid w:val="008147AE"/>
    <w:rsid w:val="008151D6"/>
    <w:rsid w:val="008174DF"/>
    <w:rsid w:val="008205F1"/>
    <w:rsid w:val="008210A1"/>
    <w:rsid w:val="00821527"/>
    <w:rsid w:val="00822696"/>
    <w:rsid w:val="00823CE1"/>
    <w:rsid w:val="00824563"/>
    <w:rsid w:val="00824929"/>
    <w:rsid w:val="00825350"/>
    <w:rsid w:val="00825A6C"/>
    <w:rsid w:val="0082617E"/>
    <w:rsid w:val="008268BB"/>
    <w:rsid w:val="00826F6D"/>
    <w:rsid w:val="00827936"/>
    <w:rsid w:val="008306F3"/>
    <w:rsid w:val="00830E40"/>
    <w:rsid w:val="00831DE6"/>
    <w:rsid w:val="00831FAC"/>
    <w:rsid w:val="0083283B"/>
    <w:rsid w:val="00832D9A"/>
    <w:rsid w:val="00835C62"/>
    <w:rsid w:val="008368A1"/>
    <w:rsid w:val="00840001"/>
    <w:rsid w:val="0084047B"/>
    <w:rsid w:val="00840EF7"/>
    <w:rsid w:val="00844C0A"/>
    <w:rsid w:val="00846056"/>
    <w:rsid w:val="0084681F"/>
    <w:rsid w:val="0084788D"/>
    <w:rsid w:val="00847EC0"/>
    <w:rsid w:val="00852A5A"/>
    <w:rsid w:val="00852B14"/>
    <w:rsid w:val="008533B1"/>
    <w:rsid w:val="008538D2"/>
    <w:rsid w:val="00854356"/>
    <w:rsid w:val="00855FD6"/>
    <w:rsid w:val="00856DDD"/>
    <w:rsid w:val="00862B36"/>
    <w:rsid w:val="0086358E"/>
    <w:rsid w:val="00863E68"/>
    <w:rsid w:val="008647B5"/>
    <w:rsid w:val="0086518B"/>
    <w:rsid w:val="008655FC"/>
    <w:rsid w:val="0086585A"/>
    <w:rsid w:val="008675B8"/>
    <w:rsid w:val="0086765C"/>
    <w:rsid w:val="0086770F"/>
    <w:rsid w:val="00867D64"/>
    <w:rsid w:val="00871FA3"/>
    <w:rsid w:val="00872044"/>
    <w:rsid w:val="00872118"/>
    <w:rsid w:val="0087344F"/>
    <w:rsid w:val="00874F99"/>
    <w:rsid w:val="00875DCB"/>
    <w:rsid w:val="0087629B"/>
    <w:rsid w:val="0087682B"/>
    <w:rsid w:val="0087755A"/>
    <w:rsid w:val="00877A9D"/>
    <w:rsid w:val="00877B72"/>
    <w:rsid w:val="00877D01"/>
    <w:rsid w:val="00882085"/>
    <w:rsid w:val="00883188"/>
    <w:rsid w:val="008832A7"/>
    <w:rsid w:val="008833B8"/>
    <w:rsid w:val="008841C1"/>
    <w:rsid w:val="00884A0C"/>
    <w:rsid w:val="008860A2"/>
    <w:rsid w:val="00886ACA"/>
    <w:rsid w:val="008870C3"/>
    <w:rsid w:val="0088765E"/>
    <w:rsid w:val="0088792C"/>
    <w:rsid w:val="00887BBC"/>
    <w:rsid w:val="00887DEA"/>
    <w:rsid w:val="0089031E"/>
    <w:rsid w:val="00890983"/>
    <w:rsid w:val="0089460B"/>
    <w:rsid w:val="0089484E"/>
    <w:rsid w:val="00897A69"/>
    <w:rsid w:val="00897D58"/>
    <w:rsid w:val="00897F22"/>
    <w:rsid w:val="008A0B39"/>
    <w:rsid w:val="008A17A3"/>
    <w:rsid w:val="008A1956"/>
    <w:rsid w:val="008A1E85"/>
    <w:rsid w:val="008A2419"/>
    <w:rsid w:val="008A255B"/>
    <w:rsid w:val="008A2D57"/>
    <w:rsid w:val="008A360D"/>
    <w:rsid w:val="008A364E"/>
    <w:rsid w:val="008A4937"/>
    <w:rsid w:val="008A50D0"/>
    <w:rsid w:val="008A50F1"/>
    <w:rsid w:val="008A59D9"/>
    <w:rsid w:val="008A5F87"/>
    <w:rsid w:val="008A643E"/>
    <w:rsid w:val="008A644E"/>
    <w:rsid w:val="008A6819"/>
    <w:rsid w:val="008B0EC9"/>
    <w:rsid w:val="008B20B1"/>
    <w:rsid w:val="008B2644"/>
    <w:rsid w:val="008B2EC0"/>
    <w:rsid w:val="008B4166"/>
    <w:rsid w:val="008B4326"/>
    <w:rsid w:val="008B4A3A"/>
    <w:rsid w:val="008B5DBB"/>
    <w:rsid w:val="008B6DCF"/>
    <w:rsid w:val="008B7162"/>
    <w:rsid w:val="008B7227"/>
    <w:rsid w:val="008B7501"/>
    <w:rsid w:val="008B7AD1"/>
    <w:rsid w:val="008C2075"/>
    <w:rsid w:val="008C3966"/>
    <w:rsid w:val="008D0945"/>
    <w:rsid w:val="008D1409"/>
    <w:rsid w:val="008D15CC"/>
    <w:rsid w:val="008D1729"/>
    <w:rsid w:val="008D1911"/>
    <w:rsid w:val="008D1B5C"/>
    <w:rsid w:val="008D2066"/>
    <w:rsid w:val="008D2347"/>
    <w:rsid w:val="008D3984"/>
    <w:rsid w:val="008D3C82"/>
    <w:rsid w:val="008D447E"/>
    <w:rsid w:val="008D4EF1"/>
    <w:rsid w:val="008D59E5"/>
    <w:rsid w:val="008D6078"/>
    <w:rsid w:val="008D64DC"/>
    <w:rsid w:val="008D6ACF"/>
    <w:rsid w:val="008D7A41"/>
    <w:rsid w:val="008E0570"/>
    <w:rsid w:val="008E1AA5"/>
    <w:rsid w:val="008E1FDA"/>
    <w:rsid w:val="008E2C72"/>
    <w:rsid w:val="008E3680"/>
    <w:rsid w:val="008E45EC"/>
    <w:rsid w:val="008E5870"/>
    <w:rsid w:val="008E5C14"/>
    <w:rsid w:val="008E5C9C"/>
    <w:rsid w:val="008E65B3"/>
    <w:rsid w:val="008E77E4"/>
    <w:rsid w:val="008E7913"/>
    <w:rsid w:val="008F0213"/>
    <w:rsid w:val="008F07ED"/>
    <w:rsid w:val="008F11F8"/>
    <w:rsid w:val="008F1434"/>
    <w:rsid w:val="008F26BB"/>
    <w:rsid w:val="008F2829"/>
    <w:rsid w:val="008F2BB9"/>
    <w:rsid w:val="008F2FF1"/>
    <w:rsid w:val="008F3D6A"/>
    <w:rsid w:val="008F54C3"/>
    <w:rsid w:val="008F67D6"/>
    <w:rsid w:val="008F6D0F"/>
    <w:rsid w:val="008F7355"/>
    <w:rsid w:val="00901DC4"/>
    <w:rsid w:val="009023DC"/>
    <w:rsid w:val="009027C5"/>
    <w:rsid w:val="009028E2"/>
    <w:rsid w:val="009035A7"/>
    <w:rsid w:val="00904413"/>
    <w:rsid w:val="00905BB7"/>
    <w:rsid w:val="00905DB7"/>
    <w:rsid w:val="009067B7"/>
    <w:rsid w:val="0090775A"/>
    <w:rsid w:val="009077B3"/>
    <w:rsid w:val="00907DFD"/>
    <w:rsid w:val="00910CB6"/>
    <w:rsid w:val="00916860"/>
    <w:rsid w:val="00917D69"/>
    <w:rsid w:val="00920626"/>
    <w:rsid w:val="00920B6D"/>
    <w:rsid w:val="009255AD"/>
    <w:rsid w:val="00925B6E"/>
    <w:rsid w:val="00926560"/>
    <w:rsid w:val="00926B15"/>
    <w:rsid w:val="00930291"/>
    <w:rsid w:val="00930937"/>
    <w:rsid w:val="00931021"/>
    <w:rsid w:val="00931238"/>
    <w:rsid w:val="009324A6"/>
    <w:rsid w:val="00933D14"/>
    <w:rsid w:val="00933E6C"/>
    <w:rsid w:val="00935323"/>
    <w:rsid w:val="00935A6E"/>
    <w:rsid w:val="00937254"/>
    <w:rsid w:val="00937471"/>
    <w:rsid w:val="00937958"/>
    <w:rsid w:val="009406E5"/>
    <w:rsid w:val="00941602"/>
    <w:rsid w:val="00941A97"/>
    <w:rsid w:val="00942160"/>
    <w:rsid w:val="009462BB"/>
    <w:rsid w:val="00946921"/>
    <w:rsid w:val="00947357"/>
    <w:rsid w:val="00951351"/>
    <w:rsid w:val="0095146F"/>
    <w:rsid w:val="00954B13"/>
    <w:rsid w:val="009574C4"/>
    <w:rsid w:val="00957944"/>
    <w:rsid w:val="009602C5"/>
    <w:rsid w:val="009620A4"/>
    <w:rsid w:val="00962223"/>
    <w:rsid w:val="0096252B"/>
    <w:rsid w:val="009632FA"/>
    <w:rsid w:val="00963962"/>
    <w:rsid w:val="00966063"/>
    <w:rsid w:val="00966713"/>
    <w:rsid w:val="00966D0D"/>
    <w:rsid w:val="00967732"/>
    <w:rsid w:val="0096783C"/>
    <w:rsid w:val="009722B3"/>
    <w:rsid w:val="00972F98"/>
    <w:rsid w:val="00973E24"/>
    <w:rsid w:val="00973EA0"/>
    <w:rsid w:val="00974C21"/>
    <w:rsid w:val="00974FA7"/>
    <w:rsid w:val="00975948"/>
    <w:rsid w:val="00976F60"/>
    <w:rsid w:val="00977BF3"/>
    <w:rsid w:val="00977E07"/>
    <w:rsid w:val="009803E4"/>
    <w:rsid w:val="00980B0E"/>
    <w:rsid w:val="009811F7"/>
    <w:rsid w:val="00981BED"/>
    <w:rsid w:val="009827D6"/>
    <w:rsid w:val="009836A3"/>
    <w:rsid w:val="009838D1"/>
    <w:rsid w:val="00983917"/>
    <w:rsid w:val="009855A8"/>
    <w:rsid w:val="00985D1A"/>
    <w:rsid w:val="00990297"/>
    <w:rsid w:val="009913F4"/>
    <w:rsid w:val="00991782"/>
    <w:rsid w:val="00991D8C"/>
    <w:rsid w:val="009937F7"/>
    <w:rsid w:val="0099465B"/>
    <w:rsid w:val="00994DF4"/>
    <w:rsid w:val="009951A1"/>
    <w:rsid w:val="00996551"/>
    <w:rsid w:val="009979B6"/>
    <w:rsid w:val="00997A44"/>
    <w:rsid w:val="009A0481"/>
    <w:rsid w:val="009A0CDD"/>
    <w:rsid w:val="009A1C17"/>
    <w:rsid w:val="009A3168"/>
    <w:rsid w:val="009A3563"/>
    <w:rsid w:val="009A3673"/>
    <w:rsid w:val="009A532B"/>
    <w:rsid w:val="009A5D04"/>
    <w:rsid w:val="009A61CA"/>
    <w:rsid w:val="009B0686"/>
    <w:rsid w:val="009B0C64"/>
    <w:rsid w:val="009B0F67"/>
    <w:rsid w:val="009B11A5"/>
    <w:rsid w:val="009B2AD4"/>
    <w:rsid w:val="009B3B8B"/>
    <w:rsid w:val="009B3F8C"/>
    <w:rsid w:val="009B409F"/>
    <w:rsid w:val="009B4E06"/>
    <w:rsid w:val="009B7082"/>
    <w:rsid w:val="009B750F"/>
    <w:rsid w:val="009C02F3"/>
    <w:rsid w:val="009C11A9"/>
    <w:rsid w:val="009C345C"/>
    <w:rsid w:val="009C3EE0"/>
    <w:rsid w:val="009C477C"/>
    <w:rsid w:val="009C5B72"/>
    <w:rsid w:val="009C66C6"/>
    <w:rsid w:val="009C703C"/>
    <w:rsid w:val="009C74B2"/>
    <w:rsid w:val="009D06EE"/>
    <w:rsid w:val="009D0E91"/>
    <w:rsid w:val="009D206E"/>
    <w:rsid w:val="009D3CAA"/>
    <w:rsid w:val="009D55E2"/>
    <w:rsid w:val="009D6532"/>
    <w:rsid w:val="009D71FD"/>
    <w:rsid w:val="009E1B12"/>
    <w:rsid w:val="009E2588"/>
    <w:rsid w:val="009E2E8E"/>
    <w:rsid w:val="009E40E1"/>
    <w:rsid w:val="009E4750"/>
    <w:rsid w:val="009E5E22"/>
    <w:rsid w:val="009E68C7"/>
    <w:rsid w:val="009E6E8C"/>
    <w:rsid w:val="009F060F"/>
    <w:rsid w:val="009F085E"/>
    <w:rsid w:val="009F0EFA"/>
    <w:rsid w:val="009F2933"/>
    <w:rsid w:val="009F35F5"/>
    <w:rsid w:val="009F45E4"/>
    <w:rsid w:val="009F4E46"/>
    <w:rsid w:val="009F5B65"/>
    <w:rsid w:val="009F5F2E"/>
    <w:rsid w:val="009F6F97"/>
    <w:rsid w:val="00A01432"/>
    <w:rsid w:val="00A03178"/>
    <w:rsid w:val="00A047AE"/>
    <w:rsid w:val="00A053B5"/>
    <w:rsid w:val="00A05D07"/>
    <w:rsid w:val="00A06225"/>
    <w:rsid w:val="00A0658C"/>
    <w:rsid w:val="00A06C7D"/>
    <w:rsid w:val="00A07C4C"/>
    <w:rsid w:val="00A07F31"/>
    <w:rsid w:val="00A110D1"/>
    <w:rsid w:val="00A11D81"/>
    <w:rsid w:val="00A12587"/>
    <w:rsid w:val="00A1282E"/>
    <w:rsid w:val="00A128E6"/>
    <w:rsid w:val="00A1369B"/>
    <w:rsid w:val="00A144D3"/>
    <w:rsid w:val="00A15CD0"/>
    <w:rsid w:val="00A16579"/>
    <w:rsid w:val="00A17D37"/>
    <w:rsid w:val="00A20DD7"/>
    <w:rsid w:val="00A21A18"/>
    <w:rsid w:val="00A21ED4"/>
    <w:rsid w:val="00A22AC3"/>
    <w:rsid w:val="00A23388"/>
    <w:rsid w:val="00A23DFA"/>
    <w:rsid w:val="00A23F3F"/>
    <w:rsid w:val="00A24067"/>
    <w:rsid w:val="00A24A4B"/>
    <w:rsid w:val="00A26D1A"/>
    <w:rsid w:val="00A2744D"/>
    <w:rsid w:val="00A30D16"/>
    <w:rsid w:val="00A31040"/>
    <w:rsid w:val="00A3366E"/>
    <w:rsid w:val="00A33984"/>
    <w:rsid w:val="00A34631"/>
    <w:rsid w:val="00A34E55"/>
    <w:rsid w:val="00A34E6C"/>
    <w:rsid w:val="00A34F9B"/>
    <w:rsid w:val="00A34FD0"/>
    <w:rsid w:val="00A362A3"/>
    <w:rsid w:val="00A36398"/>
    <w:rsid w:val="00A37C8D"/>
    <w:rsid w:val="00A4020E"/>
    <w:rsid w:val="00A40797"/>
    <w:rsid w:val="00A408F3"/>
    <w:rsid w:val="00A40AF2"/>
    <w:rsid w:val="00A40FB5"/>
    <w:rsid w:val="00A42826"/>
    <w:rsid w:val="00A429B3"/>
    <w:rsid w:val="00A43F42"/>
    <w:rsid w:val="00A44EC1"/>
    <w:rsid w:val="00A45D6A"/>
    <w:rsid w:val="00A45FD1"/>
    <w:rsid w:val="00A46ED4"/>
    <w:rsid w:val="00A501AE"/>
    <w:rsid w:val="00A5078D"/>
    <w:rsid w:val="00A510E4"/>
    <w:rsid w:val="00A5273B"/>
    <w:rsid w:val="00A53A9D"/>
    <w:rsid w:val="00A54E3B"/>
    <w:rsid w:val="00A55B64"/>
    <w:rsid w:val="00A55F38"/>
    <w:rsid w:val="00A55FEE"/>
    <w:rsid w:val="00A57422"/>
    <w:rsid w:val="00A60861"/>
    <w:rsid w:val="00A61062"/>
    <w:rsid w:val="00A62C1A"/>
    <w:rsid w:val="00A6426D"/>
    <w:rsid w:val="00A65650"/>
    <w:rsid w:val="00A665C1"/>
    <w:rsid w:val="00A673A4"/>
    <w:rsid w:val="00A7001A"/>
    <w:rsid w:val="00A70332"/>
    <w:rsid w:val="00A70622"/>
    <w:rsid w:val="00A70977"/>
    <w:rsid w:val="00A70D58"/>
    <w:rsid w:val="00A712B8"/>
    <w:rsid w:val="00A744F9"/>
    <w:rsid w:val="00A76AB0"/>
    <w:rsid w:val="00A77613"/>
    <w:rsid w:val="00A77B87"/>
    <w:rsid w:val="00A806A1"/>
    <w:rsid w:val="00A808C3"/>
    <w:rsid w:val="00A81851"/>
    <w:rsid w:val="00A8390C"/>
    <w:rsid w:val="00A84659"/>
    <w:rsid w:val="00A84822"/>
    <w:rsid w:val="00A85046"/>
    <w:rsid w:val="00A86AE0"/>
    <w:rsid w:val="00A9037F"/>
    <w:rsid w:val="00A90D88"/>
    <w:rsid w:val="00A91362"/>
    <w:rsid w:val="00A9151C"/>
    <w:rsid w:val="00A9174F"/>
    <w:rsid w:val="00A919C6"/>
    <w:rsid w:val="00A928BD"/>
    <w:rsid w:val="00A94A52"/>
    <w:rsid w:val="00A97DE9"/>
    <w:rsid w:val="00AA0C7E"/>
    <w:rsid w:val="00AA12CD"/>
    <w:rsid w:val="00AA397B"/>
    <w:rsid w:val="00AA4D1C"/>
    <w:rsid w:val="00AA52FD"/>
    <w:rsid w:val="00AA7006"/>
    <w:rsid w:val="00AA76AE"/>
    <w:rsid w:val="00AB10E2"/>
    <w:rsid w:val="00AB1BF0"/>
    <w:rsid w:val="00AB2135"/>
    <w:rsid w:val="00AB241D"/>
    <w:rsid w:val="00AB449E"/>
    <w:rsid w:val="00AB5856"/>
    <w:rsid w:val="00AB6092"/>
    <w:rsid w:val="00AB6205"/>
    <w:rsid w:val="00AC193C"/>
    <w:rsid w:val="00AC1BBC"/>
    <w:rsid w:val="00AC1D80"/>
    <w:rsid w:val="00AC288D"/>
    <w:rsid w:val="00AC30C1"/>
    <w:rsid w:val="00AC31E8"/>
    <w:rsid w:val="00AC4DE5"/>
    <w:rsid w:val="00AC5206"/>
    <w:rsid w:val="00AC7476"/>
    <w:rsid w:val="00AD00C4"/>
    <w:rsid w:val="00AD3106"/>
    <w:rsid w:val="00AD4322"/>
    <w:rsid w:val="00AD6697"/>
    <w:rsid w:val="00AE06B4"/>
    <w:rsid w:val="00AE076B"/>
    <w:rsid w:val="00AE11A5"/>
    <w:rsid w:val="00AE13E2"/>
    <w:rsid w:val="00AE22D3"/>
    <w:rsid w:val="00AE39B7"/>
    <w:rsid w:val="00AE4CA6"/>
    <w:rsid w:val="00AE5A49"/>
    <w:rsid w:val="00AE5E50"/>
    <w:rsid w:val="00AE66AF"/>
    <w:rsid w:val="00AE73A2"/>
    <w:rsid w:val="00AE7574"/>
    <w:rsid w:val="00AF0FDA"/>
    <w:rsid w:val="00AF11D8"/>
    <w:rsid w:val="00AF4DA4"/>
    <w:rsid w:val="00AF5867"/>
    <w:rsid w:val="00AF62DF"/>
    <w:rsid w:val="00AF6692"/>
    <w:rsid w:val="00AF68CC"/>
    <w:rsid w:val="00AF6C96"/>
    <w:rsid w:val="00AF70D7"/>
    <w:rsid w:val="00B01D34"/>
    <w:rsid w:val="00B01FF4"/>
    <w:rsid w:val="00B0326D"/>
    <w:rsid w:val="00B044C4"/>
    <w:rsid w:val="00B06478"/>
    <w:rsid w:val="00B07533"/>
    <w:rsid w:val="00B07CFB"/>
    <w:rsid w:val="00B07F62"/>
    <w:rsid w:val="00B1059E"/>
    <w:rsid w:val="00B14299"/>
    <w:rsid w:val="00B14A36"/>
    <w:rsid w:val="00B14B3B"/>
    <w:rsid w:val="00B15696"/>
    <w:rsid w:val="00B16273"/>
    <w:rsid w:val="00B170A5"/>
    <w:rsid w:val="00B17692"/>
    <w:rsid w:val="00B176C8"/>
    <w:rsid w:val="00B17EE5"/>
    <w:rsid w:val="00B205AA"/>
    <w:rsid w:val="00B22E84"/>
    <w:rsid w:val="00B233AD"/>
    <w:rsid w:val="00B23E25"/>
    <w:rsid w:val="00B2414E"/>
    <w:rsid w:val="00B2445C"/>
    <w:rsid w:val="00B25F75"/>
    <w:rsid w:val="00B26B3F"/>
    <w:rsid w:val="00B2778F"/>
    <w:rsid w:val="00B3045B"/>
    <w:rsid w:val="00B322F6"/>
    <w:rsid w:val="00B327E2"/>
    <w:rsid w:val="00B33635"/>
    <w:rsid w:val="00B35648"/>
    <w:rsid w:val="00B367AF"/>
    <w:rsid w:val="00B37890"/>
    <w:rsid w:val="00B37FC7"/>
    <w:rsid w:val="00B42AF4"/>
    <w:rsid w:val="00B43E90"/>
    <w:rsid w:val="00B448B7"/>
    <w:rsid w:val="00B467DC"/>
    <w:rsid w:val="00B46D0F"/>
    <w:rsid w:val="00B470DD"/>
    <w:rsid w:val="00B47D53"/>
    <w:rsid w:val="00B50FD0"/>
    <w:rsid w:val="00B5137D"/>
    <w:rsid w:val="00B5392A"/>
    <w:rsid w:val="00B53F4C"/>
    <w:rsid w:val="00B54AA3"/>
    <w:rsid w:val="00B55BEF"/>
    <w:rsid w:val="00B56118"/>
    <w:rsid w:val="00B563A6"/>
    <w:rsid w:val="00B566E1"/>
    <w:rsid w:val="00B5682A"/>
    <w:rsid w:val="00B56CE1"/>
    <w:rsid w:val="00B57327"/>
    <w:rsid w:val="00B5737B"/>
    <w:rsid w:val="00B57F25"/>
    <w:rsid w:val="00B60AB6"/>
    <w:rsid w:val="00B61574"/>
    <w:rsid w:val="00B63356"/>
    <w:rsid w:val="00B633F7"/>
    <w:rsid w:val="00B633FE"/>
    <w:rsid w:val="00B6392C"/>
    <w:rsid w:val="00B6545C"/>
    <w:rsid w:val="00B6773F"/>
    <w:rsid w:val="00B67F0F"/>
    <w:rsid w:val="00B70EB3"/>
    <w:rsid w:val="00B7131F"/>
    <w:rsid w:val="00B71352"/>
    <w:rsid w:val="00B7286D"/>
    <w:rsid w:val="00B72906"/>
    <w:rsid w:val="00B72BD0"/>
    <w:rsid w:val="00B7525E"/>
    <w:rsid w:val="00B760FB"/>
    <w:rsid w:val="00B767AB"/>
    <w:rsid w:val="00B801BA"/>
    <w:rsid w:val="00B8075E"/>
    <w:rsid w:val="00B812D6"/>
    <w:rsid w:val="00B82019"/>
    <w:rsid w:val="00B82FEF"/>
    <w:rsid w:val="00B84D5C"/>
    <w:rsid w:val="00B8513B"/>
    <w:rsid w:val="00B85AF6"/>
    <w:rsid w:val="00B86D64"/>
    <w:rsid w:val="00B875A5"/>
    <w:rsid w:val="00B87834"/>
    <w:rsid w:val="00B92131"/>
    <w:rsid w:val="00B92187"/>
    <w:rsid w:val="00B942A5"/>
    <w:rsid w:val="00B94DB3"/>
    <w:rsid w:val="00B94EB7"/>
    <w:rsid w:val="00B9500B"/>
    <w:rsid w:val="00B956ED"/>
    <w:rsid w:val="00BA087E"/>
    <w:rsid w:val="00BA2B92"/>
    <w:rsid w:val="00BA2DA8"/>
    <w:rsid w:val="00BA347C"/>
    <w:rsid w:val="00BA34A1"/>
    <w:rsid w:val="00BA3552"/>
    <w:rsid w:val="00BA492C"/>
    <w:rsid w:val="00BA69FC"/>
    <w:rsid w:val="00BA7DCC"/>
    <w:rsid w:val="00BB0102"/>
    <w:rsid w:val="00BB12D5"/>
    <w:rsid w:val="00BB184F"/>
    <w:rsid w:val="00BB3469"/>
    <w:rsid w:val="00BB393D"/>
    <w:rsid w:val="00BB490D"/>
    <w:rsid w:val="00BB4998"/>
    <w:rsid w:val="00BB5C49"/>
    <w:rsid w:val="00BB6240"/>
    <w:rsid w:val="00BB6285"/>
    <w:rsid w:val="00BB686E"/>
    <w:rsid w:val="00BB69F5"/>
    <w:rsid w:val="00BB6AB2"/>
    <w:rsid w:val="00BB7EC3"/>
    <w:rsid w:val="00BC03BD"/>
    <w:rsid w:val="00BC2A10"/>
    <w:rsid w:val="00BC470E"/>
    <w:rsid w:val="00BC4B9A"/>
    <w:rsid w:val="00BC6C42"/>
    <w:rsid w:val="00BD02C3"/>
    <w:rsid w:val="00BD1186"/>
    <w:rsid w:val="00BD3E47"/>
    <w:rsid w:val="00BD6001"/>
    <w:rsid w:val="00BD7483"/>
    <w:rsid w:val="00BD767E"/>
    <w:rsid w:val="00BD784C"/>
    <w:rsid w:val="00BE020A"/>
    <w:rsid w:val="00BE13DF"/>
    <w:rsid w:val="00BE1BAD"/>
    <w:rsid w:val="00BE25D7"/>
    <w:rsid w:val="00BE32F5"/>
    <w:rsid w:val="00BE48D1"/>
    <w:rsid w:val="00BE4B7D"/>
    <w:rsid w:val="00BE7707"/>
    <w:rsid w:val="00BF092C"/>
    <w:rsid w:val="00BF27A0"/>
    <w:rsid w:val="00BF3597"/>
    <w:rsid w:val="00BF3EC6"/>
    <w:rsid w:val="00BF4CB6"/>
    <w:rsid w:val="00BF5E95"/>
    <w:rsid w:val="00BF6D67"/>
    <w:rsid w:val="00C00C19"/>
    <w:rsid w:val="00C00DA7"/>
    <w:rsid w:val="00C02068"/>
    <w:rsid w:val="00C02A03"/>
    <w:rsid w:val="00C0346C"/>
    <w:rsid w:val="00C0395E"/>
    <w:rsid w:val="00C03B4D"/>
    <w:rsid w:val="00C04CDE"/>
    <w:rsid w:val="00C062D9"/>
    <w:rsid w:val="00C068A6"/>
    <w:rsid w:val="00C06D80"/>
    <w:rsid w:val="00C12768"/>
    <w:rsid w:val="00C12913"/>
    <w:rsid w:val="00C12ADB"/>
    <w:rsid w:val="00C12D70"/>
    <w:rsid w:val="00C13970"/>
    <w:rsid w:val="00C13DDC"/>
    <w:rsid w:val="00C16724"/>
    <w:rsid w:val="00C17C5F"/>
    <w:rsid w:val="00C17E7D"/>
    <w:rsid w:val="00C21975"/>
    <w:rsid w:val="00C21B09"/>
    <w:rsid w:val="00C21CCC"/>
    <w:rsid w:val="00C23D50"/>
    <w:rsid w:val="00C23E65"/>
    <w:rsid w:val="00C252CA"/>
    <w:rsid w:val="00C2673A"/>
    <w:rsid w:val="00C27B58"/>
    <w:rsid w:val="00C32B5C"/>
    <w:rsid w:val="00C33186"/>
    <w:rsid w:val="00C33A92"/>
    <w:rsid w:val="00C34897"/>
    <w:rsid w:val="00C352D0"/>
    <w:rsid w:val="00C35996"/>
    <w:rsid w:val="00C4374F"/>
    <w:rsid w:val="00C439A1"/>
    <w:rsid w:val="00C43C2C"/>
    <w:rsid w:val="00C44464"/>
    <w:rsid w:val="00C44F11"/>
    <w:rsid w:val="00C464C4"/>
    <w:rsid w:val="00C472DE"/>
    <w:rsid w:val="00C4747E"/>
    <w:rsid w:val="00C511E5"/>
    <w:rsid w:val="00C511FE"/>
    <w:rsid w:val="00C5151E"/>
    <w:rsid w:val="00C52D49"/>
    <w:rsid w:val="00C5342C"/>
    <w:rsid w:val="00C5345F"/>
    <w:rsid w:val="00C53B2B"/>
    <w:rsid w:val="00C5610E"/>
    <w:rsid w:val="00C57465"/>
    <w:rsid w:val="00C60272"/>
    <w:rsid w:val="00C603D4"/>
    <w:rsid w:val="00C6256A"/>
    <w:rsid w:val="00C6273B"/>
    <w:rsid w:val="00C6283D"/>
    <w:rsid w:val="00C62C1E"/>
    <w:rsid w:val="00C63A60"/>
    <w:rsid w:val="00C64EBC"/>
    <w:rsid w:val="00C664D2"/>
    <w:rsid w:val="00C672F4"/>
    <w:rsid w:val="00C710E2"/>
    <w:rsid w:val="00C71C3F"/>
    <w:rsid w:val="00C7409E"/>
    <w:rsid w:val="00C74A74"/>
    <w:rsid w:val="00C74D6D"/>
    <w:rsid w:val="00C76657"/>
    <w:rsid w:val="00C76E76"/>
    <w:rsid w:val="00C776EB"/>
    <w:rsid w:val="00C77891"/>
    <w:rsid w:val="00C77C80"/>
    <w:rsid w:val="00C80C22"/>
    <w:rsid w:val="00C829A9"/>
    <w:rsid w:val="00C87945"/>
    <w:rsid w:val="00C87B80"/>
    <w:rsid w:val="00C87FC6"/>
    <w:rsid w:val="00C91449"/>
    <w:rsid w:val="00C916FF"/>
    <w:rsid w:val="00C92D10"/>
    <w:rsid w:val="00C93CC8"/>
    <w:rsid w:val="00C9424F"/>
    <w:rsid w:val="00C955C5"/>
    <w:rsid w:val="00C955F7"/>
    <w:rsid w:val="00C96A58"/>
    <w:rsid w:val="00CA0408"/>
    <w:rsid w:val="00CA2580"/>
    <w:rsid w:val="00CA47FC"/>
    <w:rsid w:val="00CA48D9"/>
    <w:rsid w:val="00CA54D7"/>
    <w:rsid w:val="00CA73B5"/>
    <w:rsid w:val="00CA7EB3"/>
    <w:rsid w:val="00CB1193"/>
    <w:rsid w:val="00CB2F4B"/>
    <w:rsid w:val="00CB3A0C"/>
    <w:rsid w:val="00CB4767"/>
    <w:rsid w:val="00CB493D"/>
    <w:rsid w:val="00CB5E81"/>
    <w:rsid w:val="00CB67CB"/>
    <w:rsid w:val="00CB6F4F"/>
    <w:rsid w:val="00CC064E"/>
    <w:rsid w:val="00CC0681"/>
    <w:rsid w:val="00CC1DD8"/>
    <w:rsid w:val="00CC2FE8"/>
    <w:rsid w:val="00CC3B97"/>
    <w:rsid w:val="00CC3CA3"/>
    <w:rsid w:val="00CC595A"/>
    <w:rsid w:val="00CC79EA"/>
    <w:rsid w:val="00CD06DB"/>
    <w:rsid w:val="00CD0AC7"/>
    <w:rsid w:val="00CD2146"/>
    <w:rsid w:val="00CD255C"/>
    <w:rsid w:val="00CD34C8"/>
    <w:rsid w:val="00CD4051"/>
    <w:rsid w:val="00CD5556"/>
    <w:rsid w:val="00CD68A1"/>
    <w:rsid w:val="00CD70A9"/>
    <w:rsid w:val="00CD7C0B"/>
    <w:rsid w:val="00CE10C4"/>
    <w:rsid w:val="00CE167C"/>
    <w:rsid w:val="00CE27B5"/>
    <w:rsid w:val="00CE560B"/>
    <w:rsid w:val="00CE5965"/>
    <w:rsid w:val="00CE6DAF"/>
    <w:rsid w:val="00CE7135"/>
    <w:rsid w:val="00CF066B"/>
    <w:rsid w:val="00CF0849"/>
    <w:rsid w:val="00CF3A17"/>
    <w:rsid w:val="00CF410A"/>
    <w:rsid w:val="00CF49D0"/>
    <w:rsid w:val="00D004BB"/>
    <w:rsid w:val="00D01B87"/>
    <w:rsid w:val="00D0321E"/>
    <w:rsid w:val="00D03C6A"/>
    <w:rsid w:val="00D04417"/>
    <w:rsid w:val="00D0551A"/>
    <w:rsid w:val="00D069EB"/>
    <w:rsid w:val="00D07188"/>
    <w:rsid w:val="00D07A8A"/>
    <w:rsid w:val="00D11199"/>
    <w:rsid w:val="00D12971"/>
    <w:rsid w:val="00D12A5B"/>
    <w:rsid w:val="00D1455A"/>
    <w:rsid w:val="00D14A70"/>
    <w:rsid w:val="00D161A8"/>
    <w:rsid w:val="00D16913"/>
    <w:rsid w:val="00D16B91"/>
    <w:rsid w:val="00D17A16"/>
    <w:rsid w:val="00D2097E"/>
    <w:rsid w:val="00D21B46"/>
    <w:rsid w:val="00D22093"/>
    <w:rsid w:val="00D230D1"/>
    <w:rsid w:val="00D24C42"/>
    <w:rsid w:val="00D3024C"/>
    <w:rsid w:val="00D30408"/>
    <w:rsid w:val="00D31150"/>
    <w:rsid w:val="00D3138B"/>
    <w:rsid w:val="00D31FCE"/>
    <w:rsid w:val="00D32609"/>
    <w:rsid w:val="00D3280C"/>
    <w:rsid w:val="00D3297F"/>
    <w:rsid w:val="00D34011"/>
    <w:rsid w:val="00D3406A"/>
    <w:rsid w:val="00D342D2"/>
    <w:rsid w:val="00D36D07"/>
    <w:rsid w:val="00D40B11"/>
    <w:rsid w:val="00D4125E"/>
    <w:rsid w:val="00D418ED"/>
    <w:rsid w:val="00D429EC"/>
    <w:rsid w:val="00D42B95"/>
    <w:rsid w:val="00D43F05"/>
    <w:rsid w:val="00D441F1"/>
    <w:rsid w:val="00D4572C"/>
    <w:rsid w:val="00D469B2"/>
    <w:rsid w:val="00D53350"/>
    <w:rsid w:val="00D53F2E"/>
    <w:rsid w:val="00D54B09"/>
    <w:rsid w:val="00D57CC9"/>
    <w:rsid w:val="00D61BCB"/>
    <w:rsid w:val="00D6243E"/>
    <w:rsid w:val="00D65036"/>
    <w:rsid w:val="00D65658"/>
    <w:rsid w:val="00D67EB2"/>
    <w:rsid w:val="00D704C6"/>
    <w:rsid w:val="00D72B6F"/>
    <w:rsid w:val="00D72E61"/>
    <w:rsid w:val="00D741EB"/>
    <w:rsid w:val="00D74AF1"/>
    <w:rsid w:val="00D7679C"/>
    <w:rsid w:val="00D7688A"/>
    <w:rsid w:val="00D772D4"/>
    <w:rsid w:val="00D77A13"/>
    <w:rsid w:val="00D81266"/>
    <w:rsid w:val="00D82028"/>
    <w:rsid w:val="00D820F3"/>
    <w:rsid w:val="00D82111"/>
    <w:rsid w:val="00D83605"/>
    <w:rsid w:val="00D84934"/>
    <w:rsid w:val="00D84E00"/>
    <w:rsid w:val="00D866EB"/>
    <w:rsid w:val="00D87D1A"/>
    <w:rsid w:val="00D90525"/>
    <w:rsid w:val="00D91271"/>
    <w:rsid w:val="00D919F5"/>
    <w:rsid w:val="00D93BBF"/>
    <w:rsid w:val="00D93E1B"/>
    <w:rsid w:val="00D94553"/>
    <w:rsid w:val="00D945F6"/>
    <w:rsid w:val="00D94F03"/>
    <w:rsid w:val="00D95161"/>
    <w:rsid w:val="00D96DFC"/>
    <w:rsid w:val="00D97F81"/>
    <w:rsid w:val="00DA0A82"/>
    <w:rsid w:val="00DA0D14"/>
    <w:rsid w:val="00DA1FC9"/>
    <w:rsid w:val="00DA2CB5"/>
    <w:rsid w:val="00DA4BAC"/>
    <w:rsid w:val="00DA5082"/>
    <w:rsid w:val="00DA6E79"/>
    <w:rsid w:val="00DB0151"/>
    <w:rsid w:val="00DB28F8"/>
    <w:rsid w:val="00DB4180"/>
    <w:rsid w:val="00DB50E1"/>
    <w:rsid w:val="00DB6D3F"/>
    <w:rsid w:val="00DC0566"/>
    <w:rsid w:val="00DC0FA3"/>
    <w:rsid w:val="00DC1499"/>
    <w:rsid w:val="00DC1EB2"/>
    <w:rsid w:val="00DC2AA9"/>
    <w:rsid w:val="00DC2C3E"/>
    <w:rsid w:val="00DC2E72"/>
    <w:rsid w:val="00DC3137"/>
    <w:rsid w:val="00DC39D9"/>
    <w:rsid w:val="00DC4880"/>
    <w:rsid w:val="00DC7D8D"/>
    <w:rsid w:val="00DD0346"/>
    <w:rsid w:val="00DD2371"/>
    <w:rsid w:val="00DD42AB"/>
    <w:rsid w:val="00DD4C11"/>
    <w:rsid w:val="00DD4E09"/>
    <w:rsid w:val="00DD5928"/>
    <w:rsid w:val="00DD6B58"/>
    <w:rsid w:val="00DE06AF"/>
    <w:rsid w:val="00DE1048"/>
    <w:rsid w:val="00DE4C2F"/>
    <w:rsid w:val="00DE525A"/>
    <w:rsid w:val="00DE6D27"/>
    <w:rsid w:val="00DF01F8"/>
    <w:rsid w:val="00DF021D"/>
    <w:rsid w:val="00DF084E"/>
    <w:rsid w:val="00DF17F5"/>
    <w:rsid w:val="00DF217D"/>
    <w:rsid w:val="00DF26A7"/>
    <w:rsid w:val="00DF2ABE"/>
    <w:rsid w:val="00DF31B6"/>
    <w:rsid w:val="00DF3277"/>
    <w:rsid w:val="00DF4821"/>
    <w:rsid w:val="00DF5FD6"/>
    <w:rsid w:val="00DF77A1"/>
    <w:rsid w:val="00DF7919"/>
    <w:rsid w:val="00E0207E"/>
    <w:rsid w:val="00E02AE6"/>
    <w:rsid w:val="00E03912"/>
    <w:rsid w:val="00E03D8C"/>
    <w:rsid w:val="00E0460B"/>
    <w:rsid w:val="00E04748"/>
    <w:rsid w:val="00E0506A"/>
    <w:rsid w:val="00E05181"/>
    <w:rsid w:val="00E059A7"/>
    <w:rsid w:val="00E05BD2"/>
    <w:rsid w:val="00E06B7A"/>
    <w:rsid w:val="00E078D9"/>
    <w:rsid w:val="00E10293"/>
    <w:rsid w:val="00E103A0"/>
    <w:rsid w:val="00E1278F"/>
    <w:rsid w:val="00E13B10"/>
    <w:rsid w:val="00E13E60"/>
    <w:rsid w:val="00E14391"/>
    <w:rsid w:val="00E14740"/>
    <w:rsid w:val="00E14786"/>
    <w:rsid w:val="00E15627"/>
    <w:rsid w:val="00E16105"/>
    <w:rsid w:val="00E164B3"/>
    <w:rsid w:val="00E16910"/>
    <w:rsid w:val="00E16C00"/>
    <w:rsid w:val="00E20C3B"/>
    <w:rsid w:val="00E239E2"/>
    <w:rsid w:val="00E24041"/>
    <w:rsid w:val="00E24335"/>
    <w:rsid w:val="00E24B36"/>
    <w:rsid w:val="00E24E09"/>
    <w:rsid w:val="00E27234"/>
    <w:rsid w:val="00E311A6"/>
    <w:rsid w:val="00E3173F"/>
    <w:rsid w:val="00E3495C"/>
    <w:rsid w:val="00E35383"/>
    <w:rsid w:val="00E37CB9"/>
    <w:rsid w:val="00E4035C"/>
    <w:rsid w:val="00E4202A"/>
    <w:rsid w:val="00E42BDB"/>
    <w:rsid w:val="00E438C3"/>
    <w:rsid w:val="00E447E9"/>
    <w:rsid w:val="00E460B6"/>
    <w:rsid w:val="00E4715D"/>
    <w:rsid w:val="00E475F6"/>
    <w:rsid w:val="00E505D3"/>
    <w:rsid w:val="00E53912"/>
    <w:rsid w:val="00E5726D"/>
    <w:rsid w:val="00E57EEB"/>
    <w:rsid w:val="00E60859"/>
    <w:rsid w:val="00E62C17"/>
    <w:rsid w:val="00E62D94"/>
    <w:rsid w:val="00E64F37"/>
    <w:rsid w:val="00E65091"/>
    <w:rsid w:val="00E6536D"/>
    <w:rsid w:val="00E65E54"/>
    <w:rsid w:val="00E66162"/>
    <w:rsid w:val="00E661C7"/>
    <w:rsid w:val="00E66241"/>
    <w:rsid w:val="00E67C29"/>
    <w:rsid w:val="00E71194"/>
    <w:rsid w:val="00E71669"/>
    <w:rsid w:val="00E728C2"/>
    <w:rsid w:val="00E72FC0"/>
    <w:rsid w:val="00E741D5"/>
    <w:rsid w:val="00E74E41"/>
    <w:rsid w:val="00E751A2"/>
    <w:rsid w:val="00E75451"/>
    <w:rsid w:val="00E75FFB"/>
    <w:rsid w:val="00E80155"/>
    <w:rsid w:val="00E809A4"/>
    <w:rsid w:val="00E8134B"/>
    <w:rsid w:val="00E81E0D"/>
    <w:rsid w:val="00E81F28"/>
    <w:rsid w:val="00E846A8"/>
    <w:rsid w:val="00E848C0"/>
    <w:rsid w:val="00E863FF"/>
    <w:rsid w:val="00E8765B"/>
    <w:rsid w:val="00E87694"/>
    <w:rsid w:val="00E87DE5"/>
    <w:rsid w:val="00E90193"/>
    <w:rsid w:val="00E91B96"/>
    <w:rsid w:val="00E91D07"/>
    <w:rsid w:val="00E92E5D"/>
    <w:rsid w:val="00E935DA"/>
    <w:rsid w:val="00E939AC"/>
    <w:rsid w:val="00E93B49"/>
    <w:rsid w:val="00E93B97"/>
    <w:rsid w:val="00E93D1E"/>
    <w:rsid w:val="00E941A1"/>
    <w:rsid w:val="00E95CE3"/>
    <w:rsid w:val="00E95E39"/>
    <w:rsid w:val="00E96077"/>
    <w:rsid w:val="00E96547"/>
    <w:rsid w:val="00E97370"/>
    <w:rsid w:val="00EA0856"/>
    <w:rsid w:val="00EA252F"/>
    <w:rsid w:val="00EA2825"/>
    <w:rsid w:val="00EA310E"/>
    <w:rsid w:val="00EA3BE4"/>
    <w:rsid w:val="00EA3C19"/>
    <w:rsid w:val="00EA45D4"/>
    <w:rsid w:val="00EA5294"/>
    <w:rsid w:val="00EA6518"/>
    <w:rsid w:val="00EA71A2"/>
    <w:rsid w:val="00EA7466"/>
    <w:rsid w:val="00EA7EDE"/>
    <w:rsid w:val="00EB0B63"/>
    <w:rsid w:val="00EB1936"/>
    <w:rsid w:val="00EB2463"/>
    <w:rsid w:val="00EB24A8"/>
    <w:rsid w:val="00EB26AE"/>
    <w:rsid w:val="00EB3545"/>
    <w:rsid w:val="00EB37BE"/>
    <w:rsid w:val="00EB5088"/>
    <w:rsid w:val="00EB5C59"/>
    <w:rsid w:val="00EB6AD3"/>
    <w:rsid w:val="00EB7DD5"/>
    <w:rsid w:val="00EC0703"/>
    <w:rsid w:val="00EC1B2D"/>
    <w:rsid w:val="00EC2726"/>
    <w:rsid w:val="00EC3D06"/>
    <w:rsid w:val="00EC4794"/>
    <w:rsid w:val="00EC6464"/>
    <w:rsid w:val="00ED1010"/>
    <w:rsid w:val="00ED1644"/>
    <w:rsid w:val="00ED1E84"/>
    <w:rsid w:val="00ED2593"/>
    <w:rsid w:val="00ED28C5"/>
    <w:rsid w:val="00ED444C"/>
    <w:rsid w:val="00ED5BAA"/>
    <w:rsid w:val="00ED6E39"/>
    <w:rsid w:val="00ED6F77"/>
    <w:rsid w:val="00ED752D"/>
    <w:rsid w:val="00ED7D55"/>
    <w:rsid w:val="00ED7D9C"/>
    <w:rsid w:val="00ED7E84"/>
    <w:rsid w:val="00EE02A1"/>
    <w:rsid w:val="00EE2DAE"/>
    <w:rsid w:val="00EE31A2"/>
    <w:rsid w:val="00EF0069"/>
    <w:rsid w:val="00EF42E2"/>
    <w:rsid w:val="00EF44A0"/>
    <w:rsid w:val="00EF4580"/>
    <w:rsid w:val="00EF4F75"/>
    <w:rsid w:val="00EF4FED"/>
    <w:rsid w:val="00EF5F45"/>
    <w:rsid w:val="00EF5F6A"/>
    <w:rsid w:val="00EF6843"/>
    <w:rsid w:val="00EF6FB3"/>
    <w:rsid w:val="00F007C6"/>
    <w:rsid w:val="00F0172E"/>
    <w:rsid w:val="00F01792"/>
    <w:rsid w:val="00F01BF5"/>
    <w:rsid w:val="00F01D3B"/>
    <w:rsid w:val="00F02AD9"/>
    <w:rsid w:val="00F031A9"/>
    <w:rsid w:val="00F04B14"/>
    <w:rsid w:val="00F050BD"/>
    <w:rsid w:val="00F05657"/>
    <w:rsid w:val="00F05AB0"/>
    <w:rsid w:val="00F06851"/>
    <w:rsid w:val="00F07887"/>
    <w:rsid w:val="00F105A5"/>
    <w:rsid w:val="00F10749"/>
    <w:rsid w:val="00F12331"/>
    <w:rsid w:val="00F12938"/>
    <w:rsid w:val="00F154CF"/>
    <w:rsid w:val="00F1559A"/>
    <w:rsid w:val="00F16064"/>
    <w:rsid w:val="00F16C3C"/>
    <w:rsid w:val="00F17ED6"/>
    <w:rsid w:val="00F20676"/>
    <w:rsid w:val="00F209E2"/>
    <w:rsid w:val="00F224DC"/>
    <w:rsid w:val="00F23F7B"/>
    <w:rsid w:val="00F2536A"/>
    <w:rsid w:val="00F25578"/>
    <w:rsid w:val="00F258E5"/>
    <w:rsid w:val="00F259B4"/>
    <w:rsid w:val="00F25B9C"/>
    <w:rsid w:val="00F26250"/>
    <w:rsid w:val="00F2654D"/>
    <w:rsid w:val="00F2675A"/>
    <w:rsid w:val="00F26CC6"/>
    <w:rsid w:val="00F300BC"/>
    <w:rsid w:val="00F3263C"/>
    <w:rsid w:val="00F326E2"/>
    <w:rsid w:val="00F32E55"/>
    <w:rsid w:val="00F3334E"/>
    <w:rsid w:val="00F336C0"/>
    <w:rsid w:val="00F34175"/>
    <w:rsid w:val="00F350A2"/>
    <w:rsid w:val="00F36CCB"/>
    <w:rsid w:val="00F36DCD"/>
    <w:rsid w:val="00F374E5"/>
    <w:rsid w:val="00F37998"/>
    <w:rsid w:val="00F37B93"/>
    <w:rsid w:val="00F37BAD"/>
    <w:rsid w:val="00F37ECA"/>
    <w:rsid w:val="00F40A1C"/>
    <w:rsid w:val="00F43A9F"/>
    <w:rsid w:val="00F43AF2"/>
    <w:rsid w:val="00F44FD4"/>
    <w:rsid w:val="00F45216"/>
    <w:rsid w:val="00F45545"/>
    <w:rsid w:val="00F5007E"/>
    <w:rsid w:val="00F50EC4"/>
    <w:rsid w:val="00F52232"/>
    <w:rsid w:val="00F52DC2"/>
    <w:rsid w:val="00F54079"/>
    <w:rsid w:val="00F550CF"/>
    <w:rsid w:val="00F553D2"/>
    <w:rsid w:val="00F5560A"/>
    <w:rsid w:val="00F55C90"/>
    <w:rsid w:val="00F575EC"/>
    <w:rsid w:val="00F57A6D"/>
    <w:rsid w:val="00F60971"/>
    <w:rsid w:val="00F61F19"/>
    <w:rsid w:val="00F62825"/>
    <w:rsid w:val="00F6293B"/>
    <w:rsid w:val="00F62C4C"/>
    <w:rsid w:val="00F62D1C"/>
    <w:rsid w:val="00F62F19"/>
    <w:rsid w:val="00F62F6E"/>
    <w:rsid w:val="00F638CC"/>
    <w:rsid w:val="00F64C9E"/>
    <w:rsid w:val="00F64CC1"/>
    <w:rsid w:val="00F65A05"/>
    <w:rsid w:val="00F70793"/>
    <w:rsid w:val="00F70A58"/>
    <w:rsid w:val="00F7151E"/>
    <w:rsid w:val="00F72317"/>
    <w:rsid w:val="00F72ED0"/>
    <w:rsid w:val="00F73C8D"/>
    <w:rsid w:val="00F73DC1"/>
    <w:rsid w:val="00F74642"/>
    <w:rsid w:val="00F7499A"/>
    <w:rsid w:val="00F75BB8"/>
    <w:rsid w:val="00F75C40"/>
    <w:rsid w:val="00F772F7"/>
    <w:rsid w:val="00F80475"/>
    <w:rsid w:val="00F81390"/>
    <w:rsid w:val="00F815B7"/>
    <w:rsid w:val="00F8193A"/>
    <w:rsid w:val="00F81F7A"/>
    <w:rsid w:val="00F8247A"/>
    <w:rsid w:val="00F82E5C"/>
    <w:rsid w:val="00F83F58"/>
    <w:rsid w:val="00F84AC3"/>
    <w:rsid w:val="00F87CEA"/>
    <w:rsid w:val="00F925B1"/>
    <w:rsid w:val="00F925EB"/>
    <w:rsid w:val="00F92A70"/>
    <w:rsid w:val="00F92F97"/>
    <w:rsid w:val="00F95C7A"/>
    <w:rsid w:val="00F95D0C"/>
    <w:rsid w:val="00F9629A"/>
    <w:rsid w:val="00F97EFC"/>
    <w:rsid w:val="00FA01DE"/>
    <w:rsid w:val="00FA0641"/>
    <w:rsid w:val="00FA0C7C"/>
    <w:rsid w:val="00FA0D01"/>
    <w:rsid w:val="00FA1BDD"/>
    <w:rsid w:val="00FA2A92"/>
    <w:rsid w:val="00FA305C"/>
    <w:rsid w:val="00FA350A"/>
    <w:rsid w:val="00FA36E9"/>
    <w:rsid w:val="00FA3C24"/>
    <w:rsid w:val="00FA462E"/>
    <w:rsid w:val="00FA4DD5"/>
    <w:rsid w:val="00FA5883"/>
    <w:rsid w:val="00FA5F4F"/>
    <w:rsid w:val="00FA6055"/>
    <w:rsid w:val="00FB0B39"/>
    <w:rsid w:val="00FB0CF8"/>
    <w:rsid w:val="00FB20B7"/>
    <w:rsid w:val="00FB322F"/>
    <w:rsid w:val="00FB35D9"/>
    <w:rsid w:val="00FB442F"/>
    <w:rsid w:val="00FB5CD3"/>
    <w:rsid w:val="00FC118C"/>
    <w:rsid w:val="00FC1929"/>
    <w:rsid w:val="00FC2F98"/>
    <w:rsid w:val="00FC3450"/>
    <w:rsid w:val="00FC44A0"/>
    <w:rsid w:val="00FC5B46"/>
    <w:rsid w:val="00FC6D42"/>
    <w:rsid w:val="00FD117B"/>
    <w:rsid w:val="00FD1BBC"/>
    <w:rsid w:val="00FD1D4F"/>
    <w:rsid w:val="00FD24BF"/>
    <w:rsid w:val="00FD3882"/>
    <w:rsid w:val="00FD3ADE"/>
    <w:rsid w:val="00FD3B6E"/>
    <w:rsid w:val="00FD57EB"/>
    <w:rsid w:val="00FD64E1"/>
    <w:rsid w:val="00FD6D8E"/>
    <w:rsid w:val="00FE0663"/>
    <w:rsid w:val="00FE0E94"/>
    <w:rsid w:val="00FE0EE4"/>
    <w:rsid w:val="00FE10CA"/>
    <w:rsid w:val="00FE369C"/>
    <w:rsid w:val="00FE3CD9"/>
    <w:rsid w:val="00FE4499"/>
    <w:rsid w:val="00FE50CB"/>
    <w:rsid w:val="00FE670B"/>
    <w:rsid w:val="00FF00BD"/>
    <w:rsid w:val="00FF0B13"/>
    <w:rsid w:val="00FF1ED4"/>
    <w:rsid w:val="00FF2801"/>
    <w:rsid w:val="00FF2AE0"/>
    <w:rsid w:val="00FF3B4A"/>
    <w:rsid w:val="00FF4163"/>
    <w:rsid w:val="00FF5A30"/>
    <w:rsid w:val="00FF639C"/>
    <w:rsid w:val="00FF7F4C"/>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C82839"/>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9"/>
    <w:lsdException w:name="heading 3" w:semiHidden="1" w:uiPriority="3" w:unhideWhenUsed="1" w:qFormat="1"/>
    <w:lsdException w:name="heading 4" w:semiHidden="1" w:uiPriority="3" w:unhideWhenUsed="1" w:qFormat="1"/>
    <w:lsdException w:name="heading 5" w:uiPriority="9"/>
    <w:lsdException w:name="heading 6" w:uiPriority="9"/>
    <w:lsdException w:name="heading 7" w:semiHidden="1" w:uiPriority="9" w:unhideWhenUsed="1"/>
    <w:lsdException w:name="heading 8" w:semiHidden="1" w:uiPriority="7" w:unhideWhenUsed="1" w:qFormat="1"/>
    <w:lsdException w:name="heading 9" w:semiHidden="1" w:uiPriority="1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E65"/>
    <w:pPr>
      <w:jc w:val="both"/>
    </w:pPr>
    <w:rPr>
      <w:rFonts w:ascii="Calibri" w:hAnsi="Calibri"/>
      <w:sz w:val="24"/>
      <w:szCs w:val="24"/>
    </w:rPr>
  </w:style>
  <w:style w:type="paragraph" w:styleId="Heading1">
    <w:name w:val="heading 1"/>
    <w:next w:val="Normal"/>
    <w:link w:val="Heading1Char"/>
    <w:uiPriority w:val="2"/>
    <w:unhideWhenUsed/>
    <w:qFormat/>
    <w:rsid w:val="00240165"/>
    <w:pPr>
      <w:keepNext/>
      <w:keepLines/>
      <w:spacing w:before="400" w:after="40"/>
      <w:outlineLvl w:val="0"/>
    </w:pPr>
    <w:rPr>
      <w:rFonts w:asciiTheme="majorHAnsi" w:eastAsiaTheme="majorEastAsia" w:hAnsiTheme="majorHAnsi" w:cstheme="majorBidi"/>
      <w:color w:val="244061" w:themeColor="accent1" w:themeShade="80"/>
      <w:sz w:val="36"/>
      <w:szCs w:val="36"/>
      <w:lang w:eastAsia="en-US"/>
    </w:rPr>
  </w:style>
  <w:style w:type="paragraph" w:styleId="Heading2">
    <w:name w:val="heading 2"/>
    <w:basedOn w:val="Normal"/>
    <w:next w:val="Normal"/>
    <w:link w:val="Heading2Char"/>
    <w:uiPriority w:val="9"/>
    <w:unhideWhenUsed/>
    <w:rsid w:val="00240165"/>
    <w:pPr>
      <w:keepNext/>
      <w:keepLines/>
      <w:spacing w:before="40"/>
      <w:jc w:val="left"/>
      <w:outlineLvl w:val="1"/>
    </w:pPr>
    <w:rPr>
      <w:rFonts w:asciiTheme="majorHAnsi" w:eastAsiaTheme="majorEastAsia" w:hAnsiTheme="majorHAnsi" w:cstheme="majorBidi"/>
      <w:color w:val="365F91" w:themeColor="accent1" w:themeShade="BF"/>
      <w:sz w:val="32"/>
      <w:szCs w:val="32"/>
      <w:lang w:eastAsia="en-US"/>
    </w:rPr>
  </w:style>
  <w:style w:type="paragraph" w:styleId="Heading3">
    <w:name w:val="heading 3"/>
    <w:basedOn w:val="Normal"/>
    <w:next w:val="Normal"/>
    <w:link w:val="Heading3Char"/>
    <w:uiPriority w:val="3"/>
    <w:unhideWhenUsed/>
    <w:qFormat/>
    <w:rsid w:val="00240165"/>
    <w:pPr>
      <w:keepNext/>
      <w:keepLines/>
      <w:spacing w:before="40"/>
      <w:jc w:val="left"/>
      <w:outlineLvl w:val="2"/>
    </w:pPr>
    <w:rPr>
      <w:rFonts w:asciiTheme="majorHAnsi" w:eastAsiaTheme="majorEastAsia" w:hAnsiTheme="majorHAnsi" w:cstheme="majorBidi"/>
      <w:color w:val="365F91" w:themeColor="accent1" w:themeShade="BF"/>
      <w:sz w:val="28"/>
      <w:szCs w:val="28"/>
      <w:lang w:eastAsia="en-US"/>
    </w:rPr>
  </w:style>
  <w:style w:type="paragraph" w:styleId="Heading4">
    <w:name w:val="heading 4"/>
    <w:basedOn w:val="Heading1"/>
    <w:next w:val="Normal"/>
    <w:link w:val="Heading4Char"/>
    <w:uiPriority w:val="3"/>
    <w:qFormat/>
    <w:rsid w:val="00712116"/>
    <w:pPr>
      <w:spacing w:before="240" w:after="0" w:line="259" w:lineRule="auto"/>
      <w:ind w:left="1296" w:hanging="1296"/>
      <w:outlineLvl w:val="3"/>
    </w:pPr>
    <w:rPr>
      <w:rFonts w:asciiTheme="minorHAnsi" w:hAnsiTheme="minorHAnsi"/>
      <w:b/>
      <w:color w:val="000000" w:themeColor="text1"/>
      <w:sz w:val="24"/>
      <w:szCs w:val="28"/>
    </w:rPr>
  </w:style>
  <w:style w:type="paragraph" w:styleId="Heading5">
    <w:name w:val="heading 5"/>
    <w:basedOn w:val="Normal"/>
    <w:next w:val="Normal"/>
    <w:link w:val="Heading5Char"/>
    <w:uiPriority w:val="9"/>
    <w:unhideWhenUsed/>
    <w:rsid w:val="00240165"/>
    <w:pPr>
      <w:keepNext/>
      <w:keepLines/>
      <w:spacing w:before="40" w:line="259" w:lineRule="auto"/>
      <w:jc w:val="left"/>
      <w:outlineLvl w:val="4"/>
    </w:pPr>
    <w:rPr>
      <w:rFonts w:asciiTheme="majorHAnsi" w:eastAsiaTheme="majorEastAsia" w:hAnsiTheme="majorHAnsi" w:cstheme="majorBidi"/>
      <w:caps/>
      <w:color w:val="365F91" w:themeColor="accent1" w:themeShade="BF"/>
      <w:sz w:val="22"/>
      <w:szCs w:val="22"/>
      <w:lang w:eastAsia="en-US"/>
    </w:rPr>
  </w:style>
  <w:style w:type="paragraph" w:styleId="Heading6">
    <w:name w:val="heading 6"/>
    <w:basedOn w:val="Normal"/>
    <w:next w:val="Normal"/>
    <w:link w:val="Heading6Char"/>
    <w:uiPriority w:val="9"/>
    <w:unhideWhenUsed/>
    <w:rsid w:val="00240165"/>
    <w:pPr>
      <w:keepNext/>
      <w:keepLines/>
      <w:spacing w:before="40" w:line="259" w:lineRule="auto"/>
      <w:jc w:val="left"/>
      <w:outlineLvl w:val="5"/>
    </w:pPr>
    <w:rPr>
      <w:rFonts w:asciiTheme="majorHAnsi" w:eastAsiaTheme="majorEastAsia" w:hAnsiTheme="majorHAnsi" w:cstheme="majorBidi"/>
      <w:i/>
      <w:iCs/>
      <w:caps/>
      <w:color w:val="244061" w:themeColor="accent1" w:themeShade="80"/>
      <w:sz w:val="22"/>
      <w:szCs w:val="22"/>
      <w:lang w:eastAsia="en-US"/>
    </w:rPr>
  </w:style>
  <w:style w:type="paragraph" w:styleId="Heading8">
    <w:name w:val="heading 8"/>
    <w:basedOn w:val="Normal"/>
    <w:next w:val="Normal"/>
    <w:link w:val="Heading8Char"/>
    <w:uiPriority w:val="7"/>
    <w:unhideWhenUsed/>
    <w:qFormat/>
    <w:rsid w:val="0055663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12"/>
    <w:qFormat/>
    <w:rsid w:val="00712116"/>
    <w:pPr>
      <w:spacing w:after="120" w:line="259" w:lineRule="auto"/>
      <w:ind w:left="1584" w:hanging="1584"/>
      <w:outlineLvl w:val="8"/>
    </w:pPr>
    <w:rPr>
      <w:rFonts w:asciiTheme="minorHAnsi" w:hAnsiTheme="minorHAnsi"/>
      <w:b/>
      <w:color w:val="auto"/>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Bullet Points,BulletPoints,Numbered para,List Paragraph1,Bullet point,List Paragraph11,Recommendation,Section heading,Footnote,PBAC ES Paragraph,Styl moj,Akapit z listą11,ES Paragraph,PBAC normal points,Bullet List,Figure_name"/>
    <w:next w:val="Normal"/>
    <w:link w:val="ListParagraphChar"/>
    <w:uiPriority w:val="34"/>
    <w:qFormat/>
    <w:rsid w:val="006C5B33"/>
    <w:p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PBAC ES Paragraph Char,Styl moj Char"/>
    <w:basedOn w:val="DefaultParagraphFont"/>
    <w:link w:val="ListParagraph"/>
    <w:uiPriority w:val="34"/>
    <w:qFormat/>
    <w:rsid w:val="00C87FC6"/>
    <w:rPr>
      <w:rFonts w:asciiTheme="minorHAnsi" w:hAnsiTheme="minorHAnsi" w:cs="Arial"/>
      <w:snapToGrid w:val="0"/>
      <w:sz w:val="24"/>
      <w:szCs w:val="24"/>
    </w:rPr>
  </w:style>
  <w:style w:type="character" w:customStyle="1" w:styleId="Heading1Char">
    <w:name w:val="Heading 1 Char"/>
    <w:basedOn w:val="DefaultParagraphFont"/>
    <w:link w:val="Heading1"/>
    <w:uiPriority w:val="9"/>
    <w:rsid w:val="00240165"/>
    <w:rPr>
      <w:rFonts w:asciiTheme="majorHAnsi" w:eastAsiaTheme="majorEastAsia" w:hAnsiTheme="majorHAnsi" w:cstheme="majorBidi"/>
      <w:color w:val="244061" w:themeColor="accent1" w:themeShade="80"/>
      <w:sz w:val="36"/>
      <w:szCs w:val="36"/>
      <w:lang w:eastAsia="en-US"/>
    </w:rPr>
  </w:style>
  <w:style w:type="character" w:customStyle="1" w:styleId="Heading2Char">
    <w:name w:val="Heading 2 Char"/>
    <w:basedOn w:val="DefaultParagraphFont"/>
    <w:link w:val="Heading2"/>
    <w:uiPriority w:val="9"/>
    <w:rsid w:val="00240165"/>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rsid w:val="00240165"/>
    <w:rPr>
      <w:rFonts w:asciiTheme="majorHAnsi" w:eastAsiaTheme="majorEastAsia" w:hAnsiTheme="majorHAnsi" w:cstheme="majorBidi"/>
      <w:color w:val="365F91" w:themeColor="accent1" w:themeShade="BF"/>
      <w:sz w:val="28"/>
      <w:szCs w:val="28"/>
      <w:lang w:eastAsia="en-US"/>
    </w:rPr>
  </w:style>
  <w:style w:type="paragraph" w:styleId="BalloonText">
    <w:name w:val="Balloon Text"/>
    <w:basedOn w:val="Normal"/>
    <w:semiHidden/>
    <w:rPr>
      <w:rFonts w:ascii="Tahoma" w:hAnsi="Tahoma" w:cs="Tahoma"/>
      <w:sz w:val="16"/>
      <w:szCs w:val="16"/>
    </w:rPr>
  </w:style>
  <w:style w:type="table" w:styleId="TableGrid">
    <w:name w:val="Table Grid"/>
    <w:aliases w:val="Table Gridbeth,Summary box,RTI AMCP Table,new style,ASD Table,HTAtableplain,CMA Table Template,MSD Table Grid,PBAC table,Legemiddelverket 3,Table Grid nm,Dossier table,Summary Table,HealthConsult,Conclusion box,PHE Table Grid,Lash Style Tabl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link w:val="TableTextChar"/>
    <w:qFormat/>
    <w:rsid w:val="00D3297F"/>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D3297F"/>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customStyle="1" w:styleId="In-tableHeading">
    <w:name w:val="In-table Heading"/>
    <w:qFormat/>
    <w:rsid w:val="006C5B33"/>
    <w:pPr>
      <w:keepNext/>
    </w:pPr>
    <w:rPr>
      <w:rFonts w:ascii="Arial Narrow" w:eastAsiaTheme="majorEastAsia" w:hAnsi="Arial Narrow"/>
      <w:b/>
      <w:szCs w:val="24"/>
      <w:lang w:val="en-US"/>
    </w:rPr>
  </w:style>
  <w:style w:type="paragraph" w:customStyle="1" w:styleId="2-SectionHeading">
    <w:name w:val="2-Section Heading"/>
    <w:qFormat/>
    <w:rsid w:val="006C5B33"/>
    <w:pPr>
      <w:keepNext/>
      <w:numPr>
        <w:numId w:val="2"/>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6C5B3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6C5B3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6C5B3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6C5B33"/>
    <w:rPr>
      <w:rFonts w:ascii="Arial Narrow" w:eastAsiaTheme="majorEastAsia" w:hAnsi="Arial Narrow" w:cstheme="majorBidi"/>
      <w:b/>
      <w:bCs/>
      <w:szCs w:val="24"/>
    </w:rPr>
  </w:style>
  <w:style w:type="paragraph" w:customStyle="1" w:styleId="3-BodyText">
    <w:name w:val="3-Body Text"/>
    <w:link w:val="3-BodyTextChar"/>
    <w:qFormat/>
    <w:rsid w:val="006C5B33"/>
    <w:pPr>
      <w:numPr>
        <w:ilvl w:val="1"/>
        <w:numId w:val="2"/>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6C5B33"/>
    <w:rPr>
      <w:rFonts w:asciiTheme="minorHAnsi" w:eastAsiaTheme="minorHAnsi" w:hAnsiTheme="minorHAnsi" w:cstheme="minorBidi"/>
      <w:snapToGrid/>
      <w:sz w:val="24"/>
      <w:szCs w:val="22"/>
    </w:rPr>
  </w:style>
  <w:style w:type="paragraph" w:customStyle="1" w:styleId="TableFigureFooter">
    <w:name w:val="Table/Figure Footer"/>
    <w:basedOn w:val="Normal"/>
    <w:link w:val="TableFigureFooterChar"/>
    <w:qFormat/>
    <w:rsid w:val="00067B6B"/>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067B6B"/>
    <w:rPr>
      <w:rFonts w:ascii="Arial Narrow" w:hAnsi="Arial Narrow" w:cs="Arial"/>
      <w:snapToGrid w:val="0"/>
      <w:sz w:val="18"/>
      <w:szCs w:val="22"/>
    </w:rPr>
  </w:style>
  <w:style w:type="paragraph" w:customStyle="1" w:styleId="5-SubsectionSubheading">
    <w:name w:val="5-Subsection Subheading"/>
    <w:next w:val="3-BodyText"/>
    <w:link w:val="5-SubsectionSubheadingChar"/>
    <w:qFormat/>
    <w:rsid w:val="00F7499A"/>
    <w:pPr>
      <w:spacing w:before="40"/>
      <w:outlineLvl w:val="2"/>
    </w:pPr>
    <w:rPr>
      <w:rFonts w:asciiTheme="minorHAnsi" w:eastAsiaTheme="majorEastAsia" w:hAnsiTheme="minorHAnsi" w:cstheme="majorBidi"/>
      <w:b/>
      <w:color w:val="000000" w:themeColor="text1"/>
      <w:sz w:val="24"/>
      <w:szCs w:val="24"/>
    </w:rPr>
  </w:style>
  <w:style w:type="character" w:customStyle="1" w:styleId="5-SubsectionSubheadingChar">
    <w:name w:val="5-Subsection Subheading Char"/>
    <w:basedOn w:val="Heading3Char"/>
    <w:link w:val="5-SubsectionSubheading"/>
    <w:rsid w:val="00F7499A"/>
    <w:rPr>
      <w:rFonts w:asciiTheme="minorHAnsi" w:eastAsiaTheme="majorEastAsia" w:hAnsiTheme="minorHAnsi" w:cstheme="majorBidi"/>
      <w:bCs/>
      <w:color w:val="000000" w:themeColor="text1"/>
      <w:sz w:val="28"/>
      <w:szCs w:val="28"/>
      <w:lang w:eastAsia="en-US"/>
    </w:rPr>
  </w:style>
  <w:style w:type="paragraph" w:styleId="Revision">
    <w:name w:val="Revision"/>
    <w:hidden/>
    <w:uiPriority w:val="71"/>
    <w:semiHidden/>
    <w:rsid w:val="00DF021D"/>
    <w:rPr>
      <w:rFonts w:ascii="Calibri" w:hAnsi="Calibri"/>
      <w:sz w:val="24"/>
      <w:szCs w:val="24"/>
    </w:rPr>
  </w:style>
  <w:style w:type="paragraph" w:customStyle="1" w:styleId="4-SubsectionHeading">
    <w:name w:val="4-Subsection Heading"/>
    <w:next w:val="3-BodyText"/>
    <w:link w:val="4-SubsectionHeadingChar"/>
    <w:qFormat/>
    <w:rsid w:val="00F7499A"/>
    <w:pPr>
      <w:spacing w:before="120" w:after="120"/>
      <w:outlineLvl w:val="1"/>
    </w:pPr>
    <w:rPr>
      <w:rFonts w:asciiTheme="minorHAnsi" w:eastAsiaTheme="majorEastAsia" w:hAnsiTheme="minorHAnsi" w:cstheme="majorBidi"/>
      <w:b/>
      <w:i/>
      <w:spacing w:val="5"/>
      <w:kern w:val="28"/>
      <w:sz w:val="28"/>
      <w:szCs w:val="36"/>
      <w:lang w:eastAsia="en-US"/>
    </w:rPr>
  </w:style>
  <w:style w:type="character" w:customStyle="1" w:styleId="4-SubsectionHeadingChar">
    <w:name w:val="4-Subsection Heading Char"/>
    <w:basedOn w:val="Heading2Char"/>
    <w:link w:val="4-SubsectionHeading"/>
    <w:rsid w:val="00F7499A"/>
    <w:rPr>
      <w:rFonts w:asciiTheme="minorHAnsi" w:eastAsiaTheme="majorEastAsia" w:hAnsiTheme="minorHAnsi" w:cstheme="majorBidi"/>
      <w:color w:val="365F91" w:themeColor="accent1" w:themeShade="BF"/>
      <w:spacing w:val="5"/>
      <w:kern w:val="28"/>
      <w:sz w:val="28"/>
      <w:szCs w:val="36"/>
      <w:lang w:eastAsia="en-US"/>
    </w:rPr>
  </w:style>
  <w:style w:type="character" w:customStyle="1" w:styleId="Heading5Char">
    <w:name w:val="Heading 5 Char"/>
    <w:basedOn w:val="DefaultParagraphFont"/>
    <w:link w:val="Heading5"/>
    <w:uiPriority w:val="9"/>
    <w:rsid w:val="00240165"/>
    <w:rPr>
      <w:rFonts w:asciiTheme="majorHAnsi" w:eastAsiaTheme="majorEastAsia" w:hAnsiTheme="majorHAnsi" w:cstheme="majorBidi"/>
      <w:caps/>
      <w:color w:val="365F91" w:themeColor="accent1" w:themeShade="BF"/>
      <w:sz w:val="22"/>
      <w:szCs w:val="22"/>
      <w:lang w:eastAsia="en-US"/>
    </w:rPr>
  </w:style>
  <w:style w:type="character" w:customStyle="1" w:styleId="Heading6Char">
    <w:name w:val="Heading 6 Char"/>
    <w:basedOn w:val="DefaultParagraphFont"/>
    <w:link w:val="Heading6"/>
    <w:uiPriority w:val="9"/>
    <w:rsid w:val="00240165"/>
    <w:rPr>
      <w:rFonts w:asciiTheme="majorHAnsi" w:eastAsiaTheme="majorEastAsia" w:hAnsiTheme="majorHAnsi" w:cstheme="majorBidi"/>
      <w:i/>
      <w:iCs/>
      <w:caps/>
      <w:color w:val="244061" w:themeColor="accent1" w:themeShade="80"/>
      <w:sz w:val="22"/>
      <w:szCs w:val="22"/>
      <w:lang w:eastAsia="en-US"/>
    </w:rPr>
  </w:style>
  <w:style w:type="paragraph" w:styleId="Header">
    <w:name w:val="header"/>
    <w:aliases w:val="Page Header,Header title,he=header,cntr/bld"/>
    <w:basedOn w:val="Normal"/>
    <w:link w:val="HeaderChar"/>
    <w:uiPriority w:val="99"/>
    <w:unhideWhenUsed/>
    <w:qFormat/>
    <w:rsid w:val="00CF066B"/>
    <w:pPr>
      <w:jc w:val="right"/>
    </w:pPr>
  </w:style>
  <w:style w:type="character" w:customStyle="1" w:styleId="HeaderChar">
    <w:name w:val="Header Char"/>
    <w:aliases w:val="Page Header Char,Header title Char,he=header Char,cntr/bld Char"/>
    <w:basedOn w:val="DefaultParagraphFont"/>
    <w:link w:val="Header"/>
    <w:uiPriority w:val="99"/>
    <w:rsid w:val="00CF066B"/>
    <w:rPr>
      <w:rFonts w:ascii="Calibri" w:hAnsi="Calibri"/>
      <w:sz w:val="24"/>
      <w:szCs w:val="24"/>
    </w:rPr>
  </w:style>
  <w:style w:type="paragraph" w:styleId="Footer">
    <w:name w:val="footer"/>
    <w:basedOn w:val="Normal"/>
    <w:link w:val="FooterChar"/>
    <w:uiPriority w:val="99"/>
    <w:unhideWhenUsed/>
    <w:rsid w:val="00CF066B"/>
    <w:pPr>
      <w:tabs>
        <w:tab w:val="center" w:pos="4513"/>
        <w:tab w:val="right" w:pos="9026"/>
      </w:tabs>
      <w:jc w:val="center"/>
    </w:pPr>
  </w:style>
  <w:style w:type="character" w:customStyle="1" w:styleId="FooterChar">
    <w:name w:val="Footer Char"/>
    <w:basedOn w:val="DefaultParagraphFont"/>
    <w:link w:val="Footer"/>
    <w:uiPriority w:val="99"/>
    <w:rsid w:val="00CF066B"/>
    <w:rPr>
      <w:rFonts w:ascii="Calibri" w:hAnsi="Calibri"/>
      <w:sz w:val="24"/>
      <w:szCs w:val="24"/>
    </w:rPr>
  </w:style>
  <w:style w:type="character" w:styleId="CommentReference">
    <w:name w:val="annotation reference"/>
    <w:aliases w:val="Table Title"/>
    <w:basedOn w:val="DefaultParagraphFont"/>
    <w:uiPriority w:val="99"/>
    <w:unhideWhenUsed/>
    <w:qFormat/>
    <w:rsid w:val="008147AE"/>
    <w:rPr>
      <w:sz w:val="16"/>
      <w:szCs w:val="16"/>
    </w:rPr>
  </w:style>
  <w:style w:type="paragraph" w:styleId="CommentText">
    <w:name w:val="annotation text"/>
    <w:basedOn w:val="Normal"/>
    <w:link w:val="CommentTextChar"/>
    <w:unhideWhenUsed/>
    <w:rsid w:val="008147AE"/>
    <w:rPr>
      <w:sz w:val="20"/>
      <w:szCs w:val="20"/>
    </w:rPr>
  </w:style>
  <w:style w:type="character" w:customStyle="1" w:styleId="CommentTextChar">
    <w:name w:val="Comment Text Char"/>
    <w:basedOn w:val="DefaultParagraphFont"/>
    <w:link w:val="CommentText"/>
    <w:rsid w:val="008147AE"/>
    <w:rPr>
      <w:rFonts w:ascii="Calibri" w:hAnsi="Calibri"/>
    </w:rPr>
  </w:style>
  <w:style w:type="paragraph" w:styleId="CommentSubject">
    <w:name w:val="annotation subject"/>
    <w:basedOn w:val="CommentText"/>
    <w:next w:val="CommentText"/>
    <w:link w:val="CommentSubjectChar"/>
    <w:semiHidden/>
    <w:unhideWhenUsed/>
    <w:rsid w:val="008147AE"/>
    <w:rPr>
      <w:b/>
      <w:bCs/>
    </w:rPr>
  </w:style>
  <w:style w:type="character" w:customStyle="1" w:styleId="CommentSubjectChar">
    <w:name w:val="Comment Subject Char"/>
    <w:basedOn w:val="CommentTextChar"/>
    <w:link w:val="CommentSubject"/>
    <w:semiHidden/>
    <w:rsid w:val="008147AE"/>
    <w:rPr>
      <w:rFonts w:ascii="Calibri" w:hAnsi="Calibri"/>
      <w:b/>
      <w:bCs/>
    </w:rPr>
  </w:style>
  <w:style w:type="character" w:styleId="Hyperlink">
    <w:name w:val="Hyperlink"/>
    <w:basedOn w:val="DefaultParagraphFont"/>
    <w:uiPriority w:val="99"/>
    <w:unhideWhenUsed/>
    <w:rsid w:val="008147AE"/>
    <w:rPr>
      <w:color w:val="0000FF" w:themeColor="hyperlink"/>
      <w:u w:val="single"/>
    </w:rPr>
  </w:style>
  <w:style w:type="paragraph" w:styleId="NoSpacing">
    <w:name w:val="No Spacing"/>
    <w:basedOn w:val="Normal"/>
    <w:link w:val="NoSpacingChar"/>
    <w:uiPriority w:val="1"/>
    <w:qFormat/>
    <w:rsid w:val="00774465"/>
    <w:rPr>
      <w:rFonts w:ascii="Arial" w:hAnsi="Arial"/>
      <w:sz w:val="22"/>
      <w:szCs w:val="22"/>
    </w:rPr>
  </w:style>
  <w:style w:type="character" w:customStyle="1" w:styleId="NoSpacingChar">
    <w:name w:val="No Spacing Char"/>
    <w:basedOn w:val="DefaultParagraphFont"/>
    <w:link w:val="NoSpacing"/>
    <w:uiPriority w:val="1"/>
    <w:rsid w:val="00774465"/>
    <w:rPr>
      <w:rFonts w:ascii="Arial" w:hAnsi="Arial"/>
      <w:sz w:val="22"/>
      <w:szCs w:val="22"/>
    </w:rPr>
  </w:style>
  <w:style w:type="paragraph" w:styleId="Caption">
    <w:name w:val="caption"/>
    <w:aliases w:val="Table and Figure Name,Table and Figure name,Caption Char2 Char,Caption Char Char Char2,Caption Char1 Char Char Char1,Caption Char2 Char Char Char1 Char1,Caption Char Char1 Char Char Char1 Char1,Caption Char1 Char Char Char Char Char Char,- H17"/>
    <w:basedOn w:val="Normal"/>
    <w:next w:val="Normal"/>
    <w:link w:val="CaptionChar"/>
    <w:uiPriority w:val="99"/>
    <w:unhideWhenUsed/>
    <w:qFormat/>
    <w:rsid w:val="00737F4D"/>
    <w:pPr>
      <w:spacing w:after="200"/>
    </w:pPr>
    <w:rPr>
      <w:i/>
      <w:iCs/>
      <w:color w:val="1F497D" w:themeColor="text2"/>
      <w:sz w:val="18"/>
      <w:szCs w:val="18"/>
    </w:rPr>
  </w:style>
  <w:style w:type="character" w:customStyle="1" w:styleId="Heading8Char">
    <w:name w:val="Heading 8 Char"/>
    <w:basedOn w:val="DefaultParagraphFont"/>
    <w:link w:val="Heading8"/>
    <w:uiPriority w:val="1"/>
    <w:rsid w:val="0055663A"/>
    <w:rPr>
      <w:rFonts w:asciiTheme="majorHAnsi" w:eastAsiaTheme="majorEastAsia" w:hAnsiTheme="majorHAnsi" w:cstheme="majorBidi"/>
      <w:color w:val="272727" w:themeColor="text1" w:themeTint="D8"/>
      <w:sz w:val="21"/>
      <w:szCs w:val="21"/>
    </w:rPr>
  </w:style>
  <w:style w:type="paragraph" w:customStyle="1" w:styleId="Tabletext8pt">
    <w:name w:val="Table text 8pt"/>
    <w:basedOn w:val="TableText"/>
    <w:qFormat/>
    <w:rsid w:val="0055663A"/>
    <w:pPr>
      <w:keepLines/>
      <w:spacing w:before="20" w:after="20"/>
    </w:pPr>
    <w:rPr>
      <w:rFonts w:ascii="Montserrat" w:eastAsia="Calibri" w:hAnsi="Montserrat" w:cs="Calibri"/>
      <w:bCs w:val="0"/>
      <w:sz w:val="16"/>
      <w:szCs w:val="16"/>
      <w:lang w:eastAsia="en-US"/>
    </w:rPr>
  </w:style>
  <w:style w:type="paragraph" w:styleId="FootnoteText">
    <w:name w:val="footnote text"/>
    <w:basedOn w:val="Normal"/>
    <w:link w:val="FootnoteTextChar"/>
    <w:uiPriority w:val="99"/>
    <w:semiHidden/>
    <w:rsid w:val="00947357"/>
    <w:rPr>
      <w:rFonts w:asciiTheme="minorHAnsi" w:eastAsiaTheme="minorHAnsi" w:hAnsiTheme="minorHAnsi" w:cstheme="minorBidi"/>
      <w:sz w:val="18"/>
      <w:szCs w:val="20"/>
      <w:lang w:eastAsia="en-US"/>
    </w:rPr>
  </w:style>
  <w:style w:type="character" w:customStyle="1" w:styleId="FootnoteTextChar">
    <w:name w:val="Footnote Text Char"/>
    <w:basedOn w:val="DefaultParagraphFont"/>
    <w:link w:val="FootnoteText"/>
    <w:uiPriority w:val="99"/>
    <w:semiHidden/>
    <w:rsid w:val="00947357"/>
    <w:rPr>
      <w:rFonts w:asciiTheme="minorHAnsi" w:eastAsiaTheme="minorHAnsi" w:hAnsiTheme="minorHAnsi" w:cstheme="minorBidi"/>
      <w:sz w:val="18"/>
      <w:lang w:eastAsia="en-US"/>
    </w:rPr>
  </w:style>
  <w:style w:type="character" w:styleId="FootnoteReference">
    <w:name w:val="footnote reference"/>
    <w:basedOn w:val="DefaultParagraphFont"/>
    <w:uiPriority w:val="99"/>
    <w:rsid w:val="00947357"/>
    <w:rPr>
      <w:vertAlign w:val="superscript"/>
    </w:rPr>
  </w:style>
  <w:style w:type="character" w:customStyle="1" w:styleId="CaptionChar">
    <w:name w:val="Caption Char"/>
    <w:aliases w:val="Table and Figure Name Char,Table and Figure name Char,Caption Char2 Char Char,Caption Char Char Char2 Char,Caption Char1 Char Char Char1 Char,Caption Char2 Char Char Char1 Char1 Char,Caption Char Char1 Char Char Char1 Char1 Char,- H17 Char"/>
    <w:basedOn w:val="DefaultParagraphFont"/>
    <w:link w:val="Caption"/>
    <w:uiPriority w:val="99"/>
    <w:qFormat/>
    <w:locked/>
    <w:rsid w:val="00C43C2C"/>
    <w:rPr>
      <w:rFonts w:ascii="Calibri" w:hAnsi="Calibri"/>
      <w:i/>
      <w:iCs/>
      <w:color w:val="1F497D" w:themeColor="text2"/>
      <w:sz w:val="18"/>
      <w:szCs w:val="18"/>
    </w:rPr>
  </w:style>
  <w:style w:type="paragraph" w:customStyle="1" w:styleId="Tabletext0">
    <w:name w:val="Table text"/>
    <w:basedOn w:val="BodyText"/>
    <w:link w:val="TabletextChar0"/>
    <w:qFormat/>
    <w:rsid w:val="00C43C2C"/>
    <w:pPr>
      <w:keepNext/>
      <w:keepLines/>
      <w:spacing w:before="20" w:after="20"/>
      <w:jc w:val="left"/>
    </w:pPr>
    <w:rPr>
      <w:rFonts w:ascii="Montserrat" w:eastAsia="Calibri" w:hAnsi="Montserrat" w:cs="Calibri"/>
      <w:sz w:val="18"/>
      <w:szCs w:val="16"/>
      <w:lang w:eastAsia="en-US"/>
    </w:rPr>
  </w:style>
  <w:style w:type="paragraph" w:customStyle="1" w:styleId="TableFigNotes18">
    <w:name w:val="TableFigNotes+18"/>
    <w:basedOn w:val="ListParagraph"/>
    <w:next w:val="BodyText"/>
    <w:link w:val="TableFigNotes18Char"/>
    <w:uiPriority w:val="4"/>
    <w:qFormat/>
    <w:rsid w:val="00C43C2C"/>
    <w:pPr>
      <w:spacing w:before="60" w:after="360" w:line="276" w:lineRule="auto"/>
      <w:contextualSpacing/>
    </w:pPr>
    <w:rPr>
      <w:rFonts w:ascii="Montserrat" w:eastAsia="Calibri" w:hAnsi="Montserrat" w:cs="Calibri"/>
      <w:snapToGrid/>
      <w:sz w:val="15"/>
      <w:szCs w:val="20"/>
      <w:lang w:eastAsia="en-US"/>
    </w:rPr>
  </w:style>
  <w:style w:type="character" w:customStyle="1" w:styleId="TableFigNotes18Char">
    <w:name w:val="TableFigNotes+18 Char"/>
    <w:basedOn w:val="DefaultParagraphFont"/>
    <w:link w:val="TableFigNotes18"/>
    <w:uiPriority w:val="4"/>
    <w:locked/>
    <w:rsid w:val="00C43C2C"/>
    <w:rPr>
      <w:rFonts w:ascii="Montserrat" w:eastAsia="Calibri" w:hAnsi="Montserrat" w:cs="Calibri"/>
      <w:sz w:val="15"/>
      <w:lang w:eastAsia="en-US"/>
    </w:rPr>
  </w:style>
  <w:style w:type="character" w:customStyle="1" w:styleId="TabletextChar0">
    <w:name w:val="Table text Char"/>
    <w:basedOn w:val="DefaultParagraphFont"/>
    <w:link w:val="Tabletext0"/>
    <w:locked/>
    <w:rsid w:val="00C43C2C"/>
    <w:rPr>
      <w:rFonts w:ascii="Montserrat" w:eastAsia="Calibri" w:hAnsi="Montserrat" w:cs="Calibri"/>
      <w:sz w:val="18"/>
      <w:szCs w:val="16"/>
      <w:lang w:eastAsia="en-US"/>
    </w:rPr>
  </w:style>
  <w:style w:type="paragraph" w:customStyle="1" w:styleId="TableH28ptCentered">
    <w:name w:val="Table H2 8pt + Centered"/>
    <w:basedOn w:val="Normal"/>
    <w:qFormat/>
    <w:rsid w:val="00C43C2C"/>
    <w:pPr>
      <w:keepNext/>
      <w:keepLines/>
      <w:spacing w:before="20" w:after="20"/>
      <w:contextualSpacing/>
      <w:jc w:val="center"/>
    </w:pPr>
    <w:rPr>
      <w:rFonts w:ascii="Montserrat" w:eastAsia="Calibri" w:hAnsi="Montserrat" w:cs="Calibri"/>
      <w:b/>
      <w:sz w:val="16"/>
      <w:szCs w:val="20"/>
      <w:lang w:eastAsia="en-US"/>
    </w:rPr>
  </w:style>
  <w:style w:type="paragraph" w:customStyle="1" w:styleId="TableH28pt">
    <w:name w:val="Table H2 8pt"/>
    <w:basedOn w:val="TableH28ptCentered"/>
    <w:qFormat/>
    <w:rsid w:val="00C43C2C"/>
    <w:pPr>
      <w:jc w:val="left"/>
    </w:pPr>
  </w:style>
  <w:style w:type="paragraph" w:customStyle="1" w:styleId="Tabletext8ptCentered">
    <w:name w:val="Table text 8pt + Centered"/>
    <w:basedOn w:val="Tabletext8pt"/>
    <w:qFormat/>
    <w:rsid w:val="00C43C2C"/>
    <w:pPr>
      <w:jc w:val="center"/>
    </w:pPr>
  </w:style>
  <w:style w:type="paragraph" w:customStyle="1" w:styleId="PBACESHeading1">
    <w:name w:val="PBAC ES Heading 1"/>
    <w:basedOn w:val="Heading1"/>
    <w:next w:val="ListParagraph"/>
    <w:uiPriority w:val="1"/>
    <w:qFormat/>
    <w:rsid w:val="00476F49"/>
    <w:pPr>
      <w:tabs>
        <w:tab w:val="left" w:pos="1077"/>
      </w:tabs>
      <w:spacing w:before="240" w:after="120"/>
      <w:ind w:left="720" w:hanging="720"/>
    </w:pPr>
    <w:rPr>
      <w:rFonts w:asciiTheme="minorHAnsi" w:eastAsia="Times New Roman" w:hAnsiTheme="minorHAnsi" w:cs="Arial"/>
      <w:b/>
      <w:snapToGrid w:val="0"/>
      <w:color w:val="auto"/>
      <w:sz w:val="32"/>
      <w:szCs w:val="32"/>
    </w:rPr>
  </w:style>
  <w:style w:type="paragraph" w:customStyle="1" w:styleId="PBACESHeading2">
    <w:name w:val="PBAC ES Heading 2"/>
    <w:basedOn w:val="Heading2"/>
    <w:uiPriority w:val="1"/>
    <w:qFormat/>
    <w:rsid w:val="00476F49"/>
    <w:pPr>
      <w:spacing w:before="360" w:after="120"/>
      <w:ind w:left="720" w:hanging="720"/>
    </w:pPr>
    <w:rPr>
      <w:b/>
      <w:i/>
      <w:snapToGrid w:val="0"/>
      <w:color w:val="auto"/>
      <w:sz w:val="28"/>
      <w:szCs w:val="28"/>
    </w:rPr>
  </w:style>
  <w:style w:type="paragraph" w:customStyle="1" w:styleId="PBACESHeadingCAPS">
    <w:name w:val="PBAC ES Heading CAPS"/>
    <w:basedOn w:val="PBACESHeading2"/>
    <w:uiPriority w:val="1"/>
    <w:qFormat/>
    <w:rsid w:val="00476F49"/>
    <w:rPr>
      <w:i w:val="0"/>
      <w:smallCaps/>
      <w:sz w:val="32"/>
    </w:rPr>
  </w:style>
  <w:style w:type="paragraph" w:customStyle="1" w:styleId="PBACESHeading3">
    <w:name w:val="PBAC ES Heading 3"/>
    <w:basedOn w:val="PBACESHeading2"/>
    <w:uiPriority w:val="1"/>
    <w:qFormat/>
    <w:rsid w:val="00476F49"/>
    <w:pPr>
      <w:ind w:left="1080" w:hanging="1080"/>
    </w:pPr>
    <w:rPr>
      <w:i w:val="0"/>
      <w:sz w:val="24"/>
    </w:rPr>
  </w:style>
  <w:style w:type="paragraph" w:customStyle="1" w:styleId="MSACHeading1">
    <w:name w:val="MSAC Heading 1"/>
    <w:basedOn w:val="Heading1"/>
    <w:next w:val="Normal"/>
    <w:uiPriority w:val="1"/>
    <w:qFormat/>
    <w:rsid w:val="00476F49"/>
    <w:pPr>
      <w:spacing w:before="160" w:after="240" w:line="259" w:lineRule="auto"/>
      <w:ind w:left="720" w:hanging="720"/>
    </w:pPr>
    <w:rPr>
      <w:rFonts w:ascii="Arial" w:hAnsi="Arial"/>
      <w:b/>
      <w:color w:val="auto"/>
      <w:sz w:val="24"/>
      <w:szCs w:val="28"/>
    </w:rPr>
  </w:style>
  <w:style w:type="paragraph" w:customStyle="1" w:styleId="MSACESHeading2">
    <w:name w:val="MSAC ES Heading 2"/>
    <w:basedOn w:val="Heading2"/>
    <w:next w:val="Normal"/>
    <w:uiPriority w:val="1"/>
    <w:qFormat/>
    <w:rsid w:val="00476F49"/>
    <w:pPr>
      <w:spacing w:before="360" w:after="120"/>
      <w:ind w:left="720" w:hanging="720"/>
    </w:pPr>
    <w:rPr>
      <w:rFonts w:ascii="Cambria" w:hAnsi="Cambria"/>
      <w:b/>
      <w:snapToGrid w:val="0"/>
      <w:color w:val="auto"/>
      <w:sz w:val="24"/>
      <w:szCs w:val="28"/>
    </w:rPr>
  </w:style>
  <w:style w:type="paragraph" w:customStyle="1" w:styleId="Summary">
    <w:name w:val="Summary"/>
    <w:basedOn w:val="BodyText"/>
    <w:qFormat/>
    <w:rsid w:val="00693500"/>
    <w:pPr>
      <w:keepLines/>
      <w:pBdr>
        <w:top w:val="single" w:sz="4" w:space="1" w:color="auto"/>
        <w:left w:val="single" w:sz="4" w:space="4" w:color="auto"/>
        <w:bottom w:val="single" w:sz="4" w:space="1" w:color="auto"/>
        <w:right w:val="single" w:sz="4" w:space="4" w:color="auto"/>
      </w:pBdr>
      <w:spacing w:line="288" w:lineRule="auto"/>
      <w:jc w:val="left"/>
    </w:pPr>
    <w:rPr>
      <w:rFonts w:ascii="Montserrat" w:eastAsia="Calibri" w:hAnsi="Montserrat" w:cs="Calibri"/>
      <w:sz w:val="18"/>
      <w:szCs w:val="20"/>
      <w:lang w:eastAsia="en-US"/>
    </w:rPr>
  </w:style>
  <w:style w:type="paragraph" w:customStyle="1" w:styleId="TableFooter">
    <w:name w:val="Table Footer"/>
    <w:basedOn w:val="Normal"/>
    <w:link w:val="TableFooterChar"/>
    <w:qFormat/>
    <w:rsid w:val="004F5D1F"/>
    <w:pPr>
      <w:widowControl w:val="0"/>
      <w:contextualSpacing/>
    </w:pPr>
    <w:rPr>
      <w:rFonts w:ascii="Arial Narrow" w:hAnsi="Arial Narrow" w:cs="Arial"/>
      <w:snapToGrid w:val="0"/>
      <w:sz w:val="18"/>
      <w:szCs w:val="20"/>
      <w:lang w:eastAsia="en-US"/>
    </w:rPr>
  </w:style>
  <w:style w:type="character" w:customStyle="1" w:styleId="TableFooterChar">
    <w:name w:val="Table Footer Char"/>
    <w:link w:val="TableFooter"/>
    <w:rsid w:val="004F5D1F"/>
    <w:rPr>
      <w:rFonts w:ascii="Arial Narrow" w:hAnsi="Arial Narrow" w:cs="Arial"/>
      <w:snapToGrid w:val="0"/>
      <w:sz w:val="18"/>
      <w:lang w:eastAsia="en-US"/>
    </w:rPr>
  </w:style>
  <w:style w:type="table" w:customStyle="1" w:styleId="PBACTableStyle">
    <w:name w:val="PBAC Table Style"/>
    <w:basedOn w:val="TableGrid1"/>
    <w:uiPriority w:val="99"/>
    <w:rsid w:val="004F5D1F"/>
    <w:pPr>
      <w:widowControl w:val="0"/>
      <w:spacing w:before="120"/>
      <w:contextualSpacing/>
      <w:jc w:val="center"/>
    </w:pPr>
    <w:rPr>
      <w:rFonts w:ascii="Arial Narrow" w:eastAsiaTheme="minorHAnsi" w:hAnsi="Arial Narrow" w:cstheme="minorBidi"/>
      <w:color w:val="000000" w:themeColor="text1"/>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SimSun" w:hAnsi="@SimSun"/>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SimSun" w:hAnsi="@SimSun"/>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SimSun" w:hAnsi="@SimSun"/>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styleId="TableGrid1">
    <w:name w:val="Table Grid 1"/>
    <w:basedOn w:val="TableNormal"/>
    <w:semiHidden/>
    <w:unhideWhenUsed/>
    <w:rsid w:val="004F5D1F"/>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ing4Char">
    <w:name w:val="Heading 4 Char"/>
    <w:basedOn w:val="DefaultParagraphFont"/>
    <w:link w:val="Heading4"/>
    <w:uiPriority w:val="3"/>
    <w:rsid w:val="00712116"/>
    <w:rPr>
      <w:rFonts w:asciiTheme="minorHAnsi" w:eastAsiaTheme="majorEastAsia" w:hAnsiTheme="minorHAnsi" w:cstheme="majorBidi"/>
      <w:b/>
      <w:color w:val="000000" w:themeColor="text1"/>
      <w:sz w:val="24"/>
      <w:szCs w:val="28"/>
      <w:lang w:eastAsia="en-US"/>
    </w:rPr>
  </w:style>
  <w:style w:type="character" w:customStyle="1" w:styleId="Heading9Char">
    <w:name w:val="Heading 9 Char"/>
    <w:aliases w:val="Section heading - Body Char"/>
    <w:basedOn w:val="DefaultParagraphFont"/>
    <w:link w:val="Heading9"/>
    <w:uiPriority w:val="12"/>
    <w:rsid w:val="00712116"/>
    <w:rPr>
      <w:rFonts w:asciiTheme="minorHAnsi" w:eastAsiaTheme="majorEastAsia" w:hAnsiTheme="minorHAnsi" w:cstheme="majorBidi"/>
      <w:b/>
      <w:sz w:val="36"/>
      <w:szCs w:val="28"/>
      <w:lang w:eastAsia="en-US"/>
    </w:rPr>
  </w:style>
  <w:style w:type="paragraph" w:customStyle="1" w:styleId="Heading1subheading">
    <w:name w:val="Heading 1 subheading"/>
    <w:basedOn w:val="Heading1"/>
    <w:next w:val="Normal"/>
    <w:uiPriority w:val="3"/>
    <w:qFormat/>
    <w:rsid w:val="00712116"/>
    <w:pPr>
      <w:spacing w:after="120" w:line="259" w:lineRule="auto"/>
      <w:ind w:left="576" w:hanging="576"/>
    </w:pPr>
    <w:rPr>
      <w:rFonts w:asciiTheme="minorHAnsi" w:hAnsiTheme="minorHAnsi"/>
      <w:b/>
      <w:caps/>
      <w:color w:val="auto"/>
      <w:sz w:val="32"/>
      <w:szCs w:val="28"/>
    </w:rPr>
  </w:style>
  <w:style w:type="paragraph" w:customStyle="1" w:styleId="Heading2Clinical">
    <w:name w:val="Heading 2 Clinical"/>
    <w:basedOn w:val="Heading3"/>
    <w:next w:val="Normal"/>
    <w:uiPriority w:val="1"/>
    <w:semiHidden/>
    <w:rsid w:val="00712116"/>
    <w:pPr>
      <w:tabs>
        <w:tab w:val="left" w:pos="1418"/>
      </w:tabs>
      <w:spacing w:before="120" w:after="120"/>
      <w:jc w:val="both"/>
    </w:pPr>
    <w:rPr>
      <w:rFonts w:asciiTheme="minorHAnsi" w:hAnsiTheme="minorHAnsi"/>
      <w:b/>
      <w:i/>
      <w:color w:val="auto"/>
    </w:rPr>
  </w:style>
  <w:style w:type="paragraph" w:styleId="NormalWeb">
    <w:name w:val="Normal (Web)"/>
    <w:basedOn w:val="Normal"/>
    <w:uiPriority w:val="99"/>
    <w:unhideWhenUsed/>
    <w:rsid w:val="00FF4163"/>
    <w:pPr>
      <w:spacing w:before="100" w:beforeAutospacing="1" w:after="100" w:afterAutospacing="1"/>
      <w:jc w:val="left"/>
    </w:pPr>
    <w:rPr>
      <w:rFonts w:ascii="Times New Roman" w:hAnsi="Times New Roman"/>
    </w:rPr>
  </w:style>
  <w:style w:type="character" w:styleId="Strong">
    <w:name w:val="Strong"/>
    <w:basedOn w:val="DefaultParagraphFont"/>
    <w:uiPriority w:val="22"/>
    <w:qFormat/>
    <w:rsid w:val="00FF4163"/>
    <w:rPr>
      <w:b/>
      <w:bCs/>
    </w:rPr>
  </w:style>
  <w:style w:type="paragraph" w:customStyle="1" w:styleId="GeneralHeading">
    <w:name w:val="General Heading"/>
    <w:qFormat/>
    <w:rsid w:val="00704AA7"/>
    <w:pPr>
      <w:keepNext/>
      <w:spacing w:before="120" w:after="120"/>
      <w:ind w:left="720" w:hanging="720"/>
      <w:outlineLvl w:val="0"/>
    </w:pPr>
    <w:rPr>
      <w:rFonts w:ascii="Calibri" w:hAnsi="Calibri" w:cs="Arial"/>
      <w:b/>
      <w:snapToGrid w:val="0"/>
      <w:sz w:val="28"/>
      <w:szCs w:val="22"/>
    </w:rPr>
  </w:style>
  <w:style w:type="paragraph" w:customStyle="1" w:styleId="TableParagraph">
    <w:name w:val="Table Paragraph"/>
    <w:basedOn w:val="Normal"/>
    <w:uiPriority w:val="1"/>
    <w:qFormat/>
    <w:rsid w:val="00383EDB"/>
    <w:pPr>
      <w:widowControl w:val="0"/>
      <w:autoSpaceDE w:val="0"/>
      <w:autoSpaceDN w:val="0"/>
      <w:spacing w:line="210" w:lineRule="exact"/>
      <w:ind w:left="107"/>
      <w:jc w:val="left"/>
    </w:pPr>
    <w:rPr>
      <w:rFonts w:ascii="Arial Narrow" w:eastAsia="Arial Narrow" w:hAnsi="Arial Narrow" w:cs="Arial Narrow"/>
      <w:sz w:val="22"/>
      <w:szCs w:val="22"/>
      <w:lang w:val="en-US" w:eastAsia="en-US"/>
    </w:rPr>
  </w:style>
  <w:style w:type="paragraph" w:customStyle="1" w:styleId="Default">
    <w:name w:val="Default"/>
    <w:rsid w:val="000016D8"/>
    <w:pPr>
      <w:autoSpaceDE w:val="0"/>
      <w:autoSpaceDN w:val="0"/>
      <w:adjustRightInd w:val="0"/>
    </w:pPr>
    <w:rPr>
      <w:rFonts w:ascii="Calibri" w:hAnsi="Calibri" w:cs="Calibri"/>
      <w:color w:val="000000"/>
      <w:sz w:val="24"/>
      <w:szCs w:val="24"/>
    </w:rPr>
  </w:style>
  <w:style w:type="paragraph" w:customStyle="1" w:styleId="PBACTabletext">
    <w:name w:val="PBAC Table text"/>
    <w:link w:val="PBACTabletextChar"/>
    <w:qFormat/>
    <w:rsid w:val="000F06A0"/>
    <w:pPr>
      <w:keepNext/>
      <w:keepLines/>
      <w:suppressLineNumbers/>
      <w:textboxTightWrap w:val="allLines"/>
    </w:pPr>
    <w:rPr>
      <w:rFonts w:ascii="Arial Narrow" w:hAnsi="Arial Narrow" w:cs="Arial"/>
      <w:szCs w:val="24"/>
      <w:lang w:eastAsia="en-GB"/>
    </w:rPr>
  </w:style>
  <w:style w:type="character" w:customStyle="1" w:styleId="PBACTabletextChar">
    <w:name w:val="PBAC Table text Char"/>
    <w:basedOn w:val="DefaultParagraphFont"/>
    <w:link w:val="PBACTabletext"/>
    <w:rsid w:val="000F06A0"/>
    <w:rPr>
      <w:rFonts w:ascii="Arial Narrow" w:hAnsi="Arial Narrow" w:cs="Arial"/>
      <w:szCs w:val="24"/>
      <w:lang w:eastAsia="en-GB"/>
    </w:rPr>
  </w:style>
  <w:style w:type="paragraph" w:customStyle="1" w:styleId="3-SubsectionHeading">
    <w:name w:val="3-Subsection Heading"/>
    <w:basedOn w:val="Heading2"/>
    <w:next w:val="Normal"/>
    <w:link w:val="3-SubsectionHeadingChar"/>
    <w:qFormat/>
    <w:rsid w:val="00FF639C"/>
    <w:pPr>
      <w:keepLines w:val="0"/>
      <w:spacing w:before="120" w:after="120"/>
      <w:jc w:val="both"/>
      <w:outlineLvl w:val="9"/>
    </w:pPr>
    <w:rPr>
      <w:rFonts w:asciiTheme="minorHAnsi" w:hAnsiTheme="minorHAnsi"/>
      <w:b/>
      <w:i/>
      <w:spacing w:val="5"/>
      <w:kern w:val="28"/>
      <w:sz w:val="28"/>
      <w:szCs w:val="36"/>
    </w:rPr>
  </w:style>
  <w:style w:type="character" w:customStyle="1" w:styleId="3-SubsectionHeadingChar">
    <w:name w:val="3-Subsection Heading Char"/>
    <w:basedOn w:val="Heading2Char"/>
    <w:link w:val="3-SubsectionHeading"/>
    <w:rsid w:val="00FF639C"/>
    <w:rPr>
      <w:rFonts w:asciiTheme="minorHAnsi" w:eastAsiaTheme="majorEastAsia" w:hAnsiTheme="minorHAnsi" w:cstheme="majorBidi"/>
      <w:b/>
      <w:i/>
      <w:color w:val="365F91" w:themeColor="accent1" w:themeShade="BF"/>
      <w:spacing w:val="5"/>
      <w:kern w:val="28"/>
      <w:sz w:val="28"/>
      <w:szCs w:val="36"/>
      <w:lang w:eastAsia="en-US"/>
    </w:rPr>
  </w:style>
  <w:style w:type="character" w:styleId="UnresolvedMention">
    <w:name w:val="Unresolved Mention"/>
    <w:basedOn w:val="DefaultParagraphFont"/>
    <w:uiPriority w:val="99"/>
    <w:semiHidden/>
    <w:unhideWhenUsed/>
    <w:rsid w:val="000B07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46462919">
      <w:bodyDiv w:val="1"/>
      <w:marLeft w:val="0"/>
      <w:marRight w:val="0"/>
      <w:marTop w:val="0"/>
      <w:marBottom w:val="0"/>
      <w:divBdr>
        <w:top w:val="none" w:sz="0" w:space="0" w:color="auto"/>
        <w:left w:val="none" w:sz="0" w:space="0" w:color="auto"/>
        <w:bottom w:val="none" w:sz="0" w:space="0" w:color="auto"/>
        <w:right w:val="none" w:sz="0" w:space="0" w:color="auto"/>
      </w:divBdr>
    </w:div>
    <w:div w:id="669870910">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46039315">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744058160">
      <w:bodyDiv w:val="1"/>
      <w:marLeft w:val="0"/>
      <w:marRight w:val="0"/>
      <w:marTop w:val="0"/>
      <w:marBottom w:val="0"/>
      <w:divBdr>
        <w:top w:val="none" w:sz="0" w:space="0" w:color="auto"/>
        <w:left w:val="none" w:sz="0" w:space="0" w:color="auto"/>
        <w:bottom w:val="none" w:sz="0" w:space="0" w:color="auto"/>
        <w:right w:val="none" w:sz="0" w:space="0" w:color="auto"/>
      </w:divBdr>
      <w:divsChild>
        <w:div w:id="652686619">
          <w:marLeft w:val="360"/>
          <w:marRight w:val="0"/>
          <w:marTop w:val="200"/>
          <w:marBottom w:val="0"/>
          <w:divBdr>
            <w:top w:val="none" w:sz="0" w:space="0" w:color="auto"/>
            <w:left w:val="none" w:sz="0" w:space="0" w:color="auto"/>
            <w:bottom w:val="none" w:sz="0" w:space="0" w:color="auto"/>
            <w:right w:val="none" w:sz="0" w:space="0" w:color="auto"/>
          </w:divBdr>
        </w:div>
        <w:div w:id="1500728003">
          <w:marLeft w:val="360"/>
          <w:marRight w:val="0"/>
          <w:marTop w:val="200"/>
          <w:marBottom w:val="0"/>
          <w:divBdr>
            <w:top w:val="none" w:sz="0" w:space="0" w:color="auto"/>
            <w:left w:val="none" w:sz="0" w:space="0" w:color="auto"/>
            <w:bottom w:val="none" w:sz="0" w:space="0" w:color="auto"/>
            <w:right w:val="none" w:sz="0" w:space="0" w:color="auto"/>
          </w:divBdr>
        </w:div>
        <w:div w:id="1790080923">
          <w:marLeft w:val="360"/>
          <w:marRight w:val="0"/>
          <w:marTop w:val="200"/>
          <w:marBottom w:val="0"/>
          <w:divBdr>
            <w:top w:val="none" w:sz="0" w:space="0" w:color="auto"/>
            <w:left w:val="none" w:sz="0" w:space="0" w:color="auto"/>
            <w:bottom w:val="none" w:sz="0" w:space="0" w:color="auto"/>
            <w:right w:val="none" w:sz="0" w:space="0" w:color="auto"/>
          </w:divBdr>
        </w:div>
        <w:div w:id="2004622789">
          <w:marLeft w:val="360"/>
          <w:marRight w:val="0"/>
          <w:marTop w:val="200"/>
          <w:marBottom w:val="0"/>
          <w:divBdr>
            <w:top w:val="none" w:sz="0" w:space="0" w:color="auto"/>
            <w:left w:val="none" w:sz="0" w:space="0" w:color="auto"/>
            <w:bottom w:val="none" w:sz="0" w:space="0" w:color="auto"/>
            <w:right w:val="none" w:sz="0" w:space="0" w:color="auto"/>
          </w:divBdr>
        </w:div>
        <w:div w:id="1680618566">
          <w:marLeft w:val="360"/>
          <w:marRight w:val="0"/>
          <w:marTop w:val="200"/>
          <w:marBottom w:val="0"/>
          <w:divBdr>
            <w:top w:val="none" w:sz="0" w:space="0" w:color="auto"/>
            <w:left w:val="none" w:sz="0" w:space="0" w:color="auto"/>
            <w:bottom w:val="none" w:sz="0" w:space="0" w:color="auto"/>
            <w:right w:val="none" w:sz="0" w:space="0" w:color="auto"/>
          </w:divBdr>
        </w:div>
        <w:div w:id="18089987">
          <w:marLeft w:val="360"/>
          <w:marRight w:val="0"/>
          <w:marTop w:val="20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e51428b0228e67eced309ab2eb588d06">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38a8809e295465d0786272f204bf628"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4462057D-F74C-4C47-A101-556807F39DB5}">
  <ds:schemaRefs>
    <ds:schemaRef ds:uri="http://schemas.openxmlformats.org/officeDocument/2006/bibliography"/>
  </ds:schemaRefs>
</ds:datastoreItem>
</file>

<file path=customXml/itemProps2.xml><?xml version="1.0" encoding="utf-8"?>
<ds:datastoreItem xmlns:ds="http://schemas.openxmlformats.org/officeDocument/2006/customXml" ds:itemID="{071C5EEB-9467-48E4-A419-B2A1139D4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7CF216-EC3D-43C1-B8A7-E7054C88289C}">
  <ds:schemaRefs>
    <ds:schemaRef ds:uri="http://schemas.microsoft.com/sharepoint/v3/contenttype/forms"/>
  </ds:schemaRefs>
</ds:datastoreItem>
</file>

<file path=customXml/itemProps4.xml><?xml version="1.0" encoding="utf-8"?>
<ds:datastoreItem xmlns:ds="http://schemas.openxmlformats.org/officeDocument/2006/customXml" ds:itemID="{AE9B6FA4-6EDB-442B-8396-535816A790BF}">
  <ds:schemaRefs>
    <ds:schemaRef ds:uri="http://purl.org/dc/dcmitype/"/>
    <ds:schemaRef ds:uri="http://purl.org/dc/terms/"/>
    <ds:schemaRef ds:uri="72f95629-adac-4ec1-8738-e1cec852b92b"/>
    <ds:schemaRef ds:uri="http://purl.org/dc/elements/1.1/"/>
    <ds:schemaRef ds:uri="http://schemas.microsoft.com/office/infopath/2007/PartnerControls"/>
    <ds:schemaRef ds:uri="http://schemas.microsoft.com/office/2006/documentManagement/types"/>
    <ds:schemaRef ds:uri="7f856f8d-13b3-495a-9a4b-41f8182eda4c"/>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5927</Words>
  <Characters>33693</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2025-10-30T00:05:00Z</dcterms:created>
  <dcterms:modified xsi:type="dcterms:W3CDTF">2025-10-30T01:16:00Z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4c8f05a1,8be9010,619d6f23</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67c2adc7,4573f58a,408e9b4b</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2025-10-30T00:06:40Z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b645c300-4a9d-423c-b953-2442e2e0a76e</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7cd3e8b9-ffed-43a8-b7f4-cc2fa0382d36_Removed">
    <vt:lpwstr>False</vt:lpwstr>
  </property>
  <property fmtid="{D5CDD505-2E9C-101B-9397-08002B2CF9AE}" pid="17" name="MediaServiceImageTags">
    <vt:lpwstr/>
  </property>
  <property fmtid="{D5CDD505-2E9C-101B-9397-08002B2CF9AE}" pid="18" name="ContentTypeId">
    <vt:lpwstr>0x0101007FED174C5281F747A8037A05221D6DBD</vt:lpwstr>
  </property>
  <property fmtid="{D5CDD505-2E9C-101B-9397-08002B2CF9AE}" pid="19" name="MSIP_Label_7cd3e8b9-ffed-43a8-b7f4-cc2fa0382d36_Extended_MSFT_Method">
    <vt:lpwstr>Standard</vt:lpwstr>
  </property>
  <property fmtid="{D5CDD505-2E9C-101B-9397-08002B2CF9AE}" pid="20" name="Sensitivity">
    <vt:lpwstr>OFFICIAL</vt:lpwstr>
  </property>
  <property fmtid="{D5CDD505-2E9C-101B-9397-08002B2CF9AE}" pid="21" name="docLang">
    <vt:lpwstr>en</vt:lpwstr>
  </property>
</Properties>
</file>