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7CB4" w14:textId="5FDF2AF2" w:rsidR="00837B7F" w:rsidRPr="00460143" w:rsidRDefault="00580412" w:rsidP="00DA50BA">
      <w:pPr>
        <w:pStyle w:val="1MainTitle"/>
        <w:jc w:val="left"/>
      </w:pPr>
      <w:r w:rsidRPr="00460143">
        <w:t>5</w:t>
      </w:r>
      <w:r w:rsidR="70971A32" w:rsidRPr="00460143">
        <w:t>.</w:t>
      </w:r>
      <w:r w:rsidRPr="00460143">
        <w:t>26</w:t>
      </w:r>
      <w:r w:rsidR="00872E8F" w:rsidRPr="00460143">
        <w:tab/>
      </w:r>
      <w:r w:rsidR="00CB248A" w:rsidRPr="00460143">
        <w:t>OCRELIZUMAB</w:t>
      </w:r>
      <w:r w:rsidR="70971A32" w:rsidRPr="00460143">
        <w:t>,</w:t>
      </w:r>
      <w:r w:rsidR="00872E8F" w:rsidRPr="00460143">
        <w:br/>
      </w:r>
      <w:r w:rsidR="009F034E" w:rsidRPr="00460143">
        <w:t>Solut</w:t>
      </w:r>
      <w:r w:rsidR="00F25C4B" w:rsidRPr="00460143">
        <w:t xml:space="preserve">ion for </w:t>
      </w:r>
      <w:r w:rsidR="007469FF" w:rsidRPr="00460143">
        <w:t>subcutaneous injection</w:t>
      </w:r>
      <w:r w:rsidR="00F25C4B" w:rsidRPr="00460143">
        <w:t xml:space="preserve"> </w:t>
      </w:r>
      <w:r w:rsidR="00D637B7" w:rsidRPr="00460143">
        <w:t xml:space="preserve">920 mg in 23 mL, </w:t>
      </w:r>
      <w:r w:rsidR="00872E8F" w:rsidRPr="00460143">
        <w:br/>
      </w:r>
      <w:r w:rsidR="004C0E53" w:rsidRPr="00460143">
        <w:t>Ocrevus</w:t>
      </w:r>
      <w:r w:rsidR="70971A32" w:rsidRPr="00460143">
        <w:t>®,</w:t>
      </w:r>
      <w:r w:rsidR="00872E8F" w:rsidRPr="00460143">
        <w:br/>
      </w:r>
      <w:r w:rsidR="00482BDE" w:rsidRPr="00460143">
        <w:t>Roche Products Pty Ltd</w:t>
      </w:r>
    </w:p>
    <w:p w14:paraId="5F4D54C1" w14:textId="1900C87B" w:rsidR="00E11F44" w:rsidRPr="00460143" w:rsidRDefault="007E490F" w:rsidP="00CD6257">
      <w:pPr>
        <w:pStyle w:val="2-SectionHeading"/>
        <w:rPr>
          <w:rFonts w:cstheme="minorHAnsi"/>
          <w:color w:val="FF0000"/>
        </w:rPr>
      </w:pPr>
      <w:r w:rsidRPr="00460143">
        <w:t xml:space="preserve">Purpose of </w:t>
      </w:r>
      <w:r w:rsidR="00FA0B04" w:rsidRPr="00460143">
        <w:t>Submission</w:t>
      </w:r>
      <w:r w:rsidRPr="00460143">
        <w:t xml:space="preserve"> </w:t>
      </w:r>
    </w:p>
    <w:p w14:paraId="20FC615A" w14:textId="0F5221A2" w:rsidR="00640D16" w:rsidRPr="00460143" w:rsidRDefault="006C6C10" w:rsidP="00F351F0">
      <w:pPr>
        <w:pStyle w:val="3-BodyText"/>
      </w:pPr>
      <w:r w:rsidRPr="00460143">
        <w:t xml:space="preserve">The Category </w:t>
      </w:r>
      <w:r w:rsidR="00D73864" w:rsidRPr="00460143">
        <w:t>4</w:t>
      </w:r>
      <w:r w:rsidR="00C96EC0" w:rsidRPr="00460143">
        <w:t xml:space="preserve"> </w:t>
      </w:r>
      <w:r w:rsidRPr="00460143">
        <w:t xml:space="preserve">submission </w:t>
      </w:r>
      <w:r w:rsidR="00244BEC" w:rsidRPr="00460143">
        <w:t>requested</w:t>
      </w:r>
      <w:r w:rsidRPr="00460143">
        <w:t xml:space="preserve"> </w:t>
      </w:r>
      <w:r w:rsidR="00BB0D4D" w:rsidRPr="00460143">
        <w:t>Section 100</w:t>
      </w:r>
      <w:r w:rsidR="005A55CE" w:rsidRPr="00460143">
        <w:t xml:space="preserve"> (Highly Specialised Drugs Program)</w:t>
      </w:r>
      <w:r w:rsidR="00EE7FA3" w:rsidRPr="00460143">
        <w:t xml:space="preserve"> (S100 HSD)</w:t>
      </w:r>
      <w:r w:rsidR="00BB0D4D" w:rsidRPr="00460143">
        <w:t xml:space="preserve"> </w:t>
      </w:r>
      <w:r w:rsidR="000D331A" w:rsidRPr="00460143">
        <w:t xml:space="preserve">Authority Required </w:t>
      </w:r>
      <w:r w:rsidR="00941542" w:rsidRPr="00460143">
        <w:t xml:space="preserve">(STREAMLINED) </w:t>
      </w:r>
      <w:r w:rsidR="0073736F" w:rsidRPr="2838E2D1">
        <w:t>list</w:t>
      </w:r>
      <w:r w:rsidR="00BB0D4D" w:rsidRPr="2838E2D1">
        <w:t xml:space="preserve">ing </w:t>
      </w:r>
      <w:r w:rsidR="00A6351B" w:rsidRPr="2838E2D1">
        <w:t>of a new form of</w:t>
      </w:r>
      <w:r w:rsidR="0073736F" w:rsidRPr="2838E2D1">
        <w:t xml:space="preserve"> </w:t>
      </w:r>
      <w:r w:rsidR="000A0E58" w:rsidRPr="2838E2D1">
        <w:t xml:space="preserve">ocrelizumab </w:t>
      </w:r>
      <w:r w:rsidR="00D21169" w:rsidRPr="2838E2D1">
        <w:t>(</w:t>
      </w:r>
      <w:r w:rsidR="000A0E58" w:rsidRPr="2838E2D1">
        <w:t>solution for subcutaneous in</w:t>
      </w:r>
      <w:r w:rsidR="00E20280" w:rsidRPr="2838E2D1">
        <w:t>j</w:t>
      </w:r>
      <w:r w:rsidR="000A0E58" w:rsidRPr="2838E2D1">
        <w:t>ection 920</w:t>
      </w:r>
      <w:r w:rsidR="00E20280" w:rsidRPr="2838E2D1">
        <w:t> </w:t>
      </w:r>
      <w:r w:rsidR="000A0E58" w:rsidRPr="2838E2D1">
        <w:t>mg in 23 mL</w:t>
      </w:r>
      <w:r w:rsidR="00D21169" w:rsidRPr="2838E2D1">
        <w:t>; here</w:t>
      </w:r>
      <w:r w:rsidR="00FB1D05" w:rsidRPr="2838E2D1">
        <w:t>in</w:t>
      </w:r>
      <w:r w:rsidR="00D21169" w:rsidRPr="2838E2D1">
        <w:t xml:space="preserve"> referred to as </w:t>
      </w:r>
      <w:r w:rsidR="00A214A8" w:rsidRPr="2838E2D1">
        <w:t xml:space="preserve">ocrelizumab </w:t>
      </w:r>
      <w:r w:rsidR="00FA55DB" w:rsidRPr="2838E2D1">
        <w:t>SC</w:t>
      </w:r>
      <w:r w:rsidR="0073736F" w:rsidRPr="2838E2D1">
        <w:t>)</w:t>
      </w:r>
      <w:r w:rsidR="00E20280" w:rsidRPr="2838E2D1">
        <w:t>,</w:t>
      </w:r>
      <w:r w:rsidR="0073736F" w:rsidRPr="2838E2D1">
        <w:t xml:space="preserve"> under the same circumstances a</w:t>
      </w:r>
      <w:r w:rsidR="00982D90" w:rsidRPr="2838E2D1">
        <w:t>s</w:t>
      </w:r>
      <w:r w:rsidR="00FA55DB" w:rsidRPr="2838E2D1">
        <w:t xml:space="preserve"> </w:t>
      </w:r>
      <w:r w:rsidR="0073736F" w:rsidRPr="2838E2D1">
        <w:t>the</w:t>
      </w:r>
      <w:r w:rsidR="00FB1D05" w:rsidRPr="2838E2D1">
        <w:t xml:space="preserve"> Pharmaceutical Benefits Scheme</w:t>
      </w:r>
      <w:r w:rsidR="0073736F" w:rsidRPr="2838E2D1">
        <w:t xml:space="preserve"> </w:t>
      </w:r>
      <w:r w:rsidR="00FB1D05" w:rsidRPr="2838E2D1">
        <w:t>(</w:t>
      </w:r>
      <w:r w:rsidR="0073736F" w:rsidRPr="2838E2D1">
        <w:t>PBS</w:t>
      </w:r>
      <w:r w:rsidR="00FB1D05" w:rsidRPr="2838E2D1">
        <w:t>)</w:t>
      </w:r>
      <w:r w:rsidR="0073736F" w:rsidRPr="2838E2D1">
        <w:t xml:space="preserve">-listed </w:t>
      </w:r>
      <w:r w:rsidR="002D10E7" w:rsidRPr="2838E2D1">
        <w:t xml:space="preserve">ocrelizumab </w:t>
      </w:r>
      <w:r w:rsidR="00022760" w:rsidRPr="2838E2D1">
        <w:t xml:space="preserve">solution concentrate for </w:t>
      </w:r>
      <w:r w:rsidR="00735C82" w:rsidRPr="2838E2D1">
        <w:t xml:space="preserve">intravenous </w:t>
      </w:r>
      <w:r w:rsidR="00022760" w:rsidRPr="2838E2D1">
        <w:t>infusion 300</w:t>
      </w:r>
      <w:r w:rsidR="00E20280" w:rsidRPr="2838E2D1">
        <w:t> </w:t>
      </w:r>
      <w:r w:rsidR="00022760" w:rsidRPr="2838E2D1">
        <w:t>mg in 10 mL</w:t>
      </w:r>
      <w:r w:rsidR="00DC5D22" w:rsidRPr="2838E2D1">
        <w:t xml:space="preserve"> </w:t>
      </w:r>
      <w:r w:rsidR="00180CFB" w:rsidRPr="2838E2D1">
        <w:t xml:space="preserve">(herein </w:t>
      </w:r>
      <w:r w:rsidR="00DC5D22" w:rsidRPr="2838E2D1">
        <w:t>referred to as ocrelizumab IV</w:t>
      </w:r>
      <w:r w:rsidR="00180CFB" w:rsidRPr="2838E2D1">
        <w:t>)</w:t>
      </w:r>
      <w:r w:rsidR="00624586" w:rsidRPr="2838E2D1">
        <w:t xml:space="preserve">, </w:t>
      </w:r>
      <w:r w:rsidR="00624586" w:rsidRPr="00460143">
        <w:t>for the treatment of adult patients with relapsing-remitting multiple sclerosis (RRMS)</w:t>
      </w:r>
      <w:r w:rsidR="0073736F" w:rsidRPr="2838E2D1">
        <w:t xml:space="preserve">. </w:t>
      </w:r>
    </w:p>
    <w:p w14:paraId="6D96FEB6" w14:textId="0D27AFCF" w:rsidR="00DC732A" w:rsidRPr="00460143" w:rsidRDefault="00640D16" w:rsidP="0079250E">
      <w:pPr>
        <w:pStyle w:val="3-BodyText"/>
        <w:rPr>
          <w:rFonts w:cstheme="minorHAnsi"/>
          <w:szCs w:val="24"/>
        </w:rPr>
      </w:pPr>
      <w:r w:rsidRPr="00460143">
        <w:t>Listing</w:t>
      </w:r>
      <w:r w:rsidRPr="00460143">
        <w:rPr>
          <w:rFonts w:cstheme="minorHAnsi"/>
          <w:szCs w:val="24"/>
        </w:rPr>
        <w:t xml:space="preserve"> </w:t>
      </w:r>
      <w:r w:rsidR="00DC732A" w:rsidRPr="00460143">
        <w:rPr>
          <w:rFonts w:cstheme="minorHAnsi"/>
          <w:szCs w:val="24"/>
        </w:rPr>
        <w:t xml:space="preserve">was requested on a cost-minimisation </w:t>
      </w:r>
      <w:r w:rsidR="000414C9" w:rsidRPr="00460143">
        <w:rPr>
          <w:rFonts w:cstheme="minorHAnsi"/>
          <w:szCs w:val="24"/>
        </w:rPr>
        <w:t>basis</w:t>
      </w:r>
      <w:r w:rsidR="00DC59B6" w:rsidRPr="00460143">
        <w:rPr>
          <w:rFonts w:cstheme="minorHAnsi"/>
          <w:szCs w:val="24"/>
        </w:rPr>
        <w:t xml:space="preserve"> </w:t>
      </w:r>
      <w:r w:rsidR="00DC732A" w:rsidRPr="00460143">
        <w:rPr>
          <w:rFonts w:cstheme="minorHAnsi"/>
          <w:szCs w:val="24"/>
        </w:rPr>
        <w:t xml:space="preserve">versus </w:t>
      </w:r>
      <w:r w:rsidR="0067724C" w:rsidRPr="00460143">
        <w:rPr>
          <w:rFonts w:cstheme="minorHAnsi"/>
        </w:rPr>
        <w:t>ocrelizumab</w:t>
      </w:r>
      <w:r w:rsidR="00790D7E" w:rsidRPr="00460143">
        <w:rPr>
          <w:rFonts w:cstheme="minorHAnsi"/>
        </w:rPr>
        <w:t xml:space="preserve"> IV</w:t>
      </w:r>
      <w:r w:rsidR="00DC732A" w:rsidRPr="00460143">
        <w:rPr>
          <w:rFonts w:cstheme="minorHAnsi"/>
          <w:szCs w:val="24"/>
        </w:rPr>
        <w:t>.</w:t>
      </w:r>
    </w:p>
    <w:p w14:paraId="3D1D4320" w14:textId="77777777" w:rsidR="007E490F" w:rsidRPr="00460143" w:rsidRDefault="007E490F" w:rsidP="001F2311">
      <w:pPr>
        <w:pStyle w:val="2-SectionHeading"/>
        <w:numPr>
          <w:ilvl w:val="0"/>
          <w:numId w:val="2"/>
        </w:numPr>
      </w:pPr>
      <w:r w:rsidRPr="00460143">
        <w:t xml:space="preserve">Background </w:t>
      </w:r>
    </w:p>
    <w:p w14:paraId="191017D9" w14:textId="56F4C1E4" w:rsidR="001F2311" w:rsidRPr="00460143" w:rsidRDefault="00C13EE0" w:rsidP="00A906FC">
      <w:pPr>
        <w:pStyle w:val="3-BodyText"/>
        <w:rPr>
          <w:color w:val="FF0000"/>
        </w:rPr>
      </w:pPr>
      <w:r w:rsidRPr="00460143">
        <w:rPr>
          <w:rFonts w:cstheme="minorHAnsi"/>
        </w:rPr>
        <w:t xml:space="preserve">Ocrelizumab </w:t>
      </w:r>
      <w:r w:rsidR="00982D90" w:rsidRPr="00460143">
        <w:t>IV</w:t>
      </w:r>
      <w:r w:rsidR="0000123C" w:rsidRPr="00460143">
        <w:t xml:space="preserve"> </w:t>
      </w:r>
      <w:r w:rsidR="001F2311" w:rsidRPr="00460143">
        <w:t xml:space="preserve">is currently listed on the PBS as </w:t>
      </w:r>
      <w:r w:rsidR="000D331A" w:rsidRPr="00460143">
        <w:t>Section 100</w:t>
      </w:r>
      <w:r w:rsidR="00BB5B01" w:rsidRPr="00460143">
        <w:t xml:space="preserve"> (Highly Specialised Drugs Program)</w:t>
      </w:r>
      <w:r w:rsidR="000D331A" w:rsidRPr="00460143">
        <w:t xml:space="preserve"> </w:t>
      </w:r>
      <w:r w:rsidR="001F2311" w:rsidRPr="00460143">
        <w:t>Authority Required (</w:t>
      </w:r>
      <w:r w:rsidR="00831841" w:rsidRPr="00460143">
        <w:t>STREAMLINED</w:t>
      </w:r>
      <w:r w:rsidR="001F2311" w:rsidRPr="00460143">
        <w:t>) listin</w:t>
      </w:r>
      <w:r w:rsidR="00BB5B01" w:rsidRPr="00460143">
        <w:t>gs (S100 HSD Private and S100 HSD Public)</w:t>
      </w:r>
      <w:r w:rsidR="001F2311" w:rsidRPr="00460143">
        <w:t xml:space="preserve"> for</w:t>
      </w:r>
      <w:r w:rsidR="00AD4C88" w:rsidRPr="00460143">
        <w:t xml:space="preserve"> </w:t>
      </w:r>
      <w:r w:rsidR="002D2D3B" w:rsidRPr="00460143">
        <w:t>multiple sclerosis.</w:t>
      </w:r>
      <w:r w:rsidR="001F2311" w:rsidRPr="00460143">
        <w:t xml:space="preserve">  </w:t>
      </w:r>
    </w:p>
    <w:p w14:paraId="5B2B5AC9" w14:textId="613898F4" w:rsidR="00970FCA" w:rsidRPr="00460143" w:rsidRDefault="00970FCA" w:rsidP="00A906FC">
      <w:pPr>
        <w:pStyle w:val="3-BodyText"/>
      </w:pPr>
      <w:r w:rsidRPr="00460143">
        <w:t xml:space="preserve">The submission stated </w:t>
      </w:r>
      <w:r w:rsidR="00C13F61" w:rsidRPr="00460143">
        <w:t>ocrelizumab SC provides an alternative manner of administration for ocrelizumab. It claimed that ocrelizumab SC has the following advantages compared to ocrelizumab IV:</w:t>
      </w:r>
    </w:p>
    <w:p w14:paraId="4A5AEB33" w14:textId="611935FD" w:rsidR="00C13F61" w:rsidRPr="00460143" w:rsidRDefault="00DB06B4" w:rsidP="00C13F61">
      <w:pPr>
        <w:pStyle w:val="3-BodyText"/>
        <w:numPr>
          <w:ilvl w:val="0"/>
          <w:numId w:val="45"/>
        </w:numPr>
      </w:pPr>
      <w:r w:rsidRPr="00460143">
        <w:t>Reduced administration time (</w:t>
      </w:r>
      <w:r w:rsidR="0067627C" w:rsidRPr="00460143">
        <w:t xml:space="preserve">ocrelizumab SC is administered </w:t>
      </w:r>
      <w:r w:rsidR="00127007" w:rsidRPr="00460143">
        <w:t>over approximately 10 minutes</w:t>
      </w:r>
      <w:r w:rsidR="00174EA8" w:rsidRPr="00460143">
        <w:t xml:space="preserve"> compared to 2-3.5 hours for the infusion</w:t>
      </w:r>
      <w:r w:rsidRPr="00460143">
        <w:t>)</w:t>
      </w:r>
      <w:r w:rsidR="00AF0FE4" w:rsidRPr="00460143">
        <w:t>.</w:t>
      </w:r>
    </w:p>
    <w:p w14:paraId="7DF0413B" w14:textId="0994D3C5" w:rsidR="00DB06B4" w:rsidRPr="00460143" w:rsidRDefault="00DB06B4" w:rsidP="00C13F61">
      <w:pPr>
        <w:pStyle w:val="3-BodyText"/>
        <w:numPr>
          <w:ilvl w:val="0"/>
          <w:numId w:val="45"/>
        </w:numPr>
      </w:pPr>
      <w:r w:rsidRPr="00460143">
        <w:t>Increased patient satisfaction and convenience</w:t>
      </w:r>
      <w:r w:rsidR="00D1229B" w:rsidRPr="00460143">
        <w:t>, and reduced time away from work</w:t>
      </w:r>
      <w:r w:rsidR="00AF0FE4" w:rsidRPr="00460143">
        <w:t>.</w:t>
      </w:r>
    </w:p>
    <w:p w14:paraId="1BB888A3" w14:textId="5B5E94E8" w:rsidR="00DB06B4" w:rsidRPr="00460143" w:rsidRDefault="002B3BCE" w:rsidP="00C13F61">
      <w:pPr>
        <w:pStyle w:val="3-BodyText"/>
        <w:numPr>
          <w:ilvl w:val="0"/>
          <w:numId w:val="45"/>
        </w:numPr>
      </w:pPr>
      <w:r w:rsidRPr="00460143">
        <w:t xml:space="preserve">Lower use of resources due to </w:t>
      </w:r>
      <w:r w:rsidR="00663A37" w:rsidRPr="00460143">
        <w:t xml:space="preserve">less time spent by the patient in hospital, </w:t>
      </w:r>
      <w:r w:rsidR="005823B3" w:rsidRPr="00460143">
        <w:t>less time spent by healthcare professionals administering and monitoring treatment, reduced use of consumables</w:t>
      </w:r>
      <w:r w:rsidR="00287A08" w:rsidRPr="00460143">
        <w:t xml:space="preserve"> and time associated with preparing and administering ocrelizumab IV</w:t>
      </w:r>
      <w:r w:rsidR="00DB75BE" w:rsidRPr="00460143">
        <w:t xml:space="preserve"> (the SC form is available ready-to-use versus </w:t>
      </w:r>
      <w:r w:rsidR="00D213D2" w:rsidRPr="00460143">
        <w:t xml:space="preserve">the IV form </w:t>
      </w:r>
      <w:r w:rsidR="00E35FB7" w:rsidRPr="00460143">
        <w:t>which requires preparation before administration)</w:t>
      </w:r>
      <w:r w:rsidR="00287A08" w:rsidRPr="00460143">
        <w:t>.</w:t>
      </w:r>
    </w:p>
    <w:p w14:paraId="6508276F" w14:textId="52012D97" w:rsidR="00D4642A" w:rsidRPr="00460143" w:rsidRDefault="00D4642A" w:rsidP="00D4642A">
      <w:pPr>
        <w:pStyle w:val="3-BodyText"/>
      </w:pPr>
      <w:r w:rsidRPr="00460143">
        <w:t xml:space="preserve">The submission further claimed that </w:t>
      </w:r>
      <w:r w:rsidR="0078665C" w:rsidRPr="00460143">
        <w:t xml:space="preserve">if ocrelizumab SC was well-tolerated and </w:t>
      </w:r>
      <w:r w:rsidR="00E803A9" w:rsidRPr="00460143">
        <w:t xml:space="preserve">the prescriber planned to continue treatment, </w:t>
      </w:r>
      <w:r w:rsidR="004E63BB" w:rsidRPr="00460143">
        <w:t>the injection could be administered during the m</w:t>
      </w:r>
      <w:r w:rsidR="002A1E41" w:rsidRPr="00460143">
        <w:t>edical review (i.e. only one appointment would be required</w:t>
      </w:r>
      <w:r w:rsidR="007523EE" w:rsidRPr="00460143">
        <w:t xml:space="preserve"> without a follow-up appointment for administration), </w:t>
      </w:r>
      <w:r w:rsidR="0078546E" w:rsidRPr="00460143">
        <w:t xml:space="preserve">thereby </w:t>
      </w:r>
      <w:r w:rsidR="00C642E6" w:rsidRPr="00460143">
        <w:t>improving convenience for patients and reducing use of healthcare resources.</w:t>
      </w:r>
    </w:p>
    <w:p w14:paraId="33C2C319" w14:textId="66DF215F" w:rsidR="007E490F" w:rsidRPr="00460143" w:rsidRDefault="007E490F" w:rsidP="00691A2C">
      <w:pPr>
        <w:pStyle w:val="4-SubsectionHeading"/>
      </w:pPr>
      <w:r w:rsidRPr="00460143">
        <w:lastRenderedPageBreak/>
        <w:t>Registration status</w:t>
      </w:r>
    </w:p>
    <w:p w14:paraId="59742250" w14:textId="5495F6CE" w:rsidR="00513D26" w:rsidRPr="00460143" w:rsidRDefault="00685CEF" w:rsidP="0070415B">
      <w:pPr>
        <w:pStyle w:val="3-BodyText"/>
      </w:pPr>
      <w:r w:rsidRPr="00460143">
        <w:t>Ocrelizumab SC was Therapeutic Goods Administration (TGA) registered on 27</w:t>
      </w:r>
      <w:r w:rsidR="0070415B" w:rsidRPr="00460143">
        <w:t> </w:t>
      </w:r>
      <w:r w:rsidRPr="00460143">
        <w:t>March</w:t>
      </w:r>
      <w:r w:rsidR="0070415B" w:rsidRPr="00460143">
        <w:t> </w:t>
      </w:r>
      <w:r w:rsidRPr="00460143">
        <w:t>2025</w:t>
      </w:r>
      <w:r w:rsidR="0070415B" w:rsidRPr="00460143">
        <w:t xml:space="preserve"> </w:t>
      </w:r>
      <w:r w:rsidR="00513D26" w:rsidRPr="00460143">
        <w:t xml:space="preserve">for: </w:t>
      </w:r>
    </w:p>
    <w:p w14:paraId="500A3280" w14:textId="214A614F" w:rsidR="00513D26" w:rsidRPr="00460143" w:rsidRDefault="002F3921" w:rsidP="00513D26">
      <w:pPr>
        <w:pStyle w:val="3-BodyText"/>
        <w:numPr>
          <w:ilvl w:val="0"/>
          <w:numId w:val="40"/>
        </w:numPr>
      </w:pPr>
      <w:r w:rsidRPr="00460143">
        <w:t>t</w:t>
      </w:r>
      <w:r w:rsidR="00513D26" w:rsidRPr="00460143">
        <w:t xml:space="preserve">he treatment of patients with </w:t>
      </w:r>
      <w:r w:rsidR="00C41830" w:rsidRPr="00460143">
        <w:t>relapsing forms of multiple sclerosis to delay the progression of physical disability and to reduce the frequency of relapse</w:t>
      </w:r>
      <w:r w:rsidR="00513D26" w:rsidRPr="00460143">
        <w:t xml:space="preserve">. </w:t>
      </w:r>
    </w:p>
    <w:p w14:paraId="2E02A605" w14:textId="3D83C5C0" w:rsidR="00513D26" w:rsidRPr="00460143" w:rsidRDefault="002F3921" w:rsidP="00F351F0">
      <w:pPr>
        <w:pStyle w:val="3-BodyText"/>
        <w:numPr>
          <w:ilvl w:val="0"/>
          <w:numId w:val="40"/>
        </w:numPr>
      </w:pPr>
      <w:r w:rsidRPr="00460143">
        <w:t>t</w:t>
      </w:r>
      <w:r w:rsidR="00513D26" w:rsidRPr="00460143">
        <w:t>he treatment of patients</w:t>
      </w:r>
      <w:r w:rsidR="00C41830" w:rsidRPr="00460143">
        <w:t xml:space="preserve"> </w:t>
      </w:r>
      <w:r w:rsidR="00951A79" w:rsidRPr="00460143">
        <w:t xml:space="preserve">with </w:t>
      </w:r>
      <w:r w:rsidR="00C41830" w:rsidRPr="00460143">
        <w:t>primary progressive multiple sclerosis (PPMS) to delay the progression of physical disability</w:t>
      </w:r>
      <w:r w:rsidR="00513D26" w:rsidRPr="00460143">
        <w:t>.</w:t>
      </w:r>
    </w:p>
    <w:p w14:paraId="056E0FC8" w14:textId="4F0FE510" w:rsidR="00FA6ED7" w:rsidRPr="00460143" w:rsidRDefault="002F3921" w:rsidP="00380995">
      <w:pPr>
        <w:pStyle w:val="3-BodyText"/>
        <w:rPr>
          <w:color w:val="FF0000"/>
        </w:rPr>
      </w:pPr>
      <w:r w:rsidRPr="00460143">
        <w:t>Ocrelizumab IV is TGA registered for the same indications.</w:t>
      </w:r>
    </w:p>
    <w:p w14:paraId="0094486E" w14:textId="77777777" w:rsidR="007E490F" w:rsidRPr="00460143" w:rsidRDefault="007E490F" w:rsidP="00691A2C">
      <w:pPr>
        <w:pStyle w:val="4-SubsectionHeading"/>
      </w:pPr>
      <w:r w:rsidRPr="00460143">
        <w:t xml:space="preserve">Previous PBAC consideration </w:t>
      </w:r>
    </w:p>
    <w:p w14:paraId="4411634A" w14:textId="2EBCFE9F" w:rsidR="00FF6524" w:rsidRPr="00460143" w:rsidRDefault="00695FE0" w:rsidP="00A906FC">
      <w:pPr>
        <w:pStyle w:val="3-BodyText"/>
      </w:pPr>
      <w:r w:rsidRPr="00460143">
        <w:rPr>
          <w:rFonts w:cstheme="minorHAnsi"/>
        </w:rPr>
        <w:t xml:space="preserve">Ocrelizumab </w:t>
      </w:r>
      <w:r w:rsidR="005A33E5" w:rsidRPr="00460143">
        <w:rPr>
          <w:iCs/>
        </w:rPr>
        <w:t xml:space="preserve">SC </w:t>
      </w:r>
      <w:r w:rsidR="009F4F71" w:rsidRPr="00460143">
        <w:rPr>
          <w:iCs/>
        </w:rPr>
        <w:t xml:space="preserve">has not been considered by the </w:t>
      </w:r>
      <w:r w:rsidR="006418EE" w:rsidRPr="00460143">
        <w:rPr>
          <w:iCs/>
        </w:rPr>
        <w:t>Pharmaceutical Benefits Advisory Committee (</w:t>
      </w:r>
      <w:r w:rsidR="009F4F71" w:rsidRPr="00460143">
        <w:rPr>
          <w:iCs/>
        </w:rPr>
        <w:t>PBAC</w:t>
      </w:r>
      <w:r w:rsidR="006418EE" w:rsidRPr="00460143">
        <w:rPr>
          <w:iCs/>
        </w:rPr>
        <w:t>)</w:t>
      </w:r>
      <w:r w:rsidR="009F4F71" w:rsidRPr="00460143">
        <w:rPr>
          <w:iCs/>
        </w:rPr>
        <w:t xml:space="preserve"> previously. </w:t>
      </w:r>
    </w:p>
    <w:p w14:paraId="5C6809F1" w14:textId="229F71C0" w:rsidR="007E490F" w:rsidRPr="00460143" w:rsidRDefault="00E5375A" w:rsidP="00A906FC">
      <w:pPr>
        <w:pStyle w:val="3-BodyText"/>
      </w:pPr>
      <w:r w:rsidRPr="00460143">
        <w:t>At its July 2017 meeting, the PBAC recommended listing o</w:t>
      </w:r>
      <w:r w:rsidR="000E16E3" w:rsidRPr="00460143">
        <w:t xml:space="preserve">crelizumab </w:t>
      </w:r>
      <w:r w:rsidR="003C52B7" w:rsidRPr="00460143">
        <w:t>IV</w:t>
      </w:r>
      <w:r w:rsidR="007E490F" w:rsidRPr="00460143">
        <w:t xml:space="preserve"> </w:t>
      </w:r>
      <w:r w:rsidRPr="00460143">
        <w:t xml:space="preserve">on the PBS </w:t>
      </w:r>
      <w:r w:rsidR="00E12E29" w:rsidRPr="00460143">
        <w:t xml:space="preserve">for </w:t>
      </w:r>
      <w:r w:rsidR="002A39B2" w:rsidRPr="00460143">
        <w:t xml:space="preserve">the treatment of </w:t>
      </w:r>
      <w:r w:rsidR="00E12E29" w:rsidRPr="00460143">
        <w:t>R</w:t>
      </w:r>
      <w:r w:rsidR="00747FAE" w:rsidRPr="00460143">
        <w:t>R</w:t>
      </w:r>
      <w:r w:rsidR="00E12E29" w:rsidRPr="00460143">
        <w:t>MS</w:t>
      </w:r>
      <w:r w:rsidR="007E490F" w:rsidRPr="00460143">
        <w:t xml:space="preserve"> </w:t>
      </w:r>
      <w:r w:rsidR="00FF518B" w:rsidRPr="00460143">
        <w:t xml:space="preserve">on a cost-minimisation basis with fingolimod (paragraph 7.1, ocrelizumab, </w:t>
      </w:r>
      <w:r w:rsidR="00EC212B" w:rsidRPr="00460143">
        <w:t>Public Summary Document (PSD), July 2017 PBAC meeting)</w:t>
      </w:r>
      <w:r w:rsidR="007E490F" w:rsidRPr="00460143">
        <w:t>.</w:t>
      </w:r>
    </w:p>
    <w:p w14:paraId="1A8FABCD" w14:textId="1EE34F9B" w:rsidR="004E30CE" w:rsidRPr="00460143" w:rsidRDefault="00DD3996" w:rsidP="00A906FC">
      <w:pPr>
        <w:pStyle w:val="3-BodyText"/>
      </w:pPr>
      <w:r w:rsidRPr="00460143">
        <w:t xml:space="preserve">At its November 2017 </w:t>
      </w:r>
      <w:r w:rsidR="00A452C2" w:rsidRPr="00460143">
        <w:t>and July 2020 meeting</w:t>
      </w:r>
      <w:r w:rsidR="00566C00" w:rsidRPr="00460143">
        <w:t>s</w:t>
      </w:r>
      <w:r w:rsidRPr="00460143">
        <w:t xml:space="preserve">, the PBAC </w:t>
      </w:r>
      <w:r w:rsidR="004E30CE" w:rsidRPr="00460143">
        <w:t xml:space="preserve">did not recommend </w:t>
      </w:r>
      <w:r w:rsidR="00566C00" w:rsidRPr="00460143">
        <w:t xml:space="preserve">listing </w:t>
      </w:r>
      <w:r w:rsidR="00241FB3" w:rsidRPr="00460143">
        <w:t>ocrelizumab IV</w:t>
      </w:r>
      <w:r w:rsidR="00566C00" w:rsidRPr="00460143">
        <w:t xml:space="preserve"> on the PBS</w:t>
      </w:r>
      <w:r w:rsidR="00241FB3" w:rsidRPr="00460143">
        <w:t xml:space="preserve"> for the treatment of patients with PPMS</w:t>
      </w:r>
      <w:r w:rsidR="00883593" w:rsidRPr="00460143">
        <w:t>.</w:t>
      </w:r>
      <w:r w:rsidR="00241FB3" w:rsidRPr="00460143">
        <w:t xml:space="preserve"> </w:t>
      </w:r>
      <w:r w:rsidR="00883593" w:rsidRPr="00460143">
        <w:t>At its November</w:t>
      </w:r>
      <w:r w:rsidR="0088281B" w:rsidRPr="00460143">
        <w:t> </w:t>
      </w:r>
      <w:r w:rsidR="00883593" w:rsidRPr="00460143">
        <w:t xml:space="preserve">2017 meeting, the PBAC did not recommend listing </w:t>
      </w:r>
      <w:r w:rsidR="00241FB3" w:rsidRPr="00460143">
        <w:t>on the basis of modest clinical benefit and the resulting high and uncertain incremental cost-effectiveness ratio</w:t>
      </w:r>
      <w:r w:rsidR="00FA381E" w:rsidRPr="00460143">
        <w:t xml:space="preserve"> (paragraph 7.1, ocrelizumab, PSD, November 2017 PBAC meeting)</w:t>
      </w:r>
      <w:r w:rsidR="00241FB3" w:rsidRPr="00460143">
        <w:t xml:space="preserve">. </w:t>
      </w:r>
      <w:r w:rsidR="006E0A36" w:rsidRPr="00460143">
        <w:t>At its July</w:t>
      </w:r>
      <w:r w:rsidR="0088281B" w:rsidRPr="00460143">
        <w:t> </w:t>
      </w:r>
      <w:r w:rsidR="006E0A36" w:rsidRPr="00460143">
        <w:t xml:space="preserve">2020 meeting, the PBAC </w:t>
      </w:r>
      <w:r w:rsidR="00BA6D91" w:rsidRPr="00460143">
        <w:t xml:space="preserve">considered that the key subgroup analysis that was relied on in the submission was inconsistent with the requested PBS population, which led to difficulties </w:t>
      </w:r>
      <w:r w:rsidR="00500F94" w:rsidRPr="00460143">
        <w:t>in assessing the cost-effectiveness (paragraph 7.1, ocrelizumab, PSD, July</w:t>
      </w:r>
      <w:r w:rsidR="00F56AD4">
        <w:t> </w:t>
      </w:r>
      <w:r w:rsidR="00500F94" w:rsidRPr="00460143">
        <w:t>2020 PBAC meeting).</w:t>
      </w:r>
    </w:p>
    <w:p w14:paraId="1B8790B6" w14:textId="77777777" w:rsidR="00964A9F" w:rsidRPr="00460143" w:rsidRDefault="00964A9F" w:rsidP="00964A9F">
      <w:pPr>
        <w:pStyle w:val="2-SectionHeading"/>
      </w:pPr>
      <w:r w:rsidRPr="00460143">
        <w:t xml:space="preserve">Requested listing </w:t>
      </w:r>
    </w:p>
    <w:p w14:paraId="1BEDB444" w14:textId="121D49A9" w:rsidR="005E0050" w:rsidRPr="00460143" w:rsidRDefault="002B24AA" w:rsidP="00F351F0">
      <w:pPr>
        <w:pStyle w:val="3-BodyText"/>
        <w:rPr>
          <w:rFonts w:ascii="Arial Narrow" w:hAnsi="Arial Narrow" w:cstheme="minorHAnsi"/>
          <w:b/>
          <w:bCs/>
          <w:iCs/>
          <w:color w:val="FF0000"/>
          <w:sz w:val="18"/>
          <w:szCs w:val="18"/>
        </w:rPr>
      </w:pPr>
      <w:r w:rsidRPr="00460143">
        <w:rPr>
          <w:iCs/>
        </w:rPr>
        <w:t>The submission requested the following new listing:</w:t>
      </w:r>
    </w:p>
    <w:p w14:paraId="3B3B66F5" w14:textId="2EE8C8F7" w:rsidR="00CC7054" w:rsidRPr="00460143" w:rsidRDefault="00CC7054" w:rsidP="00E948E3">
      <w:pPr>
        <w:pStyle w:val="3-BodyText"/>
        <w:numPr>
          <w:ilvl w:val="0"/>
          <w:numId w:val="0"/>
        </w:numPr>
        <w:ind w:left="720"/>
        <w:rPr>
          <w:rFonts w:cstheme="minorHAnsi"/>
          <w:iCs/>
          <w:szCs w:val="24"/>
        </w:rPr>
      </w:pPr>
      <w:r w:rsidRPr="00460143">
        <w:rPr>
          <w:rFonts w:cstheme="minorHAnsi"/>
          <w:iCs/>
          <w:szCs w:val="24"/>
        </w:rPr>
        <w:t>Add new medicinal product pack as follows:</w:t>
      </w:r>
    </w:p>
    <w:p w14:paraId="076AD177" w14:textId="374197D5" w:rsidR="00DE14B5" w:rsidRDefault="00340B1C" w:rsidP="00DE14B5">
      <w:pPr>
        <w:pStyle w:val="3-BodyText"/>
        <w:rPr>
          <w:rFonts w:cstheme="minorHAnsi"/>
          <w:iCs/>
          <w:szCs w:val="24"/>
        </w:rPr>
      </w:pPr>
      <w:r w:rsidRPr="00460143">
        <w:t xml:space="preserve">Suggested additions </w:t>
      </w:r>
      <w:r w:rsidR="000F2327">
        <w:t>proposed by the Secre</w:t>
      </w:r>
      <w:r w:rsidR="00462752">
        <w:t xml:space="preserve">tariat </w:t>
      </w:r>
      <w:r w:rsidRPr="00460143">
        <w:t xml:space="preserve">are in </w:t>
      </w:r>
      <w:r w:rsidRPr="00460143">
        <w:rPr>
          <w:iCs/>
        </w:rPr>
        <w:t>italics</w:t>
      </w:r>
      <w:r w:rsidRPr="0046014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25"/>
        <w:gridCol w:w="709"/>
        <w:gridCol w:w="889"/>
        <w:gridCol w:w="811"/>
        <w:gridCol w:w="812"/>
        <w:gridCol w:w="1831"/>
      </w:tblGrid>
      <w:tr w:rsidR="00DE14B5" w:rsidRPr="00460143" w14:paraId="356C6354" w14:textId="77777777" w:rsidTr="007C3C42">
        <w:trPr>
          <w:cantSplit/>
          <w:trHeight w:val="960"/>
        </w:trPr>
        <w:tc>
          <w:tcPr>
            <w:tcW w:w="3964" w:type="dxa"/>
            <w:gridSpan w:val="4"/>
            <w:tcBorders>
              <w:top w:val="single" w:sz="4" w:space="0" w:color="auto"/>
              <w:left w:val="single" w:sz="4" w:space="0" w:color="auto"/>
              <w:bottom w:val="single" w:sz="4" w:space="0" w:color="auto"/>
              <w:right w:val="single" w:sz="4" w:space="0" w:color="auto"/>
            </w:tcBorders>
            <w:vAlign w:val="center"/>
          </w:tcPr>
          <w:p w14:paraId="76DF54C8"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MEDICINAL PRODUCT</w:t>
            </w:r>
          </w:p>
          <w:p w14:paraId="70C4792F"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medicinal product pack</w:t>
            </w:r>
          </w:p>
        </w:tc>
        <w:tc>
          <w:tcPr>
            <w:tcW w:w="709" w:type="dxa"/>
            <w:tcBorders>
              <w:top w:val="single" w:sz="4" w:space="0" w:color="auto"/>
              <w:left w:val="single" w:sz="4" w:space="0" w:color="auto"/>
              <w:bottom w:val="single" w:sz="4" w:space="0" w:color="auto"/>
              <w:right w:val="single" w:sz="4" w:space="0" w:color="auto"/>
            </w:tcBorders>
            <w:vAlign w:val="center"/>
          </w:tcPr>
          <w:p w14:paraId="3C69FC15"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PBS item code</w:t>
            </w:r>
          </w:p>
        </w:tc>
        <w:tc>
          <w:tcPr>
            <w:tcW w:w="889" w:type="dxa"/>
            <w:tcBorders>
              <w:top w:val="single" w:sz="4" w:space="0" w:color="auto"/>
              <w:left w:val="single" w:sz="4" w:space="0" w:color="auto"/>
              <w:bottom w:val="single" w:sz="4" w:space="0" w:color="auto"/>
              <w:right w:val="single" w:sz="4" w:space="0" w:color="auto"/>
            </w:tcBorders>
            <w:vAlign w:val="center"/>
          </w:tcPr>
          <w:p w14:paraId="48F87CC8"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7FD7E59C"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18909386"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№.of</w:t>
            </w:r>
          </w:p>
          <w:p w14:paraId="7D784D46"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0B396F38"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Available brands</w:t>
            </w:r>
          </w:p>
        </w:tc>
      </w:tr>
      <w:tr w:rsidR="00DE14B5" w:rsidRPr="00460143" w14:paraId="0BFE18B2" w14:textId="77777777" w:rsidTr="007C3C42">
        <w:trPr>
          <w:cantSplit/>
          <w:trHeight w:val="20"/>
        </w:trPr>
        <w:tc>
          <w:tcPr>
            <w:tcW w:w="9016" w:type="dxa"/>
            <w:gridSpan w:val="9"/>
            <w:vAlign w:val="center"/>
          </w:tcPr>
          <w:p w14:paraId="1A2B58E5"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OCRELIZUMAB</w:t>
            </w:r>
          </w:p>
        </w:tc>
      </w:tr>
      <w:tr w:rsidR="00DE14B5" w:rsidRPr="00460143" w14:paraId="18254DAD" w14:textId="77777777" w:rsidTr="007C3C42">
        <w:trPr>
          <w:cantSplit/>
          <w:trHeight w:val="20"/>
        </w:trPr>
        <w:tc>
          <w:tcPr>
            <w:tcW w:w="3939" w:type="dxa"/>
            <w:gridSpan w:val="3"/>
            <w:vAlign w:val="center"/>
          </w:tcPr>
          <w:p w14:paraId="2E060D6D"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ocrelizumab 920 mg/23 mL injection,</w:t>
            </w:r>
            <w:r>
              <w:rPr>
                <w:rFonts w:ascii="Arial Narrow" w:hAnsi="Arial Narrow" w:cs="Arial"/>
                <w:sz w:val="20"/>
                <w:szCs w:val="20"/>
              </w:rPr>
              <w:t xml:space="preserve"> </w:t>
            </w:r>
            <w:r w:rsidRPr="00460143">
              <w:rPr>
                <w:rFonts w:ascii="Arial Narrow" w:hAnsi="Arial Narrow" w:cs="Arial"/>
                <w:sz w:val="20"/>
                <w:szCs w:val="20"/>
              </w:rPr>
              <w:t>23 mL vial</w:t>
            </w:r>
          </w:p>
        </w:tc>
        <w:tc>
          <w:tcPr>
            <w:tcW w:w="734" w:type="dxa"/>
            <w:gridSpan w:val="2"/>
            <w:vAlign w:val="center"/>
          </w:tcPr>
          <w:p w14:paraId="393DE13F" w14:textId="77777777" w:rsidR="00DE14B5" w:rsidRPr="001676C5" w:rsidRDefault="00DE14B5" w:rsidP="007C3C42">
            <w:pPr>
              <w:keepLines/>
              <w:jc w:val="center"/>
              <w:rPr>
                <w:rFonts w:ascii="Arial Narrow" w:hAnsi="Arial Narrow" w:cs="Arial"/>
                <w:sz w:val="20"/>
                <w:szCs w:val="20"/>
              </w:rPr>
            </w:pPr>
            <w:r w:rsidRPr="00DA50BA">
              <w:rPr>
                <w:rFonts w:ascii="Arial Narrow" w:hAnsi="Arial Narrow" w:cs="Arial"/>
                <w:sz w:val="20"/>
                <w:szCs w:val="20"/>
              </w:rPr>
              <w:t xml:space="preserve"> NEW (HSD Public)</w:t>
            </w:r>
          </w:p>
        </w:tc>
        <w:tc>
          <w:tcPr>
            <w:tcW w:w="889" w:type="dxa"/>
            <w:vAlign w:val="center"/>
          </w:tcPr>
          <w:p w14:paraId="15F6EEC7"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1" w:type="dxa"/>
            <w:vAlign w:val="center"/>
          </w:tcPr>
          <w:p w14:paraId="3D33074F"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2" w:type="dxa"/>
            <w:vAlign w:val="center"/>
          </w:tcPr>
          <w:p w14:paraId="69AC3252"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0</w:t>
            </w:r>
          </w:p>
        </w:tc>
        <w:tc>
          <w:tcPr>
            <w:tcW w:w="1831" w:type="dxa"/>
            <w:vAlign w:val="center"/>
          </w:tcPr>
          <w:p w14:paraId="0E135EB7"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Ocrevus SC</w:t>
            </w:r>
          </w:p>
        </w:tc>
      </w:tr>
      <w:tr w:rsidR="00DE14B5" w:rsidRPr="00460143" w14:paraId="28DDF5FA" w14:textId="77777777" w:rsidTr="007C3C4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6A21AC5A" w14:textId="77777777" w:rsidR="00DE14B5" w:rsidRPr="00460143" w:rsidRDefault="00DE14B5" w:rsidP="007C3C42">
            <w:pPr>
              <w:rPr>
                <w:rFonts w:ascii="Arial Narrow" w:hAnsi="Arial Narrow" w:cs="Arial"/>
                <w:sz w:val="20"/>
                <w:szCs w:val="20"/>
              </w:rPr>
            </w:pPr>
          </w:p>
        </w:tc>
      </w:tr>
      <w:tr w:rsidR="00DE14B5" w:rsidRPr="00460143" w14:paraId="31BEA5BA" w14:textId="77777777" w:rsidTr="007C3C4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66324645" w14:textId="77777777" w:rsidR="00DE14B5" w:rsidRPr="00460143" w:rsidRDefault="00DE14B5" w:rsidP="007C3C42">
            <w:pPr>
              <w:keepLines/>
              <w:rPr>
                <w:rFonts w:ascii="Arial Narrow" w:hAnsi="Arial Narrow" w:cs="Arial"/>
                <w:b/>
                <w:sz w:val="20"/>
                <w:szCs w:val="20"/>
              </w:rPr>
            </w:pPr>
            <w:r w:rsidRPr="00460143">
              <w:rPr>
                <w:rFonts w:ascii="Arial Narrow" w:hAnsi="Arial Narrow"/>
                <w:b/>
                <w:sz w:val="20"/>
                <w:szCs w:val="20"/>
              </w:rPr>
              <w:t>Restriction Summary 7713</w:t>
            </w:r>
            <w:r w:rsidRPr="00460143">
              <w:rPr>
                <w:rFonts w:ascii="Arial Narrow" w:hAnsi="Arial Narrow"/>
                <w:b/>
                <w:color w:val="FF0000"/>
                <w:sz w:val="20"/>
                <w:szCs w:val="20"/>
              </w:rPr>
              <w:t xml:space="preserve"> </w:t>
            </w:r>
            <w:r w:rsidRPr="00460143">
              <w:rPr>
                <w:rFonts w:ascii="Arial Narrow" w:hAnsi="Arial Narrow"/>
                <w:b/>
                <w:sz w:val="20"/>
                <w:szCs w:val="20"/>
              </w:rPr>
              <w:t>/ Treatment of Concept: 7699</w:t>
            </w:r>
          </w:p>
        </w:tc>
      </w:tr>
      <w:tr w:rsidR="00DE14B5" w:rsidRPr="00460143" w14:paraId="40641895"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9E8902E" w14:textId="77777777" w:rsidR="00DE14B5" w:rsidRPr="00460143" w:rsidRDefault="00DE14B5" w:rsidP="007C3C42">
            <w:pPr>
              <w:jc w:val="center"/>
              <w:rPr>
                <w:rFonts w:ascii="Arial Narrow" w:hAnsi="Arial Narrow" w:cs="Arial"/>
                <w:b/>
                <w:sz w:val="20"/>
                <w:szCs w:val="20"/>
              </w:rPr>
            </w:pPr>
            <w:r w:rsidRPr="00460143">
              <w:rPr>
                <w:rFonts w:ascii="Arial Narrow" w:hAnsi="Arial Narrow" w:cs="Arial"/>
                <w:b/>
                <w:sz w:val="20"/>
                <w:szCs w:val="20"/>
              </w:rPr>
              <w:t xml:space="preserve">Concept ID </w:t>
            </w:r>
            <w:r w:rsidRPr="00460143">
              <w:rPr>
                <w:rFonts w:ascii="Arial Narrow" w:hAnsi="Arial Narrow" w:cs="Arial"/>
                <w:sz w:val="20"/>
                <w:szCs w:val="20"/>
              </w:rPr>
              <w:t>(for internal Dept. use)</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9F03D14" w14:textId="77777777" w:rsidR="00DE14B5" w:rsidRPr="00460143" w:rsidRDefault="00DE14B5" w:rsidP="007C3C42">
            <w:pPr>
              <w:keepLines/>
              <w:jc w:val="left"/>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Check1"/>
                  <w:enabled/>
                  <w:calcOnExit w:val="0"/>
                  <w:checkBox>
                    <w:sizeAuto/>
                    <w:default w:val="1"/>
                  </w:checkBox>
                </w:ffData>
              </w:fldChar>
            </w:r>
            <w:r w:rsidRPr="00460143">
              <w:rPr>
                <w:rFonts w:ascii="Arial Narrow" w:eastAsia="Calibri" w:hAnsi="Arial Narrow" w:cs="Arial"/>
                <w:sz w:val="20"/>
                <w:szCs w:val="20"/>
              </w:rPr>
              <w:instrText xml:space="preserve"> </w:instrText>
            </w:r>
            <w:bookmarkStart w:id="0" w:name="Check1"/>
            <w:r w:rsidRPr="00460143">
              <w:rPr>
                <w:rFonts w:ascii="Arial Narrow" w:eastAsia="Calibri" w:hAnsi="Arial Narrow" w:cs="Arial"/>
                <w:sz w:val="20"/>
                <w:szCs w:val="20"/>
              </w:rPr>
              <w:instrText xml:space="preserve">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bookmarkEnd w:id="0"/>
            <w:r w:rsidRPr="00460143">
              <w:rPr>
                <w:rFonts w:ascii="Arial Narrow" w:eastAsia="Calibri" w:hAnsi="Arial Narrow" w:cs="Arial"/>
                <w:sz w:val="20"/>
                <w:szCs w:val="20"/>
              </w:rPr>
              <w:t xml:space="preserve"> Section 100 – Highly Specialised Drugs Program – Public (Code HB)</w:t>
            </w:r>
          </w:p>
        </w:tc>
      </w:tr>
      <w:tr w:rsidR="00DE14B5" w:rsidRPr="00460143" w14:paraId="17755AF6"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B0FF0AE"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D913A47" w14:textId="77777777" w:rsidR="00DE14B5" w:rsidRPr="00460143" w:rsidRDefault="00DE14B5"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DE14B5" w:rsidRPr="00460143" w14:paraId="0FA55B39"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0C2F4671"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CAE23F0" w14:textId="77777777" w:rsidR="00DE14B5" w:rsidRPr="00460143" w:rsidRDefault="00DE14B5" w:rsidP="007C3C42">
            <w:pPr>
              <w:keepLines/>
              <w:jc w:val="left"/>
              <w:rPr>
                <w:rFonts w:ascii="Arial Narrow" w:eastAsia="Calibri" w:hAnsi="Arial Narrow" w:cs="Arial"/>
                <w:color w:val="FF0000"/>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[7699] </w:t>
            </w:r>
          </w:p>
        </w:tc>
      </w:tr>
      <w:tr w:rsidR="00DE14B5" w:rsidRPr="00460143" w14:paraId="3430027C"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5A9538D"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BF72AC1" w14:textId="77777777" w:rsidR="00DE14B5" w:rsidRPr="00460143" w:rsidRDefault="00DE14B5"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DE14B5" w:rsidRPr="00460143" w14:paraId="2A596DE0" w14:textId="77777777" w:rsidTr="007C3C42">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30DC16C1" w14:textId="77777777" w:rsidR="00DE14B5" w:rsidRPr="00460143" w:rsidRDefault="00DE14B5" w:rsidP="007C3C42">
            <w:pPr>
              <w:jc w:val="center"/>
              <w:rPr>
                <w:rFonts w:ascii="Arial Narrow" w:hAnsi="Arial Narrow" w:cs="Arial"/>
                <w:sz w:val="20"/>
                <w:szCs w:val="20"/>
              </w:rPr>
            </w:pPr>
            <w:r w:rsidRPr="00460143">
              <w:rPr>
                <w:rFonts w:ascii="Arial Narrow" w:hAnsi="Arial Narrow" w:cs="Arial"/>
                <w:sz w:val="20"/>
                <w:szCs w:val="20"/>
              </w:rPr>
              <w:t>Prescribing rule level</w:t>
            </w:r>
          </w:p>
        </w:tc>
        <w:tc>
          <w:tcPr>
            <w:tcW w:w="709" w:type="dxa"/>
            <w:vAlign w:val="center"/>
          </w:tcPr>
          <w:p w14:paraId="0661BD70" w14:textId="39C4FA06" w:rsidR="00DE14B5" w:rsidRPr="00460143" w:rsidRDefault="00DE14B5" w:rsidP="007C3C42">
            <w:pPr>
              <w:jc w:val="center"/>
              <w:rPr>
                <w:rFonts w:ascii="Arial Narrow" w:hAnsi="Arial Narrow"/>
                <w:i/>
                <w:iCs/>
                <w:color w:val="333333"/>
                <w:sz w:val="20"/>
                <w:szCs w:val="20"/>
              </w:rPr>
            </w:pPr>
          </w:p>
        </w:tc>
        <w:tc>
          <w:tcPr>
            <w:tcW w:w="7745" w:type="dxa"/>
            <w:gridSpan w:val="7"/>
            <w:vAlign w:val="center"/>
          </w:tcPr>
          <w:p w14:paraId="6EAD2490" w14:textId="77777777" w:rsidR="00DE14B5" w:rsidRPr="00460143" w:rsidRDefault="00DE14B5" w:rsidP="007C3C42">
            <w:pPr>
              <w:rPr>
                <w:rFonts w:ascii="Arial Narrow" w:hAnsi="Arial Narrow"/>
                <w:i/>
                <w:iCs/>
                <w:sz w:val="20"/>
                <w:szCs w:val="20"/>
              </w:rPr>
            </w:pPr>
            <w:r w:rsidRPr="00460143">
              <w:rPr>
                <w:rFonts w:ascii="Arial Narrow" w:hAnsi="Arial Narrow"/>
                <w:b/>
                <w:bCs/>
                <w:i/>
                <w:iCs/>
                <w:sz w:val="20"/>
                <w:szCs w:val="20"/>
              </w:rPr>
              <w:t>Administrative Advice:</w:t>
            </w:r>
          </w:p>
          <w:p w14:paraId="03608EF8" w14:textId="77777777" w:rsidR="00DE14B5" w:rsidRPr="00460143" w:rsidRDefault="00DE14B5" w:rsidP="007C3C42">
            <w:pPr>
              <w:rPr>
                <w:rFonts w:ascii="Arial Narrow" w:hAnsi="Arial Narrow"/>
                <w:i/>
                <w:iCs/>
                <w:color w:val="333333"/>
                <w:sz w:val="20"/>
                <w:szCs w:val="20"/>
              </w:rPr>
            </w:pPr>
            <w:r w:rsidRPr="00460143">
              <w:rPr>
                <w:rFonts w:ascii="Arial Narrow" w:eastAsia="Calibri" w:hAnsi="Arial Narrow" w:cs="Arial"/>
                <w:i/>
                <w:iCs/>
                <w:sz w:val="20"/>
                <w:szCs w:val="20"/>
              </w:rPr>
              <w:t>No increase in the maximum quantity or number of units may be authorised.</w:t>
            </w:r>
          </w:p>
        </w:tc>
      </w:tr>
      <w:tr w:rsidR="00DE14B5" w:rsidRPr="00460143" w14:paraId="245B76DA"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43D9038A" w14:textId="77777777" w:rsidR="00DE14B5" w:rsidRPr="00460143" w:rsidRDefault="00DE14B5" w:rsidP="007C3C42">
            <w:pPr>
              <w:rPr>
                <w:rFonts w:ascii="Arial Narrow" w:hAnsi="Arial Narrow" w:cs="Arial"/>
                <w:sz w:val="20"/>
                <w:szCs w:val="20"/>
              </w:rPr>
            </w:pPr>
          </w:p>
        </w:tc>
        <w:tc>
          <w:tcPr>
            <w:tcW w:w="709" w:type="dxa"/>
            <w:vAlign w:val="center"/>
          </w:tcPr>
          <w:p w14:paraId="7769A4D0" w14:textId="54B896D0" w:rsidR="00DE14B5" w:rsidRPr="00460143" w:rsidRDefault="00DE14B5" w:rsidP="007C3C42">
            <w:pPr>
              <w:jc w:val="center"/>
              <w:rPr>
                <w:rFonts w:ascii="Arial Narrow" w:hAnsi="Arial Narrow"/>
                <w:i/>
                <w:iCs/>
                <w:sz w:val="20"/>
                <w:szCs w:val="20"/>
              </w:rPr>
            </w:pPr>
          </w:p>
        </w:tc>
        <w:tc>
          <w:tcPr>
            <w:tcW w:w="7745" w:type="dxa"/>
            <w:gridSpan w:val="7"/>
            <w:vAlign w:val="center"/>
          </w:tcPr>
          <w:p w14:paraId="2AE4BE0B" w14:textId="77777777" w:rsidR="00DE14B5" w:rsidRPr="00460143" w:rsidRDefault="00DE14B5" w:rsidP="007C3C42">
            <w:pPr>
              <w:rPr>
                <w:rFonts w:ascii="Arial Narrow" w:hAnsi="Arial Narrow"/>
                <w:b/>
                <w:bCs/>
                <w:i/>
                <w:iCs/>
                <w:sz w:val="20"/>
                <w:szCs w:val="20"/>
              </w:rPr>
            </w:pPr>
            <w:r w:rsidRPr="00460143">
              <w:rPr>
                <w:rFonts w:ascii="Arial Narrow" w:hAnsi="Arial Narrow"/>
                <w:b/>
                <w:bCs/>
                <w:i/>
                <w:iCs/>
                <w:sz w:val="20"/>
                <w:szCs w:val="20"/>
              </w:rPr>
              <w:t xml:space="preserve">Administrative Advice: </w:t>
            </w:r>
            <w:r w:rsidRPr="00460143">
              <w:rPr>
                <w:rFonts w:ascii="Arial Narrow" w:eastAsia="Calibri" w:hAnsi="Arial Narrow" w:cs="Arial"/>
                <w:i/>
                <w:iCs/>
                <w:sz w:val="20"/>
                <w:szCs w:val="20"/>
              </w:rPr>
              <w:t>No increase in the maximum number of repeats may be authorised.</w:t>
            </w:r>
          </w:p>
        </w:tc>
      </w:tr>
      <w:tr w:rsidR="00DE14B5" w:rsidRPr="00460143" w14:paraId="29FD6A9C"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63EB4E47" w14:textId="77777777" w:rsidR="00DE14B5" w:rsidRPr="00460143" w:rsidRDefault="00DE14B5" w:rsidP="007C3C42">
            <w:pPr>
              <w:rPr>
                <w:rFonts w:ascii="Arial Narrow" w:hAnsi="Arial Narrow" w:cs="Arial"/>
                <w:sz w:val="20"/>
                <w:szCs w:val="20"/>
              </w:rPr>
            </w:pPr>
          </w:p>
        </w:tc>
        <w:tc>
          <w:tcPr>
            <w:tcW w:w="709" w:type="dxa"/>
            <w:vAlign w:val="center"/>
          </w:tcPr>
          <w:p w14:paraId="5526E5C3" w14:textId="487E9336" w:rsidR="00DE14B5" w:rsidRPr="00460143" w:rsidRDefault="00DE14B5" w:rsidP="007C3C42">
            <w:pPr>
              <w:jc w:val="center"/>
              <w:rPr>
                <w:rFonts w:ascii="Arial Narrow" w:hAnsi="Arial Narrow"/>
                <w:i/>
                <w:iCs/>
                <w:sz w:val="20"/>
                <w:szCs w:val="20"/>
              </w:rPr>
            </w:pPr>
          </w:p>
        </w:tc>
        <w:tc>
          <w:tcPr>
            <w:tcW w:w="7745" w:type="dxa"/>
            <w:gridSpan w:val="7"/>
            <w:vAlign w:val="center"/>
          </w:tcPr>
          <w:p w14:paraId="5049603A" w14:textId="77777777" w:rsidR="00DE14B5" w:rsidRPr="00460143" w:rsidRDefault="00DE14B5" w:rsidP="007C3C42">
            <w:pPr>
              <w:rPr>
                <w:rFonts w:ascii="Arial Narrow" w:hAnsi="Arial Narrow"/>
                <w:b/>
                <w:bCs/>
                <w:i/>
                <w:iCs/>
                <w:sz w:val="20"/>
                <w:szCs w:val="20"/>
              </w:rPr>
            </w:pPr>
            <w:r w:rsidRPr="00460143">
              <w:rPr>
                <w:rFonts w:ascii="Arial Narrow" w:hAnsi="Arial Narrow"/>
                <w:b/>
                <w:bCs/>
                <w:i/>
                <w:iCs/>
                <w:sz w:val="20"/>
                <w:szCs w:val="20"/>
              </w:rPr>
              <w:t xml:space="preserve">Administrative Advice: </w:t>
            </w:r>
            <w:r w:rsidRPr="00460143">
              <w:rPr>
                <w:rFonts w:ascii="Arial Narrow" w:hAnsi="Arial Narrow"/>
                <w:i/>
                <w:iCs/>
                <w:sz w:val="20"/>
                <w:szCs w:val="20"/>
              </w:rPr>
              <w:t>Special Pricing Arrangements apply.</w:t>
            </w:r>
          </w:p>
        </w:tc>
      </w:tr>
      <w:tr w:rsidR="00DE14B5" w:rsidRPr="00460143" w14:paraId="2080196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9EFBED5" w14:textId="3AE25CCD" w:rsidR="00DE14B5" w:rsidRPr="00460143" w:rsidRDefault="00DE14B5" w:rsidP="007C3C42">
            <w:pPr>
              <w:keepLines/>
              <w:jc w:val="center"/>
              <w:rPr>
                <w:rFonts w:ascii="Arial Narrow" w:hAnsi="Arial Narrow"/>
                <w:sz w:val="20"/>
                <w:szCs w:val="20"/>
              </w:rPr>
            </w:pPr>
          </w:p>
        </w:tc>
        <w:tc>
          <w:tcPr>
            <w:tcW w:w="7745" w:type="dxa"/>
            <w:gridSpan w:val="7"/>
            <w:vAlign w:val="center"/>
            <w:hideMark/>
          </w:tcPr>
          <w:p w14:paraId="7D78DB40" w14:textId="77777777" w:rsidR="00DE14B5" w:rsidRPr="00460143" w:rsidRDefault="00DE14B5" w:rsidP="007C3C42">
            <w:pPr>
              <w:keepLines/>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p>
        </w:tc>
      </w:tr>
      <w:tr w:rsidR="00DE14B5" w:rsidRPr="00460143" w14:paraId="68BC827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D5BD863" w14:textId="77777777" w:rsidR="00DE14B5" w:rsidRPr="00460143" w:rsidRDefault="00DE14B5" w:rsidP="007C3C42">
            <w:pPr>
              <w:jc w:val="center"/>
              <w:rPr>
                <w:rFonts w:ascii="Arial Narrow" w:hAnsi="Arial Narrow"/>
                <w:sz w:val="20"/>
                <w:szCs w:val="20"/>
              </w:rPr>
            </w:pPr>
          </w:p>
        </w:tc>
        <w:tc>
          <w:tcPr>
            <w:tcW w:w="7745" w:type="dxa"/>
            <w:gridSpan w:val="7"/>
            <w:vAlign w:val="center"/>
            <w:hideMark/>
          </w:tcPr>
          <w:p w14:paraId="778948D8"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Initial treatment</w:t>
            </w:r>
          </w:p>
        </w:tc>
      </w:tr>
      <w:tr w:rsidR="00DE14B5" w:rsidRPr="00460143" w14:paraId="706B1B7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2E64D7A" w14:textId="190F0AAD" w:rsidR="00DE14B5" w:rsidRPr="00460143" w:rsidRDefault="00DE14B5" w:rsidP="007C3C42">
            <w:pPr>
              <w:jc w:val="center"/>
              <w:rPr>
                <w:rFonts w:ascii="Arial Narrow" w:hAnsi="Arial Narrow"/>
                <w:sz w:val="20"/>
                <w:szCs w:val="20"/>
              </w:rPr>
            </w:pPr>
          </w:p>
        </w:tc>
        <w:tc>
          <w:tcPr>
            <w:tcW w:w="7745" w:type="dxa"/>
            <w:gridSpan w:val="7"/>
            <w:vAlign w:val="center"/>
            <w:hideMark/>
          </w:tcPr>
          <w:p w14:paraId="7836FBE9"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DE14B5" w:rsidRPr="00460143" w14:paraId="6529730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80AA8BC" w14:textId="71195F65" w:rsidR="00DE14B5" w:rsidRPr="00460143" w:rsidRDefault="00DE14B5" w:rsidP="007C3C42">
            <w:pPr>
              <w:jc w:val="center"/>
              <w:rPr>
                <w:rFonts w:ascii="Arial Narrow" w:hAnsi="Arial Narrow"/>
                <w:sz w:val="20"/>
                <w:szCs w:val="20"/>
              </w:rPr>
            </w:pPr>
          </w:p>
        </w:tc>
        <w:tc>
          <w:tcPr>
            <w:tcW w:w="7745" w:type="dxa"/>
            <w:gridSpan w:val="7"/>
            <w:vAlign w:val="center"/>
            <w:hideMark/>
          </w:tcPr>
          <w:p w14:paraId="2BF806CB" w14:textId="77777777" w:rsidR="00DE14B5" w:rsidRPr="00460143" w:rsidRDefault="00DE14B5" w:rsidP="007C3C42">
            <w:pPr>
              <w:jc w:val="left"/>
              <w:rPr>
                <w:rFonts w:ascii="Arial Narrow" w:hAnsi="Arial Narrow"/>
                <w:color w:val="333333"/>
                <w:sz w:val="20"/>
                <w:szCs w:val="20"/>
              </w:rPr>
            </w:pPr>
            <w:r w:rsidRPr="00460143">
              <w:rPr>
                <w:rFonts w:ascii="Arial Narrow" w:hAnsi="Arial Narrow"/>
                <w:sz w:val="20"/>
                <w:szCs w:val="20"/>
              </w:rPr>
              <w:t>The condition must be diagnosed as clinically definite relapsing-remitting multiple sclerosis by magnetic resonance imaging of the brain and/or spinal cord; OR</w:t>
            </w:r>
          </w:p>
        </w:tc>
      </w:tr>
      <w:tr w:rsidR="00DE14B5" w:rsidRPr="00460143" w14:paraId="67D57C1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22FF413" w14:textId="756D89A5" w:rsidR="00DE14B5" w:rsidRPr="00460143" w:rsidRDefault="00DE14B5" w:rsidP="007C3C42">
            <w:pPr>
              <w:jc w:val="center"/>
              <w:rPr>
                <w:rFonts w:ascii="Arial Narrow" w:hAnsi="Arial Narrow"/>
                <w:sz w:val="20"/>
                <w:szCs w:val="20"/>
              </w:rPr>
            </w:pPr>
          </w:p>
        </w:tc>
        <w:tc>
          <w:tcPr>
            <w:tcW w:w="7745" w:type="dxa"/>
            <w:gridSpan w:val="7"/>
            <w:vAlign w:val="center"/>
            <w:hideMark/>
          </w:tcPr>
          <w:p w14:paraId="04B3266B" w14:textId="77777777" w:rsidR="00DE14B5" w:rsidRPr="00460143" w:rsidRDefault="00DE14B5" w:rsidP="007C3C42">
            <w:pPr>
              <w:jc w:val="left"/>
              <w:rPr>
                <w:rFonts w:ascii="Arial Narrow" w:hAnsi="Arial Narrow"/>
                <w:color w:val="FF0000"/>
                <w:sz w:val="20"/>
                <w:szCs w:val="20"/>
              </w:rPr>
            </w:pPr>
            <w:r w:rsidRPr="00460143">
              <w:rPr>
                <w:rFonts w:ascii="Arial Narrow" w:hAnsi="Arial Narrow"/>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Pr="00DA50BA">
              <w:rPr>
                <w:rFonts w:ascii="Arial Narrow" w:hAnsi="Arial Narrow"/>
                <w:sz w:val="20"/>
                <w:szCs w:val="20"/>
              </w:rPr>
              <w:t>,</w:t>
            </w:r>
          </w:p>
        </w:tc>
      </w:tr>
      <w:tr w:rsidR="00DE14B5" w:rsidRPr="00460143" w14:paraId="22CD0C1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073993" w14:textId="77777777" w:rsidR="00DE14B5" w:rsidRPr="00460143" w:rsidRDefault="00DE14B5" w:rsidP="007C3C42">
            <w:pPr>
              <w:jc w:val="center"/>
              <w:rPr>
                <w:rFonts w:ascii="Arial Narrow" w:hAnsi="Arial Narrow"/>
                <w:sz w:val="20"/>
                <w:szCs w:val="20"/>
              </w:rPr>
            </w:pPr>
          </w:p>
        </w:tc>
        <w:tc>
          <w:tcPr>
            <w:tcW w:w="7745" w:type="dxa"/>
            <w:gridSpan w:val="7"/>
            <w:vAlign w:val="center"/>
            <w:hideMark/>
          </w:tcPr>
          <w:p w14:paraId="243866D0"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AND</w:t>
            </w:r>
          </w:p>
        </w:tc>
      </w:tr>
      <w:tr w:rsidR="00DE14B5" w:rsidRPr="00460143" w14:paraId="4A0560B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5474C4" w14:textId="064664C6" w:rsidR="00DE14B5" w:rsidRPr="00460143" w:rsidRDefault="00DE14B5" w:rsidP="007C3C42">
            <w:pPr>
              <w:jc w:val="center"/>
              <w:rPr>
                <w:rFonts w:ascii="Arial Narrow" w:hAnsi="Arial Narrow"/>
                <w:sz w:val="20"/>
                <w:szCs w:val="20"/>
              </w:rPr>
            </w:pPr>
          </w:p>
        </w:tc>
        <w:tc>
          <w:tcPr>
            <w:tcW w:w="7745" w:type="dxa"/>
            <w:gridSpan w:val="7"/>
            <w:vAlign w:val="center"/>
            <w:hideMark/>
          </w:tcPr>
          <w:p w14:paraId="56104A75"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Clinical criteria:</w:t>
            </w:r>
          </w:p>
        </w:tc>
      </w:tr>
      <w:tr w:rsidR="00DE14B5" w:rsidRPr="00460143" w14:paraId="3C2F0E2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5D24A0" w14:textId="5594ADB6" w:rsidR="00DE14B5" w:rsidRPr="00460143" w:rsidRDefault="00DE14B5" w:rsidP="007C3C42">
            <w:pPr>
              <w:jc w:val="center"/>
              <w:rPr>
                <w:rFonts w:ascii="Arial Narrow" w:hAnsi="Arial Narrow"/>
                <w:sz w:val="20"/>
                <w:szCs w:val="20"/>
              </w:rPr>
            </w:pPr>
          </w:p>
        </w:tc>
        <w:tc>
          <w:tcPr>
            <w:tcW w:w="7745" w:type="dxa"/>
            <w:gridSpan w:val="7"/>
            <w:vAlign w:val="center"/>
            <w:hideMark/>
          </w:tcPr>
          <w:p w14:paraId="4F52F287" w14:textId="77777777" w:rsidR="00DE14B5" w:rsidRPr="00460143" w:rsidRDefault="00DE14B5" w:rsidP="007C3C42">
            <w:pPr>
              <w:jc w:val="left"/>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DE14B5" w:rsidRPr="00460143" w14:paraId="074EAF7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3F5B63" w14:textId="77777777" w:rsidR="00DE14B5" w:rsidRPr="00460143" w:rsidDel="004B302D" w:rsidRDefault="00DE14B5" w:rsidP="007C3C42">
            <w:pPr>
              <w:jc w:val="center"/>
              <w:rPr>
                <w:rFonts w:ascii="Arial Narrow" w:hAnsi="Arial Narrow"/>
                <w:sz w:val="20"/>
                <w:szCs w:val="20"/>
              </w:rPr>
            </w:pPr>
          </w:p>
        </w:tc>
        <w:tc>
          <w:tcPr>
            <w:tcW w:w="7745" w:type="dxa"/>
            <w:gridSpan w:val="7"/>
            <w:vAlign w:val="center"/>
          </w:tcPr>
          <w:p w14:paraId="3DA1E804" w14:textId="77777777" w:rsidR="00DE14B5" w:rsidRPr="00460143" w:rsidRDefault="00DE14B5" w:rsidP="007C3C42">
            <w:r w:rsidRPr="00460143">
              <w:rPr>
                <w:rFonts w:ascii="Arial Narrow" w:hAnsi="Arial Narrow"/>
                <w:b/>
                <w:bCs/>
                <w:sz w:val="20"/>
                <w:szCs w:val="20"/>
              </w:rPr>
              <w:t>AND</w:t>
            </w:r>
          </w:p>
        </w:tc>
      </w:tr>
      <w:tr w:rsidR="00DE14B5" w:rsidRPr="00460143" w14:paraId="56C0FC1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ADD259" w14:textId="43D8F848" w:rsidR="00DE14B5" w:rsidRPr="00460143" w:rsidDel="004B302D" w:rsidRDefault="00DE14B5" w:rsidP="007C3C42">
            <w:pPr>
              <w:jc w:val="center"/>
              <w:rPr>
                <w:rFonts w:ascii="Arial Narrow" w:hAnsi="Arial Narrow"/>
                <w:sz w:val="20"/>
                <w:szCs w:val="20"/>
              </w:rPr>
            </w:pPr>
          </w:p>
        </w:tc>
        <w:tc>
          <w:tcPr>
            <w:tcW w:w="7745" w:type="dxa"/>
            <w:gridSpan w:val="7"/>
            <w:vAlign w:val="center"/>
          </w:tcPr>
          <w:p w14:paraId="576B9F09"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7924FA5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94577F" w14:textId="75B9C1D6" w:rsidR="00DE14B5" w:rsidRPr="00460143" w:rsidDel="004B302D" w:rsidRDefault="00DE14B5" w:rsidP="007C3C42">
            <w:pPr>
              <w:jc w:val="center"/>
              <w:rPr>
                <w:rFonts w:ascii="Arial Narrow" w:hAnsi="Arial Narrow"/>
                <w:sz w:val="20"/>
                <w:szCs w:val="20"/>
              </w:rPr>
            </w:pPr>
          </w:p>
        </w:tc>
        <w:tc>
          <w:tcPr>
            <w:tcW w:w="7745" w:type="dxa"/>
            <w:gridSpan w:val="7"/>
            <w:vAlign w:val="center"/>
          </w:tcPr>
          <w:p w14:paraId="09ED8C1D" w14:textId="77777777" w:rsidR="00DE14B5" w:rsidRPr="00460143" w:rsidRDefault="00DE14B5" w:rsidP="007C3C42">
            <w:pPr>
              <w:rPr>
                <w:rFonts w:ascii="Arial Narrow" w:hAnsi="Arial Narrow"/>
                <w:b/>
                <w:bCs/>
                <w:sz w:val="20"/>
                <w:szCs w:val="20"/>
              </w:rPr>
            </w:pPr>
            <w:r w:rsidRPr="00460143">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DE14B5" w:rsidRPr="00460143" w14:paraId="0FACBD3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A5CD14" w14:textId="77777777" w:rsidR="00DE14B5" w:rsidRPr="00460143" w:rsidRDefault="00DE14B5" w:rsidP="007C3C42">
            <w:pPr>
              <w:jc w:val="center"/>
              <w:rPr>
                <w:rFonts w:ascii="Arial Narrow" w:hAnsi="Arial Narrow"/>
                <w:sz w:val="20"/>
                <w:szCs w:val="20"/>
              </w:rPr>
            </w:pPr>
          </w:p>
        </w:tc>
        <w:tc>
          <w:tcPr>
            <w:tcW w:w="7745" w:type="dxa"/>
            <w:gridSpan w:val="7"/>
            <w:vAlign w:val="center"/>
          </w:tcPr>
          <w:p w14:paraId="65B94584"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3BFBDDC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E37570" w14:textId="724E2D38" w:rsidR="00DE14B5" w:rsidRPr="00460143" w:rsidDel="004B302D" w:rsidRDefault="00DE14B5" w:rsidP="007C3C42">
            <w:pPr>
              <w:jc w:val="center"/>
              <w:rPr>
                <w:rFonts w:ascii="Arial Narrow" w:hAnsi="Arial Narrow"/>
                <w:sz w:val="20"/>
                <w:szCs w:val="20"/>
              </w:rPr>
            </w:pPr>
          </w:p>
        </w:tc>
        <w:tc>
          <w:tcPr>
            <w:tcW w:w="7745" w:type="dxa"/>
            <w:gridSpan w:val="7"/>
            <w:vAlign w:val="center"/>
          </w:tcPr>
          <w:p w14:paraId="611D4C10"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00B0C38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76E3B8" w14:textId="3C29AE90" w:rsidR="00DE14B5" w:rsidRPr="00460143" w:rsidDel="004B302D" w:rsidRDefault="00DE14B5" w:rsidP="007C3C42">
            <w:pPr>
              <w:jc w:val="center"/>
              <w:rPr>
                <w:rFonts w:ascii="Arial Narrow" w:hAnsi="Arial Narrow"/>
                <w:sz w:val="20"/>
                <w:szCs w:val="20"/>
              </w:rPr>
            </w:pPr>
          </w:p>
        </w:tc>
        <w:tc>
          <w:tcPr>
            <w:tcW w:w="7745" w:type="dxa"/>
            <w:gridSpan w:val="7"/>
            <w:vAlign w:val="center"/>
          </w:tcPr>
          <w:p w14:paraId="140AE2F0" w14:textId="77777777" w:rsidR="00DE14B5" w:rsidRPr="00460143" w:rsidRDefault="00DE14B5" w:rsidP="007C3C42">
            <w:pPr>
              <w:autoSpaceDE w:val="0"/>
              <w:autoSpaceDN w:val="0"/>
              <w:adjustRightInd w:val="0"/>
              <w:jc w:val="left"/>
              <w:rPr>
                <w:rFonts w:ascii="Arial Narrow" w:hAnsi="Arial Narrow"/>
                <w:b/>
                <w:bCs/>
                <w:sz w:val="20"/>
                <w:szCs w:val="20"/>
              </w:rPr>
            </w:pPr>
            <w:r w:rsidRPr="00460143">
              <w:rPr>
                <w:rFonts w:ascii="Arial Narrow" w:hAnsi="Arial Narrow"/>
                <w:sz w:val="20"/>
                <w:szCs w:val="20"/>
              </w:rPr>
              <w:t>Patient must be ambulatory (without assistance or support)</w:t>
            </w:r>
            <w:r w:rsidRPr="00DA50BA">
              <w:rPr>
                <w:rFonts w:ascii="Arial Narrow" w:hAnsi="Arial Narrow"/>
                <w:sz w:val="20"/>
                <w:szCs w:val="20"/>
              </w:rPr>
              <w:t>.</w:t>
            </w:r>
          </w:p>
        </w:tc>
      </w:tr>
      <w:tr w:rsidR="00DE14B5" w:rsidRPr="00460143" w14:paraId="51EB3B61"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4A615F" w14:textId="261A8F79" w:rsidR="00DE14B5" w:rsidRPr="00460143" w:rsidRDefault="00DE14B5" w:rsidP="007C3C42">
            <w:pPr>
              <w:keepNext/>
              <w:jc w:val="center"/>
              <w:rPr>
                <w:rFonts w:ascii="Arial Narrow" w:hAnsi="Arial Narrow"/>
                <w:sz w:val="20"/>
                <w:szCs w:val="20"/>
              </w:rPr>
            </w:pPr>
          </w:p>
        </w:tc>
        <w:tc>
          <w:tcPr>
            <w:tcW w:w="7745" w:type="dxa"/>
            <w:gridSpan w:val="7"/>
            <w:vAlign w:val="center"/>
            <w:hideMark/>
          </w:tcPr>
          <w:p w14:paraId="788643FD" w14:textId="77777777" w:rsidR="00DE14B5" w:rsidRPr="00460143" w:rsidRDefault="00DE14B5" w:rsidP="007C3C42">
            <w:pPr>
              <w:keepNext/>
              <w:rPr>
                <w:rFonts w:ascii="Arial Narrow" w:hAnsi="Arial Narrow"/>
                <w:sz w:val="20"/>
                <w:szCs w:val="20"/>
              </w:rPr>
            </w:pPr>
            <w:r w:rsidRPr="00460143">
              <w:rPr>
                <w:rFonts w:ascii="Arial Narrow" w:hAnsi="Arial Narrow"/>
                <w:b/>
                <w:bCs/>
                <w:sz w:val="20"/>
                <w:szCs w:val="20"/>
              </w:rPr>
              <w:t>Treatment criteria:</w:t>
            </w:r>
          </w:p>
        </w:tc>
      </w:tr>
      <w:tr w:rsidR="00DE14B5" w:rsidRPr="00460143" w14:paraId="2AA6D07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851E136" w14:textId="63FEE188" w:rsidR="00DE14B5" w:rsidRPr="00460143" w:rsidRDefault="00DE14B5" w:rsidP="007C3C42">
            <w:pPr>
              <w:jc w:val="center"/>
              <w:rPr>
                <w:rFonts w:ascii="Arial Narrow" w:hAnsi="Arial Narrow"/>
                <w:sz w:val="20"/>
                <w:szCs w:val="20"/>
              </w:rPr>
            </w:pPr>
          </w:p>
        </w:tc>
        <w:tc>
          <w:tcPr>
            <w:tcW w:w="7745" w:type="dxa"/>
            <w:gridSpan w:val="7"/>
            <w:vAlign w:val="center"/>
            <w:hideMark/>
          </w:tcPr>
          <w:p w14:paraId="0839C0D1" w14:textId="77777777" w:rsidR="00DE14B5" w:rsidRPr="00460143" w:rsidRDefault="00DE14B5" w:rsidP="007C3C42">
            <w:pPr>
              <w:autoSpaceDE w:val="0"/>
              <w:autoSpaceDN w:val="0"/>
              <w:adjustRightInd w:val="0"/>
              <w:jc w:val="left"/>
              <w:rPr>
                <w:rFonts w:ascii="Arial Narrow" w:hAnsi="Arial Narrow" w:cs="Arial Narrow"/>
                <w:i/>
                <w:iCs/>
                <w:sz w:val="20"/>
                <w:szCs w:val="20"/>
              </w:rPr>
            </w:pPr>
            <w:r w:rsidRPr="00460143">
              <w:rPr>
                <w:rFonts w:ascii="Arial Narrow" w:hAnsi="Arial Narrow"/>
                <w:sz w:val="20"/>
                <w:szCs w:val="20"/>
              </w:rPr>
              <w:t>Must be treated by a neurologist</w:t>
            </w:r>
            <w:r w:rsidRPr="00460143">
              <w:rPr>
                <w:rFonts w:ascii="Arial Narrow" w:hAnsi="Arial Narrow"/>
                <w:iCs/>
                <w:sz w:val="20"/>
                <w:szCs w:val="20"/>
              </w:rPr>
              <w:t>.</w:t>
            </w:r>
          </w:p>
        </w:tc>
      </w:tr>
      <w:tr w:rsidR="00DE14B5" w:rsidRPr="00460143" w14:paraId="65AAEC9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C993EF3" w14:textId="441F10AC" w:rsidR="00DE14B5" w:rsidRPr="00460143" w:rsidRDefault="00DE14B5" w:rsidP="007C3C42">
            <w:pPr>
              <w:jc w:val="center"/>
              <w:rPr>
                <w:rFonts w:ascii="Arial Narrow" w:hAnsi="Arial Narrow"/>
                <w:sz w:val="20"/>
                <w:szCs w:val="20"/>
              </w:rPr>
            </w:pPr>
          </w:p>
        </w:tc>
        <w:tc>
          <w:tcPr>
            <w:tcW w:w="7745" w:type="dxa"/>
            <w:gridSpan w:val="7"/>
            <w:vAlign w:val="center"/>
            <w:hideMark/>
          </w:tcPr>
          <w:p w14:paraId="7E10CD8F"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Prescribing Instructions: </w:t>
            </w:r>
            <w:r w:rsidRPr="00460143">
              <w:rPr>
                <w:rFonts w:ascii="Arial Narrow" w:hAnsi="Arial Narrow"/>
                <w:sz w:val="20"/>
                <w:szCs w:val="20"/>
              </w:rPr>
              <w:t>Where applicable, the date of the magnetic resonance imaging scan must be recorded in the patient's medical records.</w:t>
            </w:r>
          </w:p>
        </w:tc>
      </w:tr>
      <w:tr w:rsidR="00DE14B5" w:rsidRPr="00460143" w14:paraId="2102162B" w14:textId="22218B8F" w:rsidTr="007C3C4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69446B66" w14:textId="13CA1060" w:rsidR="00DE14B5" w:rsidRPr="00460143" w:rsidRDefault="00DE14B5" w:rsidP="007C3C42">
            <w:pPr>
              <w:rPr>
                <w:rFonts w:ascii="Arial Narrow" w:hAnsi="Arial Narrow"/>
                <w:bCs/>
                <w:color w:val="FF0000"/>
                <w:sz w:val="20"/>
                <w:szCs w:val="20"/>
              </w:rPr>
            </w:pPr>
          </w:p>
          <w:p w14:paraId="00D90784" w14:textId="49E2F017" w:rsidR="00DE14B5" w:rsidRPr="00460143" w:rsidRDefault="00DE14B5" w:rsidP="007C3C42">
            <w:pPr>
              <w:rPr>
                <w:rFonts w:ascii="Arial Narrow" w:hAnsi="Arial Narrow"/>
                <w:bCs/>
                <w:color w:val="FF0000"/>
                <w:sz w:val="20"/>
                <w:szCs w:val="20"/>
              </w:rPr>
            </w:pPr>
          </w:p>
        </w:tc>
      </w:tr>
      <w:tr w:rsidR="00DE14B5" w:rsidRPr="00460143" w14:paraId="26FFB7C9"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68192079" w14:textId="77777777" w:rsidR="00DE14B5" w:rsidRPr="00460143" w:rsidRDefault="00DE14B5" w:rsidP="007C3C42">
            <w:pPr>
              <w:keepNext/>
              <w:keepLines/>
              <w:rPr>
                <w:rFonts w:ascii="Arial Narrow" w:hAnsi="Arial Narrow"/>
                <w:b/>
                <w:bCs/>
                <w:color w:val="333333"/>
                <w:sz w:val="20"/>
                <w:szCs w:val="20"/>
              </w:rPr>
            </w:pPr>
            <w:r w:rsidRPr="00460143">
              <w:rPr>
                <w:rFonts w:ascii="Arial Narrow" w:hAnsi="Arial Narrow"/>
                <w:b/>
                <w:bCs/>
                <w:sz w:val="20"/>
                <w:szCs w:val="20"/>
              </w:rPr>
              <w:t>Restriction Summary 7396</w:t>
            </w:r>
            <w:r w:rsidRPr="00460143">
              <w:rPr>
                <w:rFonts w:ascii="Arial Narrow" w:hAnsi="Arial Narrow"/>
                <w:b/>
                <w:bCs/>
                <w:color w:val="FF0000"/>
                <w:sz w:val="20"/>
                <w:szCs w:val="20"/>
              </w:rPr>
              <w:t xml:space="preserve"> </w:t>
            </w:r>
            <w:r w:rsidRPr="00460143">
              <w:rPr>
                <w:rFonts w:ascii="Arial Narrow" w:hAnsi="Arial Narrow"/>
                <w:b/>
                <w:bCs/>
                <w:sz w:val="20"/>
                <w:szCs w:val="20"/>
              </w:rPr>
              <w:t>/ Treatment of Concept: 7386</w:t>
            </w:r>
          </w:p>
        </w:tc>
      </w:tr>
      <w:tr w:rsidR="00DE14B5" w:rsidRPr="00460143" w14:paraId="0B00DF4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3B3A5284" w14:textId="77777777" w:rsidR="00DE14B5" w:rsidRPr="00460143" w:rsidRDefault="00DE14B5" w:rsidP="007C3C42">
            <w:pPr>
              <w:jc w:val="center"/>
              <w:rPr>
                <w:rFonts w:ascii="Arial Narrow" w:hAnsi="Arial Narrow" w:cs="Arial"/>
                <w:b/>
                <w:sz w:val="20"/>
                <w:szCs w:val="20"/>
              </w:rPr>
            </w:pPr>
            <w:r w:rsidRPr="00460143">
              <w:rPr>
                <w:rFonts w:ascii="Arial Narrow" w:hAnsi="Arial Narrow" w:cs="Arial"/>
                <w:b/>
                <w:sz w:val="20"/>
                <w:szCs w:val="20"/>
              </w:rPr>
              <w:t>Concept ID</w:t>
            </w:r>
            <w:r w:rsidRPr="00460143">
              <w:rPr>
                <w:rFonts w:ascii="Arial Narrow" w:hAnsi="Arial Narrow" w:cs="Arial"/>
                <w:b/>
                <w:sz w:val="20"/>
                <w:szCs w:val="20"/>
              </w:rPr>
              <w:br/>
            </w:r>
            <w:r w:rsidRPr="00460143">
              <w:rPr>
                <w:rFonts w:ascii="Arial Narrow" w:hAnsi="Arial Narrow" w:cs="Arial"/>
                <w:sz w:val="20"/>
                <w:szCs w:val="20"/>
              </w:rPr>
              <w:t>(for internal Dept. use)</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77C6A25" w14:textId="77777777" w:rsidR="00DE14B5" w:rsidRPr="00460143" w:rsidRDefault="00DE14B5" w:rsidP="007C3C42">
            <w:pPr>
              <w:keepLines/>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Public (Code HS)</w:t>
            </w:r>
          </w:p>
        </w:tc>
      </w:tr>
      <w:tr w:rsidR="00DE14B5" w:rsidRPr="00460143" w14:paraId="61547A4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B81F4AB"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3940A1C" w14:textId="77777777" w:rsidR="00DE14B5" w:rsidRPr="00460143" w:rsidRDefault="00DE14B5"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DE14B5" w:rsidRPr="00460143" w14:paraId="118FCDC1"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00E51400"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F3CFBAB" w14:textId="77777777" w:rsidR="00DE14B5" w:rsidRPr="00460143" w:rsidRDefault="00DE14B5" w:rsidP="007C3C42">
            <w:pPr>
              <w:keepLines/>
              <w:rPr>
                <w:rFonts w:ascii="Arial Narrow" w:eastAsia="Calibri" w:hAnsi="Arial Narrow" w:cs="Arial"/>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[7386] </w:t>
            </w:r>
          </w:p>
        </w:tc>
      </w:tr>
      <w:tr w:rsidR="00DE14B5" w:rsidRPr="00460143" w14:paraId="5E773F2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54D52314" w14:textId="77777777" w:rsidR="00DE14B5" w:rsidRPr="00460143" w:rsidRDefault="00DE14B5"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FAF986D" w14:textId="77777777" w:rsidR="00DE14B5" w:rsidRPr="00460143" w:rsidRDefault="00DE14B5"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DE14B5" w:rsidRPr="00460143" w14:paraId="0A4133B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FBD8AF0" w14:textId="76CF7065" w:rsidR="00DE14B5" w:rsidRPr="00460143" w:rsidRDefault="00DE14B5" w:rsidP="007C3C42">
            <w:pPr>
              <w:jc w:val="center"/>
              <w:rPr>
                <w:rFonts w:ascii="Arial Narrow" w:hAnsi="Arial Narrow"/>
                <w:sz w:val="20"/>
                <w:szCs w:val="20"/>
              </w:rPr>
            </w:pPr>
          </w:p>
        </w:tc>
        <w:tc>
          <w:tcPr>
            <w:tcW w:w="7745" w:type="dxa"/>
            <w:gridSpan w:val="7"/>
            <w:vAlign w:val="center"/>
            <w:hideMark/>
          </w:tcPr>
          <w:p w14:paraId="4587EAA2" w14:textId="77777777" w:rsidR="00DE14B5" w:rsidRPr="00460143" w:rsidRDefault="00DE14B5" w:rsidP="007C3C42">
            <w:pPr>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r w:rsidRPr="00460143" w:rsidDel="004B302D">
              <w:rPr>
                <w:rFonts w:ascii="Arial Narrow" w:hAnsi="Arial Narrow"/>
                <w:sz w:val="20"/>
                <w:szCs w:val="20"/>
              </w:rPr>
              <w:t xml:space="preserve"> </w:t>
            </w:r>
          </w:p>
        </w:tc>
      </w:tr>
      <w:tr w:rsidR="00DE14B5" w:rsidRPr="00460143" w14:paraId="3D1B4F1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269349F" w14:textId="77777777" w:rsidR="00DE14B5" w:rsidRPr="00460143" w:rsidRDefault="00DE14B5" w:rsidP="007C3C42">
            <w:pPr>
              <w:jc w:val="center"/>
              <w:rPr>
                <w:rFonts w:ascii="Arial Narrow" w:hAnsi="Arial Narrow"/>
                <w:sz w:val="20"/>
                <w:szCs w:val="20"/>
              </w:rPr>
            </w:pPr>
          </w:p>
        </w:tc>
        <w:tc>
          <w:tcPr>
            <w:tcW w:w="7745" w:type="dxa"/>
            <w:gridSpan w:val="7"/>
            <w:vAlign w:val="center"/>
            <w:hideMark/>
          </w:tcPr>
          <w:p w14:paraId="19145C08"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Continuing treatment</w:t>
            </w:r>
          </w:p>
        </w:tc>
      </w:tr>
      <w:tr w:rsidR="00DE14B5" w:rsidRPr="00460143" w14:paraId="0C2B9B0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BB5E7F7" w14:textId="0F17D1B3" w:rsidR="00DE14B5" w:rsidRPr="00460143" w:rsidRDefault="00DE14B5" w:rsidP="007C3C42">
            <w:pPr>
              <w:jc w:val="center"/>
              <w:rPr>
                <w:rFonts w:ascii="Arial Narrow" w:hAnsi="Arial Narrow"/>
                <w:sz w:val="20"/>
                <w:szCs w:val="20"/>
              </w:rPr>
            </w:pPr>
          </w:p>
        </w:tc>
        <w:tc>
          <w:tcPr>
            <w:tcW w:w="7745" w:type="dxa"/>
            <w:gridSpan w:val="7"/>
            <w:vAlign w:val="center"/>
            <w:hideMark/>
          </w:tcPr>
          <w:p w14:paraId="6C90DAED"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DE14B5" w:rsidRPr="00460143" w14:paraId="54AF535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E728CA" w14:textId="1FD46F02" w:rsidR="00DE14B5" w:rsidRPr="00460143" w:rsidRDefault="00DE14B5" w:rsidP="007C3C42">
            <w:pPr>
              <w:jc w:val="center"/>
              <w:rPr>
                <w:rFonts w:ascii="Arial Narrow" w:hAnsi="Arial Narrow"/>
                <w:sz w:val="20"/>
                <w:szCs w:val="20"/>
              </w:rPr>
            </w:pPr>
          </w:p>
        </w:tc>
        <w:tc>
          <w:tcPr>
            <w:tcW w:w="7745" w:type="dxa"/>
            <w:gridSpan w:val="7"/>
            <w:vAlign w:val="center"/>
          </w:tcPr>
          <w:p w14:paraId="6214D800"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have previously received PBS-subsidised treatment with this drug for this condition,</w:t>
            </w:r>
          </w:p>
        </w:tc>
      </w:tr>
      <w:tr w:rsidR="00DE14B5" w:rsidRPr="00460143" w14:paraId="3FB510D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1CF430" w14:textId="77777777" w:rsidR="00DE14B5" w:rsidRPr="00460143" w:rsidRDefault="00DE14B5" w:rsidP="007C3C42">
            <w:pPr>
              <w:jc w:val="center"/>
              <w:rPr>
                <w:rFonts w:ascii="Arial Narrow" w:hAnsi="Arial Narrow"/>
                <w:sz w:val="20"/>
                <w:szCs w:val="20"/>
              </w:rPr>
            </w:pPr>
          </w:p>
        </w:tc>
        <w:tc>
          <w:tcPr>
            <w:tcW w:w="7745" w:type="dxa"/>
            <w:gridSpan w:val="7"/>
            <w:vAlign w:val="center"/>
          </w:tcPr>
          <w:p w14:paraId="22D0CF7F"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59C2B95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54739B" w14:textId="33B3754C" w:rsidR="00DE14B5" w:rsidRPr="00460143" w:rsidRDefault="00DE14B5" w:rsidP="007C3C42">
            <w:pPr>
              <w:jc w:val="center"/>
              <w:rPr>
                <w:rFonts w:ascii="Arial Narrow" w:hAnsi="Arial Narrow"/>
                <w:sz w:val="20"/>
                <w:szCs w:val="20"/>
              </w:rPr>
            </w:pPr>
          </w:p>
        </w:tc>
        <w:tc>
          <w:tcPr>
            <w:tcW w:w="7745" w:type="dxa"/>
            <w:gridSpan w:val="7"/>
            <w:vAlign w:val="center"/>
          </w:tcPr>
          <w:p w14:paraId="62E3D72D"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31F9EC2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4CBF82" w14:textId="06A7A8B9" w:rsidR="00DE14B5" w:rsidRPr="00460143" w:rsidRDefault="00DE14B5" w:rsidP="007C3C42">
            <w:pPr>
              <w:jc w:val="center"/>
              <w:rPr>
                <w:rFonts w:ascii="Arial Narrow" w:hAnsi="Arial Narrow"/>
                <w:sz w:val="20"/>
                <w:szCs w:val="20"/>
              </w:rPr>
            </w:pPr>
          </w:p>
        </w:tc>
        <w:tc>
          <w:tcPr>
            <w:tcW w:w="7745" w:type="dxa"/>
            <w:gridSpan w:val="7"/>
            <w:vAlign w:val="center"/>
          </w:tcPr>
          <w:p w14:paraId="015B989A"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not show continuing progression of disability while on treatment with this drug,</w:t>
            </w:r>
          </w:p>
        </w:tc>
      </w:tr>
      <w:tr w:rsidR="00DE14B5" w:rsidRPr="00460143" w14:paraId="67BC50B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E5E525" w14:textId="77777777" w:rsidR="00DE14B5" w:rsidRPr="00460143" w:rsidRDefault="00DE14B5" w:rsidP="007C3C42">
            <w:pPr>
              <w:jc w:val="center"/>
              <w:rPr>
                <w:rFonts w:ascii="Arial Narrow" w:hAnsi="Arial Narrow"/>
                <w:sz w:val="20"/>
                <w:szCs w:val="20"/>
              </w:rPr>
            </w:pPr>
          </w:p>
        </w:tc>
        <w:tc>
          <w:tcPr>
            <w:tcW w:w="7745" w:type="dxa"/>
            <w:gridSpan w:val="7"/>
            <w:vAlign w:val="center"/>
          </w:tcPr>
          <w:p w14:paraId="1D949246"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17D6CD2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712252" w14:textId="690078F4" w:rsidR="00DE14B5" w:rsidRPr="00460143" w:rsidRDefault="00DE14B5" w:rsidP="007C3C42">
            <w:pPr>
              <w:jc w:val="center"/>
              <w:rPr>
                <w:rFonts w:ascii="Arial Narrow" w:hAnsi="Arial Narrow"/>
                <w:sz w:val="20"/>
                <w:szCs w:val="20"/>
              </w:rPr>
            </w:pPr>
          </w:p>
        </w:tc>
        <w:tc>
          <w:tcPr>
            <w:tcW w:w="7745" w:type="dxa"/>
            <w:gridSpan w:val="7"/>
            <w:vAlign w:val="center"/>
          </w:tcPr>
          <w:p w14:paraId="153E7337"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202FB5D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888E7C" w14:textId="522D07E0" w:rsidR="00DE14B5" w:rsidRPr="00460143" w:rsidRDefault="00DE14B5" w:rsidP="007C3C42">
            <w:pPr>
              <w:jc w:val="center"/>
              <w:rPr>
                <w:rFonts w:ascii="Arial Narrow" w:hAnsi="Arial Narrow"/>
                <w:sz w:val="20"/>
                <w:szCs w:val="20"/>
              </w:rPr>
            </w:pPr>
          </w:p>
        </w:tc>
        <w:tc>
          <w:tcPr>
            <w:tcW w:w="7745" w:type="dxa"/>
            <w:gridSpan w:val="7"/>
            <w:vAlign w:val="center"/>
          </w:tcPr>
          <w:p w14:paraId="5FCEEB8F"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DE14B5" w:rsidRPr="00460143" w14:paraId="38D2464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1602B0F" w14:textId="77777777" w:rsidR="00DE14B5" w:rsidRPr="00460143" w:rsidRDefault="00DE14B5" w:rsidP="007C3C42">
            <w:pPr>
              <w:jc w:val="center"/>
              <w:rPr>
                <w:rFonts w:ascii="Arial Narrow" w:hAnsi="Arial Narrow"/>
                <w:sz w:val="20"/>
                <w:szCs w:val="20"/>
              </w:rPr>
            </w:pPr>
          </w:p>
        </w:tc>
        <w:tc>
          <w:tcPr>
            <w:tcW w:w="7745" w:type="dxa"/>
            <w:gridSpan w:val="7"/>
            <w:vAlign w:val="center"/>
          </w:tcPr>
          <w:p w14:paraId="4160C780"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4A3B511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DFD8C7" w14:textId="2493F10C" w:rsidR="00DE14B5" w:rsidRPr="00460143" w:rsidRDefault="00DE14B5" w:rsidP="007C3C42">
            <w:pPr>
              <w:jc w:val="center"/>
              <w:rPr>
                <w:rFonts w:ascii="Arial Narrow" w:hAnsi="Arial Narrow"/>
                <w:sz w:val="20"/>
                <w:szCs w:val="20"/>
              </w:rPr>
            </w:pPr>
          </w:p>
        </w:tc>
        <w:tc>
          <w:tcPr>
            <w:tcW w:w="7745" w:type="dxa"/>
            <w:gridSpan w:val="7"/>
            <w:vAlign w:val="center"/>
          </w:tcPr>
          <w:p w14:paraId="278C3E35" w14:textId="77777777" w:rsidR="00DE14B5" w:rsidRPr="00460143" w:rsidRDefault="00DE14B5" w:rsidP="007C3C42">
            <w:r w:rsidRPr="00460143">
              <w:rPr>
                <w:rFonts w:ascii="Arial Narrow" w:hAnsi="Arial Narrow"/>
                <w:b/>
                <w:bCs/>
                <w:sz w:val="20"/>
                <w:szCs w:val="20"/>
              </w:rPr>
              <w:t>Clinical criteria:</w:t>
            </w:r>
          </w:p>
        </w:tc>
      </w:tr>
      <w:tr w:rsidR="00DE14B5" w:rsidRPr="00460143" w14:paraId="1778911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0A2D764" w14:textId="5A931693" w:rsidR="00DE14B5" w:rsidRPr="00460143" w:rsidRDefault="00DE14B5" w:rsidP="007C3C42">
            <w:pPr>
              <w:jc w:val="center"/>
              <w:rPr>
                <w:rFonts w:ascii="Arial Narrow" w:hAnsi="Arial Narrow"/>
                <w:sz w:val="20"/>
                <w:szCs w:val="20"/>
              </w:rPr>
            </w:pPr>
          </w:p>
        </w:tc>
        <w:tc>
          <w:tcPr>
            <w:tcW w:w="7745" w:type="dxa"/>
            <w:gridSpan w:val="7"/>
            <w:vAlign w:val="center"/>
          </w:tcPr>
          <w:p w14:paraId="622DF0B7"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have demonstrated compliance with, and an ability to tolerate this therapy.</w:t>
            </w:r>
          </w:p>
        </w:tc>
      </w:tr>
      <w:tr w:rsidR="00DE14B5" w:rsidRPr="00460143" w14:paraId="5EF9739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622B4C" w14:textId="57D5EE9A" w:rsidR="00DE14B5" w:rsidRPr="00460143" w:rsidRDefault="00DE14B5" w:rsidP="007C3C42">
            <w:pPr>
              <w:jc w:val="center"/>
              <w:rPr>
                <w:rFonts w:ascii="Arial Narrow" w:hAnsi="Arial Narrow"/>
                <w:sz w:val="20"/>
                <w:szCs w:val="20"/>
              </w:rPr>
            </w:pPr>
          </w:p>
        </w:tc>
        <w:tc>
          <w:tcPr>
            <w:tcW w:w="7745" w:type="dxa"/>
            <w:gridSpan w:val="7"/>
            <w:vAlign w:val="center"/>
          </w:tcPr>
          <w:p w14:paraId="5C23A839"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criteria:</w:t>
            </w:r>
          </w:p>
        </w:tc>
      </w:tr>
      <w:tr w:rsidR="00DE14B5" w:rsidRPr="00460143" w14:paraId="4B432D6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D43C60" w14:textId="452F64AF" w:rsidR="00DE14B5" w:rsidRPr="00460143" w:rsidRDefault="00DE14B5" w:rsidP="007C3C42">
            <w:pPr>
              <w:jc w:val="center"/>
              <w:rPr>
                <w:rFonts w:ascii="Arial Narrow" w:hAnsi="Arial Narrow"/>
                <w:sz w:val="20"/>
                <w:szCs w:val="20"/>
              </w:rPr>
            </w:pPr>
          </w:p>
        </w:tc>
        <w:tc>
          <w:tcPr>
            <w:tcW w:w="7745" w:type="dxa"/>
            <w:gridSpan w:val="7"/>
            <w:vAlign w:val="center"/>
          </w:tcPr>
          <w:p w14:paraId="431D0485"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Must be treated by a neurologist.</w:t>
            </w:r>
          </w:p>
        </w:tc>
      </w:tr>
    </w:tbl>
    <w:p w14:paraId="6B3155AE" w14:textId="77777777" w:rsidR="00DE14B5" w:rsidRPr="00460143" w:rsidRDefault="00DE14B5" w:rsidP="00DE14B5">
      <w:pPr>
        <w:pStyle w:val="3-BodyText"/>
        <w:numPr>
          <w:ilvl w:val="0"/>
          <w:numId w:val="0"/>
        </w:numPr>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E14B5" w:rsidRPr="00460143" w14:paraId="329330C7" w14:textId="77777777" w:rsidTr="007C3C42">
        <w:trPr>
          <w:cantSplit/>
          <w:trHeight w:val="20"/>
        </w:trPr>
        <w:tc>
          <w:tcPr>
            <w:tcW w:w="3939" w:type="dxa"/>
            <w:gridSpan w:val="3"/>
            <w:vAlign w:val="center"/>
          </w:tcPr>
          <w:p w14:paraId="5EB0D3D1" w14:textId="77777777" w:rsidR="00DE14B5" w:rsidRPr="00460143" w:rsidRDefault="00DE14B5" w:rsidP="007C3C42">
            <w:pPr>
              <w:keepLines/>
              <w:rPr>
                <w:rFonts w:ascii="Arial Narrow" w:hAnsi="Arial Narrow" w:cs="Arial"/>
                <w:b/>
                <w:bCs/>
                <w:sz w:val="20"/>
                <w:szCs w:val="20"/>
              </w:rPr>
            </w:pPr>
            <w:r w:rsidRPr="00460143">
              <w:rPr>
                <w:rFonts w:ascii="Arial Narrow" w:hAnsi="Arial Narrow" w:cs="Arial"/>
                <w:b/>
                <w:bCs/>
                <w:sz w:val="20"/>
                <w:szCs w:val="20"/>
              </w:rPr>
              <w:t>MEDICINAL PRODUCT</w:t>
            </w:r>
          </w:p>
          <w:p w14:paraId="40BAF070" w14:textId="77777777" w:rsidR="00DE14B5" w:rsidRPr="00460143" w:rsidRDefault="00DE14B5" w:rsidP="007C3C42">
            <w:pPr>
              <w:keepLines/>
              <w:rPr>
                <w:rFonts w:ascii="Arial Narrow" w:hAnsi="Arial Narrow" w:cs="Arial"/>
                <w:b/>
                <w:sz w:val="20"/>
                <w:szCs w:val="20"/>
              </w:rPr>
            </w:pPr>
            <w:r w:rsidRPr="00460143">
              <w:rPr>
                <w:rFonts w:ascii="Arial Narrow" w:hAnsi="Arial Narrow" w:cs="Arial"/>
                <w:b/>
                <w:bCs/>
                <w:sz w:val="20"/>
                <w:szCs w:val="20"/>
              </w:rPr>
              <w:t>medicinal product pack</w:t>
            </w:r>
          </w:p>
        </w:tc>
        <w:tc>
          <w:tcPr>
            <w:tcW w:w="811" w:type="dxa"/>
            <w:vAlign w:val="center"/>
          </w:tcPr>
          <w:p w14:paraId="5EA6C7A9" w14:textId="77777777" w:rsidR="00DE14B5" w:rsidRPr="00460143" w:rsidRDefault="00DE14B5" w:rsidP="007C3C42">
            <w:pPr>
              <w:keepLines/>
              <w:jc w:val="center"/>
              <w:rPr>
                <w:rFonts w:ascii="Arial Narrow" w:hAnsi="Arial Narrow" w:cs="Arial"/>
                <w:b/>
                <w:sz w:val="20"/>
                <w:szCs w:val="20"/>
              </w:rPr>
            </w:pPr>
            <w:r w:rsidRPr="00460143">
              <w:rPr>
                <w:rFonts w:ascii="Arial Narrow" w:hAnsi="Arial Narrow" w:cs="Arial"/>
                <w:b/>
                <w:sz w:val="20"/>
                <w:szCs w:val="20"/>
              </w:rPr>
              <w:t>PBS item code</w:t>
            </w:r>
          </w:p>
        </w:tc>
        <w:tc>
          <w:tcPr>
            <w:tcW w:w="812" w:type="dxa"/>
            <w:vAlign w:val="center"/>
          </w:tcPr>
          <w:p w14:paraId="3F468978" w14:textId="77777777" w:rsidR="00DE14B5" w:rsidRPr="00460143" w:rsidRDefault="00DE14B5" w:rsidP="007C3C42">
            <w:pPr>
              <w:keepLines/>
              <w:jc w:val="center"/>
              <w:rPr>
                <w:rFonts w:ascii="Arial Narrow" w:hAnsi="Arial Narrow" w:cs="Arial"/>
                <w:b/>
                <w:sz w:val="20"/>
                <w:szCs w:val="20"/>
              </w:rPr>
            </w:pPr>
            <w:r w:rsidRPr="00460143">
              <w:rPr>
                <w:rFonts w:ascii="Arial Narrow" w:hAnsi="Arial Narrow" w:cs="Arial"/>
                <w:b/>
                <w:sz w:val="20"/>
                <w:szCs w:val="20"/>
              </w:rPr>
              <w:t>Max. qty packs</w:t>
            </w:r>
          </w:p>
        </w:tc>
        <w:tc>
          <w:tcPr>
            <w:tcW w:w="811" w:type="dxa"/>
            <w:vAlign w:val="center"/>
          </w:tcPr>
          <w:p w14:paraId="101489BA" w14:textId="77777777" w:rsidR="00DE14B5" w:rsidRPr="00460143" w:rsidRDefault="00DE14B5" w:rsidP="007C3C42">
            <w:pPr>
              <w:keepLines/>
              <w:jc w:val="center"/>
              <w:rPr>
                <w:rFonts w:ascii="Arial Narrow" w:hAnsi="Arial Narrow" w:cs="Arial"/>
                <w:b/>
                <w:sz w:val="20"/>
                <w:szCs w:val="20"/>
              </w:rPr>
            </w:pPr>
            <w:r w:rsidRPr="00460143">
              <w:rPr>
                <w:rFonts w:ascii="Arial Narrow" w:hAnsi="Arial Narrow" w:cs="Arial"/>
                <w:b/>
                <w:sz w:val="20"/>
                <w:szCs w:val="20"/>
              </w:rPr>
              <w:t>Max. qty units</w:t>
            </w:r>
          </w:p>
        </w:tc>
        <w:tc>
          <w:tcPr>
            <w:tcW w:w="812" w:type="dxa"/>
            <w:vAlign w:val="center"/>
          </w:tcPr>
          <w:p w14:paraId="7EF462D5" w14:textId="77777777" w:rsidR="00DE14B5" w:rsidRPr="00460143" w:rsidRDefault="00DE14B5" w:rsidP="007C3C42">
            <w:pPr>
              <w:keepLines/>
              <w:jc w:val="center"/>
              <w:rPr>
                <w:rFonts w:ascii="Arial Narrow" w:hAnsi="Arial Narrow" w:cs="Arial"/>
                <w:b/>
                <w:sz w:val="20"/>
                <w:szCs w:val="20"/>
              </w:rPr>
            </w:pPr>
            <w:r w:rsidRPr="00460143">
              <w:rPr>
                <w:rFonts w:ascii="Arial Narrow" w:hAnsi="Arial Narrow" w:cs="Arial"/>
                <w:b/>
                <w:sz w:val="20"/>
                <w:szCs w:val="20"/>
              </w:rPr>
              <w:t>№.of</w:t>
            </w:r>
          </w:p>
          <w:p w14:paraId="0080836A" w14:textId="77777777" w:rsidR="00DE14B5" w:rsidRPr="00460143" w:rsidRDefault="00DE14B5" w:rsidP="007C3C42">
            <w:pPr>
              <w:keepLines/>
              <w:jc w:val="center"/>
              <w:rPr>
                <w:rFonts w:ascii="Arial Narrow" w:hAnsi="Arial Narrow" w:cs="Arial"/>
                <w:b/>
                <w:sz w:val="20"/>
                <w:szCs w:val="20"/>
              </w:rPr>
            </w:pPr>
            <w:r w:rsidRPr="00460143">
              <w:rPr>
                <w:rFonts w:ascii="Arial Narrow" w:hAnsi="Arial Narrow" w:cs="Arial"/>
                <w:b/>
                <w:sz w:val="20"/>
                <w:szCs w:val="20"/>
              </w:rPr>
              <w:t>Rpts</w:t>
            </w:r>
          </w:p>
        </w:tc>
        <w:tc>
          <w:tcPr>
            <w:tcW w:w="1831" w:type="dxa"/>
            <w:vAlign w:val="center"/>
          </w:tcPr>
          <w:p w14:paraId="5D3E1AB3" w14:textId="77777777" w:rsidR="00DE14B5" w:rsidRPr="00DA50BA" w:rsidRDefault="00DE14B5" w:rsidP="007C3C42">
            <w:pPr>
              <w:keepLines/>
              <w:rPr>
                <w:rFonts w:ascii="Arial Narrow" w:hAnsi="Arial Narrow" w:cs="Arial"/>
                <w:b/>
                <w:sz w:val="20"/>
                <w:szCs w:val="20"/>
              </w:rPr>
            </w:pPr>
            <w:r w:rsidRPr="00460143">
              <w:rPr>
                <w:rFonts w:ascii="Arial Narrow" w:hAnsi="Arial Narrow" w:cs="Arial"/>
                <w:b/>
                <w:sz w:val="20"/>
                <w:szCs w:val="20"/>
              </w:rPr>
              <w:t>Available brands</w:t>
            </w:r>
          </w:p>
        </w:tc>
      </w:tr>
      <w:tr w:rsidR="00DE14B5" w:rsidRPr="00460143" w14:paraId="7C385742" w14:textId="77777777" w:rsidTr="007C3C42">
        <w:trPr>
          <w:cantSplit/>
          <w:trHeight w:val="20"/>
        </w:trPr>
        <w:tc>
          <w:tcPr>
            <w:tcW w:w="9016" w:type="dxa"/>
            <w:gridSpan w:val="8"/>
            <w:vAlign w:val="center"/>
          </w:tcPr>
          <w:p w14:paraId="53C308E0"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OCRELIZUMAB</w:t>
            </w:r>
          </w:p>
        </w:tc>
      </w:tr>
      <w:tr w:rsidR="00DE14B5" w:rsidRPr="00460143" w14:paraId="2C0B73C4" w14:textId="77777777" w:rsidTr="007C3C42">
        <w:trPr>
          <w:cantSplit/>
          <w:trHeight w:val="20"/>
        </w:trPr>
        <w:tc>
          <w:tcPr>
            <w:tcW w:w="3939" w:type="dxa"/>
            <w:gridSpan w:val="3"/>
            <w:vAlign w:val="center"/>
          </w:tcPr>
          <w:p w14:paraId="18786FAC"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ocrelizumab 920 mg/23 mL injection,</w:t>
            </w:r>
            <w:r>
              <w:rPr>
                <w:rFonts w:ascii="Arial Narrow" w:hAnsi="Arial Narrow" w:cs="Arial"/>
                <w:sz w:val="20"/>
                <w:szCs w:val="20"/>
              </w:rPr>
              <w:t xml:space="preserve"> </w:t>
            </w:r>
            <w:r w:rsidRPr="00460143">
              <w:rPr>
                <w:rFonts w:ascii="Arial Narrow" w:hAnsi="Arial Narrow" w:cs="Arial"/>
                <w:sz w:val="20"/>
                <w:szCs w:val="20"/>
              </w:rPr>
              <w:t>23 mL vial</w:t>
            </w:r>
          </w:p>
        </w:tc>
        <w:tc>
          <w:tcPr>
            <w:tcW w:w="811" w:type="dxa"/>
            <w:vAlign w:val="center"/>
          </w:tcPr>
          <w:p w14:paraId="5F60D427" w14:textId="77777777" w:rsidR="00DE14B5" w:rsidRPr="00333301" w:rsidRDefault="00DE14B5" w:rsidP="007C3C42">
            <w:pPr>
              <w:keepLines/>
              <w:jc w:val="center"/>
              <w:rPr>
                <w:rFonts w:ascii="Arial Narrow" w:hAnsi="Arial Narrow" w:cs="Arial"/>
                <w:sz w:val="20"/>
                <w:szCs w:val="20"/>
              </w:rPr>
            </w:pPr>
            <w:r w:rsidRPr="00460143">
              <w:rPr>
                <w:rFonts w:ascii="Arial Narrow" w:hAnsi="Arial Narrow" w:cs="Arial"/>
                <w:i/>
                <w:iCs/>
                <w:sz w:val="20"/>
                <w:szCs w:val="20"/>
              </w:rPr>
              <w:t xml:space="preserve"> </w:t>
            </w:r>
            <w:r w:rsidRPr="00DA50BA">
              <w:rPr>
                <w:rFonts w:ascii="Arial Narrow" w:hAnsi="Arial Narrow" w:cs="Arial"/>
                <w:sz w:val="20"/>
                <w:szCs w:val="20"/>
              </w:rPr>
              <w:t>NEW (HSD Private)</w:t>
            </w:r>
          </w:p>
        </w:tc>
        <w:tc>
          <w:tcPr>
            <w:tcW w:w="812" w:type="dxa"/>
            <w:vAlign w:val="center"/>
          </w:tcPr>
          <w:p w14:paraId="20B7BEA0"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1" w:type="dxa"/>
            <w:vAlign w:val="center"/>
          </w:tcPr>
          <w:p w14:paraId="4418CD87"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2" w:type="dxa"/>
            <w:vAlign w:val="center"/>
          </w:tcPr>
          <w:p w14:paraId="06917FE0" w14:textId="77777777" w:rsidR="00DE14B5" w:rsidRPr="00460143" w:rsidRDefault="00DE14B5" w:rsidP="007C3C42">
            <w:pPr>
              <w:keepLines/>
              <w:jc w:val="center"/>
              <w:rPr>
                <w:rFonts w:ascii="Arial Narrow" w:hAnsi="Arial Narrow" w:cs="Arial"/>
                <w:sz w:val="20"/>
                <w:szCs w:val="20"/>
              </w:rPr>
            </w:pPr>
            <w:r w:rsidRPr="00460143">
              <w:rPr>
                <w:rFonts w:ascii="Arial Narrow" w:hAnsi="Arial Narrow" w:cs="Arial"/>
                <w:sz w:val="20"/>
                <w:szCs w:val="20"/>
              </w:rPr>
              <w:t>0</w:t>
            </w:r>
          </w:p>
        </w:tc>
        <w:tc>
          <w:tcPr>
            <w:tcW w:w="1831" w:type="dxa"/>
            <w:vAlign w:val="center"/>
          </w:tcPr>
          <w:p w14:paraId="16E360F6" w14:textId="77777777" w:rsidR="00DE14B5" w:rsidRPr="00460143" w:rsidRDefault="00DE14B5" w:rsidP="007C3C42">
            <w:pPr>
              <w:keepLines/>
              <w:rPr>
                <w:rFonts w:ascii="Arial Narrow" w:hAnsi="Arial Narrow" w:cs="Arial"/>
                <w:sz w:val="20"/>
                <w:szCs w:val="20"/>
              </w:rPr>
            </w:pPr>
            <w:r w:rsidRPr="00460143">
              <w:rPr>
                <w:rFonts w:ascii="Arial Narrow" w:hAnsi="Arial Narrow" w:cs="Arial"/>
                <w:sz w:val="20"/>
                <w:szCs w:val="20"/>
              </w:rPr>
              <w:t>Ocrevus SC</w:t>
            </w:r>
          </w:p>
        </w:tc>
      </w:tr>
      <w:tr w:rsidR="00DE14B5" w:rsidRPr="00460143" w14:paraId="1301C035"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E64FB19" w14:textId="77777777" w:rsidR="00DE14B5" w:rsidRPr="00460143" w:rsidRDefault="00DE14B5" w:rsidP="007C3C42">
            <w:pPr>
              <w:rPr>
                <w:rFonts w:ascii="Arial Narrow" w:hAnsi="Arial Narrow" w:cs="Arial"/>
                <w:sz w:val="20"/>
                <w:szCs w:val="20"/>
              </w:rPr>
            </w:pPr>
          </w:p>
        </w:tc>
      </w:tr>
      <w:tr w:rsidR="00DE14B5" w:rsidRPr="00460143" w14:paraId="7993266E"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53767BA" w14:textId="77777777" w:rsidR="00DE14B5" w:rsidRPr="00460143" w:rsidRDefault="00DE14B5" w:rsidP="007C3C42">
            <w:pPr>
              <w:keepLines/>
              <w:rPr>
                <w:rFonts w:ascii="Arial Narrow" w:hAnsi="Arial Narrow" w:cs="Arial"/>
                <w:b/>
                <w:sz w:val="20"/>
                <w:szCs w:val="20"/>
              </w:rPr>
            </w:pPr>
            <w:r w:rsidRPr="00460143">
              <w:rPr>
                <w:rFonts w:ascii="Arial Narrow" w:hAnsi="Arial Narrow"/>
                <w:b/>
                <w:sz w:val="20"/>
                <w:szCs w:val="20"/>
              </w:rPr>
              <w:t>Restriction Summary 9523</w:t>
            </w:r>
            <w:r w:rsidRPr="00460143">
              <w:rPr>
                <w:rFonts w:ascii="Arial Narrow" w:hAnsi="Arial Narrow"/>
                <w:b/>
                <w:color w:val="FF0000"/>
                <w:sz w:val="20"/>
                <w:szCs w:val="20"/>
              </w:rPr>
              <w:t xml:space="preserve"> </w:t>
            </w:r>
            <w:r w:rsidRPr="00460143">
              <w:rPr>
                <w:rFonts w:ascii="Arial Narrow" w:hAnsi="Arial Narrow"/>
                <w:b/>
                <w:sz w:val="20"/>
                <w:szCs w:val="20"/>
              </w:rPr>
              <w:t>/ Treatment of Concept: 9523</w:t>
            </w:r>
          </w:p>
        </w:tc>
      </w:tr>
      <w:tr w:rsidR="00DE14B5" w:rsidRPr="00460143" w14:paraId="72194EFE"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D363E54" w14:textId="77777777" w:rsidR="00DE14B5" w:rsidRPr="00460143" w:rsidRDefault="00DE14B5" w:rsidP="007C3C42">
            <w:pPr>
              <w:jc w:val="center"/>
              <w:rPr>
                <w:rFonts w:ascii="Arial Narrow" w:hAnsi="Arial Narrow" w:cs="Arial"/>
                <w:b/>
                <w:sz w:val="20"/>
                <w:szCs w:val="20"/>
              </w:rPr>
            </w:pPr>
            <w:r w:rsidRPr="00460143">
              <w:rPr>
                <w:rFonts w:ascii="Arial Narrow" w:hAnsi="Arial Narrow" w:cs="Arial"/>
                <w:b/>
                <w:sz w:val="20"/>
                <w:szCs w:val="20"/>
              </w:rPr>
              <w:t xml:space="preserve">Concept ID </w:t>
            </w:r>
            <w:r w:rsidRPr="0046014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501D370" w14:textId="77777777" w:rsidR="00DE14B5" w:rsidRPr="00460143" w:rsidRDefault="00DE14B5" w:rsidP="007C3C42">
            <w:pPr>
              <w:keepLines/>
              <w:jc w:val="left"/>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Check1"/>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Private (Code HS)</w:t>
            </w:r>
          </w:p>
        </w:tc>
      </w:tr>
      <w:tr w:rsidR="00DE14B5" w:rsidRPr="00460143" w14:paraId="3127E1E9"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FF86846"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C524F8" w14:textId="77777777" w:rsidR="00DE14B5" w:rsidRPr="00460143" w:rsidRDefault="00DE14B5"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DE14B5" w:rsidRPr="00460143" w14:paraId="42B78913"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2127ABD"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FB8F5B" w14:textId="77777777" w:rsidR="00DE14B5" w:rsidRPr="00460143" w:rsidRDefault="00DE14B5" w:rsidP="007C3C42">
            <w:pPr>
              <w:keepLines/>
              <w:jc w:val="left"/>
              <w:rPr>
                <w:rFonts w:ascii="Arial Narrow" w:eastAsia="Calibri" w:hAnsi="Arial Narrow" w:cs="Arial"/>
                <w:color w:val="FF0000"/>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[9523] </w:t>
            </w:r>
          </w:p>
        </w:tc>
      </w:tr>
      <w:tr w:rsidR="00DE14B5" w:rsidRPr="00460143" w14:paraId="382FC91D"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61270DA"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801198" w14:textId="77777777" w:rsidR="00DE14B5" w:rsidRPr="00460143" w:rsidRDefault="00DE14B5"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DE14B5" w:rsidRPr="00460143" w14:paraId="2FC57D24" w14:textId="77777777" w:rsidTr="007C3C42">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1C432FA9" w14:textId="77777777" w:rsidR="00DE14B5" w:rsidRPr="00460143" w:rsidRDefault="00DE14B5" w:rsidP="007C3C42">
            <w:pPr>
              <w:jc w:val="center"/>
              <w:rPr>
                <w:rFonts w:ascii="Arial Narrow" w:hAnsi="Arial Narrow" w:cs="Arial"/>
                <w:sz w:val="20"/>
                <w:szCs w:val="20"/>
              </w:rPr>
            </w:pPr>
            <w:r w:rsidRPr="00460143">
              <w:rPr>
                <w:rFonts w:ascii="Arial Narrow" w:hAnsi="Arial Narrow" w:cs="Arial"/>
                <w:sz w:val="20"/>
                <w:szCs w:val="20"/>
              </w:rPr>
              <w:t>Prescribing rule level</w:t>
            </w:r>
          </w:p>
        </w:tc>
        <w:tc>
          <w:tcPr>
            <w:tcW w:w="709" w:type="dxa"/>
            <w:vAlign w:val="center"/>
          </w:tcPr>
          <w:p w14:paraId="58881CDE" w14:textId="46366624" w:rsidR="00DE14B5" w:rsidRPr="00460143" w:rsidRDefault="00DE14B5" w:rsidP="007C3C42">
            <w:pPr>
              <w:jc w:val="center"/>
              <w:rPr>
                <w:rFonts w:ascii="Arial Narrow" w:hAnsi="Arial Narrow"/>
                <w:color w:val="333333"/>
                <w:sz w:val="20"/>
                <w:szCs w:val="20"/>
              </w:rPr>
            </w:pPr>
          </w:p>
        </w:tc>
        <w:tc>
          <w:tcPr>
            <w:tcW w:w="7745" w:type="dxa"/>
            <w:gridSpan w:val="6"/>
            <w:vAlign w:val="center"/>
          </w:tcPr>
          <w:p w14:paraId="78C84C82" w14:textId="77777777" w:rsidR="00DE14B5" w:rsidRPr="00460143" w:rsidRDefault="00DE14B5" w:rsidP="007C3C42">
            <w:pPr>
              <w:rPr>
                <w:rFonts w:ascii="Arial Narrow" w:hAnsi="Arial Narrow"/>
                <w:i/>
                <w:iCs/>
                <w:sz w:val="20"/>
                <w:szCs w:val="20"/>
              </w:rPr>
            </w:pPr>
            <w:r w:rsidRPr="00460143">
              <w:rPr>
                <w:rFonts w:ascii="Arial Narrow" w:hAnsi="Arial Narrow"/>
                <w:b/>
                <w:bCs/>
                <w:i/>
                <w:iCs/>
                <w:sz w:val="20"/>
                <w:szCs w:val="20"/>
              </w:rPr>
              <w:t>Administrative Advice:</w:t>
            </w:r>
          </w:p>
          <w:p w14:paraId="372C0B97" w14:textId="77777777" w:rsidR="00DE14B5" w:rsidRPr="00460143" w:rsidRDefault="00DE14B5" w:rsidP="007C3C42">
            <w:pPr>
              <w:rPr>
                <w:rFonts w:ascii="Arial Narrow" w:hAnsi="Arial Narrow"/>
                <w:i/>
                <w:iCs/>
                <w:color w:val="333333"/>
                <w:sz w:val="20"/>
                <w:szCs w:val="20"/>
              </w:rPr>
            </w:pPr>
            <w:r w:rsidRPr="00460143">
              <w:rPr>
                <w:rFonts w:ascii="Arial Narrow" w:eastAsia="Calibri" w:hAnsi="Arial Narrow" w:cs="Arial"/>
                <w:i/>
                <w:iCs/>
                <w:sz w:val="20"/>
                <w:szCs w:val="20"/>
              </w:rPr>
              <w:t>No increase in the maximum quantity or number of units may be authorised.</w:t>
            </w:r>
          </w:p>
        </w:tc>
      </w:tr>
      <w:tr w:rsidR="00DE14B5" w:rsidRPr="00460143" w14:paraId="04A9F9FF"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465EAD63" w14:textId="77777777" w:rsidR="00DE14B5" w:rsidRPr="00460143" w:rsidRDefault="00DE14B5" w:rsidP="007C3C42">
            <w:pPr>
              <w:rPr>
                <w:rFonts w:ascii="Arial Narrow" w:hAnsi="Arial Narrow" w:cs="Arial"/>
                <w:sz w:val="20"/>
                <w:szCs w:val="20"/>
              </w:rPr>
            </w:pPr>
          </w:p>
        </w:tc>
        <w:tc>
          <w:tcPr>
            <w:tcW w:w="709" w:type="dxa"/>
            <w:vAlign w:val="center"/>
          </w:tcPr>
          <w:p w14:paraId="392E8A9A" w14:textId="2FF94161" w:rsidR="00DE14B5" w:rsidRPr="00460143" w:rsidRDefault="00DE14B5" w:rsidP="007C3C42">
            <w:pPr>
              <w:jc w:val="center"/>
              <w:rPr>
                <w:rFonts w:ascii="Arial Narrow" w:hAnsi="Arial Narrow"/>
                <w:sz w:val="20"/>
                <w:szCs w:val="20"/>
              </w:rPr>
            </w:pPr>
          </w:p>
        </w:tc>
        <w:tc>
          <w:tcPr>
            <w:tcW w:w="7745" w:type="dxa"/>
            <w:gridSpan w:val="6"/>
            <w:vAlign w:val="center"/>
          </w:tcPr>
          <w:p w14:paraId="49881567" w14:textId="77777777" w:rsidR="00DE14B5" w:rsidRPr="00460143" w:rsidRDefault="00DE14B5" w:rsidP="007C3C42">
            <w:pPr>
              <w:rPr>
                <w:rFonts w:ascii="Arial Narrow" w:hAnsi="Arial Narrow"/>
                <w:b/>
                <w:bCs/>
                <w:i/>
                <w:iCs/>
                <w:sz w:val="20"/>
                <w:szCs w:val="20"/>
              </w:rPr>
            </w:pPr>
            <w:r w:rsidRPr="00460143">
              <w:rPr>
                <w:rFonts w:ascii="Arial Narrow" w:hAnsi="Arial Narrow"/>
                <w:b/>
                <w:bCs/>
                <w:i/>
                <w:iCs/>
                <w:sz w:val="20"/>
                <w:szCs w:val="20"/>
              </w:rPr>
              <w:t xml:space="preserve">Administrative Advice: </w:t>
            </w:r>
            <w:r w:rsidRPr="00460143">
              <w:rPr>
                <w:rFonts w:ascii="Arial Narrow" w:eastAsia="Calibri" w:hAnsi="Arial Narrow" w:cs="Arial"/>
                <w:i/>
                <w:iCs/>
                <w:sz w:val="20"/>
                <w:szCs w:val="20"/>
              </w:rPr>
              <w:t>No increase in the maximum number of repeats may be authorised.</w:t>
            </w:r>
          </w:p>
        </w:tc>
      </w:tr>
      <w:tr w:rsidR="00DE14B5" w:rsidRPr="00460143" w14:paraId="557DC838"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07E85C7E" w14:textId="77777777" w:rsidR="00DE14B5" w:rsidRPr="00460143" w:rsidRDefault="00DE14B5" w:rsidP="007C3C42">
            <w:pPr>
              <w:rPr>
                <w:rFonts w:ascii="Arial Narrow" w:hAnsi="Arial Narrow" w:cs="Arial"/>
                <w:sz w:val="20"/>
                <w:szCs w:val="20"/>
              </w:rPr>
            </w:pPr>
          </w:p>
        </w:tc>
        <w:tc>
          <w:tcPr>
            <w:tcW w:w="709" w:type="dxa"/>
            <w:vAlign w:val="center"/>
          </w:tcPr>
          <w:p w14:paraId="783111BB" w14:textId="084DF8F6" w:rsidR="00DE14B5" w:rsidRPr="00460143" w:rsidRDefault="00DE14B5" w:rsidP="007C3C42">
            <w:pPr>
              <w:jc w:val="center"/>
              <w:rPr>
                <w:rFonts w:ascii="Arial Narrow" w:hAnsi="Arial Narrow"/>
                <w:sz w:val="20"/>
                <w:szCs w:val="20"/>
              </w:rPr>
            </w:pPr>
          </w:p>
        </w:tc>
        <w:tc>
          <w:tcPr>
            <w:tcW w:w="7745" w:type="dxa"/>
            <w:gridSpan w:val="6"/>
            <w:vAlign w:val="center"/>
          </w:tcPr>
          <w:p w14:paraId="0D822979" w14:textId="77777777" w:rsidR="00DE14B5" w:rsidRPr="00460143" w:rsidRDefault="00DE14B5" w:rsidP="007C3C42">
            <w:pPr>
              <w:rPr>
                <w:rFonts w:ascii="Arial Narrow" w:hAnsi="Arial Narrow"/>
                <w:b/>
                <w:bCs/>
                <w:i/>
                <w:iCs/>
                <w:sz w:val="20"/>
                <w:szCs w:val="20"/>
              </w:rPr>
            </w:pPr>
            <w:r w:rsidRPr="00460143">
              <w:rPr>
                <w:rFonts w:ascii="Arial Narrow" w:hAnsi="Arial Narrow"/>
                <w:b/>
                <w:bCs/>
                <w:i/>
                <w:iCs/>
                <w:sz w:val="20"/>
                <w:szCs w:val="20"/>
              </w:rPr>
              <w:t xml:space="preserve">Administrative Advice: </w:t>
            </w:r>
            <w:r w:rsidRPr="00460143">
              <w:rPr>
                <w:rFonts w:ascii="Arial Narrow" w:hAnsi="Arial Narrow"/>
                <w:i/>
                <w:iCs/>
                <w:sz w:val="20"/>
                <w:szCs w:val="20"/>
              </w:rPr>
              <w:t>Special Pricing Arrangements apply.</w:t>
            </w:r>
          </w:p>
        </w:tc>
      </w:tr>
      <w:tr w:rsidR="00DE14B5" w:rsidRPr="00460143" w14:paraId="779F3D1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576EE33" w14:textId="3254BD39" w:rsidR="00DE14B5" w:rsidRPr="00460143" w:rsidRDefault="00DE14B5" w:rsidP="007C3C42">
            <w:pPr>
              <w:keepLines/>
              <w:jc w:val="center"/>
              <w:rPr>
                <w:rFonts w:ascii="Arial Narrow" w:hAnsi="Arial Narrow"/>
                <w:sz w:val="20"/>
                <w:szCs w:val="20"/>
              </w:rPr>
            </w:pPr>
          </w:p>
        </w:tc>
        <w:tc>
          <w:tcPr>
            <w:tcW w:w="7745" w:type="dxa"/>
            <w:gridSpan w:val="6"/>
            <w:vAlign w:val="center"/>
            <w:hideMark/>
          </w:tcPr>
          <w:p w14:paraId="4E9CFCE8" w14:textId="77777777" w:rsidR="00DE14B5" w:rsidRPr="00460143" w:rsidRDefault="00DE14B5" w:rsidP="007C3C42">
            <w:pPr>
              <w:keepLines/>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p>
        </w:tc>
      </w:tr>
      <w:tr w:rsidR="00DE14B5" w:rsidRPr="00460143" w14:paraId="732C696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2F6F837" w14:textId="77777777" w:rsidR="00DE14B5" w:rsidRPr="00460143" w:rsidRDefault="00DE14B5" w:rsidP="007C3C42">
            <w:pPr>
              <w:jc w:val="center"/>
              <w:rPr>
                <w:rFonts w:ascii="Arial Narrow" w:hAnsi="Arial Narrow"/>
                <w:sz w:val="20"/>
                <w:szCs w:val="20"/>
              </w:rPr>
            </w:pPr>
          </w:p>
        </w:tc>
        <w:tc>
          <w:tcPr>
            <w:tcW w:w="7745" w:type="dxa"/>
            <w:gridSpan w:val="6"/>
            <w:vAlign w:val="center"/>
            <w:hideMark/>
          </w:tcPr>
          <w:p w14:paraId="479D28A0"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Initial treatment</w:t>
            </w:r>
          </w:p>
        </w:tc>
      </w:tr>
      <w:tr w:rsidR="00DE14B5" w:rsidRPr="00460143" w14:paraId="6CD7F39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9D36D42" w14:textId="77EC14F6" w:rsidR="00DE14B5" w:rsidRPr="00460143" w:rsidRDefault="00DE14B5" w:rsidP="007C3C42">
            <w:pPr>
              <w:jc w:val="center"/>
              <w:rPr>
                <w:rFonts w:ascii="Arial Narrow" w:hAnsi="Arial Narrow"/>
                <w:sz w:val="20"/>
                <w:szCs w:val="20"/>
              </w:rPr>
            </w:pPr>
          </w:p>
        </w:tc>
        <w:tc>
          <w:tcPr>
            <w:tcW w:w="7745" w:type="dxa"/>
            <w:gridSpan w:val="6"/>
            <w:vAlign w:val="center"/>
            <w:hideMark/>
          </w:tcPr>
          <w:p w14:paraId="0F132750"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DE14B5" w:rsidRPr="00460143" w14:paraId="2759C64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3A8C54B" w14:textId="36ED18BB" w:rsidR="00DE14B5" w:rsidRPr="00460143" w:rsidRDefault="00DE14B5" w:rsidP="007C3C42">
            <w:pPr>
              <w:jc w:val="center"/>
              <w:rPr>
                <w:rFonts w:ascii="Arial Narrow" w:hAnsi="Arial Narrow"/>
                <w:sz w:val="20"/>
                <w:szCs w:val="20"/>
              </w:rPr>
            </w:pPr>
          </w:p>
        </w:tc>
        <w:tc>
          <w:tcPr>
            <w:tcW w:w="7745" w:type="dxa"/>
            <w:gridSpan w:val="6"/>
            <w:vAlign w:val="center"/>
            <w:hideMark/>
          </w:tcPr>
          <w:p w14:paraId="6CA59533" w14:textId="77777777" w:rsidR="00DE14B5" w:rsidRPr="00460143" w:rsidRDefault="00DE14B5" w:rsidP="007C3C42">
            <w:pPr>
              <w:jc w:val="left"/>
              <w:rPr>
                <w:rFonts w:ascii="Arial Narrow" w:hAnsi="Arial Narrow"/>
                <w:color w:val="333333"/>
                <w:sz w:val="20"/>
                <w:szCs w:val="20"/>
              </w:rPr>
            </w:pPr>
            <w:r w:rsidRPr="00460143">
              <w:rPr>
                <w:rFonts w:ascii="Arial Narrow" w:hAnsi="Arial Narrow"/>
                <w:sz w:val="20"/>
                <w:szCs w:val="20"/>
              </w:rPr>
              <w:t>The condition must be diagnosed as clinically definite relapsing-remitting multiple sclerosis by magnetic resonance imaging of the brain and/or spinal cord; OR</w:t>
            </w:r>
          </w:p>
        </w:tc>
      </w:tr>
      <w:tr w:rsidR="00DE14B5" w:rsidRPr="00460143" w14:paraId="6E2C357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1787DA" w14:textId="40DA7F0C" w:rsidR="00DE14B5" w:rsidRPr="00460143" w:rsidRDefault="00DE14B5" w:rsidP="007C3C42">
            <w:pPr>
              <w:jc w:val="center"/>
              <w:rPr>
                <w:rFonts w:ascii="Arial Narrow" w:hAnsi="Arial Narrow"/>
                <w:sz w:val="20"/>
                <w:szCs w:val="20"/>
              </w:rPr>
            </w:pPr>
          </w:p>
        </w:tc>
        <w:tc>
          <w:tcPr>
            <w:tcW w:w="7745" w:type="dxa"/>
            <w:gridSpan w:val="6"/>
            <w:vAlign w:val="center"/>
            <w:hideMark/>
          </w:tcPr>
          <w:p w14:paraId="33C380AD" w14:textId="77777777" w:rsidR="00DE14B5" w:rsidRPr="00460143" w:rsidRDefault="00DE14B5" w:rsidP="007C3C42">
            <w:pPr>
              <w:jc w:val="left"/>
              <w:rPr>
                <w:rFonts w:ascii="Arial Narrow" w:hAnsi="Arial Narrow"/>
                <w:color w:val="FF0000"/>
                <w:sz w:val="20"/>
                <w:szCs w:val="20"/>
              </w:rPr>
            </w:pPr>
            <w:r w:rsidRPr="00460143">
              <w:rPr>
                <w:rFonts w:ascii="Arial Narrow" w:hAnsi="Arial Narrow"/>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w:t>
            </w:r>
            <w:r w:rsidRPr="00692FC6">
              <w:rPr>
                <w:rFonts w:ascii="Arial Narrow" w:hAnsi="Arial Narrow"/>
                <w:sz w:val="20"/>
                <w:szCs w:val="20"/>
              </w:rPr>
              <w:t>t</w:t>
            </w:r>
            <w:r w:rsidRPr="00DA50BA">
              <w:rPr>
                <w:rFonts w:ascii="Arial Narrow" w:hAnsi="Arial Narrow"/>
                <w:sz w:val="20"/>
                <w:szCs w:val="20"/>
              </w:rPr>
              <w:t>,</w:t>
            </w:r>
          </w:p>
        </w:tc>
      </w:tr>
      <w:tr w:rsidR="00DE14B5" w:rsidRPr="00460143" w14:paraId="20C40E6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0B7D5B" w14:textId="77777777" w:rsidR="00DE14B5" w:rsidRPr="00460143" w:rsidRDefault="00DE14B5" w:rsidP="007C3C42">
            <w:pPr>
              <w:jc w:val="center"/>
              <w:rPr>
                <w:rFonts w:ascii="Arial Narrow" w:hAnsi="Arial Narrow"/>
                <w:sz w:val="20"/>
                <w:szCs w:val="20"/>
              </w:rPr>
            </w:pPr>
          </w:p>
        </w:tc>
        <w:tc>
          <w:tcPr>
            <w:tcW w:w="7745" w:type="dxa"/>
            <w:gridSpan w:val="6"/>
            <w:vAlign w:val="center"/>
            <w:hideMark/>
          </w:tcPr>
          <w:p w14:paraId="20D4DA36"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AND</w:t>
            </w:r>
          </w:p>
        </w:tc>
      </w:tr>
      <w:tr w:rsidR="00DE14B5" w:rsidRPr="00460143" w14:paraId="4C604BE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C695585" w14:textId="1948C348" w:rsidR="00DE14B5" w:rsidRPr="00460143" w:rsidRDefault="00DE14B5" w:rsidP="007C3C42">
            <w:pPr>
              <w:jc w:val="center"/>
              <w:rPr>
                <w:rFonts w:ascii="Arial Narrow" w:hAnsi="Arial Narrow"/>
                <w:sz w:val="20"/>
                <w:szCs w:val="20"/>
              </w:rPr>
            </w:pPr>
          </w:p>
        </w:tc>
        <w:tc>
          <w:tcPr>
            <w:tcW w:w="7745" w:type="dxa"/>
            <w:gridSpan w:val="6"/>
            <w:vAlign w:val="center"/>
            <w:hideMark/>
          </w:tcPr>
          <w:p w14:paraId="10028977"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Clinical criteria:</w:t>
            </w:r>
          </w:p>
        </w:tc>
      </w:tr>
      <w:tr w:rsidR="00DE14B5" w:rsidRPr="00460143" w14:paraId="49CBA34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54CED88" w14:textId="1778656B" w:rsidR="00DE14B5" w:rsidRPr="00460143" w:rsidRDefault="00DE14B5" w:rsidP="007C3C42">
            <w:pPr>
              <w:jc w:val="center"/>
              <w:rPr>
                <w:rFonts w:ascii="Arial Narrow" w:hAnsi="Arial Narrow"/>
                <w:sz w:val="20"/>
                <w:szCs w:val="20"/>
              </w:rPr>
            </w:pPr>
          </w:p>
        </w:tc>
        <w:tc>
          <w:tcPr>
            <w:tcW w:w="7745" w:type="dxa"/>
            <w:gridSpan w:val="6"/>
            <w:vAlign w:val="center"/>
            <w:hideMark/>
          </w:tcPr>
          <w:p w14:paraId="1341439D" w14:textId="77777777" w:rsidR="00DE14B5" w:rsidRPr="00460143" w:rsidRDefault="00DE14B5" w:rsidP="007C3C42">
            <w:pPr>
              <w:jc w:val="left"/>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DE14B5" w:rsidRPr="00460143" w14:paraId="7174AB3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43619D" w14:textId="77777777" w:rsidR="00DE14B5" w:rsidRPr="00460143" w:rsidDel="004B302D" w:rsidRDefault="00DE14B5" w:rsidP="007C3C42">
            <w:pPr>
              <w:jc w:val="center"/>
              <w:rPr>
                <w:rFonts w:ascii="Arial Narrow" w:hAnsi="Arial Narrow"/>
                <w:sz w:val="20"/>
                <w:szCs w:val="20"/>
              </w:rPr>
            </w:pPr>
          </w:p>
        </w:tc>
        <w:tc>
          <w:tcPr>
            <w:tcW w:w="7745" w:type="dxa"/>
            <w:gridSpan w:val="6"/>
            <w:vAlign w:val="center"/>
          </w:tcPr>
          <w:p w14:paraId="48048BD1" w14:textId="77777777" w:rsidR="00DE14B5" w:rsidRPr="00460143" w:rsidRDefault="00DE14B5" w:rsidP="007C3C42">
            <w:r w:rsidRPr="00460143">
              <w:rPr>
                <w:rFonts w:ascii="Arial Narrow" w:hAnsi="Arial Narrow"/>
                <w:b/>
                <w:bCs/>
                <w:sz w:val="20"/>
                <w:szCs w:val="20"/>
              </w:rPr>
              <w:t>AND</w:t>
            </w:r>
          </w:p>
        </w:tc>
      </w:tr>
      <w:tr w:rsidR="00DE14B5" w:rsidRPr="00460143" w14:paraId="363392A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D9321A" w14:textId="00D77F8F" w:rsidR="00DE14B5" w:rsidRPr="00460143" w:rsidDel="004B302D" w:rsidRDefault="00DE14B5" w:rsidP="007C3C42">
            <w:pPr>
              <w:jc w:val="center"/>
              <w:rPr>
                <w:rFonts w:ascii="Arial Narrow" w:hAnsi="Arial Narrow"/>
                <w:sz w:val="20"/>
                <w:szCs w:val="20"/>
              </w:rPr>
            </w:pPr>
          </w:p>
        </w:tc>
        <w:tc>
          <w:tcPr>
            <w:tcW w:w="7745" w:type="dxa"/>
            <w:gridSpan w:val="6"/>
            <w:vAlign w:val="center"/>
          </w:tcPr>
          <w:p w14:paraId="5E63D01B"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5547765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8DA0ED" w14:textId="66454193" w:rsidR="00DE14B5" w:rsidRPr="00460143" w:rsidDel="004B302D" w:rsidRDefault="00DE14B5" w:rsidP="007C3C42">
            <w:pPr>
              <w:jc w:val="center"/>
              <w:rPr>
                <w:rFonts w:ascii="Arial Narrow" w:hAnsi="Arial Narrow"/>
                <w:sz w:val="20"/>
                <w:szCs w:val="20"/>
              </w:rPr>
            </w:pPr>
          </w:p>
        </w:tc>
        <w:tc>
          <w:tcPr>
            <w:tcW w:w="7745" w:type="dxa"/>
            <w:gridSpan w:val="6"/>
            <w:vAlign w:val="center"/>
          </w:tcPr>
          <w:p w14:paraId="1B638DE6" w14:textId="77777777" w:rsidR="00DE14B5" w:rsidRPr="00460143" w:rsidRDefault="00DE14B5" w:rsidP="007C3C42">
            <w:pPr>
              <w:rPr>
                <w:rFonts w:ascii="Arial Narrow" w:hAnsi="Arial Narrow"/>
                <w:b/>
                <w:bCs/>
                <w:sz w:val="20"/>
                <w:szCs w:val="20"/>
              </w:rPr>
            </w:pPr>
            <w:r w:rsidRPr="00460143">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DE14B5" w:rsidRPr="00460143" w14:paraId="3E0CE13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92B906" w14:textId="77777777" w:rsidR="00DE14B5" w:rsidRPr="00460143" w:rsidRDefault="00DE14B5" w:rsidP="007C3C42">
            <w:pPr>
              <w:jc w:val="center"/>
              <w:rPr>
                <w:rFonts w:ascii="Arial Narrow" w:hAnsi="Arial Narrow"/>
                <w:sz w:val="20"/>
                <w:szCs w:val="20"/>
              </w:rPr>
            </w:pPr>
          </w:p>
        </w:tc>
        <w:tc>
          <w:tcPr>
            <w:tcW w:w="7745" w:type="dxa"/>
            <w:gridSpan w:val="6"/>
            <w:vAlign w:val="center"/>
          </w:tcPr>
          <w:p w14:paraId="64D0EC7A"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290172B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297744" w14:textId="09F1A030" w:rsidR="00DE14B5" w:rsidRPr="00460143" w:rsidDel="004B302D" w:rsidRDefault="00DE14B5" w:rsidP="007C3C42">
            <w:pPr>
              <w:jc w:val="center"/>
              <w:rPr>
                <w:rFonts w:ascii="Arial Narrow" w:hAnsi="Arial Narrow"/>
                <w:sz w:val="20"/>
                <w:szCs w:val="20"/>
              </w:rPr>
            </w:pPr>
          </w:p>
        </w:tc>
        <w:tc>
          <w:tcPr>
            <w:tcW w:w="7745" w:type="dxa"/>
            <w:gridSpan w:val="6"/>
            <w:vAlign w:val="center"/>
          </w:tcPr>
          <w:p w14:paraId="44D13595"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7D35D09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9AAB4D" w14:textId="159B1314" w:rsidR="00DE14B5" w:rsidRPr="00460143" w:rsidDel="004B302D" w:rsidRDefault="00DE14B5" w:rsidP="007C3C42">
            <w:pPr>
              <w:jc w:val="center"/>
              <w:rPr>
                <w:rFonts w:ascii="Arial Narrow" w:hAnsi="Arial Narrow"/>
                <w:sz w:val="20"/>
                <w:szCs w:val="20"/>
              </w:rPr>
            </w:pPr>
          </w:p>
        </w:tc>
        <w:tc>
          <w:tcPr>
            <w:tcW w:w="7745" w:type="dxa"/>
            <w:gridSpan w:val="6"/>
            <w:vAlign w:val="center"/>
          </w:tcPr>
          <w:p w14:paraId="43AA7420" w14:textId="77777777" w:rsidR="00DE14B5" w:rsidRPr="00460143" w:rsidRDefault="00DE14B5" w:rsidP="007C3C42">
            <w:pPr>
              <w:autoSpaceDE w:val="0"/>
              <w:autoSpaceDN w:val="0"/>
              <w:adjustRightInd w:val="0"/>
              <w:jc w:val="left"/>
              <w:rPr>
                <w:rFonts w:ascii="Arial Narrow" w:hAnsi="Arial Narrow"/>
                <w:b/>
                <w:bCs/>
                <w:sz w:val="20"/>
                <w:szCs w:val="20"/>
              </w:rPr>
            </w:pPr>
            <w:r w:rsidRPr="00460143">
              <w:rPr>
                <w:rFonts w:ascii="Arial Narrow" w:hAnsi="Arial Narrow"/>
                <w:sz w:val="20"/>
                <w:szCs w:val="20"/>
              </w:rPr>
              <w:t>Patient must be ambulatory (without assistance or support).</w:t>
            </w:r>
          </w:p>
        </w:tc>
      </w:tr>
      <w:tr w:rsidR="00DE14B5" w:rsidRPr="00460143" w14:paraId="2808C60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48FBF9F" w14:textId="79379E3C" w:rsidR="00DE14B5" w:rsidRPr="00460143" w:rsidRDefault="00DE14B5" w:rsidP="007C3C42">
            <w:pPr>
              <w:keepNext/>
              <w:jc w:val="center"/>
              <w:rPr>
                <w:rFonts w:ascii="Arial Narrow" w:hAnsi="Arial Narrow"/>
                <w:sz w:val="20"/>
                <w:szCs w:val="20"/>
              </w:rPr>
            </w:pPr>
          </w:p>
        </w:tc>
        <w:tc>
          <w:tcPr>
            <w:tcW w:w="7745" w:type="dxa"/>
            <w:gridSpan w:val="6"/>
            <w:vAlign w:val="center"/>
            <w:hideMark/>
          </w:tcPr>
          <w:p w14:paraId="69B6E1FE" w14:textId="77777777" w:rsidR="00DE14B5" w:rsidRPr="00460143" w:rsidRDefault="00DE14B5" w:rsidP="007C3C42">
            <w:pPr>
              <w:keepNext/>
              <w:rPr>
                <w:rFonts w:ascii="Arial Narrow" w:hAnsi="Arial Narrow"/>
                <w:sz w:val="20"/>
                <w:szCs w:val="20"/>
              </w:rPr>
            </w:pPr>
            <w:r w:rsidRPr="00460143">
              <w:rPr>
                <w:rFonts w:ascii="Arial Narrow" w:hAnsi="Arial Narrow"/>
                <w:b/>
                <w:bCs/>
                <w:sz w:val="20"/>
                <w:szCs w:val="20"/>
              </w:rPr>
              <w:t>Treatment criteria:</w:t>
            </w:r>
          </w:p>
        </w:tc>
      </w:tr>
      <w:tr w:rsidR="00DE14B5" w:rsidRPr="00460143" w14:paraId="4BEB8B0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A2FFCB" w14:textId="65BE57EF" w:rsidR="00DE14B5" w:rsidRPr="00460143" w:rsidRDefault="00DE14B5" w:rsidP="007C3C42">
            <w:pPr>
              <w:jc w:val="center"/>
              <w:rPr>
                <w:rFonts w:ascii="Arial Narrow" w:hAnsi="Arial Narrow"/>
                <w:sz w:val="20"/>
                <w:szCs w:val="20"/>
              </w:rPr>
            </w:pPr>
          </w:p>
        </w:tc>
        <w:tc>
          <w:tcPr>
            <w:tcW w:w="7745" w:type="dxa"/>
            <w:gridSpan w:val="6"/>
            <w:vAlign w:val="center"/>
            <w:hideMark/>
          </w:tcPr>
          <w:p w14:paraId="4F3C007D" w14:textId="77777777" w:rsidR="00DE14B5" w:rsidRPr="00460143" w:rsidRDefault="00DE14B5" w:rsidP="007C3C42">
            <w:pPr>
              <w:autoSpaceDE w:val="0"/>
              <w:autoSpaceDN w:val="0"/>
              <w:adjustRightInd w:val="0"/>
              <w:jc w:val="left"/>
              <w:rPr>
                <w:rFonts w:ascii="Arial Narrow" w:hAnsi="Arial Narrow" w:cs="Arial Narrow"/>
                <w:i/>
                <w:iCs/>
                <w:sz w:val="20"/>
                <w:szCs w:val="20"/>
              </w:rPr>
            </w:pPr>
            <w:r w:rsidRPr="00460143">
              <w:rPr>
                <w:rFonts w:ascii="Arial Narrow" w:hAnsi="Arial Narrow"/>
                <w:sz w:val="20"/>
                <w:szCs w:val="20"/>
              </w:rPr>
              <w:t>Must be treated by a neurologist</w:t>
            </w:r>
            <w:r>
              <w:rPr>
                <w:rFonts w:ascii="Arial Narrow" w:hAnsi="Arial Narrow"/>
                <w:iCs/>
                <w:sz w:val="20"/>
                <w:szCs w:val="20"/>
              </w:rPr>
              <w:t>.</w:t>
            </w:r>
          </w:p>
        </w:tc>
      </w:tr>
      <w:tr w:rsidR="00DE14B5" w:rsidRPr="00460143" w14:paraId="21968A4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6429B83" w14:textId="52405AA4" w:rsidR="00DE14B5" w:rsidRPr="00460143" w:rsidRDefault="00DE14B5" w:rsidP="007C3C42">
            <w:pPr>
              <w:jc w:val="center"/>
              <w:rPr>
                <w:rFonts w:ascii="Arial Narrow" w:hAnsi="Arial Narrow"/>
                <w:sz w:val="20"/>
                <w:szCs w:val="20"/>
              </w:rPr>
            </w:pPr>
          </w:p>
        </w:tc>
        <w:tc>
          <w:tcPr>
            <w:tcW w:w="7745" w:type="dxa"/>
            <w:gridSpan w:val="6"/>
            <w:vAlign w:val="center"/>
            <w:hideMark/>
          </w:tcPr>
          <w:p w14:paraId="6454BAFE"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Prescribing Instructions: </w:t>
            </w:r>
            <w:r w:rsidRPr="00460143">
              <w:rPr>
                <w:rFonts w:ascii="Arial Narrow" w:hAnsi="Arial Narrow"/>
                <w:sz w:val="20"/>
                <w:szCs w:val="20"/>
              </w:rPr>
              <w:t>Where applicable, the date of the magnetic resonance imaging scan must be recorded in the patient's medical records.</w:t>
            </w:r>
          </w:p>
        </w:tc>
      </w:tr>
      <w:tr w:rsidR="00DE14B5" w:rsidRPr="00460143" w14:paraId="2652867E"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7437DC4" w14:textId="77777777" w:rsidR="00DE14B5" w:rsidRPr="00460143" w:rsidRDefault="00DE14B5" w:rsidP="007C3C42">
            <w:pPr>
              <w:rPr>
                <w:rFonts w:ascii="Arial Narrow" w:hAnsi="Arial Narrow"/>
                <w:bCs/>
                <w:color w:val="FF0000"/>
                <w:sz w:val="20"/>
                <w:szCs w:val="20"/>
              </w:rPr>
            </w:pPr>
          </w:p>
          <w:p w14:paraId="633C95FA" w14:textId="77777777" w:rsidR="00DE14B5" w:rsidRPr="00460143" w:rsidRDefault="00DE14B5" w:rsidP="007C3C42">
            <w:pPr>
              <w:rPr>
                <w:rFonts w:ascii="Arial Narrow" w:hAnsi="Arial Narrow"/>
                <w:bCs/>
                <w:color w:val="FF0000"/>
                <w:sz w:val="20"/>
                <w:szCs w:val="20"/>
              </w:rPr>
            </w:pPr>
          </w:p>
        </w:tc>
      </w:tr>
      <w:tr w:rsidR="00DE14B5" w:rsidRPr="00460143" w14:paraId="25078D2C"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46FE4E1D" w14:textId="77777777" w:rsidR="00DE14B5" w:rsidRPr="00460143" w:rsidRDefault="00DE14B5" w:rsidP="007C3C42">
            <w:pPr>
              <w:keepNext/>
              <w:keepLines/>
              <w:rPr>
                <w:rFonts w:ascii="Arial Narrow" w:hAnsi="Arial Narrow"/>
                <w:b/>
                <w:bCs/>
                <w:color w:val="333333"/>
                <w:sz w:val="20"/>
                <w:szCs w:val="20"/>
              </w:rPr>
            </w:pPr>
            <w:r w:rsidRPr="00460143">
              <w:rPr>
                <w:rFonts w:ascii="Arial Narrow" w:hAnsi="Arial Narrow"/>
                <w:b/>
                <w:bCs/>
                <w:sz w:val="20"/>
                <w:szCs w:val="20"/>
              </w:rPr>
              <w:lastRenderedPageBreak/>
              <w:t>Restriction Summary 9635</w:t>
            </w:r>
            <w:r w:rsidRPr="00460143">
              <w:rPr>
                <w:rFonts w:ascii="Arial Narrow" w:hAnsi="Arial Narrow"/>
                <w:b/>
                <w:bCs/>
                <w:color w:val="FF0000"/>
                <w:sz w:val="20"/>
                <w:szCs w:val="20"/>
              </w:rPr>
              <w:t xml:space="preserve"> </w:t>
            </w:r>
            <w:r w:rsidRPr="00460143">
              <w:rPr>
                <w:rFonts w:ascii="Arial Narrow" w:hAnsi="Arial Narrow"/>
                <w:b/>
                <w:bCs/>
                <w:sz w:val="20"/>
                <w:szCs w:val="20"/>
              </w:rPr>
              <w:t>/ Treatment of Concept: 9635</w:t>
            </w:r>
          </w:p>
        </w:tc>
      </w:tr>
      <w:tr w:rsidR="00DE14B5" w:rsidRPr="00460143" w14:paraId="2C11F27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2DBF9445" w14:textId="77777777" w:rsidR="00DE14B5" w:rsidRPr="00460143" w:rsidRDefault="00DE14B5" w:rsidP="007C3C42">
            <w:pPr>
              <w:jc w:val="center"/>
              <w:rPr>
                <w:rFonts w:ascii="Arial Narrow" w:hAnsi="Arial Narrow" w:cs="Arial"/>
                <w:b/>
                <w:sz w:val="20"/>
                <w:szCs w:val="20"/>
              </w:rPr>
            </w:pPr>
            <w:r w:rsidRPr="00460143">
              <w:rPr>
                <w:rFonts w:ascii="Arial Narrow" w:hAnsi="Arial Narrow" w:cs="Arial"/>
                <w:b/>
                <w:sz w:val="20"/>
                <w:szCs w:val="20"/>
              </w:rPr>
              <w:t>Concept ID</w:t>
            </w:r>
            <w:r w:rsidRPr="00460143">
              <w:rPr>
                <w:rFonts w:ascii="Arial Narrow" w:hAnsi="Arial Narrow" w:cs="Arial"/>
                <w:b/>
                <w:sz w:val="20"/>
                <w:szCs w:val="20"/>
              </w:rPr>
              <w:br/>
            </w:r>
            <w:r w:rsidRPr="0046014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A7F941" w14:textId="77777777" w:rsidR="00DE14B5" w:rsidRPr="00460143" w:rsidRDefault="00DE14B5" w:rsidP="007C3C42">
            <w:pPr>
              <w:keepLines/>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Private (Code HS)</w:t>
            </w:r>
          </w:p>
        </w:tc>
      </w:tr>
      <w:tr w:rsidR="00DE14B5" w:rsidRPr="00460143" w14:paraId="076D638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478F1CB0"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84C6FE4" w14:textId="77777777" w:rsidR="00DE14B5" w:rsidRPr="00460143" w:rsidRDefault="00DE14B5"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DE14B5" w:rsidRPr="00460143" w14:paraId="36D809F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0A8F385D"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371FBDD" w14:textId="77777777" w:rsidR="00DE14B5" w:rsidRPr="00460143" w:rsidRDefault="00DE14B5" w:rsidP="007C3C42">
            <w:pPr>
              <w:keepLines/>
              <w:rPr>
                <w:rFonts w:ascii="Arial Narrow" w:eastAsia="Calibri" w:hAnsi="Arial Narrow" w:cs="Arial"/>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[9635] </w:t>
            </w:r>
          </w:p>
        </w:tc>
      </w:tr>
      <w:tr w:rsidR="00DE14B5" w:rsidRPr="00460143" w14:paraId="0361205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19039A9B" w14:textId="77777777" w:rsidR="00DE14B5" w:rsidRPr="00460143" w:rsidRDefault="00DE14B5"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A4EFD88" w14:textId="77777777" w:rsidR="00DE14B5" w:rsidRPr="00460143" w:rsidRDefault="00DE14B5"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DE14B5" w:rsidRPr="00460143" w14:paraId="73D0DE4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022DD49" w14:textId="09E23839" w:rsidR="00DE14B5" w:rsidRPr="00460143" w:rsidRDefault="00DE14B5" w:rsidP="007C3C42">
            <w:pPr>
              <w:jc w:val="center"/>
              <w:rPr>
                <w:rFonts w:ascii="Arial Narrow" w:hAnsi="Arial Narrow"/>
                <w:sz w:val="20"/>
                <w:szCs w:val="20"/>
              </w:rPr>
            </w:pPr>
          </w:p>
        </w:tc>
        <w:tc>
          <w:tcPr>
            <w:tcW w:w="7745" w:type="dxa"/>
            <w:gridSpan w:val="6"/>
            <w:vAlign w:val="center"/>
            <w:hideMark/>
          </w:tcPr>
          <w:p w14:paraId="14900307" w14:textId="77777777" w:rsidR="00DE14B5" w:rsidRPr="00460143" w:rsidRDefault="00DE14B5" w:rsidP="007C3C42">
            <w:pPr>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r w:rsidRPr="00460143" w:rsidDel="004B302D">
              <w:rPr>
                <w:rFonts w:ascii="Arial Narrow" w:hAnsi="Arial Narrow"/>
                <w:sz w:val="20"/>
                <w:szCs w:val="20"/>
              </w:rPr>
              <w:t xml:space="preserve"> </w:t>
            </w:r>
          </w:p>
        </w:tc>
      </w:tr>
      <w:tr w:rsidR="00DE14B5" w:rsidRPr="00460143" w14:paraId="76499A3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EEC7FF2" w14:textId="77777777" w:rsidR="00DE14B5" w:rsidRPr="00460143" w:rsidRDefault="00DE14B5" w:rsidP="007C3C42">
            <w:pPr>
              <w:jc w:val="center"/>
              <w:rPr>
                <w:rFonts w:ascii="Arial Narrow" w:hAnsi="Arial Narrow"/>
                <w:sz w:val="20"/>
                <w:szCs w:val="20"/>
              </w:rPr>
            </w:pPr>
          </w:p>
        </w:tc>
        <w:tc>
          <w:tcPr>
            <w:tcW w:w="7745" w:type="dxa"/>
            <w:gridSpan w:val="6"/>
            <w:vAlign w:val="center"/>
            <w:hideMark/>
          </w:tcPr>
          <w:p w14:paraId="41F53045"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Continuing treatment</w:t>
            </w:r>
          </w:p>
        </w:tc>
      </w:tr>
      <w:tr w:rsidR="00DE14B5" w:rsidRPr="00460143" w14:paraId="05059DF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0AEE178" w14:textId="469392BC" w:rsidR="00DE14B5" w:rsidRPr="00460143" w:rsidRDefault="00DE14B5" w:rsidP="007C3C42">
            <w:pPr>
              <w:jc w:val="center"/>
              <w:rPr>
                <w:rFonts w:ascii="Arial Narrow" w:hAnsi="Arial Narrow"/>
                <w:sz w:val="20"/>
                <w:szCs w:val="20"/>
              </w:rPr>
            </w:pPr>
          </w:p>
        </w:tc>
        <w:tc>
          <w:tcPr>
            <w:tcW w:w="7745" w:type="dxa"/>
            <w:gridSpan w:val="6"/>
            <w:vAlign w:val="center"/>
            <w:hideMark/>
          </w:tcPr>
          <w:p w14:paraId="500C5AD6"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DE14B5" w:rsidRPr="00460143" w14:paraId="28C791C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389999E" w14:textId="267120B2" w:rsidR="00DE14B5" w:rsidRPr="00460143" w:rsidRDefault="00DE14B5" w:rsidP="007C3C42">
            <w:pPr>
              <w:jc w:val="center"/>
              <w:rPr>
                <w:rFonts w:ascii="Arial Narrow" w:hAnsi="Arial Narrow"/>
                <w:sz w:val="20"/>
                <w:szCs w:val="20"/>
              </w:rPr>
            </w:pPr>
          </w:p>
        </w:tc>
        <w:tc>
          <w:tcPr>
            <w:tcW w:w="7745" w:type="dxa"/>
            <w:gridSpan w:val="6"/>
            <w:vAlign w:val="center"/>
          </w:tcPr>
          <w:p w14:paraId="10D72588"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have previously received PBS-subsidised treatment with this drug for this condition,</w:t>
            </w:r>
          </w:p>
        </w:tc>
      </w:tr>
      <w:tr w:rsidR="00DE14B5" w:rsidRPr="00460143" w14:paraId="0057394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310C37" w14:textId="77777777" w:rsidR="00DE14B5" w:rsidRPr="00460143" w:rsidRDefault="00DE14B5" w:rsidP="007C3C42">
            <w:pPr>
              <w:jc w:val="center"/>
              <w:rPr>
                <w:rFonts w:ascii="Arial Narrow" w:hAnsi="Arial Narrow"/>
                <w:sz w:val="20"/>
                <w:szCs w:val="20"/>
              </w:rPr>
            </w:pPr>
          </w:p>
        </w:tc>
        <w:tc>
          <w:tcPr>
            <w:tcW w:w="7745" w:type="dxa"/>
            <w:gridSpan w:val="6"/>
            <w:vAlign w:val="center"/>
          </w:tcPr>
          <w:p w14:paraId="73AE49EF"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4AAA8C2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3C4DF4" w14:textId="5D0023CE" w:rsidR="00DE14B5" w:rsidRPr="00460143" w:rsidRDefault="00DE14B5" w:rsidP="007C3C42">
            <w:pPr>
              <w:jc w:val="center"/>
              <w:rPr>
                <w:rFonts w:ascii="Arial Narrow" w:hAnsi="Arial Narrow"/>
                <w:sz w:val="20"/>
                <w:szCs w:val="20"/>
              </w:rPr>
            </w:pPr>
          </w:p>
        </w:tc>
        <w:tc>
          <w:tcPr>
            <w:tcW w:w="7745" w:type="dxa"/>
            <w:gridSpan w:val="6"/>
            <w:vAlign w:val="center"/>
          </w:tcPr>
          <w:p w14:paraId="7D874D39"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00ABB75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CF852B" w14:textId="696A7930" w:rsidR="00DE14B5" w:rsidRPr="00460143" w:rsidRDefault="00DE14B5" w:rsidP="007C3C42">
            <w:pPr>
              <w:jc w:val="center"/>
              <w:rPr>
                <w:rFonts w:ascii="Arial Narrow" w:hAnsi="Arial Narrow"/>
                <w:sz w:val="20"/>
                <w:szCs w:val="20"/>
              </w:rPr>
            </w:pPr>
          </w:p>
        </w:tc>
        <w:tc>
          <w:tcPr>
            <w:tcW w:w="7745" w:type="dxa"/>
            <w:gridSpan w:val="6"/>
            <w:vAlign w:val="center"/>
          </w:tcPr>
          <w:p w14:paraId="333483A9"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not show continuing progression of disability while on treatment with this drug,</w:t>
            </w:r>
          </w:p>
        </w:tc>
      </w:tr>
      <w:tr w:rsidR="00DE14B5" w:rsidRPr="00460143" w14:paraId="6105195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6A599B6" w14:textId="77777777" w:rsidR="00DE14B5" w:rsidRPr="00460143" w:rsidRDefault="00DE14B5" w:rsidP="007C3C42">
            <w:pPr>
              <w:jc w:val="center"/>
              <w:rPr>
                <w:rFonts w:ascii="Arial Narrow" w:hAnsi="Arial Narrow"/>
                <w:sz w:val="20"/>
                <w:szCs w:val="20"/>
              </w:rPr>
            </w:pPr>
          </w:p>
        </w:tc>
        <w:tc>
          <w:tcPr>
            <w:tcW w:w="7745" w:type="dxa"/>
            <w:gridSpan w:val="6"/>
            <w:vAlign w:val="center"/>
          </w:tcPr>
          <w:p w14:paraId="2A06C6CB"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55E0C69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AAC06E" w14:textId="34B82119" w:rsidR="00DE14B5" w:rsidRPr="00460143" w:rsidRDefault="00DE14B5" w:rsidP="007C3C42">
            <w:pPr>
              <w:jc w:val="center"/>
              <w:rPr>
                <w:rFonts w:ascii="Arial Narrow" w:hAnsi="Arial Narrow"/>
                <w:sz w:val="20"/>
                <w:szCs w:val="20"/>
              </w:rPr>
            </w:pPr>
          </w:p>
        </w:tc>
        <w:tc>
          <w:tcPr>
            <w:tcW w:w="7745" w:type="dxa"/>
            <w:gridSpan w:val="6"/>
            <w:vAlign w:val="center"/>
          </w:tcPr>
          <w:p w14:paraId="00A505EB"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Clinical criteria:</w:t>
            </w:r>
          </w:p>
        </w:tc>
      </w:tr>
      <w:tr w:rsidR="00DE14B5" w:rsidRPr="00460143" w14:paraId="6F86080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2E5303" w14:textId="16DA7CD3" w:rsidR="00DE14B5" w:rsidRPr="00460143" w:rsidRDefault="00DE14B5" w:rsidP="007C3C42">
            <w:pPr>
              <w:jc w:val="center"/>
              <w:rPr>
                <w:rFonts w:ascii="Arial Narrow" w:hAnsi="Arial Narrow"/>
                <w:sz w:val="20"/>
                <w:szCs w:val="20"/>
              </w:rPr>
            </w:pPr>
          </w:p>
        </w:tc>
        <w:tc>
          <w:tcPr>
            <w:tcW w:w="7745" w:type="dxa"/>
            <w:gridSpan w:val="6"/>
            <w:vAlign w:val="center"/>
          </w:tcPr>
          <w:p w14:paraId="2B337115"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DE14B5" w:rsidRPr="00460143" w14:paraId="61DD9DD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EF90E6" w14:textId="77777777" w:rsidR="00DE14B5" w:rsidRPr="00460143" w:rsidRDefault="00DE14B5" w:rsidP="007C3C42">
            <w:pPr>
              <w:jc w:val="center"/>
              <w:rPr>
                <w:rFonts w:ascii="Arial Narrow" w:hAnsi="Arial Narrow"/>
                <w:sz w:val="20"/>
                <w:szCs w:val="20"/>
              </w:rPr>
            </w:pPr>
          </w:p>
        </w:tc>
        <w:tc>
          <w:tcPr>
            <w:tcW w:w="7745" w:type="dxa"/>
            <w:gridSpan w:val="6"/>
            <w:vAlign w:val="center"/>
          </w:tcPr>
          <w:p w14:paraId="1896879F" w14:textId="77777777" w:rsidR="00DE14B5" w:rsidRPr="00460143" w:rsidRDefault="00DE14B5" w:rsidP="007C3C42">
            <w:pPr>
              <w:rPr>
                <w:rFonts w:ascii="Arial Narrow" w:hAnsi="Arial Narrow"/>
                <w:b/>
                <w:bCs/>
                <w:sz w:val="20"/>
                <w:szCs w:val="20"/>
              </w:rPr>
            </w:pPr>
            <w:r w:rsidRPr="00460143">
              <w:rPr>
                <w:rFonts w:ascii="Arial Narrow" w:hAnsi="Arial Narrow"/>
                <w:b/>
                <w:bCs/>
                <w:sz w:val="20"/>
                <w:szCs w:val="20"/>
              </w:rPr>
              <w:t>AND</w:t>
            </w:r>
          </w:p>
        </w:tc>
      </w:tr>
      <w:tr w:rsidR="00DE14B5" w:rsidRPr="00460143" w14:paraId="3D3C4E3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FD8BCA" w14:textId="56F35BBB" w:rsidR="00DE14B5" w:rsidRPr="00460143" w:rsidRDefault="00DE14B5" w:rsidP="007C3C42">
            <w:pPr>
              <w:jc w:val="center"/>
              <w:rPr>
                <w:rFonts w:ascii="Arial Narrow" w:hAnsi="Arial Narrow"/>
                <w:sz w:val="20"/>
                <w:szCs w:val="20"/>
              </w:rPr>
            </w:pPr>
          </w:p>
        </w:tc>
        <w:tc>
          <w:tcPr>
            <w:tcW w:w="7745" w:type="dxa"/>
            <w:gridSpan w:val="6"/>
            <w:vAlign w:val="center"/>
          </w:tcPr>
          <w:p w14:paraId="52E884D2" w14:textId="77777777" w:rsidR="00DE14B5" w:rsidRPr="00460143" w:rsidRDefault="00DE14B5" w:rsidP="007C3C42">
            <w:r w:rsidRPr="00460143">
              <w:rPr>
                <w:rFonts w:ascii="Arial Narrow" w:hAnsi="Arial Narrow"/>
                <w:b/>
                <w:bCs/>
                <w:sz w:val="20"/>
                <w:szCs w:val="20"/>
              </w:rPr>
              <w:t>Clinical criteria:</w:t>
            </w:r>
          </w:p>
        </w:tc>
      </w:tr>
      <w:tr w:rsidR="00DE14B5" w:rsidRPr="00460143" w14:paraId="5C89382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91A3B1" w14:textId="5112EDCC" w:rsidR="00DE14B5" w:rsidRPr="00460143" w:rsidRDefault="00DE14B5" w:rsidP="007C3C42">
            <w:pPr>
              <w:jc w:val="center"/>
              <w:rPr>
                <w:rFonts w:ascii="Arial Narrow" w:hAnsi="Arial Narrow"/>
                <w:sz w:val="20"/>
                <w:szCs w:val="20"/>
              </w:rPr>
            </w:pPr>
          </w:p>
        </w:tc>
        <w:tc>
          <w:tcPr>
            <w:tcW w:w="7745" w:type="dxa"/>
            <w:gridSpan w:val="6"/>
            <w:vAlign w:val="center"/>
          </w:tcPr>
          <w:p w14:paraId="6741A5F9"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Patient must have demonstrated compliance with, and an ability to tolerate this therapy.</w:t>
            </w:r>
          </w:p>
        </w:tc>
      </w:tr>
      <w:tr w:rsidR="00DE14B5" w:rsidRPr="00460143" w14:paraId="4796C22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3BB27E" w14:textId="5E399548" w:rsidR="00DE14B5" w:rsidRPr="00460143" w:rsidRDefault="00DE14B5" w:rsidP="007C3C42">
            <w:pPr>
              <w:jc w:val="center"/>
              <w:rPr>
                <w:rFonts w:ascii="Arial Narrow" w:hAnsi="Arial Narrow"/>
                <w:sz w:val="20"/>
                <w:szCs w:val="20"/>
              </w:rPr>
            </w:pPr>
          </w:p>
        </w:tc>
        <w:tc>
          <w:tcPr>
            <w:tcW w:w="7745" w:type="dxa"/>
            <w:gridSpan w:val="6"/>
            <w:vAlign w:val="center"/>
          </w:tcPr>
          <w:p w14:paraId="683B5773" w14:textId="77777777" w:rsidR="00DE14B5" w:rsidRPr="00460143" w:rsidRDefault="00DE14B5" w:rsidP="007C3C42">
            <w:pPr>
              <w:rPr>
                <w:rFonts w:ascii="Arial Narrow" w:hAnsi="Arial Narrow"/>
                <w:sz w:val="20"/>
                <w:szCs w:val="20"/>
              </w:rPr>
            </w:pPr>
            <w:r w:rsidRPr="00460143">
              <w:rPr>
                <w:rFonts w:ascii="Arial Narrow" w:hAnsi="Arial Narrow"/>
                <w:b/>
                <w:bCs/>
                <w:sz w:val="20"/>
                <w:szCs w:val="20"/>
              </w:rPr>
              <w:t>Treatment criteria:</w:t>
            </w:r>
          </w:p>
        </w:tc>
      </w:tr>
      <w:tr w:rsidR="00DE14B5" w:rsidRPr="00460143" w14:paraId="74156E3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A310CE" w14:textId="6220D3C1" w:rsidR="00DE14B5" w:rsidRPr="00460143" w:rsidRDefault="00DE14B5" w:rsidP="007C3C42">
            <w:pPr>
              <w:jc w:val="center"/>
              <w:rPr>
                <w:rFonts w:ascii="Arial Narrow" w:hAnsi="Arial Narrow"/>
                <w:sz w:val="20"/>
                <w:szCs w:val="20"/>
              </w:rPr>
            </w:pPr>
          </w:p>
        </w:tc>
        <w:tc>
          <w:tcPr>
            <w:tcW w:w="7745" w:type="dxa"/>
            <w:gridSpan w:val="6"/>
            <w:vAlign w:val="center"/>
          </w:tcPr>
          <w:p w14:paraId="73C8A957" w14:textId="77777777" w:rsidR="00DE14B5" w:rsidRPr="00460143" w:rsidRDefault="00DE14B5" w:rsidP="007C3C42">
            <w:pPr>
              <w:rPr>
                <w:rFonts w:ascii="Arial Narrow" w:hAnsi="Arial Narrow"/>
                <w:sz w:val="20"/>
                <w:szCs w:val="20"/>
              </w:rPr>
            </w:pPr>
            <w:r w:rsidRPr="00460143">
              <w:rPr>
                <w:rFonts w:ascii="Arial Narrow" w:hAnsi="Arial Narrow"/>
                <w:sz w:val="20"/>
                <w:szCs w:val="20"/>
              </w:rPr>
              <w:t>Must be treated by a neurologist.</w:t>
            </w:r>
          </w:p>
        </w:tc>
      </w:tr>
    </w:tbl>
    <w:p w14:paraId="6F5D9443" w14:textId="77777777" w:rsidR="00DE14B5" w:rsidRPr="00DE14B5" w:rsidRDefault="00DE14B5" w:rsidP="00DE14B5">
      <w:pPr>
        <w:pStyle w:val="3-BodyText"/>
        <w:numPr>
          <w:ilvl w:val="0"/>
          <w:numId w:val="0"/>
        </w:numPr>
        <w:rPr>
          <w:rFonts w:cstheme="minorHAnsi"/>
          <w:iCs/>
          <w:szCs w:val="24"/>
        </w:rPr>
      </w:pPr>
    </w:p>
    <w:p w14:paraId="7C0310ED" w14:textId="07F16B24" w:rsidR="005E6532" w:rsidRPr="00460143" w:rsidRDefault="005E6532" w:rsidP="008154EF">
      <w:pPr>
        <w:pStyle w:val="3-BodyText"/>
      </w:pPr>
      <w:r w:rsidRPr="00460143">
        <w:t>The submission</w:t>
      </w:r>
      <w:r w:rsidR="0099740D" w:rsidRPr="00460143">
        <w:t xml:space="preserve"> requested ocrelizumab SC be listed</w:t>
      </w:r>
      <w:r w:rsidR="00427F0C" w:rsidRPr="00460143">
        <w:t xml:space="preserve"> on the PBS under the same circumstances as the current PBS listings for ocrelizumab IV.</w:t>
      </w:r>
    </w:p>
    <w:p w14:paraId="589E5BAE" w14:textId="4A394761" w:rsidR="008154EF" w:rsidRPr="00460143" w:rsidRDefault="008154EF" w:rsidP="00E948E3">
      <w:pPr>
        <w:pStyle w:val="3-BodyText"/>
      </w:pPr>
      <w:r w:rsidRPr="00460143">
        <w:t xml:space="preserve">The submission </w:t>
      </w:r>
      <w:r w:rsidR="008F04F2" w:rsidRPr="00460143">
        <w:t>referred to</w:t>
      </w:r>
      <w:r w:rsidRPr="00460143">
        <w:t xml:space="preserve"> the PBAC</w:t>
      </w:r>
      <w:r w:rsidR="008F04F2" w:rsidRPr="00460143">
        <w:t>’s recommendation at its</w:t>
      </w:r>
      <w:r w:rsidRPr="00460143">
        <w:t xml:space="preserve"> November 2024 </w:t>
      </w:r>
      <w:r w:rsidR="008F04F2" w:rsidRPr="00460143">
        <w:t>meeting</w:t>
      </w:r>
      <w:r w:rsidRPr="00460143">
        <w:t xml:space="preserve"> to </w:t>
      </w:r>
      <w:r w:rsidR="00C034D1" w:rsidRPr="00460143">
        <w:t xml:space="preserve">amend the listings of </w:t>
      </w:r>
      <w:r w:rsidR="001031EE">
        <w:t xml:space="preserve">a </w:t>
      </w:r>
      <w:r w:rsidR="00C034D1" w:rsidRPr="00460143">
        <w:t>number of medicin</w:t>
      </w:r>
      <w:r w:rsidR="00BF6E01" w:rsidRPr="00460143">
        <w:t xml:space="preserve">es for multiple sclerosis to allow nurse practitioners to prescribe treatment in consultation </w:t>
      </w:r>
      <w:r w:rsidR="003D0C56" w:rsidRPr="00460143">
        <w:t xml:space="preserve">with a specialist </w:t>
      </w:r>
      <w:r w:rsidR="00C814E5" w:rsidRPr="00460143">
        <w:t>physician</w:t>
      </w:r>
      <w:r w:rsidR="003D0C56" w:rsidRPr="00460143">
        <w:t xml:space="preserve"> (paragraph 5.1, fingolimod, ofatumumab </w:t>
      </w:r>
      <w:r w:rsidR="00E0190C" w:rsidRPr="00460143">
        <w:t xml:space="preserve">and siponimod, PSD, November 2024 PBAC meeting). </w:t>
      </w:r>
      <w:r w:rsidR="00321E7E" w:rsidRPr="00460143">
        <w:t xml:space="preserve">At this meeting the </w:t>
      </w:r>
      <w:r w:rsidRPr="00460143">
        <w:t xml:space="preserve">PBAC </w:t>
      </w:r>
      <w:r w:rsidR="00321E7E" w:rsidRPr="00460143">
        <w:t>noted</w:t>
      </w:r>
      <w:r w:rsidRPr="00460143">
        <w:t xml:space="preserve"> that </w:t>
      </w:r>
      <w:r w:rsidR="00321E7E" w:rsidRPr="00460143">
        <w:t>flow-on recommendations to</w:t>
      </w:r>
      <w:r w:rsidRPr="00460143">
        <w:t xml:space="preserve"> ocrelizumab would not be feasible </w:t>
      </w:r>
      <w:r w:rsidR="0096274E" w:rsidRPr="00460143">
        <w:t>as it is listed under</w:t>
      </w:r>
      <w:r w:rsidRPr="00460143">
        <w:t xml:space="preserve"> Section</w:t>
      </w:r>
      <w:r w:rsidR="001E75C1" w:rsidRPr="00460143">
        <w:t> </w:t>
      </w:r>
      <w:r w:rsidRPr="00460143">
        <w:t xml:space="preserve">100 </w:t>
      </w:r>
      <w:r w:rsidR="0096274E" w:rsidRPr="00460143">
        <w:t xml:space="preserve">Highly </w:t>
      </w:r>
      <w:r w:rsidR="00C814E5" w:rsidRPr="00460143">
        <w:t>Specialised</w:t>
      </w:r>
      <w:r w:rsidR="0096274E" w:rsidRPr="00460143">
        <w:t xml:space="preserve"> Drugs arrangements </w:t>
      </w:r>
      <w:r w:rsidR="005F2A0E" w:rsidRPr="00460143">
        <w:t>which currently exclude nurse practitioners from prescribing these benefits (paragraph 5.5, fingolimod, ofatumumab and siponimod, PSD, November 2024 PBAC meeting).</w:t>
      </w:r>
      <w:r w:rsidRPr="00460143">
        <w:t xml:space="preserve"> </w:t>
      </w:r>
      <w:r w:rsidR="003B7B3A" w:rsidRPr="00460143">
        <w:t xml:space="preserve">The submission stated that </w:t>
      </w:r>
      <w:r w:rsidR="0098564B" w:rsidRPr="00460143">
        <w:t>allowing nurse practitioners, in consultation with a specialist physician, to initiate and continue treatment with all PBS-listed disease-modifying treatments would streamline the patient journe</w:t>
      </w:r>
      <w:r w:rsidR="009E2360" w:rsidRPr="00460143">
        <w:t xml:space="preserve">y and reduce the burden on the healthcare system for all patients with multiple sclerosis. </w:t>
      </w:r>
      <w:r w:rsidR="00CE160E" w:rsidRPr="00460143">
        <w:t>The requested listing includes the treatment criteria ‘Must be treated by a neurologist’</w:t>
      </w:r>
      <w:r w:rsidR="003F7135" w:rsidRPr="00460143">
        <w:t xml:space="preserve"> for both initial and continuing treatment, </w:t>
      </w:r>
      <w:r w:rsidR="00C64ECB" w:rsidRPr="00460143">
        <w:t xml:space="preserve">limiting prescribing to </w:t>
      </w:r>
      <w:r w:rsidR="00C6444D" w:rsidRPr="00460143">
        <w:t>neurologists</w:t>
      </w:r>
      <w:r w:rsidR="00CE160E" w:rsidRPr="00460143">
        <w:t>.</w:t>
      </w:r>
    </w:p>
    <w:p w14:paraId="29A96004" w14:textId="222DF861" w:rsidR="00C27C1C" w:rsidRPr="00460143" w:rsidRDefault="00C27C1C" w:rsidP="002955D1">
      <w:pPr>
        <w:pStyle w:val="2-SectionHeading"/>
        <w:rPr>
          <w:color w:val="FF0000"/>
        </w:rPr>
      </w:pPr>
      <w:r w:rsidRPr="00460143">
        <w:t xml:space="preserve">Comparator </w:t>
      </w:r>
    </w:p>
    <w:p w14:paraId="791017FD" w14:textId="35227978" w:rsidR="00F73DE4" w:rsidRPr="00460143" w:rsidRDefault="00C27C1C" w:rsidP="00F351F0">
      <w:pPr>
        <w:pStyle w:val="3-BodyText"/>
      </w:pPr>
      <w:r w:rsidRPr="00460143">
        <w:t xml:space="preserve">The submission </w:t>
      </w:r>
      <w:r w:rsidR="000862A0" w:rsidRPr="00460143">
        <w:t xml:space="preserve">nominated </w:t>
      </w:r>
      <w:r w:rsidRPr="00460143">
        <w:t xml:space="preserve">the currently listed </w:t>
      </w:r>
      <w:r w:rsidR="00E460DC" w:rsidRPr="00460143">
        <w:t>ocrelizumab IV</w:t>
      </w:r>
      <w:r w:rsidR="00631FB4" w:rsidRPr="00460143">
        <w:t>, 2 x 300 mg</w:t>
      </w:r>
      <w:r w:rsidR="004C347B" w:rsidRPr="00460143">
        <w:t xml:space="preserve"> </w:t>
      </w:r>
      <w:r w:rsidR="00631FB4" w:rsidRPr="00460143">
        <w:t>(</w:t>
      </w:r>
      <w:r w:rsidR="004C347B" w:rsidRPr="00460143">
        <w:t>600 mg</w:t>
      </w:r>
      <w:r w:rsidR="00631FB4" w:rsidRPr="00460143">
        <w:t>)</w:t>
      </w:r>
      <w:r w:rsidR="000862A0" w:rsidRPr="00460143">
        <w:t xml:space="preserve"> as the </w:t>
      </w:r>
      <w:r w:rsidR="001D79E4" w:rsidRPr="00460143">
        <w:t xml:space="preserve">main </w:t>
      </w:r>
      <w:r w:rsidR="000862A0" w:rsidRPr="00460143">
        <w:t>comparator</w:t>
      </w:r>
      <w:r w:rsidR="00E460DC" w:rsidRPr="00460143">
        <w:t xml:space="preserve">. </w:t>
      </w:r>
    </w:p>
    <w:p w14:paraId="20ECD153" w14:textId="41C3EFE2" w:rsidR="00EF58C0" w:rsidRPr="00460143" w:rsidRDefault="00AB36DA" w:rsidP="00F351F0">
      <w:pPr>
        <w:pStyle w:val="3-BodyText"/>
      </w:pPr>
      <w:r w:rsidRPr="00460143">
        <w:lastRenderedPageBreak/>
        <w:t>At the July 2017 meeting</w:t>
      </w:r>
      <w:r w:rsidR="00BB5EE2" w:rsidRPr="00460143">
        <w:t xml:space="preserve"> in its consideration of ocrelizumab IV</w:t>
      </w:r>
      <w:r w:rsidRPr="00460143">
        <w:t xml:space="preserve">, the PBAC </w:t>
      </w:r>
      <w:r w:rsidR="00E1248A" w:rsidRPr="00460143">
        <w:t xml:space="preserve">agreed </w:t>
      </w:r>
      <w:r w:rsidR="00A515A8" w:rsidRPr="00460143">
        <w:t>that the nominated comparators of fingolimod, natalizumab and alemtuzumab were appropriate clinical comparators; however, considered that in practice, ocrelizumab would substitute for all PBS</w:t>
      </w:r>
      <w:r w:rsidR="00EB4015" w:rsidRPr="00460143">
        <w:t>-</w:t>
      </w:r>
      <w:r w:rsidR="00A515A8" w:rsidRPr="00460143">
        <w:t>subsidised medicines for RRMS</w:t>
      </w:r>
      <w:r w:rsidR="00EB4015" w:rsidRPr="00460143">
        <w:t xml:space="preserve"> (paragraph 7.4, ocrelizumab, PSD, July 2017 PBAC </w:t>
      </w:r>
      <w:r w:rsidR="00EB4015" w:rsidRPr="00B96C7D">
        <w:t>meeting)</w:t>
      </w:r>
      <w:r w:rsidR="00B047BA" w:rsidRPr="00B96C7D">
        <w:t>.</w:t>
      </w:r>
      <w:r w:rsidR="00B047BA" w:rsidRPr="00460143">
        <w:t xml:space="preserve"> </w:t>
      </w:r>
    </w:p>
    <w:p w14:paraId="673F8082" w14:textId="655800B7" w:rsidR="006F4BD9" w:rsidRPr="00460143" w:rsidRDefault="006F4BD9" w:rsidP="00F351F0">
      <w:pPr>
        <w:pStyle w:val="3-BodyText"/>
      </w:pPr>
      <w:r w:rsidRPr="00460143">
        <w:t>The pre-PBAC response</w:t>
      </w:r>
      <w:r w:rsidR="00E44837" w:rsidRPr="00460143">
        <w:t xml:space="preserve"> </w:t>
      </w:r>
      <w:r w:rsidR="004134E4">
        <w:t>maintained that ocrelizumab IV was an appropriate</w:t>
      </w:r>
      <w:r w:rsidR="00CC5F48">
        <w:t xml:space="preserve"> comparator</w:t>
      </w:r>
      <w:r w:rsidR="00C16328">
        <w:t>,</w:t>
      </w:r>
      <w:r w:rsidR="00CC5F48">
        <w:t xml:space="preserve"> </w:t>
      </w:r>
      <w:r w:rsidR="00F814FA">
        <w:t>and claimed</w:t>
      </w:r>
      <w:r w:rsidR="00C16328">
        <w:t xml:space="preserve"> the choice to prescribe ocrelizumab is</w:t>
      </w:r>
      <w:r w:rsidR="008D0C16" w:rsidRPr="00460143">
        <w:t xml:space="preserve"> </w:t>
      </w:r>
      <w:r w:rsidR="005063D5" w:rsidRPr="00460143">
        <w:t xml:space="preserve">primarily due to its mechanism of action, </w:t>
      </w:r>
      <w:r w:rsidR="00F5087B">
        <w:t>efficacy</w:t>
      </w:r>
      <w:r w:rsidR="000B2A10" w:rsidRPr="00460143">
        <w:t xml:space="preserve"> and safety profile</w:t>
      </w:r>
      <w:r w:rsidR="00C475A6">
        <w:t>,</w:t>
      </w:r>
      <w:r w:rsidR="000B2A10" w:rsidRPr="00460143">
        <w:t xml:space="preserve"> and administration schedule</w:t>
      </w:r>
      <w:r w:rsidR="00B96C7D">
        <w:t>, which</w:t>
      </w:r>
      <w:r w:rsidR="00E931D5" w:rsidRPr="00460143">
        <w:t xml:space="preserve"> applies equally to </w:t>
      </w:r>
      <w:r w:rsidR="00B96C7D">
        <w:t xml:space="preserve">both </w:t>
      </w:r>
      <w:r w:rsidR="00E931D5" w:rsidRPr="00460143">
        <w:t>ocrelizumab</w:t>
      </w:r>
      <w:r w:rsidR="00B96C7D">
        <w:t xml:space="preserve"> IV and ocrelizumab</w:t>
      </w:r>
      <w:r w:rsidR="00E931D5" w:rsidRPr="00460143">
        <w:t xml:space="preserve"> SC</w:t>
      </w:r>
      <w:r w:rsidR="004A51CC" w:rsidRPr="00460143">
        <w:t xml:space="preserve">. </w:t>
      </w:r>
      <w:r w:rsidR="007F2FDA" w:rsidRPr="00460143">
        <w:t xml:space="preserve"> </w:t>
      </w:r>
    </w:p>
    <w:p w14:paraId="0436B7D8" w14:textId="77777777" w:rsidR="00C27C1C" w:rsidRPr="00460143" w:rsidRDefault="00C27C1C" w:rsidP="0079250E">
      <w:pPr>
        <w:pStyle w:val="Heading1"/>
        <w:keepLines/>
        <w:numPr>
          <w:ilvl w:val="0"/>
          <w:numId w:val="2"/>
        </w:numPr>
        <w:spacing w:before="240"/>
        <w:ind w:left="709" w:hanging="709"/>
        <w:rPr>
          <w:sz w:val="32"/>
          <w:szCs w:val="32"/>
        </w:rPr>
      </w:pPr>
      <w:r w:rsidRPr="00460143">
        <w:rPr>
          <w:sz w:val="32"/>
          <w:szCs w:val="32"/>
        </w:rPr>
        <w:t>Consideration of the evidence</w:t>
      </w:r>
    </w:p>
    <w:p w14:paraId="17567925" w14:textId="77777777" w:rsidR="000F1CC2" w:rsidRPr="00460143" w:rsidRDefault="000F1CC2" w:rsidP="00F359D1">
      <w:pPr>
        <w:pStyle w:val="4-SubsectionHeading"/>
        <w:keepNext w:val="0"/>
        <w:rPr>
          <w:lang w:eastAsia="en-US"/>
        </w:rPr>
      </w:pPr>
      <w:bookmarkStart w:id="1" w:name="_Hlk76375935"/>
      <w:r w:rsidRPr="00460143">
        <w:rPr>
          <w:lang w:eastAsia="en-US"/>
        </w:rPr>
        <w:t>Sponsor hearing</w:t>
      </w:r>
    </w:p>
    <w:p w14:paraId="2C84828D" w14:textId="3B8D81DB" w:rsidR="000F1CC2" w:rsidRPr="00460143" w:rsidRDefault="000F1CC2" w:rsidP="000F1CC2">
      <w:pPr>
        <w:widowControl w:val="0"/>
        <w:numPr>
          <w:ilvl w:val="1"/>
          <w:numId w:val="2"/>
        </w:numPr>
        <w:spacing w:after="120"/>
        <w:rPr>
          <w:rFonts w:cs="Calibri"/>
          <w:bCs/>
          <w:snapToGrid w:val="0"/>
        </w:rPr>
      </w:pPr>
      <w:r w:rsidRPr="00460143">
        <w:rPr>
          <w:rFonts w:cs="Calibri"/>
          <w:bCs/>
          <w:snapToGrid w:val="0"/>
        </w:rPr>
        <w:t>There was no hearing for this item.</w:t>
      </w:r>
    </w:p>
    <w:p w14:paraId="7291166A" w14:textId="77777777" w:rsidR="000F1CC2" w:rsidRPr="00460143" w:rsidRDefault="000F1CC2" w:rsidP="00F359D1">
      <w:pPr>
        <w:pStyle w:val="4-SubsectionHeading"/>
        <w:keepNext w:val="0"/>
        <w:rPr>
          <w:lang w:eastAsia="en-US"/>
        </w:rPr>
      </w:pPr>
      <w:r w:rsidRPr="00460143">
        <w:rPr>
          <w:lang w:eastAsia="en-US"/>
        </w:rPr>
        <w:t>Consumer comments</w:t>
      </w:r>
    </w:p>
    <w:p w14:paraId="033D2293" w14:textId="75136CEE" w:rsidR="00D15755" w:rsidRDefault="000F1CC2" w:rsidP="000F1CC2">
      <w:pPr>
        <w:widowControl w:val="0"/>
        <w:numPr>
          <w:ilvl w:val="1"/>
          <w:numId w:val="2"/>
        </w:numPr>
        <w:spacing w:after="120"/>
        <w:rPr>
          <w:rFonts w:asciiTheme="minorHAnsi" w:hAnsiTheme="minorHAnsi" w:cs="Arial"/>
          <w:bCs/>
          <w:snapToGrid w:val="0"/>
        </w:rPr>
      </w:pPr>
      <w:bookmarkStart w:id="2" w:name="_Hlk76382618"/>
      <w:r w:rsidRPr="00460143">
        <w:rPr>
          <w:rFonts w:asciiTheme="minorHAnsi" w:hAnsiTheme="minorHAnsi" w:cs="Arial"/>
          <w:bCs/>
          <w:snapToGrid w:val="0"/>
        </w:rPr>
        <w:t>The PBAC noted and welcomed the input from individuals (</w:t>
      </w:r>
      <w:r w:rsidR="00BE4674" w:rsidRPr="00460143">
        <w:rPr>
          <w:rFonts w:asciiTheme="minorHAnsi" w:hAnsiTheme="minorHAnsi" w:cs="Arial"/>
          <w:bCs/>
          <w:snapToGrid w:val="0"/>
        </w:rPr>
        <w:t>1</w:t>
      </w:r>
      <w:r w:rsidRPr="00460143">
        <w:rPr>
          <w:rFonts w:asciiTheme="minorHAnsi" w:hAnsiTheme="minorHAnsi" w:cs="Arial"/>
          <w:bCs/>
          <w:snapToGrid w:val="0"/>
        </w:rPr>
        <w:t>4), health care professionals (1) and organisations (</w:t>
      </w:r>
      <w:r w:rsidR="00BE4674" w:rsidRPr="00460143">
        <w:rPr>
          <w:rFonts w:asciiTheme="minorHAnsi" w:hAnsiTheme="minorHAnsi" w:cs="Arial"/>
          <w:bCs/>
          <w:snapToGrid w:val="0"/>
        </w:rPr>
        <w:t>2</w:t>
      </w:r>
      <w:r w:rsidRPr="00460143">
        <w:rPr>
          <w:rFonts w:asciiTheme="minorHAnsi" w:hAnsiTheme="minorHAnsi" w:cs="Arial"/>
          <w:bCs/>
          <w:snapToGrid w:val="0"/>
        </w:rPr>
        <w:t xml:space="preserve">) via the Consumer Comments facility on the PBS website.  The comments </w:t>
      </w:r>
      <w:r w:rsidR="00513755">
        <w:rPr>
          <w:rFonts w:asciiTheme="minorHAnsi" w:hAnsiTheme="minorHAnsi" w:cs="Arial"/>
          <w:bCs/>
          <w:snapToGrid w:val="0"/>
        </w:rPr>
        <w:t>from individuals described</w:t>
      </w:r>
      <w:r w:rsidR="00F66B4B">
        <w:rPr>
          <w:rFonts w:asciiTheme="minorHAnsi" w:hAnsiTheme="minorHAnsi" w:cs="Arial"/>
          <w:bCs/>
          <w:snapToGrid w:val="0"/>
        </w:rPr>
        <w:t xml:space="preserve"> the</w:t>
      </w:r>
      <w:r w:rsidR="005F1B2C" w:rsidRPr="00460143">
        <w:rPr>
          <w:rFonts w:asciiTheme="minorHAnsi" w:hAnsiTheme="minorHAnsi" w:cs="Arial"/>
          <w:bCs/>
          <w:snapToGrid w:val="0"/>
        </w:rPr>
        <w:t xml:space="preserve"> treatment burden associated with </w:t>
      </w:r>
      <w:r w:rsidR="00F66B4B">
        <w:rPr>
          <w:rFonts w:asciiTheme="minorHAnsi" w:hAnsiTheme="minorHAnsi" w:cs="Arial"/>
          <w:bCs/>
          <w:snapToGrid w:val="0"/>
        </w:rPr>
        <w:t xml:space="preserve">ocrelizumab </w:t>
      </w:r>
      <w:r w:rsidR="005F1B2C" w:rsidRPr="00460143">
        <w:rPr>
          <w:rFonts w:asciiTheme="minorHAnsi" w:hAnsiTheme="minorHAnsi" w:cs="Arial"/>
          <w:bCs/>
          <w:snapToGrid w:val="0"/>
        </w:rPr>
        <w:t>IV administration</w:t>
      </w:r>
      <w:r w:rsidR="00F66B4B">
        <w:rPr>
          <w:rFonts w:asciiTheme="minorHAnsi" w:hAnsiTheme="minorHAnsi" w:cs="Arial"/>
          <w:bCs/>
          <w:snapToGrid w:val="0"/>
        </w:rPr>
        <w:t>,</w:t>
      </w:r>
      <w:r w:rsidR="005F1B2C" w:rsidRPr="00460143">
        <w:rPr>
          <w:rFonts w:asciiTheme="minorHAnsi" w:hAnsiTheme="minorHAnsi" w:cs="Arial"/>
          <w:bCs/>
          <w:snapToGrid w:val="0"/>
        </w:rPr>
        <w:t xml:space="preserve"> including </w:t>
      </w:r>
      <w:r w:rsidR="006E5436" w:rsidRPr="00460143">
        <w:rPr>
          <w:rFonts w:asciiTheme="minorHAnsi" w:hAnsiTheme="minorHAnsi" w:cs="Arial"/>
          <w:bCs/>
          <w:snapToGrid w:val="0"/>
        </w:rPr>
        <w:t>lengthy treatment sessions, disrupted work and personal lives</w:t>
      </w:r>
      <w:r w:rsidR="003469C5" w:rsidRPr="00460143">
        <w:rPr>
          <w:rFonts w:asciiTheme="minorHAnsi" w:hAnsiTheme="minorHAnsi" w:cs="Arial"/>
          <w:bCs/>
          <w:snapToGrid w:val="0"/>
        </w:rPr>
        <w:t xml:space="preserve"> for </w:t>
      </w:r>
      <w:r w:rsidR="00F66B4B">
        <w:rPr>
          <w:rFonts w:asciiTheme="minorHAnsi" w:hAnsiTheme="minorHAnsi" w:cs="Arial"/>
          <w:bCs/>
          <w:snapToGrid w:val="0"/>
        </w:rPr>
        <w:t>both the individual</w:t>
      </w:r>
      <w:r w:rsidR="003469C5" w:rsidRPr="00460143">
        <w:rPr>
          <w:rFonts w:asciiTheme="minorHAnsi" w:hAnsiTheme="minorHAnsi" w:cs="Arial"/>
          <w:bCs/>
          <w:snapToGrid w:val="0"/>
        </w:rPr>
        <w:t xml:space="preserve"> and carer</w:t>
      </w:r>
      <w:r w:rsidR="0043267C">
        <w:rPr>
          <w:rFonts w:asciiTheme="minorHAnsi" w:hAnsiTheme="minorHAnsi" w:cs="Arial"/>
          <w:bCs/>
          <w:snapToGrid w:val="0"/>
        </w:rPr>
        <w:t xml:space="preserve">, and fatigue from </w:t>
      </w:r>
      <w:r w:rsidR="001A7FE9">
        <w:rPr>
          <w:rFonts w:asciiTheme="minorHAnsi" w:hAnsiTheme="minorHAnsi" w:cs="Arial"/>
          <w:bCs/>
          <w:snapToGrid w:val="0"/>
        </w:rPr>
        <w:t>the onerous nature of accessing treatment.</w:t>
      </w:r>
      <w:r w:rsidR="005A233E">
        <w:rPr>
          <w:rFonts w:asciiTheme="minorHAnsi" w:hAnsiTheme="minorHAnsi" w:cs="Arial"/>
          <w:bCs/>
          <w:snapToGrid w:val="0"/>
        </w:rPr>
        <w:t xml:space="preserve"> Benefits from ocrelizumab SC highlighted include </w:t>
      </w:r>
      <w:r w:rsidR="009867C5">
        <w:rPr>
          <w:rFonts w:asciiTheme="minorHAnsi" w:hAnsiTheme="minorHAnsi" w:cs="Arial"/>
          <w:bCs/>
          <w:snapToGrid w:val="0"/>
        </w:rPr>
        <w:t>benefits on quality of life</w:t>
      </w:r>
      <w:r w:rsidR="002D3BC4">
        <w:rPr>
          <w:rFonts w:asciiTheme="minorHAnsi" w:hAnsiTheme="minorHAnsi" w:cs="Arial"/>
          <w:bCs/>
          <w:snapToGrid w:val="0"/>
        </w:rPr>
        <w:t xml:space="preserve"> for both individuals and carers</w:t>
      </w:r>
      <w:r w:rsidR="009867C5">
        <w:rPr>
          <w:rFonts w:asciiTheme="minorHAnsi" w:hAnsiTheme="minorHAnsi" w:cs="Arial"/>
          <w:bCs/>
          <w:snapToGrid w:val="0"/>
        </w:rPr>
        <w:t xml:space="preserve"> due to simpler administration</w:t>
      </w:r>
      <w:r w:rsidR="004D7B6C">
        <w:rPr>
          <w:rFonts w:asciiTheme="minorHAnsi" w:hAnsiTheme="minorHAnsi" w:cs="Arial"/>
          <w:bCs/>
          <w:snapToGrid w:val="0"/>
        </w:rPr>
        <w:t xml:space="preserve"> (e.g. more time for other daily activities</w:t>
      </w:r>
      <w:r w:rsidR="00AA471D">
        <w:rPr>
          <w:rFonts w:asciiTheme="minorHAnsi" w:hAnsiTheme="minorHAnsi" w:cs="Arial"/>
          <w:bCs/>
          <w:snapToGrid w:val="0"/>
        </w:rPr>
        <w:t>, less disruption to daily life</w:t>
      </w:r>
      <w:r w:rsidR="00206E69">
        <w:rPr>
          <w:rFonts w:asciiTheme="minorHAnsi" w:hAnsiTheme="minorHAnsi" w:cs="Arial"/>
          <w:bCs/>
          <w:snapToGrid w:val="0"/>
        </w:rPr>
        <w:t xml:space="preserve">, less </w:t>
      </w:r>
      <w:r w:rsidR="002D3BC4">
        <w:rPr>
          <w:rFonts w:asciiTheme="minorHAnsi" w:hAnsiTheme="minorHAnsi" w:cs="Arial"/>
          <w:bCs/>
          <w:snapToGrid w:val="0"/>
        </w:rPr>
        <w:t>time spent travelling to access treatment</w:t>
      </w:r>
      <w:r w:rsidR="00AA471D">
        <w:rPr>
          <w:rFonts w:asciiTheme="minorHAnsi" w:hAnsiTheme="minorHAnsi" w:cs="Arial"/>
          <w:bCs/>
          <w:snapToGrid w:val="0"/>
        </w:rPr>
        <w:t>)</w:t>
      </w:r>
      <w:r w:rsidR="009867C5">
        <w:rPr>
          <w:rFonts w:asciiTheme="minorHAnsi" w:hAnsiTheme="minorHAnsi" w:cs="Arial"/>
          <w:bCs/>
          <w:snapToGrid w:val="0"/>
        </w:rPr>
        <w:t>,</w:t>
      </w:r>
      <w:r w:rsidR="00AA471D">
        <w:rPr>
          <w:rFonts w:asciiTheme="minorHAnsi" w:hAnsiTheme="minorHAnsi" w:cs="Arial"/>
          <w:bCs/>
          <w:snapToGrid w:val="0"/>
        </w:rPr>
        <w:t xml:space="preserve"> reduced stress and pain associated with difficult venous access</w:t>
      </w:r>
      <w:r w:rsidR="00334311">
        <w:rPr>
          <w:rFonts w:asciiTheme="minorHAnsi" w:hAnsiTheme="minorHAnsi" w:cs="Arial"/>
          <w:bCs/>
          <w:snapToGrid w:val="0"/>
        </w:rPr>
        <w:t>,</w:t>
      </w:r>
      <w:r w:rsidR="009867C5">
        <w:rPr>
          <w:rFonts w:asciiTheme="minorHAnsi" w:hAnsiTheme="minorHAnsi" w:cs="Arial"/>
          <w:bCs/>
          <w:snapToGrid w:val="0"/>
        </w:rPr>
        <w:t xml:space="preserve"> and the potential to increase accessibility </w:t>
      </w:r>
      <w:r w:rsidR="00A347FE">
        <w:rPr>
          <w:rFonts w:asciiTheme="minorHAnsi" w:hAnsiTheme="minorHAnsi" w:cs="Arial"/>
          <w:bCs/>
          <w:snapToGrid w:val="0"/>
        </w:rPr>
        <w:t>for individuals living in rural and remote areas and those with difficult venous access. One individual raised concerns about potential out-of</w:t>
      </w:r>
      <w:r w:rsidR="00816920">
        <w:rPr>
          <w:rFonts w:asciiTheme="minorHAnsi" w:hAnsiTheme="minorHAnsi" w:cs="Arial"/>
          <w:bCs/>
          <w:snapToGrid w:val="0"/>
        </w:rPr>
        <w:t xml:space="preserve">-pocket </w:t>
      </w:r>
      <w:r w:rsidR="009B698A" w:rsidRPr="00460143" w:rsidDel="0075653A">
        <w:rPr>
          <w:rFonts w:asciiTheme="minorHAnsi" w:hAnsiTheme="minorHAnsi" w:cs="Arial"/>
          <w:bCs/>
          <w:snapToGrid w:val="0"/>
        </w:rPr>
        <w:t>costs</w:t>
      </w:r>
      <w:r w:rsidR="00816920">
        <w:rPr>
          <w:rFonts w:asciiTheme="minorHAnsi" w:hAnsiTheme="minorHAnsi" w:cs="Arial"/>
          <w:bCs/>
          <w:snapToGrid w:val="0"/>
        </w:rPr>
        <w:t xml:space="preserve"> that may be incurred due to appointments for administration</w:t>
      </w:r>
      <w:r w:rsidR="00597786" w:rsidRPr="00460143">
        <w:rPr>
          <w:rFonts w:asciiTheme="minorHAnsi" w:hAnsiTheme="minorHAnsi" w:cs="Arial"/>
          <w:bCs/>
          <w:snapToGrid w:val="0"/>
        </w:rPr>
        <w:t>.</w:t>
      </w:r>
      <w:r w:rsidR="00DB4092" w:rsidRPr="00460143">
        <w:rPr>
          <w:rFonts w:asciiTheme="minorHAnsi" w:hAnsiTheme="minorHAnsi" w:cs="Arial"/>
          <w:bCs/>
          <w:snapToGrid w:val="0"/>
        </w:rPr>
        <w:t xml:space="preserve"> </w:t>
      </w:r>
    </w:p>
    <w:p w14:paraId="1BD10CA0" w14:textId="0348A0C4" w:rsidR="00717F47" w:rsidRPr="00460143" w:rsidRDefault="00F65444" w:rsidP="000F1CC2">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Health professional input described the comparable pharmacokinetics and clinical efficacy of ocrelizumab IV and ocrelizumab S</w:t>
      </w:r>
      <w:r w:rsidR="00C4432B">
        <w:rPr>
          <w:rFonts w:asciiTheme="minorHAnsi" w:hAnsiTheme="minorHAnsi" w:cs="Arial"/>
          <w:bCs/>
          <w:snapToGrid w:val="0"/>
        </w:rPr>
        <w:t>C, and potential benefits of ocrelizumab SC</w:t>
      </w:r>
      <w:r w:rsidR="00D15755">
        <w:rPr>
          <w:rFonts w:asciiTheme="minorHAnsi" w:hAnsiTheme="minorHAnsi" w:cs="Arial"/>
          <w:bCs/>
          <w:snapToGrid w:val="0"/>
        </w:rPr>
        <w:t>,</w:t>
      </w:r>
      <w:r w:rsidR="00C4432B">
        <w:rPr>
          <w:rFonts w:asciiTheme="minorHAnsi" w:hAnsiTheme="minorHAnsi" w:cs="Arial"/>
          <w:bCs/>
          <w:snapToGrid w:val="0"/>
        </w:rPr>
        <w:t xml:space="preserve"> including </w:t>
      </w:r>
      <w:r w:rsidR="00E97BD4">
        <w:rPr>
          <w:rFonts w:asciiTheme="minorHAnsi" w:hAnsiTheme="minorHAnsi" w:cs="Arial"/>
          <w:bCs/>
          <w:snapToGrid w:val="0"/>
        </w:rPr>
        <w:t>greater convenience for patients</w:t>
      </w:r>
      <w:r w:rsidR="00696B12">
        <w:rPr>
          <w:rFonts w:asciiTheme="minorHAnsi" w:hAnsiTheme="minorHAnsi" w:cs="Arial"/>
          <w:bCs/>
          <w:snapToGrid w:val="0"/>
        </w:rPr>
        <w:t xml:space="preserve">, </w:t>
      </w:r>
      <w:r w:rsidR="00A10D64">
        <w:rPr>
          <w:rFonts w:asciiTheme="minorHAnsi" w:hAnsiTheme="minorHAnsi" w:cs="Arial"/>
          <w:bCs/>
          <w:snapToGrid w:val="0"/>
        </w:rPr>
        <w:t>the potential to facilitate better access for individuals who currently face barriers to accessing ocrelizumab IV (</w:t>
      </w:r>
      <w:r w:rsidR="00696B12">
        <w:rPr>
          <w:rFonts w:asciiTheme="minorHAnsi" w:hAnsiTheme="minorHAnsi" w:cs="Arial"/>
          <w:bCs/>
          <w:snapToGrid w:val="0"/>
        </w:rPr>
        <w:t xml:space="preserve">i.e. geographic, logistical and medical constraints), and </w:t>
      </w:r>
      <w:r w:rsidR="00A75AE8">
        <w:rPr>
          <w:rFonts w:asciiTheme="minorHAnsi" w:hAnsiTheme="minorHAnsi" w:cs="Arial"/>
          <w:bCs/>
          <w:snapToGrid w:val="0"/>
        </w:rPr>
        <w:t>the potential for improved treatment adherence and patient outcomes</w:t>
      </w:r>
      <w:r w:rsidR="003143E8">
        <w:rPr>
          <w:rFonts w:asciiTheme="minorHAnsi" w:hAnsiTheme="minorHAnsi" w:cs="Arial"/>
          <w:bCs/>
          <w:snapToGrid w:val="0"/>
        </w:rPr>
        <w:t xml:space="preserve"> due to increased accessibility</w:t>
      </w:r>
      <w:r w:rsidR="00A75AE8">
        <w:rPr>
          <w:rFonts w:asciiTheme="minorHAnsi" w:hAnsiTheme="minorHAnsi" w:cs="Arial"/>
          <w:bCs/>
          <w:snapToGrid w:val="0"/>
        </w:rPr>
        <w:t>.</w:t>
      </w:r>
    </w:p>
    <w:p w14:paraId="6762F411" w14:textId="6C8E729E" w:rsidR="001D5FE7" w:rsidRDefault="00B57AB6" w:rsidP="000F1CC2">
      <w:pPr>
        <w:widowControl w:val="0"/>
        <w:numPr>
          <w:ilvl w:val="1"/>
          <w:numId w:val="2"/>
        </w:numPr>
        <w:spacing w:after="120"/>
        <w:rPr>
          <w:rFonts w:asciiTheme="minorHAnsi" w:hAnsiTheme="minorHAnsi" w:cs="Arial"/>
          <w:bCs/>
          <w:snapToGrid w:val="0"/>
        </w:rPr>
      </w:pPr>
      <w:r w:rsidRPr="00460143">
        <w:rPr>
          <w:rFonts w:asciiTheme="minorHAnsi" w:hAnsiTheme="minorHAnsi" w:cs="Arial"/>
          <w:bCs/>
          <w:snapToGrid w:val="0"/>
        </w:rPr>
        <w:t>The PBAC noted input received from</w:t>
      </w:r>
      <w:r w:rsidR="00010E3C" w:rsidRPr="00460143">
        <w:rPr>
          <w:rFonts w:asciiTheme="minorHAnsi" w:hAnsiTheme="minorHAnsi" w:cs="Arial"/>
          <w:bCs/>
          <w:snapToGrid w:val="0"/>
        </w:rPr>
        <w:t xml:space="preserve"> MS Australia</w:t>
      </w:r>
      <w:r w:rsidR="006A771F">
        <w:rPr>
          <w:rFonts w:asciiTheme="minorHAnsi" w:hAnsiTheme="minorHAnsi" w:cs="Arial"/>
          <w:bCs/>
          <w:snapToGrid w:val="0"/>
        </w:rPr>
        <w:t xml:space="preserve"> </w:t>
      </w:r>
      <w:r w:rsidR="00B626D9">
        <w:rPr>
          <w:rFonts w:asciiTheme="minorHAnsi" w:hAnsiTheme="minorHAnsi" w:cs="Arial"/>
          <w:bCs/>
          <w:snapToGrid w:val="0"/>
        </w:rPr>
        <w:t xml:space="preserve">highlighting that </w:t>
      </w:r>
      <w:r w:rsidR="009C773E">
        <w:rPr>
          <w:rFonts w:asciiTheme="minorHAnsi" w:hAnsiTheme="minorHAnsi" w:cs="Arial"/>
          <w:bCs/>
          <w:snapToGrid w:val="0"/>
        </w:rPr>
        <w:t>due to the varied nature of multiple sclerosis</w:t>
      </w:r>
      <w:r w:rsidR="00492EA0">
        <w:rPr>
          <w:rFonts w:asciiTheme="minorHAnsi" w:hAnsiTheme="minorHAnsi" w:cs="Arial"/>
          <w:bCs/>
          <w:snapToGrid w:val="0"/>
        </w:rPr>
        <w:t xml:space="preserve">, </w:t>
      </w:r>
      <w:r w:rsidR="00A35BD4">
        <w:rPr>
          <w:rFonts w:asciiTheme="minorHAnsi" w:hAnsiTheme="minorHAnsi" w:cs="Arial"/>
          <w:bCs/>
          <w:snapToGrid w:val="0"/>
        </w:rPr>
        <w:t xml:space="preserve">no single medication is suitable for every patient, and including ocrelizumab SC on the PBS </w:t>
      </w:r>
      <w:r w:rsidR="00DD6C65">
        <w:rPr>
          <w:rFonts w:asciiTheme="minorHAnsi" w:hAnsiTheme="minorHAnsi" w:cs="Arial"/>
          <w:bCs/>
          <w:snapToGrid w:val="0"/>
        </w:rPr>
        <w:t>will provide an additional treatment option</w:t>
      </w:r>
      <w:r w:rsidR="00760DF3">
        <w:rPr>
          <w:rFonts w:asciiTheme="minorHAnsi" w:hAnsiTheme="minorHAnsi" w:cs="Arial"/>
          <w:bCs/>
          <w:snapToGrid w:val="0"/>
        </w:rPr>
        <w:t xml:space="preserve"> for </w:t>
      </w:r>
      <w:r w:rsidR="00D10CE4">
        <w:rPr>
          <w:rFonts w:asciiTheme="minorHAnsi" w:hAnsiTheme="minorHAnsi" w:cs="Arial"/>
          <w:bCs/>
          <w:snapToGrid w:val="0"/>
        </w:rPr>
        <w:t>individuals</w:t>
      </w:r>
      <w:r w:rsidR="00907987">
        <w:rPr>
          <w:rFonts w:asciiTheme="minorHAnsi" w:hAnsiTheme="minorHAnsi" w:cs="Arial"/>
          <w:bCs/>
          <w:snapToGrid w:val="0"/>
        </w:rPr>
        <w:t>, and help to alleviate economic costs to individuals, their families and the broader community.</w:t>
      </w:r>
    </w:p>
    <w:p w14:paraId="4315CD61" w14:textId="24DDC517" w:rsidR="000F1CC2" w:rsidRPr="00460143" w:rsidRDefault="001D5FE7" w:rsidP="000F1CC2">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 xml:space="preserve">Input from the </w:t>
      </w:r>
      <w:r w:rsidR="00010E3C" w:rsidRPr="00460143">
        <w:rPr>
          <w:rFonts w:asciiTheme="minorHAnsi" w:hAnsiTheme="minorHAnsi" w:cs="Arial"/>
          <w:bCs/>
          <w:snapToGrid w:val="0"/>
        </w:rPr>
        <w:t xml:space="preserve">MS </w:t>
      </w:r>
      <w:r>
        <w:rPr>
          <w:rFonts w:asciiTheme="minorHAnsi" w:hAnsiTheme="minorHAnsi" w:cs="Arial"/>
          <w:bCs/>
          <w:snapToGrid w:val="0"/>
        </w:rPr>
        <w:t>&amp;</w:t>
      </w:r>
      <w:r w:rsidR="00010E3C" w:rsidRPr="00460143">
        <w:rPr>
          <w:rFonts w:asciiTheme="minorHAnsi" w:hAnsiTheme="minorHAnsi" w:cs="Arial"/>
          <w:bCs/>
          <w:snapToGrid w:val="0"/>
        </w:rPr>
        <w:t xml:space="preserve"> Neuroimmunology Group of the Australian </w:t>
      </w:r>
      <w:r>
        <w:rPr>
          <w:rFonts w:asciiTheme="minorHAnsi" w:hAnsiTheme="minorHAnsi" w:cs="Arial"/>
          <w:bCs/>
          <w:snapToGrid w:val="0"/>
        </w:rPr>
        <w:t>&amp;</w:t>
      </w:r>
      <w:r w:rsidR="00010E3C" w:rsidRPr="00460143">
        <w:rPr>
          <w:rFonts w:asciiTheme="minorHAnsi" w:hAnsiTheme="minorHAnsi" w:cs="Arial"/>
          <w:bCs/>
          <w:snapToGrid w:val="0"/>
        </w:rPr>
        <w:t xml:space="preserve"> New Zealand </w:t>
      </w:r>
      <w:r w:rsidR="00010E3C" w:rsidRPr="00460143">
        <w:rPr>
          <w:rFonts w:asciiTheme="minorHAnsi" w:hAnsiTheme="minorHAnsi" w:cs="Arial"/>
          <w:bCs/>
          <w:snapToGrid w:val="0"/>
        </w:rPr>
        <w:lastRenderedPageBreak/>
        <w:t>Association of Neurologists</w:t>
      </w:r>
      <w:r w:rsidR="00924FD9" w:rsidRPr="00460143">
        <w:rPr>
          <w:rFonts w:asciiTheme="minorHAnsi" w:hAnsiTheme="minorHAnsi" w:cs="Arial"/>
          <w:bCs/>
          <w:snapToGrid w:val="0"/>
        </w:rPr>
        <w:t xml:space="preserve"> </w:t>
      </w:r>
      <w:r w:rsidR="0089427D">
        <w:rPr>
          <w:rFonts w:asciiTheme="minorHAnsi" w:hAnsiTheme="minorHAnsi" w:cs="Arial"/>
          <w:bCs/>
          <w:snapToGrid w:val="0"/>
        </w:rPr>
        <w:t xml:space="preserve">highlighted that </w:t>
      </w:r>
      <w:r w:rsidR="00373CAA">
        <w:rPr>
          <w:rFonts w:asciiTheme="minorHAnsi" w:hAnsiTheme="minorHAnsi" w:cs="Arial"/>
          <w:bCs/>
          <w:snapToGrid w:val="0"/>
        </w:rPr>
        <w:t xml:space="preserve">having ocrelizumab SC on the PBS would reduce the burden on infusion centres where waiting lists to receive infusions can impact negatively on patient care. </w:t>
      </w:r>
      <w:r w:rsidR="000E0E33" w:rsidRPr="00460143">
        <w:rPr>
          <w:rFonts w:cstheme="minorHAnsi"/>
        </w:rPr>
        <w:t xml:space="preserve"> </w:t>
      </w:r>
      <w:r w:rsidR="000E6618" w:rsidRPr="00460143">
        <w:rPr>
          <w:rFonts w:cstheme="minorHAnsi"/>
        </w:rPr>
        <w:t xml:space="preserve"> </w:t>
      </w:r>
    </w:p>
    <w:bookmarkEnd w:id="1"/>
    <w:bookmarkEnd w:id="2"/>
    <w:p w14:paraId="3F679FE9" w14:textId="46B26C5A" w:rsidR="00C27C1C" w:rsidRPr="00460143" w:rsidRDefault="00C27C1C" w:rsidP="00C27C1C">
      <w:pPr>
        <w:pStyle w:val="4-SubsectionHeading"/>
        <w:keepNext w:val="0"/>
        <w:rPr>
          <w:lang w:eastAsia="en-US"/>
        </w:rPr>
      </w:pPr>
      <w:r w:rsidRPr="00460143">
        <w:rPr>
          <w:lang w:eastAsia="en-US"/>
        </w:rPr>
        <w:t xml:space="preserve">Clinical trials </w:t>
      </w:r>
    </w:p>
    <w:p w14:paraId="51911E6C" w14:textId="2B9BD105" w:rsidR="00BB5621" w:rsidRPr="00460143" w:rsidRDefault="00C27C1C" w:rsidP="00B30846">
      <w:pPr>
        <w:pStyle w:val="3-BodyText"/>
      </w:pPr>
      <w:bookmarkStart w:id="3" w:name="_Hlk86163265"/>
      <w:r w:rsidRPr="00460143">
        <w:t xml:space="preserve">The submission </w:t>
      </w:r>
      <w:r w:rsidR="00DB35A7" w:rsidRPr="00460143">
        <w:t xml:space="preserve">cited </w:t>
      </w:r>
      <w:r w:rsidR="00001991" w:rsidRPr="00460143">
        <w:t>the OCARINA II</w:t>
      </w:r>
      <w:r w:rsidR="00177697" w:rsidRPr="00460143">
        <w:t xml:space="preserve"> </w:t>
      </w:r>
      <w:r w:rsidR="002959E0" w:rsidRPr="00460143">
        <w:t xml:space="preserve">(CN42097) </w:t>
      </w:r>
      <w:r w:rsidR="00177697" w:rsidRPr="00460143">
        <w:t xml:space="preserve">study, a </w:t>
      </w:r>
      <w:r w:rsidR="006A309A" w:rsidRPr="00460143">
        <w:t xml:space="preserve">phase III, </w:t>
      </w:r>
      <w:r w:rsidR="00177697" w:rsidRPr="00460143">
        <w:t>non-inferiority, open-label,</w:t>
      </w:r>
      <w:r w:rsidR="00262339" w:rsidRPr="00460143">
        <w:t xml:space="preserve"> parallel-group,</w:t>
      </w:r>
      <w:r w:rsidR="00177697" w:rsidRPr="00460143">
        <w:t xml:space="preserve"> </w:t>
      </w:r>
      <w:r w:rsidR="005632E2" w:rsidRPr="00460143">
        <w:t>multicentre</w:t>
      </w:r>
      <w:r w:rsidR="00177697" w:rsidRPr="00460143">
        <w:t xml:space="preserve">, randomised study </w:t>
      </w:r>
      <w:r w:rsidR="004A44EF" w:rsidRPr="00460143">
        <w:t>which assessed the</w:t>
      </w:r>
      <w:r w:rsidR="00BF0D79" w:rsidRPr="00460143">
        <w:t xml:space="preserve"> pharmacokinetic</w:t>
      </w:r>
      <w:r w:rsidR="005632E2" w:rsidRPr="00460143">
        <w:t>s</w:t>
      </w:r>
      <w:r w:rsidR="004A44EF" w:rsidRPr="00460143">
        <w:t xml:space="preserve"> </w:t>
      </w:r>
      <w:r w:rsidR="00BF0D79" w:rsidRPr="00460143">
        <w:t>(</w:t>
      </w:r>
      <w:r w:rsidR="004A44EF" w:rsidRPr="00460143">
        <w:t>PK</w:t>
      </w:r>
      <w:r w:rsidR="00BF0D79" w:rsidRPr="00460143">
        <w:t>)</w:t>
      </w:r>
      <w:r w:rsidR="004A44EF" w:rsidRPr="00460143">
        <w:t xml:space="preserve">, </w:t>
      </w:r>
      <w:r w:rsidR="000F63C6" w:rsidRPr="00460143">
        <w:t xml:space="preserve">pharmacodynamics (PD), safety,  and radiological and clinical effects of SC administration of ocrelizumab compared </w:t>
      </w:r>
      <w:r w:rsidR="00392324" w:rsidRPr="00460143">
        <w:t>to</w:t>
      </w:r>
      <w:r w:rsidR="00BE5883" w:rsidRPr="00460143">
        <w:t xml:space="preserve"> ocrelizumab</w:t>
      </w:r>
      <w:r w:rsidR="00392324" w:rsidRPr="00460143">
        <w:t xml:space="preserve"> </w:t>
      </w:r>
      <w:r w:rsidR="000F63C6" w:rsidRPr="00460143">
        <w:t>IV infusion in patients with either RRMS or PPMS.</w:t>
      </w:r>
      <w:r w:rsidR="007756C1" w:rsidRPr="00460143">
        <w:t xml:space="preserve"> </w:t>
      </w:r>
    </w:p>
    <w:p w14:paraId="7CF12278" w14:textId="47561C31" w:rsidR="00B30846" w:rsidRPr="00460143" w:rsidRDefault="007756C1" w:rsidP="00B30846">
      <w:pPr>
        <w:pStyle w:val="3-BodyText"/>
      </w:pPr>
      <w:r w:rsidRPr="00460143">
        <w:t>The dose of ocrelizumab SC in C</w:t>
      </w:r>
      <w:r w:rsidR="009E280D" w:rsidRPr="00460143">
        <w:t>N42097 was based on the findings of</w:t>
      </w:r>
      <w:r w:rsidR="00FB789E" w:rsidRPr="00460143">
        <w:t xml:space="preserve"> the</w:t>
      </w:r>
      <w:r w:rsidR="009E280D" w:rsidRPr="00460143">
        <w:t xml:space="preserve"> </w:t>
      </w:r>
      <w:r w:rsidR="008E3863" w:rsidRPr="00460143">
        <w:t>CN41144 (OCARINA I) study</w:t>
      </w:r>
      <w:r w:rsidR="006000FC" w:rsidRPr="00460143">
        <w:t>, where the PK, safety, immunogenicity</w:t>
      </w:r>
      <w:r w:rsidR="00A55F2A" w:rsidRPr="00460143">
        <w:t xml:space="preserve"> and biomarker data supported ocrelizumab SC at a dose of 920 mg</w:t>
      </w:r>
      <w:r w:rsidR="006B7075" w:rsidRPr="00460143">
        <w:t xml:space="preserve"> to be evaluated in the Phase III OCARINA II trial</w:t>
      </w:r>
      <w:r w:rsidR="009A3E92" w:rsidRPr="00460143">
        <w:t xml:space="preserve"> (Newsome et al, 2024)</w:t>
      </w:r>
      <w:r w:rsidR="008E3863" w:rsidRPr="00460143">
        <w:t xml:space="preserve">. </w:t>
      </w:r>
    </w:p>
    <w:p w14:paraId="7F0CB047" w14:textId="3F850FC9" w:rsidR="00B30846" w:rsidRPr="00460143" w:rsidRDefault="00B30846" w:rsidP="00E948E3">
      <w:pPr>
        <w:rPr>
          <w:rStyle w:val="CommentReference"/>
          <w:rFonts w:ascii="Arial Narrow" w:hAnsi="Arial Narrow"/>
          <w:b/>
          <w:bCs/>
          <w:sz w:val="20"/>
          <w:szCs w:val="20"/>
        </w:rPr>
      </w:pPr>
      <w:bookmarkStart w:id="4" w:name="_Ref104803956"/>
      <w:r w:rsidRPr="00460143">
        <w:rPr>
          <w:rFonts w:ascii="Arial Narrow" w:hAnsi="Arial Narrow"/>
          <w:b/>
          <w:bCs/>
          <w:sz w:val="20"/>
          <w:szCs w:val="20"/>
        </w:rPr>
        <w:t xml:space="preserve">Table </w:t>
      </w:r>
      <w:bookmarkEnd w:id="4"/>
      <w:r w:rsidR="00B8244C" w:rsidRPr="00460143">
        <w:rPr>
          <w:rFonts w:ascii="Arial Narrow" w:hAnsi="Arial Narrow"/>
          <w:b/>
          <w:bCs/>
          <w:sz w:val="20"/>
          <w:szCs w:val="20"/>
        </w:rPr>
        <w:t>1</w:t>
      </w:r>
      <w:r w:rsidRPr="00460143">
        <w:rPr>
          <w:rFonts w:ascii="Arial Narrow" w:hAnsi="Arial Narrow"/>
          <w:b/>
          <w:bCs/>
          <w:sz w:val="20"/>
          <w:szCs w:val="20"/>
        </w:rPr>
        <w:t>:</w:t>
      </w:r>
      <w:r w:rsidRPr="00460143">
        <w:rPr>
          <w:rStyle w:val="CommentReference"/>
          <w:rFonts w:ascii="Arial Narrow" w:hAnsi="Arial Narrow"/>
          <w:b/>
          <w:bCs/>
          <w:sz w:val="20"/>
          <w:szCs w:val="20"/>
        </w:rPr>
        <w:t xml:space="preserve"> Trials/studies </w:t>
      </w:r>
      <w:r w:rsidR="0019392E" w:rsidRPr="00460143">
        <w:rPr>
          <w:rStyle w:val="CommentReference"/>
          <w:rFonts w:ascii="Arial Narrow" w:hAnsi="Arial Narrow"/>
          <w:b/>
          <w:bCs/>
          <w:sz w:val="20"/>
          <w:szCs w:val="20"/>
        </w:rPr>
        <w:t>a</w:t>
      </w:r>
      <w:r w:rsidRPr="00460143">
        <w:rPr>
          <w:rStyle w:val="CommentReference"/>
          <w:rFonts w:ascii="Arial Narrow" w:hAnsi="Arial Narrow"/>
          <w:b/>
          <w:bCs/>
          <w:sz w:val="20"/>
          <w:szCs w:val="20"/>
        </w:rPr>
        <w:t>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studies and associated reports presented in the submission"/>
      </w:tblPr>
      <w:tblGrid>
        <w:gridCol w:w="1434"/>
        <w:gridCol w:w="5054"/>
        <w:gridCol w:w="2528"/>
      </w:tblGrid>
      <w:tr w:rsidR="00B30846" w:rsidRPr="00460143" w14:paraId="30F459BB" w14:textId="77777777" w:rsidTr="00D52E79">
        <w:trPr>
          <w:cantSplit/>
          <w:tblHeader/>
        </w:trPr>
        <w:tc>
          <w:tcPr>
            <w:tcW w:w="795" w:type="pct"/>
            <w:vAlign w:val="center"/>
          </w:tcPr>
          <w:p w14:paraId="24D38550" w14:textId="77777777" w:rsidR="00B30846" w:rsidRPr="00460143" w:rsidRDefault="00B30846" w:rsidP="00A906FC">
            <w:pPr>
              <w:pStyle w:val="In-tableHeading"/>
              <w:jc w:val="center"/>
              <w:rPr>
                <w:lang w:val="en-AU"/>
              </w:rPr>
            </w:pPr>
            <w:r w:rsidRPr="00460143">
              <w:rPr>
                <w:lang w:val="en-AU"/>
              </w:rPr>
              <w:t>Trial ID</w:t>
            </w:r>
          </w:p>
        </w:tc>
        <w:tc>
          <w:tcPr>
            <w:tcW w:w="2803" w:type="pct"/>
            <w:tcBorders>
              <w:bottom w:val="single" w:sz="4" w:space="0" w:color="auto"/>
            </w:tcBorders>
            <w:vAlign w:val="center"/>
          </w:tcPr>
          <w:p w14:paraId="61AE08BB" w14:textId="77777777" w:rsidR="00B30846" w:rsidRPr="00460143" w:rsidRDefault="00B30846" w:rsidP="00A906FC">
            <w:pPr>
              <w:pStyle w:val="In-tableHeading"/>
              <w:rPr>
                <w:lang w:val="en-AU"/>
              </w:rPr>
            </w:pPr>
            <w:r w:rsidRPr="00460143">
              <w:rPr>
                <w:lang w:val="en-AU"/>
              </w:rPr>
              <w:t>Protocol title/ Publication title</w:t>
            </w:r>
          </w:p>
        </w:tc>
        <w:tc>
          <w:tcPr>
            <w:tcW w:w="1402" w:type="pct"/>
            <w:tcBorders>
              <w:bottom w:val="single" w:sz="4" w:space="0" w:color="auto"/>
            </w:tcBorders>
            <w:vAlign w:val="center"/>
          </w:tcPr>
          <w:p w14:paraId="6C91D063" w14:textId="77777777" w:rsidR="00B30846" w:rsidRPr="00460143" w:rsidRDefault="00B30846" w:rsidP="00A906FC">
            <w:pPr>
              <w:pStyle w:val="In-tableHeading"/>
              <w:rPr>
                <w:lang w:val="en-AU"/>
              </w:rPr>
            </w:pPr>
            <w:r w:rsidRPr="00460143">
              <w:rPr>
                <w:lang w:val="en-AU"/>
              </w:rPr>
              <w:t>Publication citation</w:t>
            </w:r>
          </w:p>
        </w:tc>
      </w:tr>
      <w:tr w:rsidR="00B30846" w:rsidRPr="00460143" w14:paraId="1B3193B7" w14:textId="77777777" w:rsidTr="00D52E79">
        <w:trPr>
          <w:cantSplit/>
        </w:trPr>
        <w:tc>
          <w:tcPr>
            <w:tcW w:w="795" w:type="pct"/>
            <w:vMerge w:val="restart"/>
            <w:vAlign w:val="center"/>
          </w:tcPr>
          <w:p w14:paraId="37DE612F" w14:textId="77777777" w:rsidR="00B30846" w:rsidRPr="00460143" w:rsidRDefault="007E765A" w:rsidP="00A906FC">
            <w:pPr>
              <w:pStyle w:val="TableText0"/>
              <w:jc w:val="center"/>
            </w:pPr>
            <w:r w:rsidRPr="00460143">
              <w:t>NCT</w:t>
            </w:r>
            <w:r w:rsidR="00C64A82" w:rsidRPr="00460143">
              <w:t>0397</w:t>
            </w:r>
            <w:r w:rsidR="00691AA7" w:rsidRPr="00460143">
              <w:t>2306</w:t>
            </w:r>
          </w:p>
          <w:p w14:paraId="4495B9A8" w14:textId="7DBCFE78" w:rsidR="008A6DF0" w:rsidRPr="00460143" w:rsidRDefault="008A6DF0" w:rsidP="00A906FC">
            <w:pPr>
              <w:pStyle w:val="TableText0"/>
              <w:jc w:val="center"/>
              <w:rPr>
                <w:szCs w:val="20"/>
              </w:rPr>
            </w:pPr>
            <w:r w:rsidRPr="00460143">
              <w:t>NC41144</w:t>
            </w:r>
          </w:p>
        </w:tc>
        <w:tc>
          <w:tcPr>
            <w:tcW w:w="2803" w:type="pct"/>
            <w:tcBorders>
              <w:bottom w:val="single" w:sz="4" w:space="0" w:color="auto"/>
            </w:tcBorders>
            <w:vAlign w:val="center"/>
          </w:tcPr>
          <w:p w14:paraId="3F003AAC" w14:textId="1E295F20" w:rsidR="00B30846" w:rsidRPr="00460143" w:rsidRDefault="00691AA7" w:rsidP="00A906FC">
            <w:pPr>
              <w:pStyle w:val="TableText0"/>
            </w:pPr>
            <w:r w:rsidRPr="00460143">
              <w:t>OCARINA I</w:t>
            </w:r>
          </w:p>
        </w:tc>
        <w:tc>
          <w:tcPr>
            <w:tcW w:w="1402" w:type="pct"/>
            <w:tcBorders>
              <w:bottom w:val="single" w:sz="4" w:space="0" w:color="auto"/>
            </w:tcBorders>
            <w:vAlign w:val="center"/>
          </w:tcPr>
          <w:p w14:paraId="06D7ADC2" w14:textId="3927902A" w:rsidR="00B30846" w:rsidRPr="00460143" w:rsidRDefault="00B30846" w:rsidP="00A906FC">
            <w:pPr>
              <w:pStyle w:val="TableText0"/>
              <w:rPr>
                <w:rFonts w:ascii="Times" w:hAnsi="Times"/>
              </w:rPr>
            </w:pPr>
          </w:p>
        </w:tc>
      </w:tr>
      <w:tr w:rsidR="00B30846" w:rsidRPr="00460143" w14:paraId="210D0E8E" w14:textId="77777777" w:rsidTr="00D52E79">
        <w:trPr>
          <w:cantSplit/>
        </w:trPr>
        <w:tc>
          <w:tcPr>
            <w:tcW w:w="795" w:type="pct"/>
            <w:vMerge/>
            <w:tcBorders>
              <w:bottom w:val="single" w:sz="4" w:space="0" w:color="auto"/>
            </w:tcBorders>
            <w:vAlign w:val="center"/>
          </w:tcPr>
          <w:p w14:paraId="57FC9BB6" w14:textId="77777777" w:rsidR="00B30846" w:rsidRPr="00460143" w:rsidRDefault="00B30846" w:rsidP="00A906FC">
            <w:pPr>
              <w:pStyle w:val="TableText0"/>
              <w:jc w:val="center"/>
            </w:pPr>
          </w:p>
        </w:tc>
        <w:tc>
          <w:tcPr>
            <w:tcW w:w="2803" w:type="pct"/>
            <w:tcBorders>
              <w:top w:val="single" w:sz="4" w:space="0" w:color="auto"/>
              <w:bottom w:val="single" w:sz="4" w:space="0" w:color="auto"/>
            </w:tcBorders>
            <w:vAlign w:val="center"/>
          </w:tcPr>
          <w:p w14:paraId="10EE72DB" w14:textId="6BECF074" w:rsidR="00B30846" w:rsidRPr="00460143" w:rsidRDefault="006123B9" w:rsidP="00991655">
            <w:pPr>
              <w:pStyle w:val="TableText0"/>
            </w:pPr>
            <w:r w:rsidRPr="00460143">
              <w:t xml:space="preserve">Newsome S.D., Goldstick L., </w:t>
            </w:r>
            <w:r w:rsidR="00991655" w:rsidRPr="00460143">
              <w:t>Robertson D.S., et al</w:t>
            </w:r>
            <w:r w:rsidR="00B30846" w:rsidRPr="00460143">
              <w:t xml:space="preserve">. </w:t>
            </w:r>
            <w:r w:rsidR="00991655" w:rsidRPr="00460143">
              <w:t>Subcutaneous ocrelizumab in multiple sclerosis: Results of</w:t>
            </w:r>
            <w:r w:rsidR="00F83760" w:rsidRPr="00460143">
              <w:t xml:space="preserve"> </w:t>
            </w:r>
            <w:r w:rsidR="00991655" w:rsidRPr="00460143">
              <w:t>the Phase 1b OCARINA I study</w:t>
            </w:r>
            <w:r w:rsidR="00B30846" w:rsidRPr="00460143">
              <w:t>.</w:t>
            </w:r>
          </w:p>
        </w:tc>
        <w:tc>
          <w:tcPr>
            <w:tcW w:w="1402" w:type="pct"/>
            <w:tcBorders>
              <w:top w:val="single" w:sz="4" w:space="0" w:color="auto"/>
              <w:bottom w:val="single" w:sz="4" w:space="0" w:color="auto"/>
            </w:tcBorders>
            <w:vAlign w:val="center"/>
          </w:tcPr>
          <w:p w14:paraId="26B8F7F4" w14:textId="330C67A5" w:rsidR="00B30846" w:rsidRPr="00460143" w:rsidRDefault="00991655" w:rsidP="00A906FC">
            <w:pPr>
              <w:pStyle w:val="TableText0"/>
            </w:pPr>
            <w:r w:rsidRPr="00236556">
              <w:rPr>
                <w:iCs/>
              </w:rPr>
              <w:t>Ann Clin Transl Neurol</w:t>
            </w:r>
            <w:r w:rsidRPr="00460143">
              <w:rPr>
                <w:i/>
              </w:rPr>
              <w:t xml:space="preserve"> </w:t>
            </w:r>
            <w:r w:rsidR="00941AF6" w:rsidRPr="00460143">
              <w:rPr>
                <w:iCs/>
              </w:rPr>
              <w:t>2024</w:t>
            </w:r>
            <w:r w:rsidR="00B30846" w:rsidRPr="00460143">
              <w:rPr>
                <w:iCs/>
              </w:rPr>
              <w:t>;</w:t>
            </w:r>
            <w:r w:rsidR="00B30846" w:rsidRPr="00460143">
              <w:t xml:space="preserve"> </w:t>
            </w:r>
            <w:r w:rsidR="00941AF6" w:rsidRPr="00460143">
              <w:t>11</w:t>
            </w:r>
            <w:r w:rsidR="00B30846" w:rsidRPr="00460143">
              <w:t>(</w:t>
            </w:r>
            <w:r w:rsidR="00941AF6" w:rsidRPr="00460143">
              <w:t>12</w:t>
            </w:r>
            <w:r w:rsidR="00B30846" w:rsidRPr="00460143">
              <w:t xml:space="preserve">): </w:t>
            </w:r>
            <w:r w:rsidR="00941AF6" w:rsidRPr="00460143">
              <w:t>3215-26.</w:t>
            </w:r>
          </w:p>
        </w:tc>
      </w:tr>
      <w:tr w:rsidR="00B30846" w:rsidRPr="00460143" w14:paraId="0E3A2ABE" w14:textId="77777777" w:rsidTr="00D52E79">
        <w:trPr>
          <w:cantSplit/>
        </w:trPr>
        <w:tc>
          <w:tcPr>
            <w:tcW w:w="795" w:type="pct"/>
            <w:vMerge w:val="restart"/>
            <w:vAlign w:val="center"/>
          </w:tcPr>
          <w:p w14:paraId="4E6E2ECC" w14:textId="77777777" w:rsidR="00B30846" w:rsidRPr="00460143" w:rsidRDefault="00691AA7" w:rsidP="00A906FC">
            <w:pPr>
              <w:pStyle w:val="TableText0"/>
              <w:jc w:val="center"/>
            </w:pPr>
            <w:r w:rsidRPr="00460143">
              <w:t>NCT</w:t>
            </w:r>
            <w:r w:rsidR="0077098B" w:rsidRPr="00460143">
              <w:t>05232825</w:t>
            </w:r>
          </w:p>
          <w:p w14:paraId="486C0294" w14:textId="2954A58E" w:rsidR="008A6DF0" w:rsidRPr="00460143" w:rsidRDefault="008A6DF0" w:rsidP="00A906FC">
            <w:pPr>
              <w:pStyle w:val="TableText0"/>
              <w:jc w:val="center"/>
              <w:rPr>
                <w:rFonts w:ascii="Times" w:hAnsi="Times"/>
              </w:rPr>
            </w:pPr>
            <w:r w:rsidRPr="00460143">
              <w:t>CN42097</w:t>
            </w:r>
          </w:p>
        </w:tc>
        <w:tc>
          <w:tcPr>
            <w:tcW w:w="2803" w:type="pct"/>
            <w:tcBorders>
              <w:bottom w:val="single" w:sz="4" w:space="0" w:color="auto"/>
            </w:tcBorders>
            <w:vAlign w:val="center"/>
          </w:tcPr>
          <w:p w14:paraId="72ABD1F0" w14:textId="6458887C" w:rsidR="00B30846" w:rsidRPr="00460143" w:rsidRDefault="004E5DDA" w:rsidP="00A906FC">
            <w:pPr>
              <w:pStyle w:val="TableText0"/>
              <w:rPr>
                <w:rFonts w:ascii="Times" w:hAnsi="Times"/>
              </w:rPr>
            </w:pPr>
            <w:r w:rsidRPr="00460143">
              <w:t>OCARINA II</w:t>
            </w:r>
          </w:p>
        </w:tc>
        <w:tc>
          <w:tcPr>
            <w:tcW w:w="1402" w:type="pct"/>
            <w:tcBorders>
              <w:bottom w:val="single" w:sz="4" w:space="0" w:color="auto"/>
            </w:tcBorders>
            <w:vAlign w:val="center"/>
          </w:tcPr>
          <w:p w14:paraId="44A1CCCA" w14:textId="033B333B" w:rsidR="00B30846" w:rsidRPr="00460143" w:rsidRDefault="000959C7" w:rsidP="00A906FC">
            <w:pPr>
              <w:pStyle w:val="TableText0"/>
            </w:pPr>
            <w:r w:rsidRPr="00460143">
              <w:t>2022</w:t>
            </w:r>
          </w:p>
        </w:tc>
      </w:tr>
      <w:tr w:rsidR="00B30846" w:rsidRPr="00460143" w14:paraId="5519820E" w14:textId="77777777" w:rsidTr="00D52E79">
        <w:trPr>
          <w:cantSplit/>
        </w:trPr>
        <w:tc>
          <w:tcPr>
            <w:tcW w:w="795" w:type="pct"/>
            <w:vMerge/>
            <w:vAlign w:val="center"/>
          </w:tcPr>
          <w:p w14:paraId="688667D4" w14:textId="77777777" w:rsidR="00B30846" w:rsidRPr="00460143" w:rsidRDefault="00B30846" w:rsidP="00A906FC">
            <w:pPr>
              <w:pStyle w:val="TableText0"/>
              <w:jc w:val="center"/>
            </w:pPr>
          </w:p>
        </w:tc>
        <w:tc>
          <w:tcPr>
            <w:tcW w:w="2803" w:type="pct"/>
            <w:tcBorders>
              <w:top w:val="single" w:sz="4" w:space="0" w:color="auto"/>
              <w:bottom w:val="single" w:sz="4" w:space="0" w:color="auto"/>
            </w:tcBorders>
            <w:vAlign w:val="center"/>
          </w:tcPr>
          <w:p w14:paraId="074A21B0" w14:textId="4676B0A4" w:rsidR="00B30846" w:rsidRPr="00460143" w:rsidRDefault="007F0E48" w:rsidP="00ED0116">
            <w:pPr>
              <w:pStyle w:val="TableText0"/>
            </w:pPr>
            <w:r w:rsidRPr="00460143">
              <w:t xml:space="preserve">Protocol: </w:t>
            </w:r>
            <w:r w:rsidR="00ED0116" w:rsidRPr="00460143">
              <w:t>A Phase III, non-inferiority, randomized, open-label, parallel group, multicenter study to investigate the pharmacokinetics, pharmacodynamics, safety and radiological and clinical effects of subcutaneous ocrelizumab versus intravenous ocrelizumab in patients with multiple sclerosis.</w:t>
            </w:r>
          </w:p>
        </w:tc>
        <w:tc>
          <w:tcPr>
            <w:tcW w:w="1402" w:type="pct"/>
            <w:tcBorders>
              <w:top w:val="single" w:sz="4" w:space="0" w:color="auto"/>
              <w:bottom w:val="single" w:sz="4" w:space="0" w:color="auto"/>
            </w:tcBorders>
            <w:vAlign w:val="center"/>
          </w:tcPr>
          <w:p w14:paraId="41FAFF1B" w14:textId="242F950E" w:rsidR="00B30846" w:rsidRPr="00460143" w:rsidRDefault="008A6DF0" w:rsidP="00A906FC">
            <w:pPr>
              <w:pStyle w:val="TableText0"/>
              <w:rPr>
                <w:i/>
              </w:rPr>
            </w:pPr>
            <w:r w:rsidRPr="00460143">
              <w:t>Feb 2022.</w:t>
            </w:r>
            <w:r w:rsidR="00B30846" w:rsidRPr="00460143">
              <w:t xml:space="preserve"> </w:t>
            </w:r>
          </w:p>
        </w:tc>
      </w:tr>
      <w:tr w:rsidR="00B30846" w:rsidRPr="00460143" w14:paraId="109D9FC1" w14:textId="77777777" w:rsidTr="00D52E79">
        <w:trPr>
          <w:cantSplit/>
        </w:trPr>
        <w:tc>
          <w:tcPr>
            <w:tcW w:w="795" w:type="pct"/>
            <w:vMerge/>
            <w:tcBorders>
              <w:bottom w:val="single" w:sz="4" w:space="0" w:color="auto"/>
            </w:tcBorders>
            <w:vAlign w:val="center"/>
          </w:tcPr>
          <w:p w14:paraId="4E9F255B" w14:textId="77777777" w:rsidR="00B30846" w:rsidRPr="00460143" w:rsidRDefault="00B30846" w:rsidP="00A906FC">
            <w:pPr>
              <w:pStyle w:val="TableText0"/>
              <w:jc w:val="center"/>
            </w:pPr>
          </w:p>
        </w:tc>
        <w:tc>
          <w:tcPr>
            <w:tcW w:w="2803" w:type="pct"/>
            <w:tcBorders>
              <w:top w:val="single" w:sz="4" w:space="0" w:color="auto"/>
              <w:bottom w:val="single" w:sz="4" w:space="0" w:color="auto"/>
            </w:tcBorders>
            <w:vAlign w:val="center"/>
          </w:tcPr>
          <w:p w14:paraId="4A68FED5" w14:textId="482CEB9B" w:rsidR="00B30846" w:rsidRPr="00460143" w:rsidRDefault="002B4BB3" w:rsidP="00A906FC">
            <w:pPr>
              <w:pStyle w:val="TableText0"/>
            </w:pPr>
            <w:r w:rsidRPr="00460143">
              <w:t xml:space="preserve">Primary </w:t>
            </w:r>
            <w:r w:rsidR="00DD7581" w:rsidRPr="00460143">
              <w:t>CSR – Study CN42097GO39869 (OCARINA II)</w:t>
            </w:r>
          </w:p>
        </w:tc>
        <w:tc>
          <w:tcPr>
            <w:tcW w:w="1402" w:type="pct"/>
            <w:tcBorders>
              <w:top w:val="single" w:sz="4" w:space="0" w:color="auto"/>
              <w:bottom w:val="single" w:sz="4" w:space="0" w:color="auto"/>
            </w:tcBorders>
            <w:vAlign w:val="center"/>
          </w:tcPr>
          <w:p w14:paraId="39050500" w14:textId="22640B3D" w:rsidR="00B30846" w:rsidRPr="00460143" w:rsidRDefault="00376510" w:rsidP="00A906FC">
            <w:pPr>
              <w:pStyle w:val="TableText0"/>
              <w:rPr>
                <w:rFonts w:ascii="Times" w:hAnsi="Times"/>
              </w:rPr>
            </w:pPr>
            <w:r w:rsidRPr="00460143">
              <w:rPr>
                <w:iCs/>
              </w:rPr>
              <w:t>Report No.: 1121154; Aug 2023</w:t>
            </w:r>
            <w:r w:rsidRPr="00460143">
              <w:t>.</w:t>
            </w:r>
          </w:p>
        </w:tc>
      </w:tr>
    </w:tbl>
    <w:bookmarkEnd w:id="3"/>
    <w:p w14:paraId="43429B06" w14:textId="75220E08" w:rsidR="00BB298A" w:rsidRPr="00460143" w:rsidRDefault="00BB298A" w:rsidP="0079250E">
      <w:pPr>
        <w:pStyle w:val="3-BodyText"/>
        <w:numPr>
          <w:ilvl w:val="1"/>
          <w:numId w:val="2"/>
        </w:numPr>
        <w:rPr>
          <w:iCs/>
        </w:rPr>
      </w:pPr>
      <w:r w:rsidRPr="00460143">
        <w:rPr>
          <w:iCs/>
          <w:lang w:eastAsia="en-US"/>
        </w:rPr>
        <w:t xml:space="preserve">As a Category </w:t>
      </w:r>
      <w:r w:rsidR="00256C2F" w:rsidRPr="00460143">
        <w:rPr>
          <w:iCs/>
          <w:lang w:eastAsia="en-US"/>
        </w:rPr>
        <w:t>4</w:t>
      </w:r>
      <w:r w:rsidRPr="00460143">
        <w:rPr>
          <w:iCs/>
          <w:lang w:eastAsia="en-US"/>
        </w:rPr>
        <w:t xml:space="preserve"> submission, no evaluation of the clinical evidence was undertaken</w:t>
      </w:r>
      <w:r w:rsidRPr="00460143">
        <w:rPr>
          <w:iCs/>
        </w:rPr>
        <w:t>.</w:t>
      </w:r>
    </w:p>
    <w:p w14:paraId="53EB9C44" w14:textId="77777777" w:rsidR="00774508" w:rsidRPr="00460143" w:rsidRDefault="00774508" w:rsidP="00774508">
      <w:pPr>
        <w:pStyle w:val="4-SubsectionHeading"/>
        <w:rPr>
          <w:lang w:eastAsia="en-US"/>
        </w:rPr>
      </w:pPr>
      <w:r w:rsidRPr="00460143">
        <w:rPr>
          <w:lang w:eastAsia="en-US"/>
        </w:rPr>
        <w:t>Comparative effectiveness</w:t>
      </w:r>
    </w:p>
    <w:p w14:paraId="75FE9392" w14:textId="5ED3236F" w:rsidR="004A56ED" w:rsidRPr="00460143" w:rsidRDefault="004A56ED" w:rsidP="004A56ED">
      <w:pPr>
        <w:pStyle w:val="3-BodyText"/>
      </w:pPr>
      <w:r w:rsidRPr="00460143">
        <w:t xml:space="preserve">The submission stated that the OCARINA II trial demonstrated that ocrelizumab SC has a non-inferior PK profile and comparable efficacy and safety to ocrelizumab IV in a patient population with multiple sclerosis (comprising of mostly patients with RRMS). The submission stated that </w:t>
      </w:r>
      <w:r w:rsidR="00B9088B" w:rsidRPr="00460143">
        <w:t xml:space="preserve">OCARINA II </w:t>
      </w:r>
      <w:r w:rsidR="00A57970" w:rsidRPr="00460143">
        <w:t>trial participants</w:t>
      </w:r>
      <w:r w:rsidR="00E73516" w:rsidRPr="00460143">
        <w:t xml:space="preserve"> </w:t>
      </w:r>
      <w:r w:rsidRPr="00460143">
        <w:t>reported higher satisfaction and convenience with the SC form compared to the IV form.</w:t>
      </w:r>
    </w:p>
    <w:p w14:paraId="78B50C6A" w14:textId="34DD8D01" w:rsidR="006A5431" w:rsidRPr="00460143" w:rsidRDefault="00545A15" w:rsidP="004A56ED">
      <w:pPr>
        <w:pStyle w:val="3-BodyText"/>
      </w:pPr>
      <w:r w:rsidRPr="00460143">
        <w:t xml:space="preserve">The TGA Clinical Evaluation Report stated that </w:t>
      </w:r>
      <w:r w:rsidR="000C61F4" w:rsidRPr="00460143">
        <w:t>over the treatment phase and safety follow-up</w:t>
      </w:r>
      <w:r w:rsidR="005E558C" w:rsidRPr="00460143">
        <w:t xml:space="preserve">, no major differences in number of new or enlarging T2 lesions (from the previous </w:t>
      </w:r>
      <w:r w:rsidR="00A7567A" w:rsidRPr="00460143">
        <w:t>scheduled available visit) and lesion rates were observed between the two arms at weeks 12 and 24.</w:t>
      </w:r>
      <w:r w:rsidR="00E44959" w:rsidRPr="00460143">
        <w:t xml:space="preserve"> The numbers of new or enlarging T2 lesions and lesion rates were low in </w:t>
      </w:r>
      <w:r w:rsidR="00ED42E6" w:rsidRPr="00460143">
        <w:t xml:space="preserve">both arms and populations. The evaluator concluded that the numbers of MRI lesions and lesion rates were too low </w:t>
      </w:r>
      <w:r w:rsidR="000A25DE" w:rsidRPr="00460143">
        <w:t>in both arms and populations for realistic comparison.</w:t>
      </w:r>
    </w:p>
    <w:p w14:paraId="7C3190EA" w14:textId="2092CBD1" w:rsidR="00BF63EA" w:rsidRPr="00460143" w:rsidRDefault="00BF63EA" w:rsidP="004A56ED">
      <w:pPr>
        <w:pStyle w:val="3-BodyText"/>
      </w:pPr>
      <w:r w:rsidRPr="00460143">
        <w:t xml:space="preserve">The </w:t>
      </w:r>
      <w:r w:rsidR="00435C2F" w:rsidRPr="00460143">
        <w:t xml:space="preserve">TGA </w:t>
      </w:r>
      <w:r w:rsidRPr="00460143">
        <w:t xml:space="preserve">evaluator commented that both routes of administration were parenteral, </w:t>
      </w:r>
      <w:r w:rsidR="006139BB" w:rsidRPr="00460143">
        <w:t>bioavailability was estimated at 81.4%, the C</w:t>
      </w:r>
      <w:r w:rsidR="006139BB" w:rsidRPr="00460143">
        <w:rPr>
          <w:vertAlign w:val="subscript"/>
        </w:rPr>
        <w:t xml:space="preserve">max </w:t>
      </w:r>
      <w:r w:rsidR="006139BB" w:rsidRPr="00460143">
        <w:t xml:space="preserve">for ocrelizumab SC 920 mg and </w:t>
      </w:r>
      <w:r w:rsidR="004012A9" w:rsidRPr="00460143">
        <w:lastRenderedPageBreak/>
        <w:t xml:space="preserve">ocrelizumab IV 600 mg were similar, and the AUC at 12 and 24 weeks was greater for ocrelizumab SC </w:t>
      </w:r>
      <w:r w:rsidR="000014FB" w:rsidRPr="00460143">
        <w:t>versus ocrelizumab IV.</w:t>
      </w:r>
    </w:p>
    <w:p w14:paraId="276F307C" w14:textId="77777777" w:rsidR="00774508" w:rsidRPr="00460143" w:rsidRDefault="00774508" w:rsidP="00774508">
      <w:pPr>
        <w:pStyle w:val="4-SubsectionHeading"/>
        <w:rPr>
          <w:lang w:eastAsia="en-US"/>
        </w:rPr>
      </w:pPr>
      <w:r w:rsidRPr="00460143">
        <w:rPr>
          <w:lang w:eastAsia="en-US"/>
        </w:rPr>
        <w:t>Comparative harms</w:t>
      </w:r>
    </w:p>
    <w:p w14:paraId="0CD8622D" w14:textId="30F0CB48" w:rsidR="00635CC9" w:rsidRPr="00460143" w:rsidRDefault="00254699" w:rsidP="00E948E3">
      <w:pPr>
        <w:pStyle w:val="3-BodyText"/>
        <w:rPr>
          <w:lang w:eastAsia="en-US"/>
        </w:rPr>
      </w:pPr>
      <w:r w:rsidRPr="00460143">
        <w:rPr>
          <w:lang w:eastAsia="en-US"/>
        </w:rPr>
        <w:t>In t</w:t>
      </w:r>
      <w:r w:rsidR="00635CC9" w:rsidRPr="00460143">
        <w:rPr>
          <w:lang w:eastAsia="en-US"/>
        </w:rPr>
        <w:t>he TGA Clinical Evaluation Report</w:t>
      </w:r>
      <w:r w:rsidRPr="00460143">
        <w:rPr>
          <w:lang w:eastAsia="en-US"/>
        </w:rPr>
        <w:t>, the evaluator</w:t>
      </w:r>
      <w:r w:rsidR="0072486C" w:rsidRPr="00460143">
        <w:rPr>
          <w:lang w:eastAsia="en-US"/>
        </w:rPr>
        <w:t xml:space="preserve">’s conclusions on clinical safety noted that in </w:t>
      </w:r>
      <w:r w:rsidR="002D065B" w:rsidRPr="00460143">
        <w:rPr>
          <w:lang w:eastAsia="en-US"/>
        </w:rPr>
        <w:t>the controlled period of CN42097, 52.5% of patients receiving ocrelizumab SC</w:t>
      </w:r>
      <w:r w:rsidR="00115B9A" w:rsidRPr="00460143">
        <w:rPr>
          <w:lang w:eastAsia="en-US"/>
        </w:rPr>
        <w:t xml:space="preserve"> experienced treatment-related adverse effects compared to 24.6% in the ocrelizumab IV arm. </w:t>
      </w:r>
      <w:r w:rsidR="00322962" w:rsidRPr="00460143">
        <w:rPr>
          <w:lang w:eastAsia="en-US"/>
        </w:rPr>
        <w:t xml:space="preserve">The most frequent were injection related reactions (46.6% in the ocrelizumab SC arm) and </w:t>
      </w:r>
      <w:r w:rsidR="00861B35" w:rsidRPr="00460143">
        <w:rPr>
          <w:lang w:eastAsia="en-US"/>
        </w:rPr>
        <w:t xml:space="preserve">infusion related reactions (16.9% in the ocrelizumab IV arm). </w:t>
      </w:r>
    </w:p>
    <w:p w14:paraId="2CDF3682" w14:textId="755FF313" w:rsidR="00C27C1C" w:rsidRPr="00460143" w:rsidRDefault="00C27C1C" w:rsidP="00C27C1C">
      <w:pPr>
        <w:pStyle w:val="4-SubsectionHeading"/>
        <w:rPr>
          <w:lang w:eastAsia="en-US"/>
        </w:rPr>
      </w:pPr>
      <w:r w:rsidRPr="00460143">
        <w:rPr>
          <w:lang w:eastAsia="en-US"/>
        </w:rPr>
        <w:t>Clinical claim</w:t>
      </w:r>
    </w:p>
    <w:p w14:paraId="0436CFE0" w14:textId="4F923607" w:rsidR="00C27C1C" w:rsidRPr="00460143" w:rsidRDefault="00C27C1C" w:rsidP="00A906FC">
      <w:pPr>
        <w:pStyle w:val="3-BodyText"/>
      </w:pPr>
      <w:r w:rsidRPr="00460143">
        <w:t xml:space="preserve">The submission claimed non-inferior comparative effectiveness and non-inferior comparative safety of </w:t>
      </w:r>
      <w:r w:rsidR="008D708C" w:rsidRPr="00460143">
        <w:t>ocrelizumab SC</w:t>
      </w:r>
      <w:r w:rsidR="007F1450" w:rsidRPr="00460143">
        <w:t xml:space="preserve"> 920 mg administered every 6 months</w:t>
      </w:r>
      <w:r w:rsidR="008D708C" w:rsidRPr="00460143">
        <w:t xml:space="preserve"> </w:t>
      </w:r>
      <w:r w:rsidRPr="00460143">
        <w:t>compared with</w:t>
      </w:r>
      <w:r w:rsidR="008D708C" w:rsidRPr="00460143">
        <w:t xml:space="preserve"> ocrelizumab IV</w:t>
      </w:r>
      <w:r w:rsidR="007F1450" w:rsidRPr="00460143">
        <w:t xml:space="preserve"> 600 mg</w:t>
      </w:r>
      <w:r w:rsidR="004542A4" w:rsidRPr="00460143">
        <w:t xml:space="preserve"> (2 x 300 mg)</w:t>
      </w:r>
      <w:r w:rsidR="007F1450" w:rsidRPr="00460143">
        <w:t xml:space="preserve"> administered every 6 months for RRMS</w:t>
      </w:r>
      <w:r w:rsidRPr="00460143">
        <w:t xml:space="preserve">. </w:t>
      </w:r>
    </w:p>
    <w:p w14:paraId="3E484F39" w14:textId="1DB56760" w:rsidR="002E5277" w:rsidRPr="00460143" w:rsidRDefault="006010A8" w:rsidP="00A906FC">
      <w:pPr>
        <w:pStyle w:val="3-BodyText"/>
      </w:pPr>
      <w:r w:rsidRPr="00460143">
        <w:t>The submission</w:t>
      </w:r>
      <w:r w:rsidR="0085147E" w:rsidRPr="00460143">
        <w:t xml:space="preserve"> cited the OCARINA II </w:t>
      </w:r>
      <w:r w:rsidR="00D26987" w:rsidRPr="00460143">
        <w:t>study</w:t>
      </w:r>
      <w:r w:rsidR="0085147E" w:rsidRPr="00460143">
        <w:t xml:space="preserve"> to support the claim that ocrelizumab SC 920 mg administered every 6 months is equally effective</w:t>
      </w:r>
      <w:r w:rsidR="00B80B5E" w:rsidRPr="00460143">
        <w:t xml:space="preserve"> and safe as</w:t>
      </w:r>
      <w:r w:rsidR="0085147E" w:rsidRPr="00460143">
        <w:t xml:space="preserve"> ocrelizumab IV 600 mg administered every 6 months</w:t>
      </w:r>
      <w:r w:rsidR="00B80B5E" w:rsidRPr="00460143">
        <w:t xml:space="preserve"> for patients with RRMS</w:t>
      </w:r>
      <w:r w:rsidR="0085147E" w:rsidRPr="00460143">
        <w:t>.</w:t>
      </w:r>
    </w:p>
    <w:p w14:paraId="77665F28" w14:textId="4F6F93AF" w:rsidR="006224B1" w:rsidRPr="00460143" w:rsidRDefault="006224B1" w:rsidP="006224B1">
      <w:pPr>
        <w:pStyle w:val="3-BodyText"/>
      </w:pPr>
      <w:r w:rsidRPr="00460143">
        <w:t>The TGA Delegate’s Overview stated ‘Efficacy, PK and PD data from the pivotal Phase</w:t>
      </w:r>
      <w:r w:rsidR="002C5849" w:rsidRPr="00460143">
        <w:t> </w:t>
      </w:r>
      <w:r w:rsidRPr="00460143">
        <w:t>III Study CN42097 (OCARINA II); and the safety from Pivotal Phase III Study CN42097 (OCARINA II) and the Study CN41144 establish the bioequivalence between intravenous and subcutaneous strengths of Ocrevus. No new safety concerns were reported’.</w:t>
      </w:r>
    </w:p>
    <w:p w14:paraId="0F2A342D" w14:textId="6CCCBE77" w:rsidR="00406195" w:rsidRPr="00460143" w:rsidRDefault="00406195" w:rsidP="001D7F5A">
      <w:pPr>
        <w:pStyle w:val="3-BodyText"/>
        <w:rPr>
          <w:snapToGrid w:val="0"/>
        </w:rPr>
      </w:pPr>
      <w:bookmarkStart w:id="5" w:name="_Hlk76376200"/>
      <w:r w:rsidRPr="00460143">
        <w:rPr>
          <w:iCs/>
          <w:snapToGrid w:val="0"/>
        </w:rPr>
        <w:t>The</w:t>
      </w:r>
      <w:r w:rsidRPr="00460143">
        <w:rPr>
          <w:snapToGrid w:val="0"/>
        </w:rPr>
        <w:t xml:space="preserve"> PBAC considered that the claim of non-inferior comparative effectiveness </w:t>
      </w:r>
      <w:r w:rsidR="001D7F5A" w:rsidRPr="00460143">
        <w:rPr>
          <w:snapToGrid w:val="0"/>
        </w:rPr>
        <w:t xml:space="preserve">and safety </w:t>
      </w:r>
      <w:r w:rsidRPr="00460143">
        <w:rPr>
          <w:snapToGrid w:val="0"/>
        </w:rPr>
        <w:t>was reasonabl</w:t>
      </w:r>
      <w:r w:rsidR="001D7F5A" w:rsidRPr="00460143">
        <w:rPr>
          <w:snapToGrid w:val="0"/>
        </w:rPr>
        <w:t>e.</w:t>
      </w:r>
      <w:bookmarkEnd w:id="5"/>
    </w:p>
    <w:p w14:paraId="45D181E4" w14:textId="77777777" w:rsidR="00C27C1C" w:rsidRPr="00460143" w:rsidRDefault="00C27C1C" w:rsidP="00C27C1C">
      <w:pPr>
        <w:pStyle w:val="4-SubsectionHeading"/>
        <w:rPr>
          <w:lang w:eastAsia="en-US"/>
        </w:rPr>
      </w:pPr>
      <w:r w:rsidRPr="00460143">
        <w:rPr>
          <w:lang w:eastAsia="en-US"/>
        </w:rPr>
        <w:t xml:space="preserve">Economic analysis </w:t>
      </w:r>
    </w:p>
    <w:p w14:paraId="594FCBFC" w14:textId="76E065D3" w:rsidR="00C27C1C" w:rsidRPr="00460143" w:rsidRDefault="00C27C1C" w:rsidP="00A906FC">
      <w:pPr>
        <w:pStyle w:val="3-BodyText"/>
        <w:rPr>
          <w:rFonts w:cstheme="minorHAnsi"/>
          <w:iCs/>
          <w:szCs w:val="24"/>
        </w:rPr>
      </w:pPr>
      <w:r w:rsidRPr="00460143">
        <w:rPr>
          <w:iCs/>
        </w:rPr>
        <w:t>As a Category 4</w:t>
      </w:r>
      <w:r w:rsidR="006820F7" w:rsidRPr="00460143">
        <w:rPr>
          <w:iCs/>
        </w:rPr>
        <w:t xml:space="preserve"> </w:t>
      </w:r>
      <w:r w:rsidRPr="00460143">
        <w:rPr>
          <w:iCs/>
        </w:rPr>
        <w:t xml:space="preserve">submission, the economic analysis </w:t>
      </w:r>
      <w:r w:rsidR="00901AC6">
        <w:rPr>
          <w:iCs/>
        </w:rPr>
        <w:t>was</w:t>
      </w:r>
      <w:r w:rsidR="00901AC6" w:rsidRPr="00460143">
        <w:rPr>
          <w:iCs/>
        </w:rPr>
        <w:t xml:space="preserve"> </w:t>
      </w:r>
      <w:r w:rsidRPr="00460143">
        <w:rPr>
          <w:iCs/>
        </w:rPr>
        <w:t>not independently evaluated</w:t>
      </w:r>
      <w:r w:rsidR="003C5F76" w:rsidRPr="00460143">
        <w:rPr>
          <w:iCs/>
        </w:rPr>
        <w:t xml:space="preserve">. </w:t>
      </w:r>
      <w:r w:rsidR="006820F7" w:rsidRPr="00460143">
        <w:rPr>
          <w:iCs/>
        </w:rPr>
        <w:t xml:space="preserve"> </w:t>
      </w:r>
    </w:p>
    <w:p w14:paraId="1A7CAF7D" w14:textId="54CC487B" w:rsidR="00EF4580" w:rsidRPr="00460143" w:rsidRDefault="00C27C1C" w:rsidP="00153009">
      <w:pPr>
        <w:pStyle w:val="3-BodyText"/>
        <w:rPr>
          <w:rFonts w:cstheme="minorHAnsi"/>
          <w:szCs w:val="24"/>
        </w:rPr>
      </w:pPr>
      <w:r w:rsidRPr="00460143">
        <w:t>The submission presented a cost-minimisation a</w:t>
      </w:r>
      <w:r w:rsidR="00600A18" w:rsidRPr="00460143">
        <w:t>pproach</w:t>
      </w:r>
      <w:r w:rsidRPr="00460143">
        <w:t xml:space="preserve"> of </w:t>
      </w:r>
      <w:r w:rsidR="006820F7" w:rsidRPr="00460143">
        <w:t>ocrelizumab SC</w:t>
      </w:r>
      <w:r w:rsidRPr="00460143">
        <w:t xml:space="preserve"> compared with </w:t>
      </w:r>
      <w:r w:rsidR="006820F7" w:rsidRPr="00460143">
        <w:t>ocrelizumab IV</w:t>
      </w:r>
      <w:r w:rsidRPr="00460143">
        <w:t xml:space="preserve">. The equi-effective doses were estimated as </w:t>
      </w:r>
      <w:r w:rsidR="005A046D" w:rsidRPr="00460143">
        <w:t xml:space="preserve">a single dose of </w:t>
      </w:r>
      <w:r w:rsidR="002F1779" w:rsidRPr="00460143">
        <w:t>ocrelizumab SC 920</w:t>
      </w:r>
      <w:r w:rsidRPr="00460143">
        <w:t xml:space="preserve">mg </w:t>
      </w:r>
      <w:r w:rsidR="002F1779" w:rsidRPr="00460143">
        <w:t>in 2</w:t>
      </w:r>
      <w:r w:rsidR="006E7B90" w:rsidRPr="00460143">
        <w:t>3 mL</w:t>
      </w:r>
      <w:r w:rsidR="00167917" w:rsidRPr="00460143">
        <w:t>,</w:t>
      </w:r>
      <w:r w:rsidR="006E7B90" w:rsidRPr="00460143">
        <w:t xml:space="preserve"> </w:t>
      </w:r>
      <w:r w:rsidR="00167917" w:rsidRPr="00460143">
        <w:t>to</w:t>
      </w:r>
      <w:r w:rsidR="00D4378D" w:rsidRPr="00460143">
        <w:t xml:space="preserve"> </w:t>
      </w:r>
      <w:r w:rsidR="002E4473" w:rsidRPr="00460143">
        <w:t xml:space="preserve">ocrelizumab IV </w:t>
      </w:r>
      <w:r w:rsidR="00D4378D" w:rsidRPr="00460143">
        <w:t>300mg in 10mL</w:t>
      </w:r>
      <w:r w:rsidR="00276A9C" w:rsidRPr="00460143">
        <w:t xml:space="preserve">, </w:t>
      </w:r>
      <w:r w:rsidR="00B237DB" w:rsidRPr="00460143">
        <w:t>two vials</w:t>
      </w:r>
      <w:r w:rsidR="001A098D" w:rsidRPr="00460143">
        <w:t xml:space="preserve"> as a single infusion</w:t>
      </w:r>
      <w:r w:rsidR="00B237DB" w:rsidRPr="00460143">
        <w:t xml:space="preserve"> (600 mg), </w:t>
      </w:r>
      <w:r w:rsidR="00276A9C" w:rsidRPr="00460143">
        <w:t>administered</w:t>
      </w:r>
      <w:r w:rsidRPr="00460143">
        <w:t xml:space="preserve"> </w:t>
      </w:r>
      <w:r w:rsidR="00B003A9" w:rsidRPr="00460143">
        <w:t>every six months</w:t>
      </w:r>
      <w:r w:rsidR="009221CE" w:rsidRPr="00460143">
        <w:t>.</w:t>
      </w:r>
      <w:r w:rsidRPr="00460143">
        <w:rPr>
          <w:rFonts w:eastAsia="Times New Roman" w:cstheme="minorHAnsi"/>
          <w:snapToGrid w:val="0"/>
          <w:szCs w:val="24"/>
          <w:lang w:eastAsia="en-US"/>
        </w:rPr>
        <w:t xml:space="preserve"> </w:t>
      </w:r>
    </w:p>
    <w:p w14:paraId="581881F6" w14:textId="2C1EC67B" w:rsidR="0010259F" w:rsidRPr="00460143" w:rsidRDefault="0010259F" w:rsidP="0010259F">
      <w:pPr>
        <w:pStyle w:val="4-SubsectionHeading"/>
        <w:rPr>
          <w:lang w:eastAsia="en-US"/>
        </w:rPr>
      </w:pPr>
      <w:r w:rsidRPr="00460143">
        <w:rPr>
          <w:lang w:eastAsia="en-US"/>
        </w:rPr>
        <w:t>Drug cost/patient/year:</w:t>
      </w:r>
      <w:r w:rsidR="001A59F3" w:rsidRPr="00460143">
        <w:rPr>
          <w:color w:val="FF0000"/>
          <w:lang w:eastAsia="en-US"/>
        </w:rPr>
        <w:t xml:space="preserve"> </w:t>
      </w:r>
      <w:r w:rsidR="001A59F3" w:rsidRPr="00460143">
        <w:rPr>
          <w:lang w:eastAsia="en-US"/>
        </w:rPr>
        <w:t>$</w:t>
      </w:r>
      <w:r w:rsidR="006B4A94" w:rsidRPr="006B4A94">
        <w:rPr>
          <w:color w:val="000000"/>
          <w:spacing w:val="2"/>
          <w:w w:val="48"/>
          <w:kern w:val="0"/>
          <w:shd w:val="solid" w:color="000000" w:fill="000000"/>
          <w:fitText w:val="586" w:id="-632577536"/>
          <w:lang w:eastAsia="en-US"/>
          <w14:textFill>
            <w14:solidFill>
              <w14:srgbClr w14:val="000000">
                <w14:alpha w14:val="100000"/>
              </w14:srgbClr>
            </w14:solidFill>
          </w14:textFill>
        </w:rPr>
        <w:t>||||  ||||</w:t>
      </w:r>
      <w:r w:rsidR="007D2BD7" w:rsidRPr="00460143">
        <w:rPr>
          <w:lang w:eastAsia="en-US"/>
        </w:rPr>
        <w:t xml:space="preserve"> (S100 HSD Public), $</w:t>
      </w:r>
      <w:r w:rsidR="006B4A94" w:rsidRPr="006B4A94">
        <w:rPr>
          <w:color w:val="000000"/>
          <w:spacing w:val="0"/>
          <w:w w:val="49"/>
          <w:kern w:val="0"/>
          <w:shd w:val="solid" w:color="000000" w:fill="000000"/>
          <w:fitText w:val="592" w:id="-632577535"/>
          <w:lang w:eastAsia="en-US"/>
          <w14:textFill>
            <w14:solidFill>
              <w14:srgbClr w14:val="000000">
                <w14:alpha w14:val="100000"/>
              </w14:srgbClr>
            </w14:solidFill>
          </w14:textFill>
        </w:rPr>
        <w:t>||||  ||||</w:t>
      </w:r>
      <w:r w:rsidR="007D2BD7" w:rsidRPr="00460143">
        <w:rPr>
          <w:lang w:eastAsia="en-US"/>
        </w:rPr>
        <w:t xml:space="preserve"> (S100 HSD Private)</w:t>
      </w:r>
    </w:p>
    <w:p w14:paraId="436DC41F" w14:textId="68ECC671" w:rsidR="00600824" w:rsidRPr="00460143" w:rsidRDefault="0010259F" w:rsidP="00E948E3">
      <w:pPr>
        <w:pStyle w:val="3-BodyText"/>
        <w:rPr>
          <w:rFonts w:cs="Calibri"/>
        </w:rPr>
      </w:pPr>
      <w:r w:rsidRPr="00460143">
        <w:t>The estimated drug cost/patient per year would be</w:t>
      </w:r>
      <w:r w:rsidR="005246CE" w:rsidRPr="00460143">
        <w:t xml:space="preserve"> $</w:t>
      </w:r>
      <w:r w:rsidR="006B4A94" w:rsidRPr="006B4A94">
        <w:rPr>
          <w:color w:val="000000"/>
          <w:w w:val="61"/>
          <w:shd w:val="solid" w:color="000000" w:fill="000000"/>
          <w:fitText w:val="472" w:id="-632577534"/>
          <w14:textFill>
            <w14:solidFill>
              <w14:srgbClr w14:val="000000">
                <w14:alpha w14:val="100000"/>
              </w14:srgbClr>
            </w14:solidFill>
          </w14:textFill>
        </w:rPr>
        <w:t>|||  ||</w:t>
      </w:r>
      <w:r w:rsidR="006B4A94" w:rsidRPr="006B4A94">
        <w:rPr>
          <w:color w:val="000000"/>
          <w:spacing w:val="2"/>
          <w:w w:val="61"/>
          <w:shd w:val="solid" w:color="000000" w:fill="000000"/>
          <w:fitText w:val="472" w:id="-632577534"/>
          <w14:textFill>
            <w14:solidFill>
              <w14:srgbClr w14:val="000000">
                <w14:alpha w14:val="100000"/>
              </w14:srgbClr>
            </w14:solidFill>
          </w14:textFill>
        </w:rPr>
        <w:t>|</w:t>
      </w:r>
      <w:r w:rsidR="005246CE" w:rsidRPr="00460143">
        <w:t xml:space="preserve"> (S100 HSD Public listing) and $</w:t>
      </w:r>
      <w:r w:rsidR="006B4A94" w:rsidRPr="006B4A94">
        <w:rPr>
          <w:color w:val="000000"/>
          <w:w w:val="61"/>
          <w:shd w:val="solid" w:color="000000" w:fill="000000"/>
          <w:fitText w:val="472" w:id="-632577533"/>
          <w14:textFill>
            <w14:solidFill>
              <w14:srgbClr w14:val="000000">
                <w14:alpha w14:val="100000"/>
              </w14:srgbClr>
            </w14:solidFill>
          </w14:textFill>
        </w:rPr>
        <w:t>|||  ||</w:t>
      </w:r>
      <w:r w:rsidR="006B4A94" w:rsidRPr="006B4A94">
        <w:rPr>
          <w:color w:val="000000"/>
          <w:spacing w:val="2"/>
          <w:w w:val="61"/>
          <w:shd w:val="solid" w:color="000000" w:fill="000000"/>
          <w:fitText w:val="472" w:id="-632577533"/>
          <w14:textFill>
            <w14:solidFill>
              <w14:srgbClr w14:val="000000">
                <w14:alpha w14:val="100000"/>
              </w14:srgbClr>
            </w14:solidFill>
          </w14:textFill>
        </w:rPr>
        <w:t>|</w:t>
      </w:r>
      <w:r w:rsidR="005246CE" w:rsidRPr="00460143">
        <w:t xml:space="preserve"> (S100 HSD Private listing), based on one injection every 6 months, and an effective dispensed price </w:t>
      </w:r>
      <w:r w:rsidR="00A41874" w:rsidRPr="00460143">
        <w:t xml:space="preserve">for maximum quantity (DPMQ) of </w:t>
      </w:r>
      <w:r w:rsidR="00AE4A80" w:rsidRPr="00460143">
        <w:t>$</w:t>
      </w:r>
      <w:r w:rsidR="006B4A94" w:rsidRPr="006B4A94">
        <w:rPr>
          <w:color w:val="000000"/>
          <w:w w:val="61"/>
          <w:shd w:val="solid" w:color="000000" w:fill="000000"/>
          <w:fitText w:val="472" w:id="-632577532"/>
          <w14:textFill>
            <w14:solidFill>
              <w14:srgbClr w14:val="000000">
                <w14:alpha w14:val="100000"/>
              </w14:srgbClr>
            </w14:solidFill>
          </w14:textFill>
        </w:rPr>
        <w:t>|||  ||</w:t>
      </w:r>
      <w:r w:rsidR="006B4A94" w:rsidRPr="006B4A94">
        <w:rPr>
          <w:color w:val="000000"/>
          <w:spacing w:val="2"/>
          <w:w w:val="61"/>
          <w:shd w:val="solid" w:color="000000" w:fill="000000"/>
          <w:fitText w:val="472" w:id="-632577532"/>
          <w14:textFill>
            <w14:solidFill>
              <w14:srgbClr w14:val="000000">
                <w14:alpha w14:val="100000"/>
              </w14:srgbClr>
            </w14:solidFill>
          </w14:textFill>
        </w:rPr>
        <w:t>|</w:t>
      </w:r>
      <w:r w:rsidR="00AE4A80" w:rsidRPr="00460143">
        <w:t xml:space="preserve"> (S100 HSD Public) and $</w:t>
      </w:r>
      <w:r w:rsidR="006B4A94" w:rsidRPr="006B4A94">
        <w:rPr>
          <w:color w:val="000000"/>
          <w:w w:val="61"/>
          <w:shd w:val="solid" w:color="000000" w:fill="000000"/>
          <w:fitText w:val="472" w:id="-632577531"/>
          <w14:textFill>
            <w14:solidFill>
              <w14:srgbClr w14:val="000000">
                <w14:alpha w14:val="100000"/>
              </w14:srgbClr>
            </w14:solidFill>
          </w14:textFill>
        </w:rPr>
        <w:t>|||  ||</w:t>
      </w:r>
      <w:r w:rsidR="006B4A94" w:rsidRPr="006B4A94">
        <w:rPr>
          <w:color w:val="000000"/>
          <w:spacing w:val="2"/>
          <w:w w:val="61"/>
          <w:shd w:val="solid" w:color="000000" w:fill="000000"/>
          <w:fitText w:val="472" w:id="-632577531"/>
          <w14:textFill>
            <w14:solidFill>
              <w14:srgbClr w14:val="000000">
                <w14:alpha w14:val="100000"/>
              </w14:srgbClr>
            </w14:solidFill>
          </w14:textFill>
        </w:rPr>
        <w:t>|</w:t>
      </w:r>
      <w:r w:rsidR="00AE4A80" w:rsidRPr="00460143">
        <w:t xml:space="preserve"> (S100 HSD Private)</w:t>
      </w:r>
      <w:r w:rsidR="005246CE" w:rsidRPr="00460143">
        <w:t>.</w:t>
      </w:r>
    </w:p>
    <w:p w14:paraId="5EB16602" w14:textId="6A6631C1" w:rsidR="00D70349" w:rsidRPr="00460143" w:rsidRDefault="00D70349" w:rsidP="00D70349">
      <w:pPr>
        <w:pStyle w:val="4-SubsectionHeading"/>
        <w:rPr>
          <w:lang w:eastAsia="en-US"/>
        </w:rPr>
      </w:pPr>
      <w:r w:rsidRPr="00460143">
        <w:rPr>
          <w:lang w:eastAsia="en-US"/>
        </w:rPr>
        <w:t xml:space="preserve">Estimated PBS </w:t>
      </w:r>
      <w:r w:rsidR="00276BE3" w:rsidRPr="00460143">
        <w:rPr>
          <w:lang w:eastAsia="en-US"/>
        </w:rPr>
        <w:t>usage</w:t>
      </w:r>
      <w:r w:rsidRPr="00460143">
        <w:rPr>
          <w:lang w:eastAsia="en-US"/>
        </w:rPr>
        <w:t xml:space="preserve"> and financial implications</w:t>
      </w:r>
    </w:p>
    <w:p w14:paraId="6B73AB42" w14:textId="52AF6C8A" w:rsidR="006E5CA8" w:rsidRPr="00460143" w:rsidRDefault="006E5CA8" w:rsidP="006E5CA8">
      <w:pPr>
        <w:pStyle w:val="3-BodyText"/>
        <w:numPr>
          <w:ilvl w:val="1"/>
          <w:numId w:val="2"/>
        </w:numPr>
      </w:pPr>
      <w:r w:rsidRPr="00460143">
        <w:t xml:space="preserve">The requested </w:t>
      </w:r>
      <w:r w:rsidR="00306311">
        <w:t xml:space="preserve">published </w:t>
      </w:r>
      <w:r w:rsidRPr="00460143">
        <w:t>price was based on the</w:t>
      </w:r>
      <w:r w:rsidR="006F7458" w:rsidRPr="00460143">
        <w:t xml:space="preserve"> approved ex-manufacturer price</w:t>
      </w:r>
      <w:r w:rsidRPr="00460143">
        <w:t xml:space="preserve"> </w:t>
      </w:r>
      <w:r w:rsidR="006F7458" w:rsidRPr="00460143">
        <w:t>(</w:t>
      </w:r>
      <w:r w:rsidRPr="00460143">
        <w:t>AEMP</w:t>
      </w:r>
      <w:r w:rsidR="006F7458" w:rsidRPr="00460143">
        <w:t>)</w:t>
      </w:r>
      <w:r w:rsidRPr="00460143">
        <w:t xml:space="preserve"> of</w:t>
      </w:r>
      <w:r w:rsidR="009F371B" w:rsidRPr="00460143">
        <w:t xml:space="preserve"> 2</w:t>
      </w:r>
      <w:r w:rsidR="00FB65B2" w:rsidRPr="00460143">
        <w:t> </w:t>
      </w:r>
      <w:r w:rsidR="009F371B" w:rsidRPr="00460143">
        <w:t>vials of</w:t>
      </w:r>
      <w:r w:rsidRPr="00460143">
        <w:t xml:space="preserve"> </w:t>
      </w:r>
      <w:r w:rsidR="001B3EA5" w:rsidRPr="00460143">
        <w:t>oc</w:t>
      </w:r>
      <w:r w:rsidR="001031AE" w:rsidRPr="00460143">
        <w:t xml:space="preserve">relizumab IV, </w:t>
      </w:r>
      <w:r w:rsidRPr="00460143">
        <w:t xml:space="preserve">listed in the PBS </w:t>
      </w:r>
      <w:r w:rsidR="00243C66">
        <w:t>as of</w:t>
      </w:r>
      <w:r w:rsidR="00243C66" w:rsidRPr="00460143">
        <w:t xml:space="preserve"> </w:t>
      </w:r>
      <w:r w:rsidR="00FC634D" w:rsidRPr="00460143">
        <w:t xml:space="preserve">June 2025 (i.e. </w:t>
      </w:r>
      <w:r w:rsidR="006F7458" w:rsidRPr="00460143">
        <w:t>the re</w:t>
      </w:r>
      <w:r w:rsidR="009F371B" w:rsidRPr="00460143">
        <w:t xml:space="preserve">quested </w:t>
      </w:r>
      <w:r w:rsidR="00E53CF5">
        <w:lastRenderedPageBreak/>
        <w:t xml:space="preserve">published </w:t>
      </w:r>
      <w:r w:rsidR="009F371B" w:rsidRPr="00460143">
        <w:t>AEMP</w:t>
      </w:r>
      <w:r w:rsidR="00846703" w:rsidRPr="00460143">
        <w:t xml:space="preserve"> for ocrelizumab SC, 1 vial</w:t>
      </w:r>
      <w:r w:rsidR="00846703" w:rsidRPr="004A4358">
        <w:t>,</w:t>
      </w:r>
      <w:r w:rsidR="009F371B" w:rsidRPr="004A4358">
        <w:t xml:space="preserve"> is $16,656.36, the</w:t>
      </w:r>
      <w:r w:rsidR="009F371B" w:rsidRPr="00460143">
        <w:t xml:space="preserve"> current</w:t>
      </w:r>
      <w:r w:rsidR="00165D2F">
        <w:t xml:space="preserve"> published</w:t>
      </w:r>
      <w:r w:rsidR="009F371B" w:rsidRPr="00460143">
        <w:t xml:space="preserve"> AEMP of ocrelizumab IV </w:t>
      </w:r>
      <w:r w:rsidR="001F1158" w:rsidRPr="00460143">
        <w:t>for 1 vial is $8,328.18)</w:t>
      </w:r>
      <w:r w:rsidRPr="00460143">
        <w:t>.</w:t>
      </w:r>
    </w:p>
    <w:p w14:paraId="08781E9C" w14:textId="72A2C0C6" w:rsidR="00DB0D3E" w:rsidRPr="00460143" w:rsidRDefault="00DB0D3E" w:rsidP="00DB0D3E">
      <w:pPr>
        <w:pStyle w:val="3-BodyText"/>
        <w:numPr>
          <w:ilvl w:val="1"/>
          <w:numId w:val="2"/>
        </w:numPr>
      </w:pPr>
      <w:r w:rsidRPr="00460143">
        <w:t>The submission request</w:t>
      </w:r>
      <w:r w:rsidR="000C2058" w:rsidRPr="00460143">
        <w:t xml:space="preserve">ed </w:t>
      </w:r>
      <w:r w:rsidRPr="00460143">
        <w:t>a Special Pricing Arrangement for ocrelizumab SC</w:t>
      </w:r>
      <w:r w:rsidR="000C2058" w:rsidRPr="00460143">
        <w:t xml:space="preserve"> to align with the currently PBS-listed ocrelizumab IV</w:t>
      </w:r>
      <w:r w:rsidRPr="00460143">
        <w:t xml:space="preserve">. </w:t>
      </w:r>
      <w:r w:rsidR="003436AD" w:rsidRPr="00460143">
        <w:t xml:space="preserve">The </w:t>
      </w:r>
      <w:r w:rsidR="002601EA" w:rsidRPr="00460143">
        <w:t>submission requested an effective price of $</w:t>
      </w:r>
      <w:r w:rsidR="006B4A94" w:rsidRPr="006B4A94">
        <w:rPr>
          <w:color w:val="000000"/>
          <w:w w:val="61"/>
          <w:shd w:val="solid" w:color="000000" w:fill="000000"/>
          <w:fitText w:val="472" w:id="-632577530"/>
          <w14:textFill>
            <w14:solidFill>
              <w14:srgbClr w14:val="000000">
                <w14:alpha w14:val="100000"/>
              </w14:srgbClr>
            </w14:solidFill>
          </w14:textFill>
        </w:rPr>
        <w:t>|||  ||</w:t>
      </w:r>
      <w:r w:rsidR="006B4A94" w:rsidRPr="006B4A94">
        <w:rPr>
          <w:color w:val="000000"/>
          <w:spacing w:val="2"/>
          <w:w w:val="61"/>
          <w:shd w:val="solid" w:color="000000" w:fill="000000"/>
          <w:fitText w:val="472" w:id="-632577530"/>
          <w14:textFill>
            <w14:solidFill>
              <w14:srgbClr w14:val="000000">
                <w14:alpha w14:val="100000"/>
              </w14:srgbClr>
            </w14:solidFill>
          </w14:textFill>
        </w:rPr>
        <w:t>|</w:t>
      </w:r>
      <w:r w:rsidR="00EA4A88">
        <w:t xml:space="preserve"> </w:t>
      </w:r>
      <w:r w:rsidR="002601EA" w:rsidRPr="00460143">
        <w:t>for ocrelizumab SC.</w:t>
      </w:r>
    </w:p>
    <w:p w14:paraId="0284FBF1" w14:textId="7806606E" w:rsidR="004B245C" w:rsidRPr="00460143" w:rsidRDefault="008F70D7" w:rsidP="00801CCF">
      <w:pPr>
        <w:pStyle w:val="3-BodyText"/>
        <w:numPr>
          <w:ilvl w:val="1"/>
          <w:numId w:val="2"/>
        </w:numPr>
      </w:pPr>
      <w:r w:rsidRPr="00460143">
        <w:t xml:space="preserve">The submission adopted a market share approach </w:t>
      </w:r>
      <w:r w:rsidR="00A64D07" w:rsidRPr="00460143">
        <w:t xml:space="preserve">to estimate the utilisation and financial impact of ocrelizumab SC over a six-year period. </w:t>
      </w:r>
      <w:r w:rsidR="00771839" w:rsidRPr="00460143">
        <w:t>The submission assume</w:t>
      </w:r>
      <w:r w:rsidR="00D309CA" w:rsidRPr="00460143">
        <w:t>d</w:t>
      </w:r>
      <w:r w:rsidR="00771839" w:rsidRPr="00460143">
        <w:t xml:space="preserve"> </w:t>
      </w:r>
      <w:r w:rsidR="00AB07DD" w:rsidRPr="00460143">
        <w:t xml:space="preserve">ocrelizumab SC would </w:t>
      </w:r>
      <w:r w:rsidR="00E63CB2" w:rsidRPr="00460143">
        <w:t>replace</w:t>
      </w:r>
      <w:r w:rsidR="00AB07DD" w:rsidRPr="00460143">
        <w:t xml:space="preserve"> ocrelizumab IV at an uptake rate of </w:t>
      </w:r>
      <w:r w:rsidR="006B4A94" w:rsidRPr="006B4A94">
        <w:rPr>
          <w:color w:val="000000"/>
          <w:w w:val="61"/>
          <w:shd w:val="solid" w:color="000000" w:fill="000000"/>
          <w:fitText w:val="472" w:id="-632577529"/>
          <w14:textFill>
            <w14:solidFill>
              <w14:srgbClr w14:val="000000">
                <w14:alpha w14:val="100000"/>
              </w14:srgbClr>
            </w14:solidFill>
          </w14:textFill>
        </w:rPr>
        <w:t>|||  ||</w:t>
      </w:r>
      <w:r w:rsidR="006B4A94" w:rsidRPr="006B4A94">
        <w:rPr>
          <w:color w:val="000000"/>
          <w:spacing w:val="2"/>
          <w:w w:val="61"/>
          <w:shd w:val="solid" w:color="000000" w:fill="000000"/>
          <w:fitText w:val="472" w:id="-632577529"/>
          <w14:textFill>
            <w14:solidFill>
              <w14:srgbClr w14:val="000000">
                <w14:alpha w14:val="100000"/>
              </w14:srgbClr>
            </w14:solidFill>
          </w14:textFill>
        </w:rPr>
        <w:t>|</w:t>
      </w:r>
      <w:r w:rsidR="00AB07DD" w:rsidRPr="00460143">
        <w:t>%</w:t>
      </w:r>
      <w:r w:rsidR="0064127F" w:rsidRPr="00460143">
        <w:t>, and that ocrelizumab SC would only replace ocrelizumab IV in practice</w:t>
      </w:r>
      <w:r w:rsidR="00D53A72" w:rsidRPr="00460143">
        <w:t>.</w:t>
      </w:r>
      <w:r w:rsidR="00CF5C37" w:rsidRPr="00460143">
        <w:t xml:space="preserve"> </w:t>
      </w:r>
      <w:r w:rsidR="004C5B6D" w:rsidRPr="00460143">
        <w:t>The subm</w:t>
      </w:r>
      <w:r w:rsidR="002D51DB" w:rsidRPr="00460143">
        <w:t xml:space="preserve">ission assumed no incremental growth in the ocrelizumab market if ocrelizumab SC is PBS-listed. </w:t>
      </w:r>
      <w:r w:rsidR="008837BD" w:rsidRPr="00460143">
        <w:t>As</w:t>
      </w:r>
      <w:r w:rsidR="007A2549" w:rsidRPr="00460143">
        <w:t xml:space="preserve"> the requested price for</w:t>
      </w:r>
      <w:r w:rsidR="00FB65B2" w:rsidRPr="00460143">
        <w:t xml:space="preserve"> one prescription of</w:t>
      </w:r>
      <w:r w:rsidR="007A2549" w:rsidRPr="00460143">
        <w:t xml:space="preserve"> ocrelizumab SC</w:t>
      </w:r>
      <w:r w:rsidR="00567EC2" w:rsidRPr="00460143">
        <w:t xml:space="preserve"> (1 vial)</w:t>
      </w:r>
      <w:r w:rsidR="007A2549" w:rsidRPr="00460143">
        <w:t xml:space="preserve"> was equivalent to </w:t>
      </w:r>
      <w:r w:rsidR="00FB65B2" w:rsidRPr="00460143">
        <w:t>one prescription of ocrelizumab IV (2 vials)</w:t>
      </w:r>
      <w:r w:rsidR="008837BD" w:rsidRPr="00460143">
        <w:t xml:space="preserve">, the submission estimated </w:t>
      </w:r>
      <w:r w:rsidR="004B245C" w:rsidRPr="00460143">
        <w:t xml:space="preserve">listing </w:t>
      </w:r>
      <w:r w:rsidR="008837BD" w:rsidRPr="00460143">
        <w:t xml:space="preserve">ocrelizumab SC </w:t>
      </w:r>
      <w:r w:rsidR="004B245C" w:rsidRPr="00460143">
        <w:t xml:space="preserve">on the PBS would </w:t>
      </w:r>
      <w:r w:rsidR="00BC069C" w:rsidRPr="00460143">
        <w:t xml:space="preserve">be cost neutral to </w:t>
      </w:r>
      <w:r w:rsidR="00C04B62" w:rsidRPr="00460143">
        <w:t>b</w:t>
      </w:r>
      <w:r w:rsidR="00BC069C" w:rsidRPr="00460143">
        <w:t xml:space="preserve">e PBS/RPBS. </w:t>
      </w:r>
    </w:p>
    <w:p w14:paraId="4EA96CBC" w14:textId="49AD9E61" w:rsidR="00D64128" w:rsidRPr="00460143" w:rsidRDefault="00AF2AC5" w:rsidP="00801CCF">
      <w:pPr>
        <w:pStyle w:val="3-BodyText"/>
        <w:numPr>
          <w:ilvl w:val="1"/>
          <w:numId w:val="2"/>
        </w:numPr>
      </w:pPr>
      <w:r w:rsidRPr="00460143">
        <w:t>The submission used 2024 PBS utilisation data for ocrelizumab IV to estimate the proportion of patients treated in the public (74.4%) and private (25.6%) settings.</w:t>
      </w:r>
    </w:p>
    <w:p w14:paraId="79CB45BD" w14:textId="4222638B" w:rsidR="00854AC0" w:rsidRPr="00460143" w:rsidRDefault="00854AC0" w:rsidP="00801CCF">
      <w:pPr>
        <w:pStyle w:val="3-BodyText"/>
        <w:numPr>
          <w:ilvl w:val="1"/>
          <w:numId w:val="2"/>
        </w:numPr>
      </w:pPr>
      <w:r w:rsidRPr="00460143">
        <w:t xml:space="preserve">The submission </w:t>
      </w:r>
      <w:r w:rsidR="00BC4A7E" w:rsidRPr="00460143">
        <w:t>estimated</w:t>
      </w:r>
      <w:r w:rsidR="00A211F1" w:rsidRPr="00460143">
        <w:t xml:space="preserve"> listing ocrelizumab SC </w:t>
      </w:r>
      <w:r w:rsidR="00BC4A7E" w:rsidRPr="00460143">
        <w:t xml:space="preserve">on the PBS </w:t>
      </w:r>
      <w:r w:rsidR="00A211F1" w:rsidRPr="00460143">
        <w:t>w</w:t>
      </w:r>
      <w:r w:rsidR="00BC4A7E" w:rsidRPr="00460143">
        <w:t>ould</w:t>
      </w:r>
      <w:r w:rsidR="004B3ED8" w:rsidRPr="00460143">
        <w:t xml:space="preserve"> decrease</w:t>
      </w:r>
      <w:r w:rsidR="00871C1A">
        <w:t xml:space="preserve"> use of</w:t>
      </w:r>
      <w:r w:rsidR="00A211F1" w:rsidRPr="00460143">
        <w:t xml:space="preserve"> </w:t>
      </w:r>
      <w:r w:rsidR="000E7FE6" w:rsidRPr="00460143">
        <w:t xml:space="preserve">IV infusions </w:t>
      </w:r>
      <w:r w:rsidR="00463F20" w:rsidRPr="00460143">
        <w:t>and shorte</w:t>
      </w:r>
      <w:r w:rsidR="00D65BC9" w:rsidRPr="00460143">
        <w:t>n</w:t>
      </w:r>
      <w:r w:rsidR="00463F20" w:rsidRPr="00460143">
        <w:t xml:space="preserve"> administration times</w:t>
      </w:r>
      <w:r w:rsidR="00BC4A7E" w:rsidRPr="00460143">
        <w:t>.</w:t>
      </w:r>
      <w:r w:rsidR="00FD62A0" w:rsidRPr="00460143">
        <w:t xml:space="preserve"> </w:t>
      </w:r>
      <w:r w:rsidR="00BC4A7E" w:rsidRPr="00460143">
        <w:t>It</w:t>
      </w:r>
      <w:r w:rsidR="00FD62A0" w:rsidRPr="00460143">
        <w:t xml:space="preserve"> estimate</w:t>
      </w:r>
      <w:r w:rsidR="00365E81" w:rsidRPr="00460143">
        <w:t>d</w:t>
      </w:r>
      <w:r w:rsidR="00FD62A0" w:rsidRPr="00460143">
        <w:t xml:space="preserve"> </w:t>
      </w:r>
      <w:r w:rsidR="00050313" w:rsidRPr="00460143">
        <w:t xml:space="preserve">there would be </w:t>
      </w:r>
      <w:r w:rsidR="00FD62A0" w:rsidRPr="00460143">
        <w:t xml:space="preserve">a net </w:t>
      </w:r>
      <w:r w:rsidR="005E5547" w:rsidRPr="00460143">
        <w:t>save to the</w:t>
      </w:r>
      <w:r w:rsidR="00066044" w:rsidRPr="00460143">
        <w:t xml:space="preserve"> Medicare Benefits Schedule</w:t>
      </w:r>
      <w:r w:rsidR="005E5547" w:rsidRPr="00460143">
        <w:t xml:space="preserve"> </w:t>
      </w:r>
      <w:r w:rsidR="00066044" w:rsidRPr="00460143">
        <w:t>(</w:t>
      </w:r>
      <w:r w:rsidR="005E5547" w:rsidRPr="00460143">
        <w:t>MBS</w:t>
      </w:r>
      <w:r w:rsidR="00066044" w:rsidRPr="00460143">
        <w:t>)</w:t>
      </w:r>
      <w:r w:rsidR="005E5547" w:rsidRPr="00460143">
        <w:t xml:space="preserve"> and public hospitals</w:t>
      </w:r>
      <w:r w:rsidR="00C052F7" w:rsidRPr="00460143">
        <w:t xml:space="preserve"> due to </w:t>
      </w:r>
      <w:r w:rsidR="002E3585" w:rsidRPr="00460143">
        <w:t>less IV infusions</w:t>
      </w:r>
      <w:r w:rsidR="005E5547" w:rsidRPr="00460143">
        <w:t xml:space="preserve">. </w:t>
      </w:r>
    </w:p>
    <w:p w14:paraId="3C71CC3F" w14:textId="56A2814C" w:rsidR="00F26D80" w:rsidRPr="00460143" w:rsidRDefault="00D70349" w:rsidP="0079250E">
      <w:pPr>
        <w:pStyle w:val="3-BodyText"/>
        <w:numPr>
          <w:ilvl w:val="1"/>
          <w:numId w:val="2"/>
        </w:numPr>
      </w:pPr>
      <w:r w:rsidRPr="00460143">
        <w:t xml:space="preserve">Refer to Table </w:t>
      </w:r>
      <w:r w:rsidR="002E3585" w:rsidRPr="00460143">
        <w:t xml:space="preserve">2 </w:t>
      </w:r>
      <w:r w:rsidRPr="00460143">
        <w:t>which presents the estimated extent of use, cost</w:t>
      </w:r>
      <w:r w:rsidR="00BC4A7E" w:rsidRPr="00460143">
        <w:t xml:space="preserve"> of ocrelizumab SC to the PBS/RPBS</w:t>
      </w:r>
      <w:r w:rsidRPr="00460143">
        <w:t xml:space="preserve"> </w:t>
      </w:r>
      <w:r w:rsidR="00D950A7" w:rsidRPr="00460143">
        <w:t>and</w:t>
      </w:r>
      <w:r w:rsidR="00BC4A7E" w:rsidRPr="00460143">
        <w:t xml:space="preserve"> the</w:t>
      </w:r>
      <w:r w:rsidR="00D950A7" w:rsidRPr="00460143">
        <w:t xml:space="preserve"> net financial </w:t>
      </w:r>
      <w:r w:rsidR="00BC4A7E" w:rsidRPr="00460143">
        <w:t xml:space="preserve">implications </w:t>
      </w:r>
      <w:r w:rsidRPr="00460143">
        <w:t>to the PBS/RPBS</w:t>
      </w:r>
      <w:r w:rsidR="001A1481" w:rsidRPr="00460143">
        <w:t>.</w:t>
      </w:r>
      <w:r w:rsidRPr="00460143">
        <w:t xml:space="preserve"> The financial impact to Services Australia will be determined by that agency as part of the post PBAC process.</w:t>
      </w:r>
    </w:p>
    <w:p w14:paraId="6E41B282" w14:textId="6801A6F7" w:rsidR="006A7642" w:rsidRPr="00460143" w:rsidRDefault="00D70349" w:rsidP="0079250E">
      <w:pPr>
        <w:pStyle w:val="3-BodyText"/>
        <w:numPr>
          <w:ilvl w:val="1"/>
          <w:numId w:val="2"/>
        </w:numPr>
      </w:pPr>
      <w:r w:rsidRPr="00460143">
        <w:t xml:space="preserve">The submission estimated that </w:t>
      </w:r>
      <w:r w:rsidR="00225BE7">
        <w:t xml:space="preserve">20,000 to &lt; 30,000 </w:t>
      </w:r>
      <w:r w:rsidR="00EB0EB5" w:rsidRPr="00460143">
        <w:t>scripts</w:t>
      </w:r>
      <w:r w:rsidRPr="00460143">
        <w:t xml:space="preserve"> would be supplied </w:t>
      </w:r>
      <w:r w:rsidR="004F33D5" w:rsidRPr="00460143">
        <w:t xml:space="preserve">for ocrelizumab SC </w:t>
      </w:r>
      <w:r w:rsidRPr="00460143">
        <w:t xml:space="preserve">over the first six years of listing </w:t>
      </w:r>
      <w:r w:rsidRPr="00BB0942">
        <w:t>(</w:t>
      </w:r>
      <w:r w:rsidR="00FF3504">
        <w:t xml:space="preserve">500 to &lt; 5,000 </w:t>
      </w:r>
      <w:r w:rsidR="00EE6203" w:rsidRPr="00460143">
        <w:t>in Year 1</w:t>
      </w:r>
      <w:r w:rsidRPr="00460143">
        <w:t xml:space="preserve"> to </w:t>
      </w:r>
      <w:r w:rsidR="00FF3504">
        <w:t xml:space="preserve">500 to &lt; 5,000 </w:t>
      </w:r>
      <w:r w:rsidR="00EE6203" w:rsidRPr="00460143">
        <w:t>in Year 6</w:t>
      </w:r>
      <w:r w:rsidRPr="00460143">
        <w:t xml:space="preserve">). </w:t>
      </w:r>
    </w:p>
    <w:p w14:paraId="74F1EFA3" w14:textId="4E3B2F42" w:rsidR="00E21164" w:rsidRPr="005D0B03" w:rsidRDefault="000A02F8" w:rsidP="00236556">
      <w:pPr>
        <w:pStyle w:val="3-BodyText"/>
        <w:numPr>
          <w:ilvl w:val="1"/>
          <w:numId w:val="2"/>
        </w:numPr>
      </w:pPr>
      <w:r w:rsidRPr="00460143">
        <w:t>The submission stated that t</w:t>
      </w:r>
      <w:r w:rsidR="00D70349" w:rsidRPr="00460143">
        <w:t xml:space="preserve">he estimated net financial </w:t>
      </w:r>
      <w:r w:rsidR="00EF731C" w:rsidRPr="00460143">
        <w:t xml:space="preserve">impact </w:t>
      </w:r>
      <w:r w:rsidR="00D70349" w:rsidRPr="00460143">
        <w:t>to the PBS/RPBS for the listing of</w:t>
      </w:r>
      <w:r w:rsidR="00560B3D" w:rsidRPr="00460143">
        <w:t xml:space="preserve"> </w:t>
      </w:r>
      <w:r w:rsidR="00560B3D" w:rsidRPr="00183992">
        <w:t>ocrelizumab SC</w:t>
      </w:r>
      <w:r w:rsidR="00D70349" w:rsidRPr="00183992">
        <w:t xml:space="preserve"> </w:t>
      </w:r>
      <w:r w:rsidR="006602FA" w:rsidRPr="00183992">
        <w:t xml:space="preserve">is nil </w:t>
      </w:r>
      <w:r w:rsidR="00D70349" w:rsidRPr="00183992">
        <w:t xml:space="preserve">over six years (Year 1 </w:t>
      </w:r>
      <w:r w:rsidR="00A25F9D" w:rsidRPr="005D0B03">
        <w:t>$0 to &lt; $10 million</w:t>
      </w:r>
      <w:r w:rsidR="00560B3D" w:rsidRPr="00183992">
        <w:t xml:space="preserve"> </w:t>
      </w:r>
      <w:r w:rsidR="00D70349" w:rsidRPr="00183992">
        <w:t xml:space="preserve">to Year 6 </w:t>
      </w:r>
      <w:bookmarkStart w:id="6" w:name="_Hlk210912746"/>
      <w:r w:rsidR="00A25F9D" w:rsidRPr="005D0B03">
        <w:t>$0 to &lt; $10 million</w:t>
      </w:r>
      <w:r w:rsidR="00D70349" w:rsidRPr="005D0B03">
        <w:t xml:space="preserve">). </w:t>
      </w:r>
    </w:p>
    <w:bookmarkEnd w:id="6"/>
    <w:p w14:paraId="5776D7DB" w14:textId="34A286DC" w:rsidR="00272DE5" w:rsidRPr="00460143" w:rsidRDefault="00D70349" w:rsidP="001661F3">
      <w:pPr>
        <w:pStyle w:val="Tabletitles"/>
        <w:keepNext/>
        <w:keepLines/>
        <w:spacing w:after="0"/>
        <w:rPr>
          <w:rFonts w:asciiTheme="minorHAnsi" w:hAnsiTheme="minorHAnsi" w:cstheme="minorHAnsi"/>
          <w:sz w:val="24"/>
          <w:szCs w:val="24"/>
        </w:rPr>
      </w:pPr>
      <w:r w:rsidRPr="00460143">
        <w:rPr>
          <w:rStyle w:val="CommentReference"/>
          <w:sz w:val="20"/>
          <w:szCs w:val="22"/>
        </w:rPr>
        <w:lastRenderedPageBreak/>
        <w:t>Table</w:t>
      </w:r>
      <w:r w:rsidRPr="00460143">
        <w:rPr>
          <w:rFonts w:eastAsiaTheme="majorEastAsia"/>
        </w:rPr>
        <w:t xml:space="preserve"> </w:t>
      </w:r>
      <w:bookmarkStart w:id="7" w:name="_Hlk121755068"/>
      <w:r w:rsidR="00992F51" w:rsidRPr="00460143">
        <w:rPr>
          <w:rFonts w:eastAsiaTheme="majorEastAsia"/>
        </w:rPr>
        <w:t>2</w:t>
      </w:r>
      <w:r w:rsidRPr="00460143">
        <w:rPr>
          <w:rFonts w:eastAsiaTheme="majorEastAsia"/>
        </w:rPr>
        <w:t>:</w:t>
      </w:r>
      <w:bookmarkEnd w:id="7"/>
      <w:r w:rsidRPr="00460143">
        <w:rPr>
          <w:rFonts w:eastAsiaTheme="majorEastAsia"/>
        </w:rPr>
        <w:t xml:space="preserve"> </w:t>
      </w:r>
      <w:r w:rsidRPr="00460143">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1714"/>
        <w:gridCol w:w="1127"/>
        <w:gridCol w:w="1127"/>
        <w:gridCol w:w="1129"/>
        <w:gridCol w:w="1129"/>
        <w:gridCol w:w="1129"/>
        <w:gridCol w:w="1661"/>
      </w:tblGrid>
      <w:tr w:rsidR="00D70349" w:rsidRPr="00460143" w14:paraId="50517F09" w14:textId="77777777" w:rsidTr="00D52E79">
        <w:trPr>
          <w:cantSplit/>
          <w:tblHeader/>
          <w:jc w:val="center"/>
        </w:trPr>
        <w:tc>
          <w:tcPr>
            <w:tcW w:w="951" w:type="pct"/>
            <w:vAlign w:val="center"/>
          </w:tcPr>
          <w:p w14:paraId="146FDDC6" w14:textId="77777777" w:rsidR="00D70349" w:rsidRPr="00460143" w:rsidRDefault="00D70349" w:rsidP="00222680">
            <w:pPr>
              <w:pStyle w:val="TableText0"/>
              <w:keepLines/>
            </w:pPr>
          </w:p>
        </w:tc>
        <w:tc>
          <w:tcPr>
            <w:tcW w:w="625" w:type="pct"/>
            <w:vAlign w:val="center"/>
          </w:tcPr>
          <w:p w14:paraId="229BAAA8" w14:textId="77777777" w:rsidR="00D70349" w:rsidRPr="00460143" w:rsidRDefault="00D70349" w:rsidP="00222680">
            <w:pPr>
              <w:pStyle w:val="TableText0"/>
              <w:keepLines/>
              <w:rPr>
                <w:b/>
              </w:rPr>
            </w:pPr>
            <w:r w:rsidRPr="00460143">
              <w:rPr>
                <w:b/>
              </w:rPr>
              <w:t>Year 1</w:t>
            </w:r>
          </w:p>
        </w:tc>
        <w:tc>
          <w:tcPr>
            <w:tcW w:w="625" w:type="pct"/>
            <w:vAlign w:val="center"/>
          </w:tcPr>
          <w:p w14:paraId="48EEAB93" w14:textId="77777777" w:rsidR="00D70349" w:rsidRPr="00460143" w:rsidRDefault="00D70349" w:rsidP="00222680">
            <w:pPr>
              <w:pStyle w:val="TableText0"/>
              <w:keepLines/>
              <w:rPr>
                <w:b/>
              </w:rPr>
            </w:pPr>
            <w:r w:rsidRPr="00460143">
              <w:rPr>
                <w:b/>
              </w:rPr>
              <w:t>Year 2</w:t>
            </w:r>
          </w:p>
        </w:tc>
        <w:tc>
          <w:tcPr>
            <w:tcW w:w="626" w:type="pct"/>
            <w:vAlign w:val="center"/>
          </w:tcPr>
          <w:p w14:paraId="0738F741" w14:textId="77777777" w:rsidR="00D70349" w:rsidRPr="00460143" w:rsidRDefault="00D70349" w:rsidP="00222680">
            <w:pPr>
              <w:pStyle w:val="TableText0"/>
              <w:keepLines/>
              <w:rPr>
                <w:b/>
              </w:rPr>
            </w:pPr>
            <w:r w:rsidRPr="00460143">
              <w:rPr>
                <w:b/>
              </w:rPr>
              <w:t>Year 3</w:t>
            </w:r>
          </w:p>
        </w:tc>
        <w:tc>
          <w:tcPr>
            <w:tcW w:w="626" w:type="pct"/>
            <w:vAlign w:val="center"/>
          </w:tcPr>
          <w:p w14:paraId="2F722BB7" w14:textId="77777777" w:rsidR="00D70349" w:rsidRPr="00460143" w:rsidRDefault="00D70349" w:rsidP="00222680">
            <w:pPr>
              <w:pStyle w:val="TableText0"/>
              <w:keepLines/>
              <w:rPr>
                <w:b/>
              </w:rPr>
            </w:pPr>
            <w:r w:rsidRPr="00460143">
              <w:rPr>
                <w:b/>
              </w:rPr>
              <w:t>Year 4</w:t>
            </w:r>
          </w:p>
        </w:tc>
        <w:tc>
          <w:tcPr>
            <w:tcW w:w="626" w:type="pct"/>
            <w:vAlign w:val="center"/>
          </w:tcPr>
          <w:p w14:paraId="4A03E0AC" w14:textId="77777777" w:rsidR="00D70349" w:rsidRPr="00460143" w:rsidRDefault="00D70349" w:rsidP="00222680">
            <w:pPr>
              <w:pStyle w:val="TableText0"/>
              <w:keepLines/>
              <w:rPr>
                <w:b/>
              </w:rPr>
            </w:pPr>
            <w:r w:rsidRPr="00460143">
              <w:rPr>
                <w:b/>
              </w:rPr>
              <w:t>Year 5</w:t>
            </w:r>
          </w:p>
        </w:tc>
        <w:tc>
          <w:tcPr>
            <w:tcW w:w="922" w:type="pct"/>
          </w:tcPr>
          <w:p w14:paraId="11CF147B" w14:textId="77777777" w:rsidR="00D70349" w:rsidRPr="00460143" w:rsidRDefault="00D70349" w:rsidP="00222680">
            <w:pPr>
              <w:pStyle w:val="TableText0"/>
              <w:keepLines/>
              <w:rPr>
                <w:b/>
              </w:rPr>
            </w:pPr>
            <w:r w:rsidRPr="00460143">
              <w:rPr>
                <w:b/>
              </w:rPr>
              <w:t>Year 6</w:t>
            </w:r>
          </w:p>
        </w:tc>
      </w:tr>
      <w:tr w:rsidR="00D70349" w:rsidRPr="00460143" w14:paraId="07125BC5" w14:textId="77777777" w:rsidTr="00D52E79">
        <w:trPr>
          <w:cantSplit/>
          <w:jc w:val="center"/>
        </w:trPr>
        <w:tc>
          <w:tcPr>
            <w:tcW w:w="5000" w:type="pct"/>
            <w:gridSpan w:val="7"/>
            <w:vAlign w:val="center"/>
          </w:tcPr>
          <w:p w14:paraId="618359A1" w14:textId="77777777" w:rsidR="00D70349" w:rsidRPr="00460143" w:rsidRDefault="00D70349" w:rsidP="00222680">
            <w:pPr>
              <w:pStyle w:val="TableText0"/>
              <w:keepLines/>
              <w:rPr>
                <w:b/>
                <w:color w:val="000000"/>
              </w:rPr>
            </w:pPr>
            <w:r w:rsidRPr="00460143">
              <w:rPr>
                <w:b/>
                <w:color w:val="000000"/>
              </w:rPr>
              <w:t>Estimated extent of use</w:t>
            </w:r>
          </w:p>
        </w:tc>
      </w:tr>
      <w:tr w:rsidR="004F33D5" w:rsidRPr="00460143" w14:paraId="5D5D440C" w14:textId="77777777" w:rsidTr="00D52E79">
        <w:trPr>
          <w:cantSplit/>
          <w:jc w:val="center"/>
        </w:trPr>
        <w:tc>
          <w:tcPr>
            <w:tcW w:w="951" w:type="pct"/>
            <w:vAlign w:val="center"/>
          </w:tcPr>
          <w:p w14:paraId="359E474F" w14:textId="49FBFDED" w:rsidR="004F33D5" w:rsidRPr="00460143" w:rsidRDefault="004F33D5" w:rsidP="004F33D5">
            <w:pPr>
              <w:pStyle w:val="TableText0"/>
              <w:keepLines/>
              <w:rPr>
                <w:vertAlign w:val="superscript"/>
              </w:rPr>
            </w:pPr>
            <w:r w:rsidRPr="00460143">
              <w:t>Number of scripts dispensed</w:t>
            </w:r>
          </w:p>
        </w:tc>
        <w:tc>
          <w:tcPr>
            <w:tcW w:w="625" w:type="pct"/>
            <w:vAlign w:val="center"/>
          </w:tcPr>
          <w:p w14:paraId="14228129" w14:textId="25B10036" w:rsidR="004F33D5" w:rsidRPr="00211361" w:rsidRDefault="006B4A94" w:rsidP="004F33D5">
            <w:pPr>
              <w:pStyle w:val="TableText0"/>
              <w:keepLines/>
              <w:jc w:val="right"/>
              <w:rPr>
                <w:color w:val="000000"/>
                <w:vertAlign w:val="superscript"/>
              </w:rPr>
            </w:pPr>
            <w:r w:rsidRPr="006B4A94">
              <w:rPr>
                <w:color w:val="000000"/>
                <w:spacing w:val="53"/>
                <w:shd w:val="solid" w:color="000000" w:fill="000000"/>
                <w:fitText w:val="330" w:id="-632577528"/>
                <w14:textFill>
                  <w14:solidFill>
                    <w14:srgbClr w14:val="000000">
                      <w14:alpha w14:val="100000"/>
                    </w14:srgbClr>
                  </w14:solidFill>
                </w14:textFill>
              </w:rPr>
              <w:t>|||</w:t>
            </w:r>
            <w:r w:rsidRPr="006B4A94">
              <w:rPr>
                <w:color w:val="000000"/>
                <w:spacing w:val="1"/>
                <w:shd w:val="solid" w:color="000000" w:fill="000000"/>
                <w:fitText w:val="330" w:id="-632577528"/>
                <w14:textFill>
                  <w14:solidFill>
                    <w14:srgbClr w14:val="000000">
                      <w14:alpha w14:val="100000"/>
                    </w14:srgbClr>
                  </w14:solidFill>
                </w14:textFill>
              </w:rPr>
              <w:t>|</w:t>
            </w:r>
            <w:r w:rsidR="009C06CB">
              <w:rPr>
                <w:color w:val="000000"/>
                <w:vertAlign w:val="superscript"/>
              </w:rPr>
              <w:t>1</w:t>
            </w:r>
          </w:p>
        </w:tc>
        <w:tc>
          <w:tcPr>
            <w:tcW w:w="625" w:type="pct"/>
            <w:vAlign w:val="center"/>
          </w:tcPr>
          <w:p w14:paraId="0AC1C51C" w14:textId="685AC7CB" w:rsidR="004F33D5" w:rsidRPr="00460143" w:rsidRDefault="006B4A94" w:rsidP="004F33D5">
            <w:pPr>
              <w:pStyle w:val="TableText0"/>
              <w:keepLines/>
              <w:jc w:val="right"/>
              <w:rPr>
                <w:color w:val="000000"/>
              </w:rPr>
            </w:pPr>
            <w:r w:rsidRPr="006B4A94">
              <w:rPr>
                <w:color w:val="000000"/>
                <w:spacing w:val="53"/>
                <w:shd w:val="solid" w:color="000000" w:fill="000000"/>
                <w:fitText w:val="330" w:id="-632577527"/>
                <w14:textFill>
                  <w14:solidFill>
                    <w14:srgbClr w14:val="000000">
                      <w14:alpha w14:val="100000"/>
                    </w14:srgbClr>
                  </w14:solidFill>
                </w14:textFill>
              </w:rPr>
              <w:t>|||</w:t>
            </w:r>
            <w:r w:rsidRPr="006B4A94">
              <w:rPr>
                <w:color w:val="000000"/>
                <w:spacing w:val="1"/>
                <w:shd w:val="solid" w:color="000000" w:fill="000000"/>
                <w:fitText w:val="330" w:id="-632577527"/>
                <w14:textFill>
                  <w14:solidFill>
                    <w14:srgbClr w14:val="000000">
                      <w14:alpha w14:val="100000"/>
                    </w14:srgbClr>
                  </w14:solidFill>
                </w14:textFill>
              </w:rPr>
              <w:t>|</w:t>
            </w:r>
            <w:r w:rsidR="00CF14F3">
              <w:rPr>
                <w:color w:val="000000"/>
                <w:vertAlign w:val="superscript"/>
              </w:rPr>
              <w:t>1</w:t>
            </w:r>
          </w:p>
        </w:tc>
        <w:tc>
          <w:tcPr>
            <w:tcW w:w="626" w:type="pct"/>
            <w:vAlign w:val="center"/>
          </w:tcPr>
          <w:p w14:paraId="46B37406" w14:textId="122F5A94" w:rsidR="004F33D5" w:rsidRPr="00460143" w:rsidRDefault="006B4A94" w:rsidP="004F33D5">
            <w:pPr>
              <w:pStyle w:val="TableText0"/>
              <w:keepLines/>
              <w:jc w:val="right"/>
              <w:rPr>
                <w:color w:val="000000"/>
              </w:rPr>
            </w:pPr>
            <w:r w:rsidRPr="006B4A94">
              <w:rPr>
                <w:color w:val="000000"/>
                <w:spacing w:val="53"/>
                <w:shd w:val="solid" w:color="000000" w:fill="000000"/>
                <w:fitText w:val="330" w:id="-632577526"/>
                <w14:textFill>
                  <w14:solidFill>
                    <w14:srgbClr w14:val="000000">
                      <w14:alpha w14:val="100000"/>
                    </w14:srgbClr>
                  </w14:solidFill>
                </w14:textFill>
              </w:rPr>
              <w:t>|||</w:t>
            </w:r>
            <w:r w:rsidRPr="006B4A94">
              <w:rPr>
                <w:color w:val="000000"/>
                <w:spacing w:val="1"/>
                <w:shd w:val="solid" w:color="000000" w:fill="000000"/>
                <w:fitText w:val="330" w:id="-632577526"/>
                <w14:textFill>
                  <w14:solidFill>
                    <w14:srgbClr w14:val="000000">
                      <w14:alpha w14:val="100000"/>
                    </w14:srgbClr>
                  </w14:solidFill>
                </w14:textFill>
              </w:rPr>
              <w:t>|</w:t>
            </w:r>
            <w:r w:rsidR="00CF14F3">
              <w:rPr>
                <w:color w:val="000000"/>
                <w:vertAlign w:val="superscript"/>
              </w:rPr>
              <w:t>1</w:t>
            </w:r>
          </w:p>
        </w:tc>
        <w:tc>
          <w:tcPr>
            <w:tcW w:w="626" w:type="pct"/>
            <w:vAlign w:val="center"/>
          </w:tcPr>
          <w:p w14:paraId="6D76F480" w14:textId="505AC1C7" w:rsidR="004F33D5" w:rsidRPr="00460143" w:rsidRDefault="006B4A94" w:rsidP="004F33D5">
            <w:pPr>
              <w:pStyle w:val="TableText0"/>
              <w:keepLines/>
              <w:jc w:val="right"/>
              <w:rPr>
                <w:color w:val="000000"/>
              </w:rPr>
            </w:pPr>
            <w:r w:rsidRPr="006B4A94">
              <w:rPr>
                <w:color w:val="000000"/>
                <w:spacing w:val="53"/>
                <w:shd w:val="solid" w:color="000000" w:fill="000000"/>
                <w:fitText w:val="330" w:id="-632577525"/>
                <w14:textFill>
                  <w14:solidFill>
                    <w14:srgbClr w14:val="000000">
                      <w14:alpha w14:val="100000"/>
                    </w14:srgbClr>
                  </w14:solidFill>
                </w14:textFill>
              </w:rPr>
              <w:t>|||</w:t>
            </w:r>
            <w:r w:rsidRPr="006B4A94">
              <w:rPr>
                <w:color w:val="000000"/>
                <w:spacing w:val="1"/>
                <w:shd w:val="solid" w:color="000000" w:fill="000000"/>
                <w:fitText w:val="330" w:id="-632577525"/>
                <w14:textFill>
                  <w14:solidFill>
                    <w14:srgbClr w14:val="000000">
                      <w14:alpha w14:val="100000"/>
                    </w14:srgbClr>
                  </w14:solidFill>
                </w14:textFill>
              </w:rPr>
              <w:t>|</w:t>
            </w:r>
            <w:r w:rsidR="00CF14F3">
              <w:rPr>
                <w:color w:val="000000"/>
                <w:vertAlign w:val="superscript"/>
              </w:rPr>
              <w:t>1</w:t>
            </w:r>
          </w:p>
        </w:tc>
        <w:tc>
          <w:tcPr>
            <w:tcW w:w="626" w:type="pct"/>
            <w:vAlign w:val="center"/>
          </w:tcPr>
          <w:p w14:paraId="078EC90A" w14:textId="23A9900B" w:rsidR="004F33D5" w:rsidRPr="00460143" w:rsidRDefault="006B4A94" w:rsidP="004F33D5">
            <w:pPr>
              <w:pStyle w:val="TableText0"/>
              <w:keepLines/>
              <w:jc w:val="right"/>
              <w:rPr>
                <w:color w:val="000000"/>
              </w:rPr>
            </w:pPr>
            <w:r w:rsidRPr="006B4A94">
              <w:rPr>
                <w:color w:val="000000"/>
                <w:spacing w:val="53"/>
                <w:shd w:val="solid" w:color="000000" w:fill="000000"/>
                <w:fitText w:val="330" w:id="-632577524"/>
                <w14:textFill>
                  <w14:solidFill>
                    <w14:srgbClr w14:val="000000">
                      <w14:alpha w14:val="100000"/>
                    </w14:srgbClr>
                  </w14:solidFill>
                </w14:textFill>
              </w:rPr>
              <w:t>|||</w:t>
            </w:r>
            <w:r w:rsidRPr="006B4A94">
              <w:rPr>
                <w:color w:val="000000"/>
                <w:spacing w:val="1"/>
                <w:shd w:val="solid" w:color="000000" w:fill="000000"/>
                <w:fitText w:val="330" w:id="-632577524"/>
                <w14:textFill>
                  <w14:solidFill>
                    <w14:srgbClr w14:val="000000">
                      <w14:alpha w14:val="100000"/>
                    </w14:srgbClr>
                  </w14:solidFill>
                </w14:textFill>
              </w:rPr>
              <w:t>|</w:t>
            </w:r>
            <w:r w:rsidR="00CF14F3">
              <w:rPr>
                <w:color w:val="000000"/>
                <w:vertAlign w:val="superscript"/>
              </w:rPr>
              <w:t>1</w:t>
            </w:r>
          </w:p>
        </w:tc>
        <w:tc>
          <w:tcPr>
            <w:tcW w:w="922" w:type="pct"/>
            <w:vAlign w:val="center"/>
          </w:tcPr>
          <w:p w14:paraId="0BC345E6" w14:textId="034DE35D" w:rsidR="004F33D5" w:rsidRPr="00460143" w:rsidRDefault="006B4A94" w:rsidP="004F33D5">
            <w:pPr>
              <w:pStyle w:val="TableText0"/>
              <w:keepLines/>
              <w:jc w:val="right"/>
              <w:rPr>
                <w:color w:val="000000"/>
              </w:rPr>
            </w:pPr>
            <w:r w:rsidRPr="006B4A94">
              <w:rPr>
                <w:color w:val="000000"/>
                <w:spacing w:val="53"/>
                <w:shd w:val="solid" w:color="000000" w:fill="000000"/>
                <w:fitText w:val="330" w:id="-632577523"/>
                <w14:textFill>
                  <w14:solidFill>
                    <w14:srgbClr w14:val="000000">
                      <w14:alpha w14:val="100000"/>
                    </w14:srgbClr>
                  </w14:solidFill>
                </w14:textFill>
              </w:rPr>
              <w:t>|||</w:t>
            </w:r>
            <w:r w:rsidRPr="006B4A94">
              <w:rPr>
                <w:color w:val="000000"/>
                <w:spacing w:val="1"/>
                <w:shd w:val="solid" w:color="000000" w:fill="000000"/>
                <w:fitText w:val="330" w:id="-632577523"/>
                <w14:textFill>
                  <w14:solidFill>
                    <w14:srgbClr w14:val="000000">
                      <w14:alpha w14:val="100000"/>
                    </w14:srgbClr>
                  </w14:solidFill>
                </w14:textFill>
              </w:rPr>
              <w:t>|</w:t>
            </w:r>
            <w:r w:rsidR="00CF14F3">
              <w:rPr>
                <w:color w:val="000000"/>
                <w:vertAlign w:val="superscript"/>
              </w:rPr>
              <w:t>1</w:t>
            </w:r>
          </w:p>
        </w:tc>
      </w:tr>
      <w:tr w:rsidR="004F33D5" w:rsidRPr="00460143" w14:paraId="046AEB1E" w14:textId="77777777" w:rsidTr="00D52E79">
        <w:trPr>
          <w:cantSplit/>
          <w:jc w:val="center"/>
        </w:trPr>
        <w:tc>
          <w:tcPr>
            <w:tcW w:w="5000" w:type="pct"/>
            <w:gridSpan w:val="7"/>
            <w:vAlign w:val="center"/>
          </w:tcPr>
          <w:p w14:paraId="750CBAE5" w14:textId="2DA2F2BE" w:rsidR="004F33D5" w:rsidRPr="00460143" w:rsidRDefault="004F33D5" w:rsidP="004F33D5">
            <w:pPr>
              <w:pStyle w:val="TableText0"/>
              <w:keepLines/>
              <w:rPr>
                <w:b/>
                <w:color w:val="000000"/>
              </w:rPr>
            </w:pPr>
            <w:r w:rsidRPr="00460143">
              <w:rPr>
                <w:b/>
                <w:color w:val="000000"/>
              </w:rPr>
              <w:t>Estimated financial implications of ocrelizumab SC</w:t>
            </w:r>
          </w:p>
        </w:tc>
      </w:tr>
      <w:tr w:rsidR="004F33D5" w:rsidRPr="00460143" w14:paraId="3993658E" w14:textId="77777777" w:rsidTr="00D52E79">
        <w:trPr>
          <w:cantSplit/>
          <w:jc w:val="center"/>
        </w:trPr>
        <w:tc>
          <w:tcPr>
            <w:tcW w:w="951" w:type="pct"/>
            <w:vAlign w:val="center"/>
          </w:tcPr>
          <w:p w14:paraId="375802A8" w14:textId="6319626B" w:rsidR="004F33D5" w:rsidRPr="00460143" w:rsidRDefault="004F33D5" w:rsidP="004F33D5">
            <w:pPr>
              <w:pStyle w:val="TableText0"/>
              <w:keepLines/>
            </w:pPr>
            <w:r w:rsidRPr="00460143">
              <w:t>Cost to PBS/RPBS less co-payment</w:t>
            </w:r>
          </w:p>
        </w:tc>
        <w:tc>
          <w:tcPr>
            <w:tcW w:w="625" w:type="pct"/>
            <w:vAlign w:val="center"/>
          </w:tcPr>
          <w:p w14:paraId="466AAD3D" w14:textId="1AB04994" w:rsidR="004F33D5" w:rsidRPr="00211361" w:rsidRDefault="00C67D79" w:rsidP="004F33D5">
            <w:pPr>
              <w:pStyle w:val="TableText0"/>
              <w:keepLines/>
              <w:jc w:val="right"/>
              <w:rPr>
                <w:color w:val="000000"/>
                <w:vertAlign w:val="superscript"/>
              </w:rPr>
            </w:pPr>
            <w:r w:rsidRPr="00460143">
              <w:rPr>
                <w:color w:val="000000"/>
              </w:rPr>
              <w:t>$</w:t>
            </w:r>
            <w:r w:rsidR="006B4A94" w:rsidRPr="006B4A94">
              <w:rPr>
                <w:color w:val="000000"/>
                <w:spacing w:val="53"/>
                <w:shd w:val="solid" w:color="000000" w:fill="000000"/>
                <w:fitText w:val="330" w:id="-632577522"/>
                <w14:textFill>
                  <w14:solidFill>
                    <w14:srgbClr w14:val="000000">
                      <w14:alpha w14:val="100000"/>
                    </w14:srgbClr>
                  </w14:solidFill>
                </w14:textFill>
              </w:rPr>
              <w:t>|||</w:t>
            </w:r>
            <w:r w:rsidR="006B4A94" w:rsidRPr="006B4A94">
              <w:rPr>
                <w:color w:val="000000"/>
                <w:spacing w:val="1"/>
                <w:shd w:val="solid" w:color="000000" w:fill="000000"/>
                <w:fitText w:val="330" w:id="-632577522"/>
                <w14:textFill>
                  <w14:solidFill>
                    <w14:srgbClr w14:val="000000">
                      <w14:alpha w14:val="100000"/>
                    </w14:srgbClr>
                  </w14:solidFill>
                </w14:textFill>
              </w:rPr>
              <w:t>|</w:t>
            </w:r>
            <w:r w:rsidR="00AE363C">
              <w:rPr>
                <w:color w:val="000000"/>
                <w:vertAlign w:val="superscript"/>
              </w:rPr>
              <w:t>2</w:t>
            </w:r>
          </w:p>
        </w:tc>
        <w:tc>
          <w:tcPr>
            <w:tcW w:w="625" w:type="pct"/>
            <w:vAlign w:val="center"/>
          </w:tcPr>
          <w:p w14:paraId="0584DE92" w14:textId="02899FCC" w:rsidR="004F33D5" w:rsidRPr="00460143" w:rsidRDefault="00C67D79"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1"/>
                <w14:textFill>
                  <w14:solidFill>
                    <w14:srgbClr w14:val="000000">
                      <w14:alpha w14:val="100000"/>
                    </w14:srgbClr>
                  </w14:solidFill>
                </w14:textFill>
              </w:rPr>
              <w:t>|||</w:t>
            </w:r>
            <w:r w:rsidR="006B4A94" w:rsidRPr="006B4A94">
              <w:rPr>
                <w:color w:val="000000"/>
                <w:spacing w:val="1"/>
                <w:shd w:val="solid" w:color="000000" w:fill="000000"/>
                <w:fitText w:val="330" w:id="-632577521"/>
                <w14:textFill>
                  <w14:solidFill>
                    <w14:srgbClr w14:val="000000">
                      <w14:alpha w14:val="100000"/>
                    </w14:srgbClr>
                  </w14:solidFill>
                </w14:textFill>
              </w:rPr>
              <w:t>|</w:t>
            </w:r>
            <w:r w:rsidR="00AE363C">
              <w:rPr>
                <w:color w:val="000000"/>
                <w:vertAlign w:val="superscript"/>
              </w:rPr>
              <w:t>2</w:t>
            </w:r>
          </w:p>
        </w:tc>
        <w:tc>
          <w:tcPr>
            <w:tcW w:w="626" w:type="pct"/>
            <w:vAlign w:val="center"/>
          </w:tcPr>
          <w:p w14:paraId="555B3F9C" w14:textId="17388DDC" w:rsidR="004F33D5" w:rsidRPr="00460143" w:rsidRDefault="00C67D79"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0"/>
                <w14:textFill>
                  <w14:solidFill>
                    <w14:srgbClr w14:val="000000">
                      <w14:alpha w14:val="100000"/>
                    </w14:srgbClr>
                  </w14:solidFill>
                </w14:textFill>
              </w:rPr>
              <w:t>|||</w:t>
            </w:r>
            <w:r w:rsidR="006B4A94" w:rsidRPr="006B4A94">
              <w:rPr>
                <w:color w:val="000000"/>
                <w:spacing w:val="1"/>
                <w:shd w:val="solid" w:color="000000" w:fill="000000"/>
                <w:fitText w:val="330" w:id="-632577520"/>
                <w14:textFill>
                  <w14:solidFill>
                    <w14:srgbClr w14:val="000000">
                      <w14:alpha w14:val="100000"/>
                    </w14:srgbClr>
                  </w14:solidFill>
                </w14:textFill>
              </w:rPr>
              <w:t>|</w:t>
            </w:r>
            <w:r w:rsidR="00AE363C">
              <w:rPr>
                <w:color w:val="000000"/>
                <w:vertAlign w:val="superscript"/>
              </w:rPr>
              <w:t>2</w:t>
            </w:r>
          </w:p>
        </w:tc>
        <w:tc>
          <w:tcPr>
            <w:tcW w:w="626" w:type="pct"/>
            <w:vAlign w:val="center"/>
          </w:tcPr>
          <w:p w14:paraId="28A422D5" w14:textId="6AA74D67" w:rsidR="004F33D5" w:rsidRPr="00460143" w:rsidRDefault="00C67D79"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6"/>
                <w14:textFill>
                  <w14:solidFill>
                    <w14:srgbClr w14:val="000000">
                      <w14:alpha w14:val="100000"/>
                    </w14:srgbClr>
                  </w14:solidFill>
                </w14:textFill>
              </w:rPr>
              <w:t>|||</w:t>
            </w:r>
            <w:r w:rsidR="006B4A94" w:rsidRPr="006B4A94">
              <w:rPr>
                <w:color w:val="000000"/>
                <w:spacing w:val="1"/>
                <w:shd w:val="solid" w:color="000000" w:fill="000000"/>
                <w:fitText w:val="330" w:id="-632577536"/>
                <w14:textFill>
                  <w14:solidFill>
                    <w14:srgbClr w14:val="000000">
                      <w14:alpha w14:val="100000"/>
                    </w14:srgbClr>
                  </w14:solidFill>
                </w14:textFill>
              </w:rPr>
              <w:t>|</w:t>
            </w:r>
            <w:r w:rsidR="00AE363C">
              <w:rPr>
                <w:color w:val="000000"/>
                <w:vertAlign w:val="superscript"/>
              </w:rPr>
              <w:t>2</w:t>
            </w:r>
          </w:p>
        </w:tc>
        <w:tc>
          <w:tcPr>
            <w:tcW w:w="626" w:type="pct"/>
            <w:vAlign w:val="center"/>
          </w:tcPr>
          <w:p w14:paraId="3BD91315" w14:textId="3B4F1D55" w:rsidR="004F33D5" w:rsidRPr="00211361" w:rsidRDefault="00C67D79" w:rsidP="004F33D5">
            <w:pPr>
              <w:pStyle w:val="TableText0"/>
              <w:keepLines/>
              <w:jc w:val="right"/>
              <w:rPr>
                <w:color w:val="000000"/>
                <w:vertAlign w:val="superscript"/>
              </w:rPr>
            </w:pPr>
            <w:r w:rsidRPr="00460143">
              <w:rPr>
                <w:color w:val="000000"/>
              </w:rPr>
              <w:t>$</w:t>
            </w:r>
            <w:r w:rsidR="006B4A94" w:rsidRPr="006B4A94">
              <w:rPr>
                <w:color w:val="000000"/>
                <w:spacing w:val="53"/>
                <w:shd w:val="solid" w:color="000000" w:fill="000000"/>
                <w:fitText w:val="330" w:id="-632577535"/>
                <w14:textFill>
                  <w14:solidFill>
                    <w14:srgbClr w14:val="000000">
                      <w14:alpha w14:val="100000"/>
                    </w14:srgbClr>
                  </w14:solidFill>
                </w14:textFill>
              </w:rPr>
              <w:t>|||</w:t>
            </w:r>
            <w:r w:rsidR="006B4A94" w:rsidRPr="006B4A94">
              <w:rPr>
                <w:color w:val="000000"/>
                <w:spacing w:val="1"/>
                <w:shd w:val="solid" w:color="000000" w:fill="000000"/>
                <w:fitText w:val="330" w:id="-632577535"/>
                <w14:textFill>
                  <w14:solidFill>
                    <w14:srgbClr w14:val="000000">
                      <w14:alpha w14:val="100000"/>
                    </w14:srgbClr>
                  </w14:solidFill>
                </w14:textFill>
              </w:rPr>
              <w:t>|</w:t>
            </w:r>
            <w:r w:rsidR="00912F52">
              <w:rPr>
                <w:color w:val="000000"/>
                <w:vertAlign w:val="superscript"/>
              </w:rPr>
              <w:t>3</w:t>
            </w:r>
          </w:p>
        </w:tc>
        <w:tc>
          <w:tcPr>
            <w:tcW w:w="922" w:type="pct"/>
            <w:vAlign w:val="center"/>
          </w:tcPr>
          <w:p w14:paraId="11BDCDF8" w14:textId="1C56186D" w:rsidR="004F33D5" w:rsidRPr="00460143" w:rsidRDefault="00C67D79"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4"/>
                <w14:textFill>
                  <w14:solidFill>
                    <w14:srgbClr w14:val="000000">
                      <w14:alpha w14:val="100000"/>
                    </w14:srgbClr>
                  </w14:solidFill>
                </w14:textFill>
              </w:rPr>
              <w:t>|||</w:t>
            </w:r>
            <w:r w:rsidR="006B4A94" w:rsidRPr="006B4A94">
              <w:rPr>
                <w:color w:val="000000"/>
                <w:spacing w:val="1"/>
                <w:shd w:val="solid" w:color="000000" w:fill="000000"/>
                <w:fitText w:val="330" w:id="-632577534"/>
                <w14:textFill>
                  <w14:solidFill>
                    <w14:srgbClr w14:val="000000">
                      <w14:alpha w14:val="100000"/>
                    </w14:srgbClr>
                  </w14:solidFill>
                </w14:textFill>
              </w:rPr>
              <w:t>|</w:t>
            </w:r>
            <w:r w:rsidR="00912F52">
              <w:rPr>
                <w:color w:val="000000"/>
                <w:vertAlign w:val="superscript"/>
              </w:rPr>
              <w:t>3</w:t>
            </w:r>
          </w:p>
        </w:tc>
      </w:tr>
      <w:tr w:rsidR="00195FA6" w:rsidRPr="00460143" w14:paraId="4112E94C" w14:textId="77777777" w:rsidTr="00D52E79">
        <w:trPr>
          <w:cantSplit/>
          <w:jc w:val="center"/>
        </w:trPr>
        <w:tc>
          <w:tcPr>
            <w:tcW w:w="5000" w:type="pct"/>
            <w:gridSpan w:val="7"/>
            <w:vAlign w:val="center"/>
          </w:tcPr>
          <w:p w14:paraId="0D8EF9D4" w14:textId="30BC3497" w:rsidR="00195FA6" w:rsidRPr="00460143" w:rsidRDefault="00195FA6" w:rsidP="00D52E79">
            <w:pPr>
              <w:pStyle w:val="TableText0"/>
              <w:keepLines/>
              <w:rPr>
                <w:iCs/>
                <w:color w:val="000000"/>
              </w:rPr>
            </w:pPr>
            <w:r w:rsidRPr="00460143">
              <w:rPr>
                <w:b/>
                <w:color w:val="000000"/>
              </w:rPr>
              <w:t xml:space="preserve">Estimated financial implications of ocrelizumab </w:t>
            </w:r>
            <w:r w:rsidRPr="00460143">
              <w:rPr>
                <w:b/>
                <w:iCs/>
                <w:color w:val="000000"/>
              </w:rPr>
              <w:t>IV</w:t>
            </w:r>
          </w:p>
        </w:tc>
      </w:tr>
      <w:tr w:rsidR="00BE6D0D" w:rsidRPr="00460143" w14:paraId="1F997990" w14:textId="77777777" w:rsidTr="00D52E79">
        <w:trPr>
          <w:cantSplit/>
          <w:jc w:val="center"/>
        </w:trPr>
        <w:tc>
          <w:tcPr>
            <w:tcW w:w="951" w:type="pct"/>
            <w:vAlign w:val="center"/>
          </w:tcPr>
          <w:p w14:paraId="57D09328" w14:textId="2A0E6AB0" w:rsidR="00BE6D0D" w:rsidRPr="00460143" w:rsidRDefault="00BE6D0D" w:rsidP="00BE6D0D">
            <w:pPr>
              <w:pStyle w:val="TableText0"/>
              <w:keepLines/>
            </w:pPr>
            <w:r w:rsidRPr="00460143">
              <w:t>Cost to PBS/RPBS less co-payment</w:t>
            </w:r>
          </w:p>
        </w:tc>
        <w:tc>
          <w:tcPr>
            <w:tcW w:w="625" w:type="pct"/>
            <w:vAlign w:val="center"/>
          </w:tcPr>
          <w:p w14:paraId="77AA3C4C" w14:textId="17C334D3"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3"/>
                <w14:textFill>
                  <w14:solidFill>
                    <w14:srgbClr w14:val="000000">
                      <w14:alpha w14:val="100000"/>
                    </w14:srgbClr>
                  </w14:solidFill>
                </w14:textFill>
              </w:rPr>
              <w:t>|||</w:t>
            </w:r>
            <w:r w:rsidR="006B4A94" w:rsidRPr="006B4A94">
              <w:rPr>
                <w:color w:val="000000"/>
                <w:spacing w:val="1"/>
                <w:shd w:val="solid" w:color="000000" w:fill="000000"/>
                <w:fitText w:val="330" w:id="-632577533"/>
                <w14:textFill>
                  <w14:solidFill>
                    <w14:srgbClr w14:val="000000">
                      <w14:alpha w14:val="100000"/>
                    </w14:srgbClr>
                  </w14:solidFill>
                </w14:textFill>
              </w:rPr>
              <w:t>|</w:t>
            </w:r>
            <w:r w:rsidR="00F2113A">
              <w:rPr>
                <w:color w:val="000000"/>
                <w:vertAlign w:val="superscript"/>
              </w:rPr>
              <w:t>2</w:t>
            </w:r>
          </w:p>
        </w:tc>
        <w:tc>
          <w:tcPr>
            <w:tcW w:w="625" w:type="pct"/>
            <w:vAlign w:val="center"/>
          </w:tcPr>
          <w:p w14:paraId="58D8167C" w14:textId="5E2B6A45"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2"/>
                <w14:textFill>
                  <w14:solidFill>
                    <w14:srgbClr w14:val="000000">
                      <w14:alpha w14:val="100000"/>
                    </w14:srgbClr>
                  </w14:solidFill>
                </w14:textFill>
              </w:rPr>
              <w:t>|||</w:t>
            </w:r>
            <w:r w:rsidR="006B4A94" w:rsidRPr="006B4A94">
              <w:rPr>
                <w:color w:val="000000"/>
                <w:spacing w:val="1"/>
                <w:shd w:val="solid" w:color="000000" w:fill="000000"/>
                <w:fitText w:val="330" w:id="-632577532"/>
                <w14:textFill>
                  <w14:solidFill>
                    <w14:srgbClr w14:val="000000">
                      <w14:alpha w14:val="100000"/>
                    </w14:srgbClr>
                  </w14:solidFill>
                </w14:textFill>
              </w:rPr>
              <w:t>|</w:t>
            </w:r>
            <w:r w:rsidR="00F2113A">
              <w:rPr>
                <w:color w:val="000000"/>
                <w:vertAlign w:val="superscript"/>
              </w:rPr>
              <w:t>2</w:t>
            </w:r>
          </w:p>
        </w:tc>
        <w:tc>
          <w:tcPr>
            <w:tcW w:w="626" w:type="pct"/>
            <w:vAlign w:val="center"/>
          </w:tcPr>
          <w:p w14:paraId="74E37C05" w14:textId="2A56AAD0"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1"/>
                <w14:textFill>
                  <w14:solidFill>
                    <w14:srgbClr w14:val="000000">
                      <w14:alpha w14:val="100000"/>
                    </w14:srgbClr>
                  </w14:solidFill>
                </w14:textFill>
              </w:rPr>
              <w:t>|||</w:t>
            </w:r>
            <w:r w:rsidR="006B4A94" w:rsidRPr="006B4A94">
              <w:rPr>
                <w:color w:val="000000"/>
                <w:spacing w:val="1"/>
                <w:shd w:val="solid" w:color="000000" w:fill="000000"/>
                <w:fitText w:val="330" w:id="-632577531"/>
                <w14:textFill>
                  <w14:solidFill>
                    <w14:srgbClr w14:val="000000">
                      <w14:alpha w14:val="100000"/>
                    </w14:srgbClr>
                  </w14:solidFill>
                </w14:textFill>
              </w:rPr>
              <w:t>|</w:t>
            </w:r>
            <w:r w:rsidR="00F2113A">
              <w:rPr>
                <w:color w:val="000000"/>
                <w:vertAlign w:val="superscript"/>
              </w:rPr>
              <w:t>2</w:t>
            </w:r>
          </w:p>
        </w:tc>
        <w:tc>
          <w:tcPr>
            <w:tcW w:w="626" w:type="pct"/>
            <w:vAlign w:val="center"/>
          </w:tcPr>
          <w:p w14:paraId="5619B803" w14:textId="0A65710A"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30"/>
                <w14:textFill>
                  <w14:solidFill>
                    <w14:srgbClr w14:val="000000">
                      <w14:alpha w14:val="100000"/>
                    </w14:srgbClr>
                  </w14:solidFill>
                </w14:textFill>
              </w:rPr>
              <w:t>|||</w:t>
            </w:r>
            <w:r w:rsidR="006B4A94" w:rsidRPr="006B4A94">
              <w:rPr>
                <w:color w:val="000000"/>
                <w:spacing w:val="1"/>
                <w:shd w:val="solid" w:color="000000" w:fill="000000"/>
                <w:fitText w:val="330" w:id="-632577530"/>
                <w14:textFill>
                  <w14:solidFill>
                    <w14:srgbClr w14:val="000000">
                      <w14:alpha w14:val="100000"/>
                    </w14:srgbClr>
                  </w14:solidFill>
                </w14:textFill>
              </w:rPr>
              <w:t>|</w:t>
            </w:r>
            <w:r w:rsidR="00F2113A">
              <w:rPr>
                <w:color w:val="000000"/>
                <w:vertAlign w:val="superscript"/>
              </w:rPr>
              <w:t>2</w:t>
            </w:r>
          </w:p>
        </w:tc>
        <w:tc>
          <w:tcPr>
            <w:tcW w:w="626" w:type="pct"/>
            <w:vAlign w:val="center"/>
          </w:tcPr>
          <w:p w14:paraId="33B53005" w14:textId="3060B753"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9"/>
                <w14:textFill>
                  <w14:solidFill>
                    <w14:srgbClr w14:val="000000">
                      <w14:alpha w14:val="100000"/>
                    </w14:srgbClr>
                  </w14:solidFill>
                </w14:textFill>
              </w:rPr>
              <w:t>|||</w:t>
            </w:r>
            <w:r w:rsidR="006B4A94" w:rsidRPr="006B4A94">
              <w:rPr>
                <w:color w:val="000000"/>
                <w:spacing w:val="1"/>
                <w:shd w:val="solid" w:color="000000" w:fill="000000"/>
                <w:fitText w:val="330" w:id="-632577529"/>
                <w14:textFill>
                  <w14:solidFill>
                    <w14:srgbClr w14:val="000000">
                      <w14:alpha w14:val="100000"/>
                    </w14:srgbClr>
                  </w14:solidFill>
                </w14:textFill>
              </w:rPr>
              <w:t>|</w:t>
            </w:r>
            <w:r w:rsidR="00F2113A">
              <w:rPr>
                <w:color w:val="000000"/>
                <w:vertAlign w:val="superscript"/>
              </w:rPr>
              <w:t>3</w:t>
            </w:r>
          </w:p>
        </w:tc>
        <w:tc>
          <w:tcPr>
            <w:tcW w:w="922" w:type="pct"/>
            <w:vAlign w:val="center"/>
          </w:tcPr>
          <w:p w14:paraId="48FFFCFE" w14:textId="1CB550A5" w:rsidR="00BE6D0D" w:rsidRPr="00460143" w:rsidRDefault="00BE6D0D" w:rsidP="00BE6D0D">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8"/>
                <w14:textFill>
                  <w14:solidFill>
                    <w14:srgbClr w14:val="000000">
                      <w14:alpha w14:val="100000"/>
                    </w14:srgbClr>
                  </w14:solidFill>
                </w14:textFill>
              </w:rPr>
              <w:t>|||</w:t>
            </w:r>
            <w:r w:rsidR="006B4A94" w:rsidRPr="006B4A94">
              <w:rPr>
                <w:color w:val="000000"/>
                <w:spacing w:val="1"/>
                <w:shd w:val="solid" w:color="000000" w:fill="000000"/>
                <w:fitText w:val="330" w:id="-632577528"/>
                <w14:textFill>
                  <w14:solidFill>
                    <w14:srgbClr w14:val="000000">
                      <w14:alpha w14:val="100000"/>
                    </w14:srgbClr>
                  </w14:solidFill>
                </w14:textFill>
              </w:rPr>
              <w:t>|</w:t>
            </w:r>
            <w:r w:rsidR="00F2113A">
              <w:rPr>
                <w:color w:val="000000"/>
                <w:vertAlign w:val="superscript"/>
              </w:rPr>
              <w:t>3</w:t>
            </w:r>
          </w:p>
        </w:tc>
      </w:tr>
      <w:tr w:rsidR="004F33D5" w:rsidRPr="00460143" w14:paraId="3CD835A0" w14:textId="77777777" w:rsidTr="00D52E79">
        <w:trPr>
          <w:cantSplit/>
          <w:jc w:val="center"/>
        </w:trPr>
        <w:tc>
          <w:tcPr>
            <w:tcW w:w="5000" w:type="pct"/>
            <w:gridSpan w:val="7"/>
            <w:vAlign w:val="center"/>
          </w:tcPr>
          <w:p w14:paraId="0717F32A" w14:textId="599CB1D7" w:rsidR="004F33D5" w:rsidRPr="00460143" w:rsidRDefault="004F33D5" w:rsidP="004F33D5">
            <w:pPr>
              <w:pStyle w:val="TableText0"/>
              <w:keepLines/>
              <w:rPr>
                <w:b/>
                <w:bCs w:val="0"/>
                <w:color w:val="000000"/>
              </w:rPr>
            </w:pPr>
            <w:r w:rsidRPr="00460143">
              <w:rPr>
                <w:b/>
                <w:bCs w:val="0"/>
                <w:color w:val="000000"/>
              </w:rPr>
              <w:t>Net financial implications</w:t>
            </w:r>
          </w:p>
        </w:tc>
      </w:tr>
      <w:tr w:rsidR="004F33D5" w:rsidRPr="00460143" w14:paraId="6DC7AAF7" w14:textId="77777777" w:rsidTr="00D52E79">
        <w:trPr>
          <w:cantSplit/>
          <w:jc w:val="center"/>
        </w:trPr>
        <w:tc>
          <w:tcPr>
            <w:tcW w:w="951" w:type="pct"/>
            <w:vAlign w:val="center"/>
          </w:tcPr>
          <w:p w14:paraId="41FA959D" w14:textId="11DDC294" w:rsidR="004F33D5" w:rsidRPr="00460143" w:rsidRDefault="004F33D5" w:rsidP="004F33D5">
            <w:pPr>
              <w:pStyle w:val="TableText0"/>
              <w:keepLines/>
            </w:pPr>
            <w:r w:rsidRPr="00460143">
              <w:t>Net cost to PBS/RPBS</w:t>
            </w:r>
          </w:p>
        </w:tc>
        <w:tc>
          <w:tcPr>
            <w:tcW w:w="625" w:type="pct"/>
          </w:tcPr>
          <w:p w14:paraId="3A9C3844" w14:textId="4D813FF3" w:rsidR="004F33D5" w:rsidRPr="00183992" w:rsidRDefault="004F33D5" w:rsidP="004F33D5">
            <w:pPr>
              <w:pStyle w:val="TableText0"/>
              <w:keepLines/>
              <w:jc w:val="right"/>
              <w:rPr>
                <w:color w:val="000000"/>
              </w:rPr>
            </w:pPr>
          </w:p>
          <w:p w14:paraId="454A7C1B" w14:textId="66F52D0D" w:rsidR="004F33D5" w:rsidRPr="00211361" w:rsidRDefault="004F33D5" w:rsidP="004F33D5">
            <w:pPr>
              <w:pStyle w:val="TableText0"/>
              <w:keepLines/>
              <w:jc w:val="right"/>
              <w:rPr>
                <w:color w:val="000000"/>
                <w:vertAlign w:val="superscript"/>
              </w:rPr>
            </w:pPr>
            <w:r w:rsidRPr="00183992">
              <w:rPr>
                <w:color w:val="000000"/>
              </w:rPr>
              <w:t>$</w:t>
            </w:r>
            <w:r w:rsidR="006B4A94" w:rsidRPr="006B4A94">
              <w:rPr>
                <w:color w:val="000000"/>
                <w:spacing w:val="53"/>
                <w:shd w:val="solid" w:color="000000" w:fill="000000"/>
                <w:fitText w:val="330" w:id="-632577527"/>
                <w14:textFill>
                  <w14:solidFill>
                    <w14:srgbClr w14:val="000000">
                      <w14:alpha w14:val="100000"/>
                    </w14:srgbClr>
                  </w14:solidFill>
                </w14:textFill>
              </w:rPr>
              <w:t>|||</w:t>
            </w:r>
            <w:r w:rsidR="006B4A94" w:rsidRPr="006B4A94">
              <w:rPr>
                <w:color w:val="000000"/>
                <w:spacing w:val="1"/>
                <w:shd w:val="solid" w:color="000000" w:fill="000000"/>
                <w:fitText w:val="330" w:id="-632577527"/>
                <w14:textFill>
                  <w14:solidFill>
                    <w14:srgbClr w14:val="000000">
                      <w14:alpha w14:val="100000"/>
                    </w14:srgbClr>
                  </w14:solidFill>
                </w14:textFill>
              </w:rPr>
              <w:t>|</w:t>
            </w:r>
            <w:r w:rsidR="001414E9" w:rsidRPr="00211361">
              <w:rPr>
                <w:color w:val="000000"/>
                <w:vertAlign w:val="superscript"/>
              </w:rPr>
              <w:t>4</w:t>
            </w:r>
          </w:p>
        </w:tc>
        <w:tc>
          <w:tcPr>
            <w:tcW w:w="625" w:type="pct"/>
          </w:tcPr>
          <w:p w14:paraId="3573862C" w14:textId="77777777" w:rsidR="004F33D5" w:rsidRPr="00183992" w:rsidRDefault="004F33D5" w:rsidP="004F33D5">
            <w:pPr>
              <w:pStyle w:val="TableText0"/>
              <w:keepLines/>
              <w:jc w:val="right"/>
              <w:rPr>
                <w:color w:val="000000"/>
              </w:rPr>
            </w:pPr>
          </w:p>
          <w:p w14:paraId="5587EA01" w14:textId="18D706D4" w:rsidR="004F33D5" w:rsidRPr="00183992" w:rsidRDefault="004F33D5" w:rsidP="004F33D5">
            <w:pPr>
              <w:pStyle w:val="TableText0"/>
              <w:keepLines/>
              <w:jc w:val="right"/>
              <w:rPr>
                <w:color w:val="000000"/>
              </w:rPr>
            </w:pPr>
            <w:r w:rsidRPr="00183992">
              <w:rPr>
                <w:color w:val="000000"/>
              </w:rPr>
              <w:t>$</w:t>
            </w:r>
            <w:r w:rsidR="006B4A94" w:rsidRPr="006B4A94">
              <w:rPr>
                <w:color w:val="000000"/>
                <w:spacing w:val="53"/>
                <w:shd w:val="solid" w:color="000000" w:fill="000000"/>
                <w:fitText w:val="330" w:id="-632577526"/>
                <w14:textFill>
                  <w14:solidFill>
                    <w14:srgbClr w14:val="000000">
                      <w14:alpha w14:val="100000"/>
                    </w14:srgbClr>
                  </w14:solidFill>
                </w14:textFill>
              </w:rPr>
              <w:t>|||</w:t>
            </w:r>
            <w:r w:rsidR="006B4A94" w:rsidRPr="006B4A94">
              <w:rPr>
                <w:color w:val="000000"/>
                <w:spacing w:val="1"/>
                <w:shd w:val="solid" w:color="000000" w:fill="000000"/>
                <w:fitText w:val="330" w:id="-632577526"/>
                <w14:textFill>
                  <w14:solidFill>
                    <w14:srgbClr w14:val="000000">
                      <w14:alpha w14:val="100000"/>
                    </w14:srgbClr>
                  </w14:solidFill>
                </w14:textFill>
              </w:rPr>
              <w:t>|</w:t>
            </w:r>
            <w:r w:rsidR="0056404C" w:rsidRPr="00E067EF">
              <w:rPr>
                <w:color w:val="000000"/>
                <w:vertAlign w:val="superscript"/>
              </w:rPr>
              <w:t>4</w:t>
            </w:r>
          </w:p>
        </w:tc>
        <w:tc>
          <w:tcPr>
            <w:tcW w:w="626" w:type="pct"/>
          </w:tcPr>
          <w:p w14:paraId="139BA208" w14:textId="77777777" w:rsidR="00D02F40" w:rsidRPr="00460143" w:rsidRDefault="00D02F40" w:rsidP="00D02F40">
            <w:pPr>
              <w:pStyle w:val="TableText0"/>
              <w:keepLines/>
              <w:jc w:val="right"/>
              <w:rPr>
                <w:color w:val="000000"/>
              </w:rPr>
            </w:pPr>
          </w:p>
          <w:p w14:paraId="5A290C2B" w14:textId="2D623065" w:rsidR="004F33D5" w:rsidRPr="00460143" w:rsidRDefault="00D02F40"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5"/>
                <w14:textFill>
                  <w14:solidFill>
                    <w14:srgbClr w14:val="000000">
                      <w14:alpha w14:val="100000"/>
                    </w14:srgbClr>
                  </w14:solidFill>
                </w14:textFill>
              </w:rPr>
              <w:t>|||</w:t>
            </w:r>
            <w:r w:rsidR="006B4A94" w:rsidRPr="006B4A94">
              <w:rPr>
                <w:color w:val="000000"/>
                <w:spacing w:val="1"/>
                <w:shd w:val="solid" w:color="000000" w:fill="000000"/>
                <w:fitText w:val="330" w:id="-632577525"/>
                <w14:textFill>
                  <w14:solidFill>
                    <w14:srgbClr w14:val="000000">
                      <w14:alpha w14:val="100000"/>
                    </w14:srgbClr>
                  </w14:solidFill>
                </w14:textFill>
              </w:rPr>
              <w:t>|</w:t>
            </w:r>
            <w:r w:rsidR="0056404C" w:rsidRPr="00E067EF">
              <w:rPr>
                <w:color w:val="000000"/>
                <w:vertAlign w:val="superscript"/>
              </w:rPr>
              <w:t>4</w:t>
            </w:r>
          </w:p>
        </w:tc>
        <w:tc>
          <w:tcPr>
            <w:tcW w:w="626" w:type="pct"/>
          </w:tcPr>
          <w:p w14:paraId="0675DC23" w14:textId="77777777" w:rsidR="00D02F40" w:rsidRPr="00460143" w:rsidRDefault="00D02F40" w:rsidP="00D02F40">
            <w:pPr>
              <w:pStyle w:val="TableText0"/>
              <w:keepLines/>
              <w:jc w:val="right"/>
              <w:rPr>
                <w:color w:val="000000"/>
              </w:rPr>
            </w:pPr>
          </w:p>
          <w:p w14:paraId="73C4A55C" w14:textId="3452A13A" w:rsidR="004F33D5" w:rsidRPr="00460143" w:rsidRDefault="00D02F40"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4"/>
                <w14:textFill>
                  <w14:solidFill>
                    <w14:srgbClr w14:val="000000">
                      <w14:alpha w14:val="100000"/>
                    </w14:srgbClr>
                  </w14:solidFill>
                </w14:textFill>
              </w:rPr>
              <w:t>|||</w:t>
            </w:r>
            <w:r w:rsidR="006B4A94" w:rsidRPr="006B4A94">
              <w:rPr>
                <w:color w:val="000000"/>
                <w:spacing w:val="1"/>
                <w:shd w:val="solid" w:color="000000" w:fill="000000"/>
                <w:fitText w:val="330" w:id="-632577524"/>
                <w14:textFill>
                  <w14:solidFill>
                    <w14:srgbClr w14:val="000000">
                      <w14:alpha w14:val="100000"/>
                    </w14:srgbClr>
                  </w14:solidFill>
                </w14:textFill>
              </w:rPr>
              <w:t>|</w:t>
            </w:r>
            <w:r w:rsidR="0056404C" w:rsidRPr="00E067EF">
              <w:rPr>
                <w:color w:val="000000"/>
                <w:vertAlign w:val="superscript"/>
              </w:rPr>
              <w:t>4</w:t>
            </w:r>
          </w:p>
        </w:tc>
        <w:tc>
          <w:tcPr>
            <w:tcW w:w="626" w:type="pct"/>
          </w:tcPr>
          <w:p w14:paraId="41ED1961" w14:textId="77777777" w:rsidR="00D02F40" w:rsidRPr="00460143" w:rsidRDefault="00D02F40" w:rsidP="00D02F40">
            <w:pPr>
              <w:pStyle w:val="TableText0"/>
              <w:keepLines/>
              <w:jc w:val="right"/>
              <w:rPr>
                <w:color w:val="000000"/>
              </w:rPr>
            </w:pPr>
          </w:p>
          <w:p w14:paraId="5A08AF29" w14:textId="1823B607" w:rsidR="004F33D5" w:rsidRPr="00460143" w:rsidRDefault="00D02F40"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3"/>
                <w14:textFill>
                  <w14:solidFill>
                    <w14:srgbClr w14:val="000000">
                      <w14:alpha w14:val="100000"/>
                    </w14:srgbClr>
                  </w14:solidFill>
                </w14:textFill>
              </w:rPr>
              <w:t>|||</w:t>
            </w:r>
            <w:r w:rsidR="006B4A94" w:rsidRPr="006B4A94">
              <w:rPr>
                <w:color w:val="000000"/>
                <w:spacing w:val="1"/>
                <w:shd w:val="solid" w:color="000000" w:fill="000000"/>
                <w:fitText w:val="330" w:id="-632577523"/>
                <w14:textFill>
                  <w14:solidFill>
                    <w14:srgbClr w14:val="000000">
                      <w14:alpha w14:val="100000"/>
                    </w14:srgbClr>
                  </w14:solidFill>
                </w14:textFill>
              </w:rPr>
              <w:t>|</w:t>
            </w:r>
            <w:r w:rsidR="0056404C" w:rsidRPr="00E067EF">
              <w:rPr>
                <w:color w:val="000000"/>
                <w:vertAlign w:val="superscript"/>
              </w:rPr>
              <w:t>4</w:t>
            </w:r>
          </w:p>
        </w:tc>
        <w:tc>
          <w:tcPr>
            <w:tcW w:w="922" w:type="pct"/>
          </w:tcPr>
          <w:p w14:paraId="32EAA41E" w14:textId="77777777" w:rsidR="00D02F40" w:rsidRPr="00460143" w:rsidRDefault="00D02F40" w:rsidP="00D02F40">
            <w:pPr>
              <w:pStyle w:val="TableText0"/>
              <w:keepLines/>
              <w:jc w:val="right"/>
              <w:rPr>
                <w:color w:val="000000"/>
              </w:rPr>
            </w:pPr>
          </w:p>
          <w:p w14:paraId="1A3491BC" w14:textId="5229C83B" w:rsidR="004F33D5" w:rsidRPr="00460143" w:rsidRDefault="00D02F40" w:rsidP="004F33D5">
            <w:pPr>
              <w:pStyle w:val="TableText0"/>
              <w:keepLines/>
              <w:jc w:val="right"/>
              <w:rPr>
                <w:color w:val="000000"/>
              </w:rPr>
            </w:pPr>
            <w:r w:rsidRPr="00460143">
              <w:rPr>
                <w:color w:val="000000"/>
              </w:rPr>
              <w:t>$</w:t>
            </w:r>
            <w:r w:rsidR="006B4A94" w:rsidRPr="006B4A94">
              <w:rPr>
                <w:color w:val="000000"/>
                <w:spacing w:val="53"/>
                <w:shd w:val="solid" w:color="000000" w:fill="000000"/>
                <w:fitText w:val="330" w:id="-632577522"/>
                <w14:textFill>
                  <w14:solidFill>
                    <w14:srgbClr w14:val="000000">
                      <w14:alpha w14:val="100000"/>
                    </w14:srgbClr>
                  </w14:solidFill>
                </w14:textFill>
              </w:rPr>
              <w:t>|||</w:t>
            </w:r>
            <w:r w:rsidR="006B4A94" w:rsidRPr="006B4A94">
              <w:rPr>
                <w:color w:val="000000"/>
                <w:spacing w:val="1"/>
                <w:shd w:val="solid" w:color="000000" w:fill="000000"/>
                <w:fitText w:val="330" w:id="-632577522"/>
                <w14:textFill>
                  <w14:solidFill>
                    <w14:srgbClr w14:val="000000">
                      <w14:alpha w14:val="100000"/>
                    </w14:srgbClr>
                  </w14:solidFill>
                </w14:textFill>
              </w:rPr>
              <w:t>|</w:t>
            </w:r>
            <w:r w:rsidR="00DE7979" w:rsidRPr="00E067EF">
              <w:rPr>
                <w:color w:val="000000"/>
                <w:vertAlign w:val="superscript"/>
              </w:rPr>
              <w:t>4</w:t>
            </w:r>
          </w:p>
        </w:tc>
      </w:tr>
    </w:tbl>
    <w:p w14:paraId="0098C69E" w14:textId="52AB8D01" w:rsidR="004F52DA" w:rsidRPr="00460143" w:rsidRDefault="004F52DA" w:rsidP="00E948E3">
      <w:pPr>
        <w:pStyle w:val="TableFigureFooter"/>
        <w:keepNext/>
      </w:pPr>
      <w:r w:rsidRPr="00460143">
        <w:t xml:space="preserve">Source: </w:t>
      </w:r>
      <w:r w:rsidR="008F011D" w:rsidRPr="00460143">
        <w:t>Utilisation and Cost Model</w:t>
      </w:r>
      <w:r w:rsidRPr="00460143">
        <w:t xml:space="preserve"> Workbook</w:t>
      </w:r>
      <w:r w:rsidRPr="00460143">
        <w:rPr>
          <w:color w:val="FF0000"/>
        </w:rPr>
        <w:t>.</w:t>
      </w:r>
    </w:p>
    <w:p w14:paraId="0A631AD9" w14:textId="77777777" w:rsidR="00F10EE9" w:rsidRDefault="00AB4684" w:rsidP="006324A5">
      <w:pPr>
        <w:pStyle w:val="TableFigureFooter"/>
        <w:keepNext/>
        <w:jc w:val="left"/>
      </w:pPr>
      <w:r w:rsidRPr="00460143">
        <w:t xml:space="preserve">Abbreviations: </w:t>
      </w:r>
      <w:r w:rsidR="007A6FC7" w:rsidRPr="00460143">
        <w:t xml:space="preserve">IV = intravenous; </w:t>
      </w:r>
      <w:r w:rsidRPr="00460143">
        <w:t>PBS = Pharmaceutical Benefits Scheme; RPBS = Repatriation Pharmaceutical Benefits Scheme</w:t>
      </w:r>
      <w:r w:rsidR="007A6FC7" w:rsidRPr="00460143">
        <w:t>; SC</w:t>
      </w:r>
      <w:r w:rsidR="00C5158C">
        <w:t> </w:t>
      </w:r>
      <w:r w:rsidR="007A6FC7" w:rsidRPr="00460143">
        <w:t>=</w:t>
      </w:r>
      <w:r w:rsidR="00C5158C">
        <w:t> </w:t>
      </w:r>
      <w:r w:rsidR="007A6FC7" w:rsidRPr="00460143">
        <w:t>subcutaneous</w:t>
      </w:r>
      <w:r w:rsidRPr="00460143">
        <w:t>.</w:t>
      </w:r>
    </w:p>
    <w:p w14:paraId="7849F630" w14:textId="77777777" w:rsidR="00DE7979" w:rsidRDefault="00F10EE9" w:rsidP="006324A5">
      <w:pPr>
        <w:pStyle w:val="TableFigureFooter"/>
        <w:keepNext/>
        <w:jc w:val="left"/>
        <w:rPr>
          <w:i/>
          <w:iCs/>
          <w:color w:val="000000"/>
        </w:rPr>
      </w:pPr>
      <w:r>
        <w:rPr>
          <w:i/>
          <w:iCs/>
        </w:rPr>
        <w:t>The redacted values correspond to the following ranges:</w:t>
      </w:r>
      <w:r w:rsidR="009C06CB">
        <w:br/>
      </w:r>
      <w:r w:rsidR="009C06CB" w:rsidRPr="00211361">
        <w:rPr>
          <w:i/>
          <w:iCs/>
          <w:vertAlign w:val="superscript"/>
        </w:rPr>
        <w:t>1</w:t>
      </w:r>
      <w:r w:rsidR="009F0D07" w:rsidRPr="00211361">
        <w:rPr>
          <w:i/>
          <w:iCs/>
        </w:rPr>
        <w:t>50</w:t>
      </w:r>
      <w:r w:rsidR="00CF14F3" w:rsidRPr="00211361">
        <w:rPr>
          <w:i/>
          <w:iCs/>
        </w:rPr>
        <w:t>0 to &lt; 5,000</w:t>
      </w:r>
      <w:r w:rsidR="00CF14F3" w:rsidRPr="00211361">
        <w:rPr>
          <w:i/>
          <w:iCs/>
        </w:rPr>
        <w:br/>
      </w:r>
      <w:r w:rsidR="00AE363C" w:rsidRPr="00211361">
        <w:rPr>
          <w:i/>
          <w:iCs/>
          <w:vertAlign w:val="superscript"/>
        </w:rPr>
        <w:t>2</w:t>
      </w:r>
      <w:r w:rsidR="00AE363C" w:rsidRPr="00211361">
        <w:rPr>
          <w:i/>
          <w:iCs/>
        </w:rPr>
        <w:t>$20 million to &lt; $30 million</w:t>
      </w:r>
      <w:r w:rsidR="00912F52" w:rsidRPr="00211361">
        <w:rPr>
          <w:i/>
          <w:iCs/>
        </w:rPr>
        <w:br/>
      </w:r>
      <w:r w:rsidR="00912F52" w:rsidRPr="00211361">
        <w:rPr>
          <w:i/>
          <w:iCs/>
          <w:color w:val="000000"/>
          <w:vertAlign w:val="superscript"/>
        </w:rPr>
        <w:t>3</w:t>
      </w:r>
      <w:r w:rsidR="006F22C9" w:rsidRPr="00211361">
        <w:rPr>
          <w:i/>
          <w:iCs/>
          <w:color w:val="000000"/>
        </w:rPr>
        <w:t>$</w:t>
      </w:r>
      <w:r w:rsidR="00F2113A" w:rsidRPr="00211361">
        <w:rPr>
          <w:i/>
          <w:iCs/>
          <w:color w:val="000000"/>
        </w:rPr>
        <w:t>30 million to &lt; $40 million</w:t>
      </w:r>
      <w:r w:rsidR="00DE7979">
        <w:rPr>
          <w:i/>
          <w:iCs/>
          <w:color w:val="000000"/>
        </w:rPr>
        <w:t xml:space="preserve"> </w:t>
      </w:r>
    </w:p>
    <w:p w14:paraId="3B7E33DE" w14:textId="21547E79" w:rsidR="00DE7979" w:rsidRDefault="00DE7979" w:rsidP="006324A5">
      <w:pPr>
        <w:pStyle w:val="TableFigureFooter"/>
        <w:keepNext/>
        <w:jc w:val="left"/>
        <w:rPr>
          <w:i/>
          <w:iCs/>
          <w:color w:val="000000"/>
        </w:rPr>
      </w:pPr>
      <w:r w:rsidRPr="00211361">
        <w:rPr>
          <w:i/>
          <w:iCs/>
          <w:color w:val="000000"/>
          <w:vertAlign w:val="superscript"/>
        </w:rPr>
        <w:t>4</w:t>
      </w:r>
      <w:r>
        <w:rPr>
          <w:i/>
          <w:iCs/>
          <w:color w:val="000000"/>
        </w:rPr>
        <w:t xml:space="preserve"> </w:t>
      </w:r>
      <w:r w:rsidRPr="00DE7979">
        <w:rPr>
          <w:i/>
          <w:iCs/>
          <w:color w:val="000000"/>
        </w:rPr>
        <w:t>$</w:t>
      </w:r>
      <w:r>
        <w:rPr>
          <w:i/>
          <w:iCs/>
          <w:color w:val="000000"/>
        </w:rPr>
        <w:t>0</w:t>
      </w:r>
      <w:r w:rsidRPr="00DE7979">
        <w:rPr>
          <w:i/>
          <w:iCs/>
          <w:color w:val="000000"/>
        </w:rPr>
        <w:t xml:space="preserve"> to &lt; $</w:t>
      </w:r>
      <w:r>
        <w:rPr>
          <w:i/>
          <w:iCs/>
          <w:color w:val="000000"/>
        </w:rPr>
        <w:t>1</w:t>
      </w:r>
      <w:r w:rsidRPr="00DE7979">
        <w:rPr>
          <w:i/>
          <w:iCs/>
          <w:color w:val="000000"/>
        </w:rPr>
        <w:t>0 million</w:t>
      </w:r>
    </w:p>
    <w:p w14:paraId="5007AD3D" w14:textId="3CE515B2" w:rsidR="009C06CB" w:rsidRPr="009C06CB" w:rsidRDefault="00A916F4" w:rsidP="006324A5">
      <w:pPr>
        <w:pStyle w:val="TableFigureFooter"/>
        <w:keepNext/>
        <w:jc w:val="left"/>
      </w:pPr>
      <w:r w:rsidRPr="00211361">
        <w:rPr>
          <w:i/>
          <w:iCs/>
          <w:color w:val="000000"/>
        </w:rPr>
        <w:br/>
      </w:r>
    </w:p>
    <w:p w14:paraId="43C1BB9A" w14:textId="7500EC96" w:rsidR="00497FAE" w:rsidRPr="00A366F2" w:rsidRDefault="00A366F2" w:rsidP="0008519B">
      <w:pPr>
        <w:pStyle w:val="3-BodyText"/>
      </w:pPr>
      <w:r w:rsidRPr="005D0B03">
        <w:rPr>
          <w:rFonts w:cs="Arial"/>
          <w:bCs/>
        </w:rPr>
        <w:t xml:space="preserve">At year 6, the estimated number of scripts dispensed was </w:t>
      </w:r>
      <w:r w:rsidR="00FF3504" w:rsidRPr="005D0B03">
        <w:rPr>
          <w:rFonts w:cs="Arial"/>
          <w:bCs/>
        </w:rPr>
        <w:t xml:space="preserve">500 to </w:t>
      </w:r>
      <w:r w:rsidR="00D237C6" w:rsidRPr="005D0B03">
        <w:rPr>
          <w:rFonts w:cs="Arial"/>
          <w:bCs/>
        </w:rPr>
        <w:t>&lt; 5000</w:t>
      </w:r>
      <w:r w:rsidR="0029303D" w:rsidRPr="005D0B03">
        <w:rPr>
          <w:rFonts w:cs="Arial"/>
          <w:bCs/>
        </w:rPr>
        <w:t xml:space="preserve"> </w:t>
      </w:r>
      <w:r w:rsidRPr="005D0B03">
        <w:rPr>
          <w:rFonts w:cs="Arial"/>
          <w:bCs/>
        </w:rPr>
        <w:t xml:space="preserve"> and the net cost to the PBS would be </w:t>
      </w:r>
      <w:r w:rsidR="005D0B03" w:rsidRPr="005D0B03">
        <w:rPr>
          <w:rFonts w:cs="Arial"/>
          <w:bCs/>
        </w:rPr>
        <w:t xml:space="preserve">$0 to &lt; $10 million). </w:t>
      </w:r>
    </w:p>
    <w:p w14:paraId="739D50D6" w14:textId="77777777" w:rsidR="006762FB" w:rsidRPr="00460143" w:rsidRDefault="006762FB" w:rsidP="006762FB">
      <w:pPr>
        <w:pStyle w:val="2-SectionHeading"/>
        <w:numPr>
          <w:ilvl w:val="0"/>
          <w:numId w:val="2"/>
        </w:numPr>
      </w:pPr>
      <w:bookmarkStart w:id="8" w:name="_Hlk76381249"/>
      <w:r w:rsidRPr="00460143">
        <w:t>PBAC Outcome</w:t>
      </w:r>
    </w:p>
    <w:p w14:paraId="4823E4AF" w14:textId="5F6198BB" w:rsidR="006762FB" w:rsidRPr="00F81EB8" w:rsidRDefault="006762FB" w:rsidP="006762FB">
      <w:pPr>
        <w:widowControl w:val="0"/>
        <w:numPr>
          <w:ilvl w:val="1"/>
          <w:numId w:val="2"/>
        </w:numPr>
        <w:spacing w:after="120"/>
        <w:rPr>
          <w:rFonts w:asciiTheme="minorHAnsi" w:hAnsiTheme="minorHAnsi" w:cs="Arial"/>
          <w:snapToGrid w:val="0"/>
        </w:rPr>
      </w:pPr>
      <w:r w:rsidRPr="00F81EB8">
        <w:rPr>
          <w:rFonts w:asciiTheme="minorHAnsi" w:hAnsiTheme="minorHAnsi" w:cs="Arial"/>
          <w:snapToGrid w:val="0"/>
        </w:rPr>
        <w:t xml:space="preserve">The PBAC recommended the listing of </w:t>
      </w:r>
      <w:r w:rsidR="004B30D3" w:rsidRPr="00F81EB8">
        <w:rPr>
          <w:rFonts w:asciiTheme="minorHAnsi" w:hAnsiTheme="minorHAnsi" w:cs="Arial"/>
          <w:snapToGrid w:val="0"/>
        </w:rPr>
        <w:t xml:space="preserve">a </w:t>
      </w:r>
      <w:r w:rsidR="004B30D3" w:rsidRPr="00460143">
        <w:rPr>
          <w:rFonts w:cstheme="minorHAnsi"/>
        </w:rPr>
        <w:t xml:space="preserve">new form of ocrelizumab </w:t>
      </w:r>
      <w:r w:rsidR="00162E32" w:rsidRPr="00460143">
        <w:rPr>
          <w:rFonts w:cstheme="minorHAnsi"/>
        </w:rPr>
        <w:t>(</w:t>
      </w:r>
      <w:r w:rsidR="00C663A1">
        <w:rPr>
          <w:rFonts w:cstheme="minorHAnsi"/>
        </w:rPr>
        <w:t xml:space="preserve">solution for subcutaneous injection </w:t>
      </w:r>
      <w:r w:rsidR="00961FFD" w:rsidRPr="00460143">
        <w:rPr>
          <w:rFonts w:cstheme="minorHAnsi"/>
        </w:rPr>
        <w:t>920</w:t>
      </w:r>
      <w:r w:rsidR="00374845">
        <w:rPr>
          <w:rFonts w:cstheme="minorHAnsi"/>
        </w:rPr>
        <w:t> </w:t>
      </w:r>
      <w:r w:rsidR="00961FFD" w:rsidRPr="00460143">
        <w:rPr>
          <w:rFonts w:cstheme="minorHAnsi"/>
        </w:rPr>
        <w:t>mg</w:t>
      </w:r>
      <w:r w:rsidR="00C663A1">
        <w:rPr>
          <w:rFonts w:cstheme="minorHAnsi"/>
        </w:rPr>
        <w:t xml:space="preserve"> in </w:t>
      </w:r>
      <w:r w:rsidR="00961FFD" w:rsidRPr="00460143">
        <w:rPr>
          <w:rFonts w:cstheme="minorHAnsi"/>
        </w:rPr>
        <w:t>23 mL</w:t>
      </w:r>
      <w:r w:rsidR="002D623F">
        <w:rPr>
          <w:rFonts w:cstheme="minorHAnsi"/>
        </w:rPr>
        <w:t>; ocrelizumab SC</w:t>
      </w:r>
      <w:r w:rsidR="00162E32" w:rsidRPr="00460143">
        <w:rPr>
          <w:rFonts w:cstheme="minorHAnsi"/>
        </w:rPr>
        <w:t>)</w:t>
      </w:r>
      <w:r w:rsidR="004B30D3" w:rsidRPr="00F81EB8" w:rsidDel="004B30D3">
        <w:rPr>
          <w:rFonts w:asciiTheme="minorHAnsi" w:hAnsiTheme="minorHAnsi" w:cs="Arial"/>
          <w:snapToGrid w:val="0"/>
        </w:rPr>
        <w:t xml:space="preserve"> </w:t>
      </w:r>
      <w:r w:rsidR="00FA3337" w:rsidRPr="00460143">
        <w:rPr>
          <w:rFonts w:cstheme="minorHAnsi"/>
        </w:rPr>
        <w:t>under the same circumstances as the PBS-listed</w:t>
      </w:r>
      <w:r w:rsidR="003C2BA4" w:rsidRPr="00460143">
        <w:rPr>
          <w:rFonts w:cstheme="minorHAnsi"/>
        </w:rPr>
        <w:t xml:space="preserve"> </w:t>
      </w:r>
      <w:r w:rsidR="00162E32" w:rsidRPr="00460143">
        <w:rPr>
          <w:rFonts w:cstheme="minorHAnsi"/>
        </w:rPr>
        <w:t xml:space="preserve">ocrelizumab </w:t>
      </w:r>
      <w:r w:rsidR="002D623F">
        <w:rPr>
          <w:rFonts w:cstheme="minorHAnsi"/>
        </w:rPr>
        <w:t xml:space="preserve">solution concentrate for intravenous infusion </w:t>
      </w:r>
      <w:r w:rsidR="00BD7A5A" w:rsidRPr="00460143">
        <w:rPr>
          <w:rFonts w:cstheme="minorHAnsi"/>
        </w:rPr>
        <w:t>300 mg</w:t>
      </w:r>
      <w:r w:rsidR="002D623F">
        <w:rPr>
          <w:rFonts w:cstheme="minorHAnsi"/>
        </w:rPr>
        <w:t xml:space="preserve"> in </w:t>
      </w:r>
      <w:r w:rsidR="00BD7A5A" w:rsidRPr="00460143">
        <w:rPr>
          <w:rFonts w:cstheme="minorHAnsi"/>
        </w:rPr>
        <w:t>10 mL</w:t>
      </w:r>
      <w:r w:rsidR="002D623F">
        <w:rPr>
          <w:rFonts w:cstheme="minorHAnsi"/>
        </w:rPr>
        <w:t xml:space="preserve"> </w:t>
      </w:r>
      <w:r w:rsidR="005E7622">
        <w:rPr>
          <w:rFonts w:cstheme="minorHAnsi"/>
        </w:rPr>
        <w:t>(</w:t>
      </w:r>
      <w:r w:rsidR="002D623F">
        <w:rPr>
          <w:rFonts w:cstheme="minorHAnsi"/>
        </w:rPr>
        <w:t>ocrelizumab IV</w:t>
      </w:r>
      <w:r w:rsidR="00BD7A5A" w:rsidRPr="00460143">
        <w:rPr>
          <w:rFonts w:cstheme="minorHAnsi"/>
        </w:rPr>
        <w:t>)</w:t>
      </w:r>
      <w:r w:rsidR="005E7622">
        <w:rPr>
          <w:rFonts w:cstheme="minorHAnsi"/>
        </w:rPr>
        <w:t>,</w:t>
      </w:r>
      <w:r w:rsidR="00BD7A5A" w:rsidRPr="00460143" w:rsidDel="00BD7A5A">
        <w:rPr>
          <w:rFonts w:cstheme="minorHAnsi"/>
        </w:rPr>
        <w:t xml:space="preserve"> </w:t>
      </w:r>
      <w:r w:rsidR="00FA3337" w:rsidRPr="00460143">
        <w:t>for the treatment of adult patients with relapsing-remitting multiple sclerosis</w:t>
      </w:r>
      <w:r w:rsidR="00C83161">
        <w:t xml:space="preserve"> (RRMS)</w:t>
      </w:r>
      <w:r w:rsidR="005A1137">
        <w:t>, on the basis that it should be available only under special arrangement</w:t>
      </w:r>
      <w:r w:rsidR="00B15724">
        <w:t>s</w:t>
      </w:r>
      <w:r w:rsidR="005A1137">
        <w:t xml:space="preserve"> under Section 100</w:t>
      </w:r>
      <w:r w:rsidR="00BC7D78">
        <w:t xml:space="preserve"> (S100), as S100 Highly Specialised Drugs (HSD) Private and S100 HSD Public listings</w:t>
      </w:r>
      <w:r w:rsidR="00C64DC8" w:rsidRPr="00460143">
        <w:t xml:space="preserve">. </w:t>
      </w:r>
    </w:p>
    <w:p w14:paraId="1DC45121" w14:textId="24F72C36" w:rsidR="00022693" w:rsidRPr="000C0066" w:rsidRDefault="002F600E" w:rsidP="000C0066">
      <w:pPr>
        <w:widowControl w:val="0"/>
        <w:numPr>
          <w:ilvl w:val="1"/>
          <w:numId w:val="2"/>
        </w:numPr>
        <w:spacing w:after="120"/>
        <w:rPr>
          <w:rFonts w:asciiTheme="minorHAnsi" w:hAnsiTheme="minorHAnsi" w:cs="Arial"/>
          <w:snapToGrid w:val="0"/>
        </w:rPr>
      </w:pPr>
      <w:r>
        <w:t>The PBAC recommended listing ocrelizumab SC on a cost-minimisation basis to ocrelizumab IV.</w:t>
      </w:r>
      <w:r w:rsidR="000C0066" w:rsidRPr="000C0066">
        <w:t xml:space="preserve"> </w:t>
      </w:r>
      <w:r w:rsidR="000C0066" w:rsidRPr="00460143">
        <w:t>The PBAC considered ocrelizumab IV an appropriate comparator</w:t>
      </w:r>
      <w:r w:rsidR="000C0066">
        <w:t xml:space="preserve">. </w:t>
      </w:r>
      <w:r w:rsidR="005D4B18">
        <w:t>The PBAC noted that ocrelizumab SC provides an alternative option to ocrelizumab IV currently listed on the PBS</w:t>
      </w:r>
      <w:r w:rsidR="00A3677F">
        <w:t xml:space="preserve"> and </w:t>
      </w:r>
      <w:r w:rsidR="000C0066">
        <w:t>that evidence demonstrated that ocrelizumab SC has non-inferior comparative effectiveness and safety compared to ocrelizumab IV</w:t>
      </w:r>
      <w:r w:rsidR="00A3677F">
        <w:t>.</w:t>
      </w:r>
      <w:r w:rsidR="000C0066">
        <w:t xml:space="preserve"> </w:t>
      </w:r>
      <w:r w:rsidR="00A3677F">
        <w:t xml:space="preserve">While there are other </w:t>
      </w:r>
      <w:r w:rsidR="00C83161">
        <w:t>medicines listed on the PBS for RRMS</w:t>
      </w:r>
      <w:r w:rsidR="009E0FB5">
        <w:t>, the PBAC</w:t>
      </w:r>
      <w:r w:rsidR="000C0066">
        <w:t xml:space="preserve"> considered</w:t>
      </w:r>
      <w:r w:rsidR="009E0FB5">
        <w:t xml:space="preserve"> these are not relevant comparators, as it is unlikely </w:t>
      </w:r>
      <w:r w:rsidR="00480CFC">
        <w:t>to be appropriate for patients stabilised on another RRMS treatment to switch to ocrelizumab</w:t>
      </w:r>
      <w:r w:rsidR="00D033AE">
        <w:t>, or to change prescriber choice of agent in new RRMS</w:t>
      </w:r>
      <w:r w:rsidR="00464C2C">
        <w:t xml:space="preserve"> patients, because a subcutaneous </w:t>
      </w:r>
      <w:r w:rsidR="00292A22">
        <w:t>form is available. The PBAC considered the most likely candidates to use ocrelizumab SC</w:t>
      </w:r>
      <w:r w:rsidR="00EA5594">
        <w:t xml:space="preserve"> are patients who are already using</w:t>
      </w:r>
      <w:r w:rsidR="3BA6EEEC">
        <w:t>, or would potentially have commence</w:t>
      </w:r>
      <w:r w:rsidR="69695490">
        <w:t>d</w:t>
      </w:r>
      <w:r w:rsidR="008A7627">
        <w:t xml:space="preserve">, </w:t>
      </w:r>
      <w:r w:rsidR="00EA5594">
        <w:t xml:space="preserve">ocrelizumab IV. This was also consistent with the financial estimates presented which assumed replacement with </w:t>
      </w:r>
      <w:r w:rsidR="00EA5594">
        <w:lastRenderedPageBreak/>
        <w:t>ocrelizumab IV only.</w:t>
      </w:r>
      <w:r w:rsidR="000C0066">
        <w:t xml:space="preserve"> </w:t>
      </w:r>
    </w:p>
    <w:p w14:paraId="434E8ADC" w14:textId="734BC5C5" w:rsidR="004C78E4" w:rsidRPr="00F81EB8" w:rsidRDefault="009D6549" w:rsidP="004C78E4">
      <w:pPr>
        <w:widowControl w:val="0"/>
        <w:numPr>
          <w:ilvl w:val="1"/>
          <w:numId w:val="2"/>
        </w:numPr>
        <w:spacing w:after="120"/>
        <w:rPr>
          <w:rFonts w:asciiTheme="minorHAnsi" w:hAnsiTheme="minorHAnsi" w:cs="Arial"/>
          <w:snapToGrid w:val="0"/>
        </w:rPr>
      </w:pPr>
      <w:r w:rsidRPr="00460143">
        <w:t xml:space="preserve">The PBAC </w:t>
      </w:r>
      <w:r w:rsidR="00E65020">
        <w:t>advised</w:t>
      </w:r>
      <w:r w:rsidRPr="00460143">
        <w:t xml:space="preserve"> the equi-effective doses</w:t>
      </w:r>
      <w:r>
        <w:t xml:space="preserve"> to be</w:t>
      </w:r>
      <w:r w:rsidRPr="00460143">
        <w:t xml:space="preserve"> a single dose of ocrelizumab SC</w:t>
      </w:r>
      <w:r>
        <w:t xml:space="preserve"> 920 mg in 23 mL</w:t>
      </w:r>
      <w:r w:rsidRPr="00460143">
        <w:t xml:space="preserve"> </w:t>
      </w:r>
      <w:r>
        <w:t>to</w:t>
      </w:r>
      <w:r w:rsidRPr="00460143">
        <w:t xml:space="preserve"> ocrelizumab IV 300</w:t>
      </w:r>
      <w:r>
        <w:t> </w:t>
      </w:r>
      <w:r w:rsidRPr="00460143">
        <w:t>mg</w:t>
      </w:r>
      <w:r>
        <w:t xml:space="preserve"> in 10 mL</w:t>
      </w:r>
      <w:r w:rsidRPr="00460143">
        <w:t xml:space="preserve">, </w:t>
      </w:r>
      <w:r>
        <w:t xml:space="preserve">two vials as a single infusion (600 mg), </w:t>
      </w:r>
      <w:r w:rsidRPr="00460143">
        <w:t xml:space="preserve">administered every six months. </w:t>
      </w:r>
    </w:p>
    <w:p w14:paraId="3C965CC7" w14:textId="27578DCA" w:rsidR="00544E1B" w:rsidRDefault="004C78E4" w:rsidP="009D6549">
      <w:pPr>
        <w:widowControl w:val="0"/>
        <w:numPr>
          <w:ilvl w:val="1"/>
          <w:numId w:val="2"/>
        </w:numPr>
        <w:spacing w:after="120"/>
        <w:rPr>
          <w:rFonts w:asciiTheme="minorHAnsi" w:hAnsiTheme="minorHAnsi" w:cs="Arial"/>
          <w:snapToGrid w:val="0"/>
        </w:rPr>
      </w:pPr>
      <w:r>
        <w:rPr>
          <w:rFonts w:asciiTheme="minorHAnsi" w:hAnsiTheme="minorHAnsi" w:cs="Arial"/>
          <w:snapToGrid w:val="0"/>
        </w:rPr>
        <w:t>The PBAC advised that ocrelizumab SC is suitable for presc</w:t>
      </w:r>
      <w:r w:rsidR="00F96C31">
        <w:rPr>
          <w:rFonts w:asciiTheme="minorHAnsi" w:hAnsiTheme="minorHAnsi" w:cs="Arial"/>
          <w:snapToGrid w:val="0"/>
        </w:rPr>
        <w:t>ribing by medi</w:t>
      </w:r>
      <w:r w:rsidR="00201D62">
        <w:rPr>
          <w:rFonts w:asciiTheme="minorHAnsi" w:hAnsiTheme="minorHAnsi" w:cs="Arial"/>
          <w:snapToGrid w:val="0"/>
        </w:rPr>
        <w:t>c</w:t>
      </w:r>
      <w:r w:rsidR="00F96C31">
        <w:rPr>
          <w:rFonts w:asciiTheme="minorHAnsi" w:hAnsiTheme="minorHAnsi" w:cs="Arial"/>
          <w:snapToGrid w:val="0"/>
        </w:rPr>
        <w:t>al practitioners only, consistent with the listing for ocrelizumab IV.</w:t>
      </w:r>
    </w:p>
    <w:p w14:paraId="6FA3F667" w14:textId="3A967EEF" w:rsidR="00626BA2" w:rsidRPr="00F81EB8" w:rsidRDefault="00626BA2" w:rsidP="009D6549">
      <w:pPr>
        <w:widowControl w:val="0"/>
        <w:numPr>
          <w:ilvl w:val="1"/>
          <w:numId w:val="2"/>
        </w:numPr>
        <w:spacing w:after="120"/>
        <w:rPr>
          <w:rFonts w:asciiTheme="minorHAnsi" w:hAnsiTheme="minorHAnsi" w:cs="Arial"/>
          <w:snapToGrid w:val="0"/>
        </w:rPr>
      </w:pPr>
      <w:r>
        <w:rPr>
          <w:rFonts w:asciiTheme="minorHAnsi" w:hAnsiTheme="minorHAnsi" w:cs="Arial"/>
          <w:snapToGrid w:val="0"/>
        </w:rPr>
        <w:t>The PBAC recommended that the Early Supply Rule should not apply.</w:t>
      </w:r>
    </w:p>
    <w:p w14:paraId="243FD067" w14:textId="4C741F3E" w:rsidR="006762FB" w:rsidRPr="00F81EB8" w:rsidRDefault="00544E1B" w:rsidP="003E3E2E">
      <w:pPr>
        <w:widowControl w:val="0"/>
        <w:numPr>
          <w:ilvl w:val="1"/>
          <w:numId w:val="2"/>
        </w:numPr>
        <w:spacing w:after="120"/>
        <w:rPr>
          <w:rFonts w:asciiTheme="minorHAnsi" w:hAnsiTheme="minorHAnsi" w:cs="Arial"/>
          <w:snapToGrid w:val="0"/>
        </w:rPr>
      </w:pPr>
      <w:r w:rsidRPr="00460143">
        <w:rPr>
          <w:rFonts w:cstheme="minorHAnsi"/>
        </w:rPr>
        <w:t>The PBAC considered</w:t>
      </w:r>
      <w:r w:rsidR="009B1195">
        <w:rPr>
          <w:rFonts w:cstheme="minorHAnsi"/>
        </w:rPr>
        <w:t xml:space="preserve"> the</w:t>
      </w:r>
      <w:r w:rsidR="00FC7844">
        <w:rPr>
          <w:rFonts w:cstheme="minorHAnsi"/>
        </w:rPr>
        <w:t xml:space="preserve"> utilisation and</w:t>
      </w:r>
      <w:r w:rsidR="009B1195">
        <w:rPr>
          <w:rFonts w:cstheme="minorHAnsi"/>
        </w:rPr>
        <w:t xml:space="preserve"> financial estimates</w:t>
      </w:r>
      <w:r w:rsidR="009F28F7">
        <w:rPr>
          <w:rFonts w:cstheme="minorHAnsi"/>
        </w:rPr>
        <w:t>, and the estimated net financial impact to the PBS/RPB</w:t>
      </w:r>
      <w:r w:rsidR="000D04B7">
        <w:rPr>
          <w:rFonts w:cstheme="minorHAnsi"/>
        </w:rPr>
        <w:t>S over the first six years of listing, to be reasonable, based on the assumption</w:t>
      </w:r>
      <w:r w:rsidR="005E14A8">
        <w:rPr>
          <w:rFonts w:cstheme="minorHAnsi"/>
        </w:rPr>
        <w:t xml:space="preserve"> that ocrelizumab SC is expected </w:t>
      </w:r>
      <w:r w:rsidRPr="00460143">
        <w:rPr>
          <w:rFonts w:cstheme="minorHAnsi"/>
        </w:rPr>
        <w:t>to only substitute for ocrelizumab IV</w:t>
      </w:r>
      <w:r w:rsidR="00A969B0" w:rsidRPr="00460143">
        <w:rPr>
          <w:rFonts w:cstheme="minorHAnsi"/>
        </w:rPr>
        <w:t xml:space="preserve">. </w:t>
      </w:r>
      <w:r w:rsidRPr="00F81EB8" w:rsidDel="003E3E2E">
        <w:rPr>
          <w:rFonts w:asciiTheme="minorHAnsi" w:hAnsiTheme="minorHAnsi" w:cstheme="minorHAnsi"/>
        </w:rPr>
        <w:t xml:space="preserve"> </w:t>
      </w:r>
    </w:p>
    <w:p w14:paraId="0A43EF7F" w14:textId="19FB7EB5" w:rsidR="0038193C" w:rsidRPr="00460143" w:rsidRDefault="0038193C" w:rsidP="00F81EB8">
      <w:pPr>
        <w:widowControl w:val="0"/>
        <w:numPr>
          <w:ilvl w:val="1"/>
          <w:numId w:val="2"/>
        </w:numPr>
        <w:spacing w:after="120"/>
      </w:pPr>
      <w:r w:rsidRPr="00460143">
        <w:t xml:space="preserve">The PBAC noted that its recommendation was on a cost-minimisation basis and advised that, because </w:t>
      </w:r>
      <w:r w:rsidR="002556AA" w:rsidRPr="00460143">
        <w:t>ocrelizumab SC</w:t>
      </w:r>
      <w:r w:rsidRPr="00460143">
        <w:t xml:space="preserve"> is not expected to provide a substantial and clinically relevant improvement in efficacy, or reduction of toxicity, over </w:t>
      </w:r>
      <w:r w:rsidR="002556AA" w:rsidRPr="00460143">
        <w:t>ocrelizumab</w:t>
      </w:r>
      <w:r w:rsidR="005B6AE0">
        <w:t> </w:t>
      </w:r>
      <w:r w:rsidR="002556AA" w:rsidRPr="00460143">
        <w:t>IV</w:t>
      </w:r>
      <w:r w:rsidRPr="00460143">
        <w:t xml:space="preserve">, </w:t>
      </w:r>
      <w:r w:rsidR="00293C0B">
        <w:t>or</w:t>
      </w:r>
      <w:r w:rsidR="00923F48" w:rsidRPr="00460143">
        <w:t xml:space="preserve"> </w:t>
      </w:r>
      <w:r w:rsidRPr="00460143">
        <w:t xml:space="preserve">not expected to address a high and urgent unmet clinical need given the presence of an alternative therapy, the criteria prescribed by the </w:t>
      </w:r>
      <w:r w:rsidRPr="00460143">
        <w:rPr>
          <w:i/>
          <w:iCs/>
        </w:rPr>
        <w:t>National Health (Pharmaceuticals and Vaccines – Cost Recovery) Regulations 2022</w:t>
      </w:r>
      <w:r w:rsidRPr="00460143">
        <w:t xml:space="preserve"> for Pricing Pathway</w:t>
      </w:r>
      <w:r w:rsidR="005B6AE0">
        <w:t> </w:t>
      </w:r>
      <w:r w:rsidRPr="00460143">
        <w:t>A were not met</w:t>
      </w:r>
      <w:r w:rsidR="002556AA" w:rsidRPr="00460143">
        <w:t>.</w:t>
      </w:r>
    </w:p>
    <w:p w14:paraId="24F8286E" w14:textId="51987E5E" w:rsidR="006762FB" w:rsidRPr="00F81EB8" w:rsidRDefault="006762FB" w:rsidP="00F81EB8">
      <w:pPr>
        <w:widowControl w:val="0"/>
        <w:numPr>
          <w:ilvl w:val="1"/>
          <w:numId w:val="2"/>
        </w:numPr>
        <w:spacing w:after="120"/>
      </w:pPr>
      <w:r w:rsidRPr="00F81EB8">
        <w:t>The PBAC noted that this submission is not eligible for an Independent Review</w:t>
      </w:r>
      <w:r w:rsidR="00CA21AC" w:rsidRPr="00F81EB8">
        <w:t xml:space="preserve"> because it received a positive recommendation</w:t>
      </w:r>
      <w:r w:rsidRPr="00F81EB8">
        <w:t xml:space="preserve">.  </w:t>
      </w:r>
    </w:p>
    <w:p w14:paraId="634C9917" w14:textId="77777777" w:rsidR="006762FB" w:rsidRPr="00F81EB8" w:rsidRDefault="006762FB" w:rsidP="006762FB">
      <w:pPr>
        <w:spacing w:before="240"/>
        <w:rPr>
          <w:rFonts w:asciiTheme="minorHAnsi" w:hAnsiTheme="minorHAnsi" w:cs="Arial"/>
          <w:b/>
          <w:bCs/>
          <w:snapToGrid w:val="0"/>
        </w:rPr>
      </w:pPr>
      <w:r w:rsidRPr="00F81EB8">
        <w:rPr>
          <w:rFonts w:asciiTheme="minorHAnsi" w:hAnsiTheme="minorHAnsi" w:cs="Arial"/>
          <w:b/>
          <w:bCs/>
          <w:snapToGrid w:val="0"/>
        </w:rPr>
        <w:t>Outcome:</w:t>
      </w:r>
    </w:p>
    <w:p w14:paraId="0C9A04DD" w14:textId="39B5EA6B" w:rsidR="006762FB" w:rsidRPr="00F81EB8" w:rsidRDefault="006762FB" w:rsidP="006762FB">
      <w:pPr>
        <w:rPr>
          <w:rFonts w:asciiTheme="minorHAnsi" w:hAnsiTheme="minorHAnsi" w:cs="Arial"/>
          <w:bCs/>
          <w:snapToGrid w:val="0"/>
        </w:rPr>
      </w:pPr>
      <w:r w:rsidRPr="00F81EB8">
        <w:rPr>
          <w:rFonts w:asciiTheme="minorHAnsi" w:hAnsiTheme="minorHAnsi" w:cs="Arial"/>
          <w:bCs/>
          <w:snapToGrid w:val="0"/>
        </w:rPr>
        <w:t>Recommended</w:t>
      </w:r>
    </w:p>
    <w:bookmarkEnd w:id="8"/>
    <w:p w14:paraId="4EB36A57" w14:textId="77777777" w:rsidR="006762FB" w:rsidRPr="00460143" w:rsidRDefault="006762FB" w:rsidP="006762FB">
      <w:pPr>
        <w:pStyle w:val="2-SectionHeading"/>
        <w:numPr>
          <w:ilvl w:val="0"/>
          <w:numId w:val="2"/>
        </w:numPr>
      </w:pPr>
      <w:r w:rsidRPr="00460143">
        <w:t>Recommended listing</w:t>
      </w:r>
    </w:p>
    <w:p w14:paraId="54037913" w14:textId="695CA302" w:rsidR="006762FB" w:rsidRPr="00211361" w:rsidRDefault="009A1883" w:rsidP="006762FB">
      <w:pPr>
        <w:widowControl w:val="0"/>
        <w:numPr>
          <w:ilvl w:val="1"/>
          <w:numId w:val="2"/>
        </w:numPr>
        <w:spacing w:after="120"/>
        <w:contextualSpacing/>
        <w:rPr>
          <w:rFonts w:asciiTheme="minorHAnsi" w:hAnsiTheme="minorHAnsi" w:cs="Arial"/>
          <w:b/>
          <w:bCs/>
          <w:snapToGrid w:val="0"/>
        </w:rPr>
      </w:pPr>
      <w:r w:rsidRPr="00460143">
        <w:rPr>
          <w:rFonts w:asciiTheme="minorHAnsi" w:hAnsiTheme="minorHAnsi" w:cs="Arial"/>
          <w:bCs/>
          <w:snapToGrid w:val="0"/>
        </w:rPr>
        <w:t xml:space="preserve">Add new item: </w:t>
      </w:r>
    </w:p>
    <w:p w14:paraId="2A2B082E" w14:textId="77777777" w:rsidR="007C0B91" w:rsidRPr="00460143" w:rsidRDefault="007C0B91" w:rsidP="007C0B91">
      <w:pPr>
        <w:widowControl w:val="0"/>
        <w:spacing w:after="120"/>
        <w:contextualSpacing/>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25"/>
        <w:gridCol w:w="709"/>
        <w:gridCol w:w="889"/>
        <w:gridCol w:w="811"/>
        <w:gridCol w:w="812"/>
        <w:gridCol w:w="1831"/>
      </w:tblGrid>
      <w:tr w:rsidR="007C0B91" w:rsidRPr="00460143" w14:paraId="217C4DD3" w14:textId="77777777" w:rsidTr="007C3C42">
        <w:trPr>
          <w:cantSplit/>
          <w:trHeight w:val="960"/>
        </w:trPr>
        <w:tc>
          <w:tcPr>
            <w:tcW w:w="3964" w:type="dxa"/>
            <w:gridSpan w:val="4"/>
            <w:tcBorders>
              <w:top w:val="single" w:sz="4" w:space="0" w:color="auto"/>
              <w:left w:val="single" w:sz="4" w:space="0" w:color="auto"/>
              <w:bottom w:val="single" w:sz="4" w:space="0" w:color="auto"/>
              <w:right w:val="single" w:sz="4" w:space="0" w:color="auto"/>
            </w:tcBorders>
            <w:vAlign w:val="center"/>
          </w:tcPr>
          <w:p w14:paraId="3C4C42B7"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MEDICINAL PRODUCT</w:t>
            </w:r>
          </w:p>
          <w:p w14:paraId="54A833F5"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medicinal product pack</w:t>
            </w:r>
          </w:p>
        </w:tc>
        <w:tc>
          <w:tcPr>
            <w:tcW w:w="709" w:type="dxa"/>
            <w:tcBorders>
              <w:top w:val="single" w:sz="4" w:space="0" w:color="auto"/>
              <w:left w:val="single" w:sz="4" w:space="0" w:color="auto"/>
              <w:bottom w:val="single" w:sz="4" w:space="0" w:color="auto"/>
              <w:right w:val="single" w:sz="4" w:space="0" w:color="auto"/>
            </w:tcBorders>
            <w:vAlign w:val="center"/>
          </w:tcPr>
          <w:p w14:paraId="53DE10CC"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PBS item code</w:t>
            </w:r>
          </w:p>
        </w:tc>
        <w:tc>
          <w:tcPr>
            <w:tcW w:w="889" w:type="dxa"/>
            <w:tcBorders>
              <w:top w:val="single" w:sz="4" w:space="0" w:color="auto"/>
              <w:left w:val="single" w:sz="4" w:space="0" w:color="auto"/>
              <w:bottom w:val="single" w:sz="4" w:space="0" w:color="auto"/>
              <w:right w:val="single" w:sz="4" w:space="0" w:color="auto"/>
            </w:tcBorders>
            <w:vAlign w:val="center"/>
          </w:tcPr>
          <w:p w14:paraId="0937574D"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2B1CDBBF"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0D26FFC3"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№.of</w:t>
            </w:r>
          </w:p>
          <w:p w14:paraId="2C2E995C"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tcPr>
          <w:p w14:paraId="12BE16C5"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Available brands</w:t>
            </w:r>
          </w:p>
        </w:tc>
      </w:tr>
      <w:tr w:rsidR="007C0B91" w:rsidRPr="00460143" w14:paraId="10D1A246" w14:textId="77777777" w:rsidTr="007C3C42">
        <w:trPr>
          <w:cantSplit/>
          <w:trHeight w:val="20"/>
        </w:trPr>
        <w:tc>
          <w:tcPr>
            <w:tcW w:w="9016" w:type="dxa"/>
            <w:gridSpan w:val="9"/>
            <w:vAlign w:val="center"/>
          </w:tcPr>
          <w:p w14:paraId="38C24B5B"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OCRELIZUMAB</w:t>
            </w:r>
          </w:p>
        </w:tc>
      </w:tr>
      <w:tr w:rsidR="007C0B91" w:rsidRPr="00460143" w14:paraId="762F8D92" w14:textId="77777777" w:rsidTr="007C3C42">
        <w:trPr>
          <w:cantSplit/>
          <w:trHeight w:val="20"/>
        </w:trPr>
        <w:tc>
          <w:tcPr>
            <w:tcW w:w="3939" w:type="dxa"/>
            <w:gridSpan w:val="3"/>
            <w:vAlign w:val="center"/>
          </w:tcPr>
          <w:p w14:paraId="554B2474"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ocrelizumab 920 mg/23 mL injection,</w:t>
            </w:r>
            <w:r>
              <w:rPr>
                <w:rFonts w:ascii="Arial Narrow" w:hAnsi="Arial Narrow" w:cs="Arial"/>
                <w:sz w:val="20"/>
                <w:szCs w:val="20"/>
              </w:rPr>
              <w:t xml:space="preserve"> </w:t>
            </w:r>
            <w:r w:rsidRPr="00460143">
              <w:rPr>
                <w:rFonts w:ascii="Arial Narrow" w:hAnsi="Arial Narrow" w:cs="Arial"/>
                <w:sz w:val="20"/>
                <w:szCs w:val="20"/>
              </w:rPr>
              <w:t>23 mL vial</w:t>
            </w:r>
          </w:p>
        </w:tc>
        <w:tc>
          <w:tcPr>
            <w:tcW w:w="734" w:type="dxa"/>
            <w:gridSpan w:val="2"/>
            <w:vAlign w:val="center"/>
          </w:tcPr>
          <w:p w14:paraId="3EC26BDA" w14:textId="77777777" w:rsidR="007C0B91" w:rsidRPr="00460143" w:rsidRDefault="007C0B91" w:rsidP="007C3C42">
            <w:pPr>
              <w:keepLines/>
              <w:jc w:val="center"/>
              <w:rPr>
                <w:rFonts w:ascii="Arial Narrow" w:hAnsi="Arial Narrow" w:cs="Arial"/>
                <w:sz w:val="20"/>
                <w:szCs w:val="20"/>
              </w:rPr>
            </w:pPr>
            <w:r w:rsidRPr="00F81EB8">
              <w:rPr>
                <w:rFonts w:ascii="Arial Narrow" w:hAnsi="Arial Narrow" w:cs="Arial"/>
                <w:sz w:val="20"/>
                <w:szCs w:val="20"/>
              </w:rPr>
              <w:t xml:space="preserve"> NEW (HSD Public)</w:t>
            </w:r>
          </w:p>
        </w:tc>
        <w:tc>
          <w:tcPr>
            <w:tcW w:w="889" w:type="dxa"/>
            <w:vAlign w:val="center"/>
          </w:tcPr>
          <w:p w14:paraId="43B071BF"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1" w:type="dxa"/>
            <w:vAlign w:val="center"/>
          </w:tcPr>
          <w:p w14:paraId="63088746"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2" w:type="dxa"/>
            <w:vAlign w:val="center"/>
          </w:tcPr>
          <w:p w14:paraId="593A6EEE"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0</w:t>
            </w:r>
          </w:p>
        </w:tc>
        <w:tc>
          <w:tcPr>
            <w:tcW w:w="1831" w:type="dxa"/>
            <w:vAlign w:val="center"/>
          </w:tcPr>
          <w:p w14:paraId="31BE8CE2"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Ocrevus SC</w:t>
            </w:r>
          </w:p>
        </w:tc>
      </w:tr>
      <w:tr w:rsidR="007C0B91" w:rsidRPr="00460143" w14:paraId="39D67977" w14:textId="77777777" w:rsidTr="007C3C4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19570138" w14:textId="77777777" w:rsidR="007C0B91" w:rsidRPr="00460143" w:rsidRDefault="007C0B91" w:rsidP="007C3C42">
            <w:pPr>
              <w:rPr>
                <w:rFonts w:ascii="Arial Narrow" w:hAnsi="Arial Narrow" w:cs="Arial"/>
                <w:sz w:val="20"/>
                <w:szCs w:val="20"/>
              </w:rPr>
            </w:pPr>
          </w:p>
        </w:tc>
      </w:tr>
      <w:tr w:rsidR="007C0B91" w:rsidRPr="00460143" w14:paraId="0B30F4FB" w14:textId="77777777" w:rsidTr="007C3C42">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73FEA5F1" w14:textId="77777777" w:rsidR="007C0B91" w:rsidRPr="00460143" w:rsidRDefault="007C0B91" w:rsidP="007C3C42">
            <w:pPr>
              <w:keepLines/>
              <w:rPr>
                <w:rFonts w:ascii="Arial Narrow" w:hAnsi="Arial Narrow" w:cs="Arial"/>
                <w:b/>
                <w:sz w:val="20"/>
                <w:szCs w:val="20"/>
              </w:rPr>
            </w:pPr>
            <w:r w:rsidRPr="00460143">
              <w:rPr>
                <w:rFonts w:ascii="Arial Narrow" w:hAnsi="Arial Narrow"/>
                <w:b/>
                <w:sz w:val="20"/>
                <w:szCs w:val="20"/>
              </w:rPr>
              <w:t>Restriction Summary 7713</w:t>
            </w:r>
            <w:r w:rsidRPr="00460143">
              <w:rPr>
                <w:rFonts w:ascii="Arial Narrow" w:hAnsi="Arial Narrow"/>
                <w:b/>
                <w:color w:val="FF0000"/>
                <w:sz w:val="20"/>
                <w:szCs w:val="20"/>
              </w:rPr>
              <w:t xml:space="preserve"> </w:t>
            </w:r>
            <w:r w:rsidRPr="00460143">
              <w:rPr>
                <w:rFonts w:ascii="Arial Narrow" w:hAnsi="Arial Narrow"/>
                <w:b/>
                <w:sz w:val="20"/>
                <w:szCs w:val="20"/>
              </w:rPr>
              <w:t>/ Treatment of Concept: 7699</w:t>
            </w:r>
          </w:p>
        </w:tc>
      </w:tr>
      <w:tr w:rsidR="007C0B91" w:rsidRPr="00460143" w14:paraId="1676F1A9"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0330058" w14:textId="77777777" w:rsidR="007C0B91" w:rsidRPr="00460143" w:rsidRDefault="007C0B91" w:rsidP="007C3C42">
            <w:pPr>
              <w:jc w:val="center"/>
              <w:rPr>
                <w:rFonts w:ascii="Arial Narrow" w:hAnsi="Arial Narrow" w:cs="Arial"/>
                <w:b/>
                <w:sz w:val="20"/>
                <w:szCs w:val="20"/>
              </w:rPr>
            </w:pPr>
            <w:r w:rsidRPr="00460143">
              <w:rPr>
                <w:rFonts w:ascii="Arial Narrow" w:hAnsi="Arial Narrow" w:cs="Arial"/>
                <w:b/>
                <w:sz w:val="20"/>
                <w:szCs w:val="20"/>
              </w:rPr>
              <w:t xml:space="preserve">Concept ID </w:t>
            </w:r>
            <w:r w:rsidRPr="00460143">
              <w:rPr>
                <w:rFonts w:ascii="Arial Narrow" w:hAnsi="Arial Narrow" w:cs="Arial"/>
                <w:sz w:val="20"/>
                <w:szCs w:val="20"/>
              </w:rPr>
              <w:t>(for internal Dept. use)</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FA134E4" w14:textId="77777777" w:rsidR="007C0B91" w:rsidRPr="00460143" w:rsidRDefault="007C0B91" w:rsidP="007C3C42">
            <w:pPr>
              <w:keepLines/>
              <w:jc w:val="left"/>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Check1"/>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Public (Code HB)</w:t>
            </w:r>
          </w:p>
        </w:tc>
      </w:tr>
      <w:tr w:rsidR="007C0B91" w:rsidRPr="00460143" w14:paraId="6F42614F"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C21AA59"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6290FCE2" w14:textId="77777777" w:rsidR="007C0B91" w:rsidRPr="00460143" w:rsidRDefault="007C0B91"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7C0B91" w:rsidRPr="00460143" w14:paraId="20106689"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09C1386"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5EA5F762" w14:textId="77777777" w:rsidR="007C0B91" w:rsidRPr="00460143" w:rsidRDefault="007C0B91" w:rsidP="007C3C42">
            <w:pPr>
              <w:keepLines/>
              <w:jc w:val="left"/>
              <w:rPr>
                <w:rFonts w:ascii="Arial Narrow" w:eastAsia="Calibri" w:hAnsi="Arial Narrow" w:cs="Arial"/>
                <w:color w:val="FF0000"/>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[7699] </w:t>
            </w:r>
          </w:p>
        </w:tc>
      </w:tr>
      <w:tr w:rsidR="007C0B91" w:rsidRPr="00460143" w14:paraId="3DBC6611"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03A59E1"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996EAD9" w14:textId="77777777" w:rsidR="007C0B91" w:rsidRPr="00460143" w:rsidRDefault="007C0B91"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7C0B91" w:rsidRPr="00460143" w14:paraId="07B0FF66" w14:textId="77777777" w:rsidTr="007C3C42">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7FA46ED7" w14:textId="77777777" w:rsidR="007C0B91" w:rsidRPr="00460143" w:rsidRDefault="007C0B91" w:rsidP="007C3C42">
            <w:pPr>
              <w:jc w:val="center"/>
              <w:rPr>
                <w:rFonts w:ascii="Arial Narrow" w:hAnsi="Arial Narrow" w:cs="Arial"/>
                <w:sz w:val="20"/>
                <w:szCs w:val="20"/>
              </w:rPr>
            </w:pPr>
            <w:r w:rsidRPr="00460143">
              <w:rPr>
                <w:rFonts w:ascii="Arial Narrow" w:hAnsi="Arial Narrow" w:cs="Arial"/>
                <w:sz w:val="20"/>
                <w:szCs w:val="20"/>
              </w:rPr>
              <w:t>Prescribing rule level</w:t>
            </w:r>
          </w:p>
        </w:tc>
        <w:tc>
          <w:tcPr>
            <w:tcW w:w="709" w:type="dxa"/>
            <w:vAlign w:val="center"/>
          </w:tcPr>
          <w:p w14:paraId="623D380C" w14:textId="587021B9" w:rsidR="007C0B91" w:rsidRPr="00F81EB8" w:rsidRDefault="007C0B91" w:rsidP="007C3C42">
            <w:pPr>
              <w:jc w:val="center"/>
              <w:rPr>
                <w:rFonts w:ascii="Arial Narrow" w:hAnsi="Arial Narrow"/>
                <w:color w:val="333333"/>
                <w:sz w:val="20"/>
                <w:szCs w:val="20"/>
              </w:rPr>
            </w:pPr>
          </w:p>
        </w:tc>
        <w:tc>
          <w:tcPr>
            <w:tcW w:w="7745" w:type="dxa"/>
            <w:gridSpan w:val="7"/>
            <w:vAlign w:val="center"/>
          </w:tcPr>
          <w:p w14:paraId="619C0DA2" w14:textId="77777777" w:rsidR="007C0B91" w:rsidRPr="00F81EB8" w:rsidRDefault="007C0B91" w:rsidP="007C3C42">
            <w:pPr>
              <w:rPr>
                <w:rFonts w:ascii="Arial Narrow" w:hAnsi="Arial Narrow"/>
                <w:sz w:val="20"/>
                <w:szCs w:val="20"/>
              </w:rPr>
            </w:pPr>
            <w:r w:rsidRPr="00F81EB8">
              <w:rPr>
                <w:rFonts w:ascii="Arial Narrow" w:hAnsi="Arial Narrow"/>
                <w:b/>
                <w:bCs/>
                <w:sz w:val="20"/>
                <w:szCs w:val="20"/>
              </w:rPr>
              <w:t>Administrative Advice:</w:t>
            </w:r>
          </w:p>
          <w:p w14:paraId="3AC3E18F" w14:textId="77777777" w:rsidR="007C0B91" w:rsidRPr="00F81EB8" w:rsidRDefault="007C0B91" w:rsidP="007C3C42">
            <w:pPr>
              <w:rPr>
                <w:rFonts w:ascii="Arial Narrow" w:hAnsi="Arial Narrow"/>
                <w:color w:val="333333"/>
                <w:sz w:val="20"/>
                <w:szCs w:val="20"/>
              </w:rPr>
            </w:pPr>
            <w:r w:rsidRPr="00F81EB8">
              <w:rPr>
                <w:rFonts w:ascii="Arial Narrow" w:eastAsia="Calibri" w:hAnsi="Arial Narrow" w:cs="Arial"/>
                <w:sz w:val="20"/>
                <w:szCs w:val="20"/>
              </w:rPr>
              <w:t>No increase in the maximum quantity or number of units may be authorised.</w:t>
            </w:r>
          </w:p>
        </w:tc>
      </w:tr>
      <w:tr w:rsidR="007C0B91" w:rsidRPr="00460143" w14:paraId="31C9EB0C"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2C42945E" w14:textId="77777777" w:rsidR="007C0B91" w:rsidRPr="00460143" w:rsidRDefault="007C0B91" w:rsidP="007C3C42">
            <w:pPr>
              <w:rPr>
                <w:rFonts w:ascii="Arial Narrow" w:hAnsi="Arial Narrow" w:cs="Arial"/>
                <w:sz w:val="20"/>
                <w:szCs w:val="20"/>
              </w:rPr>
            </w:pPr>
          </w:p>
        </w:tc>
        <w:tc>
          <w:tcPr>
            <w:tcW w:w="709" w:type="dxa"/>
            <w:vAlign w:val="center"/>
          </w:tcPr>
          <w:p w14:paraId="1142A95A" w14:textId="60CAAE65" w:rsidR="007C0B91" w:rsidRPr="00F81EB8" w:rsidRDefault="007C0B91" w:rsidP="007C3C42">
            <w:pPr>
              <w:jc w:val="center"/>
              <w:rPr>
                <w:rFonts w:ascii="Arial Narrow" w:hAnsi="Arial Narrow"/>
                <w:sz w:val="20"/>
                <w:szCs w:val="20"/>
              </w:rPr>
            </w:pPr>
          </w:p>
        </w:tc>
        <w:tc>
          <w:tcPr>
            <w:tcW w:w="7745" w:type="dxa"/>
            <w:gridSpan w:val="7"/>
            <w:vAlign w:val="center"/>
          </w:tcPr>
          <w:p w14:paraId="456794F2" w14:textId="77777777" w:rsidR="007C0B91" w:rsidRPr="00F81EB8" w:rsidRDefault="007C0B91" w:rsidP="007C3C42">
            <w:pPr>
              <w:rPr>
                <w:rFonts w:ascii="Arial Narrow" w:hAnsi="Arial Narrow"/>
                <w:b/>
                <w:bCs/>
                <w:sz w:val="20"/>
                <w:szCs w:val="20"/>
              </w:rPr>
            </w:pPr>
            <w:r w:rsidRPr="00F81EB8">
              <w:rPr>
                <w:rFonts w:ascii="Arial Narrow" w:hAnsi="Arial Narrow"/>
                <w:b/>
                <w:bCs/>
                <w:sz w:val="20"/>
                <w:szCs w:val="20"/>
              </w:rPr>
              <w:t xml:space="preserve">Administrative Advice: </w:t>
            </w:r>
            <w:r w:rsidRPr="00F81EB8">
              <w:rPr>
                <w:rFonts w:ascii="Arial Narrow" w:eastAsia="Calibri" w:hAnsi="Arial Narrow" w:cs="Arial"/>
                <w:sz w:val="20"/>
                <w:szCs w:val="20"/>
              </w:rPr>
              <w:t>No increase in the maximum number of repeats may be authorised.</w:t>
            </w:r>
          </w:p>
        </w:tc>
      </w:tr>
      <w:tr w:rsidR="007C0B91" w:rsidRPr="00460143" w14:paraId="66829605"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2A4AEAC0" w14:textId="77777777" w:rsidR="007C0B91" w:rsidRPr="00460143" w:rsidRDefault="007C0B91" w:rsidP="007C3C42">
            <w:pPr>
              <w:rPr>
                <w:rFonts w:ascii="Arial Narrow" w:hAnsi="Arial Narrow" w:cs="Arial"/>
                <w:sz w:val="20"/>
                <w:szCs w:val="20"/>
              </w:rPr>
            </w:pPr>
          </w:p>
        </w:tc>
        <w:tc>
          <w:tcPr>
            <w:tcW w:w="709" w:type="dxa"/>
            <w:vAlign w:val="center"/>
          </w:tcPr>
          <w:p w14:paraId="171C94DB" w14:textId="5A9130A8" w:rsidR="007C0B91" w:rsidRPr="00F81EB8" w:rsidRDefault="007C0B91" w:rsidP="007C3C42">
            <w:pPr>
              <w:jc w:val="center"/>
              <w:rPr>
                <w:rFonts w:ascii="Arial Narrow" w:hAnsi="Arial Narrow"/>
                <w:sz w:val="20"/>
                <w:szCs w:val="20"/>
              </w:rPr>
            </w:pPr>
          </w:p>
        </w:tc>
        <w:tc>
          <w:tcPr>
            <w:tcW w:w="7745" w:type="dxa"/>
            <w:gridSpan w:val="7"/>
            <w:vAlign w:val="center"/>
          </w:tcPr>
          <w:p w14:paraId="3E874583" w14:textId="77777777" w:rsidR="007C0B91" w:rsidRPr="00F81EB8" w:rsidRDefault="007C0B91" w:rsidP="007C3C42">
            <w:pPr>
              <w:rPr>
                <w:rFonts w:ascii="Arial Narrow" w:hAnsi="Arial Narrow"/>
                <w:b/>
                <w:bCs/>
                <w:sz w:val="20"/>
                <w:szCs w:val="20"/>
              </w:rPr>
            </w:pPr>
            <w:r w:rsidRPr="00F81EB8">
              <w:rPr>
                <w:rFonts w:ascii="Arial Narrow" w:hAnsi="Arial Narrow"/>
                <w:b/>
                <w:bCs/>
                <w:sz w:val="20"/>
                <w:szCs w:val="20"/>
              </w:rPr>
              <w:t xml:space="preserve">Administrative Advice: </w:t>
            </w:r>
            <w:r w:rsidRPr="00F81EB8">
              <w:rPr>
                <w:rFonts w:ascii="Arial Narrow" w:hAnsi="Arial Narrow"/>
                <w:sz w:val="20"/>
                <w:szCs w:val="20"/>
              </w:rPr>
              <w:t>Special Pricing Arrangements apply.</w:t>
            </w:r>
          </w:p>
        </w:tc>
      </w:tr>
      <w:tr w:rsidR="007C0B91" w:rsidRPr="00460143" w14:paraId="614203B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AC21914" w14:textId="0F048051" w:rsidR="007C0B91" w:rsidRPr="00460143" w:rsidRDefault="007C0B91" w:rsidP="007C3C42">
            <w:pPr>
              <w:keepLines/>
              <w:jc w:val="center"/>
              <w:rPr>
                <w:rFonts w:ascii="Arial Narrow" w:hAnsi="Arial Narrow"/>
                <w:sz w:val="20"/>
                <w:szCs w:val="20"/>
              </w:rPr>
            </w:pPr>
          </w:p>
        </w:tc>
        <w:tc>
          <w:tcPr>
            <w:tcW w:w="7745" w:type="dxa"/>
            <w:gridSpan w:val="7"/>
            <w:vAlign w:val="center"/>
            <w:hideMark/>
          </w:tcPr>
          <w:p w14:paraId="4348F73F" w14:textId="77777777" w:rsidR="007C0B91" w:rsidRPr="00460143" w:rsidRDefault="007C0B91" w:rsidP="007C3C42">
            <w:pPr>
              <w:keepLines/>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p>
        </w:tc>
      </w:tr>
      <w:tr w:rsidR="007C0B91" w:rsidRPr="00460143" w14:paraId="683232C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C94E5BC" w14:textId="77777777" w:rsidR="007C0B91" w:rsidRPr="00460143" w:rsidRDefault="007C0B91" w:rsidP="007C3C42">
            <w:pPr>
              <w:jc w:val="center"/>
              <w:rPr>
                <w:rFonts w:ascii="Arial Narrow" w:hAnsi="Arial Narrow"/>
                <w:sz w:val="20"/>
                <w:szCs w:val="20"/>
              </w:rPr>
            </w:pPr>
          </w:p>
        </w:tc>
        <w:tc>
          <w:tcPr>
            <w:tcW w:w="7745" w:type="dxa"/>
            <w:gridSpan w:val="7"/>
            <w:vAlign w:val="center"/>
            <w:hideMark/>
          </w:tcPr>
          <w:p w14:paraId="373E32DE"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Initial treatment</w:t>
            </w:r>
          </w:p>
        </w:tc>
      </w:tr>
      <w:tr w:rsidR="007C0B91" w:rsidRPr="00460143" w14:paraId="065E733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8D21A96" w14:textId="3ABB4A64" w:rsidR="007C0B91" w:rsidRPr="00460143" w:rsidRDefault="007C0B91" w:rsidP="007C3C42">
            <w:pPr>
              <w:jc w:val="center"/>
              <w:rPr>
                <w:rFonts w:ascii="Arial Narrow" w:hAnsi="Arial Narrow"/>
                <w:sz w:val="20"/>
                <w:szCs w:val="20"/>
              </w:rPr>
            </w:pPr>
          </w:p>
        </w:tc>
        <w:tc>
          <w:tcPr>
            <w:tcW w:w="7745" w:type="dxa"/>
            <w:gridSpan w:val="7"/>
            <w:vAlign w:val="center"/>
            <w:hideMark/>
          </w:tcPr>
          <w:p w14:paraId="5F52CBB9"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7C0B91" w:rsidRPr="00460143" w14:paraId="0B10FFA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077CEBD" w14:textId="3E21A330" w:rsidR="007C0B91" w:rsidRPr="00460143" w:rsidRDefault="007C0B91" w:rsidP="007C3C42">
            <w:pPr>
              <w:jc w:val="center"/>
              <w:rPr>
                <w:rFonts w:ascii="Arial Narrow" w:hAnsi="Arial Narrow"/>
                <w:sz w:val="20"/>
                <w:szCs w:val="20"/>
              </w:rPr>
            </w:pPr>
          </w:p>
        </w:tc>
        <w:tc>
          <w:tcPr>
            <w:tcW w:w="7745" w:type="dxa"/>
            <w:gridSpan w:val="7"/>
            <w:vAlign w:val="center"/>
            <w:hideMark/>
          </w:tcPr>
          <w:p w14:paraId="3F4311DC" w14:textId="77777777" w:rsidR="007C0B91" w:rsidRPr="00460143" w:rsidRDefault="007C0B91" w:rsidP="007C3C42">
            <w:pPr>
              <w:jc w:val="left"/>
              <w:rPr>
                <w:rFonts w:ascii="Arial Narrow" w:hAnsi="Arial Narrow"/>
                <w:color w:val="333333"/>
                <w:sz w:val="20"/>
                <w:szCs w:val="20"/>
              </w:rPr>
            </w:pPr>
            <w:r w:rsidRPr="00460143">
              <w:rPr>
                <w:rFonts w:ascii="Arial Narrow" w:hAnsi="Arial Narrow"/>
                <w:sz w:val="20"/>
                <w:szCs w:val="20"/>
              </w:rPr>
              <w:t>The condition must be diagnosed as clinically definite relapsing-remitting multiple sclerosis by magnetic resonance imaging of the brain and/or spinal cord; OR</w:t>
            </w:r>
          </w:p>
        </w:tc>
      </w:tr>
      <w:tr w:rsidR="007C0B91" w:rsidRPr="00460143" w14:paraId="1AD74FD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2CCEF6" w14:textId="2B7E3F81" w:rsidR="007C0B91" w:rsidRPr="00460143" w:rsidRDefault="007C0B91" w:rsidP="007C3C42">
            <w:pPr>
              <w:jc w:val="center"/>
              <w:rPr>
                <w:rFonts w:ascii="Arial Narrow" w:hAnsi="Arial Narrow"/>
                <w:sz w:val="20"/>
                <w:szCs w:val="20"/>
              </w:rPr>
            </w:pPr>
          </w:p>
        </w:tc>
        <w:tc>
          <w:tcPr>
            <w:tcW w:w="7745" w:type="dxa"/>
            <w:gridSpan w:val="7"/>
            <w:vAlign w:val="center"/>
            <w:hideMark/>
          </w:tcPr>
          <w:p w14:paraId="200C81AB" w14:textId="77777777" w:rsidR="007C0B91" w:rsidRPr="00460143" w:rsidRDefault="007C0B91" w:rsidP="007C3C42">
            <w:pPr>
              <w:jc w:val="left"/>
              <w:rPr>
                <w:rFonts w:ascii="Arial Narrow" w:hAnsi="Arial Narrow"/>
                <w:color w:val="FF0000"/>
                <w:sz w:val="20"/>
                <w:szCs w:val="20"/>
              </w:rPr>
            </w:pPr>
            <w:r w:rsidRPr="00460143">
              <w:rPr>
                <w:rFonts w:ascii="Arial Narrow" w:hAnsi="Arial Narrow"/>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Pr="00F81EB8">
              <w:rPr>
                <w:rFonts w:ascii="Arial Narrow" w:hAnsi="Arial Narrow"/>
                <w:sz w:val="20"/>
                <w:szCs w:val="20"/>
              </w:rPr>
              <w:t>,</w:t>
            </w:r>
          </w:p>
        </w:tc>
      </w:tr>
      <w:tr w:rsidR="007C0B91" w:rsidRPr="00460143" w14:paraId="13C25B2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1ED953" w14:textId="77777777" w:rsidR="007C0B91" w:rsidRPr="00460143" w:rsidRDefault="007C0B91" w:rsidP="007C3C42">
            <w:pPr>
              <w:jc w:val="center"/>
              <w:rPr>
                <w:rFonts w:ascii="Arial Narrow" w:hAnsi="Arial Narrow"/>
                <w:sz w:val="20"/>
                <w:szCs w:val="20"/>
              </w:rPr>
            </w:pPr>
          </w:p>
        </w:tc>
        <w:tc>
          <w:tcPr>
            <w:tcW w:w="7745" w:type="dxa"/>
            <w:gridSpan w:val="7"/>
            <w:vAlign w:val="center"/>
            <w:hideMark/>
          </w:tcPr>
          <w:p w14:paraId="27842669"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AND</w:t>
            </w:r>
          </w:p>
        </w:tc>
      </w:tr>
      <w:tr w:rsidR="007C0B91" w:rsidRPr="00460143" w14:paraId="4A9D179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2F5B7B" w14:textId="25571440" w:rsidR="007C0B91" w:rsidRPr="00460143" w:rsidRDefault="007C0B91" w:rsidP="007C3C42">
            <w:pPr>
              <w:jc w:val="center"/>
              <w:rPr>
                <w:rFonts w:ascii="Arial Narrow" w:hAnsi="Arial Narrow"/>
                <w:sz w:val="20"/>
                <w:szCs w:val="20"/>
              </w:rPr>
            </w:pPr>
          </w:p>
        </w:tc>
        <w:tc>
          <w:tcPr>
            <w:tcW w:w="7745" w:type="dxa"/>
            <w:gridSpan w:val="7"/>
            <w:vAlign w:val="center"/>
            <w:hideMark/>
          </w:tcPr>
          <w:p w14:paraId="0DD54AA3"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Clinical criteria:</w:t>
            </w:r>
          </w:p>
        </w:tc>
      </w:tr>
      <w:tr w:rsidR="007C0B91" w:rsidRPr="00460143" w14:paraId="1166F9A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9F0DE5" w14:textId="18B0B3AB" w:rsidR="007C0B91" w:rsidRPr="00460143" w:rsidRDefault="007C0B91" w:rsidP="007C3C42">
            <w:pPr>
              <w:jc w:val="center"/>
              <w:rPr>
                <w:rFonts w:ascii="Arial Narrow" w:hAnsi="Arial Narrow"/>
                <w:sz w:val="20"/>
                <w:szCs w:val="20"/>
              </w:rPr>
            </w:pPr>
          </w:p>
        </w:tc>
        <w:tc>
          <w:tcPr>
            <w:tcW w:w="7745" w:type="dxa"/>
            <w:gridSpan w:val="7"/>
            <w:vAlign w:val="center"/>
            <w:hideMark/>
          </w:tcPr>
          <w:p w14:paraId="7BE4BE57" w14:textId="77777777" w:rsidR="007C0B91" w:rsidRPr="00460143" w:rsidRDefault="007C0B91" w:rsidP="007C3C42">
            <w:pPr>
              <w:jc w:val="left"/>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7C0B91" w:rsidRPr="00460143" w14:paraId="0B30F08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83703A" w14:textId="77777777" w:rsidR="007C0B91" w:rsidRPr="00460143" w:rsidDel="004B302D" w:rsidRDefault="007C0B91" w:rsidP="00211361">
            <w:pPr>
              <w:rPr>
                <w:rFonts w:ascii="Arial Narrow" w:hAnsi="Arial Narrow"/>
                <w:sz w:val="20"/>
                <w:szCs w:val="20"/>
              </w:rPr>
            </w:pPr>
          </w:p>
        </w:tc>
        <w:tc>
          <w:tcPr>
            <w:tcW w:w="7745" w:type="dxa"/>
            <w:gridSpan w:val="7"/>
            <w:vAlign w:val="center"/>
          </w:tcPr>
          <w:p w14:paraId="6B7539A2" w14:textId="77777777" w:rsidR="007C0B91" w:rsidRPr="00460143" w:rsidRDefault="007C0B91" w:rsidP="007C3C42">
            <w:r w:rsidRPr="00460143">
              <w:rPr>
                <w:rFonts w:ascii="Arial Narrow" w:hAnsi="Arial Narrow"/>
                <w:b/>
                <w:bCs/>
                <w:sz w:val="20"/>
                <w:szCs w:val="20"/>
              </w:rPr>
              <w:t>AND</w:t>
            </w:r>
          </w:p>
        </w:tc>
      </w:tr>
      <w:tr w:rsidR="007C0B91" w:rsidRPr="00460143" w14:paraId="2CF5428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87CABF" w14:textId="4DE9677C" w:rsidR="007C0B91" w:rsidRPr="00460143" w:rsidDel="004B302D" w:rsidRDefault="007C0B91" w:rsidP="007C3C42">
            <w:pPr>
              <w:jc w:val="center"/>
              <w:rPr>
                <w:rFonts w:ascii="Arial Narrow" w:hAnsi="Arial Narrow"/>
                <w:sz w:val="20"/>
                <w:szCs w:val="20"/>
              </w:rPr>
            </w:pPr>
          </w:p>
        </w:tc>
        <w:tc>
          <w:tcPr>
            <w:tcW w:w="7745" w:type="dxa"/>
            <w:gridSpan w:val="7"/>
            <w:vAlign w:val="center"/>
          </w:tcPr>
          <w:p w14:paraId="4779F693"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6997B0B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8067981" w14:textId="0E33DB03" w:rsidR="007C0B91" w:rsidRPr="00460143" w:rsidDel="004B302D" w:rsidRDefault="007C0B91" w:rsidP="007C3C42">
            <w:pPr>
              <w:jc w:val="center"/>
              <w:rPr>
                <w:rFonts w:ascii="Arial Narrow" w:hAnsi="Arial Narrow"/>
                <w:sz w:val="20"/>
                <w:szCs w:val="20"/>
              </w:rPr>
            </w:pPr>
          </w:p>
        </w:tc>
        <w:tc>
          <w:tcPr>
            <w:tcW w:w="7745" w:type="dxa"/>
            <w:gridSpan w:val="7"/>
            <w:vAlign w:val="center"/>
          </w:tcPr>
          <w:p w14:paraId="0B702DBF" w14:textId="77777777" w:rsidR="007C0B91" w:rsidRPr="00460143" w:rsidRDefault="007C0B91" w:rsidP="007C3C42">
            <w:pPr>
              <w:rPr>
                <w:rFonts w:ascii="Arial Narrow" w:hAnsi="Arial Narrow"/>
                <w:b/>
                <w:bCs/>
                <w:sz w:val="20"/>
                <w:szCs w:val="20"/>
              </w:rPr>
            </w:pPr>
            <w:r w:rsidRPr="00460143">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7C0B91" w:rsidRPr="00460143" w14:paraId="3DEF9C3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63E68C" w14:textId="77777777" w:rsidR="007C0B91" w:rsidRPr="00460143" w:rsidRDefault="007C0B91" w:rsidP="007C3C42">
            <w:pPr>
              <w:jc w:val="center"/>
              <w:rPr>
                <w:rFonts w:ascii="Arial Narrow" w:hAnsi="Arial Narrow"/>
                <w:sz w:val="20"/>
                <w:szCs w:val="20"/>
              </w:rPr>
            </w:pPr>
          </w:p>
        </w:tc>
        <w:tc>
          <w:tcPr>
            <w:tcW w:w="7745" w:type="dxa"/>
            <w:gridSpan w:val="7"/>
            <w:vAlign w:val="center"/>
          </w:tcPr>
          <w:p w14:paraId="42908949"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63F4CB4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49F7DA" w14:textId="7665C932" w:rsidR="007C0B91" w:rsidRPr="00460143" w:rsidDel="004B302D" w:rsidRDefault="007C0B91" w:rsidP="007C3C42">
            <w:pPr>
              <w:jc w:val="center"/>
              <w:rPr>
                <w:rFonts w:ascii="Arial Narrow" w:hAnsi="Arial Narrow"/>
                <w:sz w:val="20"/>
                <w:szCs w:val="20"/>
              </w:rPr>
            </w:pPr>
          </w:p>
        </w:tc>
        <w:tc>
          <w:tcPr>
            <w:tcW w:w="7745" w:type="dxa"/>
            <w:gridSpan w:val="7"/>
            <w:vAlign w:val="center"/>
          </w:tcPr>
          <w:p w14:paraId="2CB62D4E"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596FE2C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1271046" w14:textId="39E46B77" w:rsidR="007C0B91" w:rsidRPr="00460143" w:rsidDel="004B302D" w:rsidRDefault="007C0B91" w:rsidP="007C3C42">
            <w:pPr>
              <w:jc w:val="center"/>
              <w:rPr>
                <w:rFonts w:ascii="Arial Narrow" w:hAnsi="Arial Narrow"/>
                <w:sz w:val="20"/>
                <w:szCs w:val="20"/>
              </w:rPr>
            </w:pPr>
          </w:p>
        </w:tc>
        <w:tc>
          <w:tcPr>
            <w:tcW w:w="7745" w:type="dxa"/>
            <w:gridSpan w:val="7"/>
            <w:vAlign w:val="center"/>
          </w:tcPr>
          <w:p w14:paraId="12A83116" w14:textId="77777777" w:rsidR="007C0B91" w:rsidRPr="00460143" w:rsidRDefault="007C0B91" w:rsidP="007C3C42">
            <w:pPr>
              <w:autoSpaceDE w:val="0"/>
              <w:autoSpaceDN w:val="0"/>
              <w:adjustRightInd w:val="0"/>
              <w:jc w:val="left"/>
              <w:rPr>
                <w:rFonts w:ascii="Arial Narrow" w:hAnsi="Arial Narrow"/>
                <w:b/>
                <w:bCs/>
                <w:sz w:val="20"/>
                <w:szCs w:val="20"/>
              </w:rPr>
            </w:pPr>
            <w:r w:rsidRPr="00460143">
              <w:rPr>
                <w:rFonts w:ascii="Arial Narrow" w:hAnsi="Arial Narrow"/>
                <w:sz w:val="20"/>
                <w:szCs w:val="20"/>
              </w:rPr>
              <w:t>Patient must be ambulatory (without assistance or support)</w:t>
            </w:r>
            <w:r w:rsidRPr="00460143">
              <w:rPr>
                <w:rFonts w:ascii="Arial Narrow" w:hAnsi="Arial Narrow"/>
                <w:b/>
                <w:bCs/>
                <w:sz w:val="20"/>
                <w:szCs w:val="20"/>
              </w:rPr>
              <w:t>.</w:t>
            </w:r>
          </w:p>
        </w:tc>
      </w:tr>
      <w:tr w:rsidR="007C0B91" w:rsidRPr="00460143" w14:paraId="6AD7565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5C82BA" w14:textId="0AFB8814" w:rsidR="007C0B91" w:rsidRPr="00460143" w:rsidRDefault="007C0B91" w:rsidP="007C3C42">
            <w:pPr>
              <w:keepNext/>
              <w:jc w:val="center"/>
              <w:rPr>
                <w:rFonts w:ascii="Arial Narrow" w:hAnsi="Arial Narrow"/>
                <w:sz w:val="20"/>
                <w:szCs w:val="20"/>
              </w:rPr>
            </w:pPr>
          </w:p>
        </w:tc>
        <w:tc>
          <w:tcPr>
            <w:tcW w:w="7745" w:type="dxa"/>
            <w:gridSpan w:val="7"/>
            <w:vAlign w:val="center"/>
            <w:hideMark/>
          </w:tcPr>
          <w:p w14:paraId="5C0FF282" w14:textId="77777777" w:rsidR="007C0B91" w:rsidRPr="00460143" w:rsidRDefault="007C0B91" w:rsidP="007C3C42">
            <w:pPr>
              <w:keepNext/>
              <w:rPr>
                <w:rFonts w:ascii="Arial Narrow" w:hAnsi="Arial Narrow"/>
                <w:sz w:val="20"/>
                <w:szCs w:val="20"/>
              </w:rPr>
            </w:pPr>
            <w:r w:rsidRPr="00460143">
              <w:rPr>
                <w:rFonts w:ascii="Arial Narrow" w:hAnsi="Arial Narrow"/>
                <w:b/>
                <w:bCs/>
                <w:sz w:val="20"/>
                <w:szCs w:val="20"/>
              </w:rPr>
              <w:t>Treatment criteria:</w:t>
            </w:r>
          </w:p>
        </w:tc>
      </w:tr>
      <w:tr w:rsidR="007C0B91" w:rsidRPr="00460143" w14:paraId="5E620DD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1938A0" w14:textId="6EA0248E" w:rsidR="007C0B91" w:rsidRPr="00460143" w:rsidRDefault="007C0B91" w:rsidP="007C3C42">
            <w:pPr>
              <w:jc w:val="center"/>
              <w:rPr>
                <w:rFonts w:ascii="Arial Narrow" w:hAnsi="Arial Narrow"/>
                <w:sz w:val="20"/>
                <w:szCs w:val="20"/>
              </w:rPr>
            </w:pPr>
          </w:p>
        </w:tc>
        <w:tc>
          <w:tcPr>
            <w:tcW w:w="7745" w:type="dxa"/>
            <w:gridSpan w:val="7"/>
            <w:vAlign w:val="center"/>
            <w:hideMark/>
          </w:tcPr>
          <w:p w14:paraId="7C9E424A" w14:textId="77777777" w:rsidR="007C0B91" w:rsidRPr="00F81EB8" w:rsidRDefault="007C0B91" w:rsidP="007C3C42">
            <w:pPr>
              <w:autoSpaceDE w:val="0"/>
              <w:autoSpaceDN w:val="0"/>
              <w:adjustRightInd w:val="0"/>
              <w:jc w:val="left"/>
              <w:rPr>
                <w:rFonts w:ascii="Arial Narrow" w:hAnsi="Arial Narrow" w:cs="Arial Narrow"/>
                <w:sz w:val="20"/>
                <w:szCs w:val="20"/>
              </w:rPr>
            </w:pPr>
            <w:r w:rsidRPr="00460143">
              <w:rPr>
                <w:rFonts w:ascii="Arial Narrow" w:hAnsi="Arial Narrow"/>
                <w:sz w:val="20"/>
                <w:szCs w:val="20"/>
              </w:rPr>
              <w:t>Must be treated by a neurologist.</w:t>
            </w:r>
          </w:p>
        </w:tc>
      </w:tr>
      <w:tr w:rsidR="007C0B91" w:rsidRPr="00460143" w14:paraId="5AC1487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2BAB039" w14:textId="10A74BC2" w:rsidR="007C0B91" w:rsidRPr="00460143" w:rsidRDefault="007C0B91" w:rsidP="007C3C42">
            <w:pPr>
              <w:jc w:val="center"/>
              <w:rPr>
                <w:rFonts w:ascii="Arial Narrow" w:hAnsi="Arial Narrow"/>
                <w:sz w:val="20"/>
                <w:szCs w:val="20"/>
              </w:rPr>
            </w:pPr>
          </w:p>
        </w:tc>
        <w:tc>
          <w:tcPr>
            <w:tcW w:w="7745" w:type="dxa"/>
            <w:gridSpan w:val="7"/>
            <w:vAlign w:val="center"/>
            <w:hideMark/>
          </w:tcPr>
          <w:p w14:paraId="7F076BD8"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Prescribing Instructions: </w:t>
            </w:r>
            <w:r w:rsidRPr="00460143">
              <w:rPr>
                <w:rFonts w:ascii="Arial Narrow" w:hAnsi="Arial Narrow"/>
                <w:sz w:val="20"/>
                <w:szCs w:val="20"/>
              </w:rPr>
              <w:t>Where applicable, the date of the magnetic resonance imaging scan must be recorded in the patient's medical records.</w:t>
            </w:r>
          </w:p>
        </w:tc>
      </w:tr>
      <w:tr w:rsidR="007C0B91" w:rsidRPr="00460143" w14:paraId="4219570C"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4405AE9C" w14:textId="77777777" w:rsidR="007C0B91" w:rsidRPr="00460143" w:rsidRDefault="007C0B91" w:rsidP="007C3C42">
            <w:pPr>
              <w:rPr>
                <w:rFonts w:ascii="Arial Narrow" w:hAnsi="Arial Narrow"/>
                <w:bCs/>
                <w:color w:val="FF0000"/>
                <w:sz w:val="20"/>
                <w:szCs w:val="20"/>
              </w:rPr>
            </w:pPr>
          </w:p>
          <w:p w14:paraId="2908650C" w14:textId="77777777" w:rsidR="007C0B91" w:rsidRPr="00460143" w:rsidRDefault="007C0B91" w:rsidP="007C3C42">
            <w:pPr>
              <w:rPr>
                <w:rFonts w:ascii="Arial Narrow" w:hAnsi="Arial Narrow"/>
                <w:bCs/>
                <w:color w:val="FF0000"/>
                <w:sz w:val="20"/>
                <w:szCs w:val="20"/>
              </w:rPr>
            </w:pPr>
          </w:p>
        </w:tc>
      </w:tr>
      <w:tr w:rsidR="007C0B91" w:rsidRPr="00460143" w14:paraId="229AD723"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9"/>
            <w:vAlign w:val="center"/>
          </w:tcPr>
          <w:p w14:paraId="612D5175" w14:textId="77777777" w:rsidR="007C0B91" w:rsidRPr="00460143" w:rsidRDefault="007C0B91" w:rsidP="007C3C42">
            <w:pPr>
              <w:keepNext/>
              <w:keepLines/>
              <w:rPr>
                <w:rFonts w:ascii="Arial Narrow" w:hAnsi="Arial Narrow"/>
                <w:b/>
                <w:bCs/>
                <w:color w:val="333333"/>
                <w:sz w:val="20"/>
                <w:szCs w:val="20"/>
              </w:rPr>
            </w:pPr>
            <w:r w:rsidRPr="00460143">
              <w:rPr>
                <w:rFonts w:ascii="Arial Narrow" w:hAnsi="Arial Narrow"/>
                <w:b/>
                <w:bCs/>
                <w:sz w:val="20"/>
                <w:szCs w:val="20"/>
              </w:rPr>
              <w:t>Restriction Summary 7396</w:t>
            </w:r>
            <w:r w:rsidRPr="00460143">
              <w:rPr>
                <w:rFonts w:ascii="Arial Narrow" w:hAnsi="Arial Narrow"/>
                <w:b/>
                <w:bCs/>
                <w:color w:val="FF0000"/>
                <w:sz w:val="20"/>
                <w:szCs w:val="20"/>
              </w:rPr>
              <w:t xml:space="preserve"> </w:t>
            </w:r>
            <w:r w:rsidRPr="00460143">
              <w:rPr>
                <w:rFonts w:ascii="Arial Narrow" w:hAnsi="Arial Narrow"/>
                <w:b/>
                <w:bCs/>
                <w:sz w:val="20"/>
                <w:szCs w:val="20"/>
              </w:rPr>
              <w:t>/ Treatment of Concept: 7386</w:t>
            </w:r>
          </w:p>
        </w:tc>
      </w:tr>
      <w:tr w:rsidR="007C0B91" w:rsidRPr="00460143" w14:paraId="51B89D6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293C2731" w14:textId="77777777" w:rsidR="007C0B91" w:rsidRPr="00460143" w:rsidRDefault="007C0B91" w:rsidP="007C3C42">
            <w:pPr>
              <w:jc w:val="center"/>
              <w:rPr>
                <w:rFonts w:ascii="Arial Narrow" w:hAnsi="Arial Narrow" w:cs="Arial"/>
                <w:b/>
                <w:sz w:val="20"/>
                <w:szCs w:val="20"/>
              </w:rPr>
            </w:pPr>
            <w:r w:rsidRPr="00460143">
              <w:rPr>
                <w:rFonts w:ascii="Arial Narrow" w:hAnsi="Arial Narrow" w:cs="Arial"/>
                <w:b/>
                <w:sz w:val="20"/>
                <w:szCs w:val="20"/>
              </w:rPr>
              <w:t>Concept ID</w:t>
            </w:r>
            <w:r w:rsidRPr="00460143">
              <w:rPr>
                <w:rFonts w:ascii="Arial Narrow" w:hAnsi="Arial Narrow" w:cs="Arial"/>
                <w:b/>
                <w:sz w:val="20"/>
                <w:szCs w:val="20"/>
              </w:rPr>
              <w:br/>
            </w:r>
            <w:r w:rsidRPr="00460143">
              <w:rPr>
                <w:rFonts w:ascii="Arial Narrow" w:hAnsi="Arial Narrow" w:cs="Arial"/>
                <w:sz w:val="20"/>
                <w:szCs w:val="20"/>
              </w:rPr>
              <w:t>(for internal Dept. use)</w:t>
            </w: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3B8559A" w14:textId="77777777" w:rsidR="007C0B91" w:rsidRPr="00460143" w:rsidRDefault="007C0B91" w:rsidP="007C3C42">
            <w:pPr>
              <w:keepLines/>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Public (Code HS)</w:t>
            </w:r>
          </w:p>
        </w:tc>
      </w:tr>
      <w:tr w:rsidR="007C0B91" w:rsidRPr="00460143" w14:paraId="2E8ED7E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27B7BEB"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64DB7BE" w14:textId="77777777" w:rsidR="007C0B91" w:rsidRPr="00460143" w:rsidRDefault="007C0B91"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7C0B91" w:rsidRPr="00460143" w14:paraId="12E4E41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8FD97A1"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73AEC5BD" w14:textId="77777777" w:rsidR="007C0B91" w:rsidRPr="00460143" w:rsidRDefault="007C0B91" w:rsidP="007C3C42">
            <w:pPr>
              <w:keepLines/>
              <w:rPr>
                <w:rFonts w:ascii="Arial Narrow" w:eastAsia="Calibri" w:hAnsi="Arial Narrow" w:cs="Arial"/>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[7386] </w:t>
            </w:r>
          </w:p>
        </w:tc>
      </w:tr>
      <w:tr w:rsidR="007C0B91" w:rsidRPr="00460143" w14:paraId="18431B7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720F06B7" w14:textId="77777777" w:rsidR="007C0B91" w:rsidRPr="00460143" w:rsidRDefault="007C0B91" w:rsidP="007C3C42">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45819BCF" w14:textId="77777777" w:rsidR="007C0B91" w:rsidRPr="00460143" w:rsidRDefault="007C0B91"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7C0B91" w:rsidRPr="00460143" w14:paraId="03C53F8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1812760" w14:textId="7D1201CD" w:rsidR="007C0B91" w:rsidRPr="00460143" w:rsidRDefault="007C0B91" w:rsidP="007C3C42">
            <w:pPr>
              <w:jc w:val="center"/>
              <w:rPr>
                <w:rFonts w:ascii="Arial Narrow" w:hAnsi="Arial Narrow"/>
                <w:sz w:val="20"/>
                <w:szCs w:val="20"/>
              </w:rPr>
            </w:pPr>
          </w:p>
        </w:tc>
        <w:tc>
          <w:tcPr>
            <w:tcW w:w="7745" w:type="dxa"/>
            <w:gridSpan w:val="7"/>
            <w:vAlign w:val="center"/>
            <w:hideMark/>
          </w:tcPr>
          <w:p w14:paraId="32D07FD8" w14:textId="77777777" w:rsidR="007C0B91" w:rsidRPr="00460143" w:rsidRDefault="007C0B91" w:rsidP="007C3C42">
            <w:pPr>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r w:rsidRPr="00460143" w:rsidDel="004B302D">
              <w:rPr>
                <w:rFonts w:ascii="Arial Narrow" w:hAnsi="Arial Narrow"/>
                <w:sz w:val="20"/>
                <w:szCs w:val="20"/>
              </w:rPr>
              <w:t xml:space="preserve"> </w:t>
            </w:r>
          </w:p>
        </w:tc>
      </w:tr>
      <w:tr w:rsidR="007C0B91" w:rsidRPr="00460143" w14:paraId="46E280E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122475A" w14:textId="77777777" w:rsidR="007C0B91" w:rsidRPr="00460143" w:rsidRDefault="007C0B91" w:rsidP="007C3C42">
            <w:pPr>
              <w:jc w:val="center"/>
              <w:rPr>
                <w:rFonts w:ascii="Arial Narrow" w:hAnsi="Arial Narrow"/>
                <w:sz w:val="20"/>
                <w:szCs w:val="20"/>
              </w:rPr>
            </w:pPr>
          </w:p>
        </w:tc>
        <w:tc>
          <w:tcPr>
            <w:tcW w:w="7745" w:type="dxa"/>
            <w:gridSpan w:val="7"/>
            <w:vAlign w:val="center"/>
            <w:hideMark/>
          </w:tcPr>
          <w:p w14:paraId="5B181B77"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Continuing treatment</w:t>
            </w:r>
          </w:p>
        </w:tc>
      </w:tr>
      <w:tr w:rsidR="007C0B91" w:rsidRPr="00460143" w14:paraId="6941A9B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A78854B" w14:textId="36DC1BBF" w:rsidR="007C0B91" w:rsidRPr="00460143" w:rsidRDefault="007C0B91" w:rsidP="007C3C42">
            <w:pPr>
              <w:jc w:val="center"/>
              <w:rPr>
                <w:rFonts w:ascii="Arial Narrow" w:hAnsi="Arial Narrow"/>
                <w:sz w:val="20"/>
                <w:szCs w:val="20"/>
              </w:rPr>
            </w:pPr>
          </w:p>
        </w:tc>
        <w:tc>
          <w:tcPr>
            <w:tcW w:w="7745" w:type="dxa"/>
            <w:gridSpan w:val="7"/>
            <w:vAlign w:val="center"/>
            <w:hideMark/>
          </w:tcPr>
          <w:p w14:paraId="7C9E8AD9"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7C0B91" w:rsidRPr="00460143" w14:paraId="2C6137F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19515D" w14:textId="3521350C" w:rsidR="007C0B91" w:rsidRPr="00460143" w:rsidRDefault="007C0B91" w:rsidP="007C3C42">
            <w:pPr>
              <w:jc w:val="center"/>
              <w:rPr>
                <w:rFonts w:ascii="Arial Narrow" w:hAnsi="Arial Narrow"/>
                <w:sz w:val="20"/>
                <w:szCs w:val="20"/>
              </w:rPr>
            </w:pPr>
          </w:p>
        </w:tc>
        <w:tc>
          <w:tcPr>
            <w:tcW w:w="7745" w:type="dxa"/>
            <w:gridSpan w:val="7"/>
            <w:vAlign w:val="center"/>
          </w:tcPr>
          <w:p w14:paraId="41531BE0"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have previously received PBS-subsidised treatment with this drug for this condition,</w:t>
            </w:r>
          </w:p>
        </w:tc>
      </w:tr>
      <w:tr w:rsidR="007C0B91" w:rsidRPr="00460143" w14:paraId="55F1F09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ACE589" w14:textId="77777777" w:rsidR="007C0B91" w:rsidRPr="00460143" w:rsidRDefault="007C0B91" w:rsidP="007C3C42">
            <w:pPr>
              <w:jc w:val="center"/>
              <w:rPr>
                <w:rFonts w:ascii="Arial Narrow" w:hAnsi="Arial Narrow"/>
                <w:sz w:val="20"/>
                <w:szCs w:val="20"/>
              </w:rPr>
            </w:pPr>
          </w:p>
        </w:tc>
        <w:tc>
          <w:tcPr>
            <w:tcW w:w="7745" w:type="dxa"/>
            <w:gridSpan w:val="7"/>
            <w:vAlign w:val="center"/>
          </w:tcPr>
          <w:p w14:paraId="0BEE7457"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26C2E2F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A7B988" w14:textId="55FCCBD9" w:rsidR="007C0B91" w:rsidRPr="00460143" w:rsidRDefault="007C0B91" w:rsidP="007C3C42">
            <w:pPr>
              <w:jc w:val="center"/>
              <w:rPr>
                <w:rFonts w:ascii="Arial Narrow" w:hAnsi="Arial Narrow"/>
                <w:sz w:val="20"/>
                <w:szCs w:val="20"/>
              </w:rPr>
            </w:pPr>
          </w:p>
        </w:tc>
        <w:tc>
          <w:tcPr>
            <w:tcW w:w="7745" w:type="dxa"/>
            <w:gridSpan w:val="7"/>
            <w:vAlign w:val="center"/>
          </w:tcPr>
          <w:p w14:paraId="668566BA"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4903734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D8AA93A" w14:textId="5E253067" w:rsidR="007C0B91" w:rsidRPr="00460143" w:rsidRDefault="007C0B91" w:rsidP="007C3C42">
            <w:pPr>
              <w:jc w:val="center"/>
              <w:rPr>
                <w:rFonts w:ascii="Arial Narrow" w:hAnsi="Arial Narrow"/>
                <w:sz w:val="20"/>
                <w:szCs w:val="20"/>
              </w:rPr>
            </w:pPr>
          </w:p>
        </w:tc>
        <w:tc>
          <w:tcPr>
            <w:tcW w:w="7745" w:type="dxa"/>
            <w:gridSpan w:val="7"/>
            <w:vAlign w:val="center"/>
          </w:tcPr>
          <w:p w14:paraId="6B8ADB14"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not show continuing progression of disability while on treatment with this drug,</w:t>
            </w:r>
          </w:p>
        </w:tc>
      </w:tr>
      <w:tr w:rsidR="007C0B91" w:rsidRPr="00460143" w14:paraId="6A3F0A5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69F236" w14:textId="77777777" w:rsidR="007C0B91" w:rsidRPr="00460143" w:rsidRDefault="007C0B91" w:rsidP="007C3C42">
            <w:pPr>
              <w:jc w:val="center"/>
              <w:rPr>
                <w:rFonts w:ascii="Arial Narrow" w:hAnsi="Arial Narrow"/>
                <w:sz w:val="20"/>
                <w:szCs w:val="20"/>
              </w:rPr>
            </w:pPr>
          </w:p>
        </w:tc>
        <w:tc>
          <w:tcPr>
            <w:tcW w:w="7745" w:type="dxa"/>
            <w:gridSpan w:val="7"/>
            <w:vAlign w:val="center"/>
          </w:tcPr>
          <w:p w14:paraId="0F7DDAC9"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4ED8F9E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7C83B9" w14:textId="53BEC0D3" w:rsidR="007C0B91" w:rsidRPr="00460143" w:rsidRDefault="007C0B91" w:rsidP="007C3C42">
            <w:pPr>
              <w:jc w:val="center"/>
              <w:rPr>
                <w:rFonts w:ascii="Arial Narrow" w:hAnsi="Arial Narrow"/>
                <w:sz w:val="20"/>
                <w:szCs w:val="20"/>
              </w:rPr>
            </w:pPr>
          </w:p>
        </w:tc>
        <w:tc>
          <w:tcPr>
            <w:tcW w:w="7745" w:type="dxa"/>
            <w:gridSpan w:val="7"/>
            <w:vAlign w:val="center"/>
          </w:tcPr>
          <w:p w14:paraId="36D61B10"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49EF34B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F7B229" w14:textId="57F83D96" w:rsidR="007C0B91" w:rsidRPr="00460143" w:rsidRDefault="007C0B91" w:rsidP="007C3C42">
            <w:pPr>
              <w:jc w:val="center"/>
              <w:rPr>
                <w:rFonts w:ascii="Arial Narrow" w:hAnsi="Arial Narrow"/>
                <w:sz w:val="20"/>
                <w:szCs w:val="20"/>
              </w:rPr>
            </w:pPr>
          </w:p>
        </w:tc>
        <w:tc>
          <w:tcPr>
            <w:tcW w:w="7745" w:type="dxa"/>
            <w:gridSpan w:val="7"/>
            <w:vAlign w:val="center"/>
          </w:tcPr>
          <w:p w14:paraId="5D7AC548"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7C0B91" w:rsidRPr="00460143" w14:paraId="3E3C3BD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C56CD3" w14:textId="77777777" w:rsidR="007C0B91" w:rsidRPr="00460143" w:rsidRDefault="007C0B91" w:rsidP="007C3C42">
            <w:pPr>
              <w:jc w:val="center"/>
              <w:rPr>
                <w:rFonts w:ascii="Arial Narrow" w:hAnsi="Arial Narrow"/>
                <w:sz w:val="20"/>
                <w:szCs w:val="20"/>
              </w:rPr>
            </w:pPr>
          </w:p>
        </w:tc>
        <w:tc>
          <w:tcPr>
            <w:tcW w:w="7745" w:type="dxa"/>
            <w:gridSpan w:val="7"/>
            <w:vAlign w:val="center"/>
          </w:tcPr>
          <w:p w14:paraId="48ECC487"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12B2B4BC"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D0AE47" w14:textId="695F82A6" w:rsidR="007C0B91" w:rsidRPr="00460143" w:rsidRDefault="007C0B91" w:rsidP="007C3C42">
            <w:pPr>
              <w:jc w:val="center"/>
              <w:rPr>
                <w:rFonts w:ascii="Arial Narrow" w:hAnsi="Arial Narrow"/>
                <w:sz w:val="20"/>
                <w:szCs w:val="20"/>
              </w:rPr>
            </w:pPr>
          </w:p>
        </w:tc>
        <w:tc>
          <w:tcPr>
            <w:tcW w:w="7745" w:type="dxa"/>
            <w:gridSpan w:val="7"/>
            <w:vAlign w:val="center"/>
          </w:tcPr>
          <w:p w14:paraId="0BBAA759" w14:textId="77777777" w:rsidR="007C0B91" w:rsidRPr="00460143" w:rsidRDefault="007C0B91" w:rsidP="007C3C42">
            <w:r w:rsidRPr="00460143">
              <w:rPr>
                <w:rFonts w:ascii="Arial Narrow" w:hAnsi="Arial Narrow"/>
                <w:b/>
                <w:bCs/>
                <w:sz w:val="20"/>
                <w:szCs w:val="20"/>
              </w:rPr>
              <w:t>Clinical criteria:</w:t>
            </w:r>
          </w:p>
        </w:tc>
      </w:tr>
      <w:tr w:rsidR="007C0B91" w:rsidRPr="00460143" w14:paraId="083D2B72"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CCC5AFF" w14:textId="10240E5F" w:rsidR="007C0B91" w:rsidRPr="00460143" w:rsidRDefault="007C0B91" w:rsidP="007C3C42">
            <w:pPr>
              <w:jc w:val="center"/>
              <w:rPr>
                <w:rFonts w:ascii="Arial Narrow" w:hAnsi="Arial Narrow"/>
                <w:sz w:val="20"/>
                <w:szCs w:val="20"/>
              </w:rPr>
            </w:pPr>
          </w:p>
        </w:tc>
        <w:tc>
          <w:tcPr>
            <w:tcW w:w="7745" w:type="dxa"/>
            <w:gridSpan w:val="7"/>
            <w:vAlign w:val="center"/>
          </w:tcPr>
          <w:p w14:paraId="76CBEC82"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have demonstrated compliance with, and an ability to tolerate this therapy.</w:t>
            </w:r>
          </w:p>
        </w:tc>
      </w:tr>
      <w:tr w:rsidR="007C0B91" w:rsidRPr="00460143" w14:paraId="08EB8A3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B85D67" w14:textId="524813D9" w:rsidR="007C0B91" w:rsidRPr="00460143" w:rsidRDefault="007C0B91" w:rsidP="007C3C42">
            <w:pPr>
              <w:jc w:val="center"/>
              <w:rPr>
                <w:rFonts w:ascii="Arial Narrow" w:hAnsi="Arial Narrow"/>
                <w:sz w:val="20"/>
                <w:szCs w:val="20"/>
              </w:rPr>
            </w:pPr>
          </w:p>
        </w:tc>
        <w:tc>
          <w:tcPr>
            <w:tcW w:w="7745" w:type="dxa"/>
            <w:gridSpan w:val="7"/>
            <w:vAlign w:val="center"/>
          </w:tcPr>
          <w:p w14:paraId="14E3F99C"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criteria:</w:t>
            </w:r>
          </w:p>
        </w:tc>
      </w:tr>
      <w:tr w:rsidR="007C0B91" w:rsidRPr="00460143" w14:paraId="066AFC2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2186AA" w14:textId="322E54A8" w:rsidR="007C0B91" w:rsidRPr="00460143" w:rsidRDefault="007C0B91" w:rsidP="007C3C42">
            <w:pPr>
              <w:jc w:val="center"/>
              <w:rPr>
                <w:rFonts w:ascii="Arial Narrow" w:hAnsi="Arial Narrow"/>
                <w:sz w:val="20"/>
                <w:szCs w:val="20"/>
              </w:rPr>
            </w:pPr>
          </w:p>
        </w:tc>
        <w:tc>
          <w:tcPr>
            <w:tcW w:w="7745" w:type="dxa"/>
            <w:gridSpan w:val="7"/>
            <w:vAlign w:val="center"/>
          </w:tcPr>
          <w:p w14:paraId="5438142E"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Must be treated by a neurologist.</w:t>
            </w:r>
          </w:p>
        </w:tc>
      </w:tr>
    </w:tbl>
    <w:p w14:paraId="515957E3" w14:textId="77777777" w:rsidR="007C0B91" w:rsidRPr="00460143" w:rsidRDefault="007C0B91" w:rsidP="007C0B91">
      <w:pPr>
        <w:pStyle w:val="3-BodyText"/>
        <w:numPr>
          <w:ilvl w:val="0"/>
          <w:numId w:val="0"/>
        </w:numPr>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7C0B91" w:rsidRPr="00460143" w14:paraId="57B3604D" w14:textId="77777777" w:rsidTr="007C3C42">
        <w:trPr>
          <w:cantSplit/>
          <w:trHeight w:val="20"/>
        </w:trPr>
        <w:tc>
          <w:tcPr>
            <w:tcW w:w="3939" w:type="dxa"/>
            <w:gridSpan w:val="3"/>
            <w:vAlign w:val="center"/>
          </w:tcPr>
          <w:p w14:paraId="6B8D7DDF" w14:textId="77777777" w:rsidR="007C0B91" w:rsidRPr="00460143" w:rsidRDefault="007C0B91" w:rsidP="007C3C42">
            <w:pPr>
              <w:keepLines/>
              <w:rPr>
                <w:rFonts w:ascii="Arial Narrow" w:hAnsi="Arial Narrow" w:cs="Arial"/>
                <w:b/>
                <w:bCs/>
                <w:sz w:val="20"/>
                <w:szCs w:val="20"/>
              </w:rPr>
            </w:pPr>
            <w:r w:rsidRPr="00460143">
              <w:rPr>
                <w:rFonts w:ascii="Arial Narrow" w:hAnsi="Arial Narrow" w:cs="Arial"/>
                <w:b/>
                <w:bCs/>
                <w:sz w:val="20"/>
                <w:szCs w:val="20"/>
              </w:rPr>
              <w:t>MEDICINAL PRODUCT</w:t>
            </w:r>
          </w:p>
          <w:p w14:paraId="2E22CF1F" w14:textId="77777777" w:rsidR="007C0B91" w:rsidRPr="00460143" w:rsidRDefault="007C0B91" w:rsidP="007C3C42">
            <w:pPr>
              <w:keepLines/>
              <w:rPr>
                <w:rFonts w:ascii="Arial Narrow" w:hAnsi="Arial Narrow" w:cs="Arial"/>
                <w:b/>
                <w:sz w:val="20"/>
                <w:szCs w:val="20"/>
              </w:rPr>
            </w:pPr>
            <w:r w:rsidRPr="00460143">
              <w:rPr>
                <w:rFonts w:ascii="Arial Narrow" w:hAnsi="Arial Narrow" w:cs="Arial"/>
                <w:b/>
                <w:bCs/>
                <w:sz w:val="20"/>
                <w:szCs w:val="20"/>
              </w:rPr>
              <w:t>medicinal product pack</w:t>
            </w:r>
          </w:p>
        </w:tc>
        <w:tc>
          <w:tcPr>
            <w:tcW w:w="811" w:type="dxa"/>
            <w:vAlign w:val="center"/>
          </w:tcPr>
          <w:p w14:paraId="08709C86" w14:textId="77777777" w:rsidR="007C0B91" w:rsidRPr="00460143" w:rsidRDefault="007C0B91" w:rsidP="007C3C42">
            <w:pPr>
              <w:keepLines/>
              <w:jc w:val="center"/>
              <w:rPr>
                <w:rFonts w:ascii="Arial Narrow" w:hAnsi="Arial Narrow" w:cs="Arial"/>
                <w:b/>
                <w:sz w:val="20"/>
                <w:szCs w:val="20"/>
              </w:rPr>
            </w:pPr>
            <w:r w:rsidRPr="00460143">
              <w:rPr>
                <w:rFonts w:ascii="Arial Narrow" w:hAnsi="Arial Narrow" w:cs="Arial"/>
                <w:b/>
                <w:sz w:val="20"/>
                <w:szCs w:val="20"/>
              </w:rPr>
              <w:t>PBS item code</w:t>
            </w:r>
          </w:p>
        </w:tc>
        <w:tc>
          <w:tcPr>
            <w:tcW w:w="812" w:type="dxa"/>
            <w:vAlign w:val="center"/>
          </w:tcPr>
          <w:p w14:paraId="6331865C" w14:textId="77777777" w:rsidR="007C0B91" w:rsidRPr="00460143" w:rsidRDefault="007C0B91" w:rsidP="007C3C42">
            <w:pPr>
              <w:keepLines/>
              <w:jc w:val="center"/>
              <w:rPr>
                <w:rFonts w:ascii="Arial Narrow" w:hAnsi="Arial Narrow" w:cs="Arial"/>
                <w:b/>
                <w:sz w:val="20"/>
                <w:szCs w:val="20"/>
              </w:rPr>
            </w:pPr>
            <w:r w:rsidRPr="00460143">
              <w:rPr>
                <w:rFonts w:ascii="Arial Narrow" w:hAnsi="Arial Narrow" w:cs="Arial"/>
                <w:b/>
                <w:sz w:val="20"/>
                <w:szCs w:val="20"/>
              </w:rPr>
              <w:t>Max. qty packs</w:t>
            </w:r>
          </w:p>
        </w:tc>
        <w:tc>
          <w:tcPr>
            <w:tcW w:w="811" w:type="dxa"/>
            <w:vAlign w:val="center"/>
          </w:tcPr>
          <w:p w14:paraId="7DFC74C6" w14:textId="77777777" w:rsidR="007C0B91" w:rsidRPr="00460143" w:rsidRDefault="007C0B91" w:rsidP="007C3C42">
            <w:pPr>
              <w:keepLines/>
              <w:jc w:val="center"/>
              <w:rPr>
                <w:rFonts w:ascii="Arial Narrow" w:hAnsi="Arial Narrow" w:cs="Arial"/>
                <w:b/>
                <w:sz w:val="20"/>
                <w:szCs w:val="20"/>
              </w:rPr>
            </w:pPr>
            <w:r w:rsidRPr="00460143">
              <w:rPr>
                <w:rFonts w:ascii="Arial Narrow" w:hAnsi="Arial Narrow" w:cs="Arial"/>
                <w:b/>
                <w:sz w:val="20"/>
                <w:szCs w:val="20"/>
              </w:rPr>
              <w:t>Max. qty units</w:t>
            </w:r>
          </w:p>
        </w:tc>
        <w:tc>
          <w:tcPr>
            <w:tcW w:w="812" w:type="dxa"/>
            <w:vAlign w:val="center"/>
          </w:tcPr>
          <w:p w14:paraId="5918CBB6" w14:textId="77777777" w:rsidR="007C0B91" w:rsidRPr="00460143" w:rsidRDefault="007C0B91" w:rsidP="007C3C42">
            <w:pPr>
              <w:keepLines/>
              <w:jc w:val="center"/>
              <w:rPr>
                <w:rFonts w:ascii="Arial Narrow" w:hAnsi="Arial Narrow" w:cs="Arial"/>
                <w:b/>
                <w:sz w:val="20"/>
                <w:szCs w:val="20"/>
              </w:rPr>
            </w:pPr>
            <w:r w:rsidRPr="00460143">
              <w:rPr>
                <w:rFonts w:ascii="Arial Narrow" w:hAnsi="Arial Narrow" w:cs="Arial"/>
                <w:b/>
                <w:sz w:val="20"/>
                <w:szCs w:val="20"/>
              </w:rPr>
              <w:t>№.of</w:t>
            </w:r>
          </w:p>
          <w:p w14:paraId="274BE1A8" w14:textId="77777777" w:rsidR="007C0B91" w:rsidRPr="00460143" w:rsidRDefault="007C0B91" w:rsidP="007C3C42">
            <w:pPr>
              <w:keepLines/>
              <w:jc w:val="center"/>
              <w:rPr>
                <w:rFonts w:ascii="Arial Narrow" w:hAnsi="Arial Narrow" w:cs="Arial"/>
                <w:b/>
                <w:sz w:val="20"/>
                <w:szCs w:val="20"/>
              </w:rPr>
            </w:pPr>
            <w:r w:rsidRPr="00460143">
              <w:rPr>
                <w:rFonts w:ascii="Arial Narrow" w:hAnsi="Arial Narrow" w:cs="Arial"/>
                <w:b/>
                <w:sz w:val="20"/>
                <w:szCs w:val="20"/>
              </w:rPr>
              <w:t>Rpts</w:t>
            </w:r>
          </w:p>
        </w:tc>
        <w:tc>
          <w:tcPr>
            <w:tcW w:w="1831" w:type="dxa"/>
            <w:vAlign w:val="center"/>
          </w:tcPr>
          <w:p w14:paraId="251CAA06" w14:textId="77777777" w:rsidR="007C0B91" w:rsidRPr="00F81EB8" w:rsidRDefault="007C0B91" w:rsidP="007C3C42">
            <w:pPr>
              <w:keepLines/>
              <w:rPr>
                <w:rFonts w:ascii="Arial Narrow" w:hAnsi="Arial Narrow" w:cs="Arial"/>
                <w:b/>
                <w:sz w:val="20"/>
                <w:szCs w:val="20"/>
              </w:rPr>
            </w:pPr>
            <w:r w:rsidRPr="00460143">
              <w:rPr>
                <w:rFonts w:ascii="Arial Narrow" w:hAnsi="Arial Narrow" w:cs="Arial"/>
                <w:b/>
                <w:sz w:val="20"/>
                <w:szCs w:val="20"/>
              </w:rPr>
              <w:t>Available brands</w:t>
            </w:r>
          </w:p>
        </w:tc>
      </w:tr>
      <w:tr w:rsidR="007C0B91" w:rsidRPr="00460143" w14:paraId="7BB830FF" w14:textId="77777777" w:rsidTr="007C3C42">
        <w:trPr>
          <w:cantSplit/>
          <w:trHeight w:val="20"/>
        </w:trPr>
        <w:tc>
          <w:tcPr>
            <w:tcW w:w="9016" w:type="dxa"/>
            <w:gridSpan w:val="8"/>
            <w:vAlign w:val="center"/>
          </w:tcPr>
          <w:p w14:paraId="178245B0"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OCRELIZUMAB</w:t>
            </w:r>
          </w:p>
        </w:tc>
      </w:tr>
      <w:tr w:rsidR="007C0B91" w:rsidRPr="00460143" w14:paraId="555DE0FF" w14:textId="77777777" w:rsidTr="007C3C42">
        <w:trPr>
          <w:cantSplit/>
          <w:trHeight w:val="20"/>
        </w:trPr>
        <w:tc>
          <w:tcPr>
            <w:tcW w:w="3939" w:type="dxa"/>
            <w:gridSpan w:val="3"/>
            <w:vAlign w:val="center"/>
          </w:tcPr>
          <w:p w14:paraId="643CB273"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ocrelizumab 920 mg/23 mL injection,</w:t>
            </w:r>
            <w:r>
              <w:rPr>
                <w:rFonts w:ascii="Arial Narrow" w:hAnsi="Arial Narrow" w:cs="Arial"/>
                <w:sz w:val="20"/>
                <w:szCs w:val="20"/>
              </w:rPr>
              <w:t xml:space="preserve"> </w:t>
            </w:r>
            <w:r w:rsidRPr="00460143">
              <w:rPr>
                <w:rFonts w:ascii="Arial Narrow" w:hAnsi="Arial Narrow" w:cs="Arial"/>
                <w:sz w:val="20"/>
                <w:szCs w:val="20"/>
              </w:rPr>
              <w:t>23 mL vial</w:t>
            </w:r>
          </w:p>
        </w:tc>
        <w:tc>
          <w:tcPr>
            <w:tcW w:w="811" w:type="dxa"/>
            <w:vAlign w:val="center"/>
          </w:tcPr>
          <w:p w14:paraId="0796E3E3" w14:textId="77777777" w:rsidR="007C0B91" w:rsidRPr="00460143" w:rsidRDefault="007C0B91" w:rsidP="007C3C42">
            <w:pPr>
              <w:keepLines/>
              <w:jc w:val="center"/>
              <w:rPr>
                <w:rFonts w:ascii="Arial Narrow" w:hAnsi="Arial Narrow" w:cs="Arial"/>
                <w:sz w:val="20"/>
                <w:szCs w:val="20"/>
              </w:rPr>
            </w:pPr>
            <w:r w:rsidRPr="00F81EB8">
              <w:rPr>
                <w:rFonts w:ascii="Arial Narrow" w:hAnsi="Arial Narrow" w:cs="Arial"/>
                <w:sz w:val="20"/>
                <w:szCs w:val="20"/>
              </w:rPr>
              <w:t xml:space="preserve"> NEW (HSD Private)</w:t>
            </w:r>
          </w:p>
        </w:tc>
        <w:tc>
          <w:tcPr>
            <w:tcW w:w="812" w:type="dxa"/>
            <w:vAlign w:val="center"/>
          </w:tcPr>
          <w:p w14:paraId="42B1237A"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1" w:type="dxa"/>
            <w:vAlign w:val="center"/>
          </w:tcPr>
          <w:p w14:paraId="20AAD903"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1</w:t>
            </w:r>
          </w:p>
        </w:tc>
        <w:tc>
          <w:tcPr>
            <w:tcW w:w="812" w:type="dxa"/>
            <w:vAlign w:val="center"/>
          </w:tcPr>
          <w:p w14:paraId="55540BD3" w14:textId="77777777" w:rsidR="007C0B91" w:rsidRPr="00460143" w:rsidRDefault="007C0B91" w:rsidP="007C3C42">
            <w:pPr>
              <w:keepLines/>
              <w:jc w:val="center"/>
              <w:rPr>
                <w:rFonts w:ascii="Arial Narrow" w:hAnsi="Arial Narrow" w:cs="Arial"/>
                <w:sz w:val="20"/>
                <w:szCs w:val="20"/>
              </w:rPr>
            </w:pPr>
            <w:r w:rsidRPr="00460143">
              <w:rPr>
                <w:rFonts w:ascii="Arial Narrow" w:hAnsi="Arial Narrow" w:cs="Arial"/>
                <w:sz w:val="20"/>
                <w:szCs w:val="20"/>
              </w:rPr>
              <w:t>0</w:t>
            </w:r>
          </w:p>
        </w:tc>
        <w:tc>
          <w:tcPr>
            <w:tcW w:w="1831" w:type="dxa"/>
            <w:vAlign w:val="center"/>
          </w:tcPr>
          <w:p w14:paraId="14567F49" w14:textId="77777777" w:rsidR="007C0B91" w:rsidRPr="00460143" w:rsidRDefault="007C0B91" w:rsidP="007C3C42">
            <w:pPr>
              <w:keepLines/>
              <w:rPr>
                <w:rFonts w:ascii="Arial Narrow" w:hAnsi="Arial Narrow" w:cs="Arial"/>
                <w:sz w:val="20"/>
                <w:szCs w:val="20"/>
              </w:rPr>
            </w:pPr>
            <w:r w:rsidRPr="00460143">
              <w:rPr>
                <w:rFonts w:ascii="Arial Narrow" w:hAnsi="Arial Narrow" w:cs="Arial"/>
                <w:sz w:val="20"/>
                <w:szCs w:val="20"/>
              </w:rPr>
              <w:t>Ocrevus SC</w:t>
            </w:r>
          </w:p>
        </w:tc>
      </w:tr>
      <w:tr w:rsidR="007C0B91" w:rsidRPr="00460143" w14:paraId="05129627"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D8D6970" w14:textId="77777777" w:rsidR="007C0B91" w:rsidRPr="00460143" w:rsidRDefault="007C0B91" w:rsidP="007C3C42">
            <w:pPr>
              <w:rPr>
                <w:rFonts w:ascii="Arial Narrow" w:hAnsi="Arial Narrow" w:cs="Arial"/>
                <w:sz w:val="20"/>
                <w:szCs w:val="20"/>
              </w:rPr>
            </w:pPr>
          </w:p>
        </w:tc>
      </w:tr>
      <w:tr w:rsidR="007C0B91" w:rsidRPr="00460143" w14:paraId="50584AEC"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5170CF1" w14:textId="77777777" w:rsidR="007C0B91" w:rsidRPr="00460143" w:rsidRDefault="007C0B91" w:rsidP="007C3C42">
            <w:pPr>
              <w:keepLines/>
              <w:rPr>
                <w:rFonts w:ascii="Arial Narrow" w:hAnsi="Arial Narrow" w:cs="Arial"/>
                <w:b/>
                <w:sz w:val="20"/>
                <w:szCs w:val="20"/>
              </w:rPr>
            </w:pPr>
            <w:r w:rsidRPr="00460143">
              <w:rPr>
                <w:rFonts w:ascii="Arial Narrow" w:hAnsi="Arial Narrow"/>
                <w:b/>
                <w:sz w:val="20"/>
                <w:szCs w:val="20"/>
              </w:rPr>
              <w:t>Restriction Summary 9523</w:t>
            </w:r>
            <w:r w:rsidRPr="00460143">
              <w:rPr>
                <w:rFonts w:ascii="Arial Narrow" w:hAnsi="Arial Narrow"/>
                <w:b/>
                <w:color w:val="FF0000"/>
                <w:sz w:val="20"/>
                <w:szCs w:val="20"/>
              </w:rPr>
              <w:t xml:space="preserve"> </w:t>
            </w:r>
            <w:r w:rsidRPr="00460143">
              <w:rPr>
                <w:rFonts w:ascii="Arial Narrow" w:hAnsi="Arial Narrow"/>
                <w:b/>
                <w:sz w:val="20"/>
                <w:szCs w:val="20"/>
              </w:rPr>
              <w:t>/ Treatment of Concept: 9523</w:t>
            </w:r>
          </w:p>
        </w:tc>
      </w:tr>
      <w:tr w:rsidR="007C0B91" w:rsidRPr="00460143" w14:paraId="5FC995A4"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63F239D" w14:textId="77777777" w:rsidR="007C0B91" w:rsidRPr="00460143" w:rsidRDefault="007C0B91" w:rsidP="007C3C42">
            <w:pPr>
              <w:jc w:val="center"/>
              <w:rPr>
                <w:rFonts w:ascii="Arial Narrow" w:hAnsi="Arial Narrow" w:cs="Arial"/>
                <w:b/>
                <w:sz w:val="20"/>
                <w:szCs w:val="20"/>
              </w:rPr>
            </w:pPr>
            <w:r w:rsidRPr="00460143">
              <w:rPr>
                <w:rFonts w:ascii="Arial Narrow" w:hAnsi="Arial Narrow" w:cs="Arial"/>
                <w:b/>
                <w:sz w:val="20"/>
                <w:szCs w:val="20"/>
              </w:rPr>
              <w:t xml:space="preserve">Concept ID </w:t>
            </w:r>
            <w:r w:rsidRPr="0046014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461CBF" w14:textId="77777777" w:rsidR="007C0B91" w:rsidRPr="00460143" w:rsidRDefault="007C0B91" w:rsidP="007C3C42">
            <w:pPr>
              <w:keepLines/>
              <w:jc w:val="left"/>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Check1"/>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Private (Code HS)</w:t>
            </w:r>
          </w:p>
        </w:tc>
      </w:tr>
      <w:tr w:rsidR="007C0B91" w:rsidRPr="00460143" w14:paraId="76FF9B8E"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37E8EA4"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331028" w14:textId="77777777" w:rsidR="007C0B91" w:rsidRPr="00460143" w:rsidRDefault="007C0B91"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7C0B91" w:rsidRPr="00460143" w14:paraId="6B0C0AA7"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6FF8C4C"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4B6273C" w14:textId="77777777" w:rsidR="007C0B91" w:rsidRPr="00460143" w:rsidRDefault="007C0B91" w:rsidP="007C3C42">
            <w:pPr>
              <w:keepLines/>
              <w:jc w:val="left"/>
              <w:rPr>
                <w:rFonts w:ascii="Arial Narrow" w:eastAsia="Calibri" w:hAnsi="Arial Narrow" w:cs="Arial"/>
                <w:color w:val="FF0000"/>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[9523] </w:t>
            </w:r>
          </w:p>
        </w:tc>
      </w:tr>
      <w:tr w:rsidR="007C0B91" w:rsidRPr="00460143" w14:paraId="00BA065B"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8018B0C"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40383A" w14:textId="77777777" w:rsidR="007C0B91" w:rsidRPr="00460143" w:rsidRDefault="007C0B91"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7C0B91" w:rsidRPr="00460143" w14:paraId="0AC174A0" w14:textId="77777777" w:rsidTr="007C3C42">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7B927924" w14:textId="77777777" w:rsidR="007C0B91" w:rsidRPr="00460143" w:rsidRDefault="007C0B91" w:rsidP="007C3C42">
            <w:pPr>
              <w:jc w:val="center"/>
              <w:rPr>
                <w:rFonts w:ascii="Arial Narrow" w:hAnsi="Arial Narrow" w:cs="Arial"/>
                <w:sz w:val="20"/>
                <w:szCs w:val="20"/>
              </w:rPr>
            </w:pPr>
            <w:r w:rsidRPr="00460143">
              <w:rPr>
                <w:rFonts w:ascii="Arial Narrow" w:hAnsi="Arial Narrow" w:cs="Arial"/>
                <w:sz w:val="20"/>
                <w:szCs w:val="20"/>
              </w:rPr>
              <w:t>Prescribing rule level</w:t>
            </w:r>
          </w:p>
        </w:tc>
        <w:tc>
          <w:tcPr>
            <w:tcW w:w="709" w:type="dxa"/>
            <w:vAlign w:val="center"/>
          </w:tcPr>
          <w:p w14:paraId="3D3E611A" w14:textId="36728F4B" w:rsidR="007C0B91" w:rsidRPr="00460143" w:rsidRDefault="007C0B91" w:rsidP="007C3C42">
            <w:pPr>
              <w:jc w:val="center"/>
              <w:rPr>
                <w:rFonts w:ascii="Arial Narrow" w:hAnsi="Arial Narrow"/>
                <w:color w:val="333333"/>
                <w:sz w:val="20"/>
                <w:szCs w:val="20"/>
              </w:rPr>
            </w:pPr>
          </w:p>
        </w:tc>
        <w:tc>
          <w:tcPr>
            <w:tcW w:w="7745" w:type="dxa"/>
            <w:gridSpan w:val="6"/>
            <w:vAlign w:val="center"/>
          </w:tcPr>
          <w:p w14:paraId="1D1FED9A" w14:textId="77777777" w:rsidR="007C0B91" w:rsidRPr="00C45FE2" w:rsidRDefault="007C0B91" w:rsidP="007C3C42">
            <w:pPr>
              <w:rPr>
                <w:rFonts w:ascii="Arial Narrow" w:hAnsi="Arial Narrow"/>
                <w:sz w:val="20"/>
                <w:szCs w:val="20"/>
              </w:rPr>
            </w:pPr>
            <w:r w:rsidRPr="00C45FE2">
              <w:rPr>
                <w:rFonts w:ascii="Arial Narrow" w:hAnsi="Arial Narrow"/>
                <w:b/>
                <w:bCs/>
                <w:sz w:val="20"/>
                <w:szCs w:val="20"/>
              </w:rPr>
              <w:t>Administrative Advice:</w:t>
            </w:r>
          </w:p>
          <w:p w14:paraId="6CEAE789" w14:textId="77777777" w:rsidR="007C0B91" w:rsidRPr="00C45FE2" w:rsidRDefault="007C0B91" w:rsidP="007C3C42">
            <w:pPr>
              <w:rPr>
                <w:rFonts w:ascii="Arial Narrow" w:hAnsi="Arial Narrow"/>
                <w:color w:val="333333"/>
                <w:sz w:val="20"/>
                <w:szCs w:val="20"/>
              </w:rPr>
            </w:pPr>
            <w:r w:rsidRPr="00C45FE2">
              <w:rPr>
                <w:rFonts w:ascii="Arial Narrow" w:eastAsia="Calibri" w:hAnsi="Arial Narrow" w:cs="Arial"/>
                <w:sz w:val="20"/>
                <w:szCs w:val="20"/>
              </w:rPr>
              <w:t>No increase in the maximum quantity or number of units may be authorised.</w:t>
            </w:r>
          </w:p>
        </w:tc>
      </w:tr>
      <w:tr w:rsidR="007C0B91" w:rsidRPr="00460143" w14:paraId="06442D4F"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3AA3C95C" w14:textId="77777777" w:rsidR="007C0B91" w:rsidRPr="00460143" w:rsidRDefault="007C0B91" w:rsidP="007C3C42">
            <w:pPr>
              <w:rPr>
                <w:rFonts w:ascii="Arial Narrow" w:hAnsi="Arial Narrow" w:cs="Arial"/>
                <w:sz w:val="20"/>
                <w:szCs w:val="20"/>
              </w:rPr>
            </w:pPr>
          </w:p>
        </w:tc>
        <w:tc>
          <w:tcPr>
            <w:tcW w:w="709" w:type="dxa"/>
            <w:vAlign w:val="center"/>
          </w:tcPr>
          <w:p w14:paraId="3870A0D8" w14:textId="63EFF70D" w:rsidR="007C0B91" w:rsidRPr="00460143" w:rsidRDefault="007C0B91" w:rsidP="007C3C42">
            <w:pPr>
              <w:jc w:val="center"/>
              <w:rPr>
                <w:rFonts w:ascii="Arial Narrow" w:hAnsi="Arial Narrow"/>
                <w:sz w:val="20"/>
                <w:szCs w:val="20"/>
              </w:rPr>
            </w:pPr>
          </w:p>
        </w:tc>
        <w:tc>
          <w:tcPr>
            <w:tcW w:w="7745" w:type="dxa"/>
            <w:gridSpan w:val="6"/>
            <w:vAlign w:val="center"/>
          </w:tcPr>
          <w:p w14:paraId="53D750D0" w14:textId="77777777" w:rsidR="007C0B91" w:rsidRPr="00C45FE2" w:rsidRDefault="007C0B91" w:rsidP="007C3C42">
            <w:pPr>
              <w:rPr>
                <w:rFonts w:ascii="Arial Narrow" w:hAnsi="Arial Narrow"/>
                <w:b/>
                <w:bCs/>
                <w:sz w:val="20"/>
                <w:szCs w:val="20"/>
              </w:rPr>
            </w:pPr>
            <w:r w:rsidRPr="00C45FE2">
              <w:rPr>
                <w:rFonts w:ascii="Arial Narrow" w:hAnsi="Arial Narrow"/>
                <w:b/>
                <w:bCs/>
                <w:sz w:val="20"/>
                <w:szCs w:val="20"/>
              </w:rPr>
              <w:t xml:space="preserve">Administrative Advice: </w:t>
            </w:r>
            <w:r w:rsidRPr="00C45FE2">
              <w:rPr>
                <w:rFonts w:ascii="Arial Narrow" w:eastAsia="Calibri" w:hAnsi="Arial Narrow" w:cs="Arial"/>
                <w:sz w:val="20"/>
                <w:szCs w:val="20"/>
              </w:rPr>
              <w:t>No increase in the maximum number of repeats may be authorised.</w:t>
            </w:r>
          </w:p>
        </w:tc>
      </w:tr>
      <w:tr w:rsidR="007C0B91" w:rsidRPr="00460143" w14:paraId="6D52A2F5" w14:textId="77777777" w:rsidTr="007C3C4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008AD8D7" w14:textId="77777777" w:rsidR="007C0B91" w:rsidRPr="00460143" w:rsidRDefault="007C0B91" w:rsidP="007C3C42">
            <w:pPr>
              <w:rPr>
                <w:rFonts w:ascii="Arial Narrow" w:hAnsi="Arial Narrow" w:cs="Arial"/>
                <w:sz w:val="20"/>
                <w:szCs w:val="20"/>
              </w:rPr>
            </w:pPr>
          </w:p>
        </w:tc>
        <w:tc>
          <w:tcPr>
            <w:tcW w:w="709" w:type="dxa"/>
            <w:vAlign w:val="center"/>
          </w:tcPr>
          <w:p w14:paraId="69AD58DD" w14:textId="07E5A084" w:rsidR="007C0B91" w:rsidRPr="00460143" w:rsidRDefault="007C0B91" w:rsidP="007C3C42">
            <w:pPr>
              <w:jc w:val="center"/>
              <w:rPr>
                <w:rFonts w:ascii="Arial Narrow" w:hAnsi="Arial Narrow"/>
                <w:sz w:val="20"/>
                <w:szCs w:val="20"/>
              </w:rPr>
            </w:pPr>
          </w:p>
        </w:tc>
        <w:tc>
          <w:tcPr>
            <w:tcW w:w="7745" w:type="dxa"/>
            <w:gridSpan w:val="6"/>
            <w:vAlign w:val="center"/>
          </w:tcPr>
          <w:p w14:paraId="3A370F4C" w14:textId="77777777" w:rsidR="007C0B91" w:rsidRPr="00C45FE2" w:rsidRDefault="007C0B91" w:rsidP="007C3C42">
            <w:pPr>
              <w:rPr>
                <w:rFonts w:ascii="Arial Narrow" w:hAnsi="Arial Narrow"/>
                <w:b/>
                <w:bCs/>
                <w:sz w:val="20"/>
                <w:szCs w:val="20"/>
              </w:rPr>
            </w:pPr>
            <w:r w:rsidRPr="00C45FE2">
              <w:rPr>
                <w:rFonts w:ascii="Arial Narrow" w:hAnsi="Arial Narrow"/>
                <w:b/>
                <w:bCs/>
                <w:sz w:val="20"/>
                <w:szCs w:val="20"/>
              </w:rPr>
              <w:t xml:space="preserve">Administrative Advice: </w:t>
            </w:r>
            <w:r w:rsidRPr="00C45FE2">
              <w:rPr>
                <w:rFonts w:ascii="Arial Narrow" w:hAnsi="Arial Narrow"/>
                <w:sz w:val="20"/>
                <w:szCs w:val="20"/>
              </w:rPr>
              <w:t>Special Pricing Arrangements apply.</w:t>
            </w:r>
          </w:p>
        </w:tc>
      </w:tr>
      <w:tr w:rsidR="007C0B91" w:rsidRPr="00460143" w14:paraId="13CAE11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64294BB" w14:textId="0F4BA5EC" w:rsidR="007C0B91" w:rsidRPr="00460143" w:rsidRDefault="007C0B91" w:rsidP="007C3C42">
            <w:pPr>
              <w:keepLines/>
              <w:jc w:val="center"/>
              <w:rPr>
                <w:rFonts w:ascii="Arial Narrow" w:hAnsi="Arial Narrow"/>
                <w:sz w:val="20"/>
                <w:szCs w:val="20"/>
              </w:rPr>
            </w:pPr>
          </w:p>
        </w:tc>
        <w:tc>
          <w:tcPr>
            <w:tcW w:w="7745" w:type="dxa"/>
            <w:gridSpan w:val="6"/>
            <w:vAlign w:val="center"/>
            <w:hideMark/>
          </w:tcPr>
          <w:p w14:paraId="13508A00" w14:textId="77777777" w:rsidR="007C0B91" w:rsidRPr="00460143" w:rsidRDefault="007C0B91" w:rsidP="007C3C42">
            <w:pPr>
              <w:keepLines/>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p>
        </w:tc>
      </w:tr>
      <w:tr w:rsidR="007C0B91" w:rsidRPr="00460143" w14:paraId="5AAD466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92A06F2" w14:textId="77777777" w:rsidR="007C0B91" w:rsidRPr="00460143" w:rsidRDefault="007C0B91" w:rsidP="007C3C42">
            <w:pPr>
              <w:jc w:val="center"/>
              <w:rPr>
                <w:rFonts w:ascii="Arial Narrow" w:hAnsi="Arial Narrow"/>
                <w:sz w:val="20"/>
                <w:szCs w:val="20"/>
              </w:rPr>
            </w:pPr>
          </w:p>
        </w:tc>
        <w:tc>
          <w:tcPr>
            <w:tcW w:w="7745" w:type="dxa"/>
            <w:gridSpan w:val="6"/>
            <w:vAlign w:val="center"/>
            <w:hideMark/>
          </w:tcPr>
          <w:p w14:paraId="0C5958B8"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Initial treatment</w:t>
            </w:r>
          </w:p>
        </w:tc>
      </w:tr>
      <w:tr w:rsidR="007C0B91" w:rsidRPr="00460143" w14:paraId="0E07591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473137E" w14:textId="64290A86" w:rsidR="007C0B91" w:rsidRPr="00460143" w:rsidRDefault="007C0B91" w:rsidP="007C3C42">
            <w:pPr>
              <w:jc w:val="center"/>
              <w:rPr>
                <w:rFonts w:ascii="Arial Narrow" w:hAnsi="Arial Narrow"/>
                <w:sz w:val="20"/>
                <w:szCs w:val="20"/>
              </w:rPr>
            </w:pPr>
          </w:p>
        </w:tc>
        <w:tc>
          <w:tcPr>
            <w:tcW w:w="7745" w:type="dxa"/>
            <w:gridSpan w:val="6"/>
            <w:vAlign w:val="center"/>
            <w:hideMark/>
          </w:tcPr>
          <w:p w14:paraId="0DBFB174"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7C0B91" w:rsidRPr="00460143" w14:paraId="6EBBCEE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AF2097F" w14:textId="1585B4F0" w:rsidR="007C0B91" w:rsidRPr="00460143" w:rsidRDefault="007C0B91" w:rsidP="007C3C42">
            <w:pPr>
              <w:jc w:val="center"/>
              <w:rPr>
                <w:rFonts w:ascii="Arial Narrow" w:hAnsi="Arial Narrow"/>
                <w:sz w:val="20"/>
                <w:szCs w:val="20"/>
              </w:rPr>
            </w:pPr>
          </w:p>
        </w:tc>
        <w:tc>
          <w:tcPr>
            <w:tcW w:w="7745" w:type="dxa"/>
            <w:gridSpan w:val="6"/>
            <w:vAlign w:val="center"/>
            <w:hideMark/>
          </w:tcPr>
          <w:p w14:paraId="426318D1" w14:textId="77777777" w:rsidR="007C0B91" w:rsidRPr="00460143" w:rsidRDefault="007C0B91" w:rsidP="007C3C42">
            <w:pPr>
              <w:jc w:val="left"/>
              <w:rPr>
                <w:rFonts w:ascii="Arial Narrow" w:hAnsi="Arial Narrow"/>
                <w:color w:val="333333"/>
                <w:sz w:val="20"/>
                <w:szCs w:val="20"/>
              </w:rPr>
            </w:pPr>
            <w:r w:rsidRPr="00460143">
              <w:rPr>
                <w:rFonts w:ascii="Arial Narrow" w:hAnsi="Arial Narrow"/>
                <w:sz w:val="20"/>
                <w:szCs w:val="20"/>
              </w:rPr>
              <w:t>The condition must be diagnosed as clinically definite relapsing-remitting multiple sclerosis by magnetic resonance imaging of the brain and/or spinal cord; OR</w:t>
            </w:r>
          </w:p>
        </w:tc>
      </w:tr>
      <w:tr w:rsidR="007C0B91" w:rsidRPr="00460143" w14:paraId="1F76B61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FE8BD4" w14:textId="457B1123" w:rsidR="007C0B91" w:rsidRPr="00460143" w:rsidRDefault="007C0B91" w:rsidP="007C3C42">
            <w:pPr>
              <w:jc w:val="center"/>
              <w:rPr>
                <w:rFonts w:ascii="Arial Narrow" w:hAnsi="Arial Narrow"/>
                <w:sz w:val="20"/>
                <w:szCs w:val="20"/>
              </w:rPr>
            </w:pPr>
          </w:p>
        </w:tc>
        <w:tc>
          <w:tcPr>
            <w:tcW w:w="7745" w:type="dxa"/>
            <w:gridSpan w:val="6"/>
            <w:vAlign w:val="center"/>
            <w:hideMark/>
          </w:tcPr>
          <w:p w14:paraId="0147182A" w14:textId="77777777" w:rsidR="007C0B91" w:rsidRPr="00460143" w:rsidRDefault="007C0B91" w:rsidP="007C3C42">
            <w:pPr>
              <w:jc w:val="left"/>
              <w:rPr>
                <w:rFonts w:ascii="Arial Narrow" w:hAnsi="Arial Narrow"/>
                <w:color w:val="FF0000"/>
                <w:sz w:val="20"/>
                <w:szCs w:val="20"/>
              </w:rPr>
            </w:pPr>
            <w:r w:rsidRPr="00460143">
              <w:rPr>
                <w:rFonts w:ascii="Arial Narrow" w:hAnsi="Arial Narrow"/>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Pr="00C45FE2">
              <w:rPr>
                <w:rFonts w:ascii="Arial Narrow" w:hAnsi="Arial Narrow"/>
                <w:sz w:val="20"/>
                <w:szCs w:val="20"/>
              </w:rPr>
              <w:t>,</w:t>
            </w:r>
          </w:p>
        </w:tc>
      </w:tr>
      <w:tr w:rsidR="007C0B91" w:rsidRPr="00460143" w14:paraId="0340179A"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8333D23" w14:textId="77777777" w:rsidR="007C0B91" w:rsidRPr="00460143" w:rsidRDefault="007C0B91" w:rsidP="007C3C42">
            <w:pPr>
              <w:jc w:val="center"/>
              <w:rPr>
                <w:rFonts w:ascii="Arial Narrow" w:hAnsi="Arial Narrow"/>
                <w:sz w:val="20"/>
                <w:szCs w:val="20"/>
              </w:rPr>
            </w:pPr>
          </w:p>
        </w:tc>
        <w:tc>
          <w:tcPr>
            <w:tcW w:w="7745" w:type="dxa"/>
            <w:gridSpan w:val="6"/>
            <w:vAlign w:val="center"/>
            <w:hideMark/>
          </w:tcPr>
          <w:p w14:paraId="50BD24F8"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AND</w:t>
            </w:r>
          </w:p>
        </w:tc>
      </w:tr>
      <w:tr w:rsidR="007C0B91" w:rsidRPr="00460143" w14:paraId="4F694E4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D60E1D" w14:textId="1D4D3D2A" w:rsidR="007C0B91" w:rsidRPr="00460143" w:rsidRDefault="007C0B91" w:rsidP="007C3C42">
            <w:pPr>
              <w:jc w:val="center"/>
              <w:rPr>
                <w:rFonts w:ascii="Arial Narrow" w:hAnsi="Arial Narrow"/>
                <w:sz w:val="20"/>
                <w:szCs w:val="20"/>
              </w:rPr>
            </w:pPr>
          </w:p>
        </w:tc>
        <w:tc>
          <w:tcPr>
            <w:tcW w:w="7745" w:type="dxa"/>
            <w:gridSpan w:val="6"/>
            <w:vAlign w:val="center"/>
            <w:hideMark/>
          </w:tcPr>
          <w:p w14:paraId="4AE85DF5"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Clinical criteria:</w:t>
            </w:r>
          </w:p>
        </w:tc>
      </w:tr>
      <w:tr w:rsidR="007C0B91" w:rsidRPr="00460143" w14:paraId="628C7D9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5EDD90F" w14:textId="373038BE" w:rsidR="007C0B91" w:rsidRPr="00460143" w:rsidRDefault="007C0B91" w:rsidP="007C3C42">
            <w:pPr>
              <w:jc w:val="center"/>
              <w:rPr>
                <w:rFonts w:ascii="Arial Narrow" w:hAnsi="Arial Narrow"/>
                <w:sz w:val="20"/>
                <w:szCs w:val="20"/>
              </w:rPr>
            </w:pPr>
          </w:p>
        </w:tc>
        <w:tc>
          <w:tcPr>
            <w:tcW w:w="7745" w:type="dxa"/>
            <w:gridSpan w:val="6"/>
            <w:vAlign w:val="center"/>
            <w:hideMark/>
          </w:tcPr>
          <w:p w14:paraId="60ACDC4E" w14:textId="77777777" w:rsidR="007C0B91" w:rsidRPr="00460143" w:rsidRDefault="007C0B91" w:rsidP="007C3C42">
            <w:pPr>
              <w:jc w:val="left"/>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7C0B91" w:rsidRPr="00460143" w14:paraId="48D8B68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BB0137" w14:textId="77777777" w:rsidR="007C0B91" w:rsidRPr="00460143" w:rsidDel="004B302D" w:rsidRDefault="007C0B91" w:rsidP="007C3C42">
            <w:pPr>
              <w:jc w:val="center"/>
              <w:rPr>
                <w:rFonts w:ascii="Arial Narrow" w:hAnsi="Arial Narrow"/>
                <w:sz w:val="20"/>
                <w:szCs w:val="20"/>
              </w:rPr>
            </w:pPr>
          </w:p>
        </w:tc>
        <w:tc>
          <w:tcPr>
            <w:tcW w:w="7745" w:type="dxa"/>
            <w:gridSpan w:val="6"/>
            <w:vAlign w:val="center"/>
          </w:tcPr>
          <w:p w14:paraId="1B2A8262" w14:textId="77777777" w:rsidR="007C0B91" w:rsidRPr="00460143" w:rsidRDefault="007C0B91" w:rsidP="007C3C42">
            <w:r w:rsidRPr="00460143">
              <w:rPr>
                <w:rFonts w:ascii="Arial Narrow" w:hAnsi="Arial Narrow"/>
                <w:b/>
                <w:bCs/>
                <w:sz w:val="20"/>
                <w:szCs w:val="20"/>
              </w:rPr>
              <w:t>AND</w:t>
            </w:r>
          </w:p>
        </w:tc>
      </w:tr>
      <w:tr w:rsidR="007C0B91" w:rsidRPr="00460143" w14:paraId="45F671E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E02DF8" w14:textId="4FFDAB9C" w:rsidR="007C0B91" w:rsidRPr="00460143" w:rsidDel="004B302D" w:rsidRDefault="007C0B91" w:rsidP="007C3C42">
            <w:pPr>
              <w:jc w:val="center"/>
              <w:rPr>
                <w:rFonts w:ascii="Arial Narrow" w:hAnsi="Arial Narrow"/>
                <w:sz w:val="20"/>
                <w:szCs w:val="20"/>
              </w:rPr>
            </w:pPr>
          </w:p>
        </w:tc>
        <w:tc>
          <w:tcPr>
            <w:tcW w:w="7745" w:type="dxa"/>
            <w:gridSpan w:val="6"/>
            <w:vAlign w:val="center"/>
          </w:tcPr>
          <w:p w14:paraId="7F504866"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4B8DD3B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7DA17D" w14:textId="51AD70AA" w:rsidR="007C0B91" w:rsidRPr="00460143" w:rsidDel="004B302D" w:rsidRDefault="007C0B91" w:rsidP="007C3C42">
            <w:pPr>
              <w:jc w:val="center"/>
              <w:rPr>
                <w:rFonts w:ascii="Arial Narrow" w:hAnsi="Arial Narrow"/>
                <w:sz w:val="20"/>
                <w:szCs w:val="20"/>
              </w:rPr>
            </w:pPr>
          </w:p>
        </w:tc>
        <w:tc>
          <w:tcPr>
            <w:tcW w:w="7745" w:type="dxa"/>
            <w:gridSpan w:val="6"/>
            <w:vAlign w:val="center"/>
          </w:tcPr>
          <w:p w14:paraId="60A8ECB5" w14:textId="77777777" w:rsidR="007C0B91" w:rsidRPr="00460143" w:rsidRDefault="007C0B91" w:rsidP="007C3C42">
            <w:pPr>
              <w:rPr>
                <w:rFonts w:ascii="Arial Narrow" w:hAnsi="Arial Narrow"/>
                <w:b/>
                <w:bCs/>
                <w:sz w:val="20"/>
                <w:szCs w:val="20"/>
              </w:rPr>
            </w:pPr>
            <w:r w:rsidRPr="00460143">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7C0B91" w:rsidRPr="00460143" w14:paraId="7FEE791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FFE5E7" w14:textId="77777777" w:rsidR="007C0B91" w:rsidRPr="00460143" w:rsidRDefault="007C0B91" w:rsidP="007C3C42">
            <w:pPr>
              <w:jc w:val="center"/>
              <w:rPr>
                <w:rFonts w:ascii="Arial Narrow" w:hAnsi="Arial Narrow"/>
                <w:sz w:val="20"/>
                <w:szCs w:val="20"/>
              </w:rPr>
            </w:pPr>
          </w:p>
        </w:tc>
        <w:tc>
          <w:tcPr>
            <w:tcW w:w="7745" w:type="dxa"/>
            <w:gridSpan w:val="6"/>
            <w:vAlign w:val="center"/>
          </w:tcPr>
          <w:p w14:paraId="6623A143"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6EC5E22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A7EA20" w14:textId="05C8004E" w:rsidR="007C0B91" w:rsidRPr="00460143" w:rsidDel="004B302D" w:rsidRDefault="007C0B91" w:rsidP="007C3C42">
            <w:pPr>
              <w:jc w:val="center"/>
              <w:rPr>
                <w:rFonts w:ascii="Arial Narrow" w:hAnsi="Arial Narrow"/>
                <w:sz w:val="20"/>
                <w:szCs w:val="20"/>
              </w:rPr>
            </w:pPr>
          </w:p>
        </w:tc>
        <w:tc>
          <w:tcPr>
            <w:tcW w:w="7745" w:type="dxa"/>
            <w:gridSpan w:val="6"/>
            <w:vAlign w:val="center"/>
          </w:tcPr>
          <w:p w14:paraId="16CDC331"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66BE7E94"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80CFB9" w14:textId="64C05BF1" w:rsidR="007C0B91" w:rsidRPr="00460143" w:rsidDel="004B302D" w:rsidRDefault="007C0B91" w:rsidP="007C3C42">
            <w:pPr>
              <w:jc w:val="center"/>
              <w:rPr>
                <w:rFonts w:ascii="Arial Narrow" w:hAnsi="Arial Narrow"/>
                <w:sz w:val="20"/>
                <w:szCs w:val="20"/>
              </w:rPr>
            </w:pPr>
          </w:p>
        </w:tc>
        <w:tc>
          <w:tcPr>
            <w:tcW w:w="7745" w:type="dxa"/>
            <w:gridSpan w:val="6"/>
            <w:vAlign w:val="center"/>
          </w:tcPr>
          <w:p w14:paraId="40ADCDD7" w14:textId="77777777" w:rsidR="007C0B91" w:rsidRPr="00460143" w:rsidRDefault="007C0B91" w:rsidP="007C3C42">
            <w:pPr>
              <w:autoSpaceDE w:val="0"/>
              <w:autoSpaceDN w:val="0"/>
              <w:adjustRightInd w:val="0"/>
              <w:jc w:val="left"/>
              <w:rPr>
                <w:rFonts w:ascii="Arial Narrow" w:hAnsi="Arial Narrow"/>
                <w:b/>
                <w:bCs/>
                <w:sz w:val="20"/>
                <w:szCs w:val="20"/>
              </w:rPr>
            </w:pPr>
            <w:r w:rsidRPr="00460143">
              <w:rPr>
                <w:rFonts w:ascii="Arial Narrow" w:hAnsi="Arial Narrow"/>
                <w:sz w:val="20"/>
                <w:szCs w:val="20"/>
              </w:rPr>
              <w:t>Patient must be ambulatory (without assistance or support).</w:t>
            </w:r>
          </w:p>
        </w:tc>
      </w:tr>
      <w:tr w:rsidR="007C0B91" w:rsidRPr="00460143" w14:paraId="71B950D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0AECED" w14:textId="429421D0" w:rsidR="007C0B91" w:rsidRPr="00460143" w:rsidRDefault="007C0B91" w:rsidP="007C3C42">
            <w:pPr>
              <w:keepNext/>
              <w:jc w:val="center"/>
              <w:rPr>
                <w:rFonts w:ascii="Arial Narrow" w:hAnsi="Arial Narrow"/>
                <w:sz w:val="20"/>
                <w:szCs w:val="20"/>
              </w:rPr>
            </w:pPr>
          </w:p>
        </w:tc>
        <w:tc>
          <w:tcPr>
            <w:tcW w:w="7745" w:type="dxa"/>
            <w:gridSpan w:val="6"/>
            <w:vAlign w:val="center"/>
            <w:hideMark/>
          </w:tcPr>
          <w:p w14:paraId="7F300EEB" w14:textId="77777777" w:rsidR="007C0B91" w:rsidRPr="00460143" w:rsidRDefault="007C0B91" w:rsidP="007C3C42">
            <w:pPr>
              <w:keepNext/>
              <w:rPr>
                <w:rFonts w:ascii="Arial Narrow" w:hAnsi="Arial Narrow"/>
                <w:sz w:val="20"/>
                <w:szCs w:val="20"/>
              </w:rPr>
            </w:pPr>
            <w:r w:rsidRPr="00460143">
              <w:rPr>
                <w:rFonts w:ascii="Arial Narrow" w:hAnsi="Arial Narrow"/>
                <w:b/>
                <w:bCs/>
                <w:sz w:val="20"/>
                <w:szCs w:val="20"/>
              </w:rPr>
              <w:t>Treatment criteria:</w:t>
            </w:r>
          </w:p>
        </w:tc>
      </w:tr>
      <w:tr w:rsidR="007C0B91" w:rsidRPr="00460143" w14:paraId="26F6AA3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604C75" w14:textId="47E20CAB" w:rsidR="007C0B91" w:rsidRPr="00460143" w:rsidRDefault="007C0B91" w:rsidP="007C3C42">
            <w:pPr>
              <w:jc w:val="center"/>
              <w:rPr>
                <w:rFonts w:ascii="Arial Narrow" w:hAnsi="Arial Narrow"/>
                <w:sz w:val="20"/>
                <w:szCs w:val="20"/>
              </w:rPr>
            </w:pPr>
          </w:p>
        </w:tc>
        <w:tc>
          <w:tcPr>
            <w:tcW w:w="7745" w:type="dxa"/>
            <w:gridSpan w:val="6"/>
            <w:vAlign w:val="center"/>
            <w:hideMark/>
          </w:tcPr>
          <w:p w14:paraId="22620F6E" w14:textId="77777777" w:rsidR="007C0B91" w:rsidRPr="00C45FE2" w:rsidRDefault="007C0B91" w:rsidP="007C3C42">
            <w:pPr>
              <w:autoSpaceDE w:val="0"/>
              <w:autoSpaceDN w:val="0"/>
              <w:adjustRightInd w:val="0"/>
              <w:jc w:val="left"/>
              <w:rPr>
                <w:rFonts w:ascii="Arial Narrow" w:hAnsi="Arial Narrow" w:cs="Arial Narrow"/>
                <w:sz w:val="20"/>
                <w:szCs w:val="20"/>
              </w:rPr>
            </w:pPr>
            <w:r w:rsidRPr="00460143">
              <w:rPr>
                <w:rFonts w:ascii="Arial Narrow" w:hAnsi="Arial Narrow"/>
                <w:sz w:val="20"/>
                <w:szCs w:val="20"/>
              </w:rPr>
              <w:t>Must be treated by a neurologist</w:t>
            </w:r>
            <w:r>
              <w:rPr>
                <w:rFonts w:ascii="Arial Narrow" w:hAnsi="Arial Narrow"/>
                <w:sz w:val="20"/>
                <w:szCs w:val="20"/>
              </w:rPr>
              <w:t>.</w:t>
            </w:r>
            <w:r w:rsidRPr="00460143" w:rsidDel="004B302D">
              <w:rPr>
                <w:rFonts w:ascii="Arial Narrow" w:hAnsi="Arial Narrow"/>
                <w:sz w:val="20"/>
                <w:szCs w:val="20"/>
              </w:rPr>
              <w:t xml:space="preserve"> </w:t>
            </w:r>
          </w:p>
        </w:tc>
      </w:tr>
      <w:tr w:rsidR="007C0B91" w:rsidRPr="00460143" w14:paraId="41367CE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FED66E8" w14:textId="460CC95F" w:rsidR="007C0B91" w:rsidRPr="00460143" w:rsidRDefault="007C0B91" w:rsidP="007C3C42">
            <w:pPr>
              <w:jc w:val="center"/>
              <w:rPr>
                <w:rFonts w:ascii="Arial Narrow" w:hAnsi="Arial Narrow"/>
                <w:sz w:val="20"/>
                <w:szCs w:val="20"/>
              </w:rPr>
            </w:pPr>
          </w:p>
        </w:tc>
        <w:tc>
          <w:tcPr>
            <w:tcW w:w="7745" w:type="dxa"/>
            <w:gridSpan w:val="6"/>
            <w:vAlign w:val="center"/>
            <w:hideMark/>
          </w:tcPr>
          <w:p w14:paraId="3191CB71"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Prescribing Instructions: </w:t>
            </w:r>
            <w:r w:rsidRPr="00460143">
              <w:rPr>
                <w:rFonts w:ascii="Arial Narrow" w:hAnsi="Arial Narrow"/>
                <w:sz w:val="20"/>
                <w:szCs w:val="20"/>
              </w:rPr>
              <w:t>Where applicable, the date of the magnetic resonance imaging scan must be recorded in the patient's medical records.</w:t>
            </w:r>
          </w:p>
        </w:tc>
      </w:tr>
      <w:tr w:rsidR="007C0B91" w:rsidRPr="00460143" w14:paraId="0281F540"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2617A82" w14:textId="77777777" w:rsidR="007C0B91" w:rsidRPr="00460143" w:rsidRDefault="007C0B91" w:rsidP="007C3C42">
            <w:pPr>
              <w:rPr>
                <w:rFonts w:ascii="Arial Narrow" w:hAnsi="Arial Narrow"/>
                <w:bCs/>
                <w:color w:val="FF0000"/>
                <w:sz w:val="20"/>
                <w:szCs w:val="20"/>
              </w:rPr>
            </w:pPr>
          </w:p>
          <w:p w14:paraId="50A5C4F6" w14:textId="77777777" w:rsidR="007C0B91" w:rsidRPr="00460143" w:rsidRDefault="007C0B91" w:rsidP="007C3C42">
            <w:pPr>
              <w:rPr>
                <w:rFonts w:ascii="Arial Narrow" w:hAnsi="Arial Narrow"/>
                <w:bCs/>
                <w:color w:val="FF0000"/>
                <w:sz w:val="20"/>
                <w:szCs w:val="20"/>
              </w:rPr>
            </w:pPr>
          </w:p>
        </w:tc>
      </w:tr>
      <w:tr w:rsidR="007C0B91" w:rsidRPr="00460143" w14:paraId="76E2C7D6" w14:textId="77777777" w:rsidTr="007C3C42">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4EAA5098" w14:textId="77777777" w:rsidR="007C0B91" w:rsidRPr="00460143" w:rsidRDefault="007C0B91" w:rsidP="007C3C42">
            <w:pPr>
              <w:keepNext/>
              <w:keepLines/>
              <w:rPr>
                <w:rFonts w:ascii="Arial Narrow" w:hAnsi="Arial Narrow"/>
                <w:b/>
                <w:bCs/>
                <w:color w:val="333333"/>
                <w:sz w:val="20"/>
                <w:szCs w:val="20"/>
              </w:rPr>
            </w:pPr>
            <w:r w:rsidRPr="00460143">
              <w:rPr>
                <w:rFonts w:ascii="Arial Narrow" w:hAnsi="Arial Narrow"/>
                <w:b/>
                <w:bCs/>
                <w:sz w:val="20"/>
                <w:szCs w:val="20"/>
              </w:rPr>
              <w:t>Restriction Summary 9635</w:t>
            </w:r>
            <w:r w:rsidRPr="00460143">
              <w:rPr>
                <w:rFonts w:ascii="Arial Narrow" w:hAnsi="Arial Narrow"/>
                <w:b/>
                <w:bCs/>
                <w:color w:val="FF0000"/>
                <w:sz w:val="20"/>
                <w:szCs w:val="20"/>
              </w:rPr>
              <w:t xml:space="preserve"> </w:t>
            </w:r>
            <w:r w:rsidRPr="00460143">
              <w:rPr>
                <w:rFonts w:ascii="Arial Narrow" w:hAnsi="Arial Narrow"/>
                <w:b/>
                <w:bCs/>
                <w:sz w:val="20"/>
                <w:szCs w:val="20"/>
              </w:rPr>
              <w:t>/ Treatment of Concept: 9635</w:t>
            </w:r>
          </w:p>
        </w:tc>
      </w:tr>
      <w:tr w:rsidR="007C0B91" w:rsidRPr="00460143" w14:paraId="0F5E82E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val="restart"/>
            <w:tcBorders>
              <w:top w:val="single" w:sz="4" w:space="0" w:color="auto"/>
              <w:left w:val="single" w:sz="4" w:space="0" w:color="auto"/>
              <w:right w:val="single" w:sz="4" w:space="0" w:color="auto"/>
            </w:tcBorders>
          </w:tcPr>
          <w:p w14:paraId="75194DCE" w14:textId="77777777" w:rsidR="007C0B91" w:rsidRPr="00460143" w:rsidRDefault="007C0B91" w:rsidP="007C3C42">
            <w:pPr>
              <w:jc w:val="center"/>
              <w:rPr>
                <w:rFonts w:ascii="Arial Narrow" w:hAnsi="Arial Narrow" w:cs="Arial"/>
                <w:b/>
                <w:sz w:val="20"/>
                <w:szCs w:val="20"/>
              </w:rPr>
            </w:pPr>
            <w:r w:rsidRPr="00460143">
              <w:rPr>
                <w:rFonts w:ascii="Arial Narrow" w:hAnsi="Arial Narrow" w:cs="Arial"/>
                <w:b/>
                <w:sz w:val="20"/>
                <w:szCs w:val="20"/>
              </w:rPr>
              <w:t>Concept ID</w:t>
            </w:r>
            <w:r w:rsidRPr="00460143">
              <w:rPr>
                <w:rFonts w:ascii="Arial Narrow" w:hAnsi="Arial Narrow" w:cs="Arial"/>
                <w:b/>
                <w:sz w:val="20"/>
                <w:szCs w:val="20"/>
              </w:rPr>
              <w:br/>
            </w:r>
            <w:r w:rsidRPr="0046014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CADBC8" w14:textId="77777777" w:rsidR="007C0B91" w:rsidRPr="00460143" w:rsidRDefault="007C0B91" w:rsidP="007C3C42">
            <w:pPr>
              <w:keepLines/>
              <w:rPr>
                <w:rFonts w:ascii="Arial Narrow" w:hAnsi="Arial Narrow" w:cs="Arial"/>
                <w:sz w:val="20"/>
                <w:szCs w:val="20"/>
              </w:rPr>
            </w:pPr>
            <w:r w:rsidRPr="00460143">
              <w:rPr>
                <w:rFonts w:ascii="Arial Narrow" w:hAnsi="Arial Narrow" w:cs="Arial"/>
                <w:b/>
                <w:sz w:val="20"/>
                <w:szCs w:val="20"/>
              </w:rPr>
              <w:t>Category / Program:</w:t>
            </w:r>
            <w:r w:rsidRPr="00460143">
              <w:rPr>
                <w:rFonts w:ascii="Arial Narrow" w:hAnsi="Arial Narrow" w:cs="Arial"/>
                <w:color w:val="FF0000"/>
                <w:sz w:val="20"/>
                <w:szCs w:val="20"/>
              </w:rPr>
              <w:t xml:space="preserv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Section 100 – Highly Specialised Drugs Program – Private (Code HS)</w:t>
            </w:r>
          </w:p>
        </w:tc>
      </w:tr>
      <w:tr w:rsidR="007C0B91" w:rsidRPr="00460143" w14:paraId="6DD1158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37D11D21"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5757D2" w14:textId="77777777" w:rsidR="007C0B91" w:rsidRPr="00460143" w:rsidRDefault="007C0B91" w:rsidP="007C3C42">
            <w:pPr>
              <w:keepLines/>
              <w:rPr>
                <w:rFonts w:ascii="Arial Narrow" w:hAnsi="Arial Narrow" w:cs="Arial"/>
                <w:b/>
                <w:sz w:val="20"/>
                <w:szCs w:val="20"/>
              </w:rPr>
            </w:pPr>
            <w:r w:rsidRPr="00460143">
              <w:rPr>
                <w:rFonts w:ascii="Arial Narrow" w:hAnsi="Arial Narrow" w:cs="Arial"/>
                <w:b/>
                <w:sz w:val="20"/>
                <w:szCs w:val="20"/>
              </w:rPr>
              <w:t xml:space="preserve">Prescriber type: </w:t>
            </w:r>
            <w:r w:rsidRPr="00460143">
              <w:rPr>
                <w:rFonts w:ascii="Arial Narrow" w:hAnsi="Arial Narrow" w:cs="Arial"/>
                <w:sz w:val="20"/>
                <w:szCs w:val="20"/>
              </w:rPr>
              <w:fldChar w:fldCharType="begin">
                <w:ffData>
                  <w:name w:val=""/>
                  <w:enabled/>
                  <w:calcOnExit w:val="0"/>
                  <w:checkBox>
                    <w:sizeAuto/>
                    <w:default w:val="1"/>
                  </w:checkBox>
                </w:ffData>
              </w:fldChar>
            </w:r>
            <w:r w:rsidRPr="00460143">
              <w:rPr>
                <w:rFonts w:ascii="Arial Narrow" w:hAnsi="Arial Narrow" w:cs="Arial"/>
                <w:sz w:val="20"/>
                <w:szCs w:val="20"/>
              </w:rPr>
              <w:instrText xml:space="preserve"> FORMCHECKBOX </w:instrText>
            </w:r>
            <w:r w:rsidRPr="00460143">
              <w:rPr>
                <w:rFonts w:ascii="Arial Narrow" w:hAnsi="Arial Narrow" w:cs="Arial"/>
                <w:sz w:val="20"/>
                <w:szCs w:val="20"/>
              </w:rPr>
            </w:r>
            <w:r w:rsidRPr="00460143">
              <w:rPr>
                <w:rFonts w:ascii="Arial Narrow" w:hAnsi="Arial Narrow" w:cs="Arial"/>
                <w:sz w:val="20"/>
                <w:szCs w:val="20"/>
              </w:rPr>
              <w:fldChar w:fldCharType="separate"/>
            </w:r>
            <w:r w:rsidRPr="00460143">
              <w:rPr>
                <w:rFonts w:ascii="Arial Narrow" w:hAnsi="Arial Narrow" w:cs="Arial"/>
                <w:sz w:val="20"/>
                <w:szCs w:val="20"/>
              </w:rPr>
              <w:fldChar w:fldCharType="end"/>
            </w:r>
            <w:r w:rsidRPr="00460143">
              <w:rPr>
                <w:rFonts w:ascii="Arial Narrow" w:hAnsi="Arial Narrow" w:cs="Arial"/>
                <w:sz w:val="20"/>
                <w:szCs w:val="20"/>
              </w:rPr>
              <w:t xml:space="preserve">Medical Practitioners </w:t>
            </w:r>
          </w:p>
        </w:tc>
      </w:tr>
      <w:tr w:rsidR="007C0B91" w:rsidRPr="00460143" w14:paraId="00F33631"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right w:val="single" w:sz="4" w:space="0" w:color="auto"/>
            </w:tcBorders>
          </w:tcPr>
          <w:p w14:paraId="0933371B"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D5CBAC" w14:textId="77777777" w:rsidR="007C0B91" w:rsidRPr="00460143" w:rsidRDefault="007C0B91" w:rsidP="007C3C42">
            <w:pPr>
              <w:keepLines/>
              <w:rPr>
                <w:rFonts w:ascii="Arial Narrow" w:eastAsia="Calibri" w:hAnsi="Arial Narrow" w:cs="Arial"/>
                <w:sz w:val="20"/>
                <w:szCs w:val="20"/>
              </w:rPr>
            </w:pPr>
            <w:r w:rsidRPr="00460143">
              <w:rPr>
                <w:rFonts w:ascii="Arial Narrow" w:hAnsi="Arial Narrow" w:cs="Arial"/>
                <w:b/>
                <w:sz w:val="20"/>
                <w:szCs w:val="20"/>
              </w:rPr>
              <w:t xml:space="preserve">Restriction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Authority Required (Streamlined) [9635] </w:t>
            </w:r>
          </w:p>
        </w:tc>
      </w:tr>
      <w:tr w:rsidR="007C0B91" w:rsidRPr="00460143" w14:paraId="6027FC6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Merge/>
            <w:tcBorders>
              <w:left w:val="single" w:sz="4" w:space="0" w:color="auto"/>
              <w:bottom w:val="single" w:sz="4" w:space="0" w:color="auto"/>
              <w:right w:val="single" w:sz="4" w:space="0" w:color="auto"/>
            </w:tcBorders>
          </w:tcPr>
          <w:p w14:paraId="0D72ABD4" w14:textId="77777777" w:rsidR="007C0B91" w:rsidRPr="00460143" w:rsidRDefault="007C0B91"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369613" w14:textId="77777777" w:rsidR="007C0B91" w:rsidRPr="00460143" w:rsidRDefault="007C0B91" w:rsidP="007C3C42">
            <w:pPr>
              <w:keepLines/>
              <w:jc w:val="left"/>
              <w:rPr>
                <w:rFonts w:ascii="Arial Narrow" w:hAnsi="Arial Narrow" w:cs="Arial"/>
                <w:b/>
                <w:sz w:val="20"/>
                <w:szCs w:val="20"/>
              </w:rPr>
            </w:pPr>
            <w:r w:rsidRPr="00460143">
              <w:rPr>
                <w:rFonts w:ascii="Arial Narrow" w:hAnsi="Arial Narrow" w:cs="Arial"/>
                <w:b/>
                <w:sz w:val="20"/>
                <w:szCs w:val="20"/>
              </w:rPr>
              <w:t xml:space="preserve">Authority type: </w:t>
            </w:r>
            <w:r w:rsidRPr="00460143">
              <w:rPr>
                <w:rFonts w:ascii="Arial Narrow" w:eastAsia="Calibri" w:hAnsi="Arial Narrow" w:cs="Arial"/>
                <w:sz w:val="20"/>
                <w:szCs w:val="20"/>
              </w:rPr>
              <w:fldChar w:fldCharType="begin">
                <w:ffData>
                  <w:name w:val=""/>
                  <w:enabled/>
                  <w:calcOnExit w:val="0"/>
                  <w:checkBox>
                    <w:sizeAuto/>
                    <w:default w:val="1"/>
                  </w:checkBox>
                </w:ffData>
              </w:fldChar>
            </w:r>
            <w:r w:rsidRPr="00460143">
              <w:rPr>
                <w:rFonts w:ascii="Arial Narrow" w:eastAsia="Calibri" w:hAnsi="Arial Narrow" w:cs="Arial"/>
                <w:sz w:val="20"/>
                <w:szCs w:val="20"/>
              </w:rPr>
              <w:instrText xml:space="preserve"> FORMCHECKBOX </w:instrText>
            </w:r>
            <w:r w:rsidRPr="00460143">
              <w:rPr>
                <w:rFonts w:ascii="Arial Narrow" w:eastAsia="Calibri" w:hAnsi="Arial Narrow" w:cs="Arial"/>
                <w:sz w:val="20"/>
                <w:szCs w:val="20"/>
              </w:rPr>
            </w:r>
            <w:r w:rsidRPr="00460143">
              <w:rPr>
                <w:rFonts w:ascii="Arial Narrow" w:eastAsia="Calibri" w:hAnsi="Arial Narrow" w:cs="Arial"/>
                <w:sz w:val="20"/>
                <w:szCs w:val="20"/>
              </w:rPr>
              <w:fldChar w:fldCharType="separate"/>
            </w:r>
            <w:r w:rsidRPr="00460143">
              <w:rPr>
                <w:rFonts w:ascii="Arial Narrow" w:eastAsia="Calibri" w:hAnsi="Arial Narrow" w:cs="Arial"/>
                <w:sz w:val="20"/>
                <w:szCs w:val="20"/>
              </w:rPr>
              <w:fldChar w:fldCharType="end"/>
            </w:r>
            <w:r w:rsidRPr="00460143">
              <w:rPr>
                <w:rFonts w:ascii="Arial Narrow" w:eastAsia="Calibri" w:hAnsi="Arial Narrow" w:cs="Arial"/>
                <w:sz w:val="20"/>
                <w:szCs w:val="20"/>
              </w:rPr>
              <w:t xml:space="preserve"> Non-complex Authority Required (non-CAR)</w:t>
            </w:r>
          </w:p>
        </w:tc>
      </w:tr>
      <w:tr w:rsidR="007C0B91" w:rsidRPr="00460143" w14:paraId="755CD21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90AE507" w14:textId="739625C3" w:rsidR="007C0B91" w:rsidRPr="00460143" w:rsidRDefault="007C0B91" w:rsidP="007C3C42">
            <w:pPr>
              <w:jc w:val="center"/>
              <w:rPr>
                <w:rFonts w:ascii="Arial Narrow" w:hAnsi="Arial Narrow"/>
                <w:sz w:val="20"/>
                <w:szCs w:val="20"/>
              </w:rPr>
            </w:pPr>
          </w:p>
        </w:tc>
        <w:tc>
          <w:tcPr>
            <w:tcW w:w="7745" w:type="dxa"/>
            <w:gridSpan w:val="6"/>
            <w:vAlign w:val="center"/>
            <w:hideMark/>
          </w:tcPr>
          <w:p w14:paraId="32014264" w14:textId="77777777" w:rsidR="007C0B91" w:rsidRPr="00460143" w:rsidRDefault="007C0B91" w:rsidP="007C3C42">
            <w:pPr>
              <w:rPr>
                <w:rFonts w:ascii="Arial Narrow" w:hAnsi="Arial Narrow"/>
                <w:color w:val="333333"/>
                <w:sz w:val="20"/>
                <w:szCs w:val="20"/>
              </w:rPr>
            </w:pPr>
            <w:r w:rsidRPr="00460143">
              <w:rPr>
                <w:rFonts w:ascii="Arial Narrow" w:hAnsi="Arial Narrow"/>
                <w:b/>
                <w:bCs/>
                <w:sz w:val="20"/>
                <w:szCs w:val="20"/>
              </w:rPr>
              <w:t>Indication:</w:t>
            </w:r>
            <w:r w:rsidRPr="00460143">
              <w:rPr>
                <w:rFonts w:ascii="Arial Narrow" w:hAnsi="Arial Narrow"/>
                <w:sz w:val="20"/>
                <w:szCs w:val="20"/>
              </w:rPr>
              <w:t xml:space="preserve"> Multiple sclerosis</w:t>
            </w:r>
            <w:r w:rsidRPr="00460143" w:rsidDel="004B302D">
              <w:rPr>
                <w:rFonts w:ascii="Arial Narrow" w:hAnsi="Arial Narrow"/>
                <w:sz w:val="20"/>
                <w:szCs w:val="20"/>
              </w:rPr>
              <w:t xml:space="preserve"> </w:t>
            </w:r>
          </w:p>
        </w:tc>
      </w:tr>
      <w:tr w:rsidR="007C0B91" w:rsidRPr="00460143" w14:paraId="10D009B7"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4F58FEF" w14:textId="77777777" w:rsidR="007C0B91" w:rsidRPr="00460143" w:rsidRDefault="007C0B91" w:rsidP="007C3C42">
            <w:pPr>
              <w:jc w:val="center"/>
              <w:rPr>
                <w:rFonts w:ascii="Arial Narrow" w:hAnsi="Arial Narrow"/>
                <w:sz w:val="20"/>
                <w:szCs w:val="20"/>
              </w:rPr>
            </w:pPr>
          </w:p>
        </w:tc>
        <w:tc>
          <w:tcPr>
            <w:tcW w:w="7745" w:type="dxa"/>
            <w:gridSpan w:val="6"/>
            <w:vAlign w:val="center"/>
            <w:hideMark/>
          </w:tcPr>
          <w:p w14:paraId="5B9F7ECB"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Phase:</w:t>
            </w:r>
            <w:r w:rsidRPr="00460143">
              <w:rPr>
                <w:rFonts w:ascii="Arial Narrow" w:hAnsi="Arial Narrow"/>
                <w:sz w:val="20"/>
                <w:szCs w:val="20"/>
              </w:rPr>
              <w:t xml:space="preserve"> Continuing treatment</w:t>
            </w:r>
          </w:p>
        </w:tc>
      </w:tr>
      <w:tr w:rsidR="007C0B91" w:rsidRPr="00460143" w14:paraId="7578D07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8116E66" w14:textId="6233AB64" w:rsidR="007C0B91" w:rsidRPr="00460143" w:rsidRDefault="007C0B91" w:rsidP="007C3C42">
            <w:pPr>
              <w:jc w:val="center"/>
              <w:rPr>
                <w:rFonts w:ascii="Arial Narrow" w:hAnsi="Arial Narrow"/>
                <w:sz w:val="20"/>
                <w:szCs w:val="20"/>
              </w:rPr>
            </w:pPr>
          </w:p>
        </w:tc>
        <w:tc>
          <w:tcPr>
            <w:tcW w:w="7745" w:type="dxa"/>
            <w:gridSpan w:val="6"/>
            <w:vAlign w:val="center"/>
            <w:hideMark/>
          </w:tcPr>
          <w:p w14:paraId="6FC50C61"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 xml:space="preserve">Clinical criteria: </w:t>
            </w:r>
          </w:p>
        </w:tc>
      </w:tr>
      <w:tr w:rsidR="007C0B91" w:rsidRPr="00460143" w14:paraId="4FBE8FC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E21602" w14:textId="7342F76A" w:rsidR="007C0B91" w:rsidRPr="00460143" w:rsidRDefault="007C0B91" w:rsidP="007C3C42">
            <w:pPr>
              <w:jc w:val="center"/>
              <w:rPr>
                <w:rFonts w:ascii="Arial Narrow" w:hAnsi="Arial Narrow"/>
                <w:sz w:val="20"/>
                <w:szCs w:val="20"/>
              </w:rPr>
            </w:pPr>
          </w:p>
        </w:tc>
        <w:tc>
          <w:tcPr>
            <w:tcW w:w="7745" w:type="dxa"/>
            <w:gridSpan w:val="6"/>
            <w:vAlign w:val="center"/>
          </w:tcPr>
          <w:p w14:paraId="1A732E29"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have previously received PBS-subsidised treatment with this drug for this condition,</w:t>
            </w:r>
          </w:p>
        </w:tc>
      </w:tr>
      <w:tr w:rsidR="007C0B91" w:rsidRPr="00460143" w14:paraId="4F172F4F"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9F41BA" w14:textId="77777777" w:rsidR="007C0B91" w:rsidRPr="00460143" w:rsidRDefault="007C0B91" w:rsidP="007C3C42">
            <w:pPr>
              <w:jc w:val="center"/>
              <w:rPr>
                <w:rFonts w:ascii="Arial Narrow" w:hAnsi="Arial Narrow"/>
                <w:sz w:val="20"/>
                <w:szCs w:val="20"/>
              </w:rPr>
            </w:pPr>
          </w:p>
        </w:tc>
        <w:tc>
          <w:tcPr>
            <w:tcW w:w="7745" w:type="dxa"/>
            <w:gridSpan w:val="6"/>
            <w:vAlign w:val="center"/>
          </w:tcPr>
          <w:p w14:paraId="64A95462"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1701627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7EBF44" w14:textId="6B1A8069" w:rsidR="007C0B91" w:rsidRPr="00460143" w:rsidRDefault="007C0B91" w:rsidP="007C3C42">
            <w:pPr>
              <w:jc w:val="center"/>
              <w:rPr>
                <w:rFonts w:ascii="Arial Narrow" w:hAnsi="Arial Narrow"/>
                <w:sz w:val="20"/>
                <w:szCs w:val="20"/>
              </w:rPr>
            </w:pPr>
          </w:p>
        </w:tc>
        <w:tc>
          <w:tcPr>
            <w:tcW w:w="7745" w:type="dxa"/>
            <w:gridSpan w:val="6"/>
            <w:vAlign w:val="center"/>
          </w:tcPr>
          <w:p w14:paraId="647C7E2D"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78576E18"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2B01BD" w14:textId="72BD335A" w:rsidR="007C0B91" w:rsidRPr="00460143" w:rsidRDefault="007C0B91" w:rsidP="007C3C42">
            <w:pPr>
              <w:jc w:val="center"/>
              <w:rPr>
                <w:rFonts w:ascii="Arial Narrow" w:hAnsi="Arial Narrow"/>
                <w:sz w:val="20"/>
                <w:szCs w:val="20"/>
              </w:rPr>
            </w:pPr>
          </w:p>
        </w:tc>
        <w:tc>
          <w:tcPr>
            <w:tcW w:w="7745" w:type="dxa"/>
            <w:gridSpan w:val="6"/>
            <w:vAlign w:val="center"/>
          </w:tcPr>
          <w:p w14:paraId="2BEE8455"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not show continuing progression of disability while on treatment with this drug,</w:t>
            </w:r>
          </w:p>
        </w:tc>
      </w:tr>
      <w:tr w:rsidR="007C0B91" w:rsidRPr="00460143" w14:paraId="1E0B03BD"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2777EB" w14:textId="77777777" w:rsidR="007C0B91" w:rsidRPr="00460143" w:rsidRDefault="007C0B91" w:rsidP="007C3C42">
            <w:pPr>
              <w:jc w:val="center"/>
              <w:rPr>
                <w:rFonts w:ascii="Arial Narrow" w:hAnsi="Arial Narrow"/>
                <w:sz w:val="20"/>
                <w:szCs w:val="20"/>
              </w:rPr>
            </w:pPr>
          </w:p>
        </w:tc>
        <w:tc>
          <w:tcPr>
            <w:tcW w:w="7745" w:type="dxa"/>
            <w:gridSpan w:val="6"/>
            <w:vAlign w:val="center"/>
          </w:tcPr>
          <w:p w14:paraId="7E304D1B"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72432CF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9B381D" w14:textId="5F680399" w:rsidR="007C0B91" w:rsidRPr="00460143" w:rsidRDefault="007C0B91" w:rsidP="007C3C42">
            <w:pPr>
              <w:jc w:val="center"/>
              <w:rPr>
                <w:rFonts w:ascii="Arial Narrow" w:hAnsi="Arial Narrow"/>
                <w:sz w:val="20"/>
                <w:szCs w:val="20"/>
              </w:rPr>
            </w:pPr>
          </w:p>
        </w:tc>
        <w:tc>
          <w:tcPr>
            <w:tcW w:w="7745" w:type="dxa"/>
            <w:gridSpan w:val="6"/>
            <w:vAlign w:val="center"/>
          </w:tcPr>
          <w:p w14:paraId="08C46AD5"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Clinical criteria:</w:t>
            </w:r>
          </w:p>
        </w:tc>
      </w:tr>
      <w:tr w:rsidR="007C0B91" w:rsidRPr="00460143" w14:paraId="71F3B8B9"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621EE48" w14:textId="345EE0D2" w:rsidR="007C0B91" w:rsidRPr="00460143" w:rsidRDefault="007C0B91" w:rsidP="007C3C42">
            <w:pPr>
              <w:jc w:val="center"/>
              <w:rPr>
                <w:rFonts w:ascii="Arial Narrow" w:hAnsi="Arial Narrow"/>
                <w:sz w:val="20"/>
                <w:szCs w:val="20"/>
              </w:rPr>
            </w:pPr>
          </w:p>
        </w:tc>
        <w:tc>
          <w:tcPr>
            <w:tcW w:w="7745" w:type="dxa"/>
            <w:gridSpan w:val="6"/>
            <w:vAlign w:val="center"/>
          </w:tcPr>
          <w:p w14:paraId="2EBF0A1D"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The treatment must be the sole PBS-subsidised disease modifying therapy for this condition,</w:t>
            </w:r>
          </w:p>
        </w:tc>
      </w:tr>
      <w:tr w:rsidR="007C0B91" w:rsidRPr="00460143" w14:paraId="57FEA686"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028845" w14:textId="77777777" w:rsidR="007C0B91" w:rsidRPr="00460143" w:rsidRDefault="007C0B91" w:rsidP="007C3C42">
            <w:pPr>
              <w:jc w:val="center"/>
              <w:rPr>
                <w:rFonts w:ascii="Arial Narrow" w:hAnsi="Arial Narrow"/>
                <w:sz w:val="20"/>
                <w:szCs w:val="20"/>
              </w:rPr>
            </w:pPr>
          </w:p>
        </w:tc>
        <w:tc>
          <w:tcPr>
            <w:tcW w:w="7745" w:type="dxa"/>
            <w:gridSpan w:val="6"/>
            <w:vAlign w:val="center"/>
          </w:tcPr>
          <w:p w14:paraId="32328AAC" w14:textId="77777777" w:rsidR="007C0B91" w:rsidRPr="00460143" w:rsidRDefault="007C0B91" w:rsidP="007C3C42">
            <w:pPr>
              <w:rPr>
                <w:rFonts w:ascii="Arial Narrow" w:hAnsi="Arial Narrow"/>
                <w:b/>
                <w:bCs/>
                <w:sz w:val="20"/>
                <w:szCs w:val="20"/>
              </w:rPr>
            </w:pPr>
            <w:r w:rsidRPr="00460143">
              <w:rPr>
                <w:rFonts w:ascii="Arial Narrow" w:hAnsi="Arial Narrow"/>
                <w:b/>
                <w:bCs/>
                <w:sz w:val="20"/>
                <w:szCs w:val="20"/>
              </w:rPr>
              <w:t>AND</w:t>
            </w:r>
          </w:p>
        </w:tc>
      </w:tr>
      <w:tr w:rsidR="007C0B91" w:rsidRPr="00460143" w14:paraId="5CC8A3FE"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F474BCD" w14:textId="36E3A2C5" w:rsidR="007C0B91" w:rsidRPr="00460143" w:rsidRDefault="007C0B91" w:rsidP="007C3C42">
            <w:pPr>
              <w:jc w:val="center"/>
              <w:rPr>
                <w:rFonts w:ascii="Arial Narrow" w:hAnsi="Arial Narrow"/>
                <w:sz w:val="20"/>
                <w:szCs w:val="20"/>
              </w:rPr>
            </w:pPr>
          </w:p>
        </w:tc>
        <w:tc>
          <w:tcPr>
            <w:tcW w:w="7745" w:type="dxa"/>
            <w:gridSpan w:val="6"/>
            <w:vAlign w:val="center"/>
          </w:tcPr>
          <w:p w14:paraId="4D33F19B" w14:textId="77777777" w:rsidR="007C0B91" w:rsidRPr="00460143" w:rsidRDefault="007C0B91" w:rsidP="007C3C42">
            <w:r w:rsidRPr="00460143">
              <w:rPr>
                <w:rFonts w:ascii="Arial Narrow" w:hAnsi="Arial Narrow"/>
                <w:b/>
                <w:bCs/>
                <w:sz w:val="20"/>
                <w:szCs w:val="20"/>
              </w:rPr>
              <w:t>Clinical criteria:</w:t>
            </w:r>
          </w:p>
        </w:tc>
      </w:tr>
      <w:tr w:rsidR="007C0B91" w:rsidRPr="00460143" w14:paraId="7BA3F90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483B91" w14:textId="55E8282C" w:rsidR="007C0B91" w:rsidRPr="00460143" w:rsidRDefault="007C0B91" w:rsidP="007C3C42">
            <w:pPr>
              <w:jc w:val="center"/>
              <w:rPr>
                <w:rFonts w:ascii="Arial Narrow" w:hAnsi="Arial Narrow"/>
                <w:sz w:val="20"/>
                <w:szCs w:val="20"/>
              </w:rPr>
            </w:pPr>
          </w:p>
        </w:tc>
        <w:tc>
          <w:tcPr>
            <w:tcW w:w="7745" w:type="dxa"/>
            <w:gridSpan w:val="6"/>
            <w:vAlign w:val="center"/>
          </w:tcPr>
          <w:p w14:paraId="2621D98F"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Patient must have demonstrated compliance with, and an ability to tolerate this therapy.</w:t>
            </w:r>
          </w:p>
        </w:tc>
      </w:tr>
      <w:tr w:rsidR="007C0B91" w:rsidRPr="00460143" w14:paraId="042F0AB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9620BE" w14:textId="4659FA33" w:rsidR="007C0B91" w:rsidRPr="00460143" w:rsidRDefault="007C0B91" w:rsidP="007C3C42">
            <w:pPr>
              <w:jc w:val="center"/>
              <w:rPr>
                <w:rFonts w:ascii="Arial Narrow" w:hAnsi="Arial Narrow"/>
                <w:sz w:val="20"/>
                <w:szCs w:val="20"/>
              </w:rPr>
            </w:pPr>
          </w:p>
        </w:tc>
        <w:tc>
          <w:tcPr>
            <w:tcW w:w="7745" w:type="dxa"/>
            <w:gridSpan w:val="6"/>
            <w:vAlign w:val="center"/>
          </w:tcPr>
          <w:p w14:paraId="0672FBB5" w14:textId="77777777" w:rsidR="007C0B91" w:rsidRPr="00460143" w:rsidRDefault="007C0B91" w:rsidP="007C3C42">
            <w:pPr>
              <w:rPr>
                <w:rFonts w:ascii="Arial Narrow" w:hAnsi="Arial Narrow"/>
                <w:sz w:val="20"/>
                <w:szCs w:val="20"/>
              </w:rPr>
            </w:pPr>
            <w:r w:rsidRPr="00460143">
              <w:rPr>
                <w:rFonts w:ascii="Arial Narrow" w:hAnsi="Arial Narrow"/>
                <w:b/>
                <w:bCs/>
                <w:sz w:val="20"/>
                <w:szCs w:val="20"/>
              </w:rPr>
              <w:t>Treatment criteria:</w:t>
            </w:r>
          </w:p>
        </w:tc>
      </w:tr>
      <w:tr w:rsidR="007C0B91" w:rsidRPr="00460143" w14:paraId="3426C5AB"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BA347F" w14:textId="04E044AE" w:rsidR="007C0B91" w:rsidRPr="00460143" w:rsidRDefault="007C0B91" w:rsidP="007C3C42">
            <w:pPr>
              <w:jc w:val="center"/>
              <w:rPr>
                <w:rFonts w:ascii="Arial Narrow" w:hAnsi="Arial Narrow"/>
                <w:sz w:val="20"/>
                <w:szCs w:val="20"/>
              </w:rPr>
            </w:pPr>
          </w:p>
        </w:tc>
        <w:tc>
          <w:tcPr>
            <w:tcW w:w="7745" w:type="dxa"/>
            <w:gridSpan w:val="6"/>
            <w:vAlign w:val="center"/>
          </w:tcPr>
          <w:p w14:paraId="517C99D8" w14:textId="77777777" w:rsidR="007C0B91" w:rsidRPr="00460143" w:rsidRDefault="007C0B91" w:rsidP="007C3C42">
            <w:pPr>
              <w:rPr>
                <w:rFonts w:ascii="Arial Narrow" w:hAnsi="Arial Narrow"/>
                <w:sz w:val="20"/>
                <w:szCs w:val="20"/>
              </w:rPr>
            </w:pPr>
            <w:r w:rsidRPr="00460143">
              <w:rPr>
                <w:rFonts w:ascii="Arial Narrow" w:hAnsi="Arial Narrow"/>
                <w:sz w:val="20"/>
                <w:szCs w:val="20"/>
              </w:rPr>
              <w:t>Must be treated by a neurologist.</w:t>
            </w:r>
          </w:p>
        </w:tc>
      </w:tr>
    </w:tbl>
    <w:p w14:paraId="707BF524" w14:textId="77777777" w:rsidR="00E14B30" w:rsidRPr="00460143" w:rsidRDefault="00E14B30" w:rsidP="00E14B30">
      <w:pPr>
        <w:widowControl w:val="0"/>
        <w:contextualSpacing/>
        <w:rPr>
          <w:rFonts w:asciiTheme="minorHAnsi" w:hAnsiTheme="minorHAnsi" w:cs="Arial"/>
          <w:bCs/>
          <w:snapToGrid w:val="0"/>
        </w:rPr>
      </w:pPr>
    </w:p>
    <w:p w14:paraId="30FD3BD1" w14:textId="62498E1C" w:rsidR="00B149BA" w:rsidRPr="00460143" w:rsidRDefault="00455913" w:rsidP="004802F8">
      <w:pPr>
        <w:spacing w:before="120"/>
      </w:pPr>
      <w:r w:rsidRPr="00A135B2">
        <w:rPr>
          <w:rFonts w:asciiTheme="minorHAnsi" w:hAnsiTheme="minorHAnsi" w:cs="Arial"/>
          <w:b/>
          <w:i/>
          <w:iCs/>
          <w:snapToGrid w:val="0"/>
        </w:rPr>
        <w:t>These restrictions may be subject to further review. Should there be any changes made to the restriction the sponsor will be informed.</w:t>
      </w:r>
    </w:p>
    <w:p w14:paraId="3173AE78" w14:textId="77777777" w:rsidR="009F778C" w:rsidRDefault="009F778C" w:rsidP="00F351F0">
      <w:pPr>
        <w:jc w:val="left"/>
      </w:pPr>
    </w:p>
    <w:p w14:paraId="4DB2D035" w14:textId="1DBDCD8C" w:rsidR="00FB1F2B" w:rsidRDefault="00FB1F2B" w:rsidP="00DD6B49">
      <w:pPr>
        <w:pStyle w:val="2-SectionHeading"/>
      </w:pPr>
      <w:r>
        <w:t>Context for Decision</w:t>
      </w:r>
    </w:p>
    <w:p w14:paraId="39FFA778" w14:textId="77777777" w:rsidR="00FB1F2B" w:rsidRDefault="00FB1F2B" w:rsidP="00FB1F2B">
      <w:pPr>
        <w:ind w:left="709" w:hanging="709"/>
        <w:jc w:val="left"/>
      </w:pPr>
      <w:r>
        <w:tab/>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D71898" w14:textId="77777777" w:rsidR="00FB1F2B" w:rsidRDefault="00FB1F2B" w:rsidP="00FB1F2B">
      <w:pPr>
        <w:ind w:left="709" w:hanging="709"/>
        <w:jc w:val="left"/>
      </w:pPr>
    </w:p>
    <w:p w14:paraId="3B680865" w14:textId="2F2A1E3F" w:rsidR="00FB1F2B" w:rsidRDefault="00FB1F2B" w:rsidP="00577ADE">
      <w:pPr>
        <w:pStyle w:val="2-SectionHeading"/>
      </w:pPr>
      <w:r>
        <w:t>Sponsor’s Comment</w:t>
      </w:r>
    </w:p>
    <w:p w14:paraId="69834DB3" w14:textId="69662FB6" w:rsidR="0045019D" w:rsidRDefault="0045019D" w:rsidP="0045019D">
      <w:pPr>
        <w:ind w:left="720"/>
        <w:jc w:val="left"/>
      </w:pPr>
      <w:r>
        <w:t>Availability and accessibility to new routes of administration such as subcutaneously administered Ocrevus (ocrelizumab), is key to empowering patients and clinicians with treatment choice and personalising care.</w:t>
      </w:r>
    </w:p>
    <w:p w14:paraId="10415B1F" w14:textId="77777777" w:rsidR="0045019D" w:rsidRDefault="0045019D" w:rsidP="0045019D">
      <w:pPr>
        <w:ind w:left="720"/>
        <w:jc w:val="left"/>
      </w:pPr>
    </w:p>
    <w:p w14:paraId="6D48CA47" w14:textId="38858E8A" w:rsidR="0045019D" w:rsidRDefault="0045019D" w:rsidP="0045019D">
      <w:pPr>
        <w:ind w:left="720"/>
        <w:jc w:val="left"/>
      </w:pPr>
      <w:r>
        <w:t xml:space="preserve">While Roche is pleased with the recommendation, this case highlights an opportunity to further enhance Australia's HTA methods and processes. Beyond clinical outcomes, future frameworks must better capture and acknowledge real-world benefits like patient convenience, administration efficiency, and reduced healthcare resource use. </w:t>
      </w:r>
    </w:p>
    <w:p w14:paraId="76BA0B9D" w14:textId="77777777" w:rsidR="0045019D" w:rsidRDefault="0045019D" w:rsidP="0045019D">
      <w:pPr>
        <w:ind w:left="720"/>
        <w:jc w:val="left"/>
      </w:pPr>
    </w:p>
    <w:p w14:paraId="1F19F2BA" w14:textId="1D4F89F6" w:rsidR="00FB1F2B" w:rsidRPr="00460143" w:rsidRDefault="0045019D" w:rsidP="0045019D">
      <w:pPr>
        <w:ind w:left="720"/>
        <w:jc w:val="left"/>
      </w:pPr>
      <w:r>
        <w:lastRenderedPageBreak/>
        <w:t>Roche is looking forward to working with the Department of Health, Disability and Ageing to bring this new treatment option to MS patients as soon as possible.</w:t>
      </w:r>
    </w:p>
    <w:sectPr w:rsidR="00FB1F2B" w:rsidRPr="00460143"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F15C" w14:textId="77777777" w:rsidR="00EE5403" w:rsidRDefault="00EE5403">
      <w:r>
        <w:separator/>
      </w:r>
    </w:p>
    <w:p w14:paraId="7A7F1B0E" w14:textId="77777777" w:rsidR="00EE5403" w:rsidRDefault="00EE5403"/>
  </w:endnote>
  <w:endnote w:type="continuationSeparator" w:id="0">
    <w:p w14:paraId="5378D97F" w14:textId="77777777" w:rsidR="00EE5403" w:rsidRDefault="00EE5403">
      <w:r>
        <w:continuationSeparator/>
      </w:r>
    </w:p>
    <w:p w14:paraId="5E3CBB78" w14:textId="77777777" w:rsidR="00EE5403" w:rsidRDefault="00EE5403"/>
  </w:endnote>
  <w:endnote w:type="continuationNotice" w:id="1">
    <w:p w14:paraId="659D9A9A" w14:textId="77777777" w:rsidR="00EE5403" w:rsidRDefault="00EE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0A49A959" w:rsidR="009C26AA" w:rsidRPr="005A3173" w:rsidRDefault="006F6811"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36" behindDoc="0" locked="0" layoutInCell="1" allowOverlap="1" wp14:anchorId="46F28164" wp14:editId="52E77443">
                    <wp:simplePos x="635" y="635"/>
                    <wp:positionH relativeFrom="page">
                      <wp:align>center</wp:align>
                    </wp:positionH>
                    <wp:positionV relativeFrom="page">
                      <wp:align>bottom</wp:align>
                    </wp:positionV>
                    <wp:extent cx="551815" cy="376555"/>
                    <wp:effectExtent l="0" t="0" r="635" b="0"/>
                    <wp:wrapNone/>
                    <wp:docPr id="8710027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05CFEE" w14:textId="2C06B235"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2816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A05CFEE" w14:textId="2C06B235"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5D07D978" w:rsidR="009C26AA" w:rsidRPr="00D429EC" w:rsidRDefault="006F6811"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3360" behindDoc="0" locked="0" layoutInCell="1" allowOverlap="1" wp14:anchorId="112EA6D7" wp14:editId="69222F45">
              <wp:simplePos x="635" y="635"/>
              <wp:positionH relativeFrom="page">
                <wp:align>center</wp:align>
              </wp:positionH>
              <wp:positionV relativeFrom="page">
                <wp:align>bottom</wp:align>
              </wp:positionV>
              <wp:extent cx="551815" cy="376555"/>
              <wp:effectExtent l="0" t="0" r="635" b="0"/>
              <wp:wrapNone/>
              <wp:docPr id="16845780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6B3E09" w14:textId="1D37BA9C"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EA6D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06B3E09" w14:textId="1D37BA9C"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p>
  <w:p w14:paraId="355827FE" w14:textId="72636D88" w:rsidR="009C26AA" w:rsidRPr="00272DE5" w:rsidRDefault="006144D7" w:rsidP="00C56D78">
    <w:pPr>
      <w:pStyle w:val="MinorOVRHeader"/>
      <w:jc w:val="center"/>
      <w:rPr>
        <w:b/>
        <w:bCs/>
        <w:i w:val="0"/>
        <w:iCs w:val="0"/>
      </w:rPr>
    </w:pPr>
    <w:r>
      <w:rPr>
        <w:rFonts w:ascii="Calibri" w:hAnsi="Calibri" w:cs="Calibri"/>
        <w:b/>
        <w:bCs/>
        <w:i w:val="0"/>
        <w:iCs w:val="0"/>
      </w:rPr>
      <w:t xml:space="preserve"> </w:t>
    </w:r>
    <w:r w:rsidR="00401640" w:rsidRPr="00272DE5">
      <w:rPr>
        <w:b/>
        <w:bCs/>
        <w:i w:val="0"/>
        <w:iCs w:val="0"/>
      </w:rPr>
      <w:fldChar w:fldCharType="begin"/>
    </w:r>
    <w:r w:rsidR="00401640" w:rsidRPr="00272DE5">
      <w:rPr>
        <w:b/>
        <w:bCs/>
        <w:i w:val="0"/>
        <w:iCs w:val="0"/>
      </w:rPr>
      <w:instrText xml:space="preserve"> PAGE   \* MERGEFORMAT </w:instrText>
    </w:r>
    <w:r w:rsidR="00401640" w:rsidRPr="00272DE5">
      <w:rPr>
        <w:b/>
        <w:bCs/>
        <w:i w:val="0"/>
        <w:iCs w:val="0"/>
      </w:rPr>
      <w:fldChar w:fldCharType="separate"/>
    </w:r>
    <w:r w:rsidR="0045019D">
      <w:rPr>
        <w:b/>
        <w:bCs/>
        <w:i w:val="0"/>
        <w:iCs w:val="0"/>
        <w:noProof/>
      </w:rPr>
      <w:t>14</w:t>
    </w:r>
    <w:r w:rsidR="00401640"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242E" w14:textId="709CA65E" w:rsidR="006B4A94" w:rsidRDefault="006F6811">
    <w:pPr>
      <w:pStyle w:val="Footer"/>
    </w:pPr>
    <w:r>
      <w:rPr>
        <w:noProof/>
      </w:rPr>
      <mc:AlternateContent>
        <mc:Choice Requires="wps">
          <w:drawing>
            <wp:anchor distT="0" distB="0" distL="0" distR="0" simplePos="0" relativeHeight="251661312" behindDoc="0" locked="0" layoutInCell="1" allowOverlap="1" wp14:anchorId="44A75956" wp14:editId="5280C5D9">
              <wp:simplePos x="635" y="635"/>
              <wp:positionH relativeFrom="page">
                <wp:align>center</wp:align>
              </wp:positionH>
              <wp:positionV relativeFrom="page">
                <wp:align>bottom</wp:align>
              </wp:positionV>
              <wp:extent cx="551815" cy="376555"/>
              <wp:effectExtent l="0" t="0" r="635" b="0"/>
              <wp:wrapNone/>
              <wp:docPr id="192687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34738C" w14:textId="6041C6EE"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7595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D34738C" w14:textId="6041C6EE"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A7A5" w14:textId="77777777" w:rsidR="00EE5403" w:rsidRDefault="00EE5403">
      <w:r>
        <w:separator/>
      </w:r>
    </w:p>
    <w:p w14:paraId="15DD51BD" w14:textId="77777777" w:rsidR="00EE5403" w:rsidRDefault="00EE5403"/>
  </w:footnote>
  <w:footnote w:type="continuationSeparator" w:id="0">
    <w:p w14:paraId="12B3263F" w14:textId="77777777" w:rsidR="00EE5403" w:rsidRDefault="00EE5403">
      <w:r>
        <w:continuationSeparator/>
      </w:r>
    </w:p>
    <w:p w14:paraId="7DCEF8CE" w14:textId="77777777" w:rsidR="00EE5403" w:rsidRDefault="00EE5403"/>
  </w:footnote>
  <w:footnote w:type="continuationNotice" w:id="1">
    <w:p w14:paraId="164A137E" w14:textId="77777777" w:rsidR="00EE5403" w:rsidRDefault="00EE5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AA91A9E" w:rsidR="009C26AA" w:rsidRPr="00A06225" w:rsidRDefault="006F6811">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9264" behindDoc="0" locked="0" layoutInCell="1" allowOverlap="1" wp14:anchorId="646EE169" wp14:editId="4A2EBBD9">
                    <wp:simplePos x="635" y="635"/>
                    <wp:positionH relativeFrom="page">
                      <wp:align>center</wp:align>
                    </wp:positionH>
                    <wp:positionV relativeFrom="page">
                      <wp:align>top</wp:align>
                    </wp:positionV>
                    <wp:extent cx="551815" cy="376555"/>
                    <wp:effectExtent l="0" t="0" r="635" b="4445"/>
                    <wp:wrapNone/>
                    <wp:docPr id="20227133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8B2150" w14:textId="0789CD29"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EE16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F8B2150" w14:textId="0789CD29"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BBCE0FD" w:rsidR="00C56D78" w:rsidRPr="00C56D78" w:rsidRDefault="006F681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0288" behindDoc="0" locked="0" layoutInCell="1" allowOverlap="1" wp14:anchorId="18103955" wp14:editId="33178CB9">
              <wp:simplePos x="635" y="635"/>
              <wp:positionH relativeFrom="page">
                <wp:align>center</wp:align>
              </wp:positionH>
              <wp:positionV relativeFrom="page">
                <wp:align>top</wp:align>
              </wp:positionV>
              <wp:extent cx="551815" cy="376555"/>
              <wp:effectExtent l="0" t="0" r="635" b="4445"/>
              <wp:wrapNone/>
              <wp:docPr id="15679089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CC92A4" w14:textId="142258ED"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0395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5CC92A4" w14:textId="142258ED"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r w:rsidR="0088099F">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EB5CC9">
      <w:rPr>
        <w:rFonts w:asciiTheme="minorHAnsi" w:eastAsiaTheme="minorEastAsia" w:hAnsiTheme="minorHAnsi" w:cstheme="minorHAnsi"/>
        <w:i/>
        <w:color w:val="808080"/>
      </w:rPr>
      <w:t xml:space="preserve">July </w:t>
    </w:r>
    <w:r w:rsidR="00C56D78">
      <w:rPr>
        <w:rFonts w:asciiTheme="minorHAnsi" w:eastAsiaTheme="minorEastAsia" w:hAnsiTheme="minorHAnsi" w:cstheme="minorHAnsi"/>
        <w:i/>
        <w:color w:val="808080"/>
      </w:rPr>
      <w:t>202</w:t>
    </w:r>
    <w:r w:rsidR="00EB5CC9">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Pr="00E948E3"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184C" w14:textId="4A2FB91F" w:rsidR="006B4A94" w:rsidRDefault="006F6811">
    <w:pPr>
      <w:pStyle w:val="Header"/>
    </w:pPr>
    <w:r>
      <w:rPr>
        <w:noProof/>
      </w:rPr>
      <mc:AlternateContent>
        <mc:Choice Requires="wps">
          <w:drawing>
            <wp:anchor distT="0" distB="0" distL="0" distR="0" simplePos="0" relativeHeight="251658240" behindDoc="0" locked="0" layoutInCell="1" allowOverlap="1" wp14:anchorId="23DDAB09" wp14:editId="0B0B1486">
              <wp:simplePos x="635" y="635"/>
              <wp:positionH relativeFrom="page">
                <wp:align>center</wp:align>
              </wp:positionH>
              <wp:positionV relativeFrom="page">
                <wp:align>top</wp:align>
              </wp:positionV>
              <wp:extent cx="551815" cy="376555"/>
              <wp:effectExtent l="0" t="0" r="635" b="4445"/>
              <wp:wrapNone/>
              <wp:docPr id="10033161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922792" w14:textId="7A050259" w:rsidR="006F6811" w:rsidRPr="006F6811" w:rsidRDefault="006F6811" w:rsidP="006F6811">
                          <w:pPr>
                            <w:rPr>
                              <w:rFonts w:eastAsia="Calibri" w:cs="Calibri"/>
                              <w:noProof/>
                              <w:color w:val="FF0000"/>
                            </w:rPr>
                          </w:pPr>
                          <w:r w:rsidRPr="006F681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DAB09"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8922792" w14:textId="7A050259" w:rsidR="006F6811" w:rsidRPr="006F6811" w:rsidRDefault="006F6811" w:rsidP="006F6811">
                    <w:pPr>
                      <w:rPr>
                        <w:rFonts w:eastAsia="Calibri" w:cs="Calibri"/>
                        <w:noProof/>
                        <w:color w:val="FF0000"/>
                      </w:rPr>
                    </w:pPr>
                    <w:r w:rsidRPr="006F6811">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FF7188"/>
    <w:multiLevelType w:val="hybridMultilevel"/>
    <w:tmpl w:val="899816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1"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82740F6"/>
    <w:multiLevelType w:val="hybridMultilevel"/>
    <w:tmpl w:val="B8EA8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B32C4D"/>
    <w:multiLevelType w:val="hybridMultilevel"/>
    <w:tmpl w:val="667C0674"/>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897E64"/>
    <w:multiLevelType w:val="hybridMultilevel"/>
    <w:tmpl w:val="297A7548"/>
    <w:lvl w:ilvl="0" w:tplc="0C090001">
      <w:start w:val="1"/>
      <w:numFmt w:val="bullet"/>
      <w:lvlText w:val=""/>
      <w:lvlJc w:val="left"/>
      <w:pPr>
        <w:ind w:left="1135" w:hanging="360"/>
      </w:pPr>
      <w:rPr>
        <w:rFonts w:ascii="Symbol" w:hAnsi="Symbol" w:hint="default"/>
      </w:rPr>
    </w:lvl>
    <w:lvl w:ilvl="1" w:tplc="0C090003" w:tentative="1">
      <w:start w:val="1"/>
      <w:numFmt w:val="bullet"/>
      <w:lvlText w:val="o"/>
      <w:lvlJc w:val="left"/>
      <w:pPr>
        <w:ind w:left="1855" w:hanging="360"/>
      </w:pPr>
      <w:rPr>
        <w:rFonts w:ascii="Courier New" w:hAnsi="Courier New" w:cs="Courier New" w:hint="default"/>
      </w:rPr>
    </w:lvl>
    <w:lvl w:ilvl="2" w:tplc="0C090005" w:tentative="1">
      <w:start w:val="1"/>
      <w:numFmt w:val="bullet"/>
      <w:lvlText w:val=""/>
      <w:lvlJc w:val="left"/>
      <w:pPr>
        <w:ind w:left="2575" w:hanging="360"/>
      </w:pPr>
      <w:rPr>
        <w:rFonts w:ascii="Wingdings" w:hAnsi="Wingdings" w:hint="default"/>
      </w:rPr>
    </w:lvl>
    <w:lvl w:ilvl="3" w:tplc="0C090001" w:tentative="1">
      <w:start w:val="1"/>
      <w:numFmt w:val="bullet"/>
      <w:lvlText w:val=""/>
      <w:lvlJc w:val="left"/>
      <w:pPr>
        <w:ind w:left="3295" w:hanging="360"/>
      </w:pPr>
      <w:rPr>
        <w:rFonts w:ascii="Symbol" w:hAnsi="Symbol" w:hint="default"/>
      </w:rPr>
    </w:lvl>
    <w:lvl w:ilvl="4" w:tplc="0C090003" w:tentative="1">
      <w:start w:val="1"/>
      <w:numFmt w:val="bullet"/>
      <w:lvlText w:val="o"/>
      <w:lvlJc w:val="left"/>
      <w:pPr>
        <w:ind w:left="4015" w:hanging="360"/>
      </w:pPr>
      <w:rPr>
        <w:rFonts w:ascii="Courier New" w:hAnsi="Courier New" w:cs="Courier New" w:hint="default"/>
      </w:rPr>
    </w:lvl>
    <w:lvl w:ilvl="5" w:tplc="0C090005" w:tentative="1">
      <w:start w:val="1"/>
      <w:numFmt w:val="bullet"/>
      <w:lvlText w:val=""/>
      <w:lvlJc w:val="left"/>
      <w:pPr>
        <w:ind w:left="4735" w:hanging="360"/>
      </w:pPr>
      <w:rPr>
        <w:rFonts w:ascii="Wingdings" w:hAnsi="Wingdings" w:hint="default"/>
      </w:rPr>
    </w:lvl>
    <w:lvl w:ilvl="6" w:tplc="0C090001" w:tentative="1">
      <w:start w:val="1"/>
      <w:numFmt w:val="bullet"/>
      <w:lvlText w:val=""/>
      <w:lvlJc w:val="left"/>
      <w:pPr>
        <w:ind w:left="5455" w:hanging="360"/>
      </w:pPr>
      <w:rPr>
        <w:rFonts w:ascii="Symbol" w:hAnsi="Symbol" w:hint="default"/>
      </w:rPr>
    </w:lvl>
    <w:lvl w:ilvl="7" w:tplc="0C090003" w:tentative="1">
      <w:start w:val="1"/>
      <w:numFmt w:val="bullet"/>
      <w:lvlText w:val="o"/>
      <w:lvlJc w:val="left"/>
      <w:pPr>
        <w:ind w:left="6175" w:hanging="360"/>
      </w:pPr>
      <w:rPr>
        <w:rFonts w:ascii="Courier New" w:hAnsi="Courier New" w:cs="Courier New" w:hint="default"/>
      </w:rPr>
    </w:lvl>
    <w:lvl w:ilvl="8" w:tplc="0C090005" w:tentative="1">
      <w:start w:val="1"/>
      <w:numFmt w:val="bullet"/>
      <w:lvlText w:val=""/>
      <w:lvlJc w:val="left"/>
      <w:pPr>
        <w:ind w:left="6895" w:hanging="360"/>
      </w:pPr>
      <w:rPr>
        <w:rFonts w:ascii="Wingdings" w:hAnsi="Wingdings" w:hint="default"/>
      </w:r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736F458A"/>
    <w:multiLevelType w:val="hybridMultilevel"/>
    <w:tmpl w:val="F8DEEA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84D033C"/>
    <w:multiLevelType w:val="multilevel"/>
    <w:tmpl w:val="601A53F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1850762">
    <w:abstractNumId w:val="16"/>
  </w:num>
  <w:num w:numId="2" w16cid:durableId="1102146256">
    <w:abstractNumId w:val="42"/>
  </w:num>
  <w:num w:numId="3" w16cid:durableId="780685006">
    <w:abstractNumId w:val="0"/>
  </w:num>
  <w:num w:numId="4" w16cid:durableId="917666479">
    <w:abstractNumId w:val="30"/>
  </w:num>
  <w:num w:numId="5" w16cid:durableId="1728406847">
    <w:abstractNumId w:val="43"/>
  </w:num>
  <w:num w:numId="6" w16cid:durableId="1863744842">
    <w:abstractNumId w:val="37"/>
  </w:num>
  <w:num w:numId="7" w16cid:durableId="1387026223">
    <w:abstractNumId w:val="26"/>
  </w:num>
  <w:num w:numId="8" w16cid:durableId="378168202">
    <w:abstractNumId w:val="20"/>
  </w:num>
  <w:num w:numId="9" w16cid:durableId="1818524075">
    <w:abstractNumId w:val="1"/>
  </w:num>
  <w:num w:numId="10" w16cid:durableId="519439500">
    <w:abstractNumId w:val="42"/>
  </w:num>
  <w:num w:numId="11" w16cid:durableId="1995718523">
    <w:abstractNumId w:val="34"/>
  </w:num>
  <w:num w:numId="12" w16cid:durableId="2106605749">
    <w:abstractNumId w:val="38"/>
  </w:num>
  <w:num w:numId="13" w16cid:durableId="1002733264">
    <w:abstractNumId w:val="14"/>
  </w:num>
  <w:num w:numId="14" w16cid:durableId="883758874">
    <w:abstractNumId w:val="9"/>
  </w:num>
  <w:num w:numId="15" w16cid:durableId="1578588794">
    <w:abstractNumId w:val="3"/>
  </w:num>
  <w:num w:numId="16" w16cid:durableId="751783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984489">
    <w:abstractNumId w:val="7"/>
  </w:num>
  <w:num w:numId="18" w16cid:durableId="1048068287">
    <w:abstractNumId w:val="24"/>
  </w:num>
  <w:num w:numId="19" w16cid:durableId="1018193203">
    <w:abstractNumId w:val="19"/>
  </w:num>
  <w:num w:numId="20" w16cid:durableId="147405286">
    <w:abstractNumId w:val="40"/>
  </w:num>
  <w:num w:numId="21" w16cid:durableId="2049916502">
    <w:abstractNumId w:val="8"/>
  </w:num>
  <w:num w:numId="22" w16cid:durableId="2013674948">
    <w:abstractNumId w:val="4"/>
  </w:num>
  <w:num w:numId="23" w16cid:durableId="557715539">
    <w:abstractNumId w:val="44"/>
  </w:num>
  <w:num w:numId="24" w16cid:durableId="1853492311">
    <w:abstractNumId w:val="25"/>
  </w:num>
  <w:num w:numId="25" w16cid:durableId="839002242">
    <w:abstractNumId w:val="18"/>
  </w:num>
  <w:num w:numId="26" w16cid:durableId="1226641799">
    <w:abstractNumId w:val="17"/>
  </w:num>
  <w:num w:numId="27" w16cid:durableId="351689161">
    <w:abstractNumId w:val="22"/>
  </w:num>
  <w:num w:numId="28" w16cid:durableId="444664764">
    <w:abstractNumId w:val="41"/>
  </w:num>
  <w:num w:numId="29" w16cid:durableId="1155995202">
    <w:abstractNumId w:val="36"/>
  </w:num>
  <w:num w:numId="30" w16cid:durableId="789281550">
    <w:abstractNumId w:val="21"/>
  </w:num>
  <w:num w:numId="31" w16cid:durableId="1247693468">
    <w:abstractNumId w:val="6"/>
  </w:num>
  <w:num w:numId="32" w16cid:durableId="223100781">
    <w:abstractNumId w:val="29"/>
  </w:num>
  <w:num w:numId="33" w16cid:durableId="1259291536">
    <w:abstractNumId w:val="42"/>
  </w:num>
  <w:num w:numId="34" w16cid:durableId="143592496">
    <w:abstractNumId w:val="42"/>
  </w:num>
  <w:num w:numId="35" w16cid:durableId="670836559">
    <w:abstractNumId w:val="15"/>
  </w:num>
  <w:num w:numId="36" w16cid:durableId="1962035084">
    <w:abstractNumId w:val="42"/>
  </w:num>
  <w:num w:numId="37" w16cid:durableId="1074472828">
    <w:abstractNumId w:val="42"/>
  </w:num>
  <w:num w:numId="38" w16cid:durableId="2085643185">
    <w:abstractNumId w:val="1"/>
  </w:num>
  <w:num w:numId="39" w16cid:durableId="46035442">
    <w:abstractNumId w:val="1"/>
  </w:num>
  <w:num w:numId="40" w16cid:durableId="1061945587">
    <w:abstractNumId w:val="12"/>
  </w:num>
  <w:num w:numId="41" w16cid:durableId="1413426747">
    <w:abstractNumId w:val="15"/>
  </w:num>
  <w:num w:numId="42" w16cid:durableId="677198287">
    <w:abstractNumId w:val="15"/>
  </w:num>
  <w:num w:numId="43" w16cid:durableId="37168894">
    <w:abstractNumId w:val="42"/>
  </w:num>
  <w:num w:numId="44" w16cid:durableId="1191458462">
    <w:abstractNumId w:val="15"/>
  </w:num>
  <w:num w:numId="45" w16cid:durableId="585111550">
    <w:abstractNumId w:val="23"/>
  </w:num>
  <w:num w:numId="46" w16cid:durableId="779568334">
    <w:abstractNumId w:val="39"/>
  </w:num>
  <w:num w:numId="47" w16cid:durableId="755783251">
    <w:abstractNumId w:val="27"/>
  </w:num>
  <w:num w:numId="48" w16cid:durableId="1266841590">
    <w:abstractNumId w:val="32"/>
  </w:num>
  <w:num w:numId="49" w16cid:durableId="1302999939">
    <w:abstractNumId w:val="42"/>
  </w:num>
  <w:num w:numId="50" w16cid:durableId="757482247">
    <w:abstractNumId w:val="28"/>
  </w:num>
  <w:num w:numId="51" w16cid:durableId="70196867">
    <w:abstractNumId w:val="5"/>
  </w:num>
  <w:num w:numId="52" w16cid:durableId="594629569">
    <w:abstractNumId w:val="2"/>
  </w:num>
  <w:num w:numId="53" w16cid:durableId="480125770">
    <w:abstractNumId w:val="11"/>
  </w:num>
  <w:num w:numId="54" w16cid:durableId="1514567533">
    <w:abstractNumId w:val="13"/>
  </w:num>
  <w:num w:numId="55" w16cid:durableId="1194076966">
    <w:abstractNumId w:val="10"/>
  </w:num>
  <w:num w:numId="56" w16cid:durableId="209139000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9693485">
    <w:abstractNumId w:val="35"/>
  </w:num>
  <w:num w:numId="58" w16cid:durableId="1873766050">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ED8"/>
    <w:rsid w:val="00001219"/>
    <w:rsid w:val="0000123C"/>
    <w:rsid w:val="000014FB"/>
    <w:rsid w:val="00001663"/>
    <w:rsid w:val="00001991"/>
    <w:rsid w:val="000025AD"/>
    <w:rsid w:val="0000335D"/>
    <w:rsid w:val="00003EC5"/>
    <w:rsid w:val="0000566B"/>
    <w:rsid w:val="00006782"/>
    <w:rsid w:val="000068EE"/>
    <w:rsid w:val="0001074C"/>
    <w:rsid w:val="00010E3C"/>
    <w:rsid w:val="0001179A"/>
    <w:rsid w:val="00011A59"/>
    <w:rsid w:val="00013478"/>
    <w:rsid w:val="000149FD"/>
    <w:rsid w:val="00014D69"/>
    <w:rsid w:val="00016A41"/>
    <w:rsid w:val="00017BB3"/>
    <w:rsid w:val="000214D1"/>
    <w:rsid w:val="000216C5"/>
    <w:rsid w:val="00021F20"/>
    <w:rsid w:val="00022693"/>
    <w:rsid w:val="00022760"/>
    <w:rsid w:val="000240A7"/>
    <w:rsid w:val="00024285"/>
    <w:rsid w:val="0002464A"/>
    <w:rsid w:val="00024BB7"/>
    <w:rsid w:val="00025A04"/>
    <w:rsid w:val="0002693D"/>
    <w:rsid w:val="00027A58"/>
    <w:rsid w:val="00027C38"/>
    <w:rsid w:val="0003050E"/>
    <w:rsid w:val="0003106B"/>
    <w:rsid w:val="0003173B"/>
    <w:rsid w:val="00031F0B"/>
    <w:rsid w:val="0003206E"/>
    <w:rsid w:val="000333C8"/>
    <w:rsid w:val="000335B9"/>
    <w:rsid w:val="00034905"/>
    <w:rsid w:val="00034AE3"/>
    <w:rsid w:val="00035143"/>
    <w:rsid w:val="00037906"/>
    <w:rsid w:val="00040A30"/>
    <w:rsid w:val="000414C9"/>
    <w:rsid w:val="000421A1"/>
    <w:rsid w:val="0004240E"/>
    <w:rsid w:val="000425A2"/>
    <w:rsid w:val="000425BE"/>
    <w:rsid w:val="00044E52"/>
    <w:rsid w:val="00044EC4"/>
    <w:rsid w:val="00045E26"/>
    <w:rsid w:val="00046903"/>
    <w:rsid w:val="00046DE3"/>
    <w:rsid w:val="00046DFD"/>
    <w:rsid w:val="00047247"/>
    <w:rsid w:val="000474EB"/>
    <w:rsid w:val="000500DD"/>
    <w:rsid w:val="00050313"/>
    <w:rsid w:val="000514B5"/>
    <w:rsid w:val="000521ED"/>
    <w:rsid w:val="0005322E"/>
    <w:rsid w:val="000533AC"/>
    <w:rsid w:val="000545F1"/>
    <w:rsid w:val="000546CF"/>
    <w:rsid w:val="00054E2B"/>
    <w:rsid w:val="00055A8E"/>
    <w:rsid w:val="00055F58"/>
    <w:rsid w:val="00056C17"/>
    <w:rsid w:val="000578DA"/>
    <w:rsid w:val="00060E64"/>
    <w:rsid w:val="000621AB"/>
    <w:rsid w:val="00062760"/>
    <w:rsid w:val="00062C03"/>
    <w:rsid w:val="00062E88"/>
    <w:rsid w:val="00063CCB"/>
    <w:rsid w:val="000650C5"/>
    <w:rsid w:val="00066044"/>
    <w:rsid w:val="00066193"/>
    <w:rsid w:val="00066755"/>
    <w:rsid w:val="00070165"/>
    <w:rsid w:val="00071A5B"/>
    <w:rsid w:val="00072730"/>
    <w:rsid w:val="0007337F"/>
    <w:rsid w:val="00074320"/>
    <w:rsid w:val="00074967"/>
    <w:rsid w:val="00074DCB"/>
    <w:rsid w:val="000763D5"/>
    <w:rsid w:val="00076C38"/>
    <w:rsid w:val="00077143"/>
    <w:rsid w:val="000774D9"/>
    <w:rsid w:val="0007782A"/>
    <w:rsid w:val="00077DF7"/>
    <w:rsid w:val="0008050C"/>
    <w:rsid w:val="00082169"/>
    <w:rsid w:val="00082D9F"/>
    <w:rsid w:val="00083082"/>
    <w:rsid w:val="000834BE"/>
    <w:rsid w:val="00083F01"/>
    <w:rsid w:val="000855BF"/>
    <w:rsid w:val="000862A0"/>
    <w:rsid w:val="000865EF"/>
    <w:rsid w:val="00087C4C"/>
    <w:rsid w:val="00087E15"/>
    <w:rsid w:val="000918CB"/>
    <w:rsid w:val="00091B06"/>
    <w:rsid w:val="000951C4"/>
    <w:rsid w:val="000959C7"/>
    <w:rsid w:val="00095ADA"/>
    <w:rsid w:val="00095F3A"/>
    <w:rsid w:val="000966EE"/>
    <w:rsid w:val="000969AD"/>
    <w:rsid w:val="000973C7"/>
    <w:rsid w:val="000975FB"/>
    <w:rsid w:val="000A02F8"/>
    <w:rsid w:val="000A0E58"/>
    <w:rsid w:val="000A1B5F"/>
    <w:rsid w:val="000A25DE"/>
    <w:rsid w:val="000A3AA2"/>
    <w:rsid w:val="000A42EF"/>
    <w:rsid w:val="000A44B2"/>
    <w:rsid w:val="000A52F6"/>
    <w:rsid w:val="000A58B8"/>
    <w:rsid w:val="000A78B8"/>
    <w:rsid w:val="000A7D93"/>
    <w:rsid w:val="000B2A10"/>
    <w:rsid w:val="000B44C3"/>
    <w:rsid w:val="000B558D"/>
    <w:rsid w:val="000B5A89"/>
    <w:rsid w:val="000B65F6"/>
    <w:rsid w:val="000B7702"/>
    <w:rsid w:val="000B7767"/>
    <w:rsid w:val="000C0066"/>
    <w:rsid w:val="000C1AFF"/>
    <w:rsid w:val="000C2044"/>
    <w:rsid w:val="000C2058"/>
    <w:rsid w:val="000C2FC5"/>
    <w:rsid w:val="000C41C7"/>
    <w:rsid w:val="000C4E9F"/>
    <w:rsid w:val="000C5740"/>
    <w:rsid w:val="000C5F95"/>
    <w:rsid w:val="000C61F4"/>
    <w:rsid w:val="000C6996"/>
    <w:rsid w:val="000C6D39"/>
    <w:rsid w:val="000C703F"/>
    <w:rsid w:val="000C7C46"/>
    <w:rsid w:val="000D04B7"/>
    <w:rsid w:val="000D09E9"/>
    <w:rsid w:val="000D113F"/>
    <w:rsid w:val="000D194A"/>
    <w:rsid w:val="000D23BA"/>
    <w:rsid w:val="000D30C9"/>
    <w:rsid w:val="000D331A"/>
    <w:rsid w:val="000D3EA4"/>
    <w:rsid w:val="000D4760"/>
    <w:rsid w:val="000D4F18"/>
    <w:rsid w:val="000D5070"/>
    <w:rsid w:val="000D692B"/>
    <w:rsid w:val="000E0E33"/>
    <w:rsid w:val="000E16E3"/>
    <w:rsid w:val="000E19B7"/>
    <w:rsid w:val="000E20FC"/>
    <w:rsid w:val="000E2A41"/>
    <w:rsid w:val="000E3168"/>
    <w:rsid w:val="000E3362"/>
    <w:rsid w:val="000E3C1D"/>
    <w:rsid w:val="000E3DD8"/>
    <w:rsid w:val="000E3DFB"/>
    <w:rsid w:val="000E5EA1"/>
    <w:rsid w:val="000E6618"/>
    <w:rsid w:val="000E681E"/>
    <w:rsid w:val="000E696B"/>
    <w:rsid w:val="000E7904"/>
    <w:rsid w:val="000E79D7"/>
    <w:rsid w:val="000E7E52"/>
    <w:rsid w:val="000E7E90"/>
    <w:rsid w:val="000E7EB5"/>
    <w:rsid w:val="000E7FE6"/>
    <w:rsid w:val="000EE1C7"/>
    <w:rsid w:val="000F0003"/>
    <w:rsid w:val="000F1CC2"/>
    <w:rsid w:val="000F211F"/>
    <w:rsid w:val="000F2327"/>
    <w:rsid w:val="000F3384"/>
    <w:rsid w:val="000F3438"/>
    <w:rsid w:val="000F46BE"/>
    <w:rsid w:val="000F4E6A"/>
    <w:rsid w:val="000F63C6"/>
    <w:rsid w:val="000F6ABB"/>
    <w:rsid w:val="000F6FD8"/>
    <w:rsid w:val="000F7354"/>
    <w:rsid w:val="000F7689"/>
    <w:rsid w:val="000F7C27"/>
    <w:rsid w:val="00100A49"/>
    <w:rsid w:val="00101ABE"/>
    <w:rsid w:val="00101DE0"/>
    <w:rsid w:val="00102202"/>
    <w:rsid w:val="0010259F"/>
    <w:rsid w:val="00102700"/>
    <w:rsid w:val="00102A78"/>
    <w:rsid w:val="00103118"/>
    <w:rsid w:val="001031AE"/>
    <w:rsid w:val="001031EE"/>
    <w:rsid w:val="00103F1B"/>
    <w:rsid w:val="00104227"/>
    <w:rsid w:val="001053D5"/>
    <w:rsid w:val="001064D5"/>
    <w:rsid w:val="00107409"/>
    <w:rsid w:val="001107BF"/>
    <w:rsid w:val="00110DB3"/>
    <w:rsid w:val="001117AC"/>
    <w:rsid w:val="001119AE"/>
    <w:rsid w:val="00111F92"/>
    <w:rsid w:val="00113649"/>
    <w:rsid w:val="00113D5C"/>
    <w:rsid w:val="001143E4"/>
    <w:rsid w:val="00115921"/>
    <w:rsid w:val="00115B9A"/>
    <w:rsid w:val="00116B03"/>
    <w:rsid w:val="00117E5F"/>
    <w:rsid w:val="00120AA6"/>
    <w:rsid w:val="00122EB7"/>
    <w:rsid w:val="001239DB"/>
    <w:rsid w:val="0012417C"/>
    <w:rsid w:val="00124BF2"/>
    <w:rsid w:val="00125837"/>
    <w:rsid w:val="0012597F"/>
    <w:rsid w:val="00126190"/>
    <w:rsid w:val="00126B19"/>
    <w:rsid w:val="00126C77"/>
    <w:rsid w:val="00126D3A"/>
    <w:rsid w:val="00126E7B"/>
    <w:rsid w:val="00127007"/>
    <w:rsid w:val="0012749D"/>
    <w:rsid w:val="00127A23"/>
    <w:rsid w:val="001306A5"/>
    <w:rsid w:val="00130918"/>
    <w:rsid w:val="001311AE"/>
    <w:rsid w:val="001312E2"/>
    <w:rsid w:val="00131827"/>
    <w:rsid w:val="001347CB"/>
    <w:rsid w:val="00134994"/>
    <w:rsid w:val="00134E5F"/>
    <w:rsid w:val="00134E91"/>
    <w:rsid w:val="00135765"/>
    <w:rsid w:val="0013639A"/>
    <w:rsid w:val="001366C2"/>
    <w:rsid w:val="00136C17"/>
    <w:rsid w:val="00140227"/>
    <w:rsid w:val="00140B74"/>
    <w:rsid w:val="00140CFC"/>
    <w:rsid w:val="00140D94"/>
    <w:rsid w:val="001414E9"/>
    <w:rsid w:val="001419B4"/>
    <w:rsid w:val="00142395"/>
    <w:rsid w:val="0014250D"/>
    <w:rsid w:val="00142714"/>
    <w:rsid w:val="00144D09"/>
    <w:rsid w:val="00144E06"/>
    <w:rsid w:val="00145007"/>
    <w:rsid w:val="001452ED"/>
    <w:rsid w:val="00147557"/>
    <w:rsid w:val="00147D84"/>
    <w:rsid w:val="001518A8"/>
    <w:rsid w:val="00151CBD"/>
    <w:rsid w:val="00153009"/>
    <w:rsid w:val="001533C3"/>
    <w:rsid w:val="00153476"/>
    <w:rsid w:val="001549C1"/>
    <w:rsid w:val="001556BA"/>
    <w:rsid w:val="00156730"/>
    <w:rsid w:val="00156C8D"/>
    <w:rsid w:val="0015769B"/>
    <w:rsid w:val="00160F4D"/>
    <w:rsid w:val="00162BDD"/>
    <w:rsid w:val="00162D4E"/>
    <w:rsid w:val="00162E32"/>
    <w:rsid w:val="00162FFD"/>
    <w:rsid w:val="00163329"/>
    <w:rsid w:val="00164623"/>
    <w:rsid w:val="001652DE"/>
    <w:rsid w:val="001653EC"/>
    <w:rsid w:val="00165B64"/>
    <w:rsid w:val="00165D2F"/>
    <w:rsid w:val="001661F3"/>
    <w:rsid w:val="001676C5"/>
    <w:rsid w:val="00167917"/>
    <w:rsid w:val="00167C39"/>
    <w:rsid w:val="00170C4D"/>
    <w:rsid w:val="0017319A"/>
    <w:rsid w:val="001737E5"/>
    <w:rsid w:val="00174EA8"/>
    <w:rsid w:val="00174EB8"/>
    <w:rsid w:val="001750D0"/>
    <w:rsid w:val="001756CB"/>
    <w:rsid w:val="00175787"/>
    <w:rsid w:val="00176B9D"/>
    <w:rsid w:val="00177697"/>
    <w:rsid w:val="00177748"/>
    <w:rsid w:val="00180713"/>
    <w:rsid w:val="00180720"/>
    <w:rsid w:val="00180CFB"/>
    <w:rsid w:val="001830CE"/>
    <w:rsid w:val="001836E3"/>
    <w:rsid w:val="00183992"/>
    <w:rsid w:val="00184659"/>
    <w:rsid w:val="001860E5"/>
    <w:rsid w:val="0018643B"/>
    <w:rsid w:val="00186FB8"/>
    <w:rsid w:val="00187322"/>
    <w:rsid w:val="0019189E"/>
    <w:rsid w:val="0019392E"/>
    <w:rsid w:val="00193E3B"/>
    <w:rsid w:val="001941E8"/>
    <w:rsid w:val="00194F81"/>
    <w:rsid w:val="0019566D"/>
    <w:rsid w:val="00195FA6"/>
    <w:rsid w:val="00196307"/>
    <w:rsid w:val="00197C70"/>
    <w:rsid w:val="00197F03"/>
    <w:rsid w:val="001A041A"/>
    <w:rsid w:val="001A098D"/>
    <w:rsid w:val="001A0D10"/>
    <w:rsid w:val="001A1481"/>
    <w:rsid w:val="001A22A2"/>
    <w:rsid w:val="001A33EA"/>
    <w:rsid w:val="001A3615"/>
    <w:rsid w:val="001A3C6D"/>
    <w:rsid w:val="001A3EC3"/>
    <w:rsid w:val="001A4413"/>
    <w:rsid w:val="001A4C4F"/>
    <w:rsid w:val="001A59F3"/>
    <w:rsid w:val="001A5A2B"/>
    <w:rsid w:val="001A76FB"/>
    <w:rsid w:val="001A7FE9"/>
    <w:rsid w:val="001B017F"/>
    <w:rsid w:val="001B0B79"/>
    <w:rsid w:val="001B0C71"/>
    <w:rsid w:val="001B0FAD"/>
    <w:rsid w:val="001B19EA"/>
    <w:rsid w:val="001B1A9F"/>
    <w:rsid w:val="001B2A6E"/>
    <w:rsid w:val="001B2BBC"/>
    <w:rsid w:val="001B2BCD"/>
    <w:rsid w:val="001B3A40"/>
    <w:rsid w:val="001B3EA5"/>
    <w:rsid w:val="001B3F15"/>
    <w:rsid w:val="001B3FFE"/>
    <w:rsid w:val="001B5129"/>
    <w:rsid w:val="001B5413"/>
    <w:rsid w:val="001B57E7"/>
    <w:rsid w:val="001C0B4C"/>
    <w:rsid w:val="001C0EC4"/>
    <w:rsid w:val="001C1195"/>
    <w:rsid w:val="001C12AE"/>
    <w:rsid w:val="001C1E0E"/>
    <w:rsid w:val="001C1E84"/>
    <w:rsid w:val="001C20E1"/>
    <w:rsid w:val="001C2A0F"/>
    <w:rsid w:val="001C2B57"/>
    <w:rsid w:val="001C2E42"/>
    <w:rsid w:val="001C3D11"/>
    <w:rsid w:val="001C3F41"/>
    <w:rsid w:val="001C4200"/>
    <w:rsid w:val="001C44FF"/>
    <w:rsid w:val="001C5E51"/>
    <w:rsid w:val="001D1F5F"/>
    <w:rsid w:val="001D229F"/>
    <w:rsid w:val="001D318E"/>
    <w:rsid w:val="001D3346"/>
    <w:rsid w:val="001D595B"/>
    <w:rsid w:val="001D5E61"/>
    <w:rsid w:val="001D5FE7"/>
    <w:rsid w:val="001D79E4"/>
    <w:rsid w:val="001D7F5A"/>
    <w:rsid w:val="001E06D2"/>
    <w:rsid w:val="001E17C4"/>
    <w:rsid w:val="001E2A47"/>
    <w:rsid w:val="001E2D65"/>
    <w:rsid w:val="001E75C1"/>
    <w:rsid w:val="001F005B"/>
    <w:rsid w:val="001F0266"/>
    <w:rsid w:val="001F08A9"/>
    <w:rsid w:val="001F1158"/>
    <w:rsid w:val="001F1850"/>
    <w:rsid w:val="001F1FBF"/>
    <w:rsid w:val="001F2311"/>
    <w:rsid w:val="001F2B80"/>
    <w:rsid w:val="001F2F1C"/>
    <w:rsid w:val="001F3189"/>
    <w:rsid w:val="001F58C7"/>
    <w:rsid w:val="001F7247"/>
    <w:rsid w:val="00200BEA"/>
    <w:rsid w:val="00201D62"/>
    <w:rsid w:val="00201FB8"/>
    <w:rsid w:val="002036EA"/>
    <w:rsid w:val="00203FAC"/>
    <w:rsid w:val="00205BAB"/>
    <w:rsid w:val="00206E69"/>
    <w:rsid w:val="00210994"/>
    <w:rsid w:val="00211361"/>
    <w:rsid w:val="00212EFE"/>
    <w:rsid w:val="002133FB"/>
    <w:rsid w:val="00213CFB"/>
    <w:rsid w:val="0021553C"/>
    <w:rsid w:val="0021557B"/>
    <w:rsid w:val="00216B87"/>
    <w:rsid w:val="002174FD"/>
    <w:rsid w:val="00217BE1"/>
    <w:rsid w:val="002206D5"/>
    <w:rsid w:val="00221361"/>
    <w:rsid w:val="002214B9"/>
    <w:rsid w:val="00222680"/>
    <w:rsid w:val="00223370"/>
    <w:rsid w:val="00224D1E"/>
    <w:rsid w:val="002257E1"/>
    <w:rsid w:val="00225BE7"/>
    <w:rsid w:val="00226611"/>
    <w:rsid w:val="00227527"/>
    <w:rsid w:val="00227BC5"/>
    <w:rsid w:val="00230F63"/>
    <w:rsid w:val="00230F7D"/>
    <w:rsid w:val="00232743"/>
    <w:rsid w:val="00234252"/>
    <w:rsid w:val="0023466E"/>
    <w:rsid w:val="00236556"/>
    <w:rsid w:val="00237AC6"/>
    <w:rsid w:val="0024025D"/>
    <w:rsid w:val="002418D5"/>
    <w:rsid w:val="002418E7"/>
    <w:rsid w:val="00241FB3"/>
    <w:rsid w:val="00242B64"/>
    <w:rsid w:val="00242BFD"/>
    <w:rsid w:val="0024335D"/>
    <w:rsid w:val="00243B9A"/>
    <w:rsid w:val="00243C66"/>
    <w:rsid w:val="00244139"/>
    <w:rsid w:val="002441E6"/>
    <w:rsid w:val="00244490"/>
    <w:rsid w:val="00244BEC"/>
    <w:rsid w:val="00245444"/>
    <w:rsid w:val="00245B9C"/>
    <w:rsid w:val="00246F74"/>
    <w:rsid w:val="002505BF"/>
    <w:rsid w:val="00250874"/>
    <w:rsid w:val="002515E7"/>
    <w:rsid w:val="00251B85"/>
    <w:rsid w:val="002522C8"/>
    <w:rsid w:val="00252587"/>
    <w:rsid w:val="00252975"/>
    <w:rsid w:val="00253499"/>
    <w:rsid w:val="00254699"/>
    <w:rsid w:val="002551A4"/>
    <w:rsid w:val="002556AA"/>
    <w:rsid w:val="00256C2F"/>
    <w:rsid w:val="00257664"/>
    <w:rsid w:val="00257D6F"/>
    <w:rsid w:val="00260165"/>
    <w:rsid w:val="002601EA"/>
    <w:rsid w:val="002610F0"/>
    <w:rsid w:val="002620DC"/>
    <w:rsid w:val="00262339"/>
    <w:rsid w:val="00265151"/>
    <w:rsid w:val="00265C2C"/>
    <w:rsid w:val="00266509"/>
    <w:rsid w:val="00267098"/>
    <w:rsid w:val="00271BA1"/>
    <w:rsid w:val="00272BEA"/>
    <w:rsid w:val="00272DE5"/>
    <w:rsid w:val="00273AC5"/>
    <w:rsid w:val="00274468"/>
    <w:rsid w:val="002762FA"/>
    <w:rsid w:val="00276A9C"/>
    <w:rsid w:val="00276BE3"/>
    <w:rsid w:val="00277505"/>
    <w:rsid w:val="00277873"/>
    <w:rsid w:val="00277C96"/>
    <w:rsid w:val="0028158C"/>
    <w:rsid w:val="00281F40"/>
    <w:rsid w:val="002823B6"/>
    <w:rsid w:val="00282C55"/>
    <w:rsid w:val="0028516D"/>
    <w:rsid w:val="00287A08"/>
    <w:rsid w:val="00290AA5"/>
    <w:rsid w:val="00290C03"/>
    <w:rsid w:val="00290D15"/>
    <w:rsid w:val="002914FB"/>
    <w:rsid w:val="00292392"/>
    <w:rsid w:val="00292A22"/>
    <w:rsid w:val="00292E3B"/>
    <w:rsid w:val="0029303D"/>
    <w:rsid w:val="002933A8"/>
    <w:rsid w:val="00293C0B"/>
    <w:rsid w:val="00294274"/>
    <w:rsid w:val="0029458F"/>
    <w:rsid w:val="002955D1"/>
    <w:rsid w:val="002959E0"/>
    <w:rsid w:val="00295D04"/>
    <w:rsid w:val="002960F3"/>
    <w:rsid w:val="002962B3"/>
    <w:rsid w:val="00297A63"/>
    <w:rsid w:val="002A018F"/>
    <w:rsid w:val="002A04E7"/>
    <w:rsid w:val="002A0E04"/>
    <w:rsid w:val="002A104C"/>
    <w:rsid w:val="002A1E41"/>
    <w:rsid w:val="002A1EF7"/>
    <w:rsid w:val="002A2B7B"/>
    <w:rsid w:val="002A336F"/>
    <w:rsid w:val="002A39B2"/>
    <w:rsid w:val="002A494D"/>
    <w:rsid w:val="002A4960"/>
    <w:rsid w:val="002A4B44"/>
    <w:rsid w:val="002A4C6F"/>
    <w:rsid w:val="002A5218"/>
    <w:rsid w:val="002A636A"/>
    <w:rsid w:val="002A755F"/>
    <w:rsid w:val="002B0AE0"/>
    <w:rsid w:val="002B0B2B"/>
    <w:rsid w:val="002B1AE6"/>
    <w:rsid w:val="002B1D51"/>
    <w:rsid w:val="002B24AA"/>
    <w:rsid w:val="002B2DE8"/>
    <w:rsid w:val="002B30F8"/>
    <w:rsid w:val="002B388A"/>
    <w:rsid w:val="002B3BCE"/>
    <w:rsid w:val="002B3BFE"/>
    <w:rsid w:val="002B3C1A"/>
    <w:rsid w:val="002B4BB3"/>
    <w:rsid w:val="002B4C2A"/>
    <w:rsid w:val="002B4C8E"/>
    <w:rsid w:val="002B5596"/>
    <w:rsid w:val="002B77D7"/>
    <w:rsid w:val="002C0763"/>
    <w:rsid w:val="002C0A6A"/>
    <w:rsid w:val="002C212F"/>
    <w:rsid w:val="002C2F35"/>
    <w:rsid w:val="002C3F66"/>
    <w:rsid w:val="002C4244"/>
    <w:rsid w:val="002C4A95"/>
    <w:rsid w:val="002C5849"/>
    <w:rsid w:val="002C5850"/>
    <w:rsid w:val="002C6AA9"/>
    <w:rsid w:val="002C7485"/>
    <w:rsid w:val="002D065B"/>
    <w:rsid w:val="002D10E7"/>
    <w:rsid w:val="002D1CE4"/>
    <w:rsid w:val="002D2641"/>
    <w:rsid w:val="002D283A"/>
    <w:rsid w:val="002D2D3B"/>
    <w:rsid w:val="002D3BC4"/>
    <w:rsid w:val="002D4184"/>
    <w:rsid w:val="002D4543"/>
    <w:rsid w:val="002D51DB"/>
    <w:rsid w:val="002D623F"/>
    <w:rsid w:val="002D68C8"/>
    <w:rsid w:val="002D696A"/>
    <w:rsid w:val="002D715F"/>
    <w:rsid w:val="002D7276"/>
    <w:rsid w:val="002D72D6"/>
    <w:rsid w:val="002E022A"/>
    <w:rsid w:val="002E1B0E"/>
    <w:rsid w:val="002E3153"/>
    <w:rsid w:val="002E3585"/>
    <w:rsid w:val="002E3D85"/>
    <w:rsid w:val="002E3FD4"/>
    <w:rsid w:val="002E4473"/>
    <w:rsid w:val="002E49C9"/>
    <w:rsid w:val="002E4A02"/>
    <w:rsid w:val="002E51D3"/>
    <w:rsid w:val="002E5277"/>
    <w:rsid w:val="002E5292"/>
    <w:rsid w:val="002E72CA"/>
    <w:rsid w:val="002E75DD"/>
    <w:rsid w:val="002E7C6F"/>
    <w:rsid w:val="002F1779"/>
    <w:rsid w:val="002F1B2B"/>
    <w:rsid w:val="002F1D07"/>
    <w:rsid w:val="002F2FE8"/>
    <w:rsid w:val="002F3921"/>
    <w:rsid w:val="002F5C5B"/>
    <w:rsid w:val="002F600D"/>
    <w:rsid w:val="002F600E"/>
    <w:rsid w:val="002F6699"/>
    <w:rsid w:val="002F6F0F"/>
    <w:rsid w:val="002F7E47"/>
    <w:rsid w:val="002F7E71"/>
    <w:rsid w:val="003007FA"/>
    <w:rsid w:val="00300AD6"/>
    <w:rsid w:val="00300B1B"/>
    <w:rsid w:val="003019D0"/>
    <w:rsid w:val="003019DE"/>
    <w:rsid w:val="00301BAA"/>
    <w:rsid w:val="00301D19"/>
    <w:rsid w:val="0030311E"/>
    <w:rsid w:val="00303CFE"/>
    <w:rsid w:val="00306311"/>
    <w:rsid w:val="003064AF"/>
    <w:rsid w:val="00307DC6"/>
    <w:rsid w:val="003109BA"/>
    <w:rsid w:val="00310A8B"/>
    <w:rsid w:val="00310A8D"/>
    <w:rsid w:val="00310B68"/>
    <w:rsid w:val="00312469"/>
    <w:rsid w:val="00312AE3"/>
    <w:rsid w:val="003143E8"/>
    <w:rsid w:val="003160D2"/>
    <w:rsid w:val="003173FC"/>
    <w:rsid w:val="00317C6C"/>
    <w:rsid w:val="00317EA9"/>
    <w:rsid w:val="00320B80"/>
    <w:rsid w:val="00320CD3"/>
    <w:rsid w:val="003215FF"/>
    <w:rsid w:val="00321E7E"/>
    <w:rsid w:val="0032208F"/>
    <w:rsid w:val="00322667"/>
    <w:rsid w:val="00322962"/>
    <w:rsid w:val="00325B2E"/>
    <w:rsid w:val="0032607C"/>
    <w:rsid w:val="00326E79"/>
    <w:rsid w:val="00326F25"/>
    <w:rsid w:val="0032748A"/>
    <w:rsid w:val="003301B1"/>
    <w:rsid w:val="00331189"/>
    <w:rsid w:val="00331F9F"/>
    <w:rsid w:val="0033263D"/>
    <w:rsid w:val="00332914"/>
    <w:rsid w:val="00332BE6"/>
    <w:rsid w:val="00333301"/>
    <w:rsid w:val="00334264"/>
    <w:rsid w:val="00334311"/>
    <w:rsid w:val="00334E69"/>
    <w:rsid w:val="0033518A"/>
    <w:rsid w:val="00335535"/>
    <w:rsid w:val="003364DF"/>
    <w:rsid w:val="003367EF"/>
    <w:rsid w:val="003379BB"/>
    <w:rsid w:val="00337AEA"/>
    <w:rsid w:val="00340B1C"/>
    <w:rsid w:val="00341A46"/>
    <w:rsid w:val="00341AE4"/>
    <w:rsid w:val="003425CA"/>
    <w:rsid w:val="003436AD"/>
    <w:rsid w:val="00343FB7"/>
    <w:rsid w:val="003469C5"/>
    <w:rsid w:val="003470E8"/>
    <w:rsid w:val="003476EE"/>
    <w:rsid w:val="003504E5"/>
    <w:rsid w:val="00352F8E"/>
    <w:rsid w:val="00353CFC"/>
    <w:rsid w:val="003541DD"/>
    <w:rsid w:val="00354234"/>
    <w:rsid w:val="00356E5B"/>
    <w:rsid w:val="00360332"/>
    <w:rsid w:val="00360887"/>
    <w:rsid w:val="0036249F"/>
    <w:rsid w:val="003626D5"/>
    <w:rsid w:val="00362BC4"/>
    <w:rsid w:val="0036588E"/>
    <w:rsid w:val="00365E81"/>
    <w:rsid w:val="00365EB7"/>
    <w:rsid w:val="0036718C"/>
    <w:rsid w:val="0037063B"/>
    <w:rsid w:val="00371246"/>
    <w:rsid w:val="0037182D"/>
    <w:rsid w:val="003736C9"/>
    <w:rsid w:val="00373936"/>
    <w:rsid w:val="00373CAA"/>
    <w:rsid w:val="00374845"/>
    <w:rsid w:val="00376510"/>
    <w:rsid w:val="00380995"/>
    <w:rsid w:val="0038193C"/>
    <w:rsid w:val="00383936"/>
    <w:rsid w:val="00383B77"/>
    <w:rsid w:val="003842F6"/>
    <w:rsid w:val="00384988"/>
    <w:rsid w:val="003865C8"/>
    <w:rsid w:val="003872CF"/>
    <w:rsid w:val="003874CB"/>
    <w:rsid w:val="00387D05"/>
    <w:rsid w:val="00391322"/>
    <w:rsid w:val="00392324"/>
    <w:rsid w:val="00393B75"/>
    <w:rsid w:val="00395654"/>
    <w:rsid w:val="00395E47"/>
    <w:rsid w:val="00396E08"/>
    <w:rsid w:val="003970DD"/>
    <w:rsid w:val="0039782C"/>
    <w:rsid w:val="00397F98"/>
    <w:rsid w:val="003A13A6"/>
    <w:rsid w:val="003A2165"/>
    <w:rsid w:val="003A226B"/>
    <w:rsid w:val="003A2C1A"/>
    <w:rsid w:val="003A3AF3"/>
    <w:rsid w:val="003A3FD4"/>
    <w:rsid w:val="003A586A"/>
    <w:rsid w:val="003A5B4A"/>
    <w:rsid w:val="003A5BD5"/>
    <w:rsid w:val="003A5D95"/>
    <w:rsid w:val="003A6510"/>
    <w:rsid w:val="003A6E06"/>
    <w:rsid w:val="003A74E2"/>
    <w:rsid w:val="003A7A9F"/>
    <w:rsid w:val="003B05E5"/>
    <w:rsid w:val="003B0D3A"/>
    <w:rsid w:val="003B2302"/>
    <w:rsid w:val="003B23C5"/>
    <w:rsid w:val="003B2A75"/>
    <w:rsid w:val="003B2A9E"/>
    <w:rsid w:val="003B49B2"/>
    <w:rsid w:val="003B52A2"/>
    <w:rsid w:val="003B6124"/>
    <w:rsid w:val="003B7960"/>
    <w:rsid w:val="003B7B3A"/>
    <w:rsid w:val="003C0908"/>
    <w:rsid w:val="003C093A"/>
    <w:rsid w:val="003C1ECF"/>
    <w:rsid w:val="003C2BA4"/>
    <w:rsid w:val="003C2FB5"/>
    <w:rsid w:val="003C52B7"/>
    <w:rsid w:val="003C5F76"/>
    <w:rsid w:val="003C745A"/>
    <w:rsid w:val="003C7D36"/>
    <w:rsid w:val="003D0C56"/>
    <w:rsid w:val="003D24C5"/>
    <w:rsid w:val="003D30EB"/>
    <w:rsid w:val="003D39F5"/>
    <w:rsid w:val="003D3B3B"/>
    <w:rsid w:val="003D4594"/>
    <w:rsid w:val="003D4AC4"/>
    <w:rsid w:val="003D4B51"/>
    <w:rsid w:val="003D5433"/>
    <w:rsid w:val="003D62BC"/>
    <w:rsid w:val="003D63B7"/>
    <w:rsid w:val="003D74C5"/>
    <w:rsid w:val="003D7977"/>
    <w:rsid w:val="003D7B57"/>
    <w:rsid w:val="003E3E2E"/>
    <w:rsid w:val="003E4374"/>
    <w:rsid w:val="003E468B"/>
    <w:rsid w:val="003E62BD"/>
    <w:rsid w:val="003E658D"/>
    <w:rsid w:val="003F01EB"/>
    <w:rsid w:val="003F044F"/>
    <w:rsid w:val="003F0C3A"/>
    <w:rsid w:val="003F15F0"/>
    <w:rsid w:val="003F2A60"/>
    <w:rsid w:val="003F2AD9"/>
    <w:rsid w:val="003F3228"/>
    <w:rsid w:val="003F5C8C"/>
    <w:rsid w:val="003F63CE"/>
    <w:rsid w:val="003F7135"/>
    <w:rsid w:val="003F775A"/>
    <w:rsid w:val="00400042"/>
    <w:rsid w:val="00400E55"/>
    <w:rsid w:val="0040128E"/>
    <w:rsid w:val="004012A9"/>
    <w:rsid w:val="00401640"/>
    <w:rsid w:val="0040216B"/>
    <w:rsid w:val="0040216D"/>
    <w:rsid w:val="00403212"/>
    <w:rsid w:val="00404852"/>
    <w:rsid w:val="004048C3"/>
    <w:rsid w:val="00405299"/>
    <w:rsid w:val="0040590E"/>
    <w:rsid w:val="00406195"/>
    <w:rsid w:val="00406A76"/>
    <w:rsid w:val="004077E6"/>
    <w:rsid w:val="00407CC8"/>
    <w:rsid w:val="00411D3A"/>
    <w:rsid w:val="004134E4"/>
    <w:rsid w:val="00413EB9"/>
    <w:rsid w:val="00414F0C"/>
    <w:rsid w:val="00415CF0"/>
    <w:rsid w:val="00417703"/>
    <w:rsid w:val="00417D75"/>
    <w:rsid w:val="00420400"/>
    <w:rsid w:val="00420F14"/>
    <w:rsid w:val="0042230E"/>
    <w:rsid w:val="00423E78"/>
    <w:rsid w:val="00424122"/>
    <w:rsid w:val="004252EC"/>
    <w:rsid w:val="00425508"/>
    <w:rsid w:val="004265D0"/>
    <w:rsid w:val="00426A75"/>
    <w:rsid w:val="0042705D"/>
    <w:rsid w:val="00427F0C"/>
    <w:rsid w:val="00430D39"/>
    <w:rsid w:val="0043267C"/>
    <w:rsid w:val="004326D0"/>
    <w:rsid w:val="00432EBF"/>
    <w:rsid w:val="00435C2F"/>
    <w:rsid w:val="00440A2E"/>
    <w:rsid w:val="00442C91"/>
    <w:rsid w:val="004436E2"/>
    <w:rsid w:val="00444798"/>
    <w:rsid w:val="00444E9D"/>
    <w:rsid w:val="004465BD"/>
    <w:rsid w:val="00446603"/>
    <w:rsid w:val="00446938"/>
    <w:rsid w:val="00447F25"/>
    <w:rsid w:val="0045019D"/>
    <w:rsid w:val="004509BA"/>
    <w:rsid w:val="0045275E"/>
    <w:rsid w:val="004528FA"/>
    <w:rsid w:val="00452A6C"/>
    <w:rsid w:val="00453833"/>
    <w:rsid w:val="004542A4"/>
    <w:rsid w:val="00455913"/>
    <w:rsid w:val="00455B03"/>
    <w:rsid w:val="00457506"/>
    <w:rsid w:val="00460143"/>
    <w:rsid w:val="004606FC"/>
    <w:rsid w:val="00461A44"/>
    <w:rsid w:val="00462752"/>
    <w:rsid w:val="00462899"/>
    <w:rsid w:val="00462D26"/>
    <w:rsid w:val="004630D8"/>
    <w:rsid w:val="0046368B"/>
    <w:rsid w:val="0046385A"/>
    <w:rsid w:val="00463F20"/>
    <w:rsid w:val="00464039"/>
    <w:rsid w:val="00464C2C"/>
    <w:rsid w:val="00466ADA"/>
    <w:rsid w:val="004671E4"/>
    <w:rsid w:val="0046737B"/>
    <w:rsid w:val="004702BB"/>
    <w:rsid w:val="0047211D"/>
    <w:rsid w:val="0047494B"/>
    <w:rsid w:val="00474A82"/>
    <w:rsid w:val="00475D7A"/>
    <w:rsid w:val="00476245"/>
    <w:rsid w:val="004773C4"/>
    <w:rsid w:val="00477A9B"/>
    <w:rsid w:val="00477F6B"/>
    <w:rsid w:val="004802F8"/>
    <w:rsid w:val="00480CFA"/>
    <w:rsid w:val="00480CFC"/>
    <w:rsid w:val="00482AE4"/>
    <w:rsid w:val="00482BDE"/>
    <w:rsid w:val="00483035"/>
    <w:rsid w:val="00483093"/>
    <w:rsid w:val="0048317A"/>
    <w:rsid w:val="00485083"/>
    <w:rsid w:val="00485940"/>
    <w:rsid w:val="00486C95"/>
    <w:rsid w:val="004877C2"/>
    <w:rsid w:val="00487B5D"/>
    <w:rsid w:val="004904B9"/>
    <w:rsid w:val="004917F4"/>
    <w:rsid w:val="00491EDC"/>
    <w:rsid w:val="004928E1"/>
    <w:rsid w:val="00492D8D"/>
    <w:rsid w:val="00492EA0"/>
    <w:rsid w:val="00493F93"/>
    <w:rsid w:val="00494747"/>
    <w:rsid w:val="00496662"/>
    <w:rsid w:val="00497FAE"/>
    <w:rsid w:val="004A1431"/>
    <w:rsid w:val="004A2484"/>
    <w:rsid w:val="004A2D3E"/>
    <w:rsid w:val="004A378E"/>
    <w:rsid w:val="004A3BC0"/>
    <w:rsid w:val="004A4358"/>
    <w:rsid w:val="004A44EF"/>
    <w:rsid w:val="004A47C5"/>
    <w:rsid w:val="004A51CC"/>
    <w:rsid w:val="004A56ED"/>
    <w:rsid w:val="004A5A85"/>
    <w:rsid w:val="004A6598"/>
    <w:rsid w:val="004A66A2"/>
    <w:rsid w:val="004A71D1"/>
    <w:rsid w:val="004A7C5B"/>
    <w:rsid w:val="004B1231"/>
    <w:rsid w:val="004B1845"/>
    <w:rsid w:val="004B2348"/>
    <w:rsid w:val="004B245C"/>
    <w:rsid w:val="004B2E01"/>
    <w:rsid w:val="004B2E98"/>
    <w:rsid w:val="004B2FAB"/>
    <w:rsid w:val="004B30D3"/>
    <w:rsid w:val="004B3B05"/>
    <w:rsid w:val="004B3ED8"/>
    <w:rsid w:val="004B5640"/>
    <w:rsid w:val="004B5671"/>
    <w:rsid w:val="004B6084"/>
    <w:rsid w:val="004B6F00"/>
    <w:rsid w:val="004B7399"/>
    <w:rsid w:val="004BCF29"/>
    <w:rsid w:val="004C0206"/>
    <w:rsid w:val="004C03D0"/>
    <w:rsid w:val="004C0E53"/>
    <w:rsid w:val="004C1BD7"/>
    <w:rsid w:val="004C1BF2"/>
    <w:rsid w:val="004C239C"/>
    <w:rsid w:val="004C31FE"/>
    <w:rsid w:val="004C347B"/>
    <w:rsid w:val="004C4950"/>
    <w:rsid w:val="004C524C"/>
    <w:rsid w:val="004C5B6D"/>
    <w:rsid w:val="004C5EDD"/>
    <w:rsid w:val="004C5FEC"/>
    <w:rsid w:val="004C5FFA"/>
    <w:rsid w:val="004C691D"/>
    <w:rsid w:val="004C6C07"/>
    <w:rsid w:val="004C78E4"/>
    <w:rsid w:val="004C7E15"/>
    <w:rsid w:val="004C7EC6"/>
    <w:rsid w:val="004C7FE3"/>
    <w:rsid w:val="004D0356"/>
    <w:rsid w:val="004D2CC8"/>
    <w:rsid w:val="004D2CD1"/>
    <w:rsid w:val="004D365C"/>
    <w:rsid w:val="004D4FF6"/>
    <w:rsid w:val="004D5ADD"/>
    <w:rsid w:val="004D5DDE"/>
    <w:rsid w:val="004D6BD1"/>
    <w:rsid w:val="004D7B6C"/>
    <w:rsid w:val="004E08E1"/>
    <w:rsid w:val="004E0CC3"/>
    <w:rsid w:val="004E20A2"/>
    <w:rsid w:val="004E30CE"/>
    <w:rsid w:val="004E5DDA"/>
    <w:rsid w:val="004E63BB"/>
    <w:rsid w:val="004E692D"/>
    <w:rsid w:val="004E7230"/>
    <w:rsid w:val="004E7D87"/>
    <w:rsid w:val="004F0AEE"/>
    <w:rsid w:val="004F1553"/>
    <w:rsid w:val="004F2434"/>
    <w:rsid w:val="004F2553"/>
    <w:rsid w:val="004F28D3"/>
    <w:rsid w:val="004F2C04"/>
    <w:rsid w:val="004F306A"/>
    <w:rsid w:val="004F33D5"/>
    <w:rsid w:val="004F38F6"/>
    <w:rsid w:val="004F52DA"/>
    <w:rsid w:val="004F704F"/>
    <w:rsid w:val="00500A6F"/>
    <w:rsid w:val="00500F94"/>
    <w:rsid w:val="00501554"/>
    <w:rsid w:val="00502AFE"/>
    <w:rsid w:val="00502E64"/>
    <w:rsid w:val="00503AD7"/>
    <w:rsid w:val="00503BAB"/>
    <w:rsid w:val="00503CA5"/>
    <w:rsid w:val="00503E89"/>
    <w:rsid w:val="00504BCF"/>
    <w:rsid w:val="00504E0C"/>
    <w:rsid w:val="00504E13"/>
    <w:rsid w:val="00505A4B"/>
    <w:rsid w:val="00505ACA"/>
    <w:rsid w:val="00505D06"/>
    <w:rsid w:val="005063D5"/>
    <w:rsid w:val="0050645D"/>
    <w:rsid w:val="005109D4"/>
    <w:rsid w:val="00510C55"/>
    <w:rsid w:val="0051133B"/>
    <w:rsid w:val="0051230A"/>
    <w:rsid w:val="00512D6B"/>
    <w:rsid w:val="00512FAE"/>
    <w:rsid w:val="00513755"/>
    <w:rsid w:val="00513C12"/>
    <w:rsid w:val="00513D26"/>
    <w:rsid w:val="005149D2"/>
    <w:rsid w:val="00514CD7"/>
    <w:rsid w:val="005167EC"/>
    <w:rsid w:val="005170DA"/>
    <w:rsid w:val="00517FFC"/>
    <w:rsid w:val="00520D6A"/>
    <w:rsid w:val="00521F9B"/>
    <w:rsid w:val="00522DB6"/>
    <w:rsid w:val="0052423A"/>
    <w:rsid w:val="00524385"/>
    <w:rsid w:val="005246CE"/>
    <w:rsid w:val="0052604B"/>
    <w:rsid w:val="005260B4"/>
    <w:rsid w:val="005264A7"/>
    <w:rsid w:val="0052792D"/>
    <w:rsid w:val="005319B2"/>
    <w:rsid w:val="0053234D"/>
    <w:rsid w:val="00532402"/>
    <w:rsid w:val="00532C74"/>
    <w:rsid w:val="0053319E"/>
    <w:rsid w:val="00533239"/>
    <w:rsid w:val="005336D7"/>
    <w:rsid w:val="00534E2E"/>
    <w:rsid w:val="00534E67"/>
    <w:rsid w:val="00535133"/>
    <w:rsid w:val="00537AD5"/>
    <w:rsid w:val="0054064C"/>
    <w:rsid w:val="00542BBA"/>
    <w:rsid w:val="00544552"/>
    <w:rsid w:val="00544E1B"/>
    <w:rsid w:val="00545130"/>
    <w:rsid w:val="005459C7"/>
    <w:rsid w:val="00545A15"/>
    <w:rsid w:val="00546B36"/>
    <w:rsid w:val="0055286A"/>
    <w:rsid w:val="00553533"/>
    <w:rsid w:val="0055369C"/>
    <w:rsid w:val="00555745"/>
    <w:rsid w:val="005557F2"/>
    <w:rsid w:val="00555EBD"/>
    <w:rsid w:val="0055611F"/>
    <w:rsid w:val="00557D4F"/>
    <w:rsid w:val="00560B3D"/>
    <w:rsid w:val="00560D3E"/>
    <w:rsid w:val="00560EE5"/>
    <w:rsid w:val="0056122E"/>
    <w:rsid w:val="005632E2"/>
    <w:rsid w:val="00563352"/>
    <w:rsid w:val="0056404C"/>
    <w:rsid w:val="0056484E"/>
    <w:rsid w:val="00564DFE"/>
    <w:rsid w:val="00565342"/>
    <w:rsid w:val="00565999"/>
    <w:rsid w:val="00566C00"/>
    <w:rsid w:val="00566CF2"/>
    <w:rsid w:val="005675D0"/>
    <w:rsid w:val="00567D8A"/>
    <w:rsid w:val="00567EC2"/>
    <w:rsid w:val="00570231"/>
    <w:rsid w:val="005714B7"/>
    <w:rsid w:val="00571C23"/>
    <w:rsid w:val="00574AEA"/>
    <w:rsid w:val="005750E9"/>
    <w:rsid w:val="005764CD"/>
    <w:rsid w:val="00576FB6"/>
    <w:rsid w:val="0057703E"/>
    <w:rsid w:val="005772AB"/>
    <w:rsid w:val="00577ADE"/>
    <w:rsid w:val="00577C4D"/>
    <w:rsid w:val="00580412"/>
    <w:rsid w:val="00580532"/>
    <w:rsid w:val="00581408"/>
    <w:rsid w:val="005815C9"/>
    <w:rsid w:val="00581932"/>
    <w:rsid w:val="005823B3"/>
    <w:rsid w:val="00582588"/>
    <w:rsid w:val="00583002"/>
    <w:rsid w:val="00583565"/>
    <w:rsid w:val="005843C9"/>
    <w:rsid w:val="005843EC"/>
    <w:rsid w:val="005856E2"/>
    <w:rsid w:val="00586122"/>
    <w:rsid w:val="00586C95"/>
    <w:rsid w:val="00587973"/>
    <w:rsid w:val="005903BB"/>
    <w:rsid w:val="00593893"/>
    <w:rsid w:val="00593A7B"/>
    <w:rsid w:val="00594060"/>
    <w:rsid w:val="0059461C"/>
    <w:rsid w:val="005948B0"/>
    <w:rsid w:val="00595BFD"/>
    <w:rsid w:val="005963BB"/>
    <w:rsid w:val="0059645C"/>
    <w:rsid w:val="00596BB8"/>
    <w:rsid w:val="00596D37"/>
    <w:rsid w:val="00597786"/>
    <w:rsid w:val="005A0117"/>
    <w:rsid w:val="005A046D"/>
    <w:rsid w:val="005A1137"/>
    <w:rsid w:val="005A15D2"/>
    <w:rsid w:val="005A233E"/>
    <w:rsid w:val="005A2782"/>
    <w:rsid w:val="005A2AC2"/>
    <w:rsid w:val="005A2BD0"/>
    <w:rsid w:val="005A3173"/>
    <w:rsid w:val="005A3223"/>
    <w:rsid w:val="005A33E5"/>
    <w:rsid w:val="005A3927"/>
    <w:rsid w:val="005A3DA3"/>
    <w:rsid w:val="005A52C4"/>
    <w:rsid w:val="005A55CE"/>
    <w:rsid w:val="005A63A1"/>
    <w:rsid w:val="005B0486"/>
    <w:rsid w:val="005B1032"/>
    <w:rsid w:val="005B1473"/>
    <w:rsid w:val="005B2383"/>
    <w:rsid w:val="005B2563"/>
    <w:rsid w:val="005B2827"/>
    <w:rsid w:val="005B36FA"/>
    <w:rsid w:val="005B4C47"/>
    <w:rsid w:val="005B575D"/>
    <w:rsid w:val="005B6AE0"/>
    <w:rsid w:val="005B7E20"/>
    <w:rsid w:val="005C2599"/>
    <w:rsid w:val="005C4F73"/>
    <w:rsid w:val="005D010F"/>
    <w:rsid w:val="005D03AB"/>
    <w:rsid w:val="005D0B03"/>
    <w:rsid w:val="005D401D"/>
    <w:rsid w:val="005D4B18"/>
    <w:rsid w:val="005D5017"/>
    <w:rsid w:val="005D5708"/>
    <w:rsid w:val="005D5CC7"/>
    <w:rsid w:val="005D60AA"/>
    <w:rsid w:val="005D613B"/>
    <w:rsid w:val="005D63FA"/>
    <w:rsid w:val="005D643D"/>
    <w:rsid w:val="005D6B78"/>
    <w:rsid w:val="005D73C7"/>
    <w:rsid w:val="005E0050"/>
    <w:rsid w:val="005E0C2D"/>
    <w:rsid w:val="005E0D82"/>
    <w:rsid w:val="005E0F59"/>
    <w:rsid w:val="005E1333"/>
    <w:rsid w:val="005E14A8"/>
    <w:rsid w:val="005E2C19"/>
    <w:rsid w:val="005E3136"/>
    <w:rsid w:val="005E36A6"/>
    <w:rsid w:val="005E3CDA"/>
    <w:rsid w:val="005E4415"/>
    <w:rsid w:val="005E507D"/>
    <w:rsid w:val="005E5547"/>
    <w:rsid w:val="005E558C"/>
    <w:rsid w:val="005E6532"/>
    <w:rsid w:val="005E7622"/>
    <w:rsid w:val="005F0AD0"/>
    <w:rsid w:val="005F0C3F"/>
    <w:rsid w:val="005F1B2C"/>
    <w:rsid w:val="005F2A0E"/>
    <w:rsid w:val="005F2ABB"/>
    <w:rsid w:val="005F3BC8"/>
    <w:rsid w:val="005F6EAF"/>
    <w:rsid w:val="006000FC"/>
    <w:rsid w:val="00600824"/>
    <w:rsid w:val="00600A18"/>
    <w:rsid w:val="006010A8"/>
    <w:rsid w:val="00601A91"/>
    <w:rsid w:val="00602063"/>
    <w:rsid w:val="00602BA3"/>
    <w:rsid w:val="00605B63"/>
    <w:rsid w:val="00605F9A"/>
    <w:rsid w:val="00606442"/>
    <w:rsid w:val="00606A7B"/>
    <w:rsid w:val="00606E58"/>
    <w:rsid w:val="00606EED"/>
    <w:rsid w:val="00607DDB"/>
    <w:rsid w:val="00611D24"/>
    <w:rsid w:val="006123B9"/>
    <w:rsid w:val="00612A95"/>
    <w:rsid w:val="00612E34"/>
    <w:rsid w:val="006139BB"/>
    <w:rsid w:val="00614159"/>
    <w:rsid w:val="006144D7"/>
    <w:rsid w:val="006158A3"/>
    <w:rsid w:val="00615960"/>
    <w:rsid w:val="00615975"/>
    <w:rsid w:val="00616C5F"/>
    <w:rsid w:val="00616DAC"/>
    <w:rsid w:val="00616EEA"/>
    <w:rsid w:val="00617725"/>
    <w:rsid w:val="00617C00"/>
    <w:rsid w:val="00621166"/>
    <w:rsid w:val="006212F1"/>
    <w:rsid w:val="00621D41"/>
    <w:rsid w:val="006224B1"/>
    <w:rsid w:val="0062316F"/>
    <w:rsid w:val="006241E3"/>
    <w:rsid w:val="00624574"/>
    <w:rsid w:val="00624586"/>
    <w:rsid w:val="0062459F"/>
    <w:rsid w:val="006256B9"/>
    <w:rsid w:val="00625923"/>
    <w:rsid w:val="00625CED"/>
    <w:rsid w:val="006263BF"/>
    <w:rsid w:val="00626BA2"/>
    <w:rsid w:val="0062748A"/>
    <w:rsid w:val="00627796"/>
    <w:rsid w:val="00630546"/>
    <w:rsid w:val="00630A2C"/>
    <w:rsid w:val="00631FB4"/>
    <w:rsid w:val="00632180"/>
    <w:rsid w:val="00632480"/>
    <w:rsid w:val="006324A5"/>
    <w:rsid w:val="0063256F"/>
    <w:rsid w:val="00633EA5"/>
    <w:rsid w:val="00634A75"/>
    <w:rsid w:val="00635CC9"/>
    <w:rsid w:val="0063682E"/>
    <w:rsid w:val="00636D93"/>
    <w:rsid w:val="00640088"/>
    <w:rsid w:val="00640D16"/>
    <w:rsid w:val="0064127F"/>
    <w:rsid w:val="006418EE"/>
    <w:rsid w:val="00642672"/>
    <w:rsid w:val="00642DA8"/>
    <w:rsid w:val="00643401"/>
    <w:rsid w:val="006436CD"/>
    <w:rsid w:val="006476B3"/>
    <w:rsid w:val="00650976"/>
    <w:rsid w:val="00651169"/>
    <w:rsid w:val="006512E7"/>
    <w:rsid w:val="006529D9"/>
    <w:rsid w:val="006534B1"/>
    <w:rsid w:val="00653B54"/>
    <w:rsid w:val="00653D69"/>
    <w:rsid w:val="006552E6"/>
    <w:rsid w:val="00655794"/>
    <w:rsid w:val="00655D4F"/>
    <w:rsid w:val="00656491"/>
    <w:rsid w:val="00656F2F"/>
    <w:rsid w:val="006578D2"/>
    <w:rsid w:val="00657C63"/>
    <w:rsid w:val="006602FA"/>
    <w:rsid w:val="00660C9B"/>
    <w:rsid w:val="00661CBC"/>
    <w:rsid w:val="00662B85"/>
    <w:rsid w:val="00663A37"/>
    <w:rsid w:val="00663EE9"/>
    <w:rsid w:val="00664987"/>
    <w:rsid w:val="006670B3"/>
    <w:rsid w:val="006670BE"/>
    <w:rsid w:val="00670A76"/>
    <w:rsid w:val="006711AA"/>
    <w:rsid w:val="00672B57"/>
    <w:rsid w:val="00673F1F"/>
    <w:rsid w:val="00675622"/>
    <w:rsid w:val="00675DEB"/>
    <w:rsid w:val="0067627C"/>
    <w:rsid w:val="006762FB"/>
    <w:rsid w:val="0067724C"/>
    <w:rsid w:val="0067747D"/>
    <w:rsid w:val="00680372"/>
    <w:rsid w:val="006818D5"/>
    <w:rsid w:val="00681CA4"/>
    <w:rsid w:val="006820F7"/>
    <w:rsid w:val="00683EE5"/>
    <w:rsid w:val="00685CEF"/>
    <w:rsid w:val="00686559"/>
    <w:rsid w:val="0069039D"/>
    <w:rsid w:val="006906DB"/>
    <w:rsid w:val="00691900"/>
    <w:rsid w:val="00691A2C"/>
    <w:rsid w:val="00691AA7"/>
    <w:rsid w:val="00691E6C"/>
    <w:rsid w:val="00692265"/>
    <w:rsid w:val="00692641"/>
    <w:rsid w:val="00692FC6"/>
    <w:rsid w:val="00693425"/>
    <w:rsid w:val="0069342D"/>
    <w:rsid w:val="00693DFB"/>
    <w:rsid w:val="00694E39"/>
    <w:rsid w:val="00694FD5"/>
    <w:rsid w:val="0069501D"/>
    <w:rsid w:val="00695FE0"/>
    <w:rsid w:val="00696129"/>
    <w:rsid w:val="00696B12"/>
    <w:rsid w:val="00697CF2"/>
    <w:rsid w:val="006A12A5"/>
    <w:rsid w:val="006A2515"/>
    <w:rsid w:val="006A309A"/>
    <w:rsid w:val="006A4038"/>
    <w:rsid w:val="006A40B5"/>
    <w:rsid w:val="006A4D6E"/>
    <w:rsid w:val="006A5431"/>
    <w:rsid w:val="006A572D"/>
    <w:rsid w:val="006A5E20"/>
    <w:rsid w:val="006A68AA"/>
    <w:rsid w:val="006A69EB"/>
    <w:rsid w:val="006A7642"/>
    <w:rsid w:val="006A771F"/>
    <w:rsid w:val="006A7DB2"/>
    <w:rsid w:val="006B0D94"/>
    <w:rsid w:val="006B16B6"/>
    <w:rsid w:val="006B461B"/>
    <w:rsid w:val="006B485D"/>
    <w:rsid w:val="006B4A94"/>
    <w:rsid w:val="006B5ACF"/>
    <w:rsid w:val="006B5BBB"/>
    <w:rsid w:val="006B5DFF"/>
    <w:rsid w:val="006B6C8B"/>
    <w:rsid w:val="006B7075"/>
    <w:rsid w:val="006B7103"/>
    <w:rsid w:val="006B7DDA"/>
    <w:rsid w:val="006C0C45"/>
    <w:rsid w:val="006C2806"/>
    <w:rsid w:val="006C334C"/>
    <w:rsid w:val="006C5F92"/>
    <w:rsid w:val="006C6C10"/>
    <w:rsid w:val="006C708E"/>
    <w:rsid w:val="006D14E7"/>
    <w:rsid w:val="006D1E1C"/>
    <w:rsid w:val="006D2E0E"/>
    <w:rsid w:val="006D401B"/>
    <w:rsid w:val="006D4444"/>
    <w:rsid w:val="006D4B7B"/>
    <w:rsid w:val="006D6493"/>
    <w:rsid w:val="006D6EC7"/>
    <w:rsid w:val="006D7B05"/>
    <w:rsid w:val="006D7E45"/>
    <w:rsid w:val="006E0A36"/>
    <w:rsid w:val="006E1143"/>
    <w:rsid w:val="006E136B"/>
    <w:rsid w:val="006E1BCD"/>
    <w:rsid w:val="006E2732"/>
    <w:rsid w:val="006E39BA"/>
    <w:rsid w:val="006E5436"/>
    <w:rsid w:val="006E5761"/>
    <w:rsid w:val="006E59CD"/>
    <w:rsid w:val="006E5CA8"/>
    <w:rsid w:val="006E7B90"/>
    <w:rsid w:val="006F00ED"/>
    <w:rsid w:val="006F026F"/>
    <w:rsid w:val="006F0A71"/>
    <w:rsid w:val="006F1C6B"/>
    <w:rsid w:val="006F1E2F"/>
    <w:rsid w:val="006F22C9"/>
    <w:rsid w:val="006F2ECE"/>
    <w:rsid w:val="006F40C2"/>
    <w:rsid w:val="006F4BD9"/>
    <w:rsid w:val="006F5125"/>
    <w:rsid w:val="006F531B"/>
    <w:rsid w:val="006F6811"/>
    <w:rsid w:val="006F6D41"/>
    <w:rsid w:val="006F733D"/>
    <w:rsid w:val="006F7458"/>
    <w:rsid w:val="00700765"/>
    <w:rsid w:val="00702959"/>
    <w:rsid w:val="00702B6F"/>
    <w:rsid w:val="007030B4"/>
    <w:rsid w:val="00703B86"/>
    <w:rsid w:val="00704069"/>
    <w:rsid w:val="0070415B"/>
    <w:rsid w:val="00704E05"/>
    <w:rsid w:val="007051C3"/>
    <w:rsid w:val="007053AB"/>
    <w:rsid w:val="00705C74"/>
    <w:rsid w:val="00706A2F"/>
    <w:rsid w:val="0070718E"/>
    <w:rsid w:val="00707E52"/>
    <w:rsid w:val="00710259"/>
    <w:rsid w:val="0071031F"/>
    <w:rsid w:val="00710737"/>
    <w:rsid w:val="00711D09"/>
    <w:rsid w:val="00712F61"/>
    <w:rsid w:val="0071340B"/>
    <w:rsid w:val="00713C50"/>
    <w:rsid w:val="0071436D"/>
    <w:rsid w:val="0071508D"/>
    <w:rsid w:val="00715BBB"/>
    <w:rsid w:val="00716D13"/>
    <w:rsid w:val="00717376"/>
    <w:rsid w:val="007174BB"/>
    <w:rsid w:val="00717F47"/>
    <w:rsid w:val="0072025D"/>
    <w:rsid w:val="007213D0"/>
    <w:rsid w:val="00721615"/>
    <w:rsid w:val="007225AA"/>
    <w:rsid w:val="00723328"/>
    <w:rsid w:val="007237DE"/>
    <w:rsid w:val="00723DF6"/>
    <w:rsid w:val="0072486C"/>
    <w:rsid w:val="0072502E"/>
    <w:rsid w:val="007267C4"/>
    <w:rsid w:val="0072790C"/>
    <w:rsid w:val="00727928"/>
    <w:rsid w:val="0073137C"/>
    <w:rsid w:val="007338F3"/>
    <w:rsid w:val="007340B9"/>
    <w:rsid w:val="00734458"/>
    <w:rsid w:val="007346D8"/>
    <w:rsid w:val="007353D3"/>
    <w:rsid w:val="00735C82"/>
    <w:rsid w:val="00737314"/>
    <w:rsid w:val="0073736F"/>
    <w:rsid w:val="0074156B"/>
    <w:rsid w:val="00741588"/>
    <w:rsid w:val="00741619"/>
    <w:rsid w:val="00742885"/>
    <w:rsid w:val="00744AA2"/>
    <w:rsid w:val="007469FF"/>
    <w:rsid w:val="00747092"/>
    <w:rsid w:val="007477FF"/>
    <w:rsid w:val="00747FAE"/>
    <w:rsid w:val="007503C0"/>
    <w:rsid w:val="007523EE"/>
    <w:rsid w:val="007526E6"/>
    <w:rsid w:val="00754C18"/>
    <w:rsid w:val="00754DF9"/>
    <w:rsid w:val="007555E8"/>
    <w:rsid w:val="00755CC5"/>
    <w:rsid w:val="0075653A"/>
    <w:rsid w:val="007579C1"/>
    <w:rsid w:val="00760DF3"/>
    <w:rsid w:val="00762862"/>
    <w:rsid w:val="0076420C"/>
    <w:rsid w:val="00764369"/>
    <w:rsid w:val="00764428"/>
    <w:rsid w:val="00764C7B"/>
    <w:rsid w:val="0076793F"/>
    <w:rsid w:val="007679EF"/>
    <w:rsid w:val="00767EF8"/>
    <w:rsid w:val="0077098B"/>
    <w:rsid w:val="00771839"/>
    <w:rsid w:val="00771D07"/>
    <w:rsid w:val="00772649"/>
    <w:rsid w:val="00772F5D"/>
    <w:rsid w:val="00773BE3"/>
    <w:rsid w:val="007743DD"/>
    <w:rsid w:val="00774508"/>
    <w:rsid w:val="00774E2C"/>
    <w:rsid w:val="0077503C"/>
    <w:rsid w:val="0077518D"/>
    <w:rsid w:val="007753C2"/>
    <w:rsid w:val="007756C1"/>
    <w:rsid w:val="007758A6"/>
    <w:rsid w:val="00776068"/>
    <w:rsid w:val="007821C4"/>
    <w:rsid w:val="0078312B"/>
    <w:rsid w:val="007838AA"/>
    <w:rsid w:val="007838B8"/>
    <w:rsid w:val="0078546E"/>
    <w:rsid w:val="00785779"/>
    <w:rsid w:val="00786029"/>
    <w:rsid w:val="0078665C"/>
    <w:rsid w:val="00787FD8"/>
    <w:rsid w:val="007908C1"/>
    <w:rsid w:val="00790D7E"/>
    <w:rsid w:val="007915BA"/>
    <w:rsid w:val="00791844"/>
    <w:rsid w:val="0079250E"/>
    <w:rsid w:val="00792CA4"/>
    <w:rsid w:val="00793BDB"/>
    <w:rsid w:val="00793CE9"/>
    <w:rsid w:val="007942B3"/>
    <w:rsid w:val="0079620C"/>
    <w:rsid w:val="00796667"/>
    <w:rsid w:val="00797068"/>
    <w:rsid w:val="0079759A"/>
    <w:rsid w:val="007979BD"/>
    <w:rsid w:val="007A0EAC"/>
    <w:rsid w:val="007A2549"/>
    <w:rsid w:val="007A3D8E"/>
    <w:rsid w:val="007A4502"/>
    <w:rsid w:val="007A4943"/>
    <w:rsid w:val="007A5C88"/>
    <w:rsid w:val="007A6A2F"/>
    <w:rsid w:val="007A6FC7"/>
    <w:rsid w:val="007A7EE0"/>
    <w:rsid w:val="007B024E"/>
    <w:rsid w:val="007B11C9"/>
    <w:rsid w:val="007B1BC0"/>
    <w:rsid w:val="007B3BAF"/>
    <w:rsid w:val="007B3CA9"/>
    <w:rsid w:val="007B3DDC"/>
    <w:rsid w:val="007B4013"/>
    <w:rsid w:val="007B72A6"/>
    <w:rsid w:val="007B7EC4"/>
    <w:rsid w:val="007C06D2"/>
    <w:rsid w:val="007C08E0"/>
    <w:rsid w:val="007C0B91"/>
    <w:rsid w:val="007C0D69"/>
    <w:rsid w:val="007C0F57"/>
    <w:rsid w:val="007C1CA9"/>
    <w:rsid w:val="007C290C"/>
    <w:rsid w:val="007C2F4B"/>
    <w:rsid w:val="007C40B6"/>
    <w:rsid w:val="007C42BF"/>
    <w:rsid w:val="007C5975"/>
    <w:rsid w:val="007C729F"/>
    <w:rsid w:val="007C72AD"/>
    <w:rsid w:val="007C7CA8"/>
    <w:rsid w:val="007D0B02"/>
    <w:rsid w:val="007D1A6F"/>
    <w:rsid w:val="007D2BD7"/>
    <w:rsid w:val="007D503D"/>
    <w:rsid w:val="007D50E7"/>
    <w:rsid w:val="007D59E7"/>
    <w:rsid w:val="007D5F2A"/>
    <w:rsid w:val="007D695D"/>
    <w:rsid w:val="007D69BD"/>
    <w:rsid w:val="007E0497"/>
    <w:rsid w:val="007E07AC"/>
    <w:rsid w:val="007E1014"/>
    <w:rsid w:val="007E12F8"/>
    <w:rsid w:val="007E14EB"/>
    <w:rsid w:val="007E1673"/>
    <w:rsid w:val="007E1D28"/>
    <w:rsid w:val="007E2BC1"/>
    <w:rsid w:val="007E4564"/>
    <w:rsid w:val="007E490F"/>
    <w:rsid w:val="007E6533"/>
    <w:rsid w:val="007E765A"/>
    <w:rsid w:val="007E7E53"/>
    <w:rsid w:val="007F0021"/>
    <w:rsid w:val="007F0E48"/>
    <w:rsid w:val="007F1007"/>
    <w:rsid w:val="007F143A"/>
    <w:rsid w:val="007F1450"/>
    <w:rsid w:val="007F2641"/>
    <w:rsid w:val="007F2FDA"/>
    <w:rsid w:val="007F3C81"/>
    <w:rsid w:val="007F4412"/>
    <w:rsid w:val="007F5B76"/>
    <w:rsid w:val="007F7C36"/>
    <w:rsid w:val="007F7C46"/>
    <w:rsid w:val="007F7F45"/>
    <w:rsid w:val="0080001F"/>
    <w:rsid w:val="00801958"/>
    <w:rsid w:val="00801CCF"/>
    <w:rsid w:val="00802737"/>
    <w:rsid w:val="00803EA6"/>
    <w:rsid w:val="008055AF"/>
    <w:rsid w:val="008057CD"/>
    <w:rsid w:val="00805A54"/>
    <w:rsid w:val="008066B8"/>
    <w:rsid w:val="00806796"/>
    <w:rsid w:val="00806C2E"/>
    <w:rsid w:val="00807093"/>
    <w:rsid w:val="00807488"/>
    <w:rsid w:val="00810167"/>
    <w:rsid w:val="008104D0"/>
    <w:rsid w:val="008114D3"/>
    <w:rsid w:val="00811CC0"/>
    <w:rsid w:val="0081218E"/>
    <w:rsid w:val="0081333C"/>
    <w:rsid w:val="0081369E"/>
    <w:rsid w:val="008138D3"/>
    <w:rsid w:val="00814276"/>
    <w:rsid w:val="008151D6"/>
    <w:rsid w:val="008154EF"/>
    <w:rsid w:val="00816322"/>
    <w:rsid w:val="00816396"/>
    <w:rsid w:val="00816796"/>
    <w:rsid w:val="00816920"/>
    <w:rsid w:val="00816D6B"/>
    <w:rsid w:val="00817305"/>
    <w:rsid w:val="008175B5"/>
    <w:rsid w:val="00820803"/>
    <w:rsid w:val="00821527"/>
    <w:rsid w:val="00822162"/>
    <w:rsid w:val="0082232D"/>
    <w:rsid w:val="008225CE"/>
    <w:rsid w:val="00822677"/>
    <w:rsid w:val="00822696"/>
    <w:rsid w:val="00822698"/>
    <w:rsid w:val="00823549"/>
    <w:rsid w:val="008248E5"/>
    <w:rsid w:val="00825A6C"/>
    <w:rsid w:val="0082617E"/>
    <w:rsid w:val="008268BB"/>
    <w:rsid w:val="00826A0B"/>
    <w:rsid w:val="00826F6D"/>
    <w:rsid w:val="00827097"/>
    <w:rsid w:val="008306F3"/>
    <w:rsid w:val="00830E40"/>
    <w:rsid w:val="00831016"/>
    <w:rsid w:val="00831841"/>
    <w:rsid w:val="00831B88"/>
    <w:rsid w:val="00832D9A"/>
    <w:rsid w:val="00834E7E"/>
    <w:rsid w:val="00835C62"/>
    <w:rsid w:val="0083680B"/>
    <w:rsid w:val="00836888"/>
    <w:rsid w:val="008368A1"/>
    <w:rsid w:val="00837B7F"/>
    <w:rsid w:val="008405A6"/>
    <w:rsid w:val="00840EF7"/>
    <w:rsid w:val="00841CB2"/>
    <w:rsid w:val="008440B1"/>
    <w:rsid w:val="00844C0A"/>
    <w:rsid w:val="008454A6"/>
    <w:rsid w:val="00846056"/>
    <w:rsid w:val="00846703"/>
    <w:rsid w:val="0084681F"/>
    <w:rsid w:val="00847D08"/>
    <w:rsid w:val="00847EC0"/>
    <w:rsid w:val="0085037E"/>
    <w:rsid w:val="00850AB0"/>
    <w:rsid w:val="0085147E"/>
    <w:rsid w:val="00854506"/>
    <w:rsid w:val="008548C0"/>
    <w:rsid w:val="00854AC0"/>
    <w:rsid w:val="00854F87"/>
    <w:rsid w:val="00855FD6"/>
    <w:rsid w:val="00856DDD"/>
    <w:rsid w:val="00860233"/>
    <w:rsid w:val="00860836"/>
    <w:rsid w:val="00861B35"/>
    <w:rsid w:val="00863E68"/>
    <w:rsid w:val="00863E6B"/>
    <w:rsid w:val="008647B5"/>
    <w:rsid w:val="00864A11"/>
    <w:rsid w:val="00867D64"/>
    <w:rsid w:val="00867D85"/>
    <w:rsid w:val="00871C1A"/>
    <w:rsid w:val="00872E8F"/>
    <w:rsid w:val="00873732"/>
    <w:rsid w:val="00873EBA"/>
    <w:rsid w:val="008749B1"/>
    <w:rsid w:val="00875DCB"/>
    <w:rsid w:val="00876FBF"/>
    <w:rsid w:val="0087755A"/>
    <w:rsid w:val="0088099F"/>
    <w:rsid w:val="00882085"/>
    <w:rsid w:val="0088281B"/>
    <w:rsid w:val="00883056"/>
    <w:rsid w:val="00883188"/>
    <w:rsid w:val="00883593"/>
    <w:rsid w:val="008837BD"/>
    <w:rsid w:val="00884A0C"/>
    <w:rsid w:val="00886ACA"/>
    <w:rsid w:val="00886B01"/>
    <w:rsid w:val="00887FAA"/>
    <w:rsid w:val="0089031E"/>
    <w:rsid w:val="00890EA8"/>
    <w:rsid w:val="0089109A"/>
    <w:rsid w:val="00893738"/>
    <w:rsid w:val="00893D5C"/>
    <w:rsid w:val="0089427D"/>
    <w:rsid w:val="008943C9"/>
    <w:rsid w:val="0089460B"/>
    <w:rsid w:val="008948DE"/>
    <w:rsid w:val="00895841"/>
    <w:rsid w:val="00897D58"/>
    <w:rsid w:val="00897F22"/>
    <w:rsid w:val="008A0B39"/>
    <w:rsid w:val="008A17A3"/>
    <w:rsid w:val="008A1956"/>
    <w:rsid w:val="008A1996"/>
    <w:rsid w:val="008A1C87"/>
    <w:rsid w:val="008A1E85"/>
    <w:rsid w:val="008A2419"/>
    <w:rsid w:val="008A3F99"/>
    <w:rsid w:val="008A40B9"/>
    <w:rsid w:val="008A41BC"/>
    <w:rsid w:val="008A4937"/>
    <w:rsid w:val="008A50F1"/>
    <w:rsid w:val="008A582A"/>
    <w:rsid w:val="008A59D9"/>
    <w:rsid w:val="008A62C0"/>
    <w:rsid w:val="008A63B6"/>
    <w:rsid w:val="008A643E"/>
    <w:rsid w:val="008A6819"/>
    <w:rsid w:val="008A6DF0"/>
    <w:rsid w:val="008A7627"/>
    <w:rsid w:val="008B007A"/>
    <w:rsid w:val="008B0A80"/>
    <w:rsid w:val="008B0C61"/>
    <w:rsid w:val="008B2EC0"/>
    <w:rsid w:val="008B6DCF"/>
    <w:rsid w:val="008C0897"/>
    <w:rsid w:val="008C4085"/>
    <w:rsid w:val="008C4D49"/>
    <w:rsid w:val="008D0531"/>
    <w:rsid w:val="008D0945"/>
    <w:rsid w:val="008D0C16"/>
    <w:rsid w:val="008D1409"/>
    <w:rsid w:val="008D15CC"/>
    <w:rsid w:val="008D1729"/>
    <w:rsid w:val="008D1B5C"/>
    <w:rsid w:val="008D1E0F"/>
    <w:rsid w:val="008D3A17"/>
    <w:rsid w:val="008D3C82"/>
    <w:rsid w:val="008D447E"/>
    <w:rsid w:val="008D6ACF"/>
    <w:rsid w:val="008D708C"/>
    <w:rsid w:val="008D7A41"/>
    <w:rsid w:val="008E039B"/>
    <w:rsid w:val="008E2C72"/>
    <w:rsid w:val="008E3680"/>
    <w:rsid w:val="008E3863"/>
    <w:rsid w:val="008E48D9"/>
    <w:rsid w:val="008E4F87"/>
    <w:rsid w:val="008E5870"/>
    <w:rsid w:val="008E5B0C"/>
    <w:rsid w:val="008E5B25"/>
    <w:rsid w:val="008E77E4"/>
    <w:rsid w:val="008F011D"/>
    <w:rsid w:val="008F0213"/>
    <w:rsid w:val="008F04F2"/>
    <w:rsid w:val="008F07ED"/>
    <w:rsid w:val="008F11F8"/>
    <w:rsid w:val="008F1434"/>
    <w:rsid w:val="008F2569"/>
    <w:rsid w:val="008F2BB9"/>
    <w:rsid w:val="008F3C37"/>
    <w:rsid w:val="008F3D6A"/>
    <w:rsid w:val="008F3E2B"/>
    <w:rsid w:val="008F4235"/>
    <w:rsid w:val="008F51A8"/>
    <w:rsid w:val="008F54C3"/>
    <w:rsid w:val="008F61F6"/>
    <w:rsid w:val="008F6226"/>
    <w:rsid w:val="008F70D7"/>
    <w:rsid w:val="008F7355"/>
    <w:rsid w:val="009009D0"/>
    <w:rsid w:val="0090125F"/>
    <w:rsid w:val="00901AC6"/>
    <w:rsid w:val="009023DC"/>
    <w:rsid w:val="009027C5"/>
    <w:rsid w:val="00903267"/>
    <w:rsid w:val="00904413"/>
    <w:rsid w:val="00906058"/>
    <w:rsid w:val="009067B7"/>
    <w:rsid w:val="00906C9E"/>
    <w:rsid w:val="00906E7A"/>
    <w:rsid w:val="00906E7F"/>
    <w:rsid w:val="0090775A"/>
    <w:rsid w:val="00907987"/>
    <w:rsid w:val="00907DFD"/>
    <w:rsid w:val="00912BA9"/>
    <w:rsid w:val="00912F52"/>
    <w:rsid w:val="009132D8"/>
    <w:rsid w:val="00913C99"/>
    <w:rsid w:val="009149F1"/>
    <w:rsid w:val="009154BA"/>
    <w:rsid w:val="00916EF1"/>
    <w:rsid w:val="00917D69"/>
    <w:rsid w:val="00920B6D"/>
    <w:rsid w:val="009221CE"/>
    <w:rsid w:val="009226E2"/>
    <w:rsid w:val="00923AF5"/>
    <w:rsid w:val="00923F48"/>
    <w:rsid w:val="00924FD9"/>
    <w:rsid w:val="00926560"/>
    <w:rsid w:val="009268CE"/>
    <w:rsid w:val="00926B15"/>
    <w:rsid w:val="00930291"/>
    <w:rsid w:val="00930937"/>
    <w:rsid w:val="00930EF9"/>
    <w:rsid w:val="00931177"/>
    <w:rsid w:val="009324A6"/>
    <w:rsid w:val="00933B7D"/>
    <w:rsid w:val="00933E6C"/>
    <w:rsid w:val="00934CFC"/>
    <w:rsid w:val="00935A6E"/>
    <w:rsid w:val="0093691E"/>
    <w:rsid w:val="00936BBA"/>
    <w:rsid w:val="00937958"/>
    <w:rsid w:val="00940529"/>
    <w:rsid w:val="009406E5"/>
    <w:rsid w:val="00941542"/>
    <w:rsid w:val="00941602"/>
    <w:rsid w:val="00941AF6"/>
    <w:rsid w:val="00942160"/>
    <w:rsid w:val="00942866"/>
    <w:rsid w:val="009448AE"/>
    <w:rsid w:val="00946921"/>
    <w:rsid w:val="0094710F"/>
    <w:rsid w:val="00947343"/>
    <w:rsid w:val="00950585"/>
    <w:rsid w:val="0095146F"/>
    <w:rsid w:val="009515E1"/>
    <w:rsid w:val="00951A79"/>
    <w:rsid w:val="00951F2D"/>
    <w:rsid w:val="00952839"/>
    <w:rsid w:val="0095344C"/>
    <w:rsid w:val="009534C7"/>
    <w:rsid w:val="00957944"/>
    <w:rsid w:val="009602C5"/>
    <w:rsid w:val="0096103A"/>
    <w:rsid w:val="00961FFD"/>
    <w:rsid w:val="00962223"/>
    <w:rsid w:val="0096252B"/>
    <w:rsid w:val="00962698"/>
    <w:rsid w:val="0096274E"/>
    <w:rsid w:val="00962A04"/>
    <w:rsid w:val="00963012"/>
    <w:rsid w:val="009644D9"/>
    <w:rsid w:val="00964A9F"/>
    <w:rsid w:val="0096603B"/>
    <w:rsid w:val="00966D0D"/>
    <w:rsid w:val="009674A2"/>
    <w:rsid w:val="00967732"/>
    <w:rsid w:val="0096783C"/>
    <w:rsid w:val="00970023"/>
    <w:rsid w:val="00970958"/>
    <w:rsid w:val="00970FCA"/>
    <w:rsid w:val="009722B3"/>
    <w:rsid w:val="00972A70"/>
    <w:rsid w:val="00973186"/>
    <w:rsid w:val="00973E24"/>
    <w:rsid w:val="00974C21"/>
    <w:rsid w:val="00974D5F"/>
    <w:rsid w:val="00975948"/>
    <w:rsid w:val="00976E20"/>
    <w:rsid w:val="009772FD"/>
    <w:rsid w:val="00977BF3"/>
    <w:rsid w:val="009803E4"/>
    <w:rsid w:val="00980546"/>
    <w:rsid w:val="00980696"/>
    <w:rsid w:val="00980B0E"/>
    <w:rsid w:val="0098208D"/>
    <w:rsid w:val="009829C6"/>
    <w:rsid w:val="00982AF4"/>
    <w:rsid w:val="00982B39"/>
    <w:rsid w:val="00982D90"/>
    <w:rsid w:val="009831A4"/>
    <w:rsid w:val="009836A3"/>
    <w:rsid w:val="00984C58"/>
    <w:rsid w:val="00985175"/>
    <w:rsid w:val="009855A8"/>
    <w:rsid w:val="0098564B"/>
    <w:rsid w:val="00985814"/>
    <w:rsid w:val="00985CBE"/>
    <w:rsid w:val="00985D1A"/>
    <w:rsid w:val="009867C5"/>
    <w:rsid w:val="00990CF8"/>
    <w:rsid w:val="009913F4"/>
    <w:rsid w:val="00991655"/>
    <w:rsid w:val="00991782"/>
    <w:rsid w:val="00992F51"/>
    <w:rsid w:val="0099371F"/>
    <w:rsid w:val="009937F7"/>
    <w:rsid w:val="0099465B"/>
    <w:rsid w:val="009951A1"/>
    <w:rsid w:val="00995710"/>
    <w:rsid w:val="009958E5"/>
    <w:rsid w:val="00996E7C"/>
    <w:rsid w:val="0099740D"/>
    <w:rsid w:val="00997A44"/>
    <w:rsid w:val="009A0CDD"/>
    <w:rsid w:val="009A1883"/>
    <w:rsid w:val="009A2927"/>
    <w:rsid w:val="009A3168"/>
    <w:rsid w:val="009A3E92"/>
    <w:rsid w:val="009A4621"/>
    <w:rsid w:val="009A4BDF"/>
    <w:rsid w:val="009A5504"/>
    <w:rsid w:val="009A5D04"/>
    <w:rsid w:val="009A61CA"/>
    <w:rsid w:val="009A6934"/>
    <w:rsid w:val="009B0062"/>
    <w:rsid w:val="009B0C64"/>
    <w:rsid w:val="009B0F67"/>
    <w:rsid w:val="009B1195"/>
    <w:rsid w:val="009B133E"/>
    <w:rsid w:val="009B1AA7"/>
    <w:rsid w:val="009B1D77"/>
    <w:rsid w:val="009B208A"/>
    <w:rsid w:val="009B2756"/>
    <w:rsid w:val="009B376D"/>
    <w:rsid w:val="009B3D56"/>
    <w:rsid w:val="009B3F8C"/>
    <w:rsid w:val="009B533B"/>
    <w:rsid w:val="009B5459"/>
    <w:rsid w:val="009B546B"/>
    <w:rsid w:val="009B698A"/>
    <w:rsid w:val="009C0124"/>
    <w:rsid w:val="009C06CB"/>
    <w:rsid w:val="009C1012"/>
    <w:rsid w:val="009C22CB"/>
    <w:rsid w:val="009C26AA"/>
    <w:rsid w:val="009C31BF"/>
    <w:rsid w:val="009C39AA"/>
    <w:rsid w:val="009C3EE6"/>
    <w:rsid w:val="009C45D3"/>
    <w:rsid w:val="009C45FC"/>
    <w:rsid w:val="009C48DE"/>
    <w:rsid w:val="009C703C"/>
    <w:rsid w:val="009C773E"/>
    <w:rsid w:val="009D0C29"/>
    <w:rsid w:val="009D1BA4"/>
    <w:rsid w:val="009D1D50"/>
    <w:rsid w:val="009D206E"/>
    <w:rsid w:val="009D2F7C"/>
    <w:rsid w:val="009D3CAA"/>
    <w:rsid w:val="009D46A6"/>
    <w:rsid w:val="009D507A"/>
    <w:rsid w:val="009D5409"/>
    <w:rsid w:val="009D6532"/>
    <w:rsid w:val="009D6549"/>
    <w:rsid w:val="009D71FD"/>
    <w:rsid w:val="009E06F0"/>
    <w:rsid w:val="009E0755"/>
    <w:rsid w:val="009E0FB5"/>
    <w:rsid w:val="009E10AD"/>
    <w:rsid w:val="009E18F3"/>
    <w:rsid w:val="009E2360"/>
    <w:rsid w:val="009E2588"/>
    <w:rsid w:val="009E280D"/>
    <w:rsid w:val="009E2E8E"/>
    <w:rsid w:val="009E350E"/>
    <w:rsid w:val="009E40E1"/>
    <w:rsid w:val="009E46BA"/>
    <w:rsid w:val="009E497A"/>
    <w:rsid w:val="009F034E"/>
    <w:rsid w:val="009F0D07"/>
    <w:rsid w:val="009F0EFA"/>
    <w:rsid w:val="009F28F7"/>
    <w:rsid w:val="009F2CD9"/>
    <w:rsid w:val="009F371B"/>
    <w:rsid w:val="009F3AEC"/>
    <w:rsid w:val="009F4E46"/>
    <w:rsid w:val="009F4F71"/>
    <w:rsid w:val="009F52BA"/>
    <w:rsid w:val="009F5B65"/>
    <w:rsid w:val="009F5F2E"/>
    <w:rsid w:val="009F778C"/>
    <w:rsid w:val="009F7F77"/>
    <w:rsid w:val="00A01432"/>
    <w:rsid w:val="00A0167A"/>
    <w:rsid w:val="00A01980"/>
    <w:rsid w:val="00A03AEC"/>
    <w:rsid w:val="00A05075"/>
    <w:rsid w:val="00A06225"/>
    <w:rsid w:val="00A066E6"/>
    <w:rsid w:val="00A0678C"/>
    <w:rsid w:val="00A06913"/>
    <w:rsid w:val="00A07701"/>
    <w:rsid w:val="00A07FD0"/>
    <w:rsid w:val="00A10D64"/>
    <w:rsid w:val="00A110D1"/>
    <w:rsid w:val="00A11858"/>
    <w:rsid w:val="00A11A33"/>
    <w:rsid w:val="00A12587"/>
    <w:rsid w:val="00A128E6"/>
    <w:rsid w:val="00A1334B"/>
    <w:rsid w:val="00A135B2"/>
    <w:rsid w:val="00A1365E"/>
    <w:rsid w:val="00A144D3"/>
    <w:rsid w:val="00A148AE"/>
    <w:rsid w:val="00A15C6A"/>
    <w:rsid w:val="00A170E9"/>
    <w:rsid w:val="00A17DD9"/>
    <w:rsid w:val="00A17EA7"/>
    <w:rsid w:val="00A202EF"/>
    <w:rsid w:val="00A211F1"/>
    <w:rsid w:val="00A214A8"/>
    <w:rsid w:val="00A21D7D"/>
    <w:rsid w:val="00A22AC3"/>
    <w:rsid w:val="00A2351E"/>
    <w:rsid w:val="00A23F3F"/>
    <w:rsid w:val="00A24067"/>
    <w:rsid w:val="00A24A4B"/>
    <w:rsid w:val="00A25F9D"/>
    <w:rsid w:val="00A2744D"/>
    <w:rsid w:val="00A306F6"/>
    <w:rsid w:val="00A30D16"/>
    <w:rsid w:val="00A334AA"/>
    <w:rsid w:val="00A33EB7"/>
    <w:rsid w:val="00A33FC3"/>
    <w:rsid w:val="00A34743"/>
    <w:rsid w:val="00A347FE"/>
    <w:rsid w:val="00A34E6C"/>
    <w:rsid w:val="00A34FD0"/>
    <w:rsid w:val="00A35BD4"/>
    <w:rsid w:val="00A361EA"/>
    <w:rsid w:val="00A36398"/>
    <w:rsid w:val="00A366F2"/>
    <w:rsid w:val="00A3677F"/>
    <w:rsid w:val="00A36CC1"/>
    <w:rsid w:val="00A372D7"/>
    <w:rsid w:val="00A37C34"/>
    <w:rsid w:val="00A37C8D"/>
    <w:rsid w:val="00A4020E"/>
    <w:rsid w:val="00A40493"/>
    <w:rsid w:val="00A408E8"/>
    <w:rsid w:val="00A40FB5"/>
    <w:rsid w:val="00A41874"/>
    <w:rsid w:val="00A42826"/>
    <w:rsid w:val="00A429B3"/>
    <w:rsid w:val="00A4300D"/>
    <w:rsid w:val="00A44DFD"/>
    <w:rsid w:val="00A44EC1"/>
    <w:rsid w:val="00A452C2"/>
    <w:rsid w:val="00A4594D"/>
    <w:rsid w:val="00A45A20"/>
    <w:rsid w:val="00A479FF"/>
    <w:rsid w:val="00A50322"/>
    <w:rsid w:val="00A50387"/>
    <w:rsid w:val="00A510E4"/>
    <w:rsid w:val="00A515A8"/>
    <w:rsid w:val="00A51F8C"/>
    <w:rsid w:val="00A526F7"/>
    <w:rsid w:val="00A5273B"/>
    <w:rsid w:val="00A52E52"/>
    <w:rsid w:val="00A53A9D"/>
    <w:rsid w:val="00A55051"/>
    <w:rsid w:val="00A55F2A"/>
    <w:rsid w:val="00A55FEE"/>
    <w:rsid w:val="00A56304"/>
    <w:rsid w:val="00A56497"/>
    <w:rsid w:val="00A56F3E"/>
    <w:rsid w:val="00A57422"/>
    <w:rsid w:val="00A57970"/>
    <w:rsid w:val="00A62920"/>
    <w:rsid w:val="00A629CB"/>
    <w:rsid w:val="00A62C1A"/>
    <w:rsid w:val="00A62D52"/>
    <w:rsid w:val="00A6351B"/>
    <w:rsid w:val="00A63CA2"/>
    <w:rsid w:val="00A6426D"/>
    <w:rsid w:val="00A6439B"/>
    <w:rsid w:val="00A64D07"/>
    <w:rsid w:val="00A65ADE"/>
    <w:rsid w:val="00A665C1"/>
    <w:rsid w:val="00A673A4"/>
    <w:rsid w:val="00A7001A"/>
    <w:rsid w:val="00A70622"/>
    <w:rsid w:val="00A70977"/>
    <w:rsid w:val="00A70D58"/>
    <w:rsid w:val="00A744F9"/>
    <w:rsid w:val="00A74B4E"/>
    <w:rsid w:val="00A753A1"/>
    <w:rsid w:val="00A7567A"/>
    <w:rsid w:val="00A75AE8"/>
    <w:rsid w:val="00A77613"/>
    <w:rsid w:val="00A77B87"/>
    <w:rsid w:val="00A77E01"/>
    <w:rsid w:val="00A801AD"/>
    <w:rsid w:val="00A8055F"/>
    <w:rsid w:val="00A81348"/>
    <w:rsid w:val="00A816DA"/>
    <w:rsid w:val="00A81851"/>
    <w:rsid w:val="00A8390C"/>
    <w:rsid w:val="00A86AE0"/>
    <w:rsid w:val="00A86FB3"/>
    <w:rsid w:val="00A906FC"/>
    <w:rsid w:val="00A912B0"/>
    <w:rsid w:val="00A91362"/>
    <w:rsid w:val="00A9151C"/>
    <w:rsid w:val="00A916F4"/>
    <w:rsid w:val="00A919C6"/>
    <w:rsid w:val="00A928BD"/>
    <w:rsid w:val="00A92D61"/>
    <w:rsid w:val="00A936B6"/>
    <w:rsid w:val="00A94370"/>
    <w:rsid w:val="00A95113"/>
    <w:rsid w:val="00A969B0"/>
    <w:rsid w:val="00A97498"/>
    <w:rsid w:val="00A97DE9"/>
    <w:rsid w:val="00A97FBD"/>
    <w:rsid w:val="00AA12CD"/>
    <w:rsid w:val="00AA24E9"/>
    <w:rsid w:val="00AA2B02"/>
    <w:rsid w:val="00AA3912"/>
    <w:rsid w:val="00AA471D"/>
    <w:rsid w:val="00AA4D1C"/>
    <w:rsid w:val="00AA5108"/>
    <w:rsid w:val="00AA52FD"/>
    <w:rsid w:val="00AA5D40"/>
    <w:rsid w:val="00AA672A"/>
    <w:rsid w:val="00AA67AC"/>
    <w:rsid w:val="00AA6D80"/>
    <w:rsid w:val="00AA6F10"/>
    <w:rsid w:val="00AA7006"/>
    <w:rsid w:val="00AB07DD"/>
    <w:rsid w:val="00AB1E97"/>
    <w:rsid w:val="00AB3138"/>
    <w:rsid w:val="00AB36DA"/>
    <w:rsid w:val="00AB4684"/>
    <w:rsid w:val="00AB4756"/>
    <w:rsid w:val="00AB5856"/>
    <w:rsid w:val="00AB6A80"/>
    <w:rsid w:val="00AC081D"/>
    <w:rsid w:val="00AC0C6F"/>
    <w:rsid w:val="00AC1266"/>
    <w:rsid w:val="00AC163A"/>
    <w:rsid w:val="00AC193C"/>
    <w:rsid w:val="00AC30C1"/>
    <w:rsid w:val="00AC4AD6"/>
    <w:rsid w:val="00AC4DE5"/>
    <w:rsid w:val="00AC5206"/>
    <w:rsid w:val="00AC5DC1"/>
    <w:rsid w:val="00AC6B25"/>
    <w:rsid w:val="00AD095B"/>
    <w:rsid w:val="00AD3106"/>
    <w:rsid w:val="00AD4322"/>
    <w:rsid w:val="00AD484A"/>
    <w:rsid w:val="00AD4C88"/>
    <w:rsid w:val="00AD577C"/>
    <w:rsid w:val="00AD64F8"/>
    <w:rsid w:val="00AD6719"/>
    <w:rsid w:val="00AE0A63"/>
    <w:rsid w:val="00AE11A5"/>
    <w:rsid w:val="00AE13E2"/>
    <w:rsid w:val="00AE22D3"/>
    <w:rsid w:val="00AE363C"/>
    <w:rsid w:val="00AE40B1"/>
    <w:rsid w:val="00AE439A"/>
    <w:rsid w:val="00AE4A80"/>
    <w:rsid w:val="00AE5088"/>
    <w:rsid w:val="00AE5987"/>
    <w:rsid w:val="00AE5A49"/>
    <w:rsid w:val="00AE5B50"/>
    <w:rsid w:val="00AF0122"/>
    <w:rsid w:val="00AF03E6"/>
    <w:rsid w:val="00AF04F9"/>
    <w:rsid w:val="00AF0FE4"/>
    <w:rsid w:val="00AF11D8"/>
    <w:rsid w:val="00AF17CA"/>
    <w:rsid w:val="00AF1FFB"/>
    <w:rsid w:val="00AF2AC5"/>
    <w:rsid w:val="00AF2F0C"/>
    <w:rsid w:val="00AF2F1C"/>
    <w:rsid w:val="00AF3C7A"/>
    <w:rsid w:val="00AF4442"/>
    <w:rsid w:val="00AF56EB"/>
    <w:rsid w:val="00AF5867"/>
    <w:rsid w:val="00AF6075"/>
    <w:rsid w:val="00AF62DF"/>
    <w:rsid w:val="00AF68CC"/>
    <w:rsid w:val="00AF70D7"/>
    <w:rsid w:val="00AF7B35"/>
    <w:rsid w:val="00B00086"/>
    <w:rsid w:val="00B003A9"/>
    <w:rsid w:val="00B00C08"/>
    <w:rsid w:val="00B00CD0"/>
    <w:rsid w:val="00B00E7F"/>
    <w:rsid w:val="00B01FF4"/>
    <w:rsid w:val="00B02F42"/>
    <w:rsid w:val="00B0326D"/>
    <w:rsid w:val="00B047BA"/>
    <w:rsid w:val="00B04BA2"/>
    <w:rsid w:val="00B06037"/>
    <w:rsid w:val="00B06478"/>
    <w:rsid w:val="00B07533"/>
    <w:rsid w:val="00B07CFB"/>
    <w:rsid w:val="00B07F62"/>
    <w:rsid w:val="00B1059E"/>
    <w:rsid w:val="00B11EFF"/>
    <w:rsid w:val="00B1289F"/>
    <w:rsid w:val="00B13AD1"/>
    <w:rsid w:val="00B149BA"/>
    <w:rsid w:val="00B14A36"/>
    <w:rsid w:val="00B15724"/>
    <w:rsid w:val="00B16273"/>
    <w:rsid w:val="00B164B4"/>
    <w:rsid w:val="00B170A5"/>
    <w:rsid w:val="00B1725F"/>
    <w:rsid w:val="00B1728D"/>
    <w:rsid w:val="00B176C8"/>
    <w:rsid w:val="00B17B64"/>
    <w:rsid w:val="00B17EE5"/>
    <w:rsid w:val="00B205AA"/>
    <w:rsid w:val="00B2100A"/>
    <w:rsid w:val="00B21A91"/>
    <w:rsid w:val="00B22E84"/>
    <w:rsid w:val="00B233AD"/>
    <w:rsid w:val="00B237DB"/>
    <w:rsid w:val="00B23E25"/>
    <w:rsid w:val="00B2404E"/>
    <w:rsid w:val="00B2554C"/>
    <w:rsid w:val="00B256D5"/>
    <w:rsid w:val="00B25F75"/>
    <w:rsid w:val="00B26B3F"/>
    <w:rsid w:val="00B2778F"/>
    <w:rsid w:val="00B27B9F"/>
    <w:rsid w:val="00B30846"/>
    <w:rsid w:val="00B327E2"/>
    <w:rsid w:val="00B32D09"/>
    <w:rsid w:val="00B32F09"/>
    <w:rsid w:val="00B33635"/>
    <w:rsid w:val="00B338BF"/>
    <w:rsid w:val="00B35214"/>
    <w:rsid w:val="00B37A23"/>
    <w:rsid w:val="00B37A8D"/>
    <w:rsid w:val="00B37CF8"/>
    <w:rsid w:val="00B400EE"/>
    <w:rsid w:val="00B401E8"/>
    <w:rsid w:val="00B40EBC"/>
    <w:rsid w:val="00B42AF4"/>
    <w:rsid w:val="00B43DCA"/>
    <w:rsid w:val="00B43E90"/>
    <w:rsid w:val="00B44308"/>
    <w:rsid w:val="00B45722"/>
    <w:rsid w:val="00B460F4"/>
    <w:rsid w:val="00B467DC"/>
    <w:rsid w:val="00B47A88"/>
    <w:rsid w:val="00B51E09"/>
    <w:rsid w:val="00B52303"/>
    <w:rsid w:val="00B5312D"/>
    <w:rsid w:val="00B537FB"/>
    <w:rsid w:val="00B5392A"/>
    <w:rsid w:val="00B539EF"/>
    <w:rsid w:val="00B5464C"/>
    <w:rsid w:val="00B55910"/>
    <w:rsid w:val="00B55ACC"/>
    <w:rsid w:val="00B56118"/>
    <w:rsid w:val="00B566E1"/>
    <w:rsid w:val="00B56AFB"/>
    <w:rsid w:val="00B56D39"/>
    <w:rsid w:val="00B56DC4"/>
    <w:rsid w:val="00B572BE"/>
    <w:rsid w:val="00B57AB6"/>
    <w:rsid w:val="00B602F6"/>
    <w:rsid w:val="00B60ED3"/>
    <w:rsid w:val="00B626D9"/>
    <w:rsid w:val="00B62EC1"/>
    <w:rsid w:val="00B63251"/>
    <w:rsid w:val="00B63663"/>
    <w:rsid w:val="00B64A96"/>
    <w:rsid w:val="00B64E81"/>
    <w:rsid w:val="00B64F0E"/>
    <w:rsid w:val="00B6533B"/>
    <w:rsid w:val="00B6773F"/>
    <w:rsid w:val="00B70EB3"/>
    <w:rsid w:val="00B72906"/>
    <w:rsid w:val="00B72F38"/>
    <w:rsid w:val="00B74F48"/>
    <w:rsid w:val="00B7525E"/>
    <w:rsid w:val="00B75433"/>
    <w:rsid w:val="00B75F70"/>
    <w:rsid w:val="00B760FB"/>
    <w:rsid w:val="00B76414"/>
    <w:rsid w:val="00B76765"/>
    <w:rsid w:val="00B767AB"/>
    <w:rsid w:val="00B800A4"/>
    <w:rsid w:val="00B801BA"/>
    <w:rsid w:val="00B80B5E"/>
    <w:rsid w:val="00B80D50"/>
    <w:rsid w:val="00B812D6"/>
    <w:rsid w:val="00B81EA3"/>
    <w:rsid w:val="00B821EF"/>
    <w:rsid w:val="00B8244C"/>
    <w:rsid w:val="00B83B44"/>
    <w:rsid w:val="00B83B55"/>
    <w:rsid w:val="00B846E6"/>
    <w:rsid w:val="00B84D5C"/>
    <w:rsid w:val="00B85108"/>
    <w:rsid w:val="00B853A3"/>
    <w:rsid w:val="00B85AF6"/>
    <w:rsid w:val="00B85B8B"/>
    <w:rsid w:val="00B902B9"/>
    <w:rsid w:val="00B9088B"/>
    <w:rsid w:val="00B917D8"/>
    <w:rsid w:val="00B92E46"/>
    <w:rsid w:val="00B941ED"/>
    <w:rsid w:val="00B94912"/>
    <w:rsid w:val="00B9497E"/>
    <w:rsid w:val="00B956ED"/>
    <w:rsid w:val="00B95B9D"/>
    <w:rsid w:val="00B96B4A"/>
    <w:rsid w:val="00B96C7D"/>
    <w:rsid w:val="00B96D2A"/>
    <w:rsid w:val="00BA1435"/>
    <w:rsid w:val="00BA2DA8"/>
    <w:rsid w:val="00BA347C"/>
    <w:rsid w:val="00BA3F15"/>
    <w:rsid w:val="00BA3F78"/>
    <w:rsid w:val="00BA4C79"/>
    <w:rsid w:val="00BA4D84"/>
    <w:rsid w:val="00BA5211"/>
    <w:rsid w:val="00BA6D91"/>
    <w:rsid w:val="00BB0942"/>
    <w:rsid w:val="00BB0D4D"/>
    <w:rsid w:val="00BB120A"/>
    <w:rsid w:val="00BB298A"/>
    <w:rsid w:val="00BB3469"/>
    <w:rsid w:val="00BB3578"/>
    <w:rsid w:val="00BB5621"/>
    <w:rsid w:val="00BB5B01"/>
    <w:rsid w:val="00BB5C49"/>
    <w:rsid w:val="00BB5EE2"/>
    <w:rsid w:val="00BB6240"/>
    <w:rsid w:val="00BB6285"/>
    <w:rsid w:val="00BB69F5"/>
    <w:rsid w:val="00BB6E48"/>
    <w:rsid w:val="00BB7EC3"/>
    <w:rsid w:val="00BC04B1"/>
    <w:rsid w:val="00BC069C"/>
    <w:rsid w:val="00BC0E6B"/>
    <w:rsid w:val="00BC470E"/>
    <w:rsid w:val="00BC4A7E"/>
    <w:rsid w:val="00BC4B9A"/>
    <w:rsid w:val="00BC7D78"/>
    <w:rsid w:val="00BD02C3"/>
    <w:rsid w:val="00BD3119"/>
    <w:rsid w:val="00BD6DD1"/>
    <w:rsid w:val="00BD7483"/>
    <w:rsid w:val="00BD784C"/>
    <w:rsid w:val="00BD7A5A"/>
    <w:rsid w:val="00BE020A"/>
    <w:rsid w:val="00BE13DF"/>
    <w:rsid w:val="00BE1EF0"/>
    <w:rsid w:val="00BE25D7"/>
    <w:rsid w:val="00BE4674"/>
    <w:rsid w:val="00BE5883"/>
    <w:rsid w:val="00BE6D0D"/>
    <w:rsid w:val="00BE7A5F"/>
    <w:rsid w:val="00BF0446"/>
    <w:rsid w:val="00BF092C"/>
    <w:rsid w:val="00BF0D79"/>
    <w:rsid w:val="00BF127C"/>
    <w:rsid w:val="00BF21D1"/>
    <w:rsid w:val="00BF27A0"/>
    <w:rsid w:val="00BF31D9"/>
    <w:rsid w:val="00BF40E6"/>
    <w:rsid w:val="00BF4CB6"/>
    <w:rsid w:val="00BF51E1"/>
    <w:rsid w:val="00BF5D23"/>
    <w:rsid w:val="00BF5FA0"/>
    <w:rsid w:val="00BF63EA"/>
    <w:rsid w:val="00BF6CBD"/>
    <w:rsid w:val="00BF6E01"/>
    <w:rsid w:val="00BF79E0"/>
    <w:rsid w:val="00C00DA7"/>
    <w:rsid w:val="00C034D1"/>
    <w:rsid w:val="00C034FB"/>
    <w:rsid w:val="00C03AE2"/>
    <w:rsid w:val="00C04B62"/>
    <w:rsid w:val="00C04CDE"/>
    <w:rsid w:val="00C052F7"/>
    <w:rsid w:val="00C059D5"/>
    <w:rsid w:val="00C064E2"/>
    <w:rsid w:val="00C068A6"/>
    <w:rsid w:val="00C10ADF"/>
    <w:rsid w:val="00C10F4D"/>
    <w:rsid w:val="00C11DEA"/>
    <w:rsid w:val="00C12768"/>
    <w:rsid w:val="00C12D70"/>
    <w:rsid w:val="00C13EE0"/>
    <w:rsid w:val="00C13F61"/>
    <w:rsid w:val="00C14B10"/>
    <w:rsid w:val="00C16328"/>
    <w:rsid w:val="00C16724"/>
    <w:rsid w:val="00C21B09"/>
    <w:rsid w:val="00C23701"/>
    <w:rsid w:val="00C246AF"/>
    <w:rsid w:val="00C25EFF"/>
    <w:rsid w:val="00C26565"/>
    <w:rsid w:val="00C2673A"/>
    <w:rsid w:val="00C278CD"/>
    <w:rsid w:val="00C27B58"/>
    <w:rsid w:val="00C27C1C"/>
    <w:rsid w:val="00C30034"/>
    <w:rsid w:val="00C3166C"/>
    <w:rsid w:val="00C32A10"/>
    <w:rsid w:val="00C33186"/>
    <w:rsid w:val="00C3587E"/>
    <w:rsid w:val="00C35996"/>
    <w:rsid w:val="00C3682A"/>
    <w:rsid w:val="00C41830"/>
    <w:rsid w:val="00C42BCD"/>
    <w:rsid w:val="00C4432B"/>
    <w:rsid w:val="00C4485F"/>
    <w:rsid w:val="00C44DED"/>
    <w:rsid w:val="00C45FE2"/>
    <w:rsid w:val="00C4680E"/>
    <w:rsid w:val="00C46C13"/>
    <w:rsid w:val="00C4747E"/>
    <w:rsid w:val="00C475A6"/>
    <w:rsid w:val="00C4797F"/>
    <w:rsid w:val="00C5151E"/>
    <w:rsid w:val="00C5158C"/>
    <w:rsid w:val="00C52256"/>
    <w:rsid w:val="00C52543"/>
    <w:rsid w:val="00C5342C"/>
    <w:rsid w:val="00C53B2B"/>
    <w:rsid w:val="00C547F5"/>
    <w:rsid w:val="00C54F3F"/>
    <w:rsid w:val="00C56D78"/>
    <w:rsid w:val="00C57465"/>
    <w:rsid w:val="00C60272"/>
    <w:rsid w:val="00C603D4"/>
    <w:rsid w:val="00C611FB"/>
    <w:rsid w:val="00C6256A"/>
    <w:rsid w:val="00C62686"/>
    <w:rsid w:val="00C63FDA"/>
    <w:rsid w:val="00C642E6"/>
    <w:rsid w:val="00C6444D"/>
    <w:rsid w:val="00C64A82"/>
    <w:rsid w:val="00C64DC8"/>
    <w:rsid w:val="00C64EBC"/>
    <w:rsid w:val="00C64ECB"/>
    <w:rsid w:val="00C663A1"/>
    <w:rsid w:val="00C664D2"/>
    <w:rsid w:val="00C664EF"/>
    <w:rsid w:val="00C677E1"/>
    <w:rsid w:val="00C67D79"/>
    <w:rsid w:val="00C70E6E"/>
    <w:rsid w:val="00C710E2"/>
    <w:rsid w:val="00C71C3F"/>
    <w:rsid w:val="00C7241D"/>
    <w:rsid w:val="00C74076"/>
    <w:rsid w:val="00C7409E"/>
    <w:rsid w:val="00C74D6D"/>
    <w:rsid w:val="00C750CA"/>
    <w:rsid w:val="00C76AE4"/>
    <w:rsid w:val="00C76E76"/>
    <w:rsid w:val="00C77891"/>
    <w:rsid w:val="00C77B74"/>
    <w:rsid w:val="00C806B3"/>
    <w:rsid w:val="00C81294"/>
    <w:rsid w:val="00C814E5"/>
    <w:rsid w:val="00C82062"/>
    <w:rsid w:val="00C8282A"/>
    <w:rsid w:val="00C829A9"/>
    <w:rsid w:val="00C83016"/>
    <w:rsid w:val="00C8308B"/>
    <w:rsid w:val="00C83161"/>
    <w:rsid w:val="00C841DB"/>
    <w:rsid w:val="00C8461D"/>
    <w:rsid w:val="00C8584C"/>
    <w:rsid w:val="00C87B80"/>
    <w:rsid w:val="00C90330"/>
    <w:rsid w:val="00C90615"/>
    <w:rsid w:val="00C91449"/>
    <w:rsid w:val="00C92D10"/>
    <w:rsid w:val="00C92F79"/>
    <w:rsid w:val="00C95200"/>
    <w:rsid w:val="00C96EC0"/>
    <w:rsid w:val="00CA020B"/>
    <w:rsid w:val="00CA06F9"/>
    <w:rsid w:val="00CA14BB"/>
    <w:rsid w:val="00CA21AC"/>
    <w:rsid w:val="00CA230C"/>
    <w:rsid w:val="00CA3389"/>
    <w:rsid w:val="00CA48D9"/>
    <w:rsid w:val="00CA571D"/>
    <w:rsid w:val="00CA61D7"/>
    <w:rsid w:val="00CA6E61"/>
    <w:rsid w:val="00CB1193"/>
    <w:rsid w:val="00CB248A"/>
    <w:rsid w:val="00CB358A"/>
    <w:rsid w:val="00CB3D78"/>
    <w:rsid w:val="00CB4767"/>
    <w:rsid w:val="00CB493D"/>
    <w:rsid w:val="00CB51B9"/>
    <w:rsid w:val="00CB5E16"/>
    <w:rsid w:val="00CB71EB"/>
    <w:rsid w:val="00CB7515"/>
    <w:rsid w:val="00CC050D"/>
    <w:rsid w:val="00CC2224"/>
    <w:rsid w:val="00CC2B21"/>
    <w:rsid w:val="00CC3B97"/>
    <w:rsid w:val="00CC46A9"/>
    <w:rsid w:val="00CC5F48"/>
    <w:rsid w:val="00CC68A5"/>
    <w:rsid w:val="00CC7054"/>
    <w:rsid w:val="00CD0A21"/>
    <w:rsid w:val="00CD2A4F"/>
    <w:rsid w:val="00CD45C4"/>
    <w:rsid w:val="00CD4A8C"/>
    <w:rsid w:val="00CD4AB6"/>
    <w:rsid w:val="00CD6257"/>
    <w:rsid w:val="00CD7C0B"/>
    <w:rsid w:val="00CE0168"/>
    <w:rsid w:val="00CE0BF1"/>
    <w:rsid w:val="00CE10C4"/>
    <w:rsid w:val="00CE160E"/>
    <w:rsid w:val="00CE2343"/>
    <w:rsid w:val="00CE27B5"/>
    <w:rsid w:val="00CE2BDF"/>
    <w:rsid w:val="00CE2D73"/>
    <w:rsid w:val="00CE3127"/>
    <w:rsid w:val="00CE474E"/>
    <w:rsid w:val="00CE4A92"/>
    <w:rsid w:val="00CE67D4"/>
    <w:rsid w:val="00CE6D24"/>
    <w:rsid w:val="00CE6DAF"/>
    <w:rsid w:val="00CE7002"/>
    <w:rsid w:val="00CE7987"/>
    <w:rsid w:val="00CF07BD"/>
    <w:rsid w:val="00CF14F3"/>
    <w:rsid w:val="00CF37E9"/>
    <w:rsid w:val="00CF3C91"/>
    <w:rsid w:val="00CF410A"/>
    <w:rsid w:val="00CF429B"/>
    <w:rsid w:val="00CF4415"/>
    <w:rsid w:val="00CF47B8"/>
    <w:rsid w:val="00CF5C37"/>
    <w:rsid w:val="00CF7528"/>
    <w:rsid w:val="00CF7899"/>
    <w:rsid w:val="00CF7A4F"/>
    <w:rsid w:val="00CF7FDE"/>
    <w:rsid w:val="00D012AF"/>
    <w:rsid w:val="00D016F3"/>
    <w:rsid w:val="00D02F40"/>
    <w:rsid w:val="00D0321E"/>
    <w:rsid w:val="00D033AE"/>
    <w:rsid w:val="00D052EE"/>
    <w:rsid w:val="00D05457"/>
    <w:rsid w:val="00D061BC"/>
    <w:rsid w:val="00D069EB"/>
    <w:rsid w:val="00D07A8A"/>
    <w:rsid w:val="00D108EA"/>
    <w:rsid w:val="00D10CE4"/>
    <w:rsid w:val="00D10DC5"/>
    <w:rsid w:val="00D10E31"/>
    <w:rsid w:val="00D11199"/>
    <w:rsid w:val="00D1229B"/>
    <w:rsid w:val="00D1455A"/>
    <w:rsid w:val="00D14573"/>
    <w:rsid w:val="00D14A70"/>
    <w:rsid w:val="00D15755"/>
    <w:rsid w:val="00D17973"/>
    <w:rsid w:val="00D2014F"/>
    <w:rsid w:val="00D20330"/>
    <w:rsid w:val="00D207EA"/>
    <w:rsid w:val="00D20E26"/>
    <w:rsid w:val="00D21169"/>
    <w:rsid w:val="00D211FB"/>
    <w:rsid w:val="00D213D2"/>
    <w:rsid w:val="00D2202E"/>
    <w:rsid w:val="00D22093"/>
    <w:rsid w:val="00D237C6"/>
    <w:rsid w:val="00D23A19"/>
    <w:rsid w:val="00D26987"/>
    <w:rsid w:val="00D30106"/>
    <w:rsid w:val="00D309CA"/>
    <w:rsid w:val="00D30F16"/>
    <w:rsid w:val="00D31150"/>
    <w:rsid w:val="00D3138B"/>
    <w:rsid w:val="00D31C85"/>
    <w:rsid w:val="00D31FCE"/>
    <w:rsid w:val="00D3280C"/>
    <w:rsid w:val="00D3406A"/>
    <w:rsid w:val="00D3472F"/>
    <w:rsid w:val="00D34D24"/>
    <w:rsid w:val="00D361E4"/>
    <w:rsid w:val="00D369B6"/>
    <w:rsid w:val="00D40B11"/>
    <w:rsid w:val="00D411DA"/>
    <w:rsid w:val="00D42864"/>
    <w:rsid w:val="00D429EC"/>
    <w:rsid w:val="00D430F9"/>
    <w:rsid w:val="00D4378D"/>
    <w:rsid w:val="00D43C60"/>
    <w:rsid w:val="00D441F1"/>
    <w:rsid w:val="00D4572C"/>
    <w:rsid w:val="00D4642A"/>
    <w:rsid w:val="00D469B2"/>
    <w:rsid w:val="00D514C0"/>
    <w:rsid w:val="00D52B24"/>
    <w:rsid w:val="00D52E79"/>
    <w:rsid w:val="00D52EAA"/>
    <w:rsid w:val="00D52ECF"/>
    <w:rsid w:val="00D53A72"/>
    <w:rsid w:val="00D53F0C"/>
    <w:rsid w:val="00D5411A"/>
    <w:rsid w:val="00D54B09"/>
    <w:rsid w:val="00D55D5F"/>
    <w:rsid w:val="00D57CDD"/>
    <w:rsid w:val="00D6243E"/>
    <w:rsid w:val="00D637B7"/>
    <w:rsid w:val="00D64128"/>
    <w:rsid w:val="00D65658"/>
    <w:rsid w:val="00D65BC9"/>
    <w:rsid w:val="00D6601C"/>
    <w:rsid w:val="00D66121"/>
    <w:rsid w:val="00D67EB2"/>
    <w:rsid w:val="00D70349"/>
    <w:rsid w:val="00D721AE"/>
    <w:rsid w:val="00D72B6F"/>
    <w:rsid w:val="00D73149"/>
    <w:rsid w:val="00D73864"/>
    <w:rsid w:val="00D741EB"/>
    <w:rsid w:val="00D74CEA"/>
    <w:rsid w:val="00D7679C"/>
    <w:rsid w:val="00D7713B"/>
    <w:rsid w:val="00D801E9"/>
    <w:rsid w:val="00D817A9"/>
    <w:rsid w:val="00D820F3"/>
    <w:rsid w:val="00D83605"/>
    <w:rsid w:val="00D83B15"/>
    <w:rsid w:val="00D84934"/>
    <w:rsid w:val="00D84BEB"/>
    <w:rsid w:val="00D866EB"/>
    <w:rsid w:val="00D86C52"/>
    <w:rsid w:val="00D87D1A"/>
    <w:rsid w:val="00D906DA"/>
    <w:rsid w:val="00D91271"/>
    <w:rsid w:val="00D919F5"/>
    <w:rsid w:val="00D945F6"/>
    <w:rsid w:val="00D94F03"/>
    <w:rsid w:val="00D950A7"/>
    <w:rsid w:val="00D95161"/>
    <w:rsid w:val="00D95C23"/>
    <w:rsid w:val="00D961B8"/>
    <w:rsid w:val="00D97E7A"/>
    <w:rsid w:val="00DA0A82"/>
    <w:rsid w:val="00DA0D14"/>
    <w:rsid w:val="00DA18E3"/>
    <w:rsid w:val="00DA1FC9"/>
    <w:rsid w:val="00DA24B4"/>
    <w:rsid w:val="00DA2CB5"/>
    <w:rsid w:val="00DA3011"/>
    <w:rsid w:val="00DA32AE"/>
    <w:rsid w:val="00DA358F"/>
    <w:rsid w:val="00DA383E"/>
    <w:rsid w:val="00DA4BAC"/>
    <w:rsid w:val="00DA50BA"/>
    <w:rsid w:val="00DA548E"/>
    <w:rsid w:val="00DA722E"/>
    <w:rsid w:val="00DA7371"/>
    <w:rsid w:val="00DA76E2"/>
    <w:rsid w:val="00DA792A"/>
    <w:rsid w:val="00DA79A6"/>
    <w:rsid w:val="00DB0151"/>
    <w:rsid w:val="00DB0160"/>
    <w:rsid w:val="00DB04D7"/>
    <w:rsid w:val="00DB06B4"/>
    <w:rsid w:val="00DB0D3E"/>
    <w:rsid w:val="00DB1DC5"/>
    <w:rsid w:val="00DB2ACF"/>
    <w:rsid w:val="00DB3201"/>
    <w:rsid w:val="00DB35A7"/>
    <w:rsid w:val="00DB4092"/>
    <w:rsid w:val="00DB50E1"/>
    <w:rsid w:val="00DB5AC8"/>
    <w:rsid w:val="00DB75BE"/>
    <w:rsid w:val="00DC0566"/>
    <w:rsid w:val="00DC05E1"/>
    <w:rsid w:val="00DC1499"/>
    <w:rsid w:val="00DC16CF"/>
    <w:rsid w:val="00DC2C3E"/>
    <w:rsid w:val="00DC2F3D"/>
    <w:rsid w:val="00DC3137"/>
    <w:rsid w:val="00DC31AE"/>
    <w:rsid w:val="00DC397C"/>
    <w:rsid w:val="00DC3A71"/>
    <w:rsid w:val="00DC4880"/>
    <w:rsid w:val="00DC581F"/>
    <w:rsid w:val="00DC58E4"/>
    <w:rsid w:val="00DC59B6"/>
    <w:rsid w:val="00DC5D22"/>
    <w:rsid w:val="00DC5E90"/>
    <w:rsid w:val="00DC6EC3"/>
    <w:rsid w:val="00DC732A"/>
    <w:rsid w:val="00DD04D7"/>
    <w:rsid w:val="00DD0552"/>
    <w:rsid w:val="00DD0B9C"/>
    <w:rsid w:val="00DD0BE9"/>
    <w:rsid w:val="00DD26F9"/>
    <w:rsid w:val="00DD34B3"/>
    <w:rsid w:val="00DD350E"/>
    <w:rsid w:val="00DD3996"/>
    <w:rsid w:val="00DD3D62"/>
    <w:rsid w:val="00DD3D6E"/>
    <w:rsid w:val="00DD3E91"/>
    <w:rsid w:val="00DD42AB"/>
    <w:rsid w:val="00DD48EB"/>
    <w:rsid w:val="00DD6193"/>
    <w:rsid w:val="00DD6B49"/>
    <w:rsid w:val="00DD6C29"/>
    <w:rsid w:val="00DD6C65"/>
    <w:rsid w:val="00DD6F68"/>
    <w:rsid w:val="00DD74AD"/>
    <w:rsid w:val="00DD7581"/>
    <w:rsid w:val="00DD7946"/>
    <w:rsid w:val="00DD7DA1"/>
    <w:rsid w:val="00DD7DB0"/>
    <w:rsid w:val="00DE0559"/>
    <w:rsid w:val="00DE06AF"/>
    <w:rsid w:val="00DE0819"/>
    <w:rsid w:val="00DE09F3"/>
    <w:rsid w:val="00DE1159"/>
    <w:rsid w:val="00DE14B5"/>
    <w:rsid w:val="00DE65AB"/>
    <w:rsid w:val="00DE6D27"/>
    <w:rsid w:val="00DE76EA"/>
    <w:rsid w:val="00DE78CA"/>
    <w:rsid w:val="00DE7979"/>
    <w:rsid w:val="00DF01F8"/>
    <w:rsid w:val="00DF021D"/>
    <w:rsid w:val="00DF14EE"/>
    <w:rsid w:val="00DF217D"/>
    <w:rsid w:val="00DF26A7"/>
    <w:rsid w:val="00DF3277"/>
    <w:rsid w:val="00DF6A31"/>
    <w:rsid w:val="00DF7407"/>
    <w:rsid w:val="00DF77A1"/>
    <w:rsid w:val="00DF7919"/>
    <w:rsid w:val="00E0190C"/>
    <w:rsid w:val="00E0207E"/>
    <w:rsid w:val="00E02AE6"/>
    <w:rsid w:val="00E030BD"/>
    <w:rsid w:val="00E0383A"/>
    <w:rsid w:val="00E03912"/>
    <w:rsid w:val="00E042FF"/>
    <w:rsid w:val="00E04748"/>
    <w:rsid w:val="00E04CB8"/>
    <w:rsid w:val="00E0528E"/>
    <w:rsid w:val="00E060AF"/>
    <w:rsid w:val="00E078D9"/>
    <w:rsid w:val="00E10293"/>
    <w:rsid w:val="00E103A0"/>
    <w:rsid w:val="00E1043F"/>
    <w:rsid w:val="00E1065B"/>
    <w:rsid w:val="00E10ED2"/>
    <w:rsid w:val="00E1157E"/>
    <w:rsid w:val="00E11EF2"/>
    <w:rsid w:val="00E11F44"/>
    <w:rsid w:val="00E12421"/>
    <w:rsid w:val="00E1248A"/>
    <w:rsid w:val="00E12C95"/>
    <w:rsid w:val="00E12E29"/>
    <w:rsid w:val="00E135E2"/>
    <w:rsid w:val="00E1373A"/>
    <w:rsid w:val="00E13E60"/>
    <w:rsid w:val="00E14B30"/>
    <w:rsid w:val="00E15627"/>
    <w:rsid w:val="00E164B3"/>
    <w:rsid w:val="00E16910"/>
    <w:rsid w:val="00E16F33"/>
    <w:rsid w:val="00E20280"/>
    <w:rsid w:val="00E21164"/>
    <w:rsid w:val="00E23342"/>
    <w:rsid w:val="00E239E2"/>
    <w:rsid w:val="00E24E09"/>
    <w:rsid w:val="00E25A72"/>
    <w:rsid w:val="00E262AD"/>
    <w:rsid w:val="00E26624"/>
    <w:rsid w:val="00E27234"/>
    <w:rsid w:val="00E301D5"/>
    <w:rsid w:val="00E33593"/>
    <w:rsid w:val="00E3495C"/>
    <w:rsid w:val="00E35FB7"/>
    <w:rsid w:val="00E407EB"/>
    <w:rsid w:val="00E40928"/>
    <w:rsid w:val="00E42BDB"/>
    <w:rsid w:val="00E44837"/>
    <w:rsid w:val="00E44959"/>
    <w:rsid w:val="00E45BEA"/>
    <w:rsid w:val="00E460DC"/>
    <w:rsid w:val="00E50F18"/>
    <w:rsid w:val="00E51CC8"/>
    <w:rsid w:val="00E524A9"/>
    <w:rsid w:val="00E52DAB"/>
    <w:rsid w:val="00E5375A"/>
    <w:rsid w:val="00E539A8"/>
    <w:rsid w:val="00E53CF5"/>
    <w:rsid w:val="00E53F1A"/>
    <w:rsid w:val="00E541DD"/>
    <w:rsid w:val="00E5726D"/>
    <w:rsid w:val="00E57EEB"/>
    <w:rsid w:val="00E62836"/>
    <w:rsid w:val="00E62D94"/>
    <w:rsid w:val="00E62ECC"/>
    <w:rsid w:val="00E63CB2"/>
    <w:rsid w:val="00E64F37"/>
    <w:rsid w:val="00E65020"/>
    <w:rsid w:val="00E65091"/>
    <w:rsid w:val="00E65393"/>
    <w:rsid w:val="00E6568C"/>
    <w:rsid w:val="00E65E54"/>
    <w:rsid w:val="00E661C7"/>
    <w:rsid w:val="00E66679"/>
    <w:rsid w:val="00E701E3"/>
    <w:rsid w:val="00E71652"/>
    <w:rsid w:val="00E732C4"/>
    <w:rsid w:val="00E73516"/>
    <w:rsid w:val="00E74E41"/>
    <w:rsid w:val="00E75151"/>
    <w:rsid w:val="00E775BD"/>
    <w:rsid w:val="00E80155"/>
    <w:rsid w:val="00E803A9"/>
    <w:rsid w:val="00E8134B"/>
    <w:rsid w:val="00E8145C"/>
    <w:rsid w:val="00E81E0D"/>
    <w:rsid w:val="00E81F28"/>
    <w:rsid w:val="00E82089"/>
    <w:rsid w:val="00E8343E"/>
    <w:rsid w:val="00E848C0"/>
    <w:rsid w:val="00E84BB8"/>
    <w:rsid w:val="00E86F92"/>
    <w:rsid w:val="00E877AA"/>
    <w:rsid w:val="00E91B96"/>
    <w:rsid w:val="00E92F2E"/>
    <w:rsid w:val="00E931D5"/>
    <w:rsid w:val="00E935DA"/>
    <w:rsid w:val="00E93C93"/>
    <w:rsid w:val="00E93D1E"/>
    <w:rsid w:val="00E941A1"/>
    <w:rsid w:val="00E948E3"/>
    <w:rsid w:val="00E95CE3"/>
    <w:rsid w:val="00E95F9A"/>
    <w:rsid w:val="00E96E99"/>
    <w:rsid w:val="00E9796C"/>
    <w:rsid w:val="00E97BD4"/>
    <w:rsid w:val="00EA0856"/>
    <w:rsid w:val="00EA1DC4"/>
    <w:rsid w:val="00EA1FEF"/>
    <w:rsid w:val="00EA252F"/>
    <w:rsid w:val="00EA2825"/>
    <w:rsid w:val="00EA334C"/>
    <w:rsid w:val="00EA4949"/>
    <w:rsid w:val="00EA4A88"/>
    <w:rsid w:val="00EA5027"/>
    <w:rsid w:val="00EA5594"/>
    <w:rsid w:val="00EA64C2"/>
    <w:rsid w:val="00EA6518"/>
    <w:rsid w:val="00EA71A2"/>
    <w:rsid w:val="00EA7466"/>
    <w:rsid w:val="00EA754E"/>
    <w:rsid w:val="00EA7EDE"/>
    <w:rsid w:val="00EB0B63"/>
    <w:rsid w:val="00EB0EB5"/>
    <w:rsid w:val="00EB1936"/>
    <w:rsid w:val="00EB1C4F"/>
    <w:rsid w:val="00EB2A4E"/>
    <w:rsid w:val="00EB3545"/>
    <w:rsid w:val="00EB37BE"/>
    <w:rsid w:val="00EB4015"/>
    <w:rsid w:val="00EB4BAE"/>
    <w:rsid w:val="00EB5088"/>
    <w:rsid w:val="00EB5CC9"/>
    <w:rsid w:val="00EB7210"/>
    <w:rsid w:val="00EC212B"/>
    <w:rsid w:val="00EC2726"/>
    <w:rsid w:val="00EC2B0C"/>
    <w:rsid w:val="00EC32E4"/>
    <w:rsid w:val="00EC4806"/>
    <w:rsid w:val="00EC50A0"/>
    <w:rsid w:val="00EC575E"/>
    <w:rsid w:val="00EC681C"/>
    <w:rsid w:val="00EC7B87"/>
    <w:rsid w:val="00ED0116"/>
    <w:rsid w:val="00ED0391"/>
    <w:rsid w:val="00ED0FBD"/>
    <w:rsid w:val="00ED1644"/>
    <w:rsid w:val="00ED2593"/>
    <w:rsid w:val="00ED322B"/>
    <w:rsid w:val="00ED3709"/>
    <w:rsid w:val="00ED42E6"/>
    <w:rsid w:val="00ED432F"/>
    <w:rsid w:val="00ED6E34"/>
    <w:rsid w:val="00ED7D55"/>
    <w:rsid w:val="00ED7D9C"/>
    <w:rsid w:val="00ED7E44"/>
    <w:rsid w:val="00EE00A7"/>
    <w:rsid w:val="00EE2974"/>
    <w:rsid w:val="00EE2F77"/>
    <w:rsid w:val="00EE3158"/>
    <w:rsid w:val="00EE31A2"/>
    <w:rsid w:val="00EE4329"/>
    <w:rsid w:val="00EE4DBD"/>
    <w:rsid w:val="00EE5403"/>
    <w:rsid w:val="00EE5A75"/>
    <w:rsid w:val="00EE6203"/>
    <w:rsid w:val="00EE7883"/>
    <w:rsid w:val="00EE7B6C"/>
    <w:rsid w:val="00EE7FA3"/>
    <w:rsid w:val="00EF0069"/>
    <w:rsid w:val="00EF14B3"/>
    <w:rsid w:val="00EF1BB1"/>
    <w:rsid w:val="00EF229C"/>
    <w:rsid w:val="00EF2B72"/>
    <w:rsid w:val="00EF3C52"/>
    <w:rsid w:val="00EF44A0"/>
    <w:rsid w:val="00EF4580"/>
    <w:rsid w:val="00EF4FED"/>
    <w:rsid w:val="00EF58C0"/>
    <w:rsid w:val="00EF5ACB"/>
    <w:rsid w:val="00EF5F45"/>
    <w:rsid w:val="00EF6843"/>
    <w:rsid w:val="00EF6941"/>
    <w:rsid w:val="00EF6FB3"/>
    <w:rsid w:val="00EF71B0"/>
    <w:rsid w:val="00EF731C"/>
    <w:rsid w:val="00EF797A"/>
    <w:rsid w:val="00F0068B"/>
    <w:rsid w:val="00F007C6"/>
    <w:rsid w:val="00F0135D"/>
    <w:rsid w:val="00F0172E"/>
    <w:rsid w:val="00F027C9"/>
    <w:rsid w:val="00F0347A"/>
    <w:rsid w:val="00F050BD"/>
    <w:rsid w:val="00F05657"/>
    <w:rsid w:val="00F05AB0"/>
    <w:rsid w:val="00F0628C"/>
    <w:rsid w:val="00F10EE9"/>
    <w:rsid w:val="00F11EDE"/>
    <w:rsid w:val="00F12C74"/>
    <w:rsid w:val="00F13214"/>
    <w:rsid w:val="00F1413F"/>
    <w:rsid w:val="00F1559A"/>
    <w:rsid w:val="00F16D95"/>
    <w:rsid w:val="00F17ED6"/>
    <w:rsid w:val="00F20676"/>
    <w:rsid w:val="00F209E2"/>
    <w:rsid w:val="00F2113A"/>
    <w:rsid w:val="00F231A4"/>
    <w:rsid w:val="00F2398F"/>
    <w:rsid w:val="00F25578"/>
    <w:rsid w:val="00F25707"/>
    <w:rsid w:val="00F258E5"/>
    <w:rsid w:val="00F25AE4"/>
    <w:rsid w:val="00F25B9C"/>
    <w:rsid w:val="00F25C4B"/>
    <w:rsid w:val="00F2675A"/>
    <w:rsid w:val="00F26B5C"/>
    <w:rsid w:val="00F26CC6"/>
    <w:rsid w:val="00F26D80"/>
    <w:rsid w:val="00F26F35"/>
    <w:rsid w:val="00F300BC"/>
    <w:rsid w:val="00F305FA"/>
    <w:rsid w:val="00F3263C"/>
    <w:rsid w:val="00F3334E"/>
    <w:rsid w:val="00F33B30"/>
    <w:rsid w:val="00F351F0"/>
    <w:rsid w:val="00F3573A"/>
    <w:rsid w:val="00F359D1"/>
    <w:rsid w:val="00F36CCB"/>
    <w:rsid w:val="00F374E5"/>
    <w:rsid w:val="00F37B93"/>
    <w:rsid w:val="00F37BAD"/>
    <w:rsid w:val="00F37ECA"/>
    <w:rsid w:val="00F37FF9"/>
    <w:rsid w:val="00F405A9"/>
    <w:rsid w:val="00F40A1C"/>
    <w:rsid w:val="00F4340E"/>
    <w:rsid w:val="00F43AF2"/>
    <w:rsid w:val="00F45216"/>
    <w:rsid w:val="00F47048"/>
    <w:rsid w:val="00F5007E"/>
    <w:rsid w:val="00F5087B"/>
    <w:rsid w:val="00F508F6"/>
    <w:rsid w:val="00F50EC4"/>
    <w:rsid w:val="00F51D03"/>
    <w:rsid w:val="00F52232"/>
    <w:rsid w:val="00F527B1"/>
    <w:rsid w:val="00F52DC2"/>
    <w:rsid w:val="00F53149"/>
    <w:rsid w:val="00F54329"/>
    <w:rsid w:val="00F54AF9"/>
    <w:rsid w:val="00F550CF"/>
    <w:rsid w:val="00F553D2"/>
    <w:rsid w:val="00F55859"/>
    <w:rsid w:val="00F560F8"/>
    <w:rsid w:val="00F56A2D"/>
    <w:rsid w:val="00F56AD4"/>
    <w:rsid w:val="00F57A6D"/>
    <w:rsid w:val="00F6044B"/>
    <w:rsid w:val="00F62F19"/>
    <w:rsid w:val="00F63854"/>
    <w:rsid w:val="00F638CC"/>
    <w:rsid w:val="00F63903"/>
    <w:rsid w:val="00F64A94"/>
    <w:rsid w:val="00F64C9E"/>
    <w:rsid w:val="00F64CC1"/>
    <w:rsid w:val="00F64FC8"/>
    <w:rsid w:val="00F65444"/>
    <w:rsid w:val="00F66B4B"/>
    <w:rsid w:val="00F66E75"/>
    <w:rsid w:val="00F67742"/>
    <w:rsid w:val="00F708B1"/>
    <w:rsid w:val="00F71093"/>
    <w:rsid w:val="00F72317"/>
    <w:rsid w:val="00F73945"/>
    <w:rsid w:val="00F73D1F"/>
    <w:rsid w:val="00F73DC1"/>
    <w:rsid w:val="00F73DE4"/>
    <w:rsid w:val="00F75138"/>
    <w:rsid w:val="00F75BB8"/>
    <w:rsid w:val="00F77714"/>
    <w:rsid w:val="00F77B11"/>
    <w:rsid w:val="00F80475"/>
    <w:rsid w:val="00F80E6E"/>
    <w:rsid w:val="00F81114"/>
    <w:rsid w:val="00F81390"/>
    <w:rsid w:val="00F814FA"/>
    <w:rsid w:val="00F81EB8"/>
    <w:rsid w:val="00F81F7A"/>
    <w:rsid w:val="00F8247A"/>
    <w:rsid w:val="00F82E5C"/>
    <w:rsid w:val="00F833EF"/>
    <w:rsid w:val="00F83760"/>
    <w:rsid w:val="00F83E86"/>
    <w:rsid w:val="00F83F58"/>
    <w:rsid w:val="00F85206"/>
    <w:rsid w:val="00F87C7A"/>
    <w:rsid w:val="00F87CEA"/>
    <w:rsid w:val="00F90907"/>
    <w:rsid w:val="00F9265D"/>
    <w:rsid w:val="00F944E2"/>
    <w:rsid w:val="00F9629A"/>
    <w:rsid w:val="00F96C31"/>
    <w:rsid w:val="00F97EFC"/>
    <w:rsid w:val="00FA0B04"/>
    <w:rsid w:val="00FA0C7C"/>
    <w:rsid w:val="00FA1BDD"/>
    <w:rsid w:val="00FA1E7A"/>
    <w:rsid w:val="00FA2D93"/>
    <w:rsid w:val="00FA2DB3"/>
    <w:rsid w:val="00FA305C"/>
    <w:rsid w:val="00FA3337"/>
    <w:rsid w:val="00FA381E"/>
    <w:rsid w:val="00FA462E"/>
    <w:rsid w:val="00FA470B"/>
    <w:rsid w:val="00FA4DD5"/>
    <w:rsid w:val="00FA55DB"/>
    <w:rsid w:val="00FA55DC"/>
    <w:rsid w:val="00FA5883"/>
    <w:rsid w:val="00FA6055"/>
    <w:rsid w:val="00FA6446"/>
    <w:rsid w:val="00FA6ED7"/>
    <w:rsid w:val="00FB0B39"/>
    <w:rsid w:val="00FB1D05"/>
    <w:rsid w:val="00FB1F2B"/>
    <w:rsid w:val="00FB25CC"/>
    <w:rsid w:val="00FB322F"/>
    <w:rsid w:val="00FB3FF4"/>
    <w:rsid w:val="00FB442F"/>
    <w:rsid w:val="00FB65B2"/>
    <w:rsid w:val="00FB7696"/>
    <w:rsid w:val="00FB789E"/>
    <w:rsid w:val="00FC118C"/>
    <w:rsid w:val="00FC1441"/>
    <w:rsid w:val="00FC1929"/>
    <w:rsid w:val="00FC1FE3"/>
    <w:rsid w:val="00FC248C"/>
    <w:rsid w:val="00FC5B46"/>
    <w:rsid w:val="00FC634D"/>
    <w:rsid w:val="00FC7844"/>
    <w:rsid w:val="00FD1D4F"/>
    <w:rsid w:val="00FD24BF"/>
    <w:rsid w:val="00FD2E47"/>
    <w:rsid w:val="00FD3B21"/>
    <w:rsid w:val="00FD3B6E"/>
    <w:rsid w:val="00FD4140"/>
    <w:rsid w:val="00FD46BD"/>
    <w:rsid w:val="00FD57EB"/>
    <w:rsid w:val="00FD62A0"/>
    <w:rsid w:val="00FD6D8E"/>
    <w:rsid w:val="00FE01A5"/>
    <w:rsid w:val="00FE0663"/>
    <w:rsid w:val="00FE0E94"/>
    <w:rsid w:val="00FE323C"/>
    <w:rsid w:val="00FE369C"/>
    <w:rsid w:val="00FE3CD9"/>
    <w:rsid w:val="00FE5281"/>
    <w:rsid w:val="00FE60B3"/>
    <w:rsid w:val="00FE7C93"/>
    <w:rsid w:val="00FF00BD"/>
    <w:rsid w:val="00FF046F"/>
    <w:rsid w:val="00FF067C"/>
    <w:rsid w:val="00FF0B13"/>
    <w:rsid w:val="00FF1672"/>
    <w:rsid w:val="00FF1ED4"/>
    <w:rsid w:val="00FF23A8"/>
    <w:rsid w:val="00FF2801"/>
    <w:rsid w:val="00FF3504"/>
    <w:rsid w:val="00FF518B"/>
    <w:rsid w:val="00FF5FB3"/>
    <w:rsid w:val="00FF6524"/>
    <w:rsid w:val="00FF799B"/>
    <w:rsid w:val="00FF7DE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2D5323"/>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0A8B843"/>
    <w:rsid w:val="1272477B"/>
    <w:rsid w:val="12B95C68"/>
    <w:rsid w:val="13621990"/>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38E2D1"/>
    <w:rsid w:val="28B27485"/>
    <w:rsid w:val="29365BD7"/>
    <w:rsid w:val="29882150"/>
    <w:rsid w:val="29BDD4A5"/>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2650DF"/>
    <w:rsid w:val="373C6128"/>
    <w:rsid w:val="37C1F8E8"/>
    <w:rsid w:val="3805C0E7"/>
    <w:rsid w:val="38168071"/>
    <w:rsid w:val="393376D2"/>
    <w:rsid w:val="395463D1"/>
    <w:rsid w:val="398863F1"/>
    <w:rsid w:val="3A20C143"/>
    <w:rsid w:val="3A4C135D"/>
    <w:rsid w:val="3BA095AD"/>
    <w:rsid w:val="3BA6EEEC"/>
    <w:rsid w:val="3EDC23CB"/>
    <w:rsid w:val="40771079"/>
    <w:rsid w:val="40930EF5"/>
    <w:rsid w:val="4110CDB4"/>
    <w:rsid w:val="42691D0F"/>
    <w:rsid w:val="4372D6C2"/>
    <w:rsid w:val="443448FB"/>
    <w:rsid w:val="44505BFC"/>
    <w:rsid w:val="450F5A46"/>
    <w:rsid w:val="45627F35"/>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9781A6"/>
    <w:rsid w:val="5EACEEBD"/>
    <w:rsid w:val="5EBDDC85"/>
    <w:rsid w:val="5F8C18FC"/>
    <w:rsid w:val="5FEC7856"/>
    <w:rsid w:val="600E03FD"/>
    <w:rsid w:val="60159615"/>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695490"/>
    <w:rsid w:val="699B3EBB"/>
    <w:rsid w:val="69A7D5B7"/>
    <w:rsid w:val="6A2AAF49"/>
    <w:rsid w:val="6AC31694"/>
    <w:rsid w:val="6B728085"/>
    <w:rsid w:val="6BAD574D"/>
    <w:rsid w:val="6CA77350"/>
    <w:rsid w:val="70971A32"/>
    <w:rsid w:val="709A626A"/>
    <w:rsid w:val="716D6D8F"/>
    <w:rsid w:val="731BA24E"/>
    <w:rsid w:val="73A74955"/>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Mention1">
    <w:name w:val="Mention1"/>
    <w:basedOn w:val="DefaultParagraphFont"/>
    <w:uiPriority w:val="99"/>
    <w:unhideWhenUsed/>
    <w:rsid w:val="00F405A9"/>
    <w:rPr>
      <w:color w:val="2B579A"/>
      <w:shd w:val="clear" w:color="auto" w:fill="E1DFDD"/>
    </w:rPr>
  </w:style>
  <w:style w:type="paragraph" w:customStyle="1" w:styleId="3-SubsectionHeading">
    <w:name w:val="3-Subsection Heading"/>
    <w:basedOn w:val="Heading2"/>
    <w:next w:val="Normal"/>
    <w:link w:val="3-SubsectionHeadingChar"/>
    <w:qFormat/>
    <w:rsid w:val="000F1CC2"/>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0F1CC2"/>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978221">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247427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5353006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95103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1781581">
      <w:bodyDiv w:val="1"/>
      <w:marLeft w:val="0"/>
      <w:marRight w:val="0"/>
      <w:marTop w:val="0"/>
      <w:marBottom w:val="0"/>
      <w:divBdr>
        <w:top w:val="none" w:sz="0" w:space="0" w:color="auto"/>
        <w:left w:val="none" w:sz="0" w:space="0" w:color="auto"/>
        <w:bottom w:val="none" w:sz="0" w:space="0" w:color="auto"/>
        <w:right w:val="none" w:sz="0" w:space="0" w:color="auto"/>
      </w:divBdr>
      <w:divsChild>
        <w:div w:id="1350840683">
          <w:marLeft w:val="12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0352060">
      <w:bodyDiv w:val="1"/>
      <w:marLeft w:val="0"/>
      <w:marRight w:val="0"/>
      <w:marTop w:val="0"/>
      <w:marBottom w:val="0"/>
      <w:divBdr>
        <w:top w:val="none" w:sz="0" w:space="0" w:color="auto"/>
        <w:left w:val="none" w:sz="0" w:space="0" w:color="auto"/>
        <w:bottom w:val="none" w:sz="0" w:space="0" w:color="auto"/>
        <w:right w:val="none" w:sz="0" w:space="0" w:color="auto"/>
      </w:divBdr>
      <w:divsChild>
        <w:div w:id="717125116">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C7919344-9BFC-491D-8DD2-39A8352A023B}">
  <ds:schemaRefs>
    <ds:schemaRef ds:uri="http://schemas.openxmlformats.org/officeDocument/2006/bibliography"/>
  </ds:schemaRefs>
</ds:datastoreItem>
</file>

<file path=customXml/itemProps2.xml><?xml version="1.0" encoding="utf-8"?>
<ds:datastoreItem xmlns:ds="http://schemas.openxmlformats.org/officeDocument/2006/customXml" ds:itemID="{58C112C1-3D0C-42EE-BF26-1206CA7E70D8}"/>
</file>

<file path=customXml/itemProps3.xml><?xml version="1.0" encoding="utf-8"?>
<ds:datastoreItem xmlns:ds="http://schemas.openxmlformats.org/officeDocument/2006/customXml" ds:itemID="{FD9DEBD8-19C0-4EDC-80D8-A02C246E5FB3}"/>
</file>

<file path=customXml/itemProps4.xml><?xml version="1.0" encoding="utf-8"?>
<ds:datastoreItem xmlns:ds="http://schemas.openxmlformats.org/officeDocument/2006/customXml" ds:itemID="{8AF74E8A-6EE0-4111-9E38-7F08DE565B31}"/>
</file>

<file path=docProps/app.xml><?xml version="1.0" encoding="utf-8"?>
<Properties xmlns="http://schemas.openxmlformats.org/officeDocument/2006/extended-properties" xmlns:vt="http://schemas.openxmlformats.org/officeDocument/2006/docPropsVTypes">
  <Template>Normal.dotm</Template>
  <TotalTime>0</TotalTime>
  <Pages>15</Pages>
  <Words>4873</Words>
  <Characters>28412</Characters>
  <Application>Microsoft Office Word</Application>
  <DocSecurity>0</DocSecurity>
  <Lines>1014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2025-10-24T04:37:00Z</dcterms:created>
  <dcterms:modified xsi:type="dcterms:W3CDTF">2025-10-24T04:37:00Z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3bcd63c7,789027e9,5d746459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1260460,33ea7283,64689edc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2025-10-24T04:37:41Z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48b9d1ae-ee4f-4fb8-8c9a-78b6e9ea32a6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