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3EB8" w14:textId="77777777" w:rsidR="00F6247E" w:rsidRDefault="00F6247E" w:rsidP="00F6247E">
      <w:pPr>
        <w:pStyle w:val="3Bodytext"/>
      </w:pPr>
    </w:p>
    <w:p w14:paraId="71CDD72D" w14:textId="38F02E4A" w:rsidR="00EC0472" w:rsidRDefault="003B4AB5" w:rsidP="00EC0472">
      <w:pPr>
        <w:pStyle w:val="1MainTitle"/>
        <w:jc w:val="left"/>
      </w:pPr>
      <w:r>
        <w:t>6.1</w:t>
      </w:r>
      <w:r w:rsidR="00DC064F">
        <w:t>4</w:t>
      </w:r>
      <w:r w:rsidR="00515277">
        <w:t xml:space="preserve"> </w:t>
      </w:r>
      <w:r w:rsidR="00EC0472">
        <w:t>NIVOLUMAB,</w:t>
      </w:r>
    </w:p>
    <w:p w14:paraId="00C4C3E6" w14:textId="2299D7A9" w:rsidR="00EC0472" w:rsidRDefault="00EC0472" w:rsidP="003918C5">
      <w:pPr>
        <w:pStyle w:val="1MainTitle"/>
        <w:ind w:firstLine="0"/>
        <w:jc w:val="left"/>
      </w:pPr>
      <w:r>
        <w:t>Injection concentrate for I.V. infusion 40 mg in 4 mL,</w:t>
      </w:r>
    </w:p>
    <w:p w14:paraId="179C0D6C" w14:textId="14B88F38" w:rsidR="00EC0472" w:rsidRDefault="00EC0472" w:rsidP="003918C5">
      <w:pPr>
        <w:pStyle w:val="1MainTitle"/>
        <w:ind w:firstLine="0"/>
        <w:jc w:val="left"/>
      </w:pPr>
      <w:r>
        <w:t>Injection concentrate for I.V. Infusion 100 mg in 10</w:t>
      </w:r>
      <w:r w:rsidR="00AC0DCE">
        <w:t> </w:t>
      </w:r>
      <w:r>
        <w:t>mL,</w:t>
      </w:r>
    </w:p>
    <w:p w14:paraId="58BBAAEC" w14:textId="77777777" w:rsidR="00EC0472" w:rsidRDefault="00EC0472" w:rsidP="003918C5">
      <w:pPr>
        <w:pStyle w:val="1MainTitle"/>
        <w:ind w:firstLine="0"/>
        <w:jc w:val="left"/>
      </w:pPr>
      <w:r>
        <w:t>Opdivo®,</w:t>
      </w:r>
    </w:p>
    <w:p w14:paraId="450170E3" w14:textId="77777777" w:rsidR="009B4812" w:rsidRDefault="009B4812" w:rsidP="003918C5">
      <w:pPr>
        <w:pStyle w:val="1MainTitle"/>
        <w:ind w:firstLine="0"/>
        <w:jc w:val="left"/>
      </w:pPr>
      <w:r>
        <w:t>IPILIMUMAB</w:t>
      </w:r>
    </w:p>
    <w:p w14:paraId="635490ED" w14:textId="463422EA" w:rsidR="009B4812" w:rsidRDefault="009B4812" w:rsidP="003918C5">
      <w:pPr>
        <w:pStyle w:val="1MainTitle"/>
        <w:ind w:firstLine="0"/>
        <w:jc w:val="left"/>
      </w:pPr>
      <w:r>
        <w:t>Injection concentrate for I.V. infusion 50 mg in 10 mL</w:t>
      </w:r>
      <w:r w:rsidR="00AC0DCE">
        <w:t>,</w:t>
      </w:r>
    </w:p>
    <w:p w14:paraId="6CBCE5FD" w14:textId="550DDEE3" w:rsidR="009E2BC4" w:rsidRDefault="009E2BC4" w:rsidP="009E2BC4">
      <w:pPr>
        <w:pStyle w:val="1MainTitle"/>
        <w:ind w:firstLine="0"/>
        <w:jc w:val="left"/>
      </w:pPr>
      <w:r>
        <w:t>Injection concentrate for I.V. infusion 200 mg in 40 mL,</w:t>
      </w:r>
    </w:p>
    <w:p w14:paraId="161B0163" w14:textId="3E48B37B" w:rsidR="00EC0472" w:rsidRDefault="009B4812" w:rsidP="003918C5">
      <w:pPr>
        <w:pStyle w:val="1MainTitle"/>
        <w:ind w:firstLine="0"/>
        <w:jc w:val="left"/>
      </w:pPr>
      <w:r>
        <w:t>Yervoy®</w:t>
      </w:r>
    </w:p>
    <w:p w14:paraId="11402236" w14:textId="67A11E9E" w:rsidR="009B4812" w:rsidRDefault="00EC0472" w:rsidP="003918C5">
      <w:pPr>
        <w:pStyle w:val="1MainTitle"/>
        <w:ind w:firstLine="0"/>
        <w:jc w:val="left"/>
      </w:pPr>
      <w:r>
        <w:t>BRISTOL-MYERS SQUIBB AUSTRALIA PTY LTD.</w:t>
      </w:r>
    </w:p>
    <w:p w14:paraId="5F4D54C1" w14:textId="496120DD" w:rsidR="00E11F44" w:rsidRPr="00A6439B" w:rsidRDefault="007E490F" w:rsidP="00B2348C">
      <w:pPr>
        <w:pStyle w:val="2-SectionHeading"/>
        <w:rPr>
          <w:rFonts w:cstheme="minorHAnsi"/>
          <w:color w:val="FF0000"/>
        </w:rPr>
      </w:pPr>
      <w:r w:rsidRPr="007E1673">
        <w:t xml:space="preserve">Purpose of </w:t>
      </w:r>
      <w:r w:rsidR="00FA0B04" w:rsidRPr="007E1673">
        <w:t>Submission</w:t>
      </w:r>
      <w:r w:rsidRPr="00A6439B">
        <w:t xml:space="preserve"> </w:t>
      </w:r>
    </w:p>
    <w:p w14:paraId="18E105EA" w14:textId="3FCA83BA" w:rsidR="00DD3238" w:rsidRPr="0033054B" w:rsidRDefault="002516B3" w:rsidP="00D71362">
      <w:pPr>
        <w:pStyle w:val="3-BodyText"/>
        <w:rPr>
          <w:rFonts w:cstheme="minorHAnsi"/>
        </w:rPr>
      </w:pPr>
      <w:r w:rsidRPr="00DD26BB">
        <w:t xml:space="preserve">To consider a </w:t>
      </w:r>
      <w:r>
        <w:t xml:space="preserve">submission from </w:t>
      </w:r>
      <w:r w:rsidRPr="00552A3C">
        <w:t>B</w:t>
      </w:r>
      <w:r>
        <w:t>ristol</w:t>
      </w:r>
      <w:r w:rsidRPr="00552A3C">
        <w:t>-M</w:t>
      </w:r>
      <w:r>
        <w:t>yers</w:t>
      </w:r>
      <w:r w:rsidRPr="00552A3C">
        <w:t xml:space="preserve"> S</w:t>
      </w:r>
      <w:r>
        <w:t>quibb</w:t>
      </w:r>
      <w:r w:rsidRPr="00552A3C">
        <w:t xml:space="preserve"> A</w:t>
      </w:r>
      <w:r>
        <w:t>ustralia for a multi-indication (broad) listing for nivolumab</w:t>
      </w:r>
      <w:r w:rsidR="000E09CD">
        <w:t xml:space="preserve"> </w:t>
      </w:r>
      <w:r w:rsidR="000E09CD">
        <w:rPr>
          <w:rFonts w:cstheme="minorHAnsi"/>
        </w:rPr>
        <w:t>±</w:t>
      </w:r>
      <w:r w:rsidR="000E09CD">
        <w:t xml:space="preserve"> </w:t>
      </w:r>
      <w:r>
        <w:t xml:space="preserve">ipilimumab </w:t>
      </w:r>
      <w:r w:rsidR="000E09CD">
        <w:t>in</w:t>
      </w:r>
      <w:r>
        <w:t xml:space="preserve"> unresectable advanced or metastatic cancer</w:t>
      </w:r>
      <w:r w:rsidR="000E09CD">
        <w:t>s</w:t>
      </w:r>
      <w:r>
        <w:t>.</w:t>
      </w:r>
    </w:p>
    <w:p w14:paraId="67D586B6" w14:textId="722BC0D6" w:rsidR="002E2F36" w:rsidRPr="000144D7" w:rsidRDefault="007E490F" w:rsidP="00D71362">
      <w:pPr>
        <w:pStyle w:val="2-SectionHeading"/>
        <w:numPr>
          <w:ilvl w:val="0"/>
          <w:numId w:val="45"/>
        </w:numPr>
      </w:pPr>
      <w:r w:rsidRPr="000144D7">
        <w:t xml:space="preserve">Background </w:t>
      </w:r>
    </w:p>
    <w:p w14:paraId="3477371D" w14:textId="32485D7F" w:rsidR="001563FA" w:rsidRPr="000144D7" w:rsidRDefault="00A84E7B" w:rsidP="000144D7">
      <w:pPr>
        <w:pStyle w:val="4-SubsectionHeading"/>
      </w:pPr>
      <w:r w:rsidRPr="000144D7">
        <w:t>Previous PBAC consideration</w:t>
      </w:r>
      <w:r w:rsidR="006F64C2" w:rsidRPr="000144D7">
        <w:t>s</w:t>
      </w:r>
    </w:p>
    <w:p w14:paraId="4E80001A" w14:textId="3459A820" w:rsidR="00BF6556" w:rsidRPr="000144D7" w:rsidRDefault="00E81633" w:rsidP="000144D7">
      <w:pPr>
        <w:pStyle w:val="3-BodyText"/>
      </w:pPr>
      <w:r w:rsidRPr="000144D7">
        <w:t>The PBAC</w:t>
      </w:r>
      <w:r w:rsidR="00407FA0" w:rsidRPr="000144D7">
        <w:t xml:space="preserve">’s most recent consideration of a </w:t>
      </w:r>
      <w:r w:rsidR="008D2160" w:rsidRPr="000144D7">
        <w:t>multi-indication</w:t>
      </w:r>
      <w:r w:rsidR="006F730C" w:rsidRPr="000144D7">
        <w:t xml:space="preserve"> listing </w:t>
      </w:r>
      <w:r w:rsidR="002A4343" w:rsidRPr="000144D7">
        <w:t>for PD-(L)1</w:t>
      </w:r>
      <w:r w:rsidR="002D2B4A" w:rsidRPr="000144D7">
        <w:t xml:space="preserve"> inhibitors</w:t>
      </w:r>
      <w:r w:rsidR="002A4343" w:rsidRPr="000144D7">
        <w:t xml:space="preserve"> </w:t>
      </w:r>
      <w:r w:rsidR="008E70E7" w:rsidRPr="000144D7">
        <w:t xml:space="preserve">was </w:t>
      </w:r>
      <w:r w:rsidR="00AE585B" w:rsidRPr="000144D7">
        <w:t xml:space="preserve">at the </w:t>
      </w:r>
      <w:r w:rsidR="008E70E7" w:rsidRPr="000144D7">
        <w:t>September 2024</w:t>
      </w:r>
      <w:r w:rsidR="00AE585B" w:rsidRPr="000144D7">
        <w:t xml:space="preserve"> meeting</w:t>
      </w:r>
      <w:r w:rsidR="0076081E" w:rsidRPr="000144D7">
        <w:t xml:space="preserve">. </w:t>
      </w:r>
    </w:p>
    <w:p w14:paraId="66AE5A20" w14:textId="10AD677A" w:rsidR="00791D44" w:rsidRPr="000144D7" w:rsidRDefault="00BA7937" w:rsidP="000144D7">
      <w:pPr>
        <w:pStyle w:val="3-BodyText"/>
      </w:pPr>
      <w:bookmarkStart w:id="0" w:name="_Ref178342629"/>
      <w:r>
        <w:t xml:space="preserve">The </w:t>
      </w:r>
      <w:r w:rsidR="00791D44" w:rsidRPr="000144D7">
        <w:t>PBAC was supportive of implementing simplified listings for PD-(L)1 inhibitors if this would facilitate appropriate and timely access for patients</w:t>
      </w:r>
      <w:r w:rsidR="00DA5630" w:rsidRPr="000144D7">
        <w:t xml:space="preserve"> </w:t>
      </w:r>
      <w:r w:rsidR="007D3C87" w:rsidRPr="000144D7">
        <w:t>and reaffirmed its previous advice, that in the context of the extensive experience with applications for PD-(L)1 inhibitors, it would be appropriate and desirable to have a simplified process for listing future indications.</w:t>
      </w:r>
    </w:p>
    <w:p w14:paraId="61248BEA" w14:textId="58C46533" w:rsidR="00E0242B" w:rsidRPr="000144D7" w:rsidRDefault="00E35B7A" w:rsidP="000144D7">
      <w:pPr>
        <w:pStyle w:val="3-BodyText"/>
      </w:pPr>
      <w:r>
        <w:t xml:space="preserve">The </w:t>
      </w:r>
      <w:r w:rsidR="00E0242B" w:rsidRPr="000144D7">
        <w:t>PBAC remain</w:t>
      </w:r>
      <w:r w:rsidR="00D10422" w:rsidRPr="000144D7">
        <w:t>ed</w:t>
      </w:r>
      <w:r w:rsidR="00E0242B" w:rsidRPr="000144D7">
        <w:t xml:space="preserve"> concerned </w:t>
      </w:r>
      <w:r w:rsidR="00CA13BC" w:rsidRPr="000144D7">
        <w:t xml:space="preserve">about </w:t>
      </w:r>
      <w:r w:rsidR="00903B5C" w:rsidRPr="000144D7">
        <w:t xml:space="preserve">the </w:t>
      </w:r>
      <w:r w:rsidR="00555374" w:rsidRPr="000144D7">
        <w:t xml:space="preserve">lack of </w:t>
      </w:r>
      <w:r w:rsidR="00903B5C" w:rsidRPr="000144D7">
        <w:t xml:space="preserve">subsidised </w:t>
      </w:r>
      <w:r w:rsidR="00CA13BC" w:rsidRPr="000144D7">
        <w:t xml:space="preserve">patient </w:t>
      </w:r>
      <w:r w:rsidR="00E0242B" w:rsidRPr="000144D7">
        <w:t xml:space="preserve">access to PD-(L)1 inhibitors </w:t>
      </w:r>
      <w:r w:rsidR="00CA13BC" w:rsidRPr="000144D7">
        <w:t xml:space="preserve">for </w:t>
      </w:r>
      <w:r w:rsidR="000F3E86" w:rsidRPr="000144D7">
        <w:t>rare</w:t>
      </w:r>
      <w:r w:rsidR="00760A7A" w:rsidRPr="000144D7">
        <w:t xml:space="preserve"> </w:t>
      </w:r>
      <w:r w:rsidR="00B549DD" w:rsidRPr="000144D7">
        <w:t>tissue types and the resulting unmet</w:t>
      </w:r>
      <w:r w:rsidR="001631A7" w:rsidRPr="000144D7">
        <w:t xml:space="preserve"> clinical</w:t>
      </w:r>
      <w:r w:rsidR="00B549DD" w:rsidRPr="000144D7">
        <w:t xml:space="preserve"> need. </w:t>
      </w:r>
      <w:r w:rsidR="00E30889" w:rsidRPr="000144D7">
        <w:t xml:space="preserve">The PBAC noted that </w:t>
      </w:r>
      <w:r w:rsidR="0010178F" w:rsidRPr="000144D7">
        <w:t xml:space="preserve">some rare tissue types were not dMMR/MSI-H </w:t>
      </w:r>
      <w:r w:rsidR="0072104D" w:rsidRPr="000144D7">
        <w:t>n</w:t>
      </w:r>
      <w:r w:rsidR="003D7F33" w:rsidRPr="000144D7">
        <w:t>or TMB-H and consequen</w:t>
      </w:r>
      <w:r w:rsidR="00B16F4A" w:rsidRPr="000144D7">
        <w:t xml:space="preserve">tly </w:t>
      </w:r>
      <w:r w:rsidR="00987D1B" w:rsidRPr="000144D7">
        <w:t xml:space="preserve">did not have </w:t>
      </w:r>
      <w:r w:rsidR="00530F3B" w:rsidRPr="000144D7">
        <w:t>(</w:t>
      </w:r>
      <w:r w:rsidR="00987D1B" w:rsidRPr="000144D7">
        <w:t xml:space="preserve">and were unlikely to </w:t>
      </w:r>
      <w:r w:rsidR="001F5F92">
        <w:t>obtain</w:t>
      </w:r>
      <w:r w:rsidR="00530F3B" w:rsidRPr="000144D7">
        <w:t>)</w:t>
      </w:r>
      <w:r w:rsidR="00987D1B" w:rsidRPr="000144D7">
        <w:t xml:space="preserve"> </w:t>
      </w:r>
      <w:r w:rsidR="00E0242B" w:rsidRPr="000144D7">
        <w:t>a registered TGA indication.</w:t>
      </w:r>
    </w:p>
    <w:p w14:paraId="1CE38798" w14:textId="19274FF0" w:rsidR="00A54E0B" w:rsidRPr="000144D7" w:rsidRDefault="00E35B7A" w:rsidP="000144D7">
      <w:pPr>
        <w:pStyle w:val="3-BodyText"/>
      </w:pPr>
      <w:r>
        <w:t xml:space="preserve">The </w:t>
      </w:r>
      <w:r w:rsidR="00FD6763" w:rsidRPr="000144D7">
        <w:t xml:space="preserve">PBAC noted that </w:t>
      </w:r>
      <w:r w:rsidR="007D1C39" w:rsidRPr="000144D7">
        <w:t xml:space="preserve">the financial estimates for </w:t>
      </w:r>
      <w:r w:rsidR="00FD6763" w:rsidRPr="000144D7">
        <w:t>any multi</w:t>
      </w:r>
      <w:r w:rsidR="007A2C76" w:rsidRPr="000144D7">
        <w:t xml:space="preserve">-indication listing would </w:t>
      </w:r>
      <w:r w:rsidR="00A55995" w:rsidRPr="000144D7">
        <w:t xml:space="preserve">inherently </w:t>
      </w:r>
      <w:r w:rsidR="00EE27D2" w:rsidRPr="000144D7">
        <w:t>be subject to</w:t>
      </w:r>
      <w:r w:rsidR="00170FBA" w:rsidRPr="000144D7">
        <w:t xml:space="preserve"> uncertainty. </w:t>
      </w:r>
      <w:r w:rsidR="00445840" w:rsidRPr="000144D7">
        <w:t xml:space="preserve">Any proposal for a multi-indication listing should include </w:t>
      </w:r>
      <w:r w:rsidR="00BF6556" w:rsidRPr="000144D7">
        <w:t>a</w:t>
      </w:r>
      <w:r w:rsidR="0069298A" w:rsidRPr="000144D7">
        <w:t xml:space="preserve"> risk-shar</w:t>
      </w:r>
      <w:r w:rsidR="00F84956">
        <w:t>ing</w:t>
      </w:r>
      <w:r w:rsidR="0069298A" w:rsidRPr="000144D7">
        <w:t xml:space="preserve"> a</w:t>
      </w:r>
      <w:r w:rsidR="00F84956">
        <w:t>rrangement</w:t>
      </w:r>
      <w:r w:rsidR="00BF6556" w:rsidRPr="000144D7">
        <w:t xml:space="preserve"> that </w:t>
      </w:r>
      <w:bookmarkEnd w:id="0"/>
      <w:r w:rsidR="00414F60" w:rsidRPr="000144D7">
        <w:t>shared the ri</w:t>
      </w:r>
      <w:r w:rsidR="00A02996" w:rsidRPr="000144D7">
        <w:t xml:space="preserve">sk associated with this uncertainty between the Sponsor and the </w:t>
      </w:r>
      <w:r w:rsidR="00DD6B9B" w:rsidRPr="000144D7">
        <w:t>Commonwealth</w:t>
      </w:r>
      <w:r w:rsidR="00A02996" w:rsidRPr="000144D7">
        <w:t>.</w:t>
      </w:r>
    </w:p>
    <w:p w14:paraId="1C47F8CA" w14:textId="37036E9D" w:rsidR="007472BE" w:rsidRPr="000144D7" w:rsidRDefault="00E35B7A" w:rsidP="000144D7">
      <w:pPr>
        <w:pStyle w:val="3-BodyText"/>
      </w:pPr>
      <w:r>
        <w:lastRenderedPageBreak/>
        <w:t xml:space="preserve">The </w:t>
      </w:r>
      <w:r w:rsidR="008C00E6" w:rsidRPr="000144D7">
        <w:t>PBAC also advised that</w:t>
      </w:r>
      <w:r w:rsidR="00856E96" w:rsidRPr="000144D7">
        <w:t xml:space="preserve"> </w:t>
      </w:r>
      <w:r w:rsidR="007472BE" w:rsidRPr="000144D7">
        <w:t xml:space="preserve">access to indications where PD-(L)1 inhibitors are used in combination with other high-cost agents </w:t>
      </w:r>
      <w:r w:rsidR="00C67E5D" w:rsidRPr="000144D7">
        <w:t xml:space="preserve">should </w:t>
      </w:r>
      <w:r w:rsidR="007472BE" w:rsidRPr="000144D7">
        <w:t xml:space="preserve">not </w:t>
      </w:r>
      <w:r w:rsidR="00C67E5D" w:rsidRPr="000144D7">
        <w:t xml:space="preserve">be </w:t>
      </w:r>
      <w:r w:rsidR="007472BE" w:rsidRPr="000144D7">
        <w:t>affected</w:t>
      </w:r>
      <w:r w:rsidR="007C08E5">
        <w:t>.</w:t>
      </w:r>
      <w:r w:rsidR="007C08E5" w:rsidRPr="000144D7">
        <w:t xml:space="preserve"> </w:t>
      </w:r>
      <w:r w:rsidR="008C00E6" w:rsidRPr="000144D7">
        <w:t>A</w:t>
      </w:r>
      <w:r w:rsidR="007472BE" w:rsidRPr="000144D7">
        <w:t xml:space="preserve"> PBS listing which provided access to one of the components </w:t>
      </w:r>
      <w:r w:rsidR="00506D31" w:rsidRPr="000144D7">
        <w:t xml:space="preserve">of a combination regimen </w:t>
      </w:r>
      <w:r w:rsidR="007472BE" w:rsidRPr="000144D7">
        <w:t>ahead of the other(s) would be problematic.</w:t>
      </w:r>
    </w:p>
    <w:p w14:paraId="3110EBCC" w14:textId="35866D7D" w:rsidR="00D65B9A" w:rsidRDefault="00FE2A1C" w:rsidP="00C95B4E">
      <w:pPr>
        <w:pStyle w:val="2-SectionHeading"/>
      </w:pPr>
      <w:r>
        <w:t>Outline of July 2025 Proposal</w:t>
      </w:r>
    </w:p>
    <w:p w14:paraId="27F0AD74" w14:textId="64CE09C3" w:rsidR="00A64088" w:rsidRDefault="00A65248" w:rsidP="00450A1D">
      <w:pPr>
        <w:pStyle w:val="3-BodyText"/>
      </w:pPr>
      <w:r w:rsidRPr="000144D7">
        <w:t xml:space="preserve">The </w:t>
      </w:r>
      <w:r w:rsidR="005F2810">
        <w:t xml:space="preserve">submission </w:t>
      </w:r>
      <w:r w:rsidR="00E22A99">
        <w:t>propose</w:t>
      </w:r>
      <w:r w:rsidR="00E63289">
        <w:t>d</w:t>
      </w:r>
      <w:r w:rsidR="005F2810">
        <w:t xml:space="preserve"> a single </w:t>
      </w:r>
      <w:r w:rsidRPr="000144D7">
        <w:t>weighted</w:t>
      </w:r>
      <w:r w:rsidR="00D84CE4">
        <w:t xml:space="preserve">, effective </w:t>
      </w:r>
      <w:r w:rsidR="005F2810">
        <w:t>approved ex-manufacturer price (AEMP)</w:t>
      </w:r>
      <w:r w:rsidR="00903AA1">
        <w:t xml:space="preserve"> (‘weighted price’</w:t>
      </w:r>
      <w:r w:rsidR="000A0A16" w:rsidRPr="000144D7">
        <w:t xml:space="preserve"> </w:t>
      </w:r>
      <w:r w:rsidR="00903AA1">
        <w:t xml:space="preserve">hereafter) </w:t>
      </w:r>
      <w:r w:rsidRPr="000144D7">
        <w:t>for</w:t>
      </w:r>
      <w:r w:rsidR="00903AA1">
        <w:t xml:space="preserve"> each of</w:t>
      </w:r>
      <w:r w:rsidRPr="000144D7">
        <w:t xml:space="preserve"> </w:t>
      </w:r>
      <w:r w:rsidR="00E56519" w:rsidRPr="000144D7">
        <w:t>nivolumab and ipilimumab</w:t>
      </w:r>
      <w:r w:rsidR="001B5E8D" w:rsidRPr="000144D7">
        <w:t xml:space="preserve"> </w:t>
      </w:r>
      <w:r w:rsidR="006909BC" w:rsidRPr="000144D7">
        <w:t>based</w:t>
      </w:r>
      <w:r w:rsidR="006909BC">
        <w:t xml:space="preserve"> on existing</w:t>
      </w:r>
      <w:r w:rsidR="00E63289">
        <w:t xml:space="preserve"> PBS listed</w:t>
      </w:r>
      <w:r w:rsidR="006909BC">
        <w:t xml:space="preserve"> indications</w:t>
      </w:r>
      <w:r w:rsidR="00903AA1">
        <w:t>. The proposed weighted prices</w:t>
      </w:r>
      <w:r w:rsidR="006909BC">
        <w:t xml:space="preserve"> </w:t>
      </w:r>
      <w:r w:rsidR="00837A48">
        <w:t>are</w:t>
      </w:r>
      <w:r w:rsidR="004A6476">
        <w:t xml:space="preserve"> set out </w:t>
      </w:r>
      <w:r w:rsidR="007254AE">
        <w:t xml:space="preserve">in </w:t>
      </w:r>
      <w:r w:rsidR="007254AE">
        <w:fldChar w:fldCharType="begin" w:fldLock="1"/>
      </w:r>
      <w:r w:rsidR="007254AE">
        <w:instrText xml:space="preserve"> REF _Ref200967497 \h </w:instrText>
      </w:r>
      <w:r w:rsidR="007254AE">
        <w:fldChar w:fldCharType="separate"/>
      </w:r>
      <w:r w:rsidR="006228A5">
        <w:t xml:space="preserve">Table </w:t>
      </w:r>
      <w:r w:rsidR="006228A5">
        <w:rPr>
          <w:noProof/>
        </w:rPr>
        <w:t>1</w:t>
      </w:r>
      <w:r w:rsidR="007254AE">
        <w:fldChar w:fldCharType="end"/>
      </w:r>
      <w:r w:rsidR="004A6476">
        <w:t xml:space="preserve"> as</w:t>
      </w:r>
      <w:r w:rsidR="006D6A15">
        <w:t xml:space="preserve"> a</w:t>
      </w:r>
      <w:r w:rsidR="004A6476">
        <w:t xml:space="preserve"> </w:t>
      </w:r>
      <w:r w:rsidR="00903AA1">
        <w:t xml:space="preserve">price </w:t>
      </w:r>
      <w:r w:rsidR="00041015">
        <w:t xml:space="preserve">per vial and </w:t>
      </w:r>
      <w:r w:rsidR="00903AA1">
        <w:t xml:space="preserve">price </w:t>
      </w:r>
      <w:r w:rsidR="00041015">
        <w:t>per 4-week treatment at standard doses (q4w)</w:t>
      </w:r>
      <w:r w:rsidR="006D6A15">
        <w:t xml:space="preserve"> for nivolumab</w:t>
      </w:r>
      <w:r w:rsidR="00AE05EB">
        <w:t>.</w:t>
      </w:r>
      <w:r w:rsidR="00837A48">
        <w:t xml:space="preserve"> </w:t>
      </w:r>
    </w:p>
    <w:p w14:paraId="03F0A92B" w14:textId="20B1BA1C" w:rsidR="007254AE" w:rsidRDefault="007254AE" w:rsidP="001260D8">
      <w:pPr>
        <w:pStyle w:val="Caption"/>
        <w:keepNext/>
      </w:pPr>
      <w:bookmarkStart w:id="1" w:name="_Ref200967497"/>
      <w:r>
        <w:t xml:space="preserve">Table </w:t>
      </w:r>
      <w:r w:rsidR="006228A5">
        <w:fldChar w:fldCharType="begin" w:fldLock="1"/>
      </w:r>
      <w:r w:rsidR="006228A5">
        <w:instrText xml:space="preserve"> SEQ Table \* ARABIC </w:instrText>
      </w:r>
      <w:r w:rsidR="006228A5">
        <w:fldChar w:fldCharType="separate"/>
      </w:r>
      <w:r w:rsidR="006228A5">
        <w:rPr>
          <w:noProof/>
        </w:rPr>
        <w:t>1</w:t>
      </w:r>
      <w:r w:rsidR="006228A5">
        <w:rPr>
          <w:noProof/>
        </w:rPr>
        <w:fldChar w:fldCharType="end"/>
      </w:r>
      <w:bookmarkEnd w:id="1"/>
      <w:r>
        <w:t>: Current and previous proposed weighted prices per vial and per four-weeks of treatment for nivolumab and ipilimumab</w:t>
      </w:r>
    </w:p>
    <w:tbl>
      <w:tblPr>
        <w:tblStyle w:val="TableGrid"/>
        <w:tblW w:w="5000" w:type="pct"/>
        <w:tblLook w:val="04A0" w:firstRow="1" w:lastRow="0" w:firstColumn="1" w:lastColumn="0" w:noHBand="0" w:noVBand="1"/>
        <w:tblCaption w:val="Table 1: Current and previous proposed weighted prices per vial and per four-weeks of treatment for nivolumab and ipilimumab"/>
      </w:tblPr>
      <w:tblGrid>
        <w:gridCol w:w="2159"/>
        <w:gridCol w:w="1702"/>
        <w:gridCol w:w="1666"/>
        <w:gridCol w:w="1702"/>
        <w:gridCol w:w="1787"/>
      </w:tblGrid>
      <w:tr w:rsidR="006D6A15" w14:paraId="694C4FC6" w14:textId="77777777" w:rsidTr="00C546A7">
        <w:tc>
          <w:tcPr>
            <w:tcW w:w="1197" w:type="pct"/>
          </w:tcPr>
          <w:p w14:paraId="499FFF49" w14:textId="0E3EA8DA" w:rsidR="006D6A15" w:rsidRDefault="006D6A15" w:rsidP="001260D8">
            <w:pPr>
              <w:pStyle w:val="In-tableHeading"/>
            </w:pPr>
            <w:r>
              <w:t>Medicine</w:t>
            </w:r>
          </w:p>
        </w:tc>
        <w:tc>
          <w:tcPr>
            <w:tcW w:w="944" w:type="pct"/>
          </w:tcPr>
          <w:p w14:paraId="1A11700F" w14:textId="4364EAEB" w:rsidR="006D6A15" w:rsidRDefault="006D6A15" w:rsidP="001260D8">
            <w:pPr>
              <w:pStyle w:val="In-tableHeading"/>
            </w:pPr>
            <w:r>
              <w:t>December 2024 Proposed price per vial</w:t>
            </w:r>
          </w:p>
        </w:tc>
        <w:tc>
          <w:tcPr>
            <w:tcW w:w="924" w:type="pct"/>
          </w:tcPr>
          <w:p w14:paraId="2A04AF71" w14:textId="0E5D353B" w:rsidR="006D6A15" w:rsidRDefault="006D6A15" w:rsidP="001260D8">
            <w:pPr>
              <w:pStyle w:val="In-tableHeading"/>
            </w:pPr>
            <w:r>
              <w:t>Current proposed price per vial</w:t>
            </w:r>
          </w:p>
        </w:tc>
        <w:tc>
          <w:tcPr>
            <w:tcW w:w="944" w:type="pct"/>
          </w:tcPr>
          <w:p w14:paraId="10CB3A2D" w14:textId="34AE549B" w:rsidR="006D6A15" w:rsidRDefault="006D6A15" w:rsidP="001260D8">
            <w:pPr>
              <w:pStyle w:val="In-tableHeading"/>
            </w:pPr>
            <w:r>
              <w:t>December 2024 Proposed price per q4w</w:t>
            </w:r>
          </w:p>
        </w:tc>
        <w:tc>
          <w:tcPr>
            <w:tcW w:w="992" w:type="pct"/>
          </w:tcPr>
          <w:p w14:paraId="5F8385B2" w14:textId="16A7C8B8" w:rsidR="006D6A15" w:rsidRDefault="006D6A15" w:rsidP="001260D8">
            <w:pPr>
              <w:pStyle w:val="In-tableHeading"/>
            </w:pPr>
            <w:r>
              <w:t>Current proposed price per q4w</w:t>
            </w:r>
          </w:p>
        </w:tc>
      </w:tr>
      <w:tr w:rsidR="006D6A15" w14:paraId="29658CF7" w14:textId="77777777" w:rsidTr="00C546A7">
        <w:tc>
          <w:tcPr>
            <w:tcW w:w="1197" w:type="pct"/>
          </w:tcPr>
          <w:p w14:paraId="2AB72BCF" w14:textId="270948E3" w:rsidR="006D6A15" w:rsidRDefault="006D6A15" w:rsidP="001260D8">
            <w:pPr>
              <w:pStyle w:val="TableText0"/>
            </w:pPr>
            <w:r>
              <w:t>Nivolumab 100 mg</w:t>
            </w:r>
          </w:p>
        </w:tc>
        <w:tc>
          <w:tcPr>
            <w:tcW w:w="944" w:type="pct"/>
          </w:tcPr>
          <w:p w14:paraId="50187BCA" w14:textId="5B4355B9" w:rsidR="006D6A15" w:rsidRDefault="006D6A15" w:rsidP="00061E67">
            <w:pPr>
              <w:pStyle w:val="TableText0"/>
              <w:jc w:val="right"/>
            </w:pPr>
            <w:r>
              <w:t>$</w:t>
            </w:r>
            <w:r w:rsidR="00C546A7" w:rsidRPr="00C546A7">
              <w:rPr>
                <w:color w:val="000000"/>
                <w:spacing w:val="55"/>
                <w:shd w:val="solid" w:color="000000" w:fill="000000"/>
                <w:fitText w:val="336" w:id="-628400640"/>
                <w14:textFill>
                  <w14:solidFill>
                    <w14:srgbClr w14:val="000000">
                      <w14:alpha w14:val="100000"/>
                    </w14:srgbClr>
                  </w14:solidFill>
                </w14:textFill>
              </w:rPr>
              <w:t>|||</w:t>
            </w:r>
            <w:r w:rsidR="00C546A7" w:rsidRPr="00C546A7">
              <w:rPr>
                <w:color w:val="000000"/>
                <w:spacing w:val="1"/>
                <w:shd w:val="solid" w:color="000000" w:fill="000000"/>
                <w:fitText w:val="336" w:id="-628400640"/>
                <w14:textFill>
                  <w14:solidFill>
                    <w14:srgbClr w14:val="000000">
                      <w14:alpha w14:val="100000"/>
                    </w14:srgbClr>
                  </w14:solidFill>
                </w14:textFill>
              </w:rPr>
              <w:t>|</w:t>
            </w:r>
          </w:p>
        </w:tc>
        <w:tc>
          <w:tcPr>
            <w:tcW w:w="924" w:type="pct"/>
          </w:tcPr>
          <w:p w14:paraId="5651DB2F" w14:textId="30191416" w:rsidR="006D6A15" w:rsidRDefault="006D6A15" w:rsidP="00061E67">
            <w:pPr>
              <w:pStyle w:val="TableText0"/>
              <w:jc w:val="right"/>
            </w:pPr>
            <w:r>
              <w:t>$</w:t>
            </w:r>
            <w:r w:rsidR="00C546A7" w:rsidRPr="00C546A7">
              <w:rPr>
                <w:color w:val="000000"/>
                <w:spacing w:val="55"/>
                <w:shd w:val="solid" w:color="000000" w:fill="000000"/>
                <w:fitText w:val="336" w:id="-628400639"/>
                <w14:textFill>
                  <w14:solidFill>
                    <w14:srgbClr w14:val="000000">
                      <w14:alpha w14:val="100000"/>
                    </w14:srgbClr>
                  </w14:solidFill>
                </w14:textFill>
              </w:rPr>
              <w:t>|||</w:t>
            </w:r>
            <w:r w:rsidR="00C546A7" w:rsidRPr="00C546A7">
              <w:rPr>
                <w:color w:val="000000"/>
                <w:spacing w:val="1"/>
                <w:shd w:val="solid" w:color="000000" w:fill="000000"/>
                <w:fitText w:val="336" w:id="-628400639"/>
                <w14:textFill>
                  <w14:solidFill>
                    <w14:srgbClr w14:val="000000">
                      <w14:alpha w14:val="100000"/>
                    </w14:srgbClr>
                  </w14:solidFill>
                </w14:textFill>
              </w:rPr>
              <w:t>|</w:t>
            </w:r>
          </w:p>
        </w:tc>
        <w:tc>
          <w:tcPr>
            <w:tcW w:w="944" w:type="pct"/>
          </w:tcPr>
          <w:p w14:paraId="1D527C02" w14:textId="1870FB94" w:rsidR="006D6A15" w:rsidRDefault="006D6A15" w:rsidP="00061E67">
            <w:pPr>
              <w:pStyle w:val="TableText0"/>
              <w:jc w:val="right"/>
            </w:pPr>
            <w:r>
              <w:t>$</w:t>
            </w:r>
            <w:r w:rsidR="00C546A7" w:rsidRPr="00C546A7">
              <w:rPr>
                <w:color w:val="000000"/>
                <w:spacing w:val="55"/>
                <w:shd w:val="solid" w:color="000000" w:fill="000000"/>
                <w:fitText w:val="336" w:id="-628400638"/>
                <w14:textFill>
                  <w14:solidFill>
                    <w14:srgbClr w14:val="000000">
                      <w14:alpha w14:val="100000"/>
                    </w14:srgbClr>
                  </w14:solidFill>
                </w14:textFill>
              </w:rPr>
              <w:t>|||</w:t>
            </w:r>
            <w:r w:rsidR="00C546A7" w:rsidRPr="00C546A7">
              <w:rPr>
                <w:color w:val="000000"/>
                <w:spacing w:val="1"/>
                <w:shd w:val="solid" w:color="000000" w:fill="000000"/>
                <w:fitText w:val="336" w:id="-628400638"/>
                <w14:textFill>
                  <w14:solidFill>
                    <w14:srgbClr w14:val="000000">
                      <w14:alpha w14:val="100000"/>
                    </w14:srgbClr>
                  </w14:solidFill>
                </w14:textFill>
              </w:rPr>
              <w:t>|</w:t>
            </w:r>
          </w:p>
        </w:tc>
        <w:tc>
          <w:tcPr>
            <w:tcW w:w="992" w:type="pct"/>
          </w:tcPr>
          <w:p w14:paraId="006C1BB7" w14:textId="275171C5" w:rsidR="006D6A15" w:rsidRDefault="006D6A15" w:rsidP="00061E67">
            <w:pPr>
              <w:pStyle w:val="TableText0"/>
              <w:jc w:val="right"/>
            </w:pPr>
            <w:r>
              <w:t>$</w:t>
            </w:r>
            <w:r w:rsidR="00C546A7" w:rsidRPr="00C546A7">
              <w:rPr>
                <w:color w:val="000000"/>
                <w:spacing w:val="51"/>
                <w:shd w:val="solid" w:color="000000" w:fill="000000"/>
                <w:fitText w:val="324" w:id="-628400637"/>
                <w14:textFill>
                  <w14:solidFill>
                    <w14:srgbClr w14:val="000000">
                      <w14:alpha w14:val="100000"/>
                    </w14:srgbClr>
                  </w14:solidFill>
                </w14:textFill>
              </w:rPr>
              <w:t>|||</w:t>
            </w:r>
            <w:r w:rsidR="00C546A7" w:rsidRPr="00C546A7">
              <w:rPr>
                <w:color w:val="000000"/>
                <w:spacing w:val="1"/>
                <w:shd w:val="solid" w:color="000000" w:fill="000000"/>
                <w:fitText w:val="324" w:id="-628400637"/>
                <w14:textFill>
                  <w14:solidFill>
                    <w14:srgbClr w14:val="000000">
                      <w14:alpha w14:val="100000"/>
                    </w14:srgbClr>
                  </w14:solidFill>
                </w14:textFill>
              </w:rPr>
              <w:t>|</w:t>
            </w:r>
          </w:p>
        </w:tc>
      </w:tr>
      <w:tr w:rsidR="006D6A15" w14:paraId="10E0F8AF" w14:textId="77777777" w:rsidTr="00C546A7">
        <w:tc>
          <w:tcPr>
            <w:tcW w:w="1197" w:type="pct"/>
          </w:tcPr>
          <w:p w14:paraId="39682512" w14:textId="50A76243" w:rsidR="006D6A15" w:rsidRDefault="006D6A15" w:rsidP="001260D8">
            <w:pPr>
              <w:pStyle w:val="TableText0"/>
            </w:pPr>
            <w:r>
              <w:t>Ipilimumab 50 mg</w:t>
            </w:r>
          </w:p>
        </w:tc>
        <w:tc>
          <w:tcPr>
            <w:tcW w:w="944" w:type="pct"/>
          </w:tcPr>
          <w:p w14:paraId="6B62FE0D" w14:textId="246BAE32" w:rsidR="006D6A15" w:rsidRDefault="006D6A15" w:rsidP="00061E67">
            <w:pPr>
              <w:pStyle w:val="TableText0"/>
              <w:jc w:val="right"/>
            </w:pPr>
            <w:r>
              <w:t>$</w:t>
            </w:r>
            <w:r w:rsidR="00C546A7" w:rsidRPr="00C546A7">
              <w:rPr>
                <w:color w:val="000000"/>
                <w:spacing w:val="55"/>
                <w:shd w:val="solid" w:color="000000" w:fill="000000"/>
                <w:fitText w:val="336" w:id="-628400636"/>
                <w14:textFill>
                  <w14:solidFill>
                    <w14:srgbClr w14:val="000000">
                      <w14:alpha w14:val="100000"/>
                    </w14:srgbClr>
                  </w14:solidFill>
                </w14:textFill>
              </w:rPr>
              <w:t>|||</w:t>
            </w:r>
            <w:r w:rsidR="00C546A7" w:rsidRPr="00C546A7">
              <w:rPr>
                <w:color w:val="000000"/>
                <w:spacing w:val="1"/>
                <w:shd w:val="solid" w:color="000000" w:fill="000000"/>
                <w:fitText w:val="336" w:id="-628400636"/>
                <w14:textFill>
                  <w14:solidFill>
                    <w14:srgbClr w14:val="000000">
                      <w14:alpha w14:val="100000"/>
                    </w14:srgbClr>
                  </w14:solidFill>
                </w14:textFill>
              </w:rPr>
              <w:t>|</w:t>
            </w:r>
          </w:p>
        </w:tc>
        <w:tc>
          <w:tcPr>
            <w:tcW w:w="924" w:type="pct"/>
          </w:tcPr>
          <w:p w14:paraId="4FB922BF" w14:textId="0B8DC000" w:rsidR="006D6A15" w:rsidRDefault="006D6A15" w:rsidP="00061E67">
            <w:pPr>
              <w:pStyle w:val="TableText0"/>
              <w:jc w:val="right"/>
            </w:pPr>
            <w:r>
              <w:t>$</w:t>
            </w:r>
            <w:r w:rsidR="00C546A7" w:rsidRPr="00C546A7">
              <w:rPr>
                <w:color w:val="000000"/>
                <w:spacing w:val="39"/>
                <w:shd w:val="solid" w:color="000000" w:fill="000000"/>
                <w:fitText w:val="336" w:id="-628400635"/>
                <w14:textFill>
                  <w14:solidFill>
                    <w14:srgbClr w14:val="000000">
                      <w14:alpha w14:val="100000"/>
                    </w14:srgbClr>
                  </w14:solidFill>
                </w14:textFill>
              </w:rPr>
              <w:t>||||</w:t>
            </w:r>
          </w:p>
        </w:tc>
        <w:tc>
          <w:tcPr>
            <w:tcW w:w="944" w:type="pct"/>
          </w:tcPr>
          <w:p w14:paraId="0C76D421" w14:textId="561D2105" w:rsidR="006D6A15" w:rsidRDefault="006D6A15" w:rsidP="00061E67">
            <w:pPr>
              <w:pStyle w:val="TableText0"/>
              <w:jc w:val="right"/>
            </w:pPr>
            <w:r>
              <w:t>N/A</w:t>
            </w:r>
          </w:p>
        </w:tc>
        <w:tc>
          <w:tcPr>
            <w:tcW w:w="992" w:type="pct"/>
          </w:tcPr>
          <w:p w14:paraId="45B4A831" w14:textId="308FF7FC" w:rsidR="006D6A15" w:rsidRDefault="006D6A15" w:rsidP="00061E67">
            <w:pPr>
              <w:pStyle w:val="TableText0"/>
              <w:jc w:val="right"/>
            </w:pPr>
            <w:r>
              <w:t>N/A</w:t>
            </w:r>
          </w:p>
        </w:tc>
      </w:tr>
    </w:tbl>
    <w:p w14:paraId="2597B629" w14:textId="25954184" w:rsidR="004926B2" w:rsidRPr="000144D7" w:rsidRDefault="004926B2" w:rsidP="004926B2">
      <w:pPr>
        <w:pStyle w:val="3-BodyText"/>
      </w:pPr>
      <w:r w:rsidRPr="000144D7">
        <w:t>The</w:t>
      </w:r>
      <w:r w:rsidR="008A299F">
        <w:t xml:space="preserve"> December 2023 and September 2024 </w:t>
      </w:r>
      <w:r w:rsidR="00BE063C">
        <w:t xml:space="preserve">proposals </w:t>
      </w:r>
      <w:r w:rsidR="00605DD8">
        <w:t>requested</w:t>
      </w:r>
      <w:r w:rsidRPr="000144D7">
        <w:t xml:space="preserve"> </w:t>
      </w:r>
      <w:r>
        <w:t>a</w:t>
      </w:r>
      <w:r w:rsidRPr="000144D7">
        <w:t xml:space="preserve"> price-volume </w:t>
      </w:r>
      <w:r w:rsidR="00813CF2">
        <w:t>agreement</w:t>
      </w:r>
      <w:r w:rsidRPr="000144D7">
        <w:t xml:space="preserve"> (PVA) </w:t>
      </w:r>
      <w:r w:rsidR="000079EE">
        <w:t xml:space="preserve">with </w:t>
      </w:r>
      <w:r w:rsidRPr="000144D7">
        <w:t xml:space="preserve">fixed price reductions over future years to offset increased utilisation due to additional indications. These fixed reductions were based on forecast utilisation across a five-year period. The </w:t>
      </w:r>
      <w:r>
        <w:t xml:space="preserve">RSA proposal </w:t>
      </w:r>
      <w:r w:rsidRPr="000144D7">
        <w:t>in the current submission is different in that it proposes</w:t>
      </w:r>
    </w:p>
    <w:p w14:paraId="073294ED" w14:textId="38AA94EB" w:rsidR="004926B2" w:rsidRDefault="00C546A7" w:rsidP="004926B2">
      <w:pPr>
        <w:pStyle w:val="3Bodytext"/>
        <w:numPr>
          <w:ilvl w:val="0"/>
          <w:numId w:val="12"/>
        </w:numPr>
        <w:spacing w:after="0"/>
      </w:pPr>
      <w:r w:rsidRPr="00C546A7">
        <w:rPr>
          <w:color w:val="000000"/>
          <w:w w:val="74"/>
          <w:shd w:val="solid" w:color="000000" w:fill="000000"/>
          <w:fitText w:val="492" w:id="-628400634"/>
          <w14:textFill>
            <w14:solidFill>
              <w14:srgbClr w14:val="000000">
                <w14:alpha w14:val="100000"/>
              </w14:srgbClr>
            </w14:solidFill>
          </w14:textFill>
        </w:rPr>
        <w:t>|||||</w:t>
      </w:r>
      <w:r w:rsidRPr="00C546A7">
        <w:rPr>
          <w:color w:val="000000"/>
          <w:spacing w:val="1"/>
          <w:w w:val="74"/>
          <w:shd w:val="solid" w:color="000000" w:fill="000000"/>
          <w:fitText w:val="492" w:id="-628400634"/>
          <w14:textFill>
            <w14:solidFill>
              <w14:srgbClr w14:val="000000">
                <w14:alpha w14:val="100000"/>
              </w14:srgbClr>
            </w14:solidFill>
          </w14:textFill>
        </w:rPr>
        <w:t>|</w:t>
      </w:r>
      <w:r w:rsidR="004926B2">
        <w:t xml:space="preserve"> subsidisation caps </w:t>
      </w:r>
      <w:r w:rsidRPr="00C546A7">
        <w:rPr>
          <w:color w:val="000000"/>
          <w:w w:val="74"/>
          <w:shd w:val="solid" w:color="000000" w:fill="000000"/>
          <w:fitText w:val="492" w:id="-628400633"/>
          <w14:textFill>
            <w14:solidFill>
              <w14:srgbClr w14:val="000000">
                <w14:alpha w14:val="100000"/>
              </w14:srgbClr>
            </w14:solidFill>
          </w14:textFill>
        </w:rPr>
        <w:t>|||||</w:t>
      </w:r>
      <w:r w:rsidRPr="00C546A7">
        <w:rPr>
          <w:color w:val="000000"/>
          <w:spacing w:val="1"/>
          <w:w w:val="74"/>
          <w:shd w:val="solid" w:color="000000" w:fill="000000"/>
          <w:fitText w:val="492" w:id="-628400633"/>
          <w14:textFill>
            <w14:solidFill>
              <w14:srgbClr w14:val="000000">
                <w14:alpha w14:val="100000"/>
              </w14:srgbClr>
            </w14:solidFill>
          </w14:textFill>
        </w:rPr>
        <w:t>|</w:t>
      </w:r>
    </w:p>
    <w:p w14:paraId="123BC7E6" w14:textId="6063414B" w:rsidR="004926B2" w:rsidRDefault="00C546A7" w:rsidP="004926B2">
      <w:pPr>
        <w:pStyle w:val="3Bodytext"/>
        <w:numPr>
          <w:ilvl w:val="0"/>
          <w:numId w:val="12"/>
        </w:numPr>
        <w:spacing w:after="0"/>
      </w:pPr>
      <w:r w:rsidRPr="00C546A7">
        <w:rPr>
          <w:color w:val="000000"/>
          <w:w w:val="74"/>
          <w:shd w:val="solid" w:color="000000" w:fill="000000"/>
          <w:fitText w:val="492" w:id="-628400632"/>
          <w14:textFill>
            <w14:solidFill>
              <w14:srgbClr w14:val="000000">
                <w14:alpha w14:val="100000"/>
              </w14:srgbClr>
            </w14:solidFill>
          </w14:textFill>
        </w:rPr>
        <w:t>|||||</w:t>
      </w:r>
      <w:r w:rsidRPr="00C546A7">
        <w:rPr>
          <w:color w:val="000000"/>
          <w:spacing w:val="1"/>
          <w:w w:val="74"/>
          <w:shd w:val="solid" w:color="000000" w:fill="000000"/>
          <w:fitText w:val="492" w:id="-628400632"/>
          <w14:textFill>
            <w14:solidFill>
              <w14:srgbClr w14:val="000000">
                <w14:alpha w14:val="100000"/>
              </w14:srgbClr>
            </w14:solidFill>
          </w14:textFill>
        </w:rPr>
        <w:t>|</w:t>
      </w:r>
      <w:r w:rsidR="004926B2">
        <w:t xml:space="preserve">. </w:t>
      </w:r>
    </w:p>
    <w:p w14:paraId="06FD4EF6" w14:textId="74B2A5A8" w:rsidR="004926B2" w:rsidRDefault="00C546A7" w:rsidP="004926B2">
      <w:pPr>
        <w:pStyle w:val="3Bodytext"/>
        <w:numPr>
          <w:ilvl w:val="0"/>
          <w:numId w:val="12"/>
        </w:numPr>
        <w:spacing w:after="0"/>
      </w:pPr>
      <w:r w:rsidRPr="00C546A7">
        <w:rPr>
          <w:color w:val="000000"/>
          <w:w w:val="74"/>
          <w:shd w:val="solid" w:color="000000" w:fill="000000"/>
          <w:fitText w:val="492" w:id="-628400631"/>
          <w14:textFill>
            <w14:solidFill>
              <w14:srgbClr w14:val="000000">
                <w14:alpha w14:val="100000"/>
              </w14:srgbClr>
            </w14:solidFill>
          </w14:textFill>
        </w:rPr>
        <w:t>|||||</w:t>
      </w:r>
      <w:r w:rsidRPr="00C546A7">
        <w:rPr>
          <w:color w:val="000000"/>
          <w:spacing w:val="1"/>
          <w:w w:val="74"/>
          <w:shd w:val="solid" w:color="000000" w:fill="000000"/>
          <w:fitText w:val="492" w:id="-628400631"/>
          <w14:textFill>
            <w14:solidFill>
              <w14:srgbClr w14:val="000000">
                <w14:alpha w14:val="100000"/>
              </w14:srgbClr>
            </w14:solidFill>
          </w14:textFill>
        </w:rPr>
        <w:t>|</w:t>
      </w:r>
      <w:r w:rsidR="004926B2">
        <w:t xml:space="preserve"> proposed a </w:t>
      </w:r>
      <w:r w:rsidRPr="00C546A7">
        <w:rPr>
          <w:color w:val="000000"/>
          <w:w w:val="74"/>
          <w:shd w:val="solid" w:color="000000" w:fill="000000"/>
          <w:fitText w:val="492" w:id="-628400630"/>
          <w14:textFill>
            <w14:solidFill>
              <w14:srgbClr w14:val="000000">
                <w14:alpha w14:val="100000"/>
              </w14:srgbClr>
            </w14:solidFill>
          </w14:textFill>
        </w:rPr>
        <w:t>|||||</w:t>
      </w:r>
      <w:r w:rsidRPr="00C546A7">
        <w:rPr>
          <w:color w:val="000000"/>
          <w:spacing w:val="1"/>
          <w:w w:val="74"/>
          <w:shd w:val="solid" w:color="000000" w:fill="000000"/>
          <w:fitText w:val="492" w:id="-628400630"/>
          <w14:textFill>
            <w14:solidFill>
              <w14:srgbClr w14:val="000000">
                <w14:alpha w14:val="100000"/>
              </w14:srgbClr>
            </w14:solidFill>
          </w14:textFill>
        </w:rPr>
        <w:t>|</w:t>
      </w:r>
      <w:r w:rsidR="004926B2">
        <w:t xml:space="preserve"> </w:t>
      </w:r>
      <w:r w:rsidR="006F1D81">
        <w:t xml:space="preserve">rebate </w:t>
      </w:r>
      <w:r w:rsidR="004926B2">
        <w:t xml:space="preserve">for </w:t>
      </w:r>
      <w:r w:rsidR="00025924">
        <w:t>expenditure</w:t>
      </w:r>
      <w:r w:rsidR="004926B2">
        <w:t xml:space="preserve"> </w:t>
      </w:r>
      <w:r w:rsidRPr="00C546A7">
        <w:rPr>
          <w:color w:val="000000"/>
          <w:w w:val="74"/>
          <w:shd w:val="solid" w:color="000000" w:fill="000000"/>
          <w:fitText w:val="492" w:id="-628400629"/>
          <w14:textFill>
            <w14:solidFill>
              <w14:srgbClr w14:val="000000">
                <w14:alpha w14:val="100000"/>
              </w14:srgbClr>
            </w14:solidFill>
          </w14:textFill>
        </w:rPr>
        <w:t>|||||</w:t>
      </w:r>
      <w:r w:rsidRPr="00C546A7">
        <w:rPr>
          <w:color w:val="000000"/>
          <w:spacing w:val="1"/>
          <w:w w:val="74"/>
          <w:shd w:val="solid" w:color="000000" w:fill="000000"/>
          <w:fitText w:val="492" w:id="-628400629"/>
          <w14:textFill>
            <w14:solidFill>
              <w14:srgbClr w14:val="000000">
                <w14:alpha w14:val="100000"/>
              </w14:srgbClr>
            </w14:solidFill>
          </w14:textFill>
        </w:rPr>
        <w:t>|</w:t>
      </w:r>
      <w:r w:rsidR="004926B2">
        <w:t xml:space="preserve">. </w:t>
      </w:r>
    </w:p>
    <w:p w14:paraId="030D19A8" w14:textId="423DBACD" w:rsidR="004926B2" w:rsidRDefault="00C546A7" w:rsidP="004926B2">
      <w:pPr>
        <w:pStyle w:val="3Bodytext"/>
        <w:numPr>
          <w:ilvl w:val="0"/>
          <w:numId w:val="12"/>
        </w:numPr>
        <w:spacing w:after="0"/>
      </w:pPr>
      <w:r w:rsidRPr="00C546A7">
        <w:rPr>
          <w:color w:val="000000"/>
          <w:w w:val="74"/>
          <w:shd w:val="solid" w:color="000000" w:fill="000000"/>
          <w:fitText w:val="492" w:id="-628400628"/>
          <w14:textFill>
            <w14:solidFill>
              <w14:srgbClr w14:val="000000">
                <w14:alpha w14:val="100000"/>
              </w14:srgbClr>
            </w14:solidFill>
          </w14:textFill>
        </w:rPr>
        <w:t>|||||</w:t>
      </w:r>
      <w:r w:rsidRPr="00C546A7">
        <w:rPr>
          <w:color w:val="000000"/>
          <w:spacing w:val="1"/>
          <w:w w:val="74"/>
          <w:shd w:val="solid" w:color="000000" w:fill="000000"/>
          <w:fitText w:val="492" w:id="-628400628"/>
          <w14:textFill>
            <w14:solidFill>
              <w14:srgbClr w14:val="000000">
                <w14:alpha w14:val="100000"/>
              </w14:srgbClr>
            </w14:solidFill>
          </w14:textFill>
        </w:rPr>
        <w:t>|</w:t>
      </w:r>
      <w:r w:rsidR="004926B2">
        <w:t xml:space="preserve">. </w:t>
      </w:r>
    </w:p>
    <w:p w14:paraId="4A6D9038" w14:textId="2E332C95" w:rsidR="00B3309D" w:rsidRDefault="00AD6DF8" w:rsidP="001260D8">
      <w:pPr>
        <w:pStyle w:val="3-BodyText"/>
        <w:rPr>
          <w:i/>
          <w:iCs/>
        </w:rPr>
      </w:pPr>
      <w:bookmarkStart w:id="2" w:name="_Ref201249404"/>
      <w:r>
        <w:t xml:space="preserve">In its December 2023 submission, the sponsor provided an RSA proposal that included a </w:t>
      </w:r>
      <w:r w:rsidR="00C546A7" w:rsidRPr="00C546A7">
        <w:rPr>
          <w:color w:val="000000"/>
          <w:w w:val="61"/>
          <w:shd w:val="solid" w:color="000000" w:fill="000000"/>
          <w:fitText w:val="472" w:id="-628400627"/>
          <w14:textFill>
            <w14:solidFill>
              <w14:srgbClr w14:val="000000">
                <w14:alpha w14:val="100000"/>
              </w14:srgbClr>
            </w14:solidFill>
          </w14:textFill>
        </w:rPr>
        <w:t>|||  ||</w:t>
      </w:r>
      <w:r w:rsidR="00C546A7" w:rsidRPr="00C546A7">
        <w:rPr>
          <w:color w:val="000000"/>
          <w:spacing w:val="2"/>
          <w:w w:val="61"/>
          <w:shd w:val="solid" w:color="000000" w:fill="000000"/>
          <w:fitText w:val="472" w:id="-628400627"/>
          <w14:textFill>
            <w14:solidFill>
              <w14:srgbClr w14:val="000000">
                <w14:alpha w14:val="100000"/>
              </w14:srgbClr>
            </w14:solidFill>
          </w14:textFill>
        </w:rPr>
        <w:t>|</w:t>
      </w:r>
      <w:r>
        <w:t>% rebate for expenditure of tier 2 of that proposal. The PBAC considered at the time “…</w:t>
      </w:r>
      <w:r w:rsidRPr="00411B0C">
        <w:t>that a cap on overall expenditure was appropriate, however given the significant financial impact of such a listing, and the numerous uncertainties and risks outlined above, it would be reasonable to have greater certainty of the total budget impact with 100% rebate applying above the level of the financial estimates</w:t>
      </w:r>
      <w:r>
        <w:rPr>
          <w:i/>
          <w:iCs/>
        </w:rPr>
        <w:t>”.</w:t>
      </w:r>
      <w:r w:rsidRPr="00B946EC">
        <w:t xml:space="preserve"> </w:t>
      </w:r>
      <w:r w:rsidR="00EE743E" w:rsidRPr="00B946EC">
        <w:t>The current submission does not</w:t>
      </w:r>
      <w:r w:rsidR="00245A8C">
        <w:t xml:space="preserve"> propose any </w:t>
      </w:r>
      <w:r w:rsidR="00F4451D">
        <w:t>hard cap</w:t>
      </w:r>
      <w:r w:rsidR="006128DC">
        <w:t xml:space="preserve">, and the Commonwealth assumes </w:t>
      </w:r>
      <w:proofErr w:type="gramStart"/>
      <w:r w:rsidR="006128DC">
        <w:t>the majority of</w:t>
      </w:r>
      <w:proofErr w:type="gramEnd"/>
      <w:r w:rsidR="006128DC">
        <w:t xml:space="preserve"> </w:t>
      </w:r>
      <w:r w:rsidR="008A7C38">
        <w:t xml:space="preserve">risk </w:t>
      </w:r>
      <w:r w:rsidR="00C23EEE">
        <w:t>(</w:t>
      </w:r>
      <w:r w:rsidR="00C546A7" w:rsidRPr="00C546A7">
        <w:rPr>
          <w:color w:val="000000"/>
          <w:w w:val="61"/>
          <w:shd w:val="solid" w:color="000000" w:fill="000000"/>
          <w:fitText w:val="472" w:id="-628400626"/>
          <w14:textFill>
            <w14:solidFill>
              <w14:srgbClr w14:val="000000">
                <w14:alpha w14:val="100000"/>
              </w14:srgbClr>
            </w14:solidFill>
          </w14:textFill>
        </w:rPr>
        <w:t>|||  ||</w:t>
      </w:r>
      <w:r w:rsidR="00C546A7" w:rsidRPr="00C546A7">
        <w:rPr>
          <w:color w:val="000000"/>
          <w:spacing w:val="2"/>
          <w:w w:val="61"/>
          <w:shd w:val="solid" w:color="000000" w:fill="000000"/>
          <w:fitText w:val="472" w:id="-628400626"/>
          <w14:textFill>
            <w14:solidFill>
              <w14:srgbClr w14:val="000000">
                <w14:alpha w14:val="100000"/>
              </w14:srgbClr>
            </w14:solidFill>
          </w14:textFill>
        </w:rPr>
        <w:t>|</w:t>
      </w:r>
      <w:r w:rsidR="00C23EEE">
        <w:t xml:space="preserve">%) </w:t>
      </w:r>
      <w:r w:rsidR="008A7C38">
        <w:t>of use beyond the utilisation estimates</w:t>
      </w:r>
      <w:r w:rsidR="002C1D06">
        <w:t>.</w:t>
      </w:r>
      <w:r>
        <w:rPr>
          <w:i/>
          <w:iCs/>
        </w:rPr>
        <w:t xml:space="preserve"> </w:t>
      </w:r>
    </w:p>
    <w:bookmarkEnd w:id="2"/>
    <w:p w14:paraId="269826FE" w14:textId="12529D94" w:rsidR="00251A14" w:rsidRPr="00987673" w:rsidRDefault="003E2F8C" w:rsidP="006847A6">
      <w:pPr>
        <w:pStyle w:val="2-SectionHeading"/>
      </w:pPr>
      <w:r>
        <w:t>Scope</w:t>
      </w:r>
      <w:r w:rsidR="00987673" w:rsidRPr="00987673">
        <w:t xml:space="preserve"> of the proposed listing</w:t>
      </w:r>
    </w:p>
    <w:p w14:paraId="57717E4C" w14:textId="379533B5" w:rsidR="00BF3D37" w:rsidRDefault="00057C8F" w:rsidP="000144D7">
      <w:pPr>
        <w:pStyle w:val="3-BodyText"/>
      </w:pPr>
      <w:r w:rsidRPr="000144D7">
        <w:t>T</w:t>
      </w:r>
      <w:r w:rsidR="008A1666" w:rsidRPr="000144D7">
        <w:t xml:space="preserve">he </w:t>
      </w:r>
      <w:r w:rsidR="009D740C" w:rsidRPr="000144D7">
        <w:t xml:space="preserve">proposed </w:t>
      </w:r>
      <w:r w:rsidR="008A1666" w:rsidRPr="000144D7">
        <w:t xml:space="preserve">multi-indication listing </w:t>
      </w:r>
      <w:r w:rsidR="00F5274A" w:rsidRPr="000144D7">
        <w:t xml:space="preserve">(with </w:t>
      </w:r>
      <w:r w:rsidR="00AA7929" w:rsidRPr="000144D7">
        <w:t>a single item-code</w:t>
      </w:r>
      <w:r w:rsidR="00CB17D6">
        <w:t xml:space="preserve"> </w:t>
      </w:r>
      <w:r w:rsidR="00375B46">
        <w:t xml:space="preserve">duplicated for </w:t>
      </w:r>
      <w:r w:rsidR="00CB17D6">
        <w:t xml:space="preserve">the Public and Private </w:t>
      </w:r>
      <w:r w:rsidR="00375B46">
        <w:t xml:space="preserve">hospital </w:t>
      </w:r>
      <w:r w:rsidR="001260D8">
        <w:t xml:space="preserve">settings </w:t>
      </w:r>
      <w:r w:rsidR="00AA7929" w:rsidRPr="000144D7">
        <w:t xml:space="preserve">and </w:t>
      </w:r>
      <w:r w:rsidR="00521988" w:rsidRPr="000144D7">
        <w:t xml:space="preserve">single </w:t>
      </w:r>
      <w:r w:rsidR="00AA7929" w:rsidRPr="000144D7">
        <w:t>weighted price for nivolumab</w:t>
      </w:r>
      <w:r w:rsidR="00D33243">
        <w:t>;</w:t>
      </w:r>
      <w:r w:rsidR="00AA7929" w:rsidRPr="000144D7">
        <w:t xml:space="preserve"> and a</w:t>
      </w:r>
      <w:r w:rsidR="00521988" w:rsidRPr="000144D7">
        <w:t xml:space="preserve"> </w:t>
      </w:r>
      <w:r w:rsidR="00AA7929" w:rsidRPr="000144D7">
        <w:t xml:space="preserve">single item-code </w:t>
      </w:r>
      <w:r w:rsidR="00E36F87">
        <w:t xml:space="preserve">duplicated for the Public and Private hospital schedules </w:t>
      </w:r>
      <w:r w:rsidR="00AA7929" w:rsidRPr="000144D7">
        <w:t xml:space="preserve">and </w:t>
      </w:r>
      <w:r w:rsidR="00521988" w:rsidRPr="000144D7">
        <w:t xml:space="preserve">single </w:t>
      </w:r>
      <w:r w:rsidR="00AA7929" w:rsidRPr="000144D7">
        <w:t xml:space="preserve">weighted price for ipilimumab) </w:t>
      </w:r>
      <w:r w:rsidR="00067273">
        <w:t>was</w:t>
      </w:r>
      <w:r w:rsidRPr="000144D7">
        <w:t xml:space="preserve"> </w:t>
      </w:r>
      <w:r w:rsidR="008A1666" w:rsidRPr="000144D7">
        <w:t>“</w:t>
      </w:r>
      <w:r w:rsidR="00E36F87">
        <w:t>U</w:t>
      </w:r>
      <w:r w:rsidR="008A1666" w:rsidRPr="000144D7">
        <w:t>nresectable advanced or metastatic</w:t>
      </w:r>
      <w:r w:rsidR="00E634E4">
        <w:t xml:space="preserve"> cancer</w:t>
      </w:r>
      <w:r w:rsidR="005F6BD5" w:rsidRPr="000144D7">
        <w:t>”</w:t>
      </w:r>
      <w:r w:rsidR="00DD422F" w:rsidRPr="000144D7">
        <w:t xml:space="preserve">. </w:t>
      </w:r>
    </w:p>
    <w:p w14:paraId="08A2B92C" w14:textId="38AEF0B4" w:rsidR="00E54138" w:rsidRPr="000144D7" w:rsidRDefault="00DD422F" w:rsidP="000144D7">
      <w:pPr>
        <w:pStyle w:val="3-BodyText"/>
      </w:pPr>
      <w:r w:rsidRPr="000144D7">
        <w:t>T</w:t>
      </w:r>
      <w:r w:rsidR="002D5229" w:rsidRPr="000144D7">
        <w:t>h</w:t>
      </w:r>
      <w:r w:rsidR="00BF3D37">
        <w:t>e proposed listing</w:t>
      </w:r>
      <w:r w:rsidR="00E634E4">
        <w:t xml:space="preserve"> would</w:t>
      </w:r>
      <w:r w:rsidR="004E4D00" w:rsidRPr="000144D7">
        <w:t xml:space="preserve"> not </w:t>
      </w:r>
      <w:r w:rsidR="00EE6135" w:rsidRPr="000144D7">
        <w:t xml:space="preserve">include </w:t>
      </w:r>
      <w:r w:rsidR="000356FF" w:rsidRPr="000144D7">
        <w:t xml:space="preserve">early-stage </w:t>
      </w:r>
      <w:r w:rsidR="00E634E4">
        <w:t xml:space="preserve">cancers such as </w:t>
      </w:r>
      <w:r w:rsidR="0071463F">
        <w:t xml:space="preserve">use in the </w:t>
      </w:r>
      <w:r w:rsidR="00E54138" w:rsidRPr="000144D7">
        <w:t>peri-operative, neoadjuvant</w:t>
      </w:r>
      <w:r w:rsidR="0071463F">
        <w:t xml:space="preserve"> or </w:t>
      </w:r>
      <w:r w:rsidR="00E54138" w:rsidRPr="000144D7">
        <w:t>adjuvant</w:t>
      </w:r>
      <w:r w:rsidR="0071463F">
        <w:t xml:space="preserve"> setting.</w:t>
      </w:r>
    </w:p>
    <w:p w14:paraId="7F327C9F" w14:textId="3F512953" w:rsidR="00397C17" w:rsidRPr="000144D7" w:rsidRDefault="00397C17" w:rsidP="000144D7">
      <w:pPr>
        <w:pStyle w:val="3-BodyText"/>
      </w:pPr>
      <w:r w:rsidRPr="000144D7">
        <w:lastRenderedPageBreak/>
        <w:t>The HCC and dMMR-CRC indications w</w:t>
      </w:r>
      <w:r w:rsidR="00A32DB6">
        <w:t>ere</w:t>
      </w:r>
      <w:r w:rsidR="00484752">
        <w:t xml:space="preserve"> </w:t>
      </w:r>
      <w:r w:rsidRPr="000144D7">
        <w:t>considered as separate submissions at the July</w:t>
      </w:r>
      <w:r w:rsidR="002F30EC">
        <w:t xml:space="preserve"> </w:t>
      </w:r>
      <w:r w:rsidRPr="000144D7">
        <w:t>2025 PBAC meeting and the first-line urothelial indication was recommended at the November</w:t>
      </w:r>
      <w:r w:rsidR="002F30EC">
        <w:t xml:space="preserve"> </w:t>
      </w:r>
      <w:r w:rsidRPr="000144D7">
        <w:t>2024 meeting</w:t>
      </w:r>
      <w:r w:rsidR="0022391B" w:rsidRPr="000144D7">
        <w:t>.</w:t>
      </w:r>
      <w:r w:rsidR="003B368C" w:rsidRPr="000144D7">
        <w:t xml:space="preserve"> These indications are included in the new/additional indications</w:t>
      </w:r>
      <w:r w:rsidR="00BF3D37">
        <w:t xml:space="preserve"> modelled in the submission</w:t>
      </w:r>
      <w:r w:rsidR="009A784F" w:rsidRPr="000144D7">
        <w:t>.</w:t>
      </w:r>
    </w:p>
    <w:p w14:paraId="25F31E86" w14:textId="6856E35D" w:rsidR="00DF29F6" w:rsidRPr="006F2465" w:rsidRDefault="00FD2D64" w:rsidP="001260D8">
      <w:pPr>
        <w:pStyle w:val="3-BodyText"/>
      </w:pPr>
      <w:r>
        <w:t xml:space="preserve">The submission </w:t>
      </w:r>
      <w:r w:rsidR="00165CBE">
        <w:t xml:space="preserve">presented the following table with </w:t>
      </w:r>
      <w:r w:rsidR="00793737">
        <w:t>current</w:t>
      </w:r>
      <w:r w:rsidR="00E26810">
        <w:t xml:space="preserve"> and future</w:t>
      </w:r>
      <w:r w:rsidR="00F5521D">
        <w:t xml:space="preserve"> indications for nivolumab and ipilimumab</w:t>
      </w:r>
      <w:r w:rsidR="00742F6A">
        <w:t xml:space="preserve"> (</w:t>
      </w:r>
      <w:r w:rsidR="00DF29F6">
        <w:t xml:space="preserve">as </w:t>
      </w:r>
      <w:r w:rsidR="00DF29F6">
        <w:fldChar w:fldCharType="begin" w:fldLock="1"/>
      </w:r>
      <w:r w:rsidR="00DF29F6">
        <w:instrText xml:space="preserve"> REF _Ref201001531 \h </w:instrText>
      </w:r>
      <w:r w:rsidR="00DF29F6">
        <w:fldChar w:fldCharType="separate"/>
      </w:r>
      <w:r w:rsidR="006228A5">
        <w:t xml:space="preserve">Table </w:t>
      </w:r>
      <w:r w:rsidR="006228A5">
        <w:rPr>
          <w:noProof/>
        </w:rPr>
        <w:t>2</w:t>
      </w:r>
      <w:r w:rsidR="00DF29F6">
        <w:fldChar w:fldCharType="end"/>
      </w:r>
      <w:r w:rsidR="0014492B">
        <w:t>):</w:t>
      </w:r>
    </w:p>
    <w:p w14:paraId="12208611" w14:textId="3FEA124A" w:rsidR="00DF29F6" w:rsidRDefault="00DF29F6" w:rsidP="00F36435">
      <w:pPr>
        <w:pStyle w:val="Caption"/>
        <w:keepNext/>
      </w:pPr>
      <w:bookmarkStart w:id="3" w:name="_Ref201001531"/>
      <w:r>
        <w:t xml:space="preserve">Table </w:t>
      </w:r>
      <w:r w:rsidR="006228A5">
        <w:fldChar w:fldCharType="begin" w:fldLock="1"/>
      </w:r>
      <w:r w:rsidR="006228A5">
        <w:instrText xml:space="preserve"> SEQ Table \* ARABIC </w:instrText>
      </w:r>
      <w:r w:rsidR="006228A5">
        <w:fldChar w:fldCharType="separate"/>
      </w:r>
      <w:r w:rsidR="006228A5">
        <w:rPr>
          <w:noProof/>
        </w:rPr>
        <w:t>2</w:t>
      </w:r>
      <w:r w:rsidR="006228A5">
        <w:rPr>
          <w:noProof/>
        </w:rPr>
        <w:fldChar w:fldCharType="end"/>
      </w:r>
      <w:bookmarkEnd w:id="3"/>
      <w:r>
        <w:t xml:space="preserve">: </w:t>
      </w:r>
      <w:r w:rsidRPr="00100295">
        <w:t xml:space="preserve">Current and future </w:t>
      </w:r>
      <w:r>
        <w:t>nivolumab and ipilimumab</w:t>
      </w:r>
      <w:r w:rsidRPr="00100295">
        <w:t xml:space="preserve"> indications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 Current and future nivolumab and ipilimumab indications"/>
      </w:tblPr>
      <w:tblGrid>
        <w:gridCol w:w="2254"/>
        <w:gridCol w:w="3945"/>
        <w:gridCol w:w="2817"/>
      </w:tblGrid>
      <w:tr w:rsidR="00DF29F6" w:rsidRPr="006D7D1A" w14:paraId="1E377D72" w14:textId="77777777" w:rsidTr="00C546A7">
        <w:trPr>
          <w:trHeight w:val="268"/>
        </w:trPr>
        <w:tc>
          <w:tcPr>
            <w:tcW w:w="1250" w:type="pct"/>
            <w:shd w:val="clear" w:color="auto" w:fill="D9D9D9"/>
          </w:tcPr>
          <w:p w14:paraId="7AE6BE1D" w14:textId="77777777" w:rsidR="00DF29F6" w:rsidRPr="006D7D1A" w:rsidRDefault="00DF29F6" w:rsidP="00F36435">
            <w:pPr>
              <w:pStyle w:val="In-tableHeading"/>
            </w:pPr>
            <w:r w:rsidRPr="006D7D1A">
              <w:t>Drug/s</w:t>
            </w:r>
          </w:p>
        </w:tc>
        <w:tc>
          <w:tcPr>
            <w:tcW w:w="2188" w:type="pct"/>
            <w:shd w:val="clear" w:color="auto" w:fill="D9D9D9"/>
            <w:tcMar>
              <w:top w:w="0" w:type="dxa"/>
              <w:left w:w="108" w:type="dxa"/>
              <w:bottom w:w="0" w:type="dxa"/>
              <w:right w:w="108" w:type="dxa"/>
            </w:tcMar>
            <w:hideMark/>
          </w:tcPr>
          <w:p w14:paraId="01184AA9" w14:textId="77777777" w:rsidR="00DF29F6" w:rsidRPr="006D7D1A" w:rsidRDefault="00DF29F6" w:rsidP="00F36435">
            <w:pPr>
              <w:pStyle w:val="In-tableHeading"/>
            </w:pPr>
            <w:r w:rsidRPr="006D7D1A">
              <w:t>Indication</w:t>
            </w:r>
          </w:p>
        </w:tc>
        <w:tc>
          <w:tcPr>
            <w:tcW w:w="1563" w:type="pct"/>
            <w:shd w:val="clear" w:color="auto" w:fill="D9D9D9"/>
            <w:tcMar>
              <w:top w:w="0" w:type="dxa"/>
              <w:left w:w="108" w:type="dxa"/>
              <w:bottom w:w="0" w:type="dxa"/>
              <w:right w:w="108" w:type="dxa"/>
            </w:tcMar>
            <w:hideMark/>
          </w:tcPr>
          <w:p w14:paraId="1BF4ED12" w14:textId="77777777" w:rsidR="00DF29F6" w:rsidRPr="006D7D1A" w:rsidRDefault="00DF29F6" w:rsidP="00F36435">
            <w:pPr>
              <w:pStyle w:val="In-tableHeading"/>
            </w:pPr>
            <w:r w:rsidRPr="006D7D1A">
              <w:t>Pivotal trial code</w:t>
            </w:r>
          </w:p>
        </w:tc>
      </w:tr>
      <w:tr w:rsidR="00DF29F6" w:rsidRPr="006D7D1A" w14:paraId="114C9968" w14:textId="77777777" w:rsidTr="00C546A7">
        <w:trPr>
          <w:trHeight w:val="268"/>
        </w:trPr>
        <w:tc>
          <w:tcPr>
            <w:tcW w:w="1250" w:type="pct"/>
            <w:shd w:val="clear" w:color="auto" w:fill="E2EFD9"/>
          </w:tcPr>
          <w:p w14:paraId="51D43C57" w14:textId="77777777" w:rsidR="00DF29F6" w:rsidRPr="006D7D1A" w:rsidRDefault="00DF29F6" w:rsidP="00F36435">
            <w:pPr>
              <w:pStyle w:val="TableText0"/>
            </w:pPr>
            <w:r w:rsidRPr="006D7D1A">
              <w:t>NIVO+IPI</w:t>
            </w:r>
          </w:p>
        </w:tc>
        <w:tc>
          <w:tcPr>
            <w:tcW w:w="2188" w:type="pct"/>
            <w:shd w:val="clear" w:color="auto" w:fill="E2EFD9"/>
            <w:tcMar>
              <w:top w:w="0" w:type="dxa"/>
              <w:left w:w="108" w:type="dxa"/>
              <w:bottom w:w="0" w:type="dxa"/>
              <w:right w:w="108" w:type="dxa"/>
            </w:tcMar>
            <w:vAlign w:val="bottom"/>
          </w:tcPr>
          <w:p w14:paraId="561BC775" w14:textId="77777777" w:rsidR="00DF29F6" w:rsidRPr="006D7D1A" w:rsidRDefault="00DF29F6" w:rsidP="00F36435">
            <w:pPr>
              <w:pStyle w:val="TableText0"/>
              <w:rPr>
                <w:rFonts w:cs="Arial"/>
              </w:rPr>
            </w:pPr>
            <w:r w:rsidRPr="006D7D1A">
              <w:t>1L RCC</w:t>
            </w:r>
          </w:p>
        </w:tc>
        <w:tc>
          <w:tcPr>
            <w:tcW w:w="1563" w:type="pct"/>
            <w:tcMar>
              <w:top w:w="0" w:type="dxa"/>
              <w:left w:w="108" w:type="dxa"/>
              <w:bottom w:w="0" w:type="dxa"/>
              <w:right w:w="108" w:type="dxa"/>
            </w:tcMar>
            <w:vAlign w:val="bottom"/>
          </w:tcPr>
          <w:p w14:paraId="02BFC09B" w14:textId="77777777" w:rsidR="00DF29F6" w:rsidRPr="006D7D1A" w:rsidRDefault="00DF29F6" w:rsidP="00F36435">
            <w:pPr>
              <w:pStyle w:val="TableText0"/>
              <w:rPr>
                <w:rFonts w:cs="Arial"/>
              </w:rPr>
            </w:pPr>
            <w:r w:rsidRPr="006D7D1A">
              <w:t>CM214</w:t>
            </w:r>
          </w:p>
        </w:tc>
      </w:tr>
      <w:tr w:rsidR="00DF29F6" w:rsidRPr="006D7D1A" w14:paraId="430636F0" w14:textId="77777777" w:rsidTr="00C546A7">
        <w:trPr>
          <w:trHeight w:val="268"/>
        </w:trPr>
        <w:tc>
          <w:tcPr>
            <w:tcW w:w="1250" w:type="pct"/>
            <w:shd w:val="clear" w:color="auto" w:fill="E2EFD9"/>
          </w:tcPr>
          <w:p w14:paraId="42A5ECDF" w14:textId="77777777" w:rsidR="00DF29F6" w:rsidRPr="006D7D1A" w:rsidRDefault="00DF29F6" w:rsidP="00F36435">
            <w:pPr>
              <w:pStyle w:val="TableText0"/>
            </w:pPr>
            <w:r w:rsidRPr="006D7D1A">
              <w:t>NIVO</w:t>
            </w:r>
          </w:p>
        </w:tc>
        <w:tc>
          <w:tcPr>
            <w:tcW w:w="2188" w:type="pct"/>
            <w:shd w:val="clear" w:color="auto" w:fill="E2EFD9"/>
            <w:tcMar>
              <w:top w:w="0" w:type="dxa"/>
              <w:left w:w="108" w:type="dxa"/>
              <w:bottom w:w="0" w:type="dxa"/>
              <w:right w:w="108" w:type="dxa"/>
            </w:tcMar>
            <w:vAlign w:val="center"/>
          </w:tcPr>
          <w:p w14:paraId="727CF96E" w14:textId="77777777" w:rsidR="00DF29F6" w:rsidRPr="006D7D1A" w:rsidRDefault="00DF29F6" w:rsidP="00F36435">
            <w:pPr>
              <w:pStyle w:val="TableText0"/>
              <w:rPr>
                <w:rFonts w:cs="Arial"/>
              </w:rPr>
            </w:pPr>
            <w:r w:rsidRPr="006D7D1A">
              <w:t>2L RCC</w:t>
            </w:r>
          </w:p>
        </w:tc>
        <w:tc>
          <w:tcPr>
            <w:tcW w:w="1563" w:type="pct"/>
            <w:tcMar>
              <w:top w:w="0" w:type="dxa"/>
              <w:left w:w="108" w:type="dxa"/>
              <w:bottom w:w="0" w:type="dxa"/>
              <w:right w:w="108" w:type="dxa"/>
            </w:tcMar>
            <w:vAlign w:val="center"/>
          </w:tcPr>
          <w:p w14:paraId="3F79E9AC" w14:textId="77777777" w:rsidR="00DF29F6" w:rsidRPr="006D7D1A" w:rsidRDefault="00DF29F6" w:rsidP="00F36435">
            <w:pPr>
              <w:pStyle w:val="TableText0"/>
              <w:rPr>
                <w:rFonts w:cs="Arial"/>
              </w:rPr>
            </w:pPr>
            <w:r w:rsidRPr="006D7D1A">
              <w:t>CM025</w:t>
            </w:r>
          </w:p>
        </w:tc>
      </w:tr>
      <w:tr w:rsidR="00DF29F6" w:rsidRPr="006D7D1A" w14:paraId="0195C59E" w14:textId="77777777" w:rsidTr="00C546A7">
        <w:trPr>
          <w:trHeight w:val="268"/>
        </w:trPr>
        <w:tc>
          <w:tcPr>
            <w:tcW w:w="1250" w:type="pct"/>
            <w:shd w:val="clear" w:color="auto" w:fill="E2EFD9"/>
          </w:tcPr>
          <w:p w14:paraId="60766BA7" w14:textId="77777777" w:rsidR="00DF29F6" w:rsidRPr="006D7D1A" w:rsidRDefault="00DF29F6" w:rsidP="00F36435">
            <w:pPr>
              <w:pStyle w:val="TableText0"/>
            </w:pPr>
            <w:r w:rsidRPr="006D7D1A">
              <w:t>NIVO±IPI</w:t>
            </w:r>
          </w:p>
        </w:tc>
        <w:tc>
          <w:tcPr>
            <w:tcW w:w="2188" w:type="pct"/>
            <w:shd w:val="clear" w:color="auto" w:fill="E2EFD9"/>
            <w:tcMar>
              <w:top w:w="0" w:type="dxa"/>
              <w:left w:w="108" w:type="dxa"/>
              <w:bottom w:w="0" w:type="dxa"/>
              <w:right w:w="108" w:type="dxa"/>
            </w:tcMar>
            <w:vAlign w:val="center"/>
          </w:tcPr>
          <w:p w14:paraId="3A0CD709" w14:textId="77777777" w:rsidR="00DF29F6" w:rsidRPr="006D7D1A" w:rsidRDefault="00DF29F6" w:rsidP="00F36435">
            <w:pPr>
              <w:pStyle w:val="TableText0"/>
              <w:rPr>
                <w:rFonts w:cs="Arial"/>
              </w:rPr>
            </w:pPr>
            <w:r w:rsidRPr="006D7D1A">
              <w:t>Metastatic melanoma</w:t>
            </w:r>
          </w:p>
        </w:tc>
        <w:tc>
          <w:tcPr>
            <w:tcW w:w="1563" w:type="pct"/>
            <w:tcMar>
              <w:top w:w="0" w:type="dxa"/>
              <w:left w:w="108" w:type="dxa"/>
              <w:bottom w:w="0" w:type="dxa"/>
              <w:right w:w="108" w:type="dxa"/>
            </w:tcMar>
            <w:vAlign w:val="center"/>
          </w:tcPr>
          <w:p w14:paraId="19A2474B" w14:textId="77777777" w:rsidR="00DF29F6" w:rsidRPr="006D7D1A" w:rsidRDefault="00DF29F6" w:rsidP="00F36435">
            <w:pPr>
              <w:pStyle w:val="TableText0"/>
              <w:rPr>
                <w:rFonts w:cs="Arial"/>
              </w:rPr>
            </w:pPr>
            <w:r w:rsidRPr="006D7D1A">
              <w:t>CM204</w:t>
            </w:r>
          </w:p>
        </w:tc>
      </w:tr>
      <w:tr w:rsidR="00DF29F6" w:rsidRPr="006D7D1A" w14:paraId="4260D8A7" w14:textId="77777777" w:rsidTr="00C546A7">
        <w:trPr>
          <w:trHeight w:val="260"/>
        </w:trPr>
        <w:tc>
          <w:tcPr>
            <w:tcW w:w="1250" w:type="pct"/>
            <w:shd w:val="clear" w:color="auto" w:fill="E2EFD9"/>
          </w:tcPr>
          <w:p w14:paraId="69CAE8CE" w14:textId="77777777" w:rsidR="00DF29F6" w:rsidRPr="006D7D1A" w:rsidRDefault="00DF29F6" w:rsidP="00F36435">
            <w:pPr>
              <w:pStyle w:val="TableText0"/>
            </w:pPr>
            <w:r w:rsidRPr="006D7D1A">
              <w:t>NIVO+IPI</w:t>
            </w:r>
          </w:p>
        </w:tc>
        <w:tc>
          <w:tcPr>
            <w:tcW w:w="2188" w:type="pct"/>
            <w:shd w:val="clear" w:color="auto" w:fill="E2EFD9"/>
            <w:tcMar>
              <w:top w:w="0" w:type="dxa"/>
              <w:left w:w="108" w:type="dxa"/>
              <w:bottom w:w="0" w:type="dxa"/>
              <w:right w:w="108" w:type="dxa"/>
            </w:tcMar>
            <w:vAlign w:val="bottom"/>
          </w:tcPr>
          <w:p w14:paraId="28521FB3" w14:textId="77777777" w:rsidR="00DF29F6" w:rsidRPr="006D7D1A" w:rsidRDefault="00DF29F6" w:rsidP="00F36435">
            <w:pPr>
              <w:pStyle w:val="TableText0"/>
              <w:rPr>
                <w:rFonts w:cs="Arial"/>
              </w:rPr>
            </w:pPr>
            <w:r w:rsidRPr="006D7D1A">
              <w:t>1L NSCLC</w:t>
            </w:r>
          </w:p>
        </w:tc>
        <w:tc>
          <w:tcPr>
            <w:tcW w:w="1563" w:type="pct"/>
            <w:tcMar>
              <w:top w:w="0" w:type="dxa"/>
              <w:left w:w="108" w:type="dxa"/>
              <w:bottom w:w="0" w:type="dxa"/>
              <w:right w:w="108" w:type="dxa"/>
            </w:tcMar>
            <w:vAlign w:val="bottom"/>
          </w:tcPr>
          <w:p w14:paraId="7196D471" w14:textId="77777777" w:rsidR="00DF29F6" w:rsidRPr="006D7D1A" w:rsidRDefault="00DF29F6" w:rsidP="00F36435">
            <w:pPr>
              <w:pStyle w:val="TableText0"/>
              <w:rPr>
                <w:rFonts w:cs="Arial"/>
              </w:rPr>
            </w:pPr>
            <w:r w:rsidRPr="006D7D1A">
              <w:t>CM9LA</w:t>
            </w:r>
          </w:p>
        </w:tc>
      </w:tr>
      <w:tr w:rsidR="00DF29F6" w:rsidRPr="006D7D1A" w14:paraId="42EF65C5" w14:textId="77777777" w:rsidTr="00C546A7">
        <w:trPr>
          <w:trHeight w:val="268"/>
        </w:trPr>
        <w:tc>
          <w:tcPr>
            <w:tcW w:w="1250" w:type="pct"/>
            <w:shd w:val="clear" w:color="auto" w:fill="E2EFD9"/>
          </w:tcPr>
          <w:p w14:paraId="18646433" w14:textId="77777777" w:rsidR="00DF29F6" w:rsidRPr="006D7D1A" w:rsidRDefault="00DF29F6" w:rsidP="00F36435">
            <w:pPr>
              <w:pStyle w:val="TableText0"/>
            </w:pPr>
            <w:r w:rsidRPr="006D7D1A">
              <w:t>NIVO</w:t>
            </w:r>
          </w:p>
        </w:tc>
        <w:tc>
          <w:tcPr>
            <w:tcW w:w="2188" w:type="pct"/>
            <w:shd w:val="clear" w:color="auto" w:fill="E2EFD9"/>
            <w:tcMar>
              <w:top w:w="0" w:type="dxa"/>
              <w:left w:w="108" w:type="dxa"/>
              <w:bottom w:w="0" w:type="dxa"/>
              <w:right w:w="108" w:type="dxa"/>
            </w:tcMar>
            <w:vAlign w:val="center"/>
          </w:tcPr>
          <w:p w14:paraId="5E64B0B9" w14:textId="77777777" w:rsidR="00DF29F6" w:rsidRPr="006D7D1A" w:rsidRDefault="00DF29F6" w:rsidP="00F36435">
            <w:pPr>
              <w:pStyle w:val="TableText0"/>
              <w:rPr>
                <w:rFonts w:cs="Arial"/>
              </w:rPr>
            </w:pPr>
            <w:r w:rsidRPr="006D7D1A">
              <w:t>2L NSCLC</w:t>
            </w:r>
          </w:p>
        </w:tc>
        <w:tc>
          <w:tcPr>
            <w:tcW w:w="1563" w:type="pct"/>
            <w:tcMar>
              <w:top w:w="0" w:type="dxa"/>
              <w:left w:w="108" w:type="dxa"/>
              <w:bottom w:w="0" w:type="dxa"/>
              <w:right w:w="108" w:type="dxa"/>
            </w:tcMar>
            <w:vAlign w:val="center"/>
          </w:tcPr>
          <w:p w14:paraId="57DC8BE3" w14:textId="77777777" w:rsidR="00DF29F6" w:rsidRPr="006D7D1A" w:rsidRDefault="00DF29F6" w:rsidP="00F36435">
            <w:pPr>
              <w:pStyle w:val="TableText0"/>
              <w:rPr>
                <w:rFonts w:cs="Arial"/>
              </w:rPr>
            </w:pPr>
            <w:r w:rsidRPr="006D7D1A">
              <w:t>CM057/CM017</w:t>
            </w:r>
          </w:p>
        </w:tc>
      </w:tr>
      <w:tr w:rsidR="00DF29F6" w:rsidRPr="006D7D1A" w14:paraId="220EADE4" w14:textId="77777777" w:rsidTr="00C546A7">
        <w:trPr>
          <w:trHeight w:val="231"/>
        </w:trPr>
        <w:tc>
          <w:tcPr>
            <w:tcW w:w="1250" w:type="pct"/>
            <w:shd w:val="clear" w:color="auto" w:fill="E2EFD9"/>
          </w:tcPr>
          <w:p w14:paraId="75201C64" w14:textId="77777777" w:rsidR="00DF29F6" w:rsidRPr="006D7D1A" w:rsidRDefault="00DF29F6" w:rsidP="00F36435">
            <w:pPr>
              <w:pStyle w:val="TableText0"/>
            </w:pPr>
            <w:r w:rsidRPr="006D7D1A">
              <w:t>NIVO</w:t>
            </w:r>
          </w:p>
        </w:tc>
        <w:tc>
          <w:tcPr>
            <w:tcW w:w="2188" w:type="pct"/>
            <w:shd w:val="clear" w:color="auto" w:fill="E2EFD9"/>
            <w:tcMar>
              <w:top w:w="0" w:type="dxa"/>
              <w:left w:w="108" w:type="dxa"/>
              <w:bottom w:w="0" w:type="dxa"/>
              <w:right w:w="108" w:type="dxa"/>
            </w:tcMar>
            <w:vAlign w:val="center"/>
          </w:tcPr>
          <w:p w14:paraId="6BEE22C2" w14:textId="77777777" w:rsidR="00DF29F6" w:rsidRPr="006D7D1A" w:rsidRDefault="00DF29F6" w:rsidP="00F36435">
            <w:pPr>
              <w:pStyle w:val="TableText0"/>
              <w:rPr>
                <w:rFonts w:cs="Arial"/>
              </w:rPr>
            </w:pPr>
            <w:r w:rsidRPr="006D7D1A">
              <w:t>2L SCCHN</w:t>
            </w:r>
          </w:p>
        </w:tc>
        <w:tc>
          <w:tcPr>
            <w:tcW w:w="1563" w:type="pct"/>
            <w:tcMar>
              <w:top w:w="0" w:type="dxa"/>
              <w:left w:w="108" w:type="dxa"/>
              <w:bottom w:w="0" w:type="dxa"/>
              <w:right w:w="108" w:type="dxa"/>
            </w:tcMar>
            <w:vAlign w:val="center"/>
          </w:tcPr>
          <w:p w14:paraId="29B86530" w14:textId="77777777" w:rsidR="00DF29F6" w:rsidRPr="006D7D1A" w:rsidRDefault="00DF29F6" w:rsidP="00F36435">
            <w:pPr>
              <w:pStyle w:val="TableText0"/>
              <w:rPr>
                <w:rFonts w:cs="Arial"/>
              </w:rPr>
            </w:pPr>
            <w:r w:rsidRPr="006D7D1A">
              <w:t>CM141</w:t>
            </w:r>
          </w:p>
        </w:tc>
      </w:tr>
      <w:tr w:rsidR="00DF29F6" w:rsidRPr="006D7D1A" w14:paraId="37DB0ED1" w14:textId="77777777" w:rsidTr="00C546A7">
        <w:trPr>
          <w:trHeight w:val="268"/>
        </w:trPr>
        <w:tc>
          <w:tcPr>
            <w:tcW w:w="1250" w:type="pct"/>
            <w:shd w:val="clear" w:color="auto" w:fill="E2EFD9"/>
          </w:tcPr>
          <w:p w14:paraId="2831DA4C" w14:textId="77777777" w:rsidR="00DF29F6" w:rsidRPr="006D7D1A" w:rsidRDefault="00DF29F6" w:rsidP="00F36435">
            <w:pPr>
              <w:pStyle w:val="TableText0"/>
            </w:pPr>
            <w:r w:rsidRPr="006D7D1A">
              <w:t>NIVO+IPI</w:t>
            </w:r>
          </w:p>
        </w:tc>
        <w:tc>
          <w:tcPr>
            <w:tcW w:w="2188" w:type="pct"/>
            <w:shd w:val="clear" w:color="auto" w:fill="E2EFD9"/>
            <w:tcMar>
              <w:top w:w="0" w:type="dxa"/>
              <w:left w:w="108" w:type="dxa"/>
              <w:bottom w:w="0" w:type="dxa"/>
              <w:right w:w="108" w:type="dxa"/>
            </w:tcMar>
            <w:vAlign w:val="bottom"/>
          </w:tcPr>
          <w:p w14:paraId="1B90609D" w14:textId="77777777" w:rsidR="00DF29F6" w:rsidRPr="006D7D1A" w:rsidRDefault="00DF29F6" w:rsidP="00F36435">
            <w:pPr>
              <w:pStyle w:val="TableText0"/>
              <w:rPr>
                <w:rFonts w:cs="Arial"/>
              </w:rPr>
            </w:pPr>
            <w:r w:rsidRPr="006D7D1A">
              <w:t>Mesothelioma</w:t>
            </w:r>
          </w:p>
        </w:tc>
        <w:tc>
          <w:tcPr>
            <w:tcW w:w="1563" w:type="pct"/>
            <w:tcMar>
              <w:top w:w="0" w:type="dxa"/>
              <w:left w:w="108" w:type="dxa"/>
              <w:bottom w:w="0" w:type="dxa"/>
              <w:right w:w="108" w:type="dxa"/>
            </w:tcMar>
            <w:vAlign w:val="bottom"/>
          </w:tcPr>
          <w:p w14:paraId="0CD73A0F" w14:textId="77777777" w:rsidR="00DF29F6" w:rsidRPr="006D7D1A" w:rsidRDefault="00DF29F6" w:rsidP="00F36435">
            <w:pPr>
              <w:pStyle w:val="TableText0"/>
              <w:rPr>
                <w:rFonts w:cs="Arial"/>
              </w:rPr>
            </w:pPr>
            <w:r w:rsidRPr="006D7D1A">
              <w:t>CM743</w:t>
            </w:r>
          </w:p>
        </w:tc>
      </w:tr>
      <w:tr w:rsidR="00DF29F6" w:rsidRPr="006D7D1A" w14:paraId="102DBBE6" w14:textId="77777777" w:rsidTr="00C546A7">
        <w:trPr>
          <w:trHeight w:val="268"/>
        </w:trPr>
        <w:tc>
          <w:tcPr>
            <w:tcW w:w="1250" w:type="pct"/>
            <w:shd w:val="clear" w:color="auto" w:fill="E2EFD9"/>
          </w:tcPr>
          <w:p w14:paraId="69D438B2" w14:textId="77777777" w:rsidR="00DF29F6" w:rsidRPr="006D7D1A" w:rsidRDefault="00DF29F6" w:rsidP="00F36435">
            <w:pPr>
              <w:pStyle w:val="TableText0"/>
            </w:pPr>
            <w:r w:rsidRPr="006D7D1A">
              <w:t>NIVO</w:t>
            </w:r>
          </w:p>
        </w:tc>
        <w:tc>
          <w:tcPr>
            <w:tcW w:w="2188" w:type="pct"/>
            <w:shd w:val="clear" w:color="auto" w:fill="E2EFD9"/>
            <w:tcMar>
              <w:top w:w="0" w:type="dxa"/>
              <w:left w:w="108" w:type="dxa"/>
              <w:bottom w:w="0" w:type="dxa"/>
              <w:right w:w="108" w:type="dxa"/>
            </w:tcMar>
            <w:vAlign w:val="center"/>
          </w:tcPr>
          <w:p w14:paraId="0D8FFD87" w14:textId="77777777" w:rsidR="00DF29F6" w:rsidRPr="006D7D1A" w:rsidRDefault="00DF29F6" w:rsidP="00F36435">
            <w:pPr>
              <w:pStyle w:val="TableText0"/>
              <w:rPr>
                <w:rFonts w:cs="Arial"/>
              </w:rPr>
            </w:pPr>
            <w:r w:rsidRPr="006D7D1A">
              <w:t>UGI</w:t>
            </w:r>
          </w:p>
        </w:tc>
        <w:tc>
          <w:tcPr>
            <w:tcW w:w="1563" w:type="pct"/>
            <w:tcMar>
              <w:top w:w="0" w:type="dxa"/>
              <w:left w:w="108" w:type="dxa"/>
              <w:bottom w:w="0" w:type="dxa"/>
              <w:right w:w="108" w:type="dxa"/>
            </w:tcMar>
            <w:vAlign w:val="center"/>
          </w:tcPr>
          <w:p w14:paraId="67FDD6FE" w14:textId="77777777" w:rsidR="00DF29F6" w:rsidRPr="006D7D1A" w:rsidRDefault="00DF29F6" w:rsidP="00F36435">
            <w:pPr>
              <w:pStyle w:val="TableText0"/>
              <w:rPr>
                <w:rFonts w:cs="Arial"/>
              </w:rPr>
            </w:pPr>
            <w:r w:rsidRPr="006D7D1A">
              <w:t>CM648/CM649/ATT-3</w:t>
            </w:r>
          </w:p>
        </w:tc>
      </w:tr>
      <w:tr w:rsidR="00DF29F6" w:rsidRPr="006D7D1A" w14:paraId="543C52CA" w14:textId="77777777" w:rsidTr="00C546A7">
        <w:trPr>
          <w:trHeight w:val="260"/>
        </w:trPr>
        <w:tc>
          <w:tcPr>
            <w:tcW w:w="1250" w:type="pct"/>
            <w:shd w:val="clear" w:color="auto" w:fill="D9E2F3"/>
          </w:tcPr>
          <w:p w14:paraId="458E1011" w14:textId="77777777" w:rsidR="00DF29F6" w:rsidRPr="006D7D1A" w:rsidRDefault="00DF29F6" w:rsidP="00F36435">
            <w:pPr>
              <w:pStyle w:val="TableText0"/>
            </w:pPr>
            <w:r w:rsidRPr="006D7D1A">
              <w:t>NIVO</w:t>
            </w:r>
          </w:p>
        </w:tc>
        <w:tc>
          <w:tcPr>
            <w:tcW w:w="2188" w:type="pct"/>
            <w:shd w:val="clear" w:color="auto" w:fill="D9E2F3"/>
            <w:tcMar>
              <w:top w:w="0" w:type="dxa"/>
              <w:left w:w="108" w:type="dxa"/>
              <w:bottom w:w="0" w:type="dxa"/>
              <w:right w:w="108" w:type="dxa"/>
            </w:tcMar>
            <w:vAlign w:val="bottom"/>
          </w:tcPr>
          <w:p w14:paraId="760B27C7" w14:textId="77777777" w:rsidR="00DF29F6" w:rsidRPr="006D7D1A" w:rsidRDefault="00DF29F6" w:rsidP="00F36435">
            <w:pPr>
              <w:pStyle w:val="TableText0"/>
              <w:rPr>
                <w:rFonts w:cs="Arial"/>
              </w:rPr>
            </w:pPr>
            <w:r>
              <w:t xml:space="preserve">1L </w:t>
            </w:r>
            <w:proofErr w:type="spellStart"/>
            <w:r>
              <w:t>mUC</w:t>
            </w:r>
            <w:proofErr w:type="spellEnd"/>
          </w:p>
        </w:tc>
        <w:tc>
          <w:tcPr>
            <w:tcW w:w="1563" w:type="pct"/>
            <w:tcMar>
              <w:top w:w="0" w:type="dxa"/>
              <w:left w:w="108" w:type="dxa"/>
              <w:bottom w:w="0" w:type="dxa"/>
              <w:right w:w="108" w:type="dxa"/>
            </w:tcMar>
            <w:vAlign w:val="bottom"/>
          </w:tcPr>
          <w:p w14:paraId="2501E1B3" w14:textId="77777777" w:rsidR="00DF29F6" w:rsidRPr="006D7D1A" w:rsidRDefault="00DF29F6" w:rsidP="00F36435">
            <w:pPr>
              <w:pStyle w:val="TableText0"/>
            </w:pPr>
            <w:r w:rsidRPr="006D7D1A">
              <w:t>CM901 (Arm C)</w:t>
            </w:r>
          </w:p>
        </w:tc>
      </w:tr>
      <w:tr w:rsidR="00DF29F6" w:rsidRPr="006D7D1A" w14:paraId="357BF14A" w14:textId="77777777" w:rsidTr="00C546A7">
        <w:trPr>
          <w:trHeight w:val="260"/>
        </w:trPr>
        <w:tc>
          <w:tcPr>
            <w:tcW w:w="1250" w:type="pct"/>
            <w:shd w:val="clear" w:color="auto" w:fill="D9E2F3"/>
          </w:tcPr>
          <w:p w14:paraId="2940E328" w14:textId="77777777" w:rsidR="00DF29F6" w:rsidRPr="006D7D1A" w:rsidRDefault="00DF29F6" w:rsidP="00F36435">
            <w:pPr>
              <w:pStyle w:val="TableText0"/>
            </w:pPr>
            <w:r w:rsidRPr="006D7D1A">
              <w:t>NIVO+IPI</w:t>
            </w:r>
          </w:p>
        </w:tc>
        <w:tc>
          <w:tcPr>
            <w:tcW w:w="2188" w:type="pct"/>
            <w:shd w:val="clear" w:color="auto" w:fill="D9E2F3"/>
            <w:tcMar>
              <w:top w:w="0" w:type="dxa"/>
              <w:left w:w="108" w:type="dxa"/>
              <w:bottom w:w="0" w:type="dxa"/>
              <w:right w:w="108" w:type="dxa"/>
            </w:tcMar>
            <w:vAlign w:val="bottom"/>
          </w:tcPr>
          <w:p w14:paraId="39572BDB" w14:textId="77777777" w:rsidR="00DF29F6" w:rsidRPr="006D7D1A" w:rsidRDefault="00DF29F6" w:rsidP="00F36435">
            <w:pPr>
              <w:pStyle w:val="TableText0"/>
              <w:rPr>
                <w:rFonts w:cs="Arial"/>
              </w:rPr>
            </w:pPr>
            <w:r w:rsidRPr="006D7D1A">
              <w:t>1L CRC</w:t>
            </w:r>
          </w:p>
        </w:tc>
        <w:tc>
          <w:tcPr>
            <w:tcW w:w="1563" w:type="pct"/>
            <w:tcMar>
              <w:top w:w="0" w:type="dxa"/>
              <w:left w:w="108" w:type="dxa"/>
              <w:bottom w:w="0" w:type="dxa"/>
              <w:right w:w="108" w:type="dxa"/>
            </w:tcMar>
            <w:vAlign w:val="bottom"/>
          </w:tcPr>
          <w:p w14:paraId="603A3E7B" w14:textId="77777777" w:rsidR="00DF29F6" w:rsidRPr="006D7D1A" w:rsidRDefault="00DF29F6" w:rsidP="00F36435">
            <w:pPr>
              <w:pStyle w:val="TableText0"/>
            </w:pPr>
            <w:r w:rsidRPr="006D7D1A">
              <w:t>CM8HW</w:t>
            </w:r>
          </w:p>
        </w:tc>
      </w:tr>
      <w:tr w:rsidR="00DF29F6" w:rsidRPr="006D7D1A" w14:paraId="41C90F2E" w14:textId="77777777" w:rsidTr="00C546A7">
        <w:trPr>
          <w:trHeight w:val="260"/>
        </w:trPr>
        <w:tc>
          <w:tcPr>
            <w:tcW w:w="1250" w:type="pct"/>
            <w:shd w:val="clear" w:color="auto" w:fill="D9E2F3"/>
          </w:tcPr>
          <w:p w14:paraId="6EE48057" w14:textId="77777777" w:rsidR="00DF29F6" w:rsidRPr="006D7D1A" w:rsidRDefault="00DF29F6" w:rsidP="00F36435">
            <w:pPr>
              <w:pStyle w:val="TableText0"/>
            </w:pPr>
            <w:r w:rsidRPr="006D7D1A">
              <w:t>NIVO+IPI</w:t>
            </w:r>
          </w:p>
        </w:tc>
        <w:tc>
          <w:tcPr>
            <w:tcW w:w="2188" w:type="pct"/>
            <w:shd w:val="clear" w:color="auto" w:fill="D9E2F3"/>
            <w:tcMar>
              <w:top w:w="0" w:type="dxa"/>
              <w:left w:w="108" w:type="dxa"/>
              <w:bottom w:w="0" w:type="dxa"/>
              <w:right w:w="108" w:type="dxa"/>
            </w:tcMar>
            <w:vAlign w:val="bottom"/>
          </w:tcPr>
          <w:p w14:paraId="4F1C8F5A" w14:textId="77777777" w:rsidR="00DF29F6" w:rsidRPr="006D7D1A" w:rsidRDefault="00DF29F6" w:rsidP="00F36435">
            <w:pPr>
              <w:pStyle w:val="TableText0"/>
              <w:rPr>
                <w:rFonts w:cs="Arial"/>
              </w:rPr>
            </w:pPr>
            <w:r w:rsidRPr="006D7D1A">
              <w:t>1L HCC</w:t>
            </w:r>
          </w:p>
        </w:tc>
        <w:tc>
          <w:tcPr>
            <w:tcW w:w="1563" w:type="pct"/>
            <w:tcMar>
              <w:top w:w="0" w:type="dxa"/>
              <w:left w:w="108" w:type="dxa"/>
              <w:bottom w:w="0" w:type="dxa"/>
              <w:right w:w="108" w:type="dxa"/>
            </w:tcMar>
            <w:vAlign w:val="bottom"/>
          </w:tcPr>
          <w:p w14:paraId="15B45261" w14:textId="77777777" w:rsidR="00DF29F6" w:rsidRPr="006D7D1A" w:rsidRDefault="00DF29F6" w:rsidP="00F36435">
            <w:pPr>
              <w:pStyle w:val="TableText0"/>
            </w:pPr>
            <w:r w:rsidRPr="006D7D1A">
              <w:t>CM9DW</w:t>
            </w:r>
          </w:p>
        </w:tc>
      </w:tr>
      <w:tr w:rsidR="00DF29F6" w:rsidRPr="006D7D1A" w14:paraId="7E857BCB" w14:textId="77777777" w:rsidTr="00C546A7">
        <w:trPr>
          <w:trHeight w:val="260"/>
        </w:trPr>
        <w:tc>
          <w:tcPr>
            <w:tcW w:w="1250" w:type="pct"/>
            <w:shd w:val="clear" w:color="auto" w:fill="FBE4D5"/>
          </w:tcPr>
          <w:p w14:paraId="59583D8A" w14:textId="77777777" w:rsidR="00DF29F6" w:rsidRPr="006D7D1A" w:rsidRDefault="00DF29F6" w:rsidP="00F36435">
            <w:pPr>
              <w:pStyle w:val="TableText0"/>
            </w:pPr>
            <w:r w:rsidRPr="006D7D1A">
              <w:t>NIVO+AVD</w:t>
            </w:r>
          </w:p>
        </w:tc>
        <w:tc>
          <w:tcPr>
            <w:tcW w:w="2188" w:type="pct"/>
            <w:shd w:val="clear" w:color="auto" w:fill="FBE4D5"/>
            <w:tcMar>
              <w:top w:w="0" w:type="dxa"/>
              <w:left w:w="108" w:type="dxa"/>
              <w:bottom w:w="0" w:type="dxa"/>
              <w:right w:w="108" w:type="dxa"/>
            </w:tcMar>
            <w:vAlign w:val="bottom"/>
          </w:tcPr>
          <w:p w14:paraId="293DAB34" w14:textId="77777777" w:rsidR="00DF29F6" w:rsidRPr="006D7D1A" w:rsidRDefault="00DF29F6" w:rsidP="00F36435">
            <w:pPr>
              <w:pStyle w:val="TableText0"/>
              <w:rPr>
                <w:rFonts w:cs="Arial"/>
              </w:rPr>
            </w:pPr>
            <w:r w:rsidRPr="006D7D1A">
              <w:t xml:space="preserve">Newly diagnosed stage III-IV </w:t>
            </w:r>
            <w:proofErr w:type="spellStart"/>
            <w:r w:rsidRPr="006D7D1A">
              <w:t>cHL</w:t>
            </w:r>
            <w:proofErr w:type="spellEnd"/>
            <w:r w:rsidRPr="006D7D1A">
              <w:t xml:space="preserve"> (1L)</w:t>
            </w:r>
          </w:p>
        </w:tc>
        <w:tc>
          <w:tcPr>
            <w:tcW w:w="1563" w:type="pct"/>
            <w:tcMar>
              <w:top w:w="0" w:type="dxa"/>
              <w:left w:w="108" w:type="dxa"/>
              <w:bottom w:w="0" w:type="dxa"/>
              <w:right w:w="108" w:type="dxa"/>
            </w:tcMar>
            <w:vAlign w:val="bottom"/>
          </w:tcPr>
          <w:p w14:paraId="3DDDBC16" w14:textId="77777777" w:rsidR="00DF29F6" w:rsidRPr="006D7D1A" w:rsidRDefault="00DF29F6" w:rsidP="00F36435">
            <w:pPr>
              <w:pStyle w:val="TableText0"/>
            </w:pPr>
            <w:r w:rsidRPr="006D7D1A">
              <w:t>CM8UT</w:t>
            </w:r>
          </w:p>
        </w:tc>
      </w:tr>
      <w:tr w:rsidR="00DF29F6" w:rsidRPr="006D7D1A" w14:paraId="19093E90" w14:textId="77777777" w:rsidTr="00C546A7">
        <w:trPr>
          <w:trHeight w:val="260"/>
        </w:trPr>
        <w:tc>
          <w:tcPr>
            <w:tcW w:w="1250" w:type="pct"/>
            <w:shd w:val="clear" w:color="auto" w:fill="FFF2CC"/>
          </w:tcPr>
          <w:p w14:paraId="61EB18D9" w14:textId="77777777" w:rsidR="00DF29F6" w:rsidRPr="006D7D1A" w:rsidRDefault="00DF29F6" w:rsidP="00F36435">
            <w:pPr>
              <w:pStyle w:val="TableText0"/>
            </w:pPr>
            <w:r w:rsidRPr="006D7D1A">
              <w:t>NIVO</w:t>
            </w:r>
          </w:p>
        </w:tc>
        <w:tc>
          <w:tcPr>
            <w:tcW w:w="2188" w:type="pct"/>
            <w:shd w:val="clear" w:color="auto" w:fill="FFF2CC"/>
            <w:tcMar>
              <w:top w:w="0" w:type="dxa"/>
              <w:left w:w="108" w:type="dxa"/>
              <w:bottom w:w="0" w:type="dxa"/>
              <w:right w:w="108" w:type="dxa"/>
            </w:tcMar>
            <w:vAlign w:val="bottom"/>
          </w:tcPr>
          <w:p w14:paraId="132531A6" w14:textId="77777777" w:rsidR="00DF29F6" w:rsidRPr="006D7D1A" w:rsidRDefault="00DF29F6" w:rsidP="00F36435">
            <w:pPr>
              <w:pStyle w:val="TableText0"/>
              <w:rPr>
                <w:rFonts w:cs="Arial"/>
              </w:rPr>
            </w:pPr>
            <w:r w:rsidRPr="006D7D1A">
              <w:t xml:space="preserve">3L </w:t>
            </w:r>
            <w:proofErr w:type="spellStart"/>
            <w:r w:rsidRPr="006D7D1A">
              <w:t>cHL</w:t>
            </w:r>
            <w:proofErr w:type="spellEnd"/>
          </w:p>
        </w:tc>
        <w:tc>
          <w:tcPr>
            <w:tcW w:w="1563" w:type="pct"/>
            <w:tcMar>
              <w:top w:w="0" w:type="dxa"/>
              <w:left w:w="108" w:type="dxa"/>
              <w:bottom w:w="0" w:type="dxa"/>
              <w:right w:w="108" w:type="dxa"/>
            </w:tcMar>
            <w:vAlign w:val="bottom"/>
          </w:tcPr>
          <w:p w14:paraId="14EE679A" w14:textId="77777777" w:rsidR="00DF29F6" w:rsidRPr="006D7D1A" w:rsidRDefault="00DF29F6" w:rsidP="00F36435">
            <w:pPr>
              <w:pStyle w:val="TableText0"/>
            </w:pPr>
            <w:r w:rsidRPr="006D7D1A">
              <w:t>CM205</w:t>
            </w:r>
          </w:p>
        </w:tc>
      </w:tr>
      <w:tr w:rsidR="00DF29F6" w:rsidRPr="006D7D1A" w14:paraId="196836A6" w14:textId="77777777" w:rsidTr="00C546A7">
        <w:trPr>
          <w:trHeight w:val="260"/>
        </w:trPr>
        <w:tc>
          <w:tcPr>
            <w:tcW w:w="1250" w:type="pct"/>
            <w:shd w:val="clear" w:color="auto" w:fill="FFF2CC"/>
          </w:tcPr>
          <w:p w14:paraId="12B1D5F5" w14:textId="77777777" w:rsidR="00DF29F6" w:rsidRPr="006D7D1A" w:rsidRDefault="00DF29F6" w:rsidP="00F36435">
            <w:pPr>
              <w:pStyle w:val="TableText0"/>
            </w:pPr>
            <w:r w:rsidRPr="006D7D1A">
              <w:t>NIVO</w:t>
            </w:r>
          </w:p>
        </w:tc>
        <w:tc>
          <w:tcPr>
            <w:tcW w:w="2188" w:type="pct"/>
            <w:shd w:val="clear" w:color="auto" w:fill="FFF2CC"/>
            <w:tcMar>
              <w:top w:w="0" w:type="dxa"/>
              <w:left w:w="108" w:type="dxa"/>
              <w:bottom w:w="0" w:type="dxa"/>
              <w:right w:w="108" w:type="dxa"/>
            </w:tcMar>
            <w:vAlign w:val="bottom"/>
          </w:tcPr>
          <w:p w14:paraId="4B69E1F5" w14:textId="77777777" w:rsidR="00DF29F6" w:rsidRPr="006D7D1A" w:rsidRDefault="00DF29F6" w:rsidP="00F36435">
            <w:pPr>
              <w:pStyle w:val="TableText0"/>
              <w:rPr>
                <w:rFonts w:cs="Arial"/>
              </w:rPr>
            </w:pPr>
            <w:r w:rsidRPr="006D7D1A">
              <w:t>2L HCC</w:t>
            </w:r>
          </w:p>
        </w:tc>
        <w:tc>
          <w:tcPr>
            <w:tcW w:w="1563" w:type="pct"/>
            <w:tcMar>
              <w:top w:w="0" w:type="dxa"/>
              <w:left w:w="108" w:type="dxa"/>
              <w:bottom w:w="0" w:type="dxa"/>
              <w:right w:w="108" w:type="dxa"/>
            </w:tcMar>
            <w:vAlign w:val="bottom"/>
          </w:tcPr>
          <w:p w14:paraId="380E588F" w14:textId="77777777" w:rsidR="00DF29F6" w:rsidRPr="006D7D1A" w:rsidRDefault="00DF29F6" w:rsidP="00F36435">
            <w:pPr>
              <w:pStyle w:val="TableText0"/>
            </w:pPr>
            <w:r w:rsidRPr="006D7D1A">
              <w:t>CM040</w:t>
            </w:r>
          </w:p>
        </w:tc>
      </w:tr>
      <w:tr w:rsidR="00DF29F6" w:rsidRPr="006D7D1A" w14:paraId="75B40597" w14:textId="77777777" w:rsidTr="00C546A7">
        <w:trPr>
          <w:trHeight w:val="260"/>
        </w:trPr>
        <w:tc>
          <w:tcPr>
            <w:tcW w:w="1250" w:type="pct"/>
            <w:shd w:val="clear" w:color="auto" w:fill="FFF2CC"/>
          </w:tcPr>
          <w:p w14:paraId="4E0549D5" w14:textId="77777777" w:rsidR="00DF29F6" w:rsidRPr="006D7D1A" w:rsidRDefault="00DF29F6" w:rsidP="00F36435">
            <w:pPr>
              <w:pStyle w:val="TableText0"/>
            </w:pPr>
            <w:r w:rsidRPr="006D7D1A">
              <w:t>NIVO</w:t>
            </w:r>
          </w:p>
        </w:tc>
        <w:tc>
          <w:tcPr>
            <w:tcW w:w="2188" w:type="pct"/>
            <w:shd w:val="clear" w:color="auto" w:fill="FFF2CC"/>
            <w:tcMar>
              <w:top w:w="0" w:type="dxa"/>
              <w:left w:w="108" w:type="dxa"/>
              <w:bottom w:w="0" w:type="dxa"/>
              <w:right w:w="108" w:type="dxa"/>
            </w:tcMar>
            <w:vAlign w:val="bottom"/>
          </w:tcPr>
          <w:p w14:paraId="3BEE4DD1" w14:textId="77777777" w:rsidR="00DF29F6" w:rsidRPr="006D7D1A" w:rsidRDefault="00DF29F6" w:rsidP="00F36435">
            <w:pPr>
              <w:pStyle w:val="TableText0"/>
              <w:rPr>
                <w:rFonts w:cs="Arial"/>
              </w:rPr>
            </w:pPr>
            <w:r w:rsidRPr="006D7D1A">
              <w:t>2L urothelial</w:t>
            </w:r>
          </w:p>
        </w:tc>
        <w:tc>
          <w:tcPr>
            <w:tcW w:w="1563" w:type="pct"/>
            <w:tcMar>
              <w:top w:w="0" w:type="dxa"/>
              <w:left w:w="108" w:type="dxa"/>
              <w:bottom w:w="0" w:type="dxa"/>
              <w:right w:w="108" w:type="dxa"/>
            </w:tcMar>
            <w:vAlign w:val="bottom"/>
          </w:tcPr>
          <w:p w14:paraId="402C11CF" w14:textId="77777777" w:rsidR="00DF29F6" w:rsidRPr="006D7D1A" w:rsidRDefault="00DF29F6" w:rsidP="00F36435">
            <w:pPr>
              <w:pStyle w:val="TableText0"/>
            </w:pPr>
            <w:r w:rsidRPr="006D7D1A">
              <w:t>CM275</w:t>
            </w:r>
          </w:p>
        </w:tc>
      </w:tr>
      <w:tr w:rsidR="00DF29F6" w:rsidRPr="006D7D1A" w14:paraId="6561CF20" w14:textId="77777777" w:rsidTr="00C546A7">
        <w:trPr>
          <w:trHeight w:val="260"/>
        </w:trPr>
        <w:tc>
          <w:tcPr>
            <w:tcW w:w="1250" w:type="pct"/>
            <w:shd w:val="clear" w:color="auto" w:fill="FFF2CC"/>
          </w:tcPr>
          <w:p w14:paraId="1647786E" w14:textId="77777777" w:rsidR="00DF29F6" w:rsidRPr="006D7D1A" w:rsidRDefault="00DF29F6" w:rsidP="00F36435">
            <w:pPr>
              <w:pStyle w:val="TableText0"/>
            </w:pPr>
            <w:r w:rsidRPr="006D7D1A">
              <w:t>NIVO+IPI</w:t>
            </w:r>
          </w:p>
        </w:tc>
        <w:tc>
          <w:tcPr>
            <w:tcW w:w="2188" w:type="pct"/>
            <w:shd w:val="clear" w:color="auto" w:fill="FFF2CC"/>
            <w:tcMar>
              <w:top w:w="0" w:type="dxa"/>
              <w:left w:w="108" w:type="dxa"/>
              <w:bottom w:w="0" w:type="dxa"/>
              <w:right w:w="108" w:type="dxa"/>
            </w:tcMar>
            <w:vAlign w:val="bottom"/>
          </w:tcPr>
          <w:p w14:paraId="4EE3D021" w14:textId="77777777" w:rsidR="00DF29F6" w:rsidRPr="006D7D1A" w:rsidRDefault="00DF29F6" w:rsidP="00F36435">
            <w:pPr>
              <w:pStyle w:val="TableText0"/>
              <w:rPr>
                <w:rFonts w:cs="Arial"/>
              </w:rPr>
            </w:pPr>
            <w:r w:rsidRPr="006D7D1A">
              <w:t>1L NSCLC (9LA NSQ)</w:t>
            </w:r>
          </w:p>
        </w:tc>
        <w:tc>
          <w:tcPr>
            <w:tcW w:w="1563" w:type="pct"/>
            <w:tcMar>
              <w:top w:w="0" w:type="dxa"/>
              <w:left w:w="108" w:type="dxa"/>
              <w:bottom w:w="0" w:type="dxa"/>
              <w:right w:w="108" w:type="dxa"/>
            </w:tcMar>
            <w:vAlign w:val="bottom"/>
          </w:tcPr>
          <w:p w14:paraId="14B4565C" w14:textId="77777777" w:rsidR="00DF29F6" w:rsidRPr="006D7D1A" w:rsidRDefault="00DF29F6" w:rsidP="00F36435">
            <w:pPr>
              <w:pStyle w:val="TableText0"/>
            </w:pPr>
            <w:r w:rsidRPr="006D7D1A">
              <w:t>CM9LA</w:t>
            </w:r>
          </w:p>
        </w:tc>
      </w:tr>
      <w:tr w:rsidR="00DF29F6" w:rsidRPr="006D7D1A" w14:paraId="14B673F9" w14:textId="77777777" w:rsidTr="00C546A7">
        <w:trPr>
          <w:trHeight w:val="260"/>
        </w:trPr>
        <w:tc>
          <w:tcPr>
            <w:tcW w:w="1250" w:type="pct"/>
            <w:shd w:val="clear" w:color="auto" w:fill="FFF2CC"/>
          </w:tcPr>
          <w:p w14:paraId="7453F84E" w14:textId="77777777" w:rsidR="00DF29F6" w:rsidRPr="006D7D1A" w:rsidRDefault="00DF29F6" w:rsidP="00F36435">
            <w:pPr>
              <w:pStyle w:val="TableText0"/>
            </w:pPr>
            <w:r w:rsidRPr="006D7D1A">
              <w:t>(NIVO)+IPI</w:t>
            </w:r>
          </w:p>
        </w:tc>
        <w:tc>
          <w:tcPr>
            <w:tcW w:w="2188" w:type="pct"/>
            <w:shd w:val="clear" w:color="auto" w:fill="FFF2CC"/>
            <w:tcMar>
              <w:top w:w="0" w:type="dxa"/>
              <w:left w:w="108" w:type="dxa"/>
              <w:bottom w:w="0" w:type="dxa"/>
              <w:right w:w="108" w:type="dxa"/>
            </w:tcMar>
            <w:vAlign w:val="bottom"/>
          </w:tcPr>
          <w:p w14:paraId="5469C7F0" w14:textId="77777777" w:rsidR="00DF29F6" w:rsidRPr="006D7D1A" w:rsidRDefault="00DF29F6" w:rsidP="00F36435">
            <w:pPr>
              <w:pStyle w:val="TableText0"/>
            </w:pPr>
            <w:r w:rsidRPr="006D7D1A">
              <w:t>1L OSCC</w:t>
            </w:r>
          </w:p>
        </w:tc>
        <w:tc>
          <w:tcPr>
            <w:tcW w:w="1563" w:type="pct"/>
            <w:tcMar>
              <w:top w:w="0" w:type="dxa"/>
              <w:left w:w="108" w:type="dxa"/>
              <w:bottom w:w="0" w:type="dxa"/>
              <w:right w:w="108" w:type="dxa"/>
            </w:tcMar>
            <w:vAlign w:val="bottom"/>
          </w:tcPr>
          <w:p w14:paraId="792828E9" w14:textId="77777777" w:rsidR="00DF29F6" w:rsidRPr="006D7D1A" w:rsidRDefault="00DF29F6" w:rsidP="00F36435">
            <w:pPr>
              <w:pStyle w:val="TableText0"/>
            </w:pPr>
            <w:r w:rsidRPr="006D7D1A">
              <w:t>CM649</w:t>
            </w:r>
          </w:p>
        </w:tc>
      </w:tr>
    </w:tbl>
    <w:p w14:paraId="368BDEB7" w14:textId="77777777" w:rsidR="00DF29F6" w:rsidRPr="00342D18" w:rsidRDefault="00DF29F6" w:rsidP="00DF29F6">
      <w:pPr>
        <w:rPr>
          <w:rFonts w:ascii="Arial Narrow" w:eastAsia="Calibri" w:hAnsi="Arial Narrow" w:cs="Arial"/>
          <w:sz w:val="18"/>
          <w:szCs w:val="18"/>
        </w:rPr>
      </w:pPr>
      <w:r w:rsidRPr="00342D18">
        <w:rPr>
          <w:rFonts w:ascii="Arial Narrow" w:eastAsia="Calibri" w:hAnsi="Arial Narrow" w:cs="Arial"/>
          <w:b/>
          <w:bCs/>
          <w:sz w:val="18"/>
          <w:szCs w:val="18"/>
        </w:rPr>
        <w:t>Abbreviations:</w:t>
      </w:r>
      <w:r w:rsidRPr="00342D18">
        <w:rPr>
          <w:rFonts w:ascii="Arial Narrow" w:eastAsia="Calibri" w:hAnsi="Arial Narrow" w:cs="Arial"/>
          <w:sz w:val="18"/>
          <w:szCs w:val="18"/>
        </w:rPr>
        <w:t xml:space="preserve"> AVD = doxorubicin, vinblastine, dacarbazine; </w:t>
      </w:r>
      <w:proofErr w:type="spellStart"/>
      <w:r w:rsidRPr="00342D18">
        <w:rPr>
          <w:rFonts w:ascii="Arial Narrow" w:eastAsia="Calibri" w:hAnsi="Arial Narrow" w:cs="Arial"/>
          <w:sz w:val="18"/>
          <w:szCs w:val="18"/>
        </w:rPr>
        <w:t>cHL</w:t>
      </w:r>
      <w:proofErr w:type="spellEnd"/>
      <w:r w:rsidRPr="00342D18">
        <w:rPr>
          <w:rFonts w:ascii="Arial Narrow" w:eastAsia="Calibri" w:hAnsi="Arial Narrow" w:cs="Arial"/>
          <w:sz w:val="18"/>
          <w:szCs w:val="18"/>
        </w:rPr>
        <w:t xml:space="preserve"> = classical Hodgkin’s lymphoma; CRC = colorectal cancer; HCC = hepatocellular carcinoma; NSCLC = non-small cell lung cancer; NSQ = non-squamous; OSCC = oesophageal squamous cell carcinoma; RCC = renal cell carcinoma; SCCHN = squamous cell carcinoma of the head and neck; UGI = upper gastro-intestinal.</w:t>
      </w:r>
    </w:p>
    <w:p w14:paraId="2EEBE25B" w14:textId="4370E585" w:rsidR="00DF29F6" w:rsidRPr="00342D18" w:rsidRDefault="00DF29F6" w:rsidP="00DF29F6">
      <w:pPr>
        <w:rPr>
          <w:rFonts w:ascii="Arial Narrow" w:eastAsia="Calibri" w:hAnsi="Arial Narrow" w:cs="Arial"/>
          <w:sz w:val="18"/>
          <w:szCs w:val="18"/>
        </w:rPr>
      </w:pPr>
      <w:r w:rsidRPr="00342D18">
        <w:rPr>
          <w:rFonts w:ascii="Arial Narrow" w:eastAsia="Calibri" w:hAnsi="Arial Narrow" w:cs="Arial"/>
          <w:b/>
          <w:sz w:val="18"/>
          <w:szCs w:val="18"/>
        </w:rPr>
        <w:t>Source:</w:t>
      </w:r>
      <w:r w:rsidRPr="00342D18">
        <w:rPr>
          <w:rFonts w:ascii="Arial Narrow" w:eastAsia="Calibri" w:hAnsi="Arial Narrow" w:cs="Arial"/>
          <w:sz w:val="18"/>
          <w:szCs w:val="18"/>
        </w:rPr>
        <w:t xml:space="preserve"> Table 3, p17 from the submission</w:t>
      </w:r>
    </w:p>
    <w:p w14:paraId="2A5788AA" w14:textId="77777777" w:rsidR="00DF29F6" w:rsidRPr="00342D18" w:rsidRDefault="00DF29F6" w:rsidP="00DF29F6">
      <w:pPr>
        <w:spacing w:before="120"/>
        <w:rPr>
          <w:rFonts w:ascii="Arial Narrow" w:eastAsia="Calibri" w:hAnsi="Arial Narrow" w:cs="Arial"/>
          <w:color w:val="000000"/>
          <w:sz w:val="18"/>
          <w:szCs w:val="18"/>
          <w:lang w:val="en-GB"/>
        </w:rPr>
      </w:pPr>
      <w:r w:rsidRPr="00342D18">
        <w:rPr>
          <w:rFonts w:ascii="Arial Narrow" w:eastAsia="Calibri" w:hAnsi="Arial Narrow" w:cs="Arial"/>
          <w:noProof/>
          <w:color w:val="000000"/>
          <w:sz w:val="18"/>
          <w:szCs w:val="18"/>
          <w:lang w:val="en-GB"/>
        </w:rPr>
        <w:drawing>
          <wp:inline distT="0" distB="0" distL="0" distR="0" wp14:anchorId="7B229FCC" wp14:editId="2A4C7542">
            <wp:extent cx="1120140" cy="622299"/>
            <wp:effectExtent l="0" t="0" r="3810" b="6985"/>
            <wp:docPr id="1186618482" name="Picture 1" descr="Table 2: Current and future nivolumab and ipilimumab indications -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18482" name="Picture 1" descr="Table 2: Current and future nivolumab and ipilimumab indications - lege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0140" cy="622299"/>
                    </a:xfrm>
                    <a:prstGeom prst="rect">
                      <a:avLst/>
                    </a:prstGeom>
                    <a:noFill/>
                    <a:ln>
                      <a:noFill/>
                    </a:ln>
                  </pic:spPr>
                </pic:pic>
              </a:graphicData>
            </a:graphic>
          </wp:inline>
        </w:drawing>
      </w:r>
    </w:p>
    <w:p w14:paraId="5F8E13C4" w14:textId="77777777" w:rsidR="0014492B" w:rsidRDefault="0014492B" w:rsidP="001260D8">
      <w:pPr>
        <w:pStyle w:val="3-BodyText"/>
        <w:numPr>
          <w:ilvl w:val="0"/>
          <w:numId w:val="0"/>
        </w:numPr>
        <w:ind w:left="720"/>
      </w:pPr>
    </w:p>
    <w:p w14:paraId="1D29790E" w14:textId="487F4067" w:rsidR="00413A51" w:rsidRPr="000144D7" w:rsidRDefault="00C61DC8" w:rsidP="000144D7">
      <w:pPr>
        <w:pStyle w:val="3-BodyText"/>
      </w:pPr>
      <w:r w:rsidRPr="000144D7">
        <w:t>C</w:t>
      </w:r>
      <w:r w:rsidR="00413A51" w:rsidRPr="000144D7">
        <w:t xml:space="preserve">urrently subsidised indications </w:t>
      </w:r>
      <w:r w:rsidRPr="000144D7">
        <w:t xml:space="preserve">(proposed Subsidy Cap 1 </w:t>
      </w:r>
      <w:r w:rsidR="00484752">
        <w:t>(</w:t>
      </w:r>
      <w:r w:rsidRPr="000144D7">
        <w:t>SC1</w:t>
      </w:r>
      <w:r w:rsidR="00484752">
        <w:t>)</w:t>
      </w:r>
      <w:r w:rsidRPr="000144D7">
        <w:t>)</w:t>
      </w:r>
    </w:p>
    <w:p w14:paraId="5B15D424" w14:textId="77777777" w:rsidR="00413A51" w:rsidRDefault="00413A51" w:rsidP="001F72D7">
      <w:pPr>
        <w:pStyle w:val="3-BodyText"/>
        <w:numPr>
          <w:ilvl w:val="0"/>
          <w:numId w:val="9"/>
        </w:numPr>
        <w:spacing w:before="0" w:after="0"/>
      </w:pPr>
      <w:r>
        <w:t>melanoma (</w:t>
      </w:r>
      <w:r>
        <w:rPr>
          <w:rFonts w:cstheme="minorHAnsi"/>
        </w:rPr>
        <w:t>±</w:t>
      </w:r>
      <w:r>
        <w:t xml:space="preserve"> ipilimumab induction)</w:t>
      </w:r>
    </w:p>
    <w:p w14:paraId="6F7862E9" w14:textId="77777777" w:rsidR="00413A51" w:rsidRDefault="00413A51" w:rsidP="001F72D7">
      <w:pPr>
        <w:pStyle w:val="3-BodyText"/>
        <w:numPr>
          <w:ilvl w:val="0"/>
          <w:numId w:val="9"/>
        </w:numPr>
        <w:spacing w:before="0" w:after="0"/>
        <w:jc w:val="left"/>
      </w:pPr>
      <w:r>
        <w:t>first-line squamous non-small cell lung cancer (+ ipilimumab induction)</w:t>
      </w:r>
      <w:r>
        <w:br/>
        <w:t xml:space="preserve"> (also a previous second-line listing in squamous and non-squamous)</w:t>
      </w:r>
    </w:p>
    <w:p w14:paraId="78776BD1" w14:textId="77777777" w:rsidR="00413A51" w:rsidRDefault="00413A51" w:rsidP="001F72D7">
      <w:pPr>
        <w:pStyle w:val="3-BodyText"/>
        <w:numPr>
          <w:ilvl w:val="0"/>
          <w:numId w:val="9"/>
        </w:numPr>
        <w:spacing w:before="0" w:after="0"/>
        <w:jc w:val="left"/>
      </w:pPr>
      <w:r>
        <w:t>renal cell carcinoma (intermediate/poor risk) (+ ipilimumab induction)</w:t>
      </w:r>
      <w:r>
        <w:br/>
        <w:t>(also a previous second-line listing)</w:t>
      </w:r>
    </w:p>
    <w:p w14:paraId="187035C7" w14:textId="77777777" w:rsidR="00413A51" w:rsidRDefault="00413A51" w:rsidP="001F72D7">
      <w:pPr>
        <w:pStyle w:val="3-BodyText"/>
        <w:numPr>
          <w:ilvl w:val="0"/>
          <w:numId w:val="9"/>
        </w:numPr>
        <w:spacing w:before="0" w:after="0"/>
        <w:jc w:val="left"/>
      </w:pPr>
      <w:r>
        <w:t>mesothelioma (</w:t>
      </w:r>
      <w:r>
        <w:rPr>
          <w:rFonts w:cstheme="minorHAnsi"/>
        </w:rPr>
        <w:t>±</w:t>
      </w:r>
      <w:r>
        <w:t xml:space="preserve"> ipilimumab induction)</w:t>
      </w:r>
    </w:p>
    <w:p w14:paraId="23CBC8B8" w14:textId="77777777" w:rsidR="00413A51" w:rsidRDefault="00413A51" w:rsidP="001F72D7">
      <w:pPr>
        <w:pStyle w:val="3-BodyText"/>
        <w:numPr>
          <w:ilvl w:val="0"/>
          <w:numId w:val="9"/>
        </w:numPr>
        <w:spacing w:before="0" w:after="0"/>
        <w:jc w:val="left"/>
      </w:pPr>
      <w:r>
        <w:t>upper GI</w:t>
      </w:r>
    </w:p>
    <w:p w14:paraId="5BE001E0" w14:textId="7C4B6F24" w:rsidR="00413A51" w:rsidRDefault="00565298" w:rsidP="001F72D7">
      <w:pPr>
        <w:pStyle w:val="3-BodyText"/>
        <w:numPr>
          <w:ilvl w:val="1"/>
          <w:numId w:val="9"/>
        </w:numPr>
        <w:spacing w:before="0" w:after="0"/>
        <w:jc w:val="left"/>
      </w:pPr>
      <w:r>
        <w:t>First-line (1L)</w:t>
      </w:r>
      <w:r w:rsidR="00413A51">
        <w:t xml:space="preserve"> adenoca</w:t>
      </w:r>
      <w:r w:rsidR="00B67736">
        <w:t>rcinoma</w:t>
      </w:r>
      <w:r w:rsidR="00413A51">
        <w:t xml:space="preserve"> HER2-neg</w:t>
      </w:r>
    </w:p>
    <w:p w14:paraId="3BB4CFB5" w14:textId="5740C6F5" w:rsidR="00413A51" w:rsidRDefault="00B92285" w:rsidP="001F72D7">
      <w:pPr>
        <w:pStyle w:val="3-BodyText"/>
        <w:numPr>
          <w:ilvl w:val="1"/>
          <w:numId w:val="9"/>
        </w:numPr>
        <w:spacing w:before="0" w:after="0"/>
        <w:jc w:val="left"/>
      </w:pPr>
      <w:r>
        <w:t>OSCC</w:t>
      </w:r>
    </w:p>
    <w:p w14:paraId="22912AB9" w14:textId="58272D3E" w:rsidR="00413A51" w:rsidRDefault="00220A9C" w:rsidP="001F72D7">
      <w:pPr>
        <w:pStyle w:val="3-BodyText"/>
        <w:numPr>
          <w:ilvl w:val="0"/>
          <w:numId w:val="9"/>
        </w:numPr>
        <w:spacing w:before="0" w:after="0"/>
        <w:jc w:val="left"/>
      </w:pPr>
      <w:r>
        <w:t>Second</w:t>
      </w:r>
      <w:r w:rsidR="00565298">
        <w:t>-line (2L)</w:t>
      </w:r>
      <w:r w:rsidR="00413A51">
        <w:t xml:space="preserve"> SCCHN</w:t>
      </w:r>
    </w:p>
    <w:p w14:paraId="1108A8CD" w14:textId="3C06E87B" w:rsidR="00D91484" w:rsidRDefault="00D91484" w:rsidP="001260D8">
      <w:pPr>
        <w:pStyle w:val="3-BodyText"/>
      </w:pPr>
      <w:r>
        <w:lastRenderedPageBreak/>
        <w:t xml:space="preserve">There is a listing for </w:t>
      </w:r>
      <w:r w:rsidR="008C5B0C">
        <w:t xml:space="preserve">the combination </w:t>
      </w:r>
      <w:r w:rsidR="00220A9C">
        <w:t xml:space="preserve">drug </w:t>
      </w:r>
      <w:r>
        <w:t xml:space="preserve">nivolumab with relatlimab for unresectable advanced/metastatic melanoma that is not </w:t>
      </w:r>
      <w:r w:rsidR="00CB17D6">
        <w:t>considered as part of this proposal</w:t>
      </w:r>
      <w:r>
        <w:t>.</w:t>
      </w:r>
    </w:p>
    <w:p w14:paraId="5FDF5163" w14:textId="17D3FFCA" w:rsidR="00F93432" w:rsidRPr="000144D7" w:rsidRDefault="00F93432" w:rsidP="000144D7">
      <w:pPr>
        <w:pStyle w:val="3-BodyText"/>
      </w:pPr>
      <w:r w:rsidRPr="000144D7">
        <w:t>Proposed new/additional indications</w:t>
      </w:r>
      <w:r w:rsidR="004868FB">
        <w:t xml:space="preserve"> calculated </w:t>
      </w:r>
      <w:r w:rsidR="00142A9D">
        <w:t>as utilisation above SC1</w:t>
      </w:r>
      <w:r w:rsidR="00161DAC">
        <w:t>:</w:t>
      </w:r>
    </w:p>
    <w:p w14:paraId="2E1347FA" w14:textId="77777777" w:rsidR="009E6BD5" w:rsidRDefault="009E6BD5" w:rsidP="001F72D7">
      <w:pPr>
        <w:pStyle w:val="3-BodyText"/>
        <w:numPr>
          <w:ilvl w:val="0"/>
          <w:numId w:val="11"/>
        </w:numPr>
        <w:spacing w:before="0" w:after="0"/>
      </w:pPr>
      <w:r>
        <w:t>HCC (+ ipilimumab induction) and dMMR/MSI-H CRC (+ ipilimumab induction)</w:t>
      </w:r>
    </w:p>
    <w:p w14:paraId="34BCFB11" w14:textId="608F2044" w:rsidR="009E6BD5" w:rsidRPr="005331F2" w:rsidRDefault="00CB17D6" w:rsidP="001F72D7">
      <w:pPr>
        <w:pStyle w:val="3-BodyText"/>
        <w:numPr>
          <w:ilvl w:val="1"/>
          <w:numId w:val="11"/>
        </w:numPr>
        <w:spacing w:before="0" w:after="0"/>
        <w:rPr>
          <w:i/>
          <w:iCs/>
        </w:rPr>
      </w:pPr>
      <w:r w:rsidRPr="005331F2">
        <w:rPr>
          <w:i/>
          <w:iCs/>
        </w:rPr>
        <w:t xml:space="preserve">The sponsor has made individual submissions to the PBAC for these </w:t>
      </w:r>
      <w:r w:rsidR="00161DAC" w:rsidRPr="00161DAC">
        <w:rPr>
          <w:i/>
          <w:iCs/>
        </w:rPr>
        <w:t>indications</w:t>
      </w:r>
      <w:r w:rsidRPr="005331F2">
        <w:rPr>
          <w:i/>
          <w:iCs/>
        </w:rPr>
        <w:t xml:space="preserve"> which </w:t>
      </w:r>
      <w:r w:rsidR="00A45098">
        <w:rPr>
          <w:i/>
          <w:iCs/>
        </w:rPr>
        <w:t>were</w:t>
      </w:r>
      <w:r w:rsidRPr="005331F2">
        <w:rPr>
          <w:i/>
          <w:iCs/>
        </w:rPr>
        <w:t xml:space="preserve"> </w:t>
      </w:r>
      <w:r w:rsidR="009E6BD5" w:rsidRPr="005331F2">
        <w:rPr>
          <w:i/>
          <w:iCs/>
        </w:rPr>
        <w:t>considered at the July 2025 meeting</w:t>
      </w:r>
      <w:r w:rsidRPr="005331F2">
        <w:rPr>
          <w:i/>
          <w:iCs/>
        </w:rPr>
        <w:t>.</w:t>
      </w:r>
    </w:p>
    <w:p w14:paraId="50F88C53" w14:textId="51B81D86" w:rsidR="009E6BD5" w:rsidRDefault="008967E5" w:rsidP="001F72D7">
      <w:pPr>
        <w:pStyle w:val="3-BodyText"/>
        <w:numPr>
          <w:ilvl w:val="0"/>
          <w:numId w:val="11"/>
        </w:numPr>
        <w:spacing w:before="0" w:after="0"/>
      </w:pPr>
      <w:r>
        <w:t xml:space="preserve">1L </w:t>
      </w:r>
      <w:r w:rsidR="009E6BD5">
        <w:t>UC (recommended by PBAC at the November 2024 meeting)</w:t>
      </w:r>
    </w:p>
    <w:p w14:paraId="6A2C1B20" w14:textId="77777777" w:rsidR="009E6BD5" w:rsidRDefault="009E6BD5" w:rsidP="001F72D7">
      <w:pPr>
        <w:pStyle w:val="3-BodyText"/>
        <w:numPr>
          <w:ilvl w:val="0"/>
          <w:numId w:val="11"/>
        </w:numPr>
        <w:spacing w:before="0" w:after="0"/>
      </w:pPr>
      <w:r>
        <w:t>first-line non-squamous NSCLC (+ ipilimumab induction)</w:t>
      </w:r>
    </w:p>
    <w:p w14:paraId="391985B3" w14:textId="77777777" w:rsidR="009E6BD5" w:rsidRPr="005331F2" w:rsidRDefault="009E6BD5" w:rsidP="001F72D7">
      <w:pPr>
        <w:pStyle w:val="3-BodyText"/>
        <w:numPr>
          <w:ilvl w:val="1"/>
          <w:numId w:val="11"/>
        </w:numPr>
        <w:spacing w:before="0" w:after="0"/>
        <w:rPr>
          <w:i/>
          <w:iCs/>
        </w:rPr>
      </w:pPr>
      <w:r w:rsidRPr="005331F2">
        <w:rPr>
          <w:i/>
          <w:iCs/>
        </w:rPr>
        <w:t>first-line squamous NSCLC was listed in 2021 (as above)</w:t>
      </w:r>
    </w:p>
    <w:p w14:paraId="5F4E888F" w14:textId="041B70A7" w:rsidR="009E6BD5" w:rsidRDefault="009E6BD5" w:rsidP="001F72D7">
      <w:pPr>
        <w:pStyle w:val="3-BodyText"/>
        <w:numPr>
          <w:ilvl w:val="0"/>
          <w:numId w:val="11"/>
        </w:numPr>
        <w:spacing w:before="0" w:after="0"/>
      </w:pPr>
      <w:r>
        <w:t xml:space="preserve">newly-diagnosed </w:t>
      </w:r>
      <w:proofErr w:type="spellStart"/>
      <w:r>
        <w:t>cHL</w:t>
      </w:r>
      <w:proofErr w:type="spellEnd"/>
      <w:r>
        <w:t xml:space="preserve"> </w:t>
      </w:r>
    </w:p>
    <w:p w14:paraId="566AACBB" w14:textId="77777777" w:rsidR="00463774" w:rsidRDefault="009E6BD5" w:rsidP="001F72D7">
      <w:pPr>
        <w:pStyle w:val="3-BodyText"/>
        <w:numPr>
          <w:ilvl w:val="0"/>
          <w:numId w:val="11"/>
        </w:numPr>
        <w:spacing w:before="0" w:after="0"/>
      </w:pPr>
      <w:r>
        <w:t>retreatment</w:t>
      </w:r>
    </w:p>
    <w:p w14:paraId="76AEBED0" w14:textId="09AAE695" w:rsidR="00F93432" w:rsidRDefault="009E6BD5" w:rsidP="001F72D7">
      <w:pPr>
        <w:pStyle w:val="3-BodyText"/>
        <w:numPr>
          <w:ilvl w:val="0"/>
          <w:numId w:val="11"/>
        </w:numPr>
        <w:spacing w:before="0" w:after="0"/>
      </w:pPr>
      <w:r>
        <w:t xml:space="preserve">rare tissue types </w:t>
      </w:r>
      <w:r w:rsidR="0063475B">
        <w:t>(</w:t>
      </w:r>
      <w:r w:rsidR="0063475B">
        <w:rPr>
          <w:rFonts w:cstheme="minorHAnsi"/>
        </w:rPr>
        <w:t>±</w:t>
      </w:r>
      <w:r w:rsidR="0063475B">
        <w:t xml:space="preserve"> ipilimumab)</w:t>
      </w:r>
    </w:p>
    <w:p w14:paraId="1005A87A" w14:textId="16131E89" w:rsidR="0063475B" w:rsidRDefault="00E57815" w:rsidP="001F72D7">
      <w:pPr>
        <w:pStyle w:val="3-BodyText"/>
        <w:numPr>
          <w:ilvl w:val="0"/>
          <w:numId w:val="11"/>
        </w:numPr>
        <w:spacing w:before="0" w:after="0"/>
      </w:pPr>
      <w:r>
        <w:t xml:space="preserve">minor: </w:t>
      </w:r>
      <w:r w:rsidR="00DA4436">
        <w:t>SCCO nivolumab (</w:t>
      </w:r>
      <w:r w:rsidR="00DA4436">
        <w:rPr>
          <w:rFonts w:cstheme="minorHAnsi"/>
        </w:rPr>
        <w:t>±</w:t>
      </w:r>
      <w:r w:rsidR="00DA4436">
        <w:t xml:space="preserve"> ipilimumab)</w:t>
      </w:r>
    </w:p>
    <w:p w14:paraId="64805052" w14:textId="4ADF7B4A" w:rsidR="00BA3A36" w:rsidRDefault="00BA3A36" w:rsidP="001F72D7">
      <w:pPr>
        <w:pStyle w:val="3-BodyText"/>
        <w:numPr>
          <w:ilvl w:val="1"/>
          <w:numId w:val="11"/>
        </w:numPr>
        <w:spacing w:before="0" w:after="0"/>
      </w:pPr>
      <w:r>
        <w:t xml:space="preserve">nivolumab is </w:t>
      </w:r>
      <w:r w:rsidR="0095393B">
        <w:t xml:space="preserve">currently subsidised for this </w:t>
      </w:r>
      <w:r w:rsidR="004A4E6A">
        <w:t>indication</w:t>
      </w:r>
      <w:r w:rsidR="0095393B">
        <w:t xml:space="preserve"> and </w:t>
      </w:r>
      <w:r>
        <w:t xml:space="preserve">included in SC1, ipilimumab </w:t>
      </w:r>
      <w:r w:rsidR="006C72E6">
        <w:t xml:space="preserve">is </w:t>
      </w:r>
      <w:r w:rsidR="005819D8">
        <w:t xml:space="preserve">not currently subsidised and </w:t>
      </w:r>
      <w:r w:rsidR="003B3FCB">
        <w:t>included in</w:t>
      </w:r>
      <w:r w:rsidR="006C72E6">
        <w:t xml:space="preserve"> SC2</w:t>
      </w:r>
      <w:r w:rsidR="003B3FCB">
        <w:t xml:space="preserve"> numbers</w:t>
      </w:r>
      <w:r w:rsidR="0095393B">
        <w:t>.</w:t>
      </w:r>
    </w:p>
    <w:p w14:paraId="3B80DE94" w14:textId="2E422E47" w:rsidR="00C1478B" w:rsidRDefault="00C1478B" w:rsidP="0095393B">
      <w:pPr>
        <w:pStyle w:val="3-BodyText"/>
      </w:pPr>
      <w:r>
        <w:t xml:space="preserve">The submission noted that current listings </w:t>
      </w:r>
      <w:r w:rsidR="001463FD">
        <w:t xml:space="preserve">for </w:t>
      </w:r>
      <w:r w:rsidR="00FB139B">
        <w:t>early-stage</w:t>
      </w:r>
      <w:r w:rsidR="005402B5">
        <w:t xml:space="preserve"> melanoma, </w:t>
      </w:r>
      <w:r w:rsidR="00DC5C45">
        <w:t>early</w:t>
      </w:r>
      <w:r w:rsidR="00FB139B">
        <w:t>-stage</w:t>
      </w:r>
      <w:r w:rsidR="005402B5">
        <w:t xml:space="preserve"> NSCLC, </w:t>
      </w:r>
      <w:r w:rsidR="00387BB5">
        <w:t>early-stage</w:t>
      </w:r>
      <w:r w:rsidR="005402B5">
        <w:t xml:space="preserve"> </w:t>
      </w:r>
      <w:r w:rsidR="00E44E44">
        <w:t>gastro-oesophageal</w:t>
      </w:r>
      <w:r w:rsidR="00E553B8">
        <w:t xml:space="preserve"> and MIUC </w:t>
      </w:r>
      <w:r w:rsidR="001463FD">
        <w:t>are not inclu</w:t>
      </w:r>
      <w:r w:rsidR="00437351">
        <w:t>ded</w:t>
      </w:r>
      <w:r w:rsidR="001463FD">
        <w:t xml:space="preserve"> in the scope o</w:t>
      </w:r>
      <w:r w:rsidR="00437351">
        <w:t>f</w:t>
      </w:r>
      <w:r w:rsidR="001463FD">
        <w:t xml:space="preserve"> this </w:t>
      </w:r>
      <w:r w:rsidR="00437351">
        <w:t>submission</w:t>
      </w:r>
      <w:r w:rsidR="005402B5">
        <w:t>.</w:t>
      </w:r>
    </w:p>
    <w:p w14:paraId="31798607" w14:textId="0BB9F730" w:rsidR="00463774" w:rsidRDefault="0031519F" w:rsidP="0031519F">
      <w:pPr>
        <w:pStyle w:val="2-SectionHeading"/>
      </w:pPr>
      <w:r>
        <w:t>Requested Listing</w:t>
      </w:r>
    </w:p>
    <w:p w14:paraId="3F60D7AD" w14:textId="1D18152E" w:rsidR="003412B3" w:rsidRDefault="00547415" w:rsidP="003412B3">
      <w:pPr>
        <w:pStyle w:val="3-BodyText"/>
      </w:pPr>
      <w:r>
        <w:t xml:space="preserve">The requested listing is </w:t>
      </w:r>
      <w:r w:rsidR="00877211">
        <w:t>presented</w:t>
      </w:r>
      <w:r>
        <w:t xml:space="preserve"> below and </w:t>
      </w:r>
      <w:r w:rsidR="00877211">
        <w:t>is</w:t>
      </w:r>
      <w:r>
        <w:t xml:space="preserve"> intended to replace all existing advanced and metastatic listings for niv</w:t>
      </w:r>
      <w:r w:rsidR="00BE22C3">
        <w:t>o</w:t>
      </w:r>
      <w:r>
        <w:t>lumab</w:t>
      </w:r>
      <w:r w:rsidR="00BE22C3">
        <w:t xml:space="preserve"> and ipilimumab</w:t>
      </w:r>
      <w:r>
        <w:t>.</w:t>
      </w:r>
    </w:p>
    <w:p w14:paraId="7A8A1FF9" w14:textId="4893EEB5" w:rsidR="00042D3B" w:rsidRDefault="00042D3B" w:rsidP="003412B3">
      <w:pPr>
        <w:pStyle w:val="3-BodyText"/>
      </w:pPr>
      <w:r>
        <w:t>Secretariat has provided updates to the requested restriction with proposed deletions in strikethrough and additions in italics.</w:t>
      </w:r>
    </w:p>
    <w:tbl>
      <w:tblPr>
        <w:tblW w:w="9509" w:type="dxa"/>
        <w:tblLayout w:type="fixed"/>
        <w:tblLook w:val="06A0" w:firstRow="1" w:lastRow="0" w:firstColumn="1" w:lastColumn="0" w:noHBand="1" w:noVBand="1"/>
        <w:tblCaption w:val="Requested listing - nivolumab and ipilimumab"/>
      </w:tblPr>
      <w:tblGrid>
        <w:gridCol w:w="970"/>
        <w:gridCol w:w="2436"/>
        <w:gridCol w:w="1449"/>
        <w:gridCol w:w="1225"/>
        <w:gridCol w:w="1184"/>
        <w:gridCol w:w="2224"/>
        <w:gridCol w:w="21"/>
      </w:tblGrid>
      <w:tr w:rsidR="00FE4483" w:rsidRPr="004F78E1" w14:paraId="3810F084" w14:textId="77777777" w:rsidTr="005331F2">
        <w:trPr>
          <w:trHeight w:val="464"/>
        </w:trPr>
        <w:tc>
          <w:tcPr>
            <w:tcW w:w="950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440E153"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b/>
                <w:bCs/>
                <w:sz w:val="20"/>
                <w:szCs w:val="20"/>
              </w:rPr>
              <w:t>Category/Program:</w:t>
            </w:r>
            <w:r w:rsidRPr="00342D18">
              <w:rPr>
                <w:rFonts w:ascii="Arial Narrow" w:eastAsia="Arial Narrow" w:hAnsi="Arial Narrow" w:cs="Arial Narrow"/>
                <w:sz w:val="20"/>
                <w:szCs w:val="20"/>
              </w:rPr>
              <w:t xml:space="preserve"> Section 100 – Efficient Funding of Chemotherapy Public/Private hospitals</w:t>
            </w:r>
          </w:p>
        </w:tc>
      </w:tr>
      <w:tr w:rsidR="00FE4483" w:rsidRPr="004F78E1" w14:paraId="3980B03B" w14:textId="77777777" w:rsidTr="005331F2">
        <w:trPr>
          <w:trHeight w:val="464"/>
        </w:trPr>
        <w:tc>
          <w:tcPr>
            <w:tcW w:w="34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E7B6BD"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b/>
                <w:bCs/>
                <w:sz w:val="20"/>
                <w:szCs w:val="20"/>
              </w:rPr>
              <w:t>MEDICINAL PRODUCT</w:t>
            </w:r>
          </w:p>
          <w:p w14:paraId="605A791A"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 xml:space="preserve"> </w:t>
            </w:r>
          </w:p>
        </w:tc>
        <w:tc>
          <w:tcPr>
            <w:tcW w:w="1449" w:type="dxa"/>
            <w:tcBorders>
              <w:top w:val="nil"/>
              <w:left w:val="nil"/>
              <w:bottom w:val="single" w:sz="8" w:space="0" w:color="auto"/>
              <w:right w:val="single" w:sz="8" w:space="0" w:color="auto"/>
            </w:tcBorders>
            <w:tcMar>
              <w:left w:w="108" w:type="dxa"/>
              <w:right w:w="108" w:type="dxa"/>
            </w:tcMar>
          </w:tcPr>
          <w:p w14:paraId="09E4D1CF"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b/>
                <w:bCs/>
                <w:sz w:val="20"/>
                <w:szCs w:val="20"/>
              </w:rPr>
              <w:t>PBS item code</w:t>
            </w:r>
          </w:p>
        </w:tc>
        <w:tc>
          <w:tcPr>
            <w:tcW w:w="1225" w:type="dxa"/>
            <w:tcBorders>
              <w:top w:val="nil"/>
              <w:left w:val="single" w:sz="8" w:space="0" w:color="auto"/>
              <w:bottom w:val="single" w:sz="8" w:space="0" w:color="auto"/>
              <w:right w:val="single" w:sz="8" w:space="0" w:color="auto"/>
            </w:tcBorders>
            <w:tcMar>
              <w:left w:w="108" w:type="dxa"/>
              <w:right w:w="108" w:type="dxa"/>
            </w:tcMar>
          </w:tcPr>
          <w:p w14:paraId="2A51B33D"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b/>
                <w:bCs/>
                <w:sz w:val="20"/>
                <w:szCs w:val="20"/>
              </w:rPr>
              <w:t>Max.</w:t>
            </w:r>
          </w:p>
          <w:p w14:paraId="1B55F81D"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b/>
                <w:bCs/>
                <w:sz w:val="20"/>
                <w:szCs w:val="20"/>
              </w:rPr>
              <w:t>Amount</w:t>
            </w:r>
          </w:p>
        </w:tc>
        <w:tc>
          <w:tcPr>
            <w:tcW w:w="1184" w:type="dxa"/>
            <w:tcBorders>
              <w:top w:val="nil"/>
              <w:left w:val="single" w:sz="8" w:space="0" w:color="auto"/>
              <w:bottom w:val="single" w:sz="8" w:space="0" w:color="auto"/>
              <w:right w:val="single" w:sz="8" w:space="0" w:color="auto"/>
            </w:tcBorders>
            <w:tcMar>
              <w:left w:w="108" w:type="dxa"/>
              <w:right w:w="108" w:type="dxa"/>
            </w:tcMar>
          </w:tcPr>
          <w:p w14:paraId="4C1C38EA"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b/>
                <w:bCs/>
                <w:sz w:val="20"/>
                <w:szCs w:val="20"/>
              </w:rPr>
              <w:t>№.of</w:t>
            </w:r>
          </w:p>
          <w:p w14:paraId="71C054AD"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b/>
                <w:bCs/>
                <w:sz w:val="20"/>
                <w:szCs w:val="20"/>
              </w:rPr>
              <w:t>Rpts</w:t>
            </w:r>
          </w:p>
        </w:tc>
        <w:tc>
          <w:tcPr>
            <w:tcW w:w="2245" w:type="dxa"/>
            <w:gridSpan w:val="2"/>
            <w:tcBorders>
              <w:top w:val="nil"/>
              <w:left w:val="single" w:sz="8" w:space="0" w:color="auto"/>
              <w:bottom w:val="single" w:sz="8" w:space="0" w:color="auto"/>
              <w:right w:val="single" w:sz="8" w:space="0" w:color="auto"/>
            </w:tcBorders>
            <w:tcMar>
              <w:left w:w="108" w:type="dxa"/>
              <w:right w:w="108" w:type="dxa"/>
            </w:tcMar>
          </w:tcPr>
          <w:p w14:paraId="7A7D71B9"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b/>
                <w:bCs/>
                <w:sz w:val="20"/>
                <w:szCs w:val="20"/>
              </w:rPr>
              <w:t>Manufacturer</w:t>
            </w:r>
          </w:p>
        </w:tc>
      </w:tr>
      <w:tr w:rsidR="00FE4483" w:rsidRPr="004F78E1" w14:paraId="3BB11386" w14:textId="77777777" w:rsidTr="005331F2">
        <w:trPr>
          <w:trHeight w:val="569"/>
        </w:trPr>
        <w:tc>
          <w:tcPr>
            <w:tcW w:w="34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F5A22D"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NIVOLUMAB</w:t>
            </w:r>
          </w:p>
          <w:p w14:paraId="225B4A8D"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 xml:space="preserve">Injection </w:t>
            </w:r>
          </w:p>
        </w:tc>
        <w:tc>
          <w:tcPr>
            <w:tcW w:w="1449" w:type="dxa"/>
            <w:tcBorders>
              <w:top w:val="single" w:sz="8" w:space="0" w:color="auto"/>
              <w:left w:val="nil"/>
              <w:bottom w:val="single" w:sz="8" w:space="0" w:color="auto"/>
              <w:right w:val="single" w:sz="8" w:space="0" w:color="auto"/>
            </w:tcBorders>
            <w:tcMar>
              <w:left w:w="108" w:type="dxa"/>
              <w:right w:w="108" w:type="dxa"/>
            </w:tcMar>
          </w:tcPr>
          <w:p w14:paraId="2347D186"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sz w:val="20"/>
                <w:szCs w:val="20"/>
              </w:rPr>
              <w:t>NEW (Public)</w:t>
            </w:r>
          </w:p>
          <w:p w14:paraId="153DD467"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sz w:val="20"/>
                <w:szCs w:val="20"/>
              </w:rPr>
              <w:t>NEW (Private)</w:t>
            </w:r>
          </w:p>
          <w:p w14:paraId="000A3B47"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sz w:val="20"/>
                <w:szCs w:val="20"/>
                <w:vertAlign w:val="subscript"/>
              </w:rPr>
              <w:t>MP</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2390CDB0" w14:textId="77777777" w:rsidR="00FE4483" w:rsidRPr="00342D18" w:rsidRDefault="00FE4483" w:rsidP="00A94ED9">
            <w:pPr>
              <w:spacing w:line="257" w:lineRule="auto"/>
              <w:ind w:left="-57"/>
              <w:jc w:val="center"/>
              <w:rPr>
                <w:sz w:val="20"/>
                <w:szCs w:val="20"/>
              </w:rPr>
            </w:pPr>
          </w:p>
          <w:p w14:paraId="052FA9F1" w14:textId="77777777" w:rsidR="00FE4483" w:rsidRPr="00342D18" w:rsidRDefault="00FE4483" w:rsidP="00A94ED9">
            <w:pPr>
              <w:spacing w:line="257" w:lineRule="auto"/>
              <w:ind w:left="-57"/>
              <w:jc w:val="center"/>
              <w:rPr>
                <w:sz w:val="20"/>
                <w:szCs w:val="20"/>
              </w:rPr>
            </w:pPr>
            <w:r w:rsidRPr="00342D18">
              <w:rPr>
                <w:rFonts w:ascii="Arial Narrow" w:eastAsia="Arial Narrow" w:hAnsi="Arial Narrow" w:cs="Arial Narrow"/>
                <w:sz w:val="20"/>
                <w:szCs w:val="20"/>
              </w:rPr>
              <w:t>480mg</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tcPr>
          <w:p w14:paraId="10972ADE" w14:textId="77777777" w:rsidR="00FE4483" w:rsidRPr="00342D18" w:rsidRDefault="00FE4483" w:rsidP="00A94ED9">
            <w:pPr>
              <w:spacing w:line="257" w:lineRule="auto"/>
              <w:ind w:left="-57"/>
              <w:jc w:val="center"/>
              <w:rPr>
                <w:sz w:val="20"/>
                <w:szCs w:val="20"/>
              </w:rPr>
            </w:pPr>
          </w:p>
          <w:p w14:paraId="12542F7D" w14:textId="77777777" w:rsidR="00FE4483" w:rsidRPr="00342D18" w:rsidRDefault="00FE4483" w:rsidP="00A94ED9">
            <w:pPr>
              <w:spacing w:line="257" w:lineRule="auto"/>
              <w:ind w:left="-57"/>
              <w:jc w:val="center"/>
              <w:rPr>
                <w:color w:val="FF0000"/>
                <w:sz w:val="20"/>
                <w:szCs w:val="20"/>
              </w:rPr>
            </w:pPr>
            <w:r w:rsidRPr="00342D18">
              <w:rPr>
                <w:rFonts w:ascii="Arial Narrow" w:eastAsia="Arial Narrow" w:hAnsi="Arial Narrow" w:cs="Arial Narrow"/>
                <w:sz w:val="20"/>
                <w:szCs w:val="20"/>
              </w:rPr>
              <w:t>13</w:t>
            </w:r>
          </w:p>
        </w:tc>
        <w:tc>
          <w:tcPr>
            <w:tcW w:w="22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AE81A9"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Bristol-Myers Squibb Australia Pty Ltd</w:t>
            </w:r>
          </w:p>
        </w:tc>
      </w:tr>
      <w:tr w:rsidR="00FE4483" w:rsidRPr="004F78E1" w14:paraId="21432C6D" w14:textId="77777777" w:rsidTr="005331F2">
        <w:trPr>
          <w:trHeight w:val="224"/>
        </w:trPr>
        <w:tc>
          <w:tcPr>
            <w:tcW w:w="950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346E16F"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b/>
                <w:bCs/>
                <w:sz w:val="20"/>
                <w:szCs w:val="20"/>
              </w:rPr>
              <w:t>Available brands</w:t>
            </w:r>
          </w:p>
        </w:tc>
      </w:tr>
      <w:tr w:rsidR="00FE4483" w:rsidRPr="004F78E1" w14:paraId="6616E6F3" w14:textId="77777777" w:rsidTr="005331F2">
        <w:trPr>
          <w:trHeight w:val="359"/>
        </w:trPr>
        <w:tc>
          <w:tcPr>
            <w:tcW w:w="950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90C27EB"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Opdivo (nivolumab 40 mg/4 mL injection, 4 mL vial)</w:t>
            </w:r>
          </w:p>
          <w:p w14:paraId="52641F70" w14:textId="77777777" w:rsidR="00FE4483" w:rsidRPr="00342D18" w:rsidRDefault="00FE4483" w:rsidP="00A94ED9">
            <w:pPr>
              <w:spacing w:line="257" w:lineRule="auto"/>
              <w:ind w:left="-57"/>
              <w:rPr>
                <w:sz w:val="20"/>
                <w:szCs w:val="20"/>
              </w:rPr>
            </w:pPr>
            <w:r w:rsidRPr="00342D18">
              <w:rPr>
                <w:rFonts w:ascii="Arial Narrow" w:eastAsia="Arial Narrow" w:hAnsi="Arial Narrow" w:cs="Arial Narrow"/>
                <w:sz w:val="20"/>
                <w:szCs w:val="20"/>
              </w:rPr>
              <w:t>Opdivo (nivolumab 100 mg/10 mL injection, 4 mL vial)</w:t>
            </w:r>
          </w:p>
        </w:tc>
      </w:tr>
      <w:tr w:rsidR="00FE4483" w:rsidRPr="004F78E1" w14:paraId="77364ACA" w14:textId="77777777" w:rsidTr="005331F2">
        <w:trPr>
          <w:trHeight w:val="299"/>
        </w:trPr>
        <w:tc>
          <w:tcPr>
            <w:tcW w:w="9509" w:type="dxa"/>
            <w:gridSpan w:val="7"/>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A6DB43" w14:textId="77777777" w:rsidR="00FE4483" w:rsidRPr="00342D18" w:rsidRDefault="00FE4483" w:rsidP="00A94ED9">
            <w:pPr>
              <w:spacing w:line="257" w:lineRule="auto"/>
              <w:rPr>
                <w:sz w:val="20"/>
                <w:szCs w:val="20"/>
              </w:rPr>
            </w:pPr>
            <w:r w:rsidRPr="00342D18">
              <w:rPr>
                <w:rFonts w:ascii="Arial Narrow" w:eastAsia="Arial Narrow" w:hAnsi="Arial Narrow" w:cs="Arial Narrow"/>
                <w:b/>
                <w:bCs/>
                <w:sz w:val="20"/>
                <w:szCs w:val="20"/>
                <w:lang w:val="en-GB"/>
              </w:rPr>
              <w:t xml:space="preserve">Restriction Summary </w:t>
            </w:r>
            <w:r w:rsidRPr="00342D18">
              <w:rPr>
                <w:rFonts w:ascii="Arial Narrow" w:eastAsia="Arial Narrow" w:hAnsi="Arial Narrow" w:cs="Arial Narrow"/>
                <w:sz w:val="20"/>
                <w:szCs w:val="20"/>
                <w:lang w:val="en-GB"/>
              </w:rPr>
              <w:t>[number – For. Dept. use]</w:t>
            </w:r>
            <w:r w:rsidRPr="00342D18">
              <w:rPr>
                <w:rFonts w:ascii="Arial Narrow" w:eastAsia="Arial Narrow" w:hAnsi="Arial Narrow" w:cs="Arial Narrow"/>
                <w:i/>
                <w:iCs/>
                <w:sz w:val="20"/>
                <w:szCs w:val="20"/>
                <w:lang w:val="en-GB"/>
              </w:rPr>
              <w:t xml:space="preserve"> </w:t>
            </w:r>
            <w:r w:rsidRPr="00342D18">
              <w:rPr>
                <w:rFonts w:ascii="Arial Narrow" w:eastAsia="Arial Narrow" w:hAnsi="Arial Narrow" w:cs="Arial Narrow"/>
                <w:b/>
                <w:bCs/>
                <w:sz w:val="20"/>
                <w:szCs w:val="20"/>
                <w:lang w:val="en-GB"/>
              </w:rPr>
              <w:t xml:space="preserve">/ Treatment of Concept: </w:t>
            </w:r>
            <w:r w:rsidRPr="00342D18">
              <w:rPr>
                <w:rFonts w:ascii="Arial Narrow" w:eastAsia="Arial Narrow" w:hAnsi="Arial Narrow" w:cs="Arial Narrow"/>
                <w:sz w:val="20"/>
                <w:szCs w:val="20"/>
                <w:lang w:val="en-GB"/>
              </w:rPr>
              <w:t xml:space="preserve">[number – For. Dept. use]: </w:t>
            </w:r>
            <w:r w:rsidRPr="00342D18">
              <w:rPr>
                <w:rFonts w:ascii="Arial Narrow" w:eastAsia="Arial Narrow" w:hAnsi="Arial Narrow" w:cs="Arial Narrow"/>
                <w:b/>
                <w:bCs/>
                <w:sz w:val="20"/>
                <w:szCs w:val="20"/>
                <w:lang w:val="en-GB"/>
              </w:rPr>
              <w:t>Authority Required (STREAMLINED)</w:t>
            </w:r>
          </w:p>
        </w:tc>
      </w:tr>
      <w:tr w:rsidR="00FE4483" w:rsidRPr="004F78E1" w14:paraId="59796E27"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E02316"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This column – for Dept. use</w:t>
            </w:r>
          </w:p>
        </w:tc>
        <w:tc>
          <w:tcPr>
            <w:tcW w:w="8539" w:type="dxa"/>
            <w:gridSpan w:val="6"/>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49AEFF00" w14:textId="77777777" w:rsidR="00FE4483" w:rsidRPr="00342D18" w:rsidRDefault="00FE4483" w:rsidP="00A94ED9">
            <w:pPr>
              <w:spacing w:line="257" w:lineRule="auto"/>
              <w:rPr>
                <w:sz w:val="20"/>
                <w:szCs w:val="20"/>
              </w:rPr>
            </w:pPr>
            <w:r w:rsidRPr="00342D18">
              <w:rPr>
                <w:rFonts w:ascii="Arial Narrow" w:eastAsia="Arial Narrow" w:hAnsi="Arial Narrow" w:cs="Arial Narrow"/>
                <w:b/>
                <w:bCs/>
                <w:color w:val="333333"/>
                <w:sz w:val="20"/>
                <w:szCs w:val="20"/>
              </w:rPr>
              <w:t>Indication:</w:t>
            </w:r>
            <w:r w:rsidRPr="00342D18">
              <w:rPr>
                <w:rFonts w:ascii="Arial Narrow" w:eastAsia="Arial Narrow" w:hAnsi="Arial Narrow" w:cs="Arial Narrow"/>
                <w:color w:val="333333"/>
                <w:sz w:val="20"/>
                <w:szCs w:val="20"/>
              </w:rPr>
              <w:t xml:space="preserve"> Unresectable advanced or metastatic cancer</w:t>
            </w:r>
          </w:p>
        </w:tc>
      </w:tr>
      <w:tr w:rsidR="00FE4483" w:rsidRPr="004F78E1" w14:paraId="71DC3C0E"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83AF21"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0E23A1D" w14:textId="77777777" w:rsidR="00FE4483" w:rsidRPr="00342D18" w:rsidRDefault="00FE4483" w:rsidP="00A94ED9">
            <w:pPr>
              <w:spacing w:line="257" w:lineRule="auto"/>
              <w:rPr>
                <w:sz w:val="20"/>
                <w:szCs w:val="20"/>
              </w:rPr>
            </w:pPr>
            <w:r w:rsidRPr="00342D18">
              <w:rPr>
                <w:rFonts w:ascii="Arial Narrow" w:eastAsia="Arial Narrow" w:hAnsi="Arial Narrow" w:cs="Arial Narrow"/>
                <w:b/>
                <w:bCs/>
                <w:color w:val="333333"/>
                <w:sz w:val="20"/>
                <w:szCs w:val="20"/>
              </w:rPr>
              <w:t xml:space="preserve"> </w:t>
            </w:r>
          </w:p>
        </w:tc>
      </w:tr>
      <w:tr w:rsidR="00FE4483" w:rsidRPr="004F78E1" w14:paraId="11F1AAD8"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F8D6E7"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D593275" w14:textId="3C48F39F" w:rsidR="00FE4483" w:rsidRPr="00342D18" w:rsidRDefault="00FE4483" w:rsidP="00A94ED9">
            <w:pPr>
              <w:spacing w:line="257" w:lineRule="auto"/>
              <w:rPr>
                <w:strike/>
                <w:sz w:val="20"/>
                <w:szCs w:val="20"/>
              </w:rPr>
            </w:pPr>
            <w:r w:rsidRPr="00342D18">
              <w:rPr>
                <w:rFonts w:ascii="Arial Narrow" w:eastAsia="Arial Narrow" w:hAnsi="Arial Narrow" w:cs="Arial Narrow"/>
                <w:b/>
                <w:strike/>
                <w:color w:val="333333"/>
                <w:sz w:val="20"/>
                <w:szCs w:val="20"/>
              </w:rPr>
              <w:t>Treatment criteria:</w:t>
            </w:r>
          </w:p>
        </w:tc>
      </w:tr>
      <w:tr w:rsidR="00FE4483" w:rsidRPr="004F78E1" w14:paraId="4CF20FC7"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33C927"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lastRenderedPageBreak/>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0B8CF37" w14:textId="55B6ED08" w:rsidR="00FE4483" w:rsidRPr="00342D18" w:rsidRDefault="00FE4483" w:rsidP="00A94ED9">
            <w:pPr>
              <w:spacing w:line="257" w:lineRule="auto"/>
              <w:rPr>
                <w:strike/>
                <w:sz w:val="20"/>
                <w:szCs w:val="20"/>
              </w:rPr>
            </w:pPr>
            <w:r w:rsidRPr="00342D18">
              <w:rPr>
                <w:rFonts w:ascii="Arial Narrow" w:eastAsia="Arial Narrow" w:hAnsi="Arial Narrow" w:cs="Arial Narrow"/>
                <w:strike/>
                <w:sz w:val="20"/>
                <w:szCs w:val="20"/>
              </w:rPr>
              <w:t>Treatment with this drug must cease as a PBS benefit if they have experienced disease progression for that indication.</w:t>
            </w:r>
          </w:p>
        </w:tc>
      </w:tr>
      <w:tr w:rsidR="009D548C" w:rsidRPr="004F78E1" w14:paraId="531683E8"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C6F1FB" w14:textId="77777777" w:rsidR="009D548C" w:rsidRPr="00342D18" w:rsidRDefault="009D548C" w:rsidP="00A94ED9">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B3DF616" w14:textId="32279F34" w:rsidR="009D548C" w:rsidRPr="00342D18" w:rsidDel="009D548C" w:rsidRDefault="009D548C" w:rsidP="00A94ED9">
            <w:pPr>
              <w:spacing w:line="257" w:lineRule="auto"/>
              <w:rPr>
                <w:rFonts w:ascii="Arial Narrow" w:eastAsia="Arial Narrow" w:hAnsi="Arial Narrow" w:cs="Arial Narrow"/>
                <w:b/>
                <w:i/>
                <w:sz w:val="20"/>
                <w:szCs w:val="20"/>
              </w:rPr>
            </w:pPr>
            <w:r w:rsidRPr="00342D18">
              <w:rPr>
                <w:rFonts w:ascii="Arial Narrow" w:eastAsia="Arial Narrow" w:hAnsi="Arial Narrow" w:cs="Arial Narrow"/>
                <w:b/>
                <w:i/>
                <w:sz w:val="20"/>
                <w:szCs w:val="20"/>
              </w:rPr>
              <w:t>Clinical criteria:</w:t>
            </w:r>
          </w:p>
        </w:tc>
      </w:tr>
      <w:tr w:rsidR="00FE4483" w:rsidRPr="004F78E1" w14:paraId="7F43AE48"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5411DE"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3E6F61" w14:textId="2FC7B123" w:rsidR="00FE4483" w:rsidRPr="00342D18" w:rsidRDefault="00FE4483" w:rsidP="00A94ED9">
            <w:pPr>
              <w:spacing w:line="257" w:lineRule="auto"/>
              <w:rPr>
                <w:i/>
                <w:sz w:val="20"/>
                <w:szCs w:val="20"/>
              </w:rPr>
            </w:pPr>
            <w:r w:rsidRPr="00342D18">
              <w:rPr>
                <w:rFonts w:ascii="Arial Narrow" w:eastAsia="Arial Narrow" w:hAnsi="Arial Narrow" w:cs="Arial Narrow"/>
                <w:i/>
                <w:sz w:val="20"/>
                <w:szCs w:val="20"/>
              </w:rPr>
              <w:t xml:space="preserve"> </w:t>
            </w:r>
            <w:r w:rsidR="002E637E" w:rsidRPr="00342D18">
              <w:rPr>
                <w:rFonts w:ascii="Arial Narrow" w:eastAsia="Arial Narrow" w:hAnsi="Arial Narrow" w:cs="Arial Narrow"/>
                <w:i/>
                <w:sz w:val="20"/>
                <w:szCs w:val="20"/>
              </w:rPr>
              <w:t xml:space="preserve">Patient must not have </w:t>
            </w:r>
            <w:r w:rsidR="000C66AD" w:rsidRPr="00342D18">
              <w:rPr>
                <w:rFonts w:ascii="Arial Narrow" w:eastAsia="Arial Narrow" w:hAnsi="Arial Narrow" w:cs="Arial Narrow"/>
                <w:i/>
                <w:sz w:val="20"/>
                <w:szCs w:val="20"/>
              </w:rPr>
              <w:t>developed</w:t>
            </w:r>
            <w:r w:rsidR="002E637E" w:rsidRPr="00342D18">
              <w:rPr>
                <w:rFonts w:ascii="Arial Narrow" w:eastAsia="Arial Narrow" w:hAnsi="Arial Narrow" w:cs="Arial Narrow"/>
                <w:i/>
                <w:sz w:val="20"/>
                <w:szCs w:val="20"/>
              </w:rPr>
              <w:t xml:space="preserve"> disease progression </w:t>
            </w:r>
            <w:r w:rsidR="000C66AD" w:rsidRPr="00342D18">
              <w:rPr>
                <w:rFonts w:ascii="Arial Narrow" w:eastAsia="Arial Narrow" w:hAnsi="Arial Narrow" w:cs="Arial Narrow"/>
                <w:i/>
                <w:sz w:val="20"/>
                <w:szCs w:val="20"/>
              </w:rPr>
              <w:t xml:space="preserve">while receiving PBS-subsidised treatment </w:t>
            </w:r>
            <w:r w:rsidR="004E46FD" w:rsidRPr="00342D18">
              <w:rPr>
                <w:rFonts w:ascii="Arial Narrow" w:eastAsia="Arial Narrow" w:hAnsi="Arial Narrow" w:cs="Arial Narrow"/>
                <w:i/>
                <w:sz w:val="20"/>
                <w:szCs w:val="20"/>
              </w:rPr>
              <w:t>with this drug</w:t>
            </w:r>
            <w:r w:rsidR="000C66AD" w:rsidRPr="00342D18">
              <w:rPr>
                <w:rFonts w:ascii="Arial Narrow" w:eastAsia="Arial Narrow" w:hAnsi="Arial Narrow" w:cs="Arial Narrow"/>
                <w:i/>
                <w:sz w:val="20"/>
                <w:szCs w:val="20"/>
              </w:rPr>
              <w:t xml:space="preserve"> </w:t>
            </w:r>
            <w:r w:rsidR="002E637E" w:rsidRPr="00342D18">
              <w:rPr>
                <w:rFonts w:ascii="Arial Narrow" w:eastAsia="Arial Narrow" w:hAnsi="Arial Narrow" w:cs="Arial Narrow"/>
                <w:i/>
                <w:sz w:val="20"/>
                <w:szCs w:val="20"/>
              </w:rPr>
              <w:t xml:space="preserve">for the condition </w:t>
            </w:r>
            <w:r w:rsidR="00953250" w:rsidRPr="00342D18">
              <w:rPr>
                <w:rFonts w:ascii="Arial Narrow" w:eastAsia="Arial Narrow" w:hAnsi="Arial Narrow" w:cs="Arial Narrow"/>
                <w:i/>
                <w:sz w:val="20"/>
                <w:szCs w:val="20"/>
              </w:rPr>
              <w:t>which</w:t>
            </w:r>
            <w:r w:rsidR="002E637E" w:rsidRPr="00342D18">
              <w:rPr>
                <w:rFonts w:ascii="Arial Narrow" w:eastAsia="Arial Narrow" w:hAnsi="Arial Narrow" w:cs="Arial Narrow"/>
                <w:i/>
                <w:sz w:val="20"/>
                <w:szCs w:val="20"/>
              </w:rPr>
              <w:t xml:space="preserve"> treatment was commenced for</w:t>
            </w:r>
            <w:r w:rsidR="00F13BBD" w:rsidRPr="00342D18">
              <w:rPr>
                <w:rFonts w:ascii="Arial Narrow" w:eastAsia="Arial Narrow" w:hAnsi="Arial Narrow" w:cs="Arial Narrow"/>
                <w:i/>
                <w:sz w:val="20"/>
                <w:szCs w:val="20"/>
              </w:rPr>
              <w:t>.</w:t>
            </w:r>
          </w:p>
        </w:tc>
      </w:tr>
      <w:tr w:rsidR="00FE4483" w:rsidRPr="004F78E1" w14:paraId="644094A4"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81FC63"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FBC4219" w14:textId="77777777" w:rsidR="00FE4483" w:rsidRPr="00342D18" w:rsidRDefault="00FE4483" w:rsidP="00A94ED9">
            <w:pPr>
              <w:spacing w:line="257" w:lineRule="auto"/>
              <w:rPr>
                <w:strike/>
                <w:sz w:val="20"/>
                <w:szCs w:val="20"/>
              </w:rPr>
            </w:pPr>
            <w:r w:rsidRPr="00342D18">
              <w:rPr>
                <w:rFonts w:ascii="Arial Narrow" w:eastAsia="Arial Narrow" w:hAnsi="Arial Narrow" w:cs="Arial Narrow"/>
                <w:b/>
                <w:strike/>
                <w:sz w:val="20"/>
                <w:szCs w:val="20"/>
              </w:rPr>
              <w:t>Note:</w:t>
            </w:r>
          </w:p>
        </w:tc>
      </w:tr>
      <w:tr w:rsidR="00FE4483" w:rsidRPr="004F78E1" w14:paraId="60FA64D8"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C93566F" w14:textId="77777777" w:rsidR="00FE4483" w:rsidRPr="00342D18" w:rsidRDefault="00FE4483" w:rsidP="00A94ED9">
            <w:pPr>
              <w:spacing w:line="257" w:lineRule="auto"/>
              <w:jc w:val="center"/>
              <w:rPr>
                <w:sz w:val="20"/>
                <w:szCs w:val="20"/>
              </w:rPr>
            </w:pPr>
            <w:r w:rsidRPr="00342D18">
              <w:rPr>
                <w:rFonts w:ascii="Arial Narrow" w:eastAsia="Arial Narrow" w:hAnsi="Arial Narrow" w:cs="Arial Narrow"/>
                <w:color w:val="333333"/>
                <w:sz w:val="20"/>
                <w:szCs w:val="20"/>
              </w:rPr>
              <w:t xml:space="preserve"> </w:t>
            </w: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B67A7A8" w14:textId="744AD0C7" w:rsidR="00FE4483" w:rsidRPr="00342D18" w:rsidRDefault="00FE4483" w:rsidP="00A94ED9">
            <w:pPr>
              <w:spacing w:line="257" w:lineRule="auto"/>
              <w:rPr>
                <w:strike/>
                <w:sz w:val="20"/>
                <w:szCs w:val="20"/>
              </w:rPr>
            </w:pPr>
            <w:r w:rsidRPr="00342D18">
              <w:rPr>
                <w:rFonts w:ascii="Arial Narrow" w:eastAsia="Arial Narrow" w:hAnsi="Arial Narrow" w:cs="Arial Narrow"/>
                <w:strike/>
                <w:sz w:val="20"/>
                <w:szCs w:val="20"/>
              </w:rPr>
              <w:t>In the first few months after starting immunotherapy, a transient tumour flare may occur that may be mistaken as disease progression despite an overall positive response to treatment.</w:t>
            </w:r>
          </w:p>
          <w:p w14:paraId="3297AEE0" w14:textId="77777777" w:rsidR="00FE4483" w:rsidRPr="00342D18" w:rsidRDefault="00FE4483" w:rsidP="00A94ED9">
            <w:pPr>
              <w:spacing w:line="257" w:lineRule="auto"/>
              <w:rPr>
                <w:strike/>
                <w:sz w:val="20"/>
                <w:szCs w:val="20"/>
              </w:rPr>
            </w:pPr>
            <w:r w:rsidRPr="00342D18">
              <w:rPr>
                <w:rFonts w:ascii="Arial Narrow" w:eastAsia="Arial Narrow" w:hAnsi="Arial Narrow" w:cs="Arial Narrow"/>
                <w:strike/>
                <w:sz w:val="20"/>
                <w:szCs w:val="20"/>
              </w:rPr>
              <w:t>The stated maximum amount in this listing is based on 480mg administered every 4 weeks. Alternative dosing schedules can be utilised. The drug may be prescribed in a quantity up to this amount but need not be this amount for every cancer type.</w:t>
            </w:r>
          </w:p>
          <w:p w14:paraId="001C8EDC" w14:textId="77777777" w:rsidR="00FE4483" w:rsidRPr="00342D18" w:rsidRDefault="00FE4483" w:rsidP="00A94ED9">
            <w:pPr>
              <w:spacing w:line="257" w:lineRule="auto"/>
              <w:rPr>
                <w:strike/>
                <w:sz w:val="20"/>
                <w:szCs w:val="20"/>
              </w:rPr>
            </w:pPr>
            <w:r w:rsidRPr="00342D18">
              <w:rPr>
                <w:rFonts w:ascii="Arial Narrow" w:eastAsia="Arial Narrow" w:hAnsi="Arial Narrow" w:cs="Arial Narrow"/>
                <w:strike/>
                <w:sz w:val="20"/>
                <w:szCs w:val="20"/>
              </w:rPr>
              <w:t>Special Pricing Arrangements apply.</w:t>
            </w:r>
          </w:p>
          <w:p w14:paraId="62A14C56" w14:textId="42231177" w:rsidR="00FE4483" w:rsidRPr="00342D18" w:rsidRDefault="00FE4483" w:rsidP="00A94ED9">
            <w:pPr>
              <w:spacing w:line="257" w:lineRule="auto"/>
              <w:rPr>
                <w:strike/>
                <w:sz w:val="20"/>
                <w:szCs w:val="20"/>
              </w:rPr>
            </w:pPr>
            <w:r w:rsidRPr="00342D18">
              <w:rPr>
                <w:rFonts w:ascii="Arial Narrow" w:eastAsia="Arial Narrow" w:hAnsi="Arial Narrow" w:cs="Arial Narrow"/>
                <w:strike/>
                <w:sz w:val="20"/>
                <w:szCs w:val="20"/>
              </w:rPr>
              <w:t>No increase in the maximum number of repeats may be authorised.</w:t>
            </w:r>
          </w:p>
        </w:tc>
      </w:tr>
      <w:tr w:rsidR="00D11FD6" w:rsidRPr="004F78E1" w14:paraId="1A39C0E4"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B5CADE3" w14:textId="77777777" w:rsidR="00D11FD6" w:rsidRPr="00342D18" w:rsidRDefault="00D11FD6" w:rsidP="00A94ED9">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87B50E" w14:textId="70FA481E" w:rsidR="00D11FD6" w:rsidRPr="00342D18" w:rsidRDefault="00D11FD6" w:rsidP="00A94ED9">
            <w:pPr>
              <w:spacing w:line="257" w:lineRule="auto"/>
              <w:rPr>
                <w:i/>
                <w:sz w:val="20"/>
                <w:szCs w:val="20"/>
              </w:rPr>
            </w:pPr>
            <w:r w:rsidRPr="00342D18">
              <w:rPr>
                <w:rFonts w:ascii="Arial Narrow" w:eastAsia="Arial Narrow" w:hAnsi="Arial Narrow" w:cs="Arial Narrow"/>
                <w:i/>
                <w:iCs/>
                <w:sz w:val="20"/>
                <w:szCs w:val="20"/>
              </w:rPr>
              <w:t xml:space="preserve">Prescribing instruction: </w:t>
            </w:r>
            <w:r w:rsidR="004B4BE4" w:rsidRPr="00342D18">
              <w:rPr>
                <w:rFonts w:ascii="Arial Narrow" w:eastAsia="Arial Narrow" w:hAnsi="Arial Narrow" w:cs="Arial Narrow"/>
                <w:i/>
                <w:iCs/>
                <w:sz w:val="20"/>
                <w:szCs w:val="20"/>
              </w:rPr>
              <w:t>Patients must only receive a maximum of 240 mg every two weeks or 480 mg every four weeks under a weight based or flat dosing regimen.</w:t>
            </w:r>
          </w:p>
        </w:tc>
      </w:tr>
      <w:tr w:rsidR="009D548C" w:rsidRPr="004F78E1" w14:paraId="1F05B459"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BF1A32" w14:textId="77777777" w:rsidR="009D548C" w:rsidRPr="00342D18" w:rsidRDefault="009D548C" w:rsidP="00A94ED9">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D5CDFE1" w14:textId="08AE3B4B" w:rsidR="009D548C" w:rsidRPr="00342D18" w:rsidRDefault="009D548C" w:rsidP="00A94ED9">
            <w:pPr>
              <w:spacing w:line="257" w:lineRule="auto"/>
              <w:rPr>
                <w:rFonts w:ascii="Arial Narrow" w:eastAsia="Arial Narrow" w:hAnsi="Arial Narrow" w:cs="Arial Narrow"/>
                <w:i/>
                <w:sz w:val="20"/>
                <w:szCs w:val="20"/>
              </w:rPr>
            </w:pPr>
            <w:r w:rsidRPr="00342D18">
              <w:rPr>
                <w:rFonts w:ascii="Arial Narrow" w:eastAsia="Arial Narrow" w:hAnsi="Arial Narrow" w:cs="Arial Narrow"/>
                <w:i/>
                <w:sz w:val="20"/>
                <w:szCs w:val="20"/>
              </w:rPr>
              <w:t>Administrative advice: No increase in the maximum number of repeats may be authorised.</w:t>
            </w:r>
          </w:p>
        </w:tc>
      </w:tr>
      <w:tr w:rsidR="00D11FD6" w:rsidRPr="004F78E1" w14:paraId="0D86A218" w14:textId="77777777" w:rsidTr="005331F2">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6D0B52" w14:textId="77777777" w:rsidR="00D11FD6" w:rsidRPr="00342D18" w:rsidRDefault="00D11FD6" w:rsidP="00A94ED9">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580362" w14:textId="677FD8E1" w:rsidR="00D11FD6" w:rsidRPr="00342D18" w:rsidRDefault="00D11FD6" w:rsidP="00A94ED9">
            <w:pPr>
              <w:spacing w:line="257" w:lineRule="auto"/>
              <w:rPr>
                <w:i/>
                <w:sz w:val="20"/>
                <w:szCs w:val="20"/>
              </w:rPr>
            </w:pPr>
            <w:r w:rsidRPr="00342D18">
              <w:rPr>
                <w:rFonts w:ascii="Arial Narrow" w:eastAsia="Arial Narrow" w:hAnsi="Arial Narrow" w:cs="Arial Narrow"/>
                <w:i/>
                <w:sz w:val="20"/>
                <w:szCs w:val="20"/>
              </w:rPr>
              <w:t>Administrative advice: Special Pricing Arrangements apply.</w:t>
            </w:r>
          </w:p>
        </w:tc>
      </w:tr>
      <w:tr w:rsidR="00FE4483" w:rsidRPr="004F78E1" w14:paraId="36867AA0" w14:textId="77777777" w:rsidTr="005331F2">
        <w:trPr>
          <w:trHeight w:val="299"/>
        </w:trPr>
        <w:tc>
          <w:tcPr>
            <w:tcW w:w="970" w:type="dxa"/>
            <w:tcBorders>
              <w:top w:val="single" w:sz="8" w:space="0" w:color="auto"/>
              <w:left w:val="nil"/>
              <w:bottom w:val="nil"/>
              <w:right w:val="nil"/>
            </w:tcBorders>
            <w:vAlign w:val="center"/>
          </w:tcPr>
          <w:p w14:paraId="00FBA663" w14:textId="77777777" w:rsidR="005C43F3" w:rsidRPr="004F78E1" w:rsidRDefault="005C43F3" w:rsidP="00A94ED9"/>
        </w:tc>
        <w:tc>
          <w:tcPr>
            <w:tcW w:w="2436" w:type="dxa"/>
            <w:tcBorders>
              <w:top w:val="single" w:sz="8" w:space="0" w:color="auto"/>
              <w:left w:val="nil"/>
              <w:bottom w:val="nil"/>
              <w:right w:val="nil"/>
            </w:tcBorders>
            <w:vAlign w:val="center"/>
          </w:tcPr>
          <w:p w14:paraId="512AD75D" w14:textId="77777777" w:rsidR="00FE4483" w:rsidRPr="004F78E1" w:rsidRDefault="00FE4483" w:rsidP="00A94ED9"/>
        </w:tc>
        <w:tc>
          <w:tcPr>
            <w:tcW w:w="1449" w:type="dxa"/>
            <w:tcBorders>
              <w:top w:val="nil"/>
              <w:left w:val="nil"/>
              <w:bottom w:val="nil"/>
              <w:right w:val="nil"/>
            </w:tcBorders>
            <w:vAlign w:val="center"/>
          </w:tcPr>
          <w:p w14:paraId="7394FBDA" w14:textId="77777777" w:rsidR="00FE4483" w:rsidRPr="004F78E1" w:rsidRDefault="00FE4483" w:rsidP="00A94ED9"/>
        </w:tc>
        <w:tc>
          <w:tcPr>
            <w:tcW w:w="1225" w:type="dxa"/>
            <w:tcBorders>
              <w:top w:val="nil"/>
              <w:left w:val="nil"/>
              <w:bottom w:val="nil"/>
              <w:right w:val="nil"/>
            </w:tcBorders>
            <w:vAlign w:val="center"/>
          </w:tcPr>
          <w:p w14:paraId="358EC32C" w14:textId="77777777" w:rsidR="00FE4483" w:rsidRPr="004F78E1" w:rsidRDefault="00FE4483" w:rsidP="00A94ED9"/>
        </w:tc>
        <w:tc>
          <w:tcPr>
            <w:tcW w:w="1184" w:type="dxa"/>
            <w:tcBorders>
              <w:top w:val="nil"/>
              <w:left w:val="nil"/>
              <w:bottom w:val="nil"/>
              <w:right w:val="nil"/>
            </w:tcBorders>
            <w:vAlign w:val="center"/>
          </w:tcPr>
          <w:p w14:paraId="40E234E5" w14:textId="77777777" w:rsidR="00FE4483" w:rsidRPr="004F78E1" w:rsidRDefault="00FE4483" w:rsidP="00A94ED9"/>
        </w:tc>
        <w:tc>
          <w:tcPr>
            <w:tcW w:w="2245" w:type="dxa"/>
            <w:gridSpan w:val="2"/>
            <w:tcBorders>
              <w:top w:val="nil"/>
              <w:left w:val="nil"/>
              <w:bottom w:val="nil"/>
              <w:right w:val="nil"/>
            </w:tcBorders>
            <w:vAlign w:val="center"/>
          </w:tcPr>
          <w:p w14:paraId="4113FABA" w14:textId="77777777" w:rsidR="00FE4483" w:rsidRPr="004F78E1" w:rsidRDefault="00FE4483" w:rsidP="00A94ED9"/>
        </w:tc>
      </w:tr>
      <w:tr w:rsidR="00BE22C3" w:rsidRPr="00342D18" w14:paraId="7EC9EAB2" w14:textId="77777777" w:rsidTr="005331F2">
        <w:trPr>
          <w:gridAfter w:val="1"/>
          <w:wAfter w:w="21" w:type="dxa"/>
          <w:trHeight w:val="464"/>
        </w:trPr>
        <w:tc>
          <w:tcPr>
            <w:tcW w:w="9488"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17CE0D4"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b/>
                <w:bCs/>
                <w:sz w:val="20"/>
                <w:szCs w:val="20"/>
              </w:rPr>
              <w:t>Category/Program:</w:t>
            </w:r>
            <w:r w:rsidRPr="00342D18">
              <w:rPr>
                <w:rFonts w:ascii="Arial Narrow" w:eastAsia="Arial Narrow" w:hAnsi="Arial Narrow" w:cs="Arial Narrow"/>
                <w:sz w:val="20"/>
                <w:szCs w:val="20"/>
              </w:rPr>
              <w:t xml:space="preserve"> Section 100 – Efficient Funding of Chemotherapy Public/Private hospitals</w:t>
            </w:r>
          </w:p>
        </w:tc>
      </w:tr>
      <w:tr w:rsidR="00BE22C3" w:rsidRPr="00342D18" w14:paraId="04757605" w14:textId="77777777" w:rsidTr="005331F2">
        <w:trPr>
          <w:gridAfter w:val="1"/>
          <w:wAfter w:w="21" w:type="dxa"/>
          <w:trHeight w:val="641"/>
        </w:trPr>
        <w:tc>
          <w:tcPr>
            <w:tcW w:w="34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3DAC05"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b/>
                <w:bCs/>
                <w:sz w:val="20"/>
                <w:szCs w:val="20"/>
              </w:rPr>
              <w:t>MEDICINAL PRODUCT</w:t>
            </w:r>
          </w:p>
          <w:p w14:paraId="0FFD1150"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 xml:space="preserve"> </w:t>
            </w:r>
          </w:p>
        </w:tc>
        <w:tc>
          <w:tcPr>
            <w:tcW w:w="1449" w:type="dxa"/>
            <w:tcBorders>
              <w:top w:val="nil"/>
              <w:left w:val="nil"/>
              <w:bottom w:val="single" w:sz="8" w:space="0" w:color="auto"/>
              <w:right w:val="single" w:sz="8" w:space="0" w:color="auto"/>
            </w:tcBorders>
            <w:tcMar>
              <w:left w:w="108" w:type="dxa"/>
              <w:right w:w="108" w:type="dxa"/>
            </w:tcMar>
          </w:tcPr>
          <w:p w14:paraId="7A8DE733"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b/>
                <w:bCs/>
                <w:sz w:val="20"/>
                <w:szCs w:val="20"/>
              </w:rPr>
              <w:t>PBS item code</w:t>
            </w:r>
          </w:p>
        </w:tc>
        <w:tc>
          <w:tcPr>
            <w:tcW w:w="1225" w:type="dxa"/>
            <w:tcBorders>
              <w:top w:val="nil"/>
              <w:left w:val="single" w:sz="8" w:space="0" w:color="auto"/>
              <w:bottom w:val="single" w:sz="8" w:space="0" w:color="auto"/>
              <w:right w:val="single" w:sz="8" w:space="0" w:color="auto"/>
            </w:tcBorders>
            <w:tcMar>
              <w:left w:w="108" w:type="dxa"/>
              <w:right w:w="108" w:type="dxa"/>
            </w:tcMar>
          </w:tcPr>
          <w:p w14:paraId="30EB981F"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b/>
                <w:bCs/>
                <w:sz w:val="20"/>
                <w:szCs w:val="20"/>
              </w:rPr>
              <w:t>Max.</w:t>
            </w:r>
          </w:p>
          <w:p w14:paraId="5937BC32"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b/>
                <w:bCs/>
                <w:sz w:val="20"/>
                <w:szCs w:val="20"/>
              </w:rPr>
              <w:t>Amount</w:t>
            </w:r>
          </w:p>
        </w:tc>
        <w:tc>
          <w:tcPr>
            <w:tcW w:w="1184" w:type="dxa"/>
            <w:tcBorders>
              <w:top w:val="nil"/>
              <w:left w:val="single" w:sz="8" w:space="0" w:color="auto"/>
              <w:bottom w:val="single" w:sz="8" w:space="0" w:color="auto"/>
              <w:right w:val="single" w:sz="8" w:space="0" w:color="auto"/>
            </w:tcBorders>
            <w:tcMar>
              <w:left w:w="108" w:type="dxa"/>
              <w:right w:w="108" w:type="dxa"/>
            </w:tcMar>
          </w:tcPr>
          <w:p w14:paraId="4A3BA953"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b/>
                <w:bCs/>
                <w:sz w:val="20"/>
                <w:szCs w:val="20"/>
              </w:rPr>
              <w:t>№.of</w:t>
            </w:r>
          </w:p>
          <w:p w14:paraId="6DDBA2DA"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b/>
                <w:bCs/>
                <w:sz w:val="20"/>
                <w:szCs w:val="20"/>
              </w:rPr>
              <w:t>Rpts</w:t>
            </w:r>
          </w:p>
        </w:tc>
        <w:tc>
          <w:tcPr>
            <w:tcW w:w="2224" w:type="dxa"/>
            <w:tcBorders>
              <w:top w:val="nil"/>
              <w:left w:val="single" w:sz="8" w:space="0" w:color="auto"/>
              <w:bottom w:val="single" w:sz="8" w:space="0" w:color="auto"/>
              <w:right w:val="single" w:sz="8" w:space="0" w:color="auto"/>
            </w:tcBorders>
            <w:tcMar>
              <w:left w:w="108" w:type="dxa"/>
              <w:right w:w="108" w:type="dxa"/>
            </w:tcMar>
          </w:tcPr>
          <w:p w14:paraId="1E036CE6"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b/>
                <w:bCs/>
                <w:sz w:val="20"/>
                <w:szCs w:val="20"/>
              </w:rPr>
              <w:t>Manufacturer</w:t>
            </w:r>
          </w:p>
        </w:tc>
      </w:tr>
      <w:tr w:rsidR="00BE22C3" w:rsidRPr="00342D18" w14:paraId="655156F5" w14:textId="77777777" w:rsidTr="005331F2">
        <w:trPr>
          <w:gridAfter w:val="1"/>
          <w:wAfter w:w="21" w:type="dxa"/>
          <w:trHeight w:val="936"/>
        </w:trPr>
        <w:tc>
          <w:tcPr>
            <w:tcW w:w="34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3D55B7"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IPILIMUMAB</w:t>
            </w:r>
          </w:p>
          <w:p w14:paraId="310E144A"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 xml:space="preserve">Injection </w:t>
            </w:r>
          </w:p>
        </w:tc>
        <w:tc>
          <w:tcPr>
            <w:tcW w:w="1449" w:type="dxa"/>
            <w:tcBorders>
              <w:top w:val="single" w:sz="8" w:space="0" w:color="auto"/>
              <w:left w:val="nil"/>
              <w:bottom w:val="single" w:sz="8" w:space="0" w:color="auto"/>
              <w:right w:val="single" w:sz="8" w:space="0" w:color="auto"/>
            </w:tcBorders>
            <w:tcMar>
              <w:left w:w="108" w:type="dxa"/>
              <w:right w:w="108" w:type="dxa"/>
            </w:tcMar>
          </w:tcPr>
          <w:p w14:paraId="042D2750"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sz w:val="20"/>
                <w:szCs w:val="20"/>
              </w:rPr>
              <w:t>NEW (Public)</w:t>
            </w:r>
          </w:p>
          <w:p w14:paraId="5349E607"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sz w:val="20"/>
                <w:szCs w:val="20"/>
              </w:rPr>
              <w:t>NEW (Private)</w:t>
            </w:r>
          </w:p>
          <w:p w14:paraId="550A7CB3"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sz w:val="20"/>
                <w:szCs w:val="20"/>
                <w:vertAlign w:val="subscript"/>
              </w:rPr>
              <w:t>MP</w:t>
            </w:r>
          </w:p>
        </w:tc>
        <w:tc>
          <w:tcPr>
            <w:tcW w:w="1225" w:type="dxa"/>
            <w:tcBorders>
              <w:top w:val="single" w:sz="8" w:space="0" w:color="auto"/>
              <w:left w:val="single" w:sz="8" w:space="0" w:color="auto"/>
              <w:bottom w:val="single" w:sz="8" w:space="0" w:color="auto"/>
              <w:right w:val="single" w:sz="8" w:space="0" w:color="auto"/>
            </w:tcBorders>
            <w:tcMar>
              <w:left w:w="108" w:type="dxa"/>
              <w:right w:w="108" w:type="dxa"/>
            </w:tcMar>
          </w:tcPr>
          <w:p w14:paraId="0E5EB6EC" w14:textId="77777777" w:rsidR="00BE22C3" w:rsidRPr="00342D18" w:rsidRDefault="00BE22C3" w:rsidP="00A94ED9">
            <w:pPr>
              <w:spacing w:line="257" w:lineRule="auto"/>
              <w:ind w:left="-57"/>
              <w:jc w:val="center"/>
              <w:rPr>
                <w:rFonts w:ascii="Arial Narrow" w:hAnsi="Arial Narrow"/>
                <w:sz w:val="20"/>
                <w:szCs w:val="20"/>
              </w:rPr>
            </w:pPr>
          </w:p>
          <w:p w14:paraId="629C31AE" w14:textId="77777777" w:rsidR="00BE22C3" w:rsidRPr="00342D18" w:rsidRDefault="00BE22C3" w:rsidP="00A94ED9">
            <w:pPr>
              <w:spacing w:line="257" w:lineRule="auto"/>
              <w:ind w:left="-57"/>
              <w:jc w:val="center"/>
              <w:rPr>
                <w:rFonts w:ascii="Arial Narrow" w:hAnsi="Arial Narrow"/>
                <w:sz w:val="20"/>
                <w:szCs w:val="20"/>
              </w:rPr>
            </w:pPr>
            <w:r w:rsidRPr="00342D18">
              <w:rPr>
                <w:rFonts w:ascii="Arial Narrow" w:eastAsia="Arial Narrow" w:hAnsi="Arial Narrow" w:cs="Arial Narrow"/>
                <w:sz w:val="20"/>
                <w:szCs w:val="20"/>
              </w:rPr>
              <w:t>360mg</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tcPr>
          <w:p w14:paraId="1D2AD806" w14:textId="77777777" w:rsidR="00BE22C3" w:rsidRPr="00342D18" w:rsidRDefault="00BE22C3" w:rsidP="00A94ED9">
            <w:pPr>
              <w:spacing w:line="257" w:lineRule="auto"/>
              <w:ind w:left="-57"/>
              <w:jc w:val="center"/>
              <w:rPr>
                <w:rFonts w:ascii="Arial Narrow" w:hAnsi="Arial Narrow"/>
                <w:sz w:val="20"/>
                <w:szCs w:val="20"/>
              </w:rPr>
            </w:pPr>
          </w:p>
          <w:p w14:paraId="0FAE22AB" w14:textId="77777777" w:rsidR="00BE22C3" w:rsidRPr="00342D18" w:rsidRDefault="00BE22C3" w:rsidP="00A94ED9">
            <w:pPr>
              <w:spacing w:line="257" w:lineRule="auto"/>
              <w:ind w:left="-57"/>
              <w:jc w:val="center"/>
              <w:rPr>
                <w:rFonts w:ascii="Arial Narrow" w:hAnsi="Arial Narrow"/>
                <w:color w:val="FF0000"/>
                <w:sz w:val="20"/>
                <w:szCs w:val="20"/>
              </w:rPr>
            </w:pPr>
            <w:r w:rsidRPr="00342D18">
              <w:rPr>
                <w:rFonts w:ascii="Arial Narrow" w:eastAsia="Arial Narrow" w:hAnsi="Arial Narrow" w:cs="Arial Narrow"/>
                <w:sz w:val="20"/>
                <w:szCs w:val="20"/>
              </w:rPr>
              <w:t>4</w:t>
            </w:r>
          </w:p>
        </w:tc>
        <w:tc>
          <w:tcPr>
            <w:tcW w:w="2224" w:type="dxa"/>
            <w:tcBorders>
              <w:top w:val="single" w:sz="8" w:space="0" w:color="auto"/>
              <w:left w:val="single" w:sz="8" w:space="0" w:color="auto"/>
              <w:bottom w:val="single" w:sz="8" w:space="0" w:color="auto"/>
              <w:right w:val="single" w:sz="8" w:space="0" w:color="auto"/>
            </w:tcBorders>
            <w:tcMar>
              <w:left w:w="108" w:type="dxa"/>
              <w:right w:w="108" w:type="dxa"/>
            </w:tcMar>
          </w:tcPr>
          <w:p w14:paraId="2674AE59"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Bristol-Myers Squibb Australia Pty Ltd</w:t>
            </w:r>
          </w:p>
        </w:tc>
      </w:tr>
      <w:tr w:rsidR="00BE22C3" w:rsidRPr="00342D18" w14:paraId="202A499E" w14:textId="77777777" w:rsidTr="005331F2">
        <w:trPr>
          <w:gridAfter w:val="1"/>
          <w:wAfter w:w="21" w:type="dxa"/>
          <w:trHeight w:val="224"/>
        </w:trPr>
        <w:tc>
          <w:tcPr>
            <w:tcW w:w="9488"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C81F1E8"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b/>
                <w:bCs/>
                <w:sz w:val="20"/>
                <w:szCs w:val="20"/>
              </w:rPr>
              <w:t>Available brands</w:t>
            </w:r>
          </w:p>
        </w:tc>
      </w:tr>
      <w:tr w:rsidR="00BE22C3" w:rsidRPr="00342D18" w14:paraId="021DA184" w14:textId="77777777" w:rsidTr="005331F2">
        <w:trPr>
          <w:gridAfter w:val="1"/>
          <w:wAfter w:w="21" w:type="dxa"/>
          <w:trHeight w:val="359"/>
        </w:trPr>
        <w:tc>
          <w:tcPr>
            <w:tcW w:w="9488"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1570173"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Yervoy (ipilimumab 50 mg/10 mL injection, 10 mL vial)</w:t>
            </w:r>
          </w:p>
          <w:p w14:paraId="51DF6474" w14:textId="77777777" w:rsidR="00BE22C3" w:rsidRPr="00342D18" w:rsidRDefault="00BE22C3" w:rsidP="00A94ED9">
            <w:pPr>
              <w:spacing w:line="257" w:lineRule="auto"/>
              <w:ind w:left="-57"/>
              <w:rPr>
                <w:rFonts w:ascii="Arial Narrow" w:hAnsi="Arial Narrow"/>
                <w:sz w:val="20"/>
                <w:szCs w:val="20"/>
              </w:rPr>
            </w:pPr>
            <w:r w:rsidRPr="00342D18">
              <w:rPr>
                <w:rFonts w:ascii="Arial Narrow" w:eastAsia="Arial Narrow" w:hAnsi="Arial Narrow" w:cs="Arial Narrow"/>
                <w:sz w:val="20"/>
                <w:szCs w:val="20"/>
              </w:rPr>
              <w:t>Yervoy (ipilimumab 200 mg/40 mL injection, 40 mL vial)</w:t>
            </w:r>
          </w:p>
        </w:tc>
      </w:tr>
      <w:tr w:rsidR="00BE22C3" w:rsidRPr="00342D18" w14:paraId="71F8B25D" w14:textId="77777777" w:rsidTr="005331F2">
        <w:trPr>
          <w:gridAfter w:val="1"/>
          <w:wAfter w:w="21" w:type="dxa"/>
          <w:trHeight w:val="701"/>
        </w:trPr>
        <w:tc>
          <w:tcPr>
            <w:tcW w:w="9488"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5CA0398" w14:textId="77777777"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b/>
                <w:bCs/>
                <w:sz w:val="20"/>
                <w:szCs w:val="20"/>
                <w:lang w:val="en-GB"/>
              </w:rPr>
              <w:t xml:space="preserve">Restriction Summary </w:t>
            </w:r>
            <w:r w:rsidRPr="00342D18">
              <w:rPr>
                <w:rFonts w:ascii="Arial Narrow" w:eastAsia="Arial Narrow" w:hAnsi="Arial Narrow" w:cs="Arial Narrow"/>
                <w:sz w:val="20"/>
                <w:szCs w:val="20"/>
                <w:lang w:val="en-GB"/>
              </w:rPr>
              <w:t>[number – For. Dept. use]</w:t>
            </w:r>
            <w:r w:rsidRPr="00342D18">
              <w:rPr>
                <w:rFonts w:ascii="Arial Narrow" w:eastAsia="Arial Narrow" w:hAnsi="Arial Narrow" w:cs="Arial Narrow"/>
                <w:i/>
                <w:iCs/>
                <w:sz w:val="20"/>
                <w:szCs w:val="20"/>
                <w:lang w:val="en-GB"/>
              </w:rPr>
              <w:t xml:space="preserve"> </w:t>
            </w:r>
            <w:r w:rsidRPr="00342D18">
              <w:rPr>
                <w:rFonts w:ascii="Arial Narrow" w:eastAsia="Arial Narrow" w:hAnsi="Arial Narrow" w:cs="Arial Narrow"/>
                <w:b/>
                <w:bCs/>
                <w:sz w:val="20"/>
                <w:szCs w:val="20"/>
                <w:lang w:val="en-GB"/>
              </w:rPr>
              <w:t xml:space="preserve">/ Treatment of Concept: </w:t>
            </w:r>
            <w:r w:rsidRPr="00342D18">
              <w:rPr>
                <w:rFonts w:ascii="Arial Narrow" w:eastAsia="Arial Narrow" w:hAnsi="Arial Narrow" w:cs="Arial Narrow"/>
                <w:sz w:val="20"/>
                <w:szCs w:val="20"/>
                <w:lang w:val="en-GB"/>
              </w:rPr>
              <w:t xml:space="preserve">[number – For. Dept. use]: </w:t>
            </w:r>
            <w:r w:rsidRPr="00342D18">
              <w:rPr>
                <w:rFonts w:ascii="Arial Narrow" w:eastAsia="Arial Narrow" w:hAnsi="Arial Narrow" w:cs="Arial Narrow"/>
                <w:b/>
                <w:bCs/>
                <w:sz w:val="20"/>
                <w:szCs w:val="20"/>
                <w:lang w:val="en-GB"/>
              </w:rPr>
              <w:t>Authority Required (STREAMLINED)</w:t>
            </w:r>
          </w:p>
        </w:tc>
      </w:tr>
      <w:tr w:rsidR="00BE22C3" w:rsidRPr="00342D18" w14:paraId="0BFD98DE" w14:textId="77777777" w:rsidTr="005331F2">
        <w:trPr>
          <w:gridAfter w:val="1"/>
          <w:wAfter w:w="21" w:type="dxa"/>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CDF89F3" w14:textId="77777777" w:rsidR="00BE22C3" w:rsidRPr="00342D18" w:rsidRDefault="00BE22C3" w:rsidP="00A94ED9">
            <w:pPr>
              <w:spacing w:line="257" w:lineRule="auto"/>
              <w:jc w:val="center"/>
              <w:rPr>
                <w:rFonts w:ascii="Arial Narrow" w:hAnsi="Arial Narrow"/>
                <w:sz w:val="20"/>
                <w:szCs w:val="20"/>
              </w:rPr>
            </w:pPr>
            <w:r w:rsidRPr="00342D18">
              <w:rPr>
                <w:rFonts w:ascii="Arial Narrow" w:eastAsia="Arial Narrow" w:hAnsi="Arial Narrow" w:cs="Arial Narrow"/>
                <w:color w:val="333333"/>
                <w:sz w:val="20"/>
                <w:szCs w:val="20"/>
              </w:rPr>
              <w:t>This column – for Dept. use</w:t>
            </w:r>
          </w:p>
        </w:tc>
        <w:tc>
          <w:tcPr>
            <w:tcW w:w="8518" w:type="dxa"/>
            <w:gridSpan w:val="5"/>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14:paraId="56BC2C55" w14:textId="77777777"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b/>
                <w:bCs/>
                <w:color w:val="333333"/>
                <w:sz w:val="20"/>
                <w:szCs w:val="20"/>
              </w:rPr>
              <w:t>Indication:</w:t>
            </w:r>
            <w:r w:rsidRPr="00342D18">
              <w:rPr>
                <w:rFonts w:ascii="Arial Narrow" w:eastAsia="Arial Narrow" w:hAnsi="Arial Narrow" w:cs="Arial Narrow"/>
                <w:color w:val="333333"/>
                <w:sz w:val="20"/>
                <w:szCs w:val="20"/>
              </w:rPr>
              <w:t xml:space="preserve"> Unresectable advanced or metastatic cancer</w:t>
            </w:r>
          </w:p>
        </w:tc>
      </w:tr>
      <w:tr w:rsidR="00BE22C3" w:rsidRPr="00342D18" w14:paraId="48DA89D2" w14:textId="77777777" w:rsidTr="005331F2">
        <w:trPr>
          <w:gridAfter w:val="1"/>
          <w:wAfter w:w="21" w:type="dxa"/>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DE23EA" w14:textId="77777777" w:rsidR="00BE22C3" w:rsidRPr="00342D18" w:rsidRDefault="00BE22C3" w:rsidP="00A94ED9">
            <w:pPr>
              <w:spacing w:line="257" w:lineRule="auto"/>
              <w:rPr>
                <w:rFonts w:ascii="Arial Narrow" w:hAnsi="Arial Narrow"/>
                <w:sz w:val="20"/>
                <w:szCs w:val="20"/>
              </w:rPr>
            </w:pP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7148260" w14:textId="77777777" w:rsidR="00BE22C3" w:rsidRPr="00342D18" w:rsidRDefault="00BE22C3" w:rsidP="00A94ED9">
            <w:pPr>
              <w:spacing w:line="257" w:lineRule="auto"/>
              <w:rPr>
                <w:rFonts w:ascii="Arial Narrow" w:hAnsi="Arial Narrow"/>
                <w:sz w:val="20"/>
                <w:szCs w:val="20"/>
              </w:rPr>
            </w:pPr>
          </w:p>
        </w:tc>
      </w:tr>
      <w:tr w:rsidR="00BE22C3" w:rsidRPr="00342D18" w14:paraId="250968E2" w14:textId="77777777" w:rsidTr="005331F2">
        <w:trPr>
          <w:gridAfter w:val="1"/>
          <w:wAfter w:w="21" w:type="dxa"/>
          <w:trHeight w:val="16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E61B2E" w14:textId="77777777" w:rsidR="00BE22C3" w:rsidRPr="00342D18" w:rsidRDefault="00BE22C3" w:rsidP="00A94ED9">
            <w:pPr>
              <w:spacing w:line="257" w:lineRule="auto"/>
              <w:jc w:val="center"/>
              <w:rPr>
                <w:rFonts w:ascii="Arial Narrow" w:hAnsi="Arial Narrow"/>
                <w:sz w:val="20"/>
                <w:szCs w:val="20"/>
              </w:rPr>
            </w:pPr>
            <w:r w:rsidRPr="00342D18">
              <w:rPr>
                <w:rFonts w:ascii="Arial Narrow" w:eastAsia="Arial Narrow" w:hAnsi="Arial Narrow" w:cs="Arial Narrow"/>
                <w:color w:val="333333"/>
                <w:sz w:val="20"/>
                <w:szCs w:val="20"/>
              </w:rPr>
              <w:t xml:space="preserve"> </w:t>
            </w: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AD57AD" w14:textId="7362E32F"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b/>
                <w:strike/>
                <w:color w:val="333333"/>
                <w:sz w:val="20"/>
                <w:szCs w:val="20"/>
              </w:rPr>
              <w:t>Treatment</w:t>
            </w:r>
            <w:r w:rsidRPr="00342D18">
              <w:rPr>
                <w:rFonts w:ascii="Arial Narrow" w:eastAsia="Arial Narrow" w:hAnsi="Arial Narrow" w:cs="Arial Narrow"/>
                <w:b/>
                <w:bCs/>
                <w:color w:val="333333"/>
                <w:sz w:val="20"/>
                <w:szCs w:val="20"/>
              </w:rPr>
              <w:t xml:space="preserve"> </w:t>
            </w:r>
            <w:r w:rsidR="00FA772E" w:rsidRPr="00342D18">
              <w:rPr>
                <w:rFonts w:ascii="Arial Narrow" w:eastAsia="Arial Narrow" w:hAnsi="Arial Narrow" w:cs="Arial Narrow"/>
                <w:b/>
                <w:i/>
                <w:color w:val="333333"/>
                <w:sz w:val="20"/>
                <w:szCs w:val="20"/>
              </w:rPr>
              <w:t xml:space="preserve">Clinical </w:t>
            </w:r>
            <w:r w:rsidRPr="00342D18">
              <w:rPr>
                <w:rFonts w:ascii="Arial Narrow" w:eastAsia="Arial Narrow" w:hAnsi="Arial Narrow" w:cs="Arial Narrow"/>
                <w:b/>
                <w:bCs/>
                <w:color w:val="333333"/>
                <w:sz w:val="20"/>
                <w:szCs w:val="20"/>
              </w:rPr>
              <w:t>criteria:</w:t>
            </w:r>
          </w:p>
        </w:tc>
      </w:tr>
      <w:tr w:rsidR="00BE22C3" w:rsidRPr="00342D18" w14:paraId="22CCB3F0" w14:textId="77777777" w:rsidTr="005331F2">
        <w:trPr>
          <w:gridAfter w:val="1"/>
          <w:wAfter w:w="21" w:type="dxa"/>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097932" w14:textId="77777777" w:rsidR="00BE22C3" w:rsidRPr="00342D18" w:rsidRDefault="00BE22C3" w:rsidP="00A94ED9">
            <w:pPr>
              <w:spacing w:line="257" w:lineRule="auto"/>
              <w:jc w:val="center"/>
              <w:rPr>
                <w:rFonts w:ascii="Arial Narrow" w:hAnsi="Arial Narrow"/>
                <w:sz w:val="20"/>
                <w:szCs w:val="20"/>
              </w:rPr>
            </w:pPr>
            <w:r w:rsidRPr="00342D18">
              <w:rPr>
                <w:rFonts w:ascii="Arial Narrow" w:eastAsia="Arial Narrow" w:hAnsi="Arial Narrow" w:cs="Arial Narrow"/>
                <w:color w:val="333333"/>
                <w:sz w:val="20"/>
                <w:szCs w:val="20"/>
              </w:rPr>
              <w:t xml:space="preserve"> </w:t>
            </w: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7B5DDE" w14:textId="173407C9"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strike/>
                <w:sz w:val="20"/>
                <w:szCs w:val="20"/>
              </w:rPr>
              <w:t>Treatment with this drug must cease as a PBS benefit if they have experienced disease progression for that indication.</w:t>
            </w:r>
            <w:r w:rsidR="005161FF" w:rsidRPr="00342D18">
              <w:rPr>
                <w:rFonts w:ascii="Arial Narrow" w:eastAsia="Arial Narrow" w:hAnsi="Arial Narrow" w:cs="Arial Narrow"/>
                <w:strike/>
                <w:sz w:val="20"/>
                <w:szCs w:val="20"/>
              </w:rPr>
              <w:t xml:space="preserve"> </w:t>
            </w:r>
            <w:r w:rsidR="00AA127E" w:rsidRPr="00342D18">
              <w:rPr>
                <w:rFonts w:ascii="Arial Narrow" w:eastAsia="Arial Narrow" w:hAnsi="Arial Narrow" w:cs="Arial Narrow"/>
                <w:i/>
                <w:sz w:val="20"/>
                <w:szCs w:val="20"/>
              </w:rPr>
              <w:t>Patient must not have developed disease progression while receiving PBS-subsidised treatment with this drug for the condition which treatment was commenced for</w:t>
            </w:r>
          </w:p>
        </w:tc>
      </w:tr>
      <w:tr w:rsidR="00BE22C3" w:rsidRPr="00342D18" w14:paraId="63F6DD89" w14:textId="77777777" w:rsidTr="005331F2">
        <w:trPr>
          <w:gridAfter w:val="1"/>
          <w:wAfter w:w="21" w:type="dxa"/>
          <w:trHeight w:val="11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1FD10F" w14:textId="77777777" w:rsidR="00BE22C3" w:rsidRPr="00342D18" w:rsidRDefault="00BE22C3" w:rsidP="00A94ED9">
            <w:pPr>
              <w:spacing w:line="257" w:lineRule="auto"/>
              <w:rPr>
                <w:rFonts w:ascii="Arial Narrow" w:hAnsi="Arial Narrow"/>
                <w:sz w:val="20"/>
                <w:szCs w:val="20"/>
              </w:rPr>
            </w:pP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A4023E" w14:textId="77777777" w:rsidR="00BE22C3" w:rsidRPr="00342D18" w:rsidRDefault="00BE22C3" w:rsidP="00A94ED9">
            <w:pPr>
              <w:spacing w:line="257" w:lineRule="auto"/>
              <w:rPr>
                <w:rFonts w:ascii="Arial Narrow" w:hAnsi="Arial Narrow"/>
                <w:sz w:val="20"/>
                <w:szCs w:val="20"/>
              </w:rPr>
            </w:pPr>
          </w:p>
        </w:tc>
      </w:tr>
      <w:tr w:rsidR="00BE22C3" w:rsidRPr="00342D18" w14:paraId="2617C930" w14:textId="77777777" w:rsidTr="005331F2">
        <w:trPr>
          <w:gridAfter w:val="1"/>
          <w:wAfter w:w="21" w:type="dxa"/>
          <w:trHeight w:val="207"/>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9DC8E2" w14:textId="77777777" w:rsidR="00BE22C3" w:rsidRPr="00342D18" w:rsidRDefault="00BE22C3" w:rsidP="00A94ED9">
            <w:pPr>
              <w:spacing w:line="257" w:lineRule="auto"/>
              <w:jc w:val="center"/>
              <w:rPr>
                <w:rFonts w:ascii="Arial Narrow" w:hAnsi="Arial Narrow"/>
                <w:sz w:val="20"/>
                <w:szCs w:val="20"/>
              </w:rPr>
            </w:pPr>
            <w:r w:rsidRPr="00342D18">
              <w:rPr>
                <w:rFonts w:ascii="Arial Narrow" w:eastAsia="Arial Narrow" w:hAnsi="Arial Narrow" w:cs="Arial Narrow"/>
                <w:color w:val="333333"/>
                <w:sz w:val="20"/>
                <w:szCs w:val="20"/>
              </w:rPr>
              <w:t xml:space="preserve"> </w:t>
            </w: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304019" w14:textId="77777777"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b/>
                <w:bCs/>
                <w:sz w:val="20"/>
                <w:szCs w:val="20"/>
              </w:rPr>
              <w:t>Note:</w:t>
            </w:r>
          </w:p>
        </w:tc>
      </w:tr>
      <w:tr w:rsidR="00BE22C3" w:rsidRPr="00342D18" w14:paraId="1349A710" w14:textId="77777777" w:rsidTr="005331F2">
        <w:trPr>
          <w:gridAfter w:val="1"/>
          <w:wAfter w:w="21" w:type="dxa"/>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98E0290" w14:textId="77777777" w:rsidR="00BE22C3" w:rsidRPr="00342D18" w:rsidRDefault="00BE22C3" w:rsidP="00A94ED9">
            <w:pPr>
              <w:spacing w:line="257" w:lineRule="auto"/>
              <w:jc w:val="center"/>
              <w:rPr>
                <w:rFonts w:ascii="Arial Narrow" w:hAnsi="Arial Narrow"/>
                <w:sz w:val="20"/>
                <w:szCs w:val="20"/>
              </w:rPr>
            </w:pPr>
            <w:r w:rsidRPr="00342D18">
              <w:rPr>
                <w:rFonts w:ascii="Arial Narrow" w:eastAsia="Arial Narrow" w:hAnsi="Arial Narrow" w:cs="Arial Narrow"/>
                <w:color w:val="333333"/>
                <w:sz w:val="20"/>
                <w:szCs w:val="20"/>
              </w:rPr>
              <w:t xml:space="preserve"> </w:t>
            </w:r>
          </w:p>
        </w:tc>
        <w:tc>
          <w:tcPr>
            <w:tcW w:w="8518"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053D21" w14:textId="7A3AD3CF" w:rsidR="00BE22C3" w:rsidRPr="00342D18" w:rsidRDefault="00BE22C3" w:rsidP="00A94ED9">
            <w:pPr>
              <w:spacing w:line="257" w:lineRule="auto"/>
              <w:rPr>
                <w:rFonts w:ascii="Arial Narrow" w:hAnsi="Arial Narrow"/>
                <w:strike/>
                <w:sz w:val="20"/>
                <w:szCs w:val="20"/>
              </w:rPr>
            </w:pPr>
            <w:r w:rsidRPr="00342D18">
              <w:rPr>
                <w:rFonts w:ascii="Arial Narrow" w:eastAsia="Arial Narrow" w:hAnsi="Arial Narrow" w:cs="Arial Narrow"/>
                <w:strike/>
                <w:sz w:val="20"/>
                <w:szCs w:val="20"/>
              </w:rPr>
              <w:t>In the first few months after starting immunotherapy, a transient tumour flare may occur that may be mistaken as disease progression despite an overall positive response to treatment.</w:t>
            </w:r>
          </w:p>
          <w:p w14:paraId="5C070DB4" w14:textId="77777777" w:rsidR="00BE22C3" w:rsidRPr="00342D18" w:rsidRDefault="00BE22C3" w:rsidP="00A94ED9">
            <w:pPr>
              <w:spacing w:line="257" w:lineRule="auto"/>
              <w:rPr>
                <w:rFonts w:ascii="Arial Narrow" w:hAnsi="Arial Narrow"/>
                <w:strike/>
                <w:sz w:val="20"/>
                <w:szCs w:val="20"/>
              </w:rPr>
            </w:pPr>
            <w:r w:rsidRPr="00342D18">
              <w:rPr>
                <w:rFonts w:ascii="Arial Narrow" w:eastAsia="Arial Narrow" w:hAnsi="Arial Narrow" w:cs="Arial Narrow"/>
                <w:strike/>
                <w:sz w:val="20"/>
                <w:szCs w:val="20"/>
              </w:rPr>
              <w:t>The stated maximum amount in this listing is based on 360mg. Alternative dosing schedules can be utilised. The drug may be prescribed in a quantity up to this amount but need not be this amount for every cancer type.</w:t>
            </w:r>
          </w:p>
          <w:p w14:paraId="15A58FC1" w14:textId="4592EDB3" w:rsidR="00BE22C3" w:rsidRPr="00342D18" w:rsidRDefault="00BE22C3" w:rsidP="00A94ED9">
            <w:pPr>
              <w:spacing w:line="257" w:lineRule="auto"/>
              <w:rPr>
                <w:rFonts w:ascii="Arial Narrow" w:hAnsi="Arial Narrow"/>
                <w:strike/>
                <w:sz w:val="20"/>
                <w:szCs w:val="20"/>
              </w:rPr>
            </w:pPr>
            <w:r w:rsidRPr="00342D18">
              <w:rPr>
                <w:rFonts w:ascii="Arial Narrow" w:eastAsia="Arial Narrow" w:hAnsi="Arial Narrow" w:cs="Arial Narrow"/>
                <w:strike/>
                <w:sz w:val="20"/>
                <w:szCs w:val="20"/>
              </w:rPr>
              <w:t>Special Pricing Arrangements apply.</w:t>
            </w:r>
          </w:p>
          <w:p w14:paraId="0B889F08" w14:textId="30B5C6EB" w:rsidR="00BE22C3" w:rsidRPr="00342D18" w:rsidRDefault="00BE22C3" w:rsidP="00A94ED9">
            <w:pPr>
              <w:spacing w:line="257" w:lineRule="auto"/>
              <w:rPr>
                <w:rFonts w:ascii="Arial Narrow" w:hAnsi="Arial Narrow"/>
                <w:sz w:val="20"/>
                <w:szCs w:val="20"/>
              </w:rPr>
            </w:pPr>
            <w:r w:rsidRPr="00342D18">
              <w:rPr>
                <w:rFonts w:ascii="Arial Narrow" w:eastAsia="Arial Narrow" w:hAnsi="Arial Narrow" w:cs="Arial Narrow"/>
                <w:strike/>
                <w:sz w:val="20"/>
                <w:szCs w:val="20"/>
              </w:rPr>
              <w:lastRenderedPageBreak/>
              <w:t>No increase in the max number of repeats may be authorised.</w:t>
            </w:r>
          </w:p>
        </w:tc>
      </w:tr>
      <w:tr w:rsidR="00064B63" w:rsidRPr="004F78E1" w14:paraId="5C33EF1F" w14:textId="77777777" w:rsidTr="0062265F">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6FFF82" w14:textId="77777777" w:rsidR="00064B63" w:rsidRPr="00342D18" w:rsidRDefault="00064B63" w:rsidP="00A94ED9">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8A9FBF6" w14:textId="6E14CE47" w:rsidR="00064B63" w:rsidRPr="00342D18" w:rsidRDefault="00064B63" w:rsidP="00A94ED9">
            <w:pPr>
              <w:spacing w:line="257" w:lineRule="auto"/>
              <w:rPr>
                <w:rFonts w:ascii="Arial Narrow" w:hAnsi="Arial Narrow"/>
                <w:i/>
                <w:sz w:val="20"/>
                <w:szCs w:val="20"/>
              </w:rPr>
            </w:pPr>
            <w:r w:rsidRPr="00342D18">
              <w:rPr>
                <w:rFonts w:ascii="Arial Narrow" w:eastAsia="Arial Narrow" w:hAnsi="Arial Narrow" w:cs="Arial Narrow"/>
                <w:i/>
                <w:sz w:val="20"/>
                <w:szCs w:val="20"/>
              </w:rPr>
              <w:t>Prescribing instruction: The stated maximum amount in this listing is based on 360mg. Alternative dosing schedules can be utilised. The drug may be prescribed in a quantity up to this amount but need not be this amount for every cancer type.</w:t>
            </w:r>
          </w:p>
        </w:tc>
      </w:tr>
      <w:tr w:rsidR="00064B63" w:rsidRPr="004F78E1" w14:paraId="5187144F" w14:textId="77777777" w:rsidTr="0062265F">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6AC7C82" w14:textId="77777777" w:rsidR="00064B63" w:rsidRPr="00342D18" w:rsidRDefault="00064B63" w:rsidP="00064B63">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3189FA" w14:textId="47D279BC" w:rsidR="00064B63" w:rsidRPr="00342D18" w:rsidRDefault="00064B63" w:rsidP="00064B63">
            <w:pPr>
              <w:spacing w:line="257" w:lineRule="auto"/>
              <w:rPr>
                <w:rFonts w:ascii="Arial Narrow" w:eastAsia="Arial Narrow" w:hAnsi="Arial Narrow" w:cs="Arial Narrow"/>
                <w:i/>
                <w:sz w:val="20"/>
                <w:szCs w:val="20"/>
              </w:rPr>
            </w:pPr>
            <w:r w:rsidRPr="00342D18">
              <w:rPr>
                <w:rFonts w:ascii="Arial Narrow" w:eastAsia="Arial Narrow" w:hAnsi="Arial Narrow" w:cs="Arial Narrow"/>
                <w:i/>
                <w:sz w:val="20"/>
                <w:szCs w:val="20"/>
              </w:rPr>
              <w:t>Administrative advice: No increase in the maximum number of repeats may be authorised.</w:t>
            </w:r>
          </w:p>
        </w:tc>
      </w:tr>
      <w:tr w:rsidR="00064B63" w:rsidRPr="004F78E1" w14:paraId="0BCCEFAE" w14:textId="77777777" w:rsidTr="0062265F">
        <w:trPr>
          <w:trHeight w:val="299"/>
        </w:trPr>
        <w:tc>
          <w:tcPr>
            <w:tcW w:w="97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30FEC4" w14:textId="77777777" w:rsidR="00064B63" w:rsidRPr="00342D18" w:rsidRDefault="00064B63" w:rsidP="00064B63">
            <w:pPr>
              <w:spacing w:line="257" w:lineRule="auto"/>
              <w:jc w:val="center"/>
              <w:rPr>
                <w:rFonts w:ascii="Arial Narrow" w:eastAsia="Arial Narrow" w:hAnsi="Arial Narrow" w:cs="Arial Narrow"/>
                <w:color w:val="333333"/>
                <w:sz w:val="20"/>
                <w:szCs w:val="20"/>
              </w:rPr>
            </w:pPr>
          </w:p>
        </w:tc>
        <w:tc>
          <w:tcPr>
            <w:tcW w:w="8539"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AA8569" w14:textId="7094F510" w:rsidR="00064B63" w:rsidRPr="00342D18" w:rsidRDefault="00064B63" w:rsidP="00064B63">
            <w:pPr>
              <w:spacing w:line="257" w:lineRule="auto"/>
              <w:rPr>
                <w:rFonts w:ascii="Arial Narrow" w:eastAsia="Arial Narrow" w:hAnsi="Arial Narrow" w:cs="Arial Narrow"/>
                <w:i/>
                <w:sz w:val="20"/>
                <w:szCs w:val="20"/>
              </w:rPr>
            </w:pPr>
            <w:r w:rsidRPr="00342D18">
              <w:rPr>
                <w:rFonts w:ascii="Arial Narrow" w:eastAsia="Arial Narrow" w:hAnsi="Arial Narrow" w:cs="Arial Narrow"/>
                <w:i/>
                <w:sz w:val="20"/>
                <w:szCs w:val="20"/>
              </w:rPr>
              <w:t>Administrative advice: Special Pricing Arrangements apply.</w:t>
            </w:r>
          </w:p>
        </w:tc>
      </w:tr>
    </w:tbl>
    <w:p w14:paraId="6E868229" w14:textId="24DB680D" w:rsidR="00547415" w:rsidRPr="005331F2" w:rsidRDefault="007B7219" w:rsidP="00547415">
      <w:pPr>
        <w:pStyle w:val="3-BodyText"/>
      </w:pPr>
      <w:r>
        <w:t xml:space="preserve">The submission states </w:t>
      </w:r>
      <w:r w:rsidR="00C134BE">
        <w:t>“</w:t>
      </w:r>
      <w:r w:rsidR="00F22911">
        <w:rPr>
          <w:rFonts w:eastAsia="Trebuchet MS" w:cs="Trebuchet MS"/>
        </w:rPr>
        <w:t>T</w:t>
      </w:r>
      <w:r w:rsidR="00C134BE" w:rsidRPr="00C86331">
        <w:rPr>
          <w:rFonts w:eastAsia="Trebuchet MS" w:cs="Trebuchet MS"/>
        </w:rPr>
        <w:t>o ensure that patients do not receive treatment beyond progression where they are no longer deriving benefit</w:t>
      </w:r>
      <w:r w:rsidR="00C134BE" w:rsidRPr="005331F2">
        <w:rPr>
          <w:rFonts w:eastAsia="Trebuchet MS" w:cs="Trebuchet MS"/>
        </w:rPr>
        <w:t>…</w:t>
      </w:r>
      <w:r w:rsidR="00C134BE" w:rsidRPr="00C86331">
        <w:rPr>
          <w:rFonts w:eastAsia="Trebuchet MS" w:cs="Trebuchet MS"/>
        </w:rPr>
        <w:t>”</w:t>
      </w:r>
      <w:r w:rsidR="00F22911">
        <w:rPr>
          <w:rFonts w:eastAsia="Trebuchet MS" w:cs="Trebuchet MS"/>
        </w:rPr>
        <w:t>, t</w:t>
      </w:r>
      <w:r w:rsidR="00F22911">
        <w:t>he sponsor has proposed the following treatment criteria be applied to listings</w:t>
      </w:r>
      <w:r w:rsidR="005D5245">
        <w:t xml:space="preserve"> for both drugs</w:t>
      </w:r>
      <w:r w:rsidR="00133F05">
        <w:rPr>
          <w:rFonts w:eastAsia="Trebuchet MS" w:cs="Trebuchet MS"/>
        </w:rPr>
        <w:t>:</w:t>
      </w:r>
    </w:p>
    <w:p w14:paraId="31A7D095" w14:textId="2D43463A" w:rsidR="00C134BE" w:rsidRDefault="005A7EB2" w:rsidP="007B7219">
      <w:pPr>
        <w:pStyle w:val="3-BodyText"/>
        <w:numPr>
          <w:ilvl w:val="0"/>
          <w:numId w:val="0"/>
        </w:numPr>
        <w:ind w:left="1440"/>
      </w:pPr>
      <w:r w:rsidRPr="005A7EB2">
        <w:t>Treatment with this drug must cease as a PBS benefit if they have experienced disease progression for that indication.</w:t>
      </w:r>
    </w:p>
    <w:p w14:paraId="7BB6E44D" w14:textId="2CD69EC6" w:rsidR="00FB0141" w:rsidRPr="00484752" w:rsidRDefault="008B3080">
      <w:pPr>
        <w:pStyle w:val="3-BodyText"/>
        <w:numPr>
          <w:ilvl w:val="0"/>
          <w:numId w:val="0"/>
        </w:numPr>
        <w:ind w:left="720"/>
      </w:pPr>
      <w:r w:rsidRPr="00484752">
        <w:t xml:space="preserve">The Secretariat proposed that this could be replaced with </w:t>
      </w:r>
      <w:r w:rsidR="00EB4F87" w:rsidRPr="00484752">
        <w:t>the following c</w:t>
      </w:r>
      <w:r w:rsidR="00AC5367" w:rsidRPr="00484752">
        <w:t xml:space="preserve">linical </w:t>
      </w:r>
      <w:r w:rsidR="007B7219" w:rsidRPr="00484752">
        <w:t>criteria</w:t>
      </w:r>
      <w:r w:rsidR="00AC5367" w:rsidRPr="00484752">
        <w:t xml:space="preserve"> </w:t>
      </w:r>
      <w:r w:rsidRPr="00484752">
        <w:t>for consistency</w:t>
      </w:r>
      <w:r w:rsidR="00484752">
        <w:t xml:space="preserve"> with</w:t>
      </w:r>
      <w:r w:rsidRPr="00484752">
        <w:t xml:space="preserve"> restrictions </w:t>
      </w:r>
      <w:r w:rsidR="00AC5367" w:rsidRPr="00484752">
        <w:t xml:space="preserve">in </w:t>
      </w:r>
      <w:r w:rsidR="007B7219" w:rsidRPr="00484752">
        <w:t xml:space="preserve">other </w:t>
      </w:r>
      <w:r w:rsidR="00AC5367" w:rsidRPr="00484752">
        <w:t>PBS listings:</w:t>
      </w:r>
    </w:p>
    <w:p w14:paraId="7CE34F9E" w14:textId="4C70F403" w:rsidR="00EB4F87" w:rsidRPr="00946004" w:rsidRDefault="00EB4F87" w:rsidP="00946004">
      <w:pPr>
        <w:pStyle w:val="3-BodyText"/>
        <w:numPr>
          <w:ilvl w:val="0"/>
          <w:numId w:val="0"/>
        </w:numPr>
        <w:ind w:left="1440"/>
      </w:pPr>
      <w:r w:rsidRPr="00946004">
        <w:t>Patient must not have developed disease progression while receiving PBS-subsidised treatment with this drug for the condition which treatment was commenced for</w:t>
      </w:r>
      <w:r w:rsidR="00946004">
        <w:t>.</w:t>
      </w:r>
    </w:p>
    <w:p w14:paraId="5C039256" w14:textId="776EEEB7" w:rsidR="005D5245" w:rsidRPr="005331F2" w:rsidRDefault="005D5245" w:rsidP="00547415">
      <w:pPr>
        <w:pStyle w:val="3-BodyText"/>
      </w:pPr>
      <w:r>
        <w:t>The sponsor</w:t>
      </w:r>
      <w:r w:rsidR="009C3B67">
        <w:t xml:space="preserve"> </w:t>
      </w:r>
      <w:r w:rsidR="00C35483">
        <w:t>claimed a maximum</w:t>
      </w:r>
      <w:r w:rsidR="00A67882">
        <w:t xml:space="preserve"> amount</w:t>
      </w:r>
      <w:r w:rsidR="00C35483">
        <w:t xml:space="preserve"> of 480 mg and </w:t>
      </w:r>
      <w:r w:rsidR="00392AED">
        <w:t>13 repeats would be appropriate for nivolumab on the basis</w:t>
      </w:r>
      <w:r w:rsidR="0083704C">
        <w:t xml:space="preserve"> this would provide for </w:t>
      </w:r>
      <w:r w:rsidR="009C3B67">
        <w:t>patients</w:t>
      </w:r>
      <w:r w:rsidR="0083704C">
        <w:t xml:space="preserve"> re</w:t>
      </w:r>
      <w:r w:rsidR="009C3B67">
        <w:t>c</w:t>
      </w:r>
      <w:r w:rsidR="0083704C">
        <w:t>eiving flat 240 mg, 360 mg and 480 mg dosing, as well as weight</w:t>
      </w:r>
      <w:r w:rsidR="003553AC">
        <w:t>-</w:t>
      </w:r>
      <w:r w:rsidR="0083704C">
        <w:t>based dosing.</w:t>
      </w:r>
      <w:r w:rsidR="00C747EC">
        <w:t xml:space="preserve"> 13 </w:t>
      </w:r>
      <w:r w:rsidR="00BC6CD0">
        <w:t>repeats</w:t>
      </w:r>
      <w:r w:rsidR="00C747EC">
        <w:t xml:space="preserve"> would allow for 12 months of therapy</w:t>
      </w:r>
      <w:r w:rsidR="003553AC">
        <w:t xml:space="preserve"> at monthly dosing</w:t>
      </w:r>
      <w:r w:rsidR="009C3B67">
        <w:t xml:space="preserve"> or 6 months at two-weekly dosing.</w:t>
      </w:r>
      <w:r w:rsidR="00DB69F3">
        <w:t xml:space="preserve"> </w:t>
      </w:r>
      <w:r w:rsidR="004F7ABE">
        <w:t>The PBAC noted n</w:t>
      </w:r>
      <w:r w:rsidR="00DB69F3" w:rsidRPr="004F7ABE">
        <w:t xml:space="preserve">ivolumab is currently listed for a range of maximum quantities and repeats for individual </w:t>
      </w:r>
      <w:r w:rsidR="00A07A2F" w:rsidRPr="004F7ABE">
        <w:t xml:space="preserve">indications. While the majority are for maximum quantities or maximum repeats less than the proposed amount, </w:t>
      </w:r>
      <w:r w:rsidR="006D005E" w:rsidRPr="004F7ABE">
        <w:t xml:space="preserve">listings for 480 mg with 13 repeats </w:t>
      </w:r>
      <w:r w:rsidR="00A008CD" w:rsidRPr="004F7ABE">
        <w:t>exi</w:t>
      </w:r>
      <w:r w:rsidR="00A07A2F" w:rsidRPr="004F7ABE">
        <w:t>s</w:t>
      </w:r>
      <w:r w:rsidR="00A008CD" w:rsidRPr="004F7ABE">
        <w:t xml:space="preserve">t for </w:t>
      </w:r>
      <w:r w:rsidR="00BB5C9F" w:rsidRPr="004F7ABE">
        <w:t>NSCLC</w:t>
      </w:r>
      <w:r w:rsidR="00A07A2F" w:rsidRPr="004F7ABE">
        <w:t xml:space="preserve"> and a</w:t>
      </w:r>
      <w:r w:rsidR="00BA6DAF" w:rsidRPr="004F7ABE">
        <w:t>dvanced or metastatic gastro-oesophageal cancers</w:t>
      </w:r>
      <w:r w:rsidR="00A07A2F" w:rsidRPr="004F7ABE">
        <w:t>. These indications would be included under the broad listing</w:t>
      </w:r>
      <w:r w:rsidR="00A07A2F">
        <w:rPr>
          <w:i/>
          <w:iCs/>
        </w:rPr>
        <w:t xml:space="preserve">. </w:t>
      </w:r>
    </w:p>
    <w:p w14:paraId="1B5BC1FA" w14:textId="75C8DD6F" w:rsidR="00F53FA1" w:rsidRPr="007B7219" w:rsidRDefault="00F53FA1" w:rsidP="00F53FA1">
      <w:pPr>
        <w:pStyle w:val="3-BodyText"/>
      </w:pPr>
      <w:r>
        <w:t xml:space="preserve">The sponsor has proposed a maximum amount of 360 mg and four repeats be applied to the broad ipilimumab listing. This is on the basis ipilimumab is dosed either in induction or ongoing therapy and at 1 mg/kg or 3 mg/kg, making 360 mg the dose required for a 120 kg patient. </w:t>
      </w:r>
      <w:r w:rsidRPr="00520390">
        <w:t>This is consistent with existing listings for Unresectable Stage III or Stage IV malignant melanoma.</w:t>
      </w:r>
      <w:r>
        <w:t xml:space="preserve"> </w:t>
      </w:r>
    </w:p>
    <w:p w14:paraId="2A2D4C18" w14:textId="35E3EE60" w:rsidR="00F53FA1" w:rsidRDefault="00F53FA1" w:rsidP="00F53FA1">
      <w:pPr>
        <w:pStyle w:val="3-BodyText"/>
      </w:pPr>
      <w:r>
        <w:t xml:space="preserve">The sponsor has also requested that no increases in maximum repeats be permitted under the broad listings. </w:t>
      </w:r>
    </w:p>
    <w:p w14:paraId="6C897079" w14:textId="21AC0A11" w:rsidR="004A34FC" w:rsidRDefault="00E549FA" w:rsidP="00547415">
      <w:pPr>
        <w:pStyle w:val="3-BodyText"/>
      </w:pPr>
      <w:r>
        <w:t xml:space="preserve">The sponsor requested an </w:t>
      </w:r>
      <w:r w:rsidR="00046CA4">
        <w:t>administrative</w:t>
      </w:r>
      <w:r>
        <w:t xml:space="preserve"> advice be included on ipilimumab of:</w:t>
      </w:r>
    </w:p>
    <w:p w14:paraId="3900771B" w14:textId="2E26BA6D" w:rsidR="00E549FA" w:rsidRDefault="00BF704F" w:rsidP="0070211E">
      <w:pPr>
        <w:pStyle w:val="3-BodyText"/>
        <w:numPr>
          <w:ilvl w:val="0"/>
          <w:numId w:val="0"/>
        </w:numPr>
        <w:ind w:left="1440"/>
        <w:rPr>
          <w:rFonts w:eastAsia="Trebuchet MS" w:cs="Trebuchet MS"/>
          <w:i/>
          <w:iCs/>
        </w:rPr>
      </w:pPr>
      <w:r w:rsidRPr="0070211E">
        <w:rPr>
          <w:rFonts w:eastAsia="Trebuchet MS" w:cs="Trebuchet MS"/>
        </w:rPr>
        <w:t>In the first few months after starting immunotherapy, a transient tumour flare may occur that may be mistaken as disease progression despite an overall positive response to treatment</w:t>
      </w:r>
      <w:r>
        <w:rPr>
          <w:rFonts w:eastAsia="Trebuchet MS" w:cs="Trebuchet MS"/>
          <w:i/>
          <w:iCs/>
        </w:rPr>
        <w:t>.</w:t>
      </w:r>
    </w:p>
    <w:p w14:paraId="10F95C0D" w14:textId="4F83482B" w:rsidR="001D7CE9" w:rsidRPr="00520390" w:rsidRDefault="001D7CE9" w:rsidP="001D7CE9">
      <w:pPr>
        <w:pStyle w:val="3-BodyText"/>
      </w:pPr>
      <w:r w:rsidRPr="00520390">
        <w:t xml:space="preserve">The </w:t>
      </w:r>
      <w:r w:rsidR="00046CA4" w:rsidRPr="00520390">
        <w:t>Secretariat</w:t>
      </w:r>
      <w:r w:rsidRPr="00520390">
        <w:t xml:space="preserve"> note</w:t>
      </w:r>
      <w:r w:rsidR="00520390" w:rsidRPr="00520390">
        <w:t>d</w:t>
      </w:r>
      <w:r w:rsidRPr="00520390">
        <w:t xml:space="preserve"> some listings for ipil</w:t>
      </w:r>
      <w:r w:rsidR="00837093" w:rsidRPr="00520390">
        <w:t>im</w:t>
      </w:r>
      <w:r w:rsidRPr="00520390">
        <w:t>umab where it i</w:t>
      </w:r>
      <w:r w:rsidR="00046CA4" w:rsidRPr="00520390">
        <w:t>s</w:t>
      </w:r>
      <w:r w:rsidRPr="00520390">
        <w:t xml:space="preserve"> intended to be used in combination with nivolumab also contain the following </w:t>
      </w:r>
      <w:r w:rsidR="00440F1E" w:rsidRPr="00520390">
        <w:t>administrative advice</w:t>
      </w:r>
      <w:r w:rsidRPr="00520390">
        <w:t>:</w:t>
      </w:r>
    </w:p>
    <w:p w14:paraId="7EE70777" w14:textId="3673E68B" w:rsidR="001D7CE9" w:rsidRDefault="001D7CE9" w:rsidP="0070211E">
      <w:pPr>
        <w:pStyle w:val="3-BodyText"/>
        <w:numPr>
          <w:ilvl w:val="0"/>
          <w:numId w:val="0"/>
        </w:numPr>
        <w:ind w:left="1440"/>
      </w:pPr>
      <w:r w:rsidRPr="00520390">
        <w:t>Combination treatment with ipilimumab and nivolumab is associated with an increased incidence and severity of immune-related adverse</w:t>
      </w:r>
      <w:r w:rsidRPr="001D7CE9">
        <w:t xml:space="preserve"> reactions </w:t>
      </w:r>
      <w:r w:rsidRPr="001D7CE9">
        <w:lastRenderedPageBreak/>
        <w:t>compared with monotherapy with these agents. Monitoring at least prior to each dose is recommended.</w:t>
      </w:r>
    </w:p>
    <w:p w14:paraId="55CFFD75" w14:textId="3C17F141" w:rsidR="008F7863" w:rsidRDefault="008F7863" w:rsidP="008F7863">
      <w:pPr>
        <w:pStyle w:val="3-BodyText"/>
      </w:pPr>
      <w:r>
        <w:t xml:space="preserve">In the pre-PBAC response, the sponsor indicated </w:t>
      </w:r>
      <w:r w:rsidR="001A713B">
        <w:t xml:space="preserve">it considered </w:t>
      </w:r>
      <w:r>
        <w:t>the proposed amendments to the restriction wording would be acceptable</w:t>
      </w:r>
      <w:r w:rsidR="001A713B">
        <w:t xml:space="preserve"> if recommended by the PBAC.</w:t>
      </w:r>
    </w:p>
    <w:p w14:paraId="1A33B95D" w14:textId="7C4E0D00" w:rsidR="00033A5C" w:rsidRPr="00033A5C" w:rsidRDefault="00056194" w:rsidP="006212ED">
      <w:pPr>
        <w:pStyle w:val="2-SectionHeading"/>
      </w:pPr>
      <w:r>
        <w:t xml:space="preserve">Proposed </w:t>
      </w:r>
      <w:r w:rsidR="002E15AE">
        <w:t>Pricing</w:t>
      </w:r>
    </w:p>
    <w:p w14:paraId="542A9723" w14:textId="74174A9F" w:rsidR="0012240C" w:rsidRDefault="00160969" w:rsidP="0012240C">
      <w:pPr>
        <w:pStyle w:val="3-BodyText"/>
      </w:pPr>
      <w:r>
        <w:t>The submission propose</w:t>
      </w:r>
      <w:r w:rsidR="008258F1">
        <w:t>d</w:t>
      </w:r>
      <w:r>
        <w:t xml:space="preserve"> that a lower price for the broader additional indications is achieved through a PVA</w:t>
      </w:r>
      <w:r w:rsidR="00C90503">
        <w:t xml:space="preserve"> enacted via Risk Share Arrangement (RSA)</w:t>
      </w:r>
      <w:r>
        <w:t>.</w:t>
      </w:r>
    </w:p>
    <w:p w14:paraId="7863096E" w14:textId="77777777" w:rsidR="00C90503" w:rsidRDefault="00C16095" w:rsidP="000144D7">
      <w:pPr>
        <w:pStyle w:val="3-BodyText"/>
      </w:pPr>
      <w:r>
        <w:t xml:space="preserve">The submission stated this was important to ensure the cost-effective price for nivolumab and ipilimumab </w:t>
      </w:r>
      <w:r w:rsidR="005A6B5D">
        <w:t>for</w:t>
      </w:r>
      <w:r>
        <w:t xml:space="preserve"> the existing listings is retained under the broad listing</w:t>
      </w:r>
      <w:r w:rsidR="002B0C9B">
        <w:t xml:space="preserve"> and did not </w:t>
      </w:r>
      <w:r w:rsidR="004D2FFC">
        <w:t>consider an up-front price reduction would be appropriate as the PBAC had already considered cost-effectiveness for these indications</w:t>
      </w:r>
      <w:r>
        <w:t>.</w:t>
      </w:r>
      <w:r w:rsidR="004A4D74">
        <w:t xml:space="preserve"> </w:t>
      </w:r>
    </w:p>
    <w:p w14:paraId="1133A753" w14:textId="643EA2B4" w:rsidR="00417B93" w:rsidRDefault="002E3DBE" w:rsidP="000144D7">
      <w:pPr>
        <w:pStyle w:val="3-BodyText"/>
      </w:pPr>
      <w:r w:rsidRPr="000144D7">
        <w:t>The</w:t>
      </w:r>
      <w:r>
        <w:t xml:space="preserve"> submission proposed</w:t>
      </w:r>
      <w:r w:rsidRPr="000144D7">
        <w:t xml:space="preserve"> to maintain the current effective prices</w:t>
      </w:r>
      <w:r w:rsidRPr="000144D7" w:rsidDel="00E074DF">
        <w:t xml:space="preserve"> </w:t>
      </w:r>
      <w:r w:rsidR="00F81EB8">
        <w:t>through implementing a</w:t>
      </w:r>
      <w:r w:rsidR="004A0581">
        <w:t xml:space="preserve"> </w:t>
      </w:r>
      <w:r w:rsidR="001C5863" w:rsidRPr="000144D7">
        <w:t>single</w:t>
      </w:r>
      <w:r w:rsidR="004A0581">
        <w:t>,</w:t>
      </w:r>
      <w:r w:rsidR="001C5863" w:rsidRPr="000144D7">
        <w:t xml:space="preserve"> </w:t>
      </w:r>
      <w:r w:rsidR="00D9720C" w:rsidRPr="000144D7">
        <w:t>weighted</w:t>
      </w:r>
      <w:r w:rsidR="0044424F">
        <w:t xml:space="preserve">, effective </w:t>
      </w:r>
      <w:r w:rsidR="00D9720C" w:rsidRPr="000144D7">
        <w:t>price</w:t>
      </w:r>
      <w:r w:rsidR="0044424F">
        <w:t xml:space="preserve"> (AEMP)</w:t>
      </w:r>
      <w:r w:rsidR="00D9720C" w:rsidRPr="000144D7">
        <w:t xml:space="preserve"> for </w:t>
      </w:r>
      <w:r w:rsidR="00221A73" w:rsidRPr="000144D7">
        <w:t xml:space="preserve">a 100 mg vial of </w:t>
      </w:r>
      <w:r w:rsidR="00D9720C" w:rsidRPr="000144D7">
        <w:t xml:space="preserve">nivolumab </w:t>
      </w:r>
      <w:r w:rsidR="004A0581">
        <w:t>of</w:t>
      </w:r>
      <w:r w:rsidR="00D9720C" w:rsidRPr="000144D7">
        <w:t xml:space="preserve"> </w:t>
      </w:r>
      <w:r w:rsidR="00620612" w:rsidRPr="000144D7">
        <w:t>$</w:t>
      </w:r>
      <w:r w:rsidR="00C546A7" w:rsidRPr="00C546A7">
        <w:rPr>
          <w:color w:val="000000"/>
          <w:w w:val="61"/>
          <w:shd w:val="solid" w:color="000000" w:fill="000000"/>
          <w:fitText w:val="472" w:id="-628400625"/>
          <w14:textFill>
            <w14:solidFill>
              <w14:srgbClr w14:val="000000">
                <w14:alpha w14:val="100000"/>
              </w14:srgbClr>
            </w14:solidFill>
          </w14:textFill>
        </w:rPr>
        <w:t>|||  ||</w:t>
      </w:r>
      <w:r w:rsidR="00C546A7" w:rsidRPr="00C546A7">
        <w:rPr>
          <w:color w:val="000000"/>
          <w:spacing w:val="2"/>
          <w:w w:val="61"/>
          <w:shd w:val="solid" w:color="000000" w:fill="000000"/>
          <w:fitText w:val="472" w:id="-628400625"/>
          <w14:textFill>
            <w14:solidFill>
              <w14:srgbClr w14:val="000000">
                <w14:alpha w14:val="100000"/>
              </w14:srgbClr>
            </w14:solidFill>
          </w14:textFill>
        </w:rPr>
        <w:t>|</w:t>
      </w:r>
      <w:r w:rsidR="00824552" w:rsidRPr="000144D7">
        <w:t xml:space="preserve"> </w:t>
      </w:r>
      <w:r w:rsidR="003D0A14">
        <w:t>(</w:t>
      </w:r>
      <w:r w:rsidR="00824552" w:rsidRPr="000144D7">
        <w:t>$</w:t>
      </w:r>
      <w:r w:rsidR="00C546A7" w:rsidRPr="00C546A7">
        <w:rPr>
          <w:color w:val="000000"/>
          <w:w w:val="61"/>
          <w:shd w:val="solid" w:color="000000" w:fill="000000"/>
          <w:fitText w:val="472" w:id="-628400624"/>
          <w14:textFill>
            <w14:solidFill>
              <w14:srgbClr w14:val="000000">
                <w14:alpha w14:val="100000"/>
              </w14:srgbClr>
            </w14:solidFill>
          </w14:textFill>
        </w:rPr>
        <w:t>|||  ||</w:t>
      </w:r>
      <w:r w:rsidR="00C546A7" w:rsidRPr="00C546A7">
        <w:rPr>
          <w:color w:val="000000"/>
          <w:spacing w:val="2"/>
          <w:w w:val="61"/>
          <w:shd w:val="solid" w:color="000000" w:fill="000000"/>
          <w:fitText w:val="472" w:id="-628400624"/>
          <w14:textFill>
            <w14:solidFill>
              <w14:srgbClr w14:val="000000">
                <w14:alpha w14:val="100000"/>
              </w14:srgbClr>
            </w14:solidFill>
          </w14:textFill>
        </w:rPr>
        <w:t>|</w:t>
      </w:r>
      <w:r w:rsidR="00E21355" w:rsidRPr="000144D7">
        <w:t xml:space="preserve"> for 480 mg </w:t>
      </w:r>
      <w:r w:rsidR="002065CC" w:rsidRPr="000144D7">
        <w:t>(</w:t>
      </w:r>
      <w:r w:rsidR="00E21355" w:rsidRPr="000144D7">
        <w:t>q4w</w:t>
      </w:r>
      <w:r w:rsidR="002065CC" w:rsidRPr="000144D7">
        <w:t>)</w:t>
      </w:r>
      <w:r w:rsidR="003D0A14">
        <w:t>)</w:t>
      </w:r>
      <w:r w:rsidR="00E21355" w:rsidRPr="000144D7">
        <w:t xml:space="preserve">. </w:t>
      </w:r>
      <w:r w:rsidR="00261F84" w:rsidRPr="000144D7">
        <w:t xml:space="preserve">The weighted price considered by PBAC in December 2023 and September 2024 was </w:t>
      </w:r>
      <w:r w:rsidR="00F946F4" w:rsidRPr="000144D7">
        <w:t>$</w:t>
      </w:r>
      <w:r w:rsidR="00C546A7" w:rsidRPr="00C546A7">
        <w:rPr>
          <w:color w:val="000000"/>
          <w:w w:val="61"/>
          <w:shd w:val="solid" w:color="000000" w:fill="000000"/>
          <w:fitText w:val="472" w:id="-628400640"/>
          <w14:textFill>
            <w14:solidFill>
              <w14:srgbClr w14:val="000000">
                <w14:alpha w14:val="100000"/>
              </w14:srgbClr>
            </w14:solidFill>
          </w14:textFill>
        </w:rPr>
        <w:t>|||  ||</w:t>
      </w:r>
      <w:r w:rsidR="00C546A7" w:rsidRPr="00C546A7">
        <w:rPr>
          <w:color w:val="000000"/>
          <w:spacing w:val="2"/>
          <w:w w:val="61"/>
          <w:shd w:val="solid" w:color="000000" w:fill="000000"/>
          <w:fitText w:val="472" w:id="-628400640"/>
          <w14:textFill>
            <w14:solidFill>
              <w14:srgbClr w14:val="000000">
                <w14:alpha w14:val="100000"/>
              </w14:srgbClr>
            </w14:solidFill>
          </w14:textFill>
        </w:rPr>
        <w:t>|</w:t>
      </w:r>
      <w:r w:rsidR="00F946F4" w:rsidRPr="000144D7">
        <w:t xml:space="preserve"> per 100 mg </w:t>
      </w:r>
      <w:r w:rsidR="0096076C">
        <w:t>(</w:t>
      </w:r>
      <w:r w:rsidR="00F946F4" w:rsidRPr="000144D7">
        <w:t>$</w:t>
      </w:r>
      <w:r w:rsidR="00C546A7" w:rsidRPr="00C546A7">
        <w:rPr>
          <w:color w:val="000000"/>
          <w:w w:val="59"/>
          <w:shd w:val="solid" w:color="000000" w:fill="000000"/>
          <w:fitText w:val="460" w:id="-628400639"/>
          <w14:textFill>
            <w14:solidFill>
              <w14:srgbClr w14:val="000000">
                <w14:alpha w14:val="100000"/>
              </w14:srgbClr>
            </w14:solidFill>
          </w14:textFill>
        </w:rPr>
        <w:t>|||  ||</w:t>
      </w:r>
      <w:r w:rsidR="00C546A7" w:rsidRPr="00C546A7">
        <w:rPr>
          <w:color w:val="000000"/>
          <w:spacing w:val="5"/>
          <w:w w:val="59"/>
          <w:shd w:val="solid" w:color="000000" w:fill="000000"/>
          <w:fitText w:val="460" w:id="-628400639"/>
          <w14:textFill>
            <w14:solidFill>
              <w14:srgbClr w14:val="000000">
                <w14:alpha w14:val="100000"/>
              </w14:srgbClr>
            </w14:solidFill>
          </w14:textFill>
        </w:rPr>
        <w:t>|</w:t>
      </w:r>
      <w:r w:rsidR="00F946F4" w:rsidRPr="000144D7">
        <w:t xml:space="preserve"> </w:t>
      </w:r>
      <w:r w:rsidR="0096076C">
        <w:t>fo</w:t>
      </w:r>
      <w:r w:rsidR="0096076C" w:rsidRPr="000144D7">
        <w:t xml:space="preserve">r </w:t>
      </w:r>
      <w:r w:rsidR="00F946F4" w:rsidRPr="000144D7">
        <w:t>480 mg (q4w)</w:t>
      </w:r>
      <w:r w:rsidR="0096076C">
        <w:t>)</w:t>
      </w:r>
      <w:r w:rsidR="00F946F4" w:rsidRPr="000144D7">
        <w:t>.</w:t>
      </w:r>
      <w:r w:rsidR="002C1977" w:rsidRPr="000144D7">
        <w:t xml:space="preserve"> </w:t>
      </w:r>
    </w:p>
    <w:p w14:paraId="33BDE1E8" w14:textId="5AF93EBD" w:rsidR="00A723F0" w:rsidRDefault="005C46B7" w:rsidP="00A723F0">
      <w:pPr>
        <w:pStyle w:val="3-BodyText"/>
      </w:pPr>
      <w:r>
        <w:t>A weighted price is required</w:t>
      </w:r>
      <w:r w:rsidR="001D30EE">
        <w:t xml:space="preserve"> </w:t>
      </w:r>
      <w:r w:rsidR="00C90503">
        <w:t xml:space="preserve">to consolidate the listings </w:t>
      </w:r>
      <w:r w:rsidR="001D30EE">
        <w:t>as the proposed</w:t>
      </w:r>
      <w:r w:rsidR="008622A9">
        <w:t xml:space="preserve"> PBS</w:t>
      </w:r>
      <w:r w:rsidR="001D30EE">
        <w:t xml:space="preserve"> restriction </w:t>
      </w:r>
      <w:r w:rsidR="00FC0111">
        <w:t xml:space="preserve">would </w:t>
      </w:r>
      <w:r w:rsidR="00D24709">
        <w:t>require</w:t>
      </w:r>
      <w:r w:rsidR="00A723F0" w:rsidRPr="000144D7">
        <w:t xml:space="preserve"> a single muti-indication PBS item, cover</w:t>
      </w:r>
      <w:r w:rsidR="00D24709">
        <w:t>ing</w:t>
      </w:r>
      <w:r w:rsidR="00A723F0" w:rsidRPr="000144D7">
        <w:t xml:space="preserve"> existing and new/additional unresectable advanced or metastatic indications. </w:t>
      </w:r>
    </w:p>
    <w:p w14:paraId="1BBFBFB3" w14:textId="18B4AF2F" w:rsidR="00632C64" w:rsidRDefault="003A5C74" w:rsidP="000144D7">
      <w:pPr>
        <w:pStyle w:val="3-BodyText"/>
      </w:pPr>
      <w:r w:rsidRPr="000144D7">
        <w:t xml:space="preserve">The </w:t>
      </w:r>
      <w:r w:rsidR="0044424F">
        <w:t xml:space="preserve">proposed </w:t>
      </w:r>
      <w:r w:rsidRPr="000144D7">
        <w:t>weight</w:t>
      </w:r>
      <w:r w:rsidR="0044424F">
        <w:t>ing</w:t>
      </w:r>
      <w:r w:rsidRPr="000144D7">
        <w:t xml:space="preserve">s </w:t>
      </w:r>
      <w:r w:rsidR="00B41C57">
        <w:t xml:space="preserve">were </w:t>
      </w:r>
      <w:r w:rsidRPr="000144D7">
        <w:t xml:space="preserve">based on the </w:t>
      </w:r>
      <w:r w:rsidR="00B867DD">
        <w:t>PBS Benefits (reported on the Medicare</w:t>
      </w:r>
      <w:r w:rsidR="00603587">
        <w:t xml:space="preserve"> Statistic website)</w:t>
      </w:r>
      <w:r w:rsidR="000D0F42" w:rsidRPr="000144D7">
        <w:t xml:space="preserve"> for each advanced/metastatic </w:t>
      </w:r>
      <w:r w:rsidR="00013646" w:rsidRPr="000144D7">
        <w:t>indic</w:t>
      </w:r>
      <w:r w:rsidR="00141B11" w:rsidRPr="000144D7">
        <w:t>ation</w:t>
      </w:r>
      <w:r w:rsidR="0044424F">
        <w:t xml:space="preserve"> currently PBS listed</w:t>
      </w:r>
      <w:r w:rsidR="00884FD4">
        <w:t xml:space="preserve"> over a recent 12-month period</w:t>
      </w:r>
      <w:r w:rsidR="00460BA8">
        <w:t xml:space="preserve"> (April 2024 – March 2025)</w:t>
      </w:r>
      <w:r w:rsidR="00014572" w:rsidRPr="000144D7">
        <w:t>.</w:t>
      </w:r>
      <w:r w:rsidR="00714127" w:rsidRPr="000144D7">
        <w:t xml:space="preserve"> </w:t>
      </w:r>
      <w:r w:rsidR="00405CE3">
        <w:t xml:space="preserve"> </w:t>
      </w:r>
    </w:p>
    <w:p w14:paraId="0154BAF5" w14:textId="7BABCC78" w:rsidR="00014572" w:rsidRPr="000144D7" w:rsidRDefault="00405CE3" w:rsidP="000144D7">
      <w:pPr>
        <w:pStyle w:val="3-BodyText"/>
      </w:pPr>
      <w:r>
        <w:t xml:space="preserve">The proposed weightings per </w:t>
      </w:r>
      <w:r w:rsidR="009672C1">
        <w:t>indication</w:t>
      </w:r>
      <w:r>
        <w:t xml:space="preserve"> </w:t>
      </w:r>
      <w:r w:rsidR="00AF002B">
        <w:t>and</w:t>
      </w:r>
      <w:r>
        <w:t xml:space="preserve"> resultant effective prices </w:t>
      </w:r>
      <w:r w:rsidR="009672C1">
        <w:t xml:space="preserve">for nivolumab are provided in </w:t>
      </w:r>
      <w:r w:rsidR="009672C1">
        <w:fldChar w:fldCharType="begin" w:fldLock="1"/>
      </w:r>
      <w:r w:rsidR="009672C1">
        <w:instrText xml:space="preserve"> REF _Ref200965531 \h </w:instrText>
      </w:r>
      <w:r w:rsidR="009672C1">
        <w:fldChar w:fldCharType="separate"/>
      </w:r>
      <w:r w:rsidR="006228A5">
        <w:t xml:space="preserve">Table </w:t>
      </w:r>
      <w:r w:rsidR="006228A5">
        <w:rPr>
          <w:noProof/>
        </w:rPr>
        <w:t>3</w:t>
      </w:r>
      <w:r w:rsidR="009672C1">
        <w:fldChar w:fldCharType="end"/>
      </w:r>
      <w:r w:rsidR="009672C1">
        <w:t>.</w:t>
      </w:r>
    </w:p>
    <w:p w14:paraId="35D962A9" w14:textId="77777777" w:rsidR="00EB5453" w:rsidRDefault="00EB5453" w:rsidP="00EB5453">
      <w:pPr>
        <w:pStyle w:val="3-BodyText"/>
        <w:numPr>
          <w:ilvl w:val="0"/>
          <w:numId w:val="0"/>
        </w:numPr>
        <w:spacing w:before="0" w:after="0"/>
        <w:ind w:left="720" w:hanging="720"/>
        <w:jc w:val="left"/>
      </w:pPr>
    </w:p>
    <w:p w14:paraId="44C976D7" w14:textId="243BD9E1" w:rsidR="00DC1379" w:rsidRDefault="00DC1379" w:rsidP="005331F2">
      <w:pPr>
        <w:pStyle w:val="TableFigureHeading"/>
      </w:pPr>
      <w:bookmarkStart w:id="4" w:name="_Ref200965531"/>
      <w:r>
        <w:t xml:space="preserve">Table </w:t>
      </w:r>
      <w:r w:rsidR="006228A5">
        <w:fldChar w:fldCharType="begin" w:fldLock="1"/>
      </w:r>
      <w:r w:rsidR="006228A5">
        <w:instrText xml:space="preserve"> SEQ Table \* ARABIC </w:instrText>
      </w:r>
      <w:r w:rsidR="006228A5">
        <w:fldChar w:fldCharType="separate"/>
      </w:r>
      <w:r w:rsidR="006228A5">
        <w:rPr>
          <w:noProof/>
        </w:rPr>
        <w:t>3</w:t>
      </w:r>
      <w:r w:rsidR="006228A5">
        <w:rPr>
          <w:noProof/>
        </w:rPr>
        <w:fldChar w:fldCharType="end"/>
      </w:r>
      <w:bookmarkEnd w:id="4"/>
      <w:r>
        <w:t>:</w:t>
      </w:r>
      <w:r w:rsidR="00D249B1">
        <w:t xml:space="preserve"> </w:t>
      </w:r>
      <w:r w:rsidR="0077136D">
        <w:t xml:space="preserve">Proposed </w:t>
      </w:r>
      <w:r w:rsidR="00632C64">
        <w:t>indication and price weighting</w:t>
      </w:r>
      <w:r w:rsidR="005A2088">
        <w:t xml:space="preserve"> to achieve proposed effective price for nivolumab</w:t>
      </w:r>
    </w:p>
    <w:tbl>
      <w:tblPr>
        <w:tblStyle w:val="TableGrid"/>
        <w:tblW w:w="5000" w:type="pct"/>
        <w:tblLook w:val="04A0" w:firstRow="1" w:lastRow="0" w:firstColumn="1" w:lastColumn="0" w:noHBand="0" w:noVBand="1"/>
        <w:tblCaption w:val="Table 3: Proposed indication and price weighting to achieve proposed effective price for nivolumab"/>
      </w:tblPr>
      <w:tblGrid>
        <w:gridCol w:w="2171"/>
        <w:gridCol w:w="2339"/>
        <w:gridCol w:w="2402"/>
        <w:gridCol w:w="2104"/>
      </w:tblGrid>
      <w:tr w:rsidR="00266F81" w:rsidRPr="00423F30" w14:paraId="443E23A8" w14:textId="77777777" w:rsidTr="00577037">
        <w:trPr>
          <w:trHeight w:val="481"/>
        </w:trPr>
        <w:tc>
          <w:tcPr>
            <w:tcW w:w="1204" w:type="pct"/>
            <w:shd w:val="clear" w:color="auto" w:fill="FFFFFF" w:themeFill="background1"/>
            <w:noWrap/>
            <w:vAlign w:val="center"/>
            <w:hideMark/>
          </w:tcPr>
          <w:p w14:paraId="37F86428" w14:textId="4BE61B3D" w:rsidR="00B57C4E" w:rsidRPr="005A1041" w:rsidRDefault="00DC1379" w:rsidP="005331F2">
            <w:pPr>
              <w:pStyle w:val="In-tableHeading"/>
            </w:pPr>
            <w:r>
              <w:t>I</w:t>
            </w:r>
            <w:r w:rsidR="00B57C4E" w:rsidRPr="005A1041">
              <w:t>ndication</w:t>
            </w:r>
          </w:p>
        </w:tc>
        <w:tc>
          <w:tcPr>
            <w:tcW w:w="1297" w:type="pct"/>
            <w:shd w:val="clear" w:color="auto" w:fill="FFFFFF" w:themeFill="background1"/>
            <w:noWrap/>
            <w:vAlign w:val="center"/>
            <w:hideMark/>
          </w:tcPr>
          <w:p w14:paraId="4F2731C4" w14:textId="3EA3B317" w:rsidR="00B57C4E" w:rsidRPr="005A1041" w:rsidRDefault="00B57C4E" w:rsidP="005331F2">
            <w:pPr>
              <w:pStyle w:val="In-tableHeading"/>
            </w:pPr>
            <w:r w:rsidRPr="005A1041">
              <w:t xml:space="preserve">% </w:t>
            </w:r>
            <w:r w:rsidR="00FE17E6">
              <w:t>PBS Benefits</w:t>
            </w:r>
          </w:p>
          <w:p w14:paraId="2DAD00E0" w14:textId="77777777" w:rsidR="00B57C4E" w:rsidRPr="005A1041" w:rsidRDefault="00B57C4E" w:rsidP="005331F2">
            <w:pPr>
              <w:pStyle w:val="In-tableHeading"/>
            </w:pPr>
            <w:r w:rsidRPr="005A1041">
              <w:t>Apr-24 to Mar-25</w:t>
            </w:r>
          </w:p>
        </w:tc>
        <w:tc>
          <w:tcPr>
            <w:tcW w:w="1332" w:type="pct"/>
            <w:shd w:val="clear" w:color="auto" w:fill="FFFFFF" w:themeFill="background1"/>
            <w:noWrap/>
            <w:vAlign w:val="center"/>
            <w:hideMark/>
          </w:tcPr>
          <w:p w14:paraId="61074E97" w14:textId="77777777" w:rsidR="00B57C4E" w:rsidRDefault="00B57C4E" w:rsidP="005331F2">
            <w:pPr>
              <w:pStyle w:val="In-tableHeading"/>
            </w:pPr>
            <w:r>
              <w:t>ex-man price</w:t>
            </w:r>
          </w:p>
          <w:p w14:paraId="705EE00D" w14:textId="77777777" w:rsidR="00B57C4E" w:rsidRPr="005A1041" w:rsidRDefault="00B57C4E" w:rsidP="005331F2">
            <w:pPr>
              <w:pStyle w:val="In-tableHeading"/>
            </w:pPr>
            <w:r>
              <w:t>100 mg</w:t>
            </w:r>
          </w:p>
        </w:tc>
        <w:tc>
          <w:tcPr>
            <w:tcW w:w="1167" w:type="pct"/>
            <w:shd w:val="clear" w:color="auto" w:fill="FFFFFF" w:themeFill="background1"/>
          </w:tcPr>
          <w:p w14:paraId="0D8A9E4C" w14:textId="121051C8" w:rsidR="00B57C4E" w:rsidRDefault="00F92578" w:rsidP="005331F2">
            <w:pPr>
              <w:pStyle w:val="In-tableHeading"/>
            </w:pPr>
            <w:r>
              <w:t>cost per</w:t>
            </w:r>
            <w:r w:rsidR="00366E7E">
              <w:t xml:space="preserve"> </w:t>
            </w:r>
            <w:r w:rsidR="00B57C4E">
              <w:t xml:space="preserve">q4w </w:t>
            </w:r>
          </w:p>
          <w:p w14:paraId="19E77885" w14:textId="77777777" w:rsidR="00B57C4E" w:rsidRDefault="00B57C4E" w:rsidP="005331F2">
            <w:pPr>
              <w:pStyle w:val="In-tableHeading"/>
            </w:pPr>
            <w:r>
              <w:t>480 mg</w:t>
            </w:r>
          </w:p>
        </w:tc>
      </w:tr>
      <w:tr w:rsidR="004323D4" w:rsidRPr="00423F30" w14:paraId="4C2E9240" w14:textId="77777777" w:rsidTr="00577037">
        <w:trPr>
          <w:trHeight w:val="294"/>
        </w:trPr>
        <w:tc>
          <w:tcPr>
            <w:tcW w:w="1204" w:type="pct"/>
            <w:noWrap/>
            <w:vAlign w:val="center"/>
            <w:hideMark/>
          </w:tcPr>
          <w:p w14:paraId="12043E1E" w14:textId="77777777" w:rsidR="00B57C4E" w:rsidRPr="00423F30" w:rsidRDefault="00B57C4E" w:rsidP="005331F2">
            <w:pPr>
              <w:pStyle w:val="TableText0"/>
            </w:pPr>
            <w:r w:rsidRPr="00423F30">
              <w:t>1L NSCLC</w:t>
            </w:r>
          </w:p>
        </w:tc>
        <w:tc>
          <w:tcPr>
            <w:tcW w:w="1297" w:type="pct"/>
            <w:noWrap/>
          </w:tcPr>
          <w:p w14:paraId="47CFBD18" w14:textId="77777777" w:rsidR="00B57C4E" w:rsidRPr="00423F30" w:rsidRDefault="00B57C4E" w:rsidP="00647983">
            <w:pPr>
              <w:pStyle w:val="TableText0"/>
              <w:jc w:val="right"/>
            </w:pPr>
            <w:r w:rsidRPr="00423F30">
              <w:t>2.2%</w:t>
            </w:r>
          </w:p>
        </w:tc>
        <w:tc>
          <w:tcPr>
            <w:tcW w:w="1332" w:type="pct"/>
            <w:noWrap/>
          </w:tcPr>
          <w:p w14:paraId="07962467" w14:textId="3C681CAF"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38"/>
                <w14:textFill>
                  <w14:solidFill>
                    <w14:srgbClr w14:val="000000">
                      <w14:alpha w14:val="100000"/>
                    </w14:srgbClr>
                  </w14:solidFill>
                </w14:textFill>
              </w:rPr>
              <w:t>|||</w:t>
            </w:r>
            <w:r w:rsidR="00C546A7" w:rsidRPr="00C546A7">
              <w:rPr>
                <w:color w:val="000000"/>
                <w:spacing w:val="1"/>
                <w:shd w:val="solid" w:color="000000" w:fill="000000"/>
                <w:fitText w:val="324" w:id="-628400638"/>
                <w14:textFill>
                  <w14:solidFill>
                    <w14:srgbClr w14:val="000000">
                      <w14:alpha w14:val="100000"/>
                    </w14:srgbClr>
                  </w14:solidFill>
                </w14:textFill>
              </w:rPr>
              <w:t>|</w:t>
            </w:r>
          </w:p>
        </w:tc>
        <w:tc>
          <w:tcPr>
            <w:tcW w:w="1167" w:type="pct"/>
          </w:tcPr>
          <w:p w14:paraId="25FF3F5D" w14:textId="0D3B3C7E" w:rsidR="00B57C4E" w:rsidRPr="00423F30" w:rsidRDefault="0075540E" w:rsidP="00647983">
            <w:pPr>
              <w:pStyle w:val="TableText0"/>
              <w:jc w:val="right"/>
            </w:pPr>
            <w:r>
              <w:t>$</w:t>
            </w:r>
            <w:r w:rsidR="00C546A7" w:rsidRPr="00C546A7">
              <w:rPr>
                <w:color w:val="000000"/>
                <w:spacing w:val="51"/>
                <w:shd w:val="solid" w:color="000000" w:fill="000000"/>
                <w:fitText w:val="324" w:id="-628400637"/>
                <w14:textFill>
                  <w14:solidFill>
                    <w14:srgbClr w14:val="000000">
                      <w14:alpha w14:val="100000"/>
                    </w14:srgbClr>
                  </w14:solidFill>
                </w14:textFill>
              </w:rPr>
              <w:t>|||</w:t>
            </w:r>
            <w:r w:rsidR="00C546A7" w:rsidRPr="00C546A7">
              <w:rPr>
                <w:color w:val="000000"/>
                <w:spacing w:val="1"/>
                <w:shd w:val="solid" w:color="000000" w:fill="000000"/>
                <w:fitText w:val="324" w:id="-628400637"/>
                <w14:textFill>
                  <w14:solidFill>
                    <w14:srgbClr w14:val="000000">
                      <w14:alpha w14:val="100000"/>
                    </w14:srgbClr>
                  </w14:solidFill>
                </w14:textFill>
              </w:rPr>
              <w:t>|</w:t>
            </w:r>
          </w:p>
        </w:tc>
      </w:tr>
      <w:tr w:rsidR="004323D4" w:rsidRPr="00423F30" w14:paraId="137B4611" w14:textId="77777777" w:rsidTr="00577037">
        <w:trPr>
          <w:trHeight w:val="294"/>
        </w:trPr>
        <w:tc>
          <w:tcPr>
            <w:tcW w:w="1204" w:type="pct"/>
            <w:noWrap/>
            <w:vAlign w:val="center"/>
            <w:hideMark/>
          </w:tcPr>
          <w:p w14:paraId="31AD7552" w14:textId="77777777" w:rsidR="00B57C4E" w:rsidRPr="00423F30" w:rsidRDefault="00B57C4E" w:rsidP="005331F2">
            <w:pPr>
              <w:pStyle w:val="TableText0"/>
            </w:pPr>
            <w:r w:rsidRPr="00423F30">
              <w:t>1L RCC</w:t>
            </w:r>
          </w:p>
        </w:tc>
        <w:tc>
          <w:tcPr>
            <w:tcW w:w="1297" w:type="pct"/>
            <w:noWrap/>
          </w:tcPr>
          <w:p w14:paraId="667A9CFC" w14:textId="77777777" w:rsidR="00B57C4E" w:rsidRPr="00423F30" w:rsidRDefault="00B57C4E" w:rsidP="00647983">
            <w:pPr>
              <w:pStyle w:val="TableText0"/>
              <w:jc w:val="right"/>
            </w:pPr>
            <w:r w:rsidRPr="00423F30">
              <w:t>8.7%</w:t>
            </w:r>
          </w:p>
        </w:tc>
        <w:tc>
          <w:tcPr>
            <w:tcW w:w="1332" w:type="pct"/>
            <w:noWrap/>
          </w:tcPr>
          <w:p w14:paraId="08E5535B" w14:textId="1DDE5A92"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36"/>
                <w14:textFill>
                  <w14:solidFill>
                    <w14:srgbClr w14:val="000000">
                      <w14:alpha w14:val="100000"/>
                    </w14:srgbClr>
                  </w14:solidFill>
                </w14:textFill>
              </w:rPr>
              <w:t>|||</w:t>
            </w:r>
            <w:r w:rsidR="00C546A7" w:rsidRPr="00C546A7">
              <w:rPr>
                <w:color w:val="000000"/>
                <w:spacing w:val="1"/>
                <w:shd w:val="solid" w:color="000000" w:fill="000000"/>
                <w:fitText w:val="324" w:id="-628400636"/>
                <w14:textFill>
                  <w14:solidFill>
                    <w14:srgbClr w14:val="000000">
                      <w14:alpha w14:val="100000"/>
                    </w14:srgbClr>
                  </w14:solidFill>
                </w14:textFill>
              </w:rPr>
              <w:t>|</w:t>
            </w:r>
          </w:p>
        </w:tc>
        <w:tc>
          <w:tcPr>
            <w:tcW w:w="1167" w:type="pct"/>
          </w:tcPr>
          <w:p w14:paraId="60BB7B6F" w14:textId="0951E832" w:rsidR="00B57C4E" w:rsidRPr="00423F30" w:rsidRDefault="0075540E" w:rsidP="00647983">
            <w:pPr>
              <w:pStyle w:val="TableText0"/>
              <w:jc w:val="right"/>
            </w:pPr>
            <w:r>
              <w:t>$</w:t>
            </w:r>
            <w:r w:rsidR="00C546A7" w:rsidRPr="00C546A7">
              <w:rPr>
                <w:color w:val="000000"/>
                <w:spacing w:val="51"/>
                <w:shd w:val="solid" w:color="000000" w:fill="000000"/>
                <w:fitText w:val="324" w:id="-628400635"/>
                <w14:textFill>
                  <w14:solidFill>
                    <w14:srgbClr w14:val="000000">
                      <w14:alpha w14:val="100000"/>
                    </w14:srgbClr>
                  </w14:solidFill>
                </w14:textFill>
              </w:rPr>
              <w:t>|||</w:t>
            </w:r>
            <w:r w:rsidR="00C546A7" w:rsidRPr="00C546A7">
              <w:rPr>
                <w:color w:val="000000"/>
                <w:spacing w:val="1"/>
                <w:shd w:val="solid" w:color="000000" w:fill="000000"/>
                <w:fitText w:val="324" w:id="-628400635"/>
                <w14:textFill>
                  <w14:solidFill>
                    <w14:srgbClr w14:val="000000">
                      <w14:alpha w14:val="100000"/>
                    </w14:srgbClr>
                  </w14:solidFill>
                </w14:textFill>
              </w:rPr>
              <w:t>|</w:t>
            </w:r>
          </w:p>
        </w:tc>
      </w:tr>
      <w:tr w:rsidR="004323D4" w:rsidRPr="00423F30" w14:paraId="6209964C" w14:textId="77777777" w:rsidTr="00577037">
        <w:trPr>
          <w:trHeight w:val="294"/>
        </w:trPr>
        <w:tc>
          <w:tcPr>
            <w:tcW w:w="1204" w:type="pct"/>
            <w:noWrap/>
            <w:vAlign w:val="center"/>
            <w:hideMark/>
          </w:tcPr>
          <w:p w14:paraId="7B3BAD80" w14:textId="77777777" w:rsidR="00B57C4E" w:rsidRPr="00423F30" w:rsidRDefault="00B57C4E" w:rsidP="005331F2">
            <w:pPr>
              <w:pStyle w:val="TableText0"/>
            </w:pPr>
            <w:r w:rsidRPr="00423F30">
              <w:t>2L NSCLC</w:t>
            </w:r>
          </w:p>
        </w:tc>
        <w:tc>
          <w:tcPr>
            <w:tcW w:w="1297" w:type="pct"/>
            <w:noWrap/>
          </w:tcPr>
          <w:p w14:paraId="3B7BF199" w14:textId="77777777" w:rsidR="00B57C4E" w:rsidRPr="00423F30" w:rsidRDefault="00B57C4E" w:rsidP="00647983">
            <w:pPr>
              <w:pStyle w:val="TableText0"/>
              <w:jc w:val="right"/>
            </w:pPr>
            <w:r w:rsidRPr="00423F30">
              <w:t>6.7%</w:t>
            </w:r>
          </w:p>
        </w:tc>
        <w:tc>
          <w:tcPr>
            <w:tcW w:w="1332" w:type="pct"/>
            <w:noWrap/>
          </w:tcPr>
          <w:p w14:paraId="1CF05C37" w14:textId="5689761F"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34"/>
                <w14:textFill>
                  <w14:solidFill>
                    <w14:srgbClr w14:val="000000">
                      <w14:alpha w14:val="100000"/>
                    </w14:srgbClr>
                  </w14:solidFill>
                </w14:textFill>
              </w:rPr>
              <w:t>|||</w:t>
            </w:r>
            <w:r w:rsidR="00C546A7" w:rsidRPr="00C546A7">
              <w:rPr>
                <w:color w:val="000000"/>
                <w:spacing w:val="1"/>
                <w:shd w:val="solid" w:color="000000" w:fill="000000"/>
                <w:fitText w:val="324" w:id="-628400634"/>
                <w14:textFill>
                  <w14:solidFill>
                    <w14:srgbClr w14:val="000000">
                      <w14:alpha w14:val="100000"/>
                    </w14:srgbClr>
                  </w14:solidFill>
                </w14:textFill>
              </w:rPr>
              <w:t>|</w:t>
            </w:r>
          </w:p>
        </w:tc>
        <w:tc>
          <w:tcPr>
            <w:tcW w:w="1167" w:type="pct"/>
          </w:tcPr>
          <w:p w14:paraId="4C0E7775" w14:textId="7583F1B0" w:rsidR="00B57C4E" w:rsidRPr="00423F30" w:rsidRDefault="0075540E" w:rsidP="00647983">
            <w:pPr>
              <w:pStyle w:val="TableText0"/>
              <w:jc w:val="right"/>
            </w:pPr>
            <w:r>
              <w:t>$</w:t>
            </w:r>
            <w:r w:rsidR="00C546A7" w:rsidRPr="00C546A7">
              <w:rPr>
                <w:color w:val="000000"/>
                <w:spacing w:val="51"/>
                <w:shd w:val="solid" w:color="000000" w:fill="000000"/>
                <w:fitText w:val="324" w:id="-628400633"/>
                <w14:textFill>
                  <w14:solidFill>
                    <w14:srgbClr w14:val="000000">
                      <w14:alpha w14:val="100000"/>
                    </w14:srgbClr>
                  </w14:solidFill>
                </w14:textFill>
              </w:rPr>
              <w:t>|||</w:t>
            </w:r>
            <w:r w:rsidR="00C546A7" w:rsidRPr="00C546A7">
              <w:rPr>
                <w:color w:val="000000"/>
                <w:spacing w:val="1"/>
                <w:shd w:val="solid" w:color="000000" w:fill="000000"/>
                <w:fitText w:val="324" w:id="-628400633"/>
                <w14:textFill>
                  <w14:solidFill>
                    <w14:srgbClr w14:val="000000">
                      <w14:alpha w14:val="100000"/>
                    </w14:srgbClr>
                  </w14:solidFill>
                </w14:textFill>
              </w:rPr>
              <w:t>|</w:t>
            </w:r>
          </w:p>
        </w:tc>
      </w:tr>
      <w:tr w:rsidR="004323D4" w:rsidRPr="00423F30" w14:paraId="6412AE44" w14:textId="77777777" w:rsidTr="00577037">
        <w:trPr>
          <w:trHeight w:val="294"/>
        </w:trPr>
        <w:tc>
          <w:tcPr>
            <w:tcW w:w="1204" w:type="pct"/>
            <w:noWrap/>
            <w:vAlign w:val="center"/>
            <w:hideMark/>
          </w:tcPr>
          <w:p w14:paraId="24D7D6CD" w14:textId="77777777" w:rsidR="00B57C4E" w:rsidRPr="00423F30" w:rsidRDefault="00B57C4E" w:rsidP="005331F2">
            <w:pPr>
              <w:pStyle w:val="TableText0"/>
            </w:pPr>
            <w:r w:rsidRPr="00423F30">
              <w:t>2L RCC</w:t>
            </w:r>
          </w:p>
        </w:tc>
        <w:tc>
          <w:tcPr>
            <w:tcW w:w="1297" w:type="pct"/>
            <w:noWrap/>
          </w:tcPr>
          <w:p w14:paraId="07582D40" w14:textId="77777777" w:rsidR="00B57C4E" w:rsidRPr="00423F30" w:rsidRDefault="00B57C4E" w:rsidP="00647983">
            <w:pPr>
              <w:pStyle w:val="TableText0"/>
              <w:jc w:val="right"/>
            </w:pPr>
            <w:r w:rsidRPr="00423F30">
              <w:t>9.6%</w:t>
            </w:r>
          </w:p>
        </w:tc>
        <w:tc>
          <w:tcPr>
            <w:tcW w:w="1332" w:type="pct"/>
            <w:noWrap/>
          </w:tcPr>
          <w:p w14:paraId="5CCC9B42" w14:textId="079F80F3"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32"/>
                <w14:textFill>
                  <w14:solidFill>
                    <w14:srgbClr w14:val="000000">
                      <w14:alpha w14:val="100000"/>
                    </w14:srgbClr>
                  </w14:solidFill>
                </w14:textFill>
              </w:rPr>
              <w:t>|||</w:t>
            </w:r>
            <w:r w:rsidR="00C546A7" w:rsidRPr="00C546A7">
              <w:rPr>
                <w:color w:val="000000"/>
                <w:spacing w:val="1"/>
                <w:shd w:val="solid" w:color="000000" w:fill="000000"/>
                <w:fitText w:val="324" w:id="-628400632"/>
                <w14:textFill>
                  <w14:solidFill>
                    <w14:srgbClr w14:val="000000">
                      <w14:alpha w14:val="100000"/>
                    </w14:srgbClr>
                  </w14:solidFill>
                </w14:textFill>
              </w:rPr>
              <w:t>|</w:t>
            </w:r>
          </w:p>
        </w:tc>
        <w:tc>
          <w:tcPr>
            <w:tcW w:w="1167" w:type="pct"/>
          </w:tcPr>
          <w:p w14:paraId="306D16DB" w14:textId="2DE781DA" w:rsidR="00B57C4E" w:rsidRPr="00423F30" w:rsidRDefault="0075540E" w:rsidP="00647983">
            <w:pPr>
              <w:pStyle w:val="TableText0"/>
              <w:jc w:val="right"/>
            </w:pPr>
            <w:r>
              <w:t>$</w:t>
            </w:r>
            <w:r w:rsidR="00C546A7" w:rsidRPr="00C546A7">
              <w:rPr>
                <w:color w:val="000000"/>
                <w:spacing w:val="51"/>
                <w:shd w:val="solid" w:color="000000" w:fill="000000"/>
                <w:fitText w:val="324" w:id="-628400631"/>
                <w14:textFill>
                  <w14:solidFill>
                    <w14:srgbClr w14:val="000000">
                      <w14:alpha w14:val="100000"/>
                    </w14:srgbClr>
                  </w14:solidFill>
                </w14:textFill>
              </w:rPr>
              <w:t>|||</w:t>
            </w:r>
            <w:r w:rsidR="00C546A7" w:rsidRPr="00C546A7">
              <w:rPr>
                <w:color w:val="000000"/>
                <w:spacing w:val="1"/>
                <w:shd w:val="solid" w:color="000000" w:fill="000000"/>
                <w:fitText w:val="324" w:id="-628400631"/>
                <w14:textFill>
                  <w14:solidFill>
                    <w14:srgbClr w14:val="000000">
                      <w14:alpha w14:val="100000"/>
                    </w14:srgbClr>
                  </w14:solidFill>
                </w14:textFill>
              </w:rPr>
              <w:t>|</w:t>
            </w:r>
          </w:p>
        </w:tc>
      </w:tr>
      <w:tr w:rsidR="004323D4" w:rsidRPr="00423F30" w14:paraId="2254AD5B" w14:textId="77777777" w:rsidTr="00577037">
        <w:trPr>
          <w:trHeight w:val="294"/>
        </w:trPr>
        <w:tc>
          <w:tcPr>
            <w:tcW w:w="1204" w:type="pct"/>
            <w:noWrap/>
            <w:vAlign w:val="center"/>
            <w:hideMark/>
          </w:tcPr>
          <w:p w14:paraId="3BB45752" w14:textId="5D4964C4" w:rsidR="00B57C4E" w:rsidRPr="00423F30" w:rsidRDefault="005408CA" w:rsidP="005331F2">
            <w:pPr>
              <w:pStyle w:val="TableText0"/>
            </w:pPr>
            <w:r>
              <w:t>M</w:t>
            </w:r>
            <w:r w:rsidR="00B57C4E" w:rsidRPr="00423F30">
              <w:t>esothelioma</w:t>
            </w:r>
          </w:p>
        </w:tc>
        <w:tc>
          <w:tcPr>
            <w:tcW w:w="1297" w:type="pct"/>
            <w:noWrap/>
          </w:tcPr>
          <w:p w14:paraId="1086BEDB" w14:textId="77777777" w:rsidR="00B57C4E" w:rsidRPr="00423F30" w:rsidRDefault="00B57C4E" w:rsidP="00647983">
            <w:pPr>
              <w:pStyle w:val="TableText0"/>
              <w:jc w:val="right"/>
            </w:pPr>
            <w:r w:rsidRPr="00423F30">
              <w:t>10.3%</w:t>
            </w:r>
          </w:p>
        </w:tc>
        <w:tc>
          <w:tcPr>
            <w:tcW w:w="1332" w:type="pct"/>
            <w:noWrap/>
          </w:tcPr>
          <w:p w14:paraId="1C5497C6" w14:textId="54FBCE8C"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30"/>
                <w14:textFill>
                  <w14:solidFill>
                    <w14:srgbClr w14:val="000000">
                      <w14:alpha w14:val="100000"/>
                    </w14:srgbClr>
                  </w14:solidFill>
                </w14:textFill>
              </w:rPr>
              <w:t>|||</w:t>
            </w:r>
            <w:r w:rsidR="00C546A7" w:rsidRPr="00C546A7">
              <w:rPr>
                <w:color w:val="000000"/>
                <w:spacing w:val="1"/>
                <w:shd w:val="solid" w:color="000000" w:fill="000000"/>
                <w:fitText w:val="324" w:id="-628400630"/>
                <w14:textFill>
                  <w14:solidFill>
                    <w14:srgbClr w14:val="000000">
                      <w14:alpha w14:val="100000"/>
                    </w14:srgbClr>
                  </w14:solidFill>
                </w14:textFill>
              </w:rPr>
              <w:t>|</w:t>
            </w:r>
          </w:p>
        </w:tc>
        <w:tc>
          <w:tcPr>
            <w:tcW w:w="1167" w:type="pct"/>
          </w:tcPr>
          <w:p w14:paraId="744F53F4" w14:textId="2C58412F" w:rsidR="00B57C4E" w:rsidRPr="00423F30" w:rsidRDefault="0075540E" w:rsidP="00647983">
            <w:pPr>
              <w:pStyle w:val="TableText0"/>
              <w:jc w:val="right"/>
            </w:pPr>
            <w:r>
              <w:t>$</w:t>
            </w:r>
            <w:r w:rsidR="00C546A7" w:rsidRPr="00C546A7">
              <w:rPr>
                <w:color w:val="000000"/>
                <w:spacing w:val="51"/>
                <w:shd w:val="solid" w:color="000000" w:fill="000000"/>
                <w:fitText w:val="324" w:id="-628400629"/>
                <w14:textFill>
                  <w14:solidFill>
                    <w14:srgbClr w14:val="000000">
                      <w14:alpha w14:val="100000"/>
                    </w14:srgbClr>
                  </w14:solidFill>
                </w14:textFill>
              </w:rPr>
              <w:t>|||</w:t>
            </w:r>
            <w:r w:rsidR="00C546A7" w:rsidRPr="00C546A7">
              <w:rPr>
                <w:color w:val="000000"/>
                <w:spacing w:val="1"/>
                <w:shd w:val="solid" w:color="000000" w:fill="000000"/>
                <w:fitText w:val="324" w:id="-628400629"/>
                <w14:textFill>
                  <w14:solidFill>
                    <w14:srgbClr w14:val="000000">
                      <w14:alpha w14:val="100000"/>
                    </w14:srgbClr>
                  </w14:solidFill>
                </w14:textFill>
              </w:rPr>
              <w:t>|</w:t>
            </w:r>
          </w:p>
        </w:tc>
      </w:tr>
      <w:tr w:rsidR="004323D4" w:rsidRPr="00423F30" w14:paraId="18510872" w14:textId="77777777" w:rsidTr="00577037">
        <w:trPr>
          <w:trHeight w:val="294"/>
        </w:trPr>
        <w:tc>
          <w:tcPr>
            <w:tcW w:w="1204" w:type="pct"/>
            <w:noWrap/>
            <w:vAlign w:val="center"/>
            <w:hideMark/>
          </w:tcPr>
          <w:p w14:paraId="258B3D53" w14:textId="77777777" w:rsidR="00B57C4E" w:rsidRPr="00423F30" w:rsidRDefault="00B57C4E" w:rsidP="005331F2">
            <w:pPr>
              <w:pStyle w:val="TableText0"/>
            </w:pPr>
            <w:r>
              <w:t xml:space="preserve">2L </w:t>
            </w:r>
            <w:r w:rsidRPr="00423F30">
              <w:t>SCCHN</w:t>
            </w:r>
          </w:p>
        </w:tc>
        <w:tc>
          <w:tcPr>
            <w:tcW w:w="1297" w:type="pct"/>
            <w:noWrap/>
          </w:tcPr>
          <w:p w14:paraId="69BC54A5" w14:textId="77777777" w:rsidR="00B57C4E" w:rsidRPr="00423F30" w:rsidRDefault="00B57C4E" w:rsidP="00647983">
            <w:pPr>
              <w:pStyle w:val="TableText0"/>
              <w:jc w:val="right"/>
            </w:pPr>
            <w:r w:rsidRPr="00423F30">
              <w:t>4.8%</w:t>
            </w:r>
          </w:p>
        </w:tc>
        <w:tc>
          <w:tcPr>
            <w:tcW w:w="1332" w:type="pct"/>
            <w:noWrap/>
          </w:tcPr>
          <w:p w14:paraId="79082052" w14:textId="6F2DC141"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28"/>
                <w14:textFill>
                  <w14:solidFill>
                    <w14:srgbClr w14:val="000000">
                      <w14:alpha w14:val="100000"/>
                    </w14:srgbClr>
                  </w14:solidFill>
                </w14:textFill>
              </w:rPr>
              <w:t>|||</w:t>
            </w:r>
            <w:r w:rsidR="00C546A7" w:rsidRPr="00C546A7">
              <w:rPr>
                <w:color w:val="000000"/>
                <w:spacing w:val="1"/>
                <w:shd w:val="solid" w:color="000000" w:fill="000000"/>
                <w:fitText w:val="324" w:id="-628400628"/>
                <w14:textFill>
                  <w14:solidFill>
                    <w14:srgbClr w14:val="000000">
                      <w14:alpha w14:val="100000"/>
                    </w14:srgbClr>
                  </w14:solidFill>
                </w14:textFill>
              </w:rPr>
              <w:t>|</w:t>
            </w:r>
          </w:p>
        </w:tc>
        <w:tc>
          <w:tcPr>
            <w:tcW w:w="1167" w:type="pct"/>
          </w:tcPr>
          <w:p w14:paraId="47CCD696" w14:textId="78394AA7" w:rsidR="00B57C4E" w:rsidRPr="00423F30" w:rsidRDefault="0075540E" w:rsidP="00647983">
            <w:pPr>
              <w:pStyle w:val="TableText0"/>
              <w:jc w:val="right"/>
            </w:pPr>
            <w:r>
              <w:t>$</w:t>
            </w:r>
            <w:r w:rsidR="00C546A7" w:rsidRPr="00C546A7">
              <w:rPr>
                <w:color w:val="000000"/>
                <w:spacing w:val="51"/>
                <w:shd w:val="solid" w:color="000000" w:fill="000000"/>
                <w:fitText w:val="324" w:id="-628400627"/>
                <w14:textFill>
                  <w14:solidFill>
                    <w14:srgbClr w14:val="000000">
                      <w14:alpha w14:val="100000"/>
                    </w14:srgbClr>
                  </w14:solidFill>
                </w14:textFill>
              </w:rPr>
              <w:t>|||</w:t>
            </w:r>
            <w:r w:rsidR="00C546A7" w:rsidRPr="00C546A7">
              <w:rPr>
                <w:color w:val="000000"/>
                <w:spacing w:val="1"/>
                <w:shd w:val="solid" w:color="000000" w:fill="000000"/>
                <w:fitText w:val="324" w:id="-628400627"/>
                <w14:textFill>
                  <w14:solidFill>
                    <w14:srgbClr w14:val="000000">
                      <w14:alpha w14:val="100000"/>
                    </w14:srgbClr>
                  </w14:solidFill>
                </w14:textFill>
              </w:rPr>
              <w:t>|</w:t>
            </w:r>
          </w:p>
        </w:tc>
      </w:tr>
      <w:tr w:rsidR="004323D4" w:rsidRPr="00423F30" w14:paraId="0E3243F1" w14:textId="77777777" w:rsidTr="00577037">
        <w:trPr>
          <w:trHeight w:val="294"/>
        </w:trPr>
        <w:tc>
          <w:tcPr>
            <w:tcW w:w="1204" w:type="pct"/>
            <w:noWrap/>
            <w:vAlign w:val="center"/>
            <w:hideMark/>
          </w:tcPr>
          <w:p w14:paraId="77BDA99E" w14:textId="77777777" w:rsidR="00B57C4E" w:rsidRPr="00423F30" w:rsidRDefault="00B57C4E" w:rsidP="005331F2">
            <w:pPr>
              <w:pStyle w:val="TableText0"/>
            </w:pPr>
            <w:r w:rsidRPr="00423F30">
              <w:t>UGI</w:t>
            </w:r>
          </w:p>
        </w:tc>
        <w:tc>
          <w:tcPr>
            <w:tcW w:w="1297" w:type="pct"/>
            <w:noWrap/>
          </w:tcPr>
          <w:p w14:paraId="4221190B" w14:textId="04A939C8" w:rsidR="00B57C4E" w:rsidRPr="00423F30" w:rsidRDefault="00B57C4E" w:rsidP="00647983">
            <w:pPr>
              <w:pStyle w:val="TableText0"/>
              <w:jc w:val="right"/>
            </w:pPr>
            <w:r w:rsidRPr="00423F30">
              <w:t>23.0%</w:t>
            </w:r>
          </w:p>
        </w:tc>
        <w:tc>
          <w:tcPr>
            <w:tcW w:w="1332" w:type="pct"/>
            <w:noWrap/>
          </w:tcPr>
          <w:p w14:paraId="0ACAA493" w14:textId="267BE3BE"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26"/>
                <w14:textFill>
                  <w14:solidFill>
                    <w14:srgbClr w14:val="000000">
                      <w14:alpha w14:val="100000"/>
                    </w14:srgbClr>
                  </w14:solidFill>
                </w14:textFill>
              </w:rPr>
              <w:t>|||</w:t>
            </w:r>
            <w:r w:rsidR="00C546A7" w:rsidRPr="00C546A7">
              <w:rPr>
                <w:color w:val="000000"/>
                <w:spacing w:val="1"/>
                <w:shd w:val="solid" w:color="000000" w:fill="000000"/>
                <w:fitText w:val="324" w:id="-628400626"/>
                <w14:textFill>
                  <w14:solidFill>
                    <w14:srgbClr w14:val="000000">
                      <w14:alpha w14:val="100000"/>
                    </w14:srgbClr>
                  </w14:solidFill>
                </w14:textFill>
              </w:rPr>
              <w:t>|</w:t>
            </w:r>
          </w:p>
        </w:tc>
        <w:tc>
          <w:tcPr>
            <w:tcW w:w="1167" w:type="pct"/>
          </w:tcPr>
          <w:p w14:paraId="1B184C42" w14:textId="2D9FDEFC" w:rsidR="00B57C4E" w:rsidRPr="00423F30" w:rsidRDefault="0075540E" w:rsidP="00647983">
            <w:pPr>
              <w:pStyle w:val="TableText0"/>
              <w:jc w:val="right"/>
            </w:pPr>
            <w:r>
              <w:t>$</w:t>
            </w:r>
            <w:r w:rsidR="00C546A7" w:rsidRPr="00C546A7">
              <w:rPr>
                <w:color w:val="000000"/>
                <w:spacing w:val="51"/>
                <w:shd w:val="solid" w:color="000000" w:fill="000000"/>
                <w:fitText w:val="324" w:id="-628400625"/>
                <w14:textFill>
                  <w14:solidFill>
                    <w14:srgbClr w14:val="000000">
                      <w14:alpha w14:val="100000"/>
                    </w14:srgbClr>
                  </w14:solidFill>
                </w14:textFill>
              </w:rPr>
              <w:t>|||</w:t>
            </w:r>
            <w:r w:rsidR="00C546A7" w:rsidRPr="00C546A7">
              <w:rPr>
                <w:color w:val="000000"/>
                <w:spacing w:val="1"/>
                <w:shd w:val="solid" w:color="000000" w:fill="000000"/>
                <w:fitText w:val="324" w:id="-628400625"/>
                <w14:textFill>
                  <w14:solidFill>
                    <w14:srgbClr w14:val="000000">
                      <w14:alpha w14:val="100000"/>
                    </w14:srgbClr>
                  </w14:solidFill>
                </w14:textFill>
              </w:rPr>
              <w:t>|</w:t>
            </w:r>
          </w:p>
        </w:tc>
      </w:tr>
      <w:tr w:rsidR="004323D4" w:rsidRPr="00423F30" w14:paraId="045846D1" w14:textId="77777777" w:rsidTr="00577037">
        <w:trPr>
          <w:trHeight w:val="294"/>
        </w:trPr>
        <w:tc>
          <w:tcPr>
            <w:tcW w:w="1204" w:type="pct"/>
            <w:noWrap/>
            <w:vAlign w:val="center"/>
            <w:hideMark/>
          </w:tcPr>
          <w:p w14:paraId="39651E5D" w14:textId="44746FC6" w:rsidR="00B57C4E" w:rsidRPr="00423F30" w:rsidRDefault="005408CA" w:rsidP="005331F2">
            <w:pPr>
              <w:pStyle w:val="TableText0"/>
            </w:pPr>
            <w:r>
              <w:t xml:space="preserve">Metastatic </w:t>
            </w:r>
            <w:r w:rsidR="00B57C4E">
              <w:t>m</w:t>
            </w:r>
            <w:r w:rsidR="00B57C4E" w:rsidRPr="00423F30">
              <w:t>elanoma</w:t>
            </w:r>
          </w:p>
        </w:tc>
        <w:tc>
          <w:tcPr>
            <w:tcW w:w="1297" w:type="pct"/>
            <w:noWrap/>
          </w:tcPr>
          <w:p w14:paraId="774A96E5" w14:textId="77777777" w:rsidR="00B57C4E" w:rsidRPr="00423F30" w:rsidRDefault="00B57C4E" w:rsidP="00647983">
            <w:pPr>
              <w:pStyle w:val="TableText0"/>
              <w:jc w:val="right"/>
            </w:pPr>
            <w:r w:rsidRPr="00423F30">
              <w:t>34.7%</w:t>
            </w:r>
          </w:p>
        </w:tc>
        <w:tc>
          <w:tcPr>
            <w:tcW w:w="1332" w:type="pct"/>
            <w:noWrap/>
          </w:tcPr>
          <w:p w14:paraId="038BC97A" w14:textId="61ECF56E" w:rsidR="00B57C4E" w:rsidRPr="00423F30" w:rsidRDefault="00B57C4E" w:rsidP="00647983">
            <w:pPr>
              <w:pStyle w:val="TableText0"/>
              <w:jc w:val="right"/>
            </w:pPr>
            <w:r w:rsidRPr="00423F30">
              <w:t>$</w:t>
            </w:r>
            <w:r w:rsidR="00C546A7" w:rsidRPr="00C546A7">
              <w:rPr>
                <w:color w:val="000000"/>
                <w:spacing w:val="51"/>
                <w:shd w:val="solid" w:color="000000" w:fill="000000"/>
                <w:fitText w:val="324" w:id="-628400624"/>
                <w14:textFill>
                  <w14:solidFill>
                    <w14:srgbClr w14:val="000000">
                      <w14:alpha w14:val="100000"/>
                    </w14:srgbClr>
                  </w14:solidFill>
                </w14:textFill>
              </w:rPr>
              <w:t>|||</w:t>
            </w:r>
            <w:r w:rsidR="00C546A7" w:rsidRPr="00C546A7">
              <w:rPr>
                <w:color w:val="000000"/>
                <w:spacing w:val="1"/>
                <w:shd w:val="solid" w:color="000000" w:fill="000000"/>
                <w:fitText w:val="324" w:id="-628400624"/>
                <w14:textFill>
                  <w14:solidFill>
                    <w14:srgbClr w14:val="000000">
                      <w14:alpha w14:val="100000"/>
                    </w14:srgbClr>
                  </w14:solidFill>
                </w14:textFill>
              </w:rPr>
              <w:t>|</w:t>
            </w:r>
          </w:p>
        </w:tc>
        <w:tc>
          <w:tcPr>
            <w:tcW w:w="1167" w:type="pct"/>
          </w:tcPr>
          <w:p w14:paraId="24BD1195" w14:textId="3EF8996B" w:rsidR="00B57C4E" w:rsidRPr="00423F30" w:rsidRDefault="0075540E" w:rsidP="00647983">
            <w:pPr>
              <w:pStyle w:val="TableText0"/>
              <w:jc w:val="right"/>
            </w:pPr>
            <w:r>
              <w:t>$</w:t>
            </w:r>
            <w:r w:rsidR="00C546A7" w:rsidRPr="00C546A7">
              <w:rPr>
                <w:color w:val="000000"/>
                <w:spacing w:val="51"/>
                <w:shd w:val="solid" w:color="000000" w:fill="000000"/>
                <w:fitText w:val="324" w:id="-628400640"/>
                <w14:textFill>
                  <w14:solidFill>
                    <w14:srgbClr w14:val="000000">
                      <w14:alpha w14:val="100000"/>
                    </w14:srgbClr>
                  </w14:solidFill>
                </w14:textFill>
              </w:rPr>
              <w:t>|||</w:t>
            </w:r>
            <w:r w:rsidR="00C546A7" w:rsidRPr="00C546A7">
              <w:rPr>
                <w:color w:val="000000"/>
                <w:spacing w:val="1"/>
                <w:shd w:val="solid" w:color="000000" w:fill="000000"/>
                <w:fitText w:val="324" w:id="-628400640"/>
                <w14:textFill>
                  <w14:solidFill>
                    <w14:srgbClr w14:val="000000">
                      <w14:alpha w14:val="100000"/>
                    </w14:srgbClr>
                  </w14:solidFill>
                </w14:textFill>
              </w:rPr>
              <w:t>|</w:t>
            </w:r>
          </w:p>
        </w:tc>
      </w:tr>
      <w:tr w:rsidR="004323D4" w:rsidRPr="00423F30" w14:paraId="7F11FEC3" w14:textId="77777777" w:rsidTr="00577037">
        <w:trPr>
          <w:trHeight w:val="294"/>
        </w:trPr>
        <w:tc>
          <w:tcPr>
            <w:tcW w:w="1204" w:type="pct"/>
            <w:noWrap/>
            <w:vAlign w:val="center"/>
            <w:hideMark/>
          </w:tcPr>
          <w:p w14:paraId="49A1708E" w14:textId="77777777" w:rsidR="00B57C4E" w:rsidRPr="00314CE6" w:rsidRDefault="00B57C4E" w:rsidP="005331F2">
            <w:pPr>
              <w:pStyle w:val="TableText0"/>
            </w:pPr>
            <w:r w:rsidRPr="00314CE6">
              <w:t>Total</w:t>
            </w:r>
          </w:p>
        </w:tc>
        <w:tc>
          <w:tcPr>
            <w:tcW w:w="1297" w:type="pct"/>
            <w:noWrap/>
          </w:tcPr>
          <w:p w14:paraId="5167CD01" w14:textId="77777777" w:rsidR="00B57C4E" w:rsidRPr="00314CE6" w:rsidRDefault="00B57C4E" w:rsidP="00647983">
            <w:pPr>
              <w:pStyle w:val="TableText0"/>
              <w:jc w:val="right"/>
            </w:pPr>
            <w:r w:rsidRPr="00314CE6">
              <w:t>100.0%</w:t>
            </w:r>
          </w:p>
        </w:tc>
        <w:tc>
          <w:tcPr>
            <w:tcW w:w="1332" w:type="pct"/>
            <w:noWrap/>
          </w:tcPr>
          <w:p w14:paraId="16307BE7" w14:textId="4B5C1C80" w:rsidR="00B57C4E" w:rsidRPr="00314CE6" w:rsidRDefault="00B57C4E" w:rsidP="00647983">
            <w:pPr>
              <w:pStyle w:val="TableText0"/>
              <w:jc w:val="right"/>
            </w:pPr>
            <w:r w:rsidRPr="00314CE6">
              <w:t>$</w:t>
            </w:r>
            <w:r w:rsidR="00C546A7" w:rsidRPr="00C546A7">
              <w:rPr>
                <w:color w:val="000000"/>
                <w:spacing w:val="51"/>
                <w:shd w:val="solid" w:color="000000" w:fill="000000"/>
                <w:fitText w:val="324" w:id="-628400639"/>
                <w14:textFill>
                  <w14:solidFill>
                    <w14:srgbClr w14:val="000000">
                      <w14:alpha w14:val="100000"/>
                    </w14:srgbClr>
                  </w14:solidFill>
                </w14:textFill>
              </w:rPr>
              <w:t>|||</w:t>
            </w:r>
            <w:r w:rsidR="00C546A7" w:rsidRPr="00C546A7">
              <w:rPr>
                <w:color w:val="000000"/>
                <w:spacing w:val="1"/>
                <w:shd w:val="solid" w:color="000000" w:fill="000000"/>
                <w:fitText w:val="324" w:id="-628400639"/>
                <w14:textFill>
                  <w14:solidFill>
                    <w14:srgbClr w14:val="000000">
                      <w14:alpha w14:val="100000"/>
                    </w14:srgbClr>
                  </w14:solidFill>
                </w14:textFill>
              </w:rPr>
              <w:t>|</w:t>
            </w:r>
          </w:p>
        </w:tc>
        <w:tc>
          <w:tcPr>
            <w:tcW w:w="1167" w:type="pct"/>
          </w:tcPr>
          <w:p w14:paraId="5D0E0CE8" w14:textId="6A1B5B8E" w:rsidR="00B57C4E" w:rsidRPr="00314CE6" w:rsidRDefault="0075540E" w:rsidP="00647983">
            <w:pPr>
              <w:pStyle w:val="TableText0"/>
              <w:jc w:val="right"/>
            </w:pPr>
            <w:r>
              <w:t>$</w:t>
            </w:r>
            <w:r w:rsidR="00C546A7" w:rsidRPr="00C546A7">
              <w:rPr>
                <w:color w:val="000000"/>
                <w:spacing w:val="51"/>
                <w:shd w:val="solid" w:color="000000" w:fill="000000"/>
                <w:fitText w:val="324" w:id="-628400638"/>
                <w14:textFill>
                  <w14:solidFill>
                    <w14:srgbClr w14:val="000000">
                      <w14:alpha w14:val="100000"/>
                    </w14:srgbClr>
                  </w14:solidFill>
                </w14:textFill>
              </w:rPr>
              <w:t>|||</w:t>
            </w:r>
            <w:r w:rsidR="00C546A7" w:rsidRPr="00C546A7">
              <w:rPr>
                <w:color w:val="000000"/>
                <w:spacing w:val="1"/>
                <w:shd w:val="solid" w:color="000000" w:fill="000000"/>
                <w:fitText w:val="324" w:id="-628400638"/>
                <w14:textFill>
                  <w14:solidFill>
                    <w14:srgbClr w14:val="000000">
                      <w14:alpha w14:val="100000"/>
                    </w14:srgbClr>
                  </w14:solidFill>
                </w14:textFill>
              </w:rPr>
              <w:t>|</w:t>
            </w:r>
          </w:p>
        </w:tc>
      </w:tr>
    </w:tbl>
    <w:p w14:paraId="32486B47" w14:textId="1427C2BD" w:rsidR="00B57C4E" w:rsidRDefault="00F848AA" w:rsidP="00490DE9">
      <w:pPr>
        <w:pStyle w:val="TableFigureFooter"/>
      </w:pPr>
      <w:r>
        <w:t xml:space="preserve">Source: Table </w:t>
      </w:r>
      <w:r w:rsidR="00A262DB">
        <w:t xml:space="preserve">27 of submission, p </w:t>
      </w:r>
      <w:r w:rsidR="00490DE9">
        <w:t>50</w:t>
      </w:r>
    </w:p>
    <w:p w14:paraId="09A01727" w14:textId="2E1140E8" w:rsidR="00395491" w:rsidRPr="00B51AA2" w:rsidRDefault="00395491" w:rsidP="00395491">
      <w:pPr>
        <w:pStyle w:val="3-BodyText"/>
      </w:pPr>
      <w:r w:rsidRPr="00B51AA2">
        <w:lastRenderedPageBreak/>
        <w:t xml:space="preserve">The </w:t>
      </w:r>
      <w:r>
        <w:t xml:space="preserve">submission </w:t>
      </w:r>
      <w:r w:rsidR="00DE7D66">
        <w:t>outlined that</w:t>
      </w:r>
      <w:r w:rsidRPr="00B51AA2">
        <w:t xml:space="preserve"> the </w:t>
      </w:r>
      <w:r w:rsidR="008D196A">
        <w:t xml:space="preserve">overall </w:t>
      </w:r>
      <w:r w:rsidRPr="00B51AA2">
        <w:t xml:space="preserve">proposal was </w:t>
      </w:r>
      <w:r w:rsidR="00DE7D66">
        <w:t xml:space="preserve">intended </w:t>
      </w:r>
      <w:r w:rsidRPr="00B51AA2">
        <w:t xml:space="preserve">to achieve a </w:t>
      </w:r>
      <w:r w:rsidR="00C546A7" w:rsidRPr="00C546A7">
        <w:rPr>
          <w:color w:val="000000"/>
          <w:w w:val="61"/>
          <w:shd w:val="solid" w:color="000000" w:fill="000000"/>
          <w:fitText w:val="472" w:id="-628400637"/>
          <w14:textFill>
            <w14:solidFill>
              <w14:srgbClr w14:val="000000">
                <w14:alpha w14:val="100000"/>
              </w14:srgbClr>
            </w14:solidFill>
          </w14:textFill>
        </w:rPr>
        <w:t>|||  ||</w:t>
      </w:r>
      <w:r w:rsidR="00C546A7" w:rsidRPr="00C546A7">
        <w:rPr>
          <w:color w:val="000000"/>
          <w:spacing w:val="2"/>
          <w:w w:val="61"/>
          <w:shd w:val="solid" w:color="000000" w:fill="000000"/>
          <w:fitText w:val="472" w:id="-628400637"/>
          <w14:textFill>
            <w14:solidFill>
              <w14:srgbClr w14:val="000000">
                <w14:alpha w14:val="100000"/>
              </w14:srgbClr>
            </w14:solidFill>
          </w14:textFill>
        </w:rPr>
        <w:t>|</w:t>
      </w:r>
      <w:r w:rsidRPr="00B51AA2">
        <w:t xml:space="preserve">% price reduction </w:t>
      </w:r>
      <w:r w:rsidR="004024DE">
        <w:t>for the additional modelled population</w:t>
      </w:r>
      <w:r w:rsidRPr="00B51AA2">
        <w:t>. This would result in an AEMP of $</w:t>
      </w:r>
      <w:r w:rsidR="00C546A7" w:rsidRPr="00C546A7">
        <w:rPr>
          <w:color w:val="000000"/>
          <w:w w:val="61"/>
          <w:shd w:val="solid" w:color="000000" w:fill="000000"/>
          <w:fitText w:val="472" w:id="-628400636"/>
          <w14:textFill>
            <w14:solidFill>
              <w14:srgbClr w14:val="000000">
                <w14:alpha w14:val="100000"/>
              </w14:srgbClr>
            </w14:solidFill>
          </w14:textFill>
        </w:rPr>
        <w:t>|||  ||</w:t>
      </w:r>
      <w:r w:rsidR="00C546A7" w:rsidRPr="00C546A7">
        <w:rPr>
          <w:color w:val="000000"/>
          <w:spacing w:val="2"/>
          <w:w w:val="61"/>
          <w:shd w:val="solid" w:color="000000" w:fill="000000"/>
          <w:fitText w:val="472" w:id="-628400636"/>
          <w14:textFill>
            <w14:solidFill>
              <w14:srgbClr w14:val="000000">
                <w14:alpha w14:val="100000"/>
              </w14:srgbClr>
            </w14:solidFill>
          </w14:textFill>
        </w:rPr>
        <w:t>|</w:t>
      </w:r>
      <w:r w:rsidRPr="00B51AA2">
        <w:t xml:space="preserve"> per 100 mg vial </w:t>
      </w:r>
      <w:r w:rsidR="00E501EF">
        <w:t>(</w:t>
      </w:r>
      <w:r w:rsidRPr="00B51AA2">
        <w:t>or $</w:t>
      </w:r>
      <w:r w:rsidR="00C546A7" w:rsidRPr="00C546A7">
        <w:rPr>
          <w:color w:val="000000"/>
          <w:w w:val="61"/>
          <w:shd w:val="solid" w:color="000000" w:fill="000000"/>
          <w:fitText w:val="472" w:id="-628400635"/>
          <w14:textFill>
            <w14:solidFill>
              <w14:srgbClr w14:val="000000">
                <w14:alpha w14:val="100000"/>
              </w14:srgbClr>
            </w14:solidFill>
          </w14:textFill>
        </w:rPr>
        <w:t>|||  ||</w:t>
      </w:r>
      <w:r w:rsidR="00C546A7" w:rsidRPr="00C546A7">
        <w:rPr>
          <w:color w:val="000000"/>
          <w:spacing w:val="2"/>
          <w:w w:val="61"/>
          <w:shd w:val="solid" w:color="000000" w:fill="000000"/>
          <w:fitText w:val="472" w:id="-628400635"/>
          <w14:textFill>
            <w14:solidFill>
              <w14:srgbClr w14:val="000000">
                <w14:alpha w14:val="100000"/>
              </w14:srgbClr>
            </w14:solidFill>
          </w14:textFill>
        </w:rPr>
        <w:t>|</w:t>
      </w:r>
      <w:r w:rsidRPr="00B51AA2">
        <w:t xml:space="preserve"> </w:t>
      </w:r>
      <w:r w:rsidR="006D2750">
        <w:t xml:space="preserve">for 480 mg </w:t>
      </w:r>
      <w:r w:rsidR="00B92EC1">
        <w:t>Q4W)</w:t>
      </w:r>
      <w:r w:rsidR="008D196A">
        <w:t xml:space="preserve"> in the extended population</w:t>
      </w:r>
      <w:r w:rsidRPr="00B51AA2">
        <w:t xml:space="preserve">. </w:t>
      </w:r>
    </w:p>
    <w:p w14:paraId="58ECB11D" w14:textId="575E6E55" w:rsidR="007C10E3" w:rsidRDefault="00D55F8E" w:rsidP="000144D7">
      <w:pPr>
        <w:pStyle w:val="3-BodyText"/>
      </w:pPr>
      <w:r w:rsidRPr="000144D7">
        <w:t xml:space="preserve">The proposed weighted ipilimumab price is </w:t>
      </w:r>
      <w:r w:rsidR="00112581" w:rsidRPr="000144D7">
        <w:t>$</w:t>
      </w:r>
      <w:r w:rsidR="00C546A7" w:rsidRPr="00C546A7">
        <w:rPr>
          <w:color w:val="000000"/>
          <w:w w:val="61"/>
          <w:shd w:val="solid" w:color="000000" w:fill="000000"/>
          <w:fitText w:val="472" w:id="-628400634"/>
          <w14:textFill>
            <w14:solidFill>
              <w14:srgbClr w14:val="000000">
                <w14:alpha w14:val="100000"/>
              </w14:srgbClr>
            </w14:solidFill>
          </w14:textFill>
        </w:rPr>
        <w:t>|||  ||</w:t>
      </w:r>
      <w:r w:rsidR="00C546A7" w:rsidRPr="00C546A7">
        <w:rPr>
          <w:color w:val="000000"/>
          <w:spacing w:val="2"/>
          <w:w w:val="61"/>
          <w:shd w:val="solid" w:color="000000" w:fill="000000"/>
          <w:fitText w:val="472" w:id="-628400634"/>
          <w14:textFill>
            <w14:solidFill>
              <w14:srgbClr w14:val="000000">
                <w14:alpha w14:val="100000"/>
              </w14:srgbClr>
            </w14:solidFill>
          </w14:textFill>
        </w:rPr>
        <w:t>|</w:t>
      </w:r>
      <w:r w:rsidR="00112581" w:rsidRPr="000144D7">
        <w:t xml:space="preserve"> per 50 mg vial. </w:t>
      </w:r>
      <w:r w:rsidR="006E54CE" w:rsidRPr="000144D7">
        <w:t>The proposed weighted price considered by PBAC in December 2023 and September 2024 was $</w:t>
      </w:r>
      <w:r w:rsidR="00C546A7" w:rsidRPr="00C546A7">
        <w:rPr>
          <w:color w:val="000000"/>
          <w:w w:val="61"/>
          <w:shd w:val="solid" w:color="000000" w:fill="000000"/>
          <w:fitText w:val="472" w:id="-628400633"/>
          <w14:textFill>
            <w14:solidFill>
              <w14:srgbClr w14:val="000000">
                <w14:alpha w14:val="100000"/>
              </w14:srgbClr>
            </w14:solidFill>
          </w14:textFill>
        </w:rPr>
        <w:t>|||  ||</w:t>
      </w:r>
      <w:r w:rsidR="00C546A7" w:rsidRPr="00C546A7">
        <w:rPr>
          <w:color w:val="000000"/>
          <w:spacing w:val="2"/>
          <w:w w:val="61"/>
          <w:shd w:val="solid" w:color="000000" w:fill="000000"/>
          <w:fitText w:val="472" w:id="-628400633"/>
          <w14:textFill>
            <w14:solidFill>
              <w14:srgbClr w14:val="000000">
                <w14:alpha w14:val="100000"/>
              </w14:srgbClr>
            </w14:solidFill>
          </w14:textFill>
        </w:rPr>
        <w:t>|</w:t>
      </w:r>
      <w:r w:rsidR="006D4B6C" w:rsidRPr="000144D7">
        <w:t xml:space="preserve"> </w:t>
      </w:r>
      <w:r w:rsidR="006E54CE" w:rsidRPr="000144D7">
        <w:t xml:space="preserve">per </w:t>
      </w:r>
      <w:r w:rsidR="006D4B6C" w:rsidRPr="000144D7">
        <w:t>50</w:t>
      </w:r>
      <w:r w:rsidR="006E54CE" w:rsidRPr="000144D7">
        <w:t xml:space="preserve"> mg</w:t>
      </w:r>
      <w:r w:rsidR="006D4B6C" w:rsidRPr="000144D7">
        <w:t xml:space="preserve"> vial. </w:t>
      </w:r>
    </w:p>
    <w:p w14:paraId="38A40B4A" w14:textId="778168D4" w:rsidR="009672C1" w:rsidRPr="000144D7" w:rsidRDefault="009672C1" w:rsidP="006228A5">
      <w:pPr>
        <w:pStyle w:val="3-BodyText"/>
      </w:pPr>
      <w:r>
        <w:t>The proposed weightings per indication and resultant effective prices for ipilimumab are provided in</w:t>
      </w:r>
      <w:r w:rsidR="006919D3">
        <w:t xml:space="preserve"> </w:t>
      </w:r>
      <w:r>
        <w:rPr>
          <w:rFonts w:ascii="Arial Narrow" w:eastAsia="Times New Roman" w:hAnsi="Arial Narrow" w:cs="Times New Roman"/>
          <w:b/>
          <w:iCs/>
          <w:color w:val="000000" w:themeColor="text1"/>
          <w:sz w:val="20"/>
          <w:szCs w:val="18"/>
        </w:rPr>
        <w:fldChar w:fldCharType="begin" w:fldLock="1"/>
      </w:r>
      <w:r>
        <w:instrText xml:space="preserve"> REF _Ref200965559 \h </w:instrText>
      </w:r>
      <w:r w:rsidR="006228A5">
        <w:rPr>
          <w:rFonts w:ascii="Arial Narrow" w:eastAsia="Times New Roman" w:hAnsi="Arial Narrow" w:cs="Times New Roman"/>
          <w:b/>
          <w:iCs/>
          <w:color w:val="000000" w:themeColor="text1"/>
          <w:sz w:val="20"/>
          <w:szCs w:val="18"/>
        </w:rPr>
        <w:instrText xml:space="preserve"> \* MERGEFORMAT </w:instrText>
      </w:r>
      <w:r>
        <w:rPr>
          <w:rFonts w:ascii="Arial Narrow" w:eastAsia="Times New Roman" w:hAnsi="Arial Narrow" w:cs="Times New Roman"/>
          <w:b/>
          <w:iCs/>
          <w:color w:val="000000" w:themeColor="text1"/>
          <w:sz w:val="20"/>
          <w:szCs w:val="18"/>
        </w:rPr>
      </w:r>
      <w:r>
        <w:rPr>
          <w:rFonts w:ascii="Arial Narrow" w:eastAsia="Times New Roman" w:hAnsi="Arial Narrow" w:cs="Times New Roman"/>
          <w:b/>
          <w:iCs/>
          <w:color w:val="000000" w:themeColor="text1"/>
          <w:sz w:val="20"/>
          <w:szCs w:val="18"/>
        </w:rPr>
        <w:fldChar w:fldCharType="separate"/>
      </w:r>
      <w:r w:rsidR="006228A5">
        <w:t xml:space="preserve">Table </w:t>
      </w:r>
      <w:r w:rsidR="006228A5">
        <w:rPr>
          <w:noProof/>
        </w:rPr>
        <w:t>4</w:t>
      </w:r>
      <w:r>
        <w:fldChar w:fldCharType="end"/>
      </w:r>
      <w:r w:rsidR="00EF72CC">
        <w:t>.</w:t>
      </w:r>
    </w:p>
    <w:p w14:paraId="29D113EF" w14:textId="77777777" w:rsidR="0062265F" w:rsidRDefault="0062265F" w:rsidP="00395491">
      <w:pPr>
        <w:pStyle w:val="Caption"/>
        <w:keepNext/>
      </w:pPr>
      <w:bookmarkStart w:id="5" w:name="_Ref200965559"/>
    </w:p>
    <w:p w14:paraId="3884125B" w14:textId="20CB5A81" w:rsidR="00B16766" w:rsidRDefault="00B16766" w:rsidP="00395491">
      <w:pPr>
        <w:pStyle w:val="Caption"/>
        <w:keepNext/>
      </w:pPr>
      <w:r>
        <w:t xml:space="preserve">Table </w:t>
      </w:r>
      <w:r w:rsidR="006228A5">
        <w:fldChar w:fldCharType="begin" w:fldLock="1"/>
      </w:r>
      <w:r w:rsidR="006228A5">
        <w:instrText xml:space="preserve"> SEQ Table \* ARABIC </w:instrText>
      </w:r>
      <w:r w:rsidR="006228A5">
        <w:fldChar w:fldCharType="separate"/>
      </w:r>
      <w:r w:rsidR="006228A5">
        <w:rPr>
          <w:noProof/>
        </w:rPr>
        <w:t>4</w:t>
      </w:r>
      <w:r w:rsidR="006228A5">
        <w:rPr>
          <w:noProof/>
        </w:rPr>
        <w:fldChar w:fldCharType="end"/>
      </w:r>
      <w:bookmarkEnd w:id="5"/>
      <w:r>
        <w:t>:</w:t>
      </w:r>
      <w:r w:rsidR="003436C5">
        <w:t xml:space="preserve"> </w:t>
      </w:r>
      <w:r w:rsidR="004D146F">
        <w:t>Proposed weighting and utilisation of existing indications of ipilimumab to calculate proposed effective price</w:t>
      </w:r>
    </w:p>
    <w:tbl>
      <w:tblPr>
        <w:tblStyle w:val="TableGrid"/>
        <w:tblW w:w="5000" w:type="pct"/>
        <w:tblLook w:val="04A0" w:firstRow="1" w:lastRow="0" w:firstColumn="1" w:lastColumn="0" w:noHBand="0" w:noVBand="1"/>
      </w:tblPr>
      <w:tblGrid>
        <w:gridCol w:w="1888"/>
        <w:gridCol w:w="2204"/>
        <w:gridCol w:w="2517"/>
        <w:gridCol w:w="2407"/>
      </w:tblGrid>
      <w:tr w:rsidR="00912AC0" w:rsidRPr="00FF7745" w14:paraId="67BAEE69" w14:textId="77777777" w:rsidTr="00577037">
        <w:trPr>
          <w:trHeight w:val="592"/>
        </w:trPr>
        <w:tc>
          <w:tcPr>
            <w:tcW w:w="1047" w:type="pct"/>
            <w:shd w:val="clear" w:color="auto" w:fill="FFFFFF" w:themeFill="background1"/>
            <w:noWrap/>
            <w:vAlign w:val="center"/>
            <w:hideMark/>
          </w:tcPr>
          <w:p w14:paraId="18852EAC" w14:textId="77777777" w:rsidR="0003298B" w:rsidRPr="00C1639D" w:rsidRDefault="0003298B" w:rsidP="00FC5CBB">
            <w:pPr>
              <w:keepNext/>
              <w:rPr>
                <w:rFonts w:ascii="Arial Narrow" w:hAnsi="Arial Narrow"/>
                <w:b/>
                <w:color w:val="000000" w:themeColor="text1"/>
                <w:sz w:val="20"/>
                <w:szCs w:val="20"/>
              </w:rPr>
            </w:pPr>
            <w:r w:rsidRPr="00C1639D">
              <w:rPr>
                <w:rFonts w:ascii="Arial Narrow" w:hAnsi="Arial Narrow"/>
                <w:b/>
                <w:color w:val="000000" w:themeColor="text1"/>
                <w:sz w:val="20"/>
                <w:szCs w:val="20"/>
              </w:rPr>
              <w:t>Indication</w:t>
            </w:r>
          </w:p>
        </w:tc>
        <w:tc>
          <w:tcPr>
            <w:tcW w:w="1222" w:type="pct"/>
            <w:shd w:val="clear" w:color="auto" w:fill="FFFFFF" w:themeFill="background1"/>
            <w:vAlign w:val="center"/>
            <w:hideMark/>
          </w:tcPr>
          <w:p w14:paraId="485C4B75" w14:textId="2F4764CA" w:rsidR="0003298B" w:rsidRPr="00C1639D" w:rsidRDefault="0003298B" w:rsidP="00FC5CBB">
            <w:pPr>
              <w:keepNext/>
              <w:rPr>
                <w:rFonts w:ascii="Arial Narrow" w:hAnsi="Arial Narrow"/>
                <w:b/>
                <w:color w:val="000000" w:themeColor="text1"/>
                <w:sz w:val="20"/>
                <w:szCs w:val="20"/>
              </w:rPr>
            </w:pPr>
            <w:r w:rsidRPr="00C1639D">
              <w:rPr>
                <w:rFonts w:ascii="Arial Narrow" w:hAnsi="Arial Narrow"/>
                <w:b/>
                <w:color w:val="000000" w:themeColor="text1"/>
                <w:sz w:val="20"/>
                <w:szCs w:val="20"/>
              </w:rPr>
              <w:t xml:space="preserve">% </w:t>
            </w:r>
            <w:r w:rsidR="00C64B9B" w:rsidRPr="00C1639D">
              <w:rPr>
                <w:rFonts w:ascii="Arial Narrow" w:hAnsi="Arial Narrow"/>
                <w:b/>
                <w:color w:val="000000" w:themeColor="text1"/>
                <w:sz w:val="20"/>
                <w:szCs w:val="20"/>
              </w:rPr>
              <w:t>PBS Benefits</w:t>
            </w:r>
          </w:p>
          <w:p w14:paraId="17C7B294" w14:textId="77777777" w:rsidR="0003298B" w:rsidRPr="00C1639D" w:rsidRDefault="0003298B" w:rsidP="00FC5CBB">
            <w:pPr>
              <w:keepNext/>
              <w:jc w:val="center"/>
              <w:rPr>
                <w:rFonts w:ascii="Arial Narrow" w:hAnsi="Arial Narrow"/>
                <w:b/>
                <w:color w:val="000000" w:themeColor="text1"/>
                <w:sz w:val="20"/>
                <w:szCs w:val="20"/>
              </w:rPr>
            </w:pPr>
            <w:r w:rsidRPr="00C1639D">
              <w:rPr>
                <w:rFonts w:ascii="Arial Narrow" w:hAnsi="Arial Narrow"/>
                <w:b/>
                <w:color w:val="000000" w:themeColor="text1"/>
                <w:sz w:val="20"/>
                <w:szCs w:val="20"/>
              </w:rPr>
              <w:t>Apr-24 to Mar-25</w:t>
            </w:r>
          </w:p>
        </w:tc>
        <w:tc>
          <w:tcPr>
            <w:tcW w:w="1396" w:type="pct"/>
            <w:shd w:val="clear" w:color="auto" w:fill="FFFFFF" w:themeFill="background1"/>
            <w:vAlign w:val="center"/>
            <w:hideMark/>
          </w:tcPr>
          <w:p w14:paraId="631AA0E5" w14:textId="77777777" w:rsidR="0003298B" w:rsidRPr="00C1639D" w:rsidRDefault="0003298B" w:rsidP="00FC5CBB">
            <w:pPr>
              <w:keepNext/>
              <w:jc w:val="center"/>
              <w:rPr>
                <w:rFonts w:ascii="Arial Narrow" w:hAnsi="Arial Narrow"/>
                <w:b/>
                <w:color w:val="000000" w:themeColor="text1"/>
                <w:sz w:val="20"/>
                <w:szCs w:val="20"/>
              </w:rPr>
            </w:pPr>
            <w:r w:rsidRPr="00C1639D">
              <w:rPr>
                <w:rFonts w:ascii="Arial Narrow" w:hAnsi="Arial Narrow"/>
                <w:b/>
                <w:color w:val="000000" w:themeColor="text1"/>
                <w:sz w:val="20"/>
                <w:szCs w:val="20"/>
              </w:rPr>
              <w:t>ex-man price</w:t>
            </w:r>
          </w:p>
          <w:p w14:paraId="0F9B55D3" w14:textId="77777777" w:rsidR="0003298B" w:rsidRPr="00C1639D" w:rsidRDefault="0003298B" w:rsidP="00FC5CBB">
            <w:pPr>
              <w:keepNext/>
              <w:jc w:val="center"/>
              <w:rPr>
                <w:rFonts w:ascii="Arial Narrow" w:hAnsi="Arial Narrow"/>
                <w:b/>
                <w:color w:val="000000" w:themeColor="text1"/>
                <w:sz w:val="20"/>
                <w:szCs w:val="20"/>
              </w:rPr>
            </w:pPr>
            <w:r w:rsidRPr="00C1639D">
              <w:rPr>
                <w:rFonts w:ascii="Arial Narrow" w:hAnsi="Arial Narrow"/>
                <w:b/>
                <w:color w:val="000000" w:themeColor="text1"/>
                <w:sz w:val="20"/>
                <w:szCs w:val="20"/>
              </w:rPr>
              <w:t>50 mg</w:t>
            </w:r>
          </w:p>
        </w:tc>
        <w:tc>
          <w:tcPr>
            <w:tcW w:w="1335" w:type="pct"/>
            <w:shd w:val="clear" w:color="auto" w:fill="FFFFFF" w:themeFill="background1"/>
          </w:tcPr>
          <w:p w14:paraId="553830F4" w14:textId="77777777" w:rsidR="0003298B" w:rsidRPr="00C1639D" w:rsidRDefault="0003298B" w:rsidP="00FC5CBB">
            <w:pPr>
              <w:keepNext/>
              <w:jc w:val="center"/>
              <w:rPr>
                <w:rFonts w:ascii="Arial Narrow" w:hAnsi="Arial Narrow"/>
                <w:b/>
                <w:color w:val="000000" w:themeColor="text1"/>
                <w:sz w:val="20"/>
                <w:szCs w:val="20"/>
              </w:rPr>
            </w:pPr>
            <w:r w:rsidRPr="00C1639D">
              <w:rPr>
                <w:rFonts w:ascii="Arial Narrow" w:hAnsi="Arial Narrow"/>
                <w:b/>
                <w:color w:val="000000" w:themeColor="text1"/>
                <w:sz w:val="20"/>
                <w:szCs w:val="20"/>
              </w:rPr>
              <w:t>dosing in TGA PI</w:t>
            </w:r>
          </w:p>
        </w:tc>
      </w:tr>
      <w:tr w:rsidR="0003298B" w:rsidRPr="00FF7745" w14:paraId="080CF759" w14:textId="77777777" w:rsidTr="00577037">
        <w:trPr>
          <w:trHeight w:val="307"/>
        </w:trPr>
        <w:tc>
          <w:tcPr>
            <w:tcW w:w="1047" w:type="pct"/>
            <w:noWrap/>
            <w:vAlign w:val="center"/>
            <w:hideMark/>
          </w:tcPr>
          <w:p w14:paraId="09590FF5" w14:textId="77777777" w:rsidR="0003298B" w:rsidRPr="00C1639D" w:rsidRDefault="0003298B" w:rsidP="00FC5CBB">
            <w:pPr>
              <w:keepNext/>
              <w:rPr>
                <w:rFonts w:ascii="Arial Narrow" w:hAnsi="Arial Narrow"/>
                <w:color w:val="000000" w:themeColor="text1"/>
                <w:sz w:val="20"/>
                <w:szCs w:val="20"/>
              </w:rPr>
            </w:pPr>
            <w:r w:rsidRPr="00C1639D">
              <w:rPr>
                <w:rFonts w:ascii="Arial Narrow" w:hAnsi="Arial Narrow"/>
                <w:color w:val="000000" w:themeColor="text1"/>
                <w:sz w:val="20"/>
                <w:szCs w:val="20"/>
              </w:rPr>
              <w:t>1L NSCLC, sq</w:t>
            </w:r>
          </w:p>
        </w:tc>
        <w:tc>
          <w:tcPr>
            <w:tcW w:w="1222" w:type="pct"/>
            <w:noWrap/>
            <w:vAlign w:val="center"/>
          </w:tcPr>
          <w:p w14:paraId="38C5ED5D" w14:textId="77777777"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4.4%</w:t>
            </w:r>
          </w:p>
        </w:tc>
        <w:tc>
          <w:tcPr>
            <w:tcW w:w="1396" w:type="pct"/>
            <w:noWrap/>
            <w:vAlign w:val="center"/>
          </w:tcPr>
          <w:p w14:paraId="1C2FEDF1" w14:textId="4D4C17FA"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w:t>
            </w:r>
            <w:r w:rsidR="00C546A7" w:rsidRPr="00C546A7">
              <w:rPr>
                <w:rFonts w:ascii="Arial Narrow" w:hAnsi="Arial Narrow"/>
                <w:color w:val="000000"/>
                <w:spacing w:val="51"/>
                <w:sz w:val="20"/>
                <w:szCs w:val="20"/>
                <w:shd w:val="solid" w:color="000000" w:fill="000000"/>
                <w:fitText w:val="324" w:id="-628400632"/>
                <w14:textFill>
                  <w14:solidFill>
                    <w14:srgbClr w14:val="000000">
                      <w14:alpha w14:val="100000"/>
                    </w14:srgbClr>
                  </w14:solidFill>
                </w14:textFill>
              </w:rPr>
              <w:t>|||</w:t>
            </w:r>
            <w:r w:rsidR="00C546A7" w:rsidRPr="00C546A7">
              <w:rPr>
                <w:rFonts w:ascii="Arial Narrow" w:hAnsi="Arial Narrow"/>
                <w:color w:val="000000"/>
                <w:spacing w:val="1"/>
                <w:sz w:val="20"/>
                <w:szCs w:val="20"/>
                <w:shd w:val="solid" w:color="000000" w:fill="000000"/>
                <w:fitText w:val="324" w:id="-628400632"/>
                <w14:textFill>
                  <w14:solidFill>
                    <w14:srgbClr w14:val="000000">
                      <w14:alpha w14:val="100000"/>
                    </w14:srgbClr>
                  </w14:solidFill>
                </w14:textFill>
              </w:rPr>
              <w:t>|</w:t>
            </w:r>
          </w:p>
        </w:tc>
        <w:tc>
          <w:tcPr>
            <w:tcW w:w="1335" w:type="pct"/>
          </w:tcPr>
          <w:p w14:paraId="75C7F244"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1 mg/kg q6w</w:t>
            </w:r>
          </w:p>
          <w:p w14:paraId="12A611FE"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until progression or unacceptable toxicity</w:t>
            </w:r>
          </w:p>
        </w:tc>
      </w:tr>
      <w:tr w:rsidR="0003298B" w:rsidRPr="00FF7745" w14:paraId="789BC5F5" w14:textId="77777777" w:rsidTr="00577037">
        <w:trPr>
          <w:trHeight w:val="307"/>
        </w:trPr>
        <w:tc>
          <w:tcPr>
            <w:tcW w:w="1047" w:type="pct"/>
            <w:noWrap/>
            <w:vAlign w:val="center"/>
            <w:hideMark/>
          </w:tcPr>
          <w:p w14:paraId="7479BC0A" w14:textId="77777777" w:rsidR="0003298B" w:rsidRPr="00C1639D" w:rsidRDefault="0003298B" w:rsidP="00FC5CBB">
            <w:pPr>
              <w:keepNext/>
              <w:rPr>
                <w:rFonts w:ascii="Arial Narrow" w:hAnsi="Arial Narrow"/>
                <w:color w:val="000000" w:themeColor="text1"/>
                <w:sz w:val="20"/>
                <w:szCs w:val="20"/>
              </w:rPr>
            </w:pPr>
            <w:r w:rsidRPr="00C1639D">
              <w:rPr>
                <w:rFonts w:ascii="Arial Narrow" w:hAnsi="Arial Narrow"/>
                <w:color w:val="000000" w:themeColor="text1"/>
                <w:sz w:val="20"/>
                <w:szCs w:val="20"/>
              </w:rPr>
              <w:t>Melanoma</w:t>
            </w:r>
          </w:p>
        </w:tc>
        <w:tc>
          <w:tcPr>
            <w:tcW w:w="1222" w:type="pct"/>
            <w:noWrap/>
            <w:vAlign w:val="center"/>
          </w:tcPr>
          <w:p w14:paraId="7D2FBA00" w14:textId="77777777"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67.1%</w:t>
            </w:r>
          </w:p>
        </w:tc>
        <w:tc>
          <w:tcPr>
            <w:tcW w:w="1396" w:type="pct"/>
            <w:noWrap/>
            <w:vAlign w:val="center"/>
          </w:tcPr>
          <w:p w14:paraId="2AFF8145" w14:textId="2E356290"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w:t>
            </w:r>
            <w:r w:rsidR="00C546A7" w:rsidRPr="00C546A7">
              <w:rPr>
                <w:rFonts w:ascii="Arial Narrow" w:hAnsi="Arial Narrow"/>
                <w:color w:val="000000"/>
                <w:spacing w:val="51"/>
                <w:sz w:val="20"/>
                <w:szCs w:val="20"/>
                <w:shd w:val="solid" w:color="000000" w:fill="000000"/>
                <w:fitText w:val="324" w:id="-628400631"/>
                <w14:textFill>
                  <w14:solidFill>
                    <w14:srgbClr w14:val="000000">
                      <w14:alpha w14:val="100000"/>
                    </w14:srgbClr>
                  </w14:solidFill>
                </w14:textFill>
              </w:rPr>
              <w:t>|||</w:t>
            </w:r>
            <w:r w:rsidR="00C546A7" w:rsidRPr="00C546A7">
              <w:rPr>
                <w:rFonts w:ascii="Arial Narrow" w:hAnsi="Arial Narrow"/>
                <w:color w:val="000000"/>
                <w:spacing w:val="1"/>
                <w:sz w:val="20"/>
                <w:szCs w:val="20"/>
                <w:shd w:val="solid" w:color="000000" w:fill="000000"/>
                <w:fitText w:val="324" w:id="-628400631"/>
                <w14:textFill>
                  <w14:solidFill>
                    <w14:srgbClr w14:val="000000">
                      <w14:alpha w14:val="100000"/>
                    </w14:srgbClr>
                  </w14:solidFill>
                </w14:textFill>
              </w:rPr>
              <w:t>|</w:t>
            </w:r>
          </w:p>
        </w:tc>
        <w:tc>
          <w:tcPr>
            <w:tcW w:w="1335" w:type="pct"/>
          </w:tcPr>
          <w:p w14:paraId="270F03DE"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3 mg/kg q3w for 4 doses</w:t>
            </w:r>
          </w:p>
          <w:p w14:paraId="4D2752AE" w14:textId="656A216D" w:rsidR="0003298B" w:rsidRPr="00C1639D" w:rsidRDefault="0003298B" w:rsidP="00C1639D">
            <w:pPr>
              <w:keepNext/>
              <w:jc w:val="left"/>
              <w:rPr>
                <w:rFonts w:ascii="Arial Narrow" w:hAnsi="Arial Narrow"/>
                <w:sz w:val="20"/>
                <w:szCs w:val="20"/>
              </w:rPr>
            </w:pPr>
          </w:p>
        </w:tc>
      </w:tr>
      <w:tr w:rsidR="0003298B" w:rsidRPr="00FF7745" w14:paraId="2145AEC6" w14:textId="77777777" w:rsidTr="00577037">
        <w:trPr>
          <w:trHeight w:val="307"/>
        </w:trPr>
        <w:tc>
          <w:tcPr>
            <w:tcW w:w="1047" w:type="pct"/>
            <w:noWrap/>
            <w:vAlign w:val="center"/>
            <w:hideMark/>
          </w:tcPr>
          <w:p w14:paraId="0B0645AA" w14:textId="77777777" w:rsidR="0003298B" w:rsidRPr="00C1639D" w:rsidRDefault="0003298B" w:rsidP="00FC5CBB">
            <w:pPr>
              <w:keepNext/>
              <w:rPr>
                <w:rFonts w:ascii="Arial Narrow" w:hAnsi="Arial Narrow"/>
                <w:color w:val="000000" w:themeColor="text1"/>
                <w:sz w:val="20"/>
                <w:szCs w:val="20"/>
              </w:rPr>
            </w:pPr>
            <w:r w:rsidRPr="00C1639D">
              <w:rPr>
                <w:rFonts w:ascii="Arial Narrow" w:hAnsi="Arial Narrow"/>
                <w:color w:val="000000" w:themeColor="text1"/>
                <w:sz w:val="20"/>
                <w:szCs w:val="20"/>
              </w:rPr>
              <w:t>Mesothelioma</w:t>
            </w:r>
          </w:p>
        </w:tc>
        <w:tc>
          <w:tcPr>
            <w:tcW w:w="1222" w:type="pct"/>
            <w:noWrap/>
            <w:vAlign w:val="center"/>
          </w:tcPr>
          <w:p w14:paraId="0AAB2F67" w14:textId="77777777"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18.2%</w:t>
            </w:r>
          </w:p>
        </w:tc>
        <w:tc>
          <w:tcPr>
            <w:tcW w:w="1396" w:type="pct"/>
            <w:noWrap/>
            <w:vAlign w:val="center"/>
          </w:tcPr>
          <w:p w14:paraId="64462F13" w14:textId="134368F4"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w:t>
            </w:r>
            <w:r w:rsidR="00C546A7" w:rsidRPr="00C546A7">
              <w:rPr>
                <w:rFonts w:ascii="Arial Narrow" w:hAnsi="Arial Narrow"/>
                <w:color w:val="000000"/>
                <w:spacing w:val="51"/>
                <w:sz w:val="20"/>
                <w:szCs w:val="20"/>
                <w:shd w:val="solid" w:color="000000" w:fill="000000"/>
                <w:fitText w:val="324" w:id="-628400630"/>
                <w14:textFill>
                  <w14:solidFill>
                    <w14:srgbClr w14:val="000000">
                      <w14:alpha w14:val="100000"/>
                    </w14:srgbClr>
                  </w14:solidFill>
                </w14:textFill>
              </w:rPr>
              <w:t>|||</w:t>
            </w:r>
            <w:r w:rsidR="00C546A7" w:rsidRPr="00C546A7">
              <w:rPr>
                <w:rFonts w:ascii="Arial Narrow" w:hAnsi="Arial Narrow"/>
                <w:color w:val="000000"/>
                <w:spacing w:val="1"/>
                <w:sz w:val="20"/>
                <w:szCs w:val="20"/>
                <w:shd w:val="solid" w:color="000000" w:fill="000000"/>
                <w:fitText w:val="324" w:id="-628400630"/>
                <w14:textFill>
                  <w14:solidFill>
                    <w14:srgbClr w14:val="000000">
                      <w14:alpha w14:val="100000"/>
                    </w14:srgbClr>
                  </w14:solidFill>
                </w14:textFill>
              </w:rPr>
              <w:t>|</w:t>
            </w:r>
          </w:p>
        </w:tc>
        <w:tc>
          <w:tcPr>
            <w:tcW w:w="1335" w:type="pct"/>
          </w:tcPr>
          <w:p w14:paraId="7388CFA1"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1 mg/kg q6w</w:t>
            </w:r>
          </w:p>
          <w:p w14:paraId="62924A9F"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until progression or unacceptable toxicity</w:t>
            </w:r>
          </w:p>
        </w:tc>
      </w:tr>
      <w:tr w:rsidR="0003298B" w:rsidRPr="00FF7745" w14:paraId="1B0FB7A8" w14:textId="77777777" w:rsidTr="00577037">
        <w:trPr>
          <w:trHeight w:val="307"/>
        </w:trPr>
        <w:tc>
          <w:tcPr>
            <w:tcW w:w="1047" w:type="pct"/>
            <w:noWrap/>
            <w:vAlign w:val="center"/>
            <w:hideMark/>
          </w:tcPr>
          <w:p w14:paraId="094EA2D2" w14:textId="77777777" w:rsidR="0003298B" w:rsidRPr="00C1639D" w:rsidRDefault="0003298B" w:rsidP="00FC5CBB">
            <w:pPr>
              <w:keepNext/>
              <w:rPr>
                <w:rFonts w:ascii="Arial Narrow" w:hAnsi="Arial Narrow"/>
                <w:color w:val="000000" w:themeColor="text1"/>
                <w:sz w:val="20"/>
                <w:szCs w:val="20"/>
              </w:rPr>
            </w:pPr>
            <w:r w:rsidRPr="00C1639D">
              <w:rPr>
                <w:rFonts w:ascii="Arial Narrow" w:hAnsi="Arial Narrow"/>
                <w:color w:val="000000" w:themeColor="text1"/>
                <w:sz w:val="20"/>
                <w:szCs w:val="20"/>
              </w:rPr>
              <w:t>RCC</w:t>
            </w:r>
          </w:p>
        </w:tc>
        <w:tc>
          <w:tcPr>
            <w:tcW w:w="1222" w:type="pct"/>
            <w:noWrap/>
            <w:vAlign w:val="center"/>
          </w:tcPr>
          <w:p w14:paraId="28C9114E" w14:textId="77777777"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10.2%</w:t>
            </w:r>
          </w:p>
        </w:tc>
        <w:tc>
          <w:tcPr>
            <w:tcW w:w="1396" w:type="pct"/>
            <w:noWrap/>
            <w:vAlign w:val="center"/>
          </w:tcPr>
          <w:p w14:paraId="44A9ADF5" w14:textId="51A737A0"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w:t>
            </w:r>
            <w:r w:rsidR="00C546A7" w:rsidRPr="00C546A7">
              <w:rPr>
                <w:rFonts w:ascii="Arial Narrow" w:hAnsi="Arial Narrow"/>
                <w:color w:val="000000"/>
                <w:spacing w:val="51"/>
                <w:sz w:val="20"/>
                <w:szCs w:val="20"/>
                <w:shd w:val="solid" w:color="000000" w:fill="000000"/>
                <w:fitText w:val="324" w:id="-628400629"/>
                <w14:textFill>
                  <w14:solidFill>
                    <w14:srgbClr w14:val="000000">
                      <w14:alpha w14:val="100000"/>
                    </w14:srgbClr>
                  </w14:solidFill>
                </w14:textFill>
              </w:rPr>
              <w:t>|||</w:t>
            </w:r>
            <w:r w:rsidR="00C546A7" w:rsidRPr="00C546A7">
              <w:rPr>
                <w:rFonts w:ascii="Arial Narrow" w:hAnsi="Arial Narrow"/>
                <w:color w:val="000000"/>
                <w:spacing w:val="1"/>
                <w:sz w:val="20"/>
                <w:szCs w:val="20"/>
                <w:shd w:val="solid" w:color="000000" w:fill="000000"/>
                <w:fitText w:val="324" w:id="-628400629"/>
                <w14:textFill>
                  <w14:solidFill>
                    <w14:srgbClr w14:val="000000">
                      <w14:alpha w14:val="100000"/>
                    </w14:srgbClr>
                  </w14:solidFill>
                </w14:textFill>
              </w:rPr>
              <w:t>|</w:t>
            </w:r>
          </w:p>
        </w:tc>
        <w:tc>
          <w:tcPr>
            <w:tcW w:w="1335" w:type="pct"/>
          </w:tcPr>
          <w:p w14:paraId="3C837AED" w14:textId="77777777" w:rsidR="0003298B" w:rsidRPr="00C1639D" w:rsidRDefault="0003298B" w:rsidP="00C1639D">
            <w:pPr>
              <w:keepNext/>
              <w:jc w:val="left"/>
              <w:rPr>
                <w:rFonts w:ascii="Arial Narrow" w:hAnsi="Arial Narrow"/>
                <w:sz w:val="20"/>
                <w:szCs w:val="20"/>
              </w:rPr>
            </w:pPr>
            <w:r w:rsidRPr="00C1639D">
              <w:rPr>
                <w:rFonts w:ascii="Arial Narrow" w:hAnsi="Arial Narrow"/>
                <w:sz w:val="20"/>
                <w:szCs w:val="20"/>
              </w:rPr>
              <w:t>1 mg/kg q3w for 4 doses</w:t>
            </w:r>
          </w:p>
        </w:tc>
      </w:tr>
      <w:tr w:rsidR="0003298B" w:rsidRPr="00FF7745" w14:paraId="165DE16E" w14:textId="77777777" w:rsidTr="00577037">
        <w:trPr>
          <w:trHeight w:val="307"/>
        </w:trPr>
        <w:tc>
          <w:tcPr>
            <w:tcW w:w="1047" w:type="pct"/>
            <w:noWrap/>
            <w:vAlign w:val="center"/>
            <w:hideMark/>
          </w:tcPr>
          <w:p w14:paraId="45056E8A" w14:textId="77777777" w:rsidR="0003298B" w:rsidRPr="00C1639D" w:rsidRDefault="0003298B" w:rsidP="00FC5CBB">
            <w:pPr>
              <w:keepNext/>
              <w:rPr>
                <w:rFonts w:ascii="Arial Narrow" w:hAnsi="Arial Narrow"/>
                <w:color w:val="000000" w:themeColor="text1"/>
                <w:sz w:val="20"/>
                <w:szCs w:val="20"/>
              </w:rPr>
            </w:pPr>
            <w:r w:rsidRPr="00C1639D">
              <w:rPr>
                <w:rFonts w:ascii="Arial Narrow" w:hAnsi="Arial Narrow"/>
                <w:color w:val="000000" w:themeColor="text1"/>
                <w:sz w:val="20"/>
                <w:szCs w:val="20"/>
              </w:rPr>
              <w:t>Total</w:t>
            </w:r>
          </w:p>
        </w:tc>
        <w:tc>
          <w:tcPr>
            <w:tcW w:w="1222" w:type="pct"/>
            <w:noWrap/>
            <w:vAlign w:val="center"/>
          </w:tcPr>
          <w:p w14:paraId="7C6E7B0C" w14:textId="77777777"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100.0%</w:t>
            </w:r>
          </w:p>
        </w:tc>
        <w:tc>
          <w:tcPr>
            <w:tcW w:w="1396" w:type="pct"/>
            <w:noWrap/>
            <w:vAlign w:val="center"/>
          </w:tcPr>
          <w:p w14:paraId="3573702C" w14:textId="22BDDBDB" w:rsidR="0003298B" w:rsidRPr="00C1639D" w:rsidRDefault="0003298B" w:rsidP="00C1639D">
            <w:pPr>
              <w:keepNext/>
              <w:jc w:val="right"/>
              <w:rPr>
                <w:rFonts w:ascii="Arial Narrow" w:hAnsi="Arial Narrow"/>
                <w:color w:val="000000" w:themeColor="text1"/>
                <w:sz w:val="20"/>
                <w:szCs w:val="20"/>
              </w:rPr>
            </w:pPr>
            <w:r w:rsidRPr="00C1639D">
              <w:rPr>
                <w:rFonts w:ascii="Arial Narrow" w:hAnsi="Arial Narrow"/>
                <w:sz w:val="20"/>
                <w:szCs w:val="20"/>
              </w:rPr>
              <w:t>$</w:t>
            </w:r>
            <w:r w:rsidR="00C546A7" w:rsidRPr="00C546A7">
              <w:rPr>
                <w:rFonts w:ascii="Arial Narrow" w:hAnsi="Arial Narrow"/>
                <w:color w:val="000000"/>
                <w:spacing w:val="51"/>
                <w:sz w:val="20"/>
                <w:szCs w:val="20"/>
                <w:shd w:val="solid" w:color="000000" w:fill="000000"/>
                <w:fitText w:val="324" w:id="-628400628"/>
                <w14:textFill>
                  <w14:solidFill>
                    <w14:srgbClr w14:val="000000">
                      <w14:alpha w14:val="100000"/>
                    </w14:srgbClr>
                  </w14:solidFill>
                </w14:textFill>
              </w:rPr>
              <w:t>|||</w:t>
            </w:r>
            <w:r w:rsidR="00C546A7" w:rsidRPr="00C546A7">
              <w:rPr>
                <w:rFonts w:ascii="Arial Narrow" w:hAnsi="Arial Narrow"/>
                <w:color w:val="000000"/>
                <w:spacing w:val="1"/>
                <w:sz w:val="20"/>
                <w:szCs w:val="20"/>
                <w:shd w:val="solid" w:color="000000" w:fill="000000"/>
                <w:fitText w:val="324" w:id="-628400628"/>
                <w14:textFill>
                  <w14:solidFill>
                    <w14:srgbClr w14:val="000000">
                      <w14:alpha w14:val="100000"/>
                    </w14:srgbClr>
                  </w14:solidFill>
                </w14:textFill>
              </w:rPr>
              <w:t>|</w:t>
            </w:r>
          </w:p>
        </w:tc>
        <w:tc>
          <w:tcPr>
            <w:tcW w:w="1335" w:type="pct"/>
          </w:tcPr>
          <w:p w14:paraId="28A328B8" w14:textId="77777777" w:rsidR="0003298B" w:rsidRPr="00C1639D" w:rsidRDefault="0003298B" w:rsidP="00FC5CBB">
            <w:pPr>
              <w:keepNext/>
              <w:jc w:val="center"/>
              <w:rPr>
                <w:rFonts w:ascii="Arial Narrow" w:hAnsi="Arial Narrow"/>
                <w:b/>
                <w:sz w:val="20"/>
                <w:szCs w:val="20"/>
              </w:rPr>
            </w:pPr>
          </w:p>
        </w:tc>
      </w:tr>
    </w:tbl>
    <w:p w14:paraId="2998311F" w14:textId="6670732E" w:rsidR="00033A5C" w:rsidRPr="00185DF9" w:rsidRDefault="00393C66" w:rsidP="007F4DC0">
      <w:pPr>
        <w:pStyle w:val="2-SectionHeading"/>
      </w:pPr>
      <w:r>
        <w:t>Risk</w:t>
      </w:r>
      <w:r w:rsidR="00A50054">
        <w:t>-s</w:t>
      </w:r>
      <w:r>
        <w:t>har</w:t>
      </w:r>
      <w:r w:rsidR="00112937">
        <w:t>ing</w:t>
      </w:r>
      <w:r w:rsidR="00185DF9" w:rsidRPr="00185DF9">
        <w:t xml:space="preserve"> a</w:t>
      </w:r>
      <w:r w:rsidR="00225A25">
        <w:t>rrangement</w:t>
      </w:r>
    </w:p>
    <w:p w14:paraId="004EFBCF" w14:textId="7C5CAAA8" w:rsidR="00E54698" w:rsidRPr="008C1502" w:rsidRDefault="00241CB3" w:rsidP="008C1502">
      <w:pPr>
        <w:pStyle w:val="3-BodyText"/>
      </w:pPr>
      <w:r w:rsidRPr="008C1502">
        <w:t xml:space="preserve">The </w:t>
      </w:r>
      <w:r w:rsidR="00F102EB" w:rsidRPr="008C1502">
        <w:t xml:space="preserve">submission </w:t>
      </w:r>
      <w:r w:rsidR="00B14036">
        <w:t xml:space="preserve">states </w:t>
      </w:r>
      <w:r w:rsidRPr="008C1502">
        <w:t>that the foundation of the pr</w:t>
      </w:r>
      <w:r w:rsidR="00A36650" w:rsidRPr="008C1502">
        <w:t>oposal is a</w:t>
      </w:r>
      <w:r w:rsidR="00397F47">
        <w:t>n RSA which it intends to function as a</w:t>
      </w:r>
      <w:r w:rsidR="00A36650" w:rsidRPr="008C1502">
        <w:t xml:space="preserve"> </w:t>
      </w:r>
      <w:r w:rsidR="00F102EB" w:rsidRPr="008C1502">
        <w:t>PVA</w:t>
      </w:r>
      <w:r w:rsidR="00865D8A">
        <w:t xml:space="preserve"> s.</w:t>
      </w:r>
      <w:r w:rsidR="00767B17">
        <w:t>, with the following components:</w:t>
      </w:r>
    </w:p>
    <w:p w14:paraId="1F2BC247" w14:textId="75278836" w:rsidR="00F102EB" w:rsidRDefault="00C546A7" w:rsidP="001F72D7">
      <w:pPr>
        <w:pStyle w:val="3Bodytext"/>
        <w:numPr>
          <w:ilvl w:val="0"/>
          <w:numId w:val="12"/>
        </w:numPr>
        <w:spacing w:after="0"/>
        <w:ind w:left="1134" w:hanging="425"/>
      </w:pPr>
      <w:r w:rsidRPr="00C546A7">
        <w:rPr>
          <w:color w:val="000000"/>
          <w:w w:val="74"/>
          <w:shd w:val="solid" w:color="000000" w:fill="000000"/>
          <w:fitText w:val="492" w:id="-628400627"/>
          <w14:textFill>
            <w14:solidFill>
              <w14:srgbClr w14:val="000000">
                <w14:alpha w14:val="100000"/>
              </w14:srgbClr>
            </w14:solidFill>
          </w14:textFill>
        </w:rPr>
        <w:t>|||||</w:t>
      </w:r>
      <w:r w:rsidRPr="00C546A7">
        <w:rPr>
          <w:color w:val="000000"/>
          <w:spacing w:val="1"/>
          <w:w w:val="74"/>
          <w:shd w:val="solid" w:color="000000" w:fill="000000"/>
          <w:fitText w:val="492" w:id="-628400627"/>
          <w14:textFill>
            <w14:solidFill>
              <w14:srgbClr w14:val="000000">
                <w14:alpha w14:val="100000"/>
              </w14:srgbClr>
            </w14:solidFill>
          </w14:textFill>
        </w:rPr>
        <w:t>|</w:t>
      </w:r>
      <w:r w:rsidR="00F102EB">
        <w:t xml:space="preserve"> subsidisation cap </w:t>
      </w:r>
      <w:r w:rsidRPr="00C546A7">
        <w:rPr>
          <w:color w:val="000000"/>
          <w:w w:val="74"/>
          <w:shd w:val="solid" w:color="000000" w:fill="000000"/>
          <w:fitText w:val="492" w:id="-628400626"/>
          <w14:textFill>
            <w14:solidFill>
              <w14:srgbClr w14:val="000000">
                <w14:alpha w14:val="100000"/>
              </w14:srgbClr>
            </w14:solidFill>
          </w14:textFill>
        </w:rPr>
        <w:t>|||||</w:t>
      </w:r>
      <w:r w:rsidRPr="00C546A7">
        <w:rPr>
          <w:color w:val="000000"/>
          <w:spacing w:val="1"/>
          <w:w w:val="74"/>
          <w:shd w:val="solid" w:color="000000" w:fill="000000"/>
          <w:fitText w:val="492" w:id="-628400626"/>
          <w14:textFill>
            <w14:solidFill>
              <w14:srgbClr w14:val="000000">
                <w14:alpha w14:val="100000"/>
              </w14:srgbClr>
            </w14:solidFill>
          </w14:textFill>
        </w:rPr>
        <w:t>|</w:t>
      </w:r>
      <w:r w:rsidR="00C02961">
        <w:t>.</w:t>
      </w:r>
    </w:p>
    <w:p w14:paraId="6CC8D576" w14:textId="249A4301" w:rsidR="00A6742D" w:rsidRDefault="00F102EB" w:rsidP="00A6742D">
      <w:pPr>
        <w:pStyle w:val="3Bodytext"/>
        <w:numPr>
          <w:ilvl w:val="0"/>
          <w:numId w:val="12"/>
        </w:numPr>
        <w:spacing w:after="0"/>
        <w:ind w:left="1134" w:hanging="425"/>
      </w:pPr>
      <w:r>
        <w:t xml:space="preserve">Rebates applicable to </w:t>
      </w:r>
      <w:r w:rsidR="0075037B">
        <w:t>nivolumab and ipilimumab</w:t>
      </w:r>
      <w:r>
        <w:t xml:space="preserve"> for utilisation </w:t>
      </w:r>
      <w:r w:rsidR="00E45194">
        <w:t xml:space="preserve">that </w:t>
      </w:r>
      <w:r>
        <w:t xml:space="preserve">exceeds the caps </w:t>
      </w:r>
      <w:r w:rsidR="00C546A7" w:rsidRPr="00C546A7">
        <w:rPr>
          <w:color w:val="000000"/>
          <w:w w:val="74"/>
          <w:shd w:val="solid" w:color="000000" w:fill="000000"/>
          <w:fitText w:val="492" w:id="-628400625"/>
          <w14:textFill>
            <w14:solidFill>
              <w14:srgbClr w14:val="000000">
                <w14:alpha w14:val="100000"/>
              </w14:srgbClr>
            </w14:solidFill>
          </w14:textFill>
        </w:rPr>
        <w:t>|||||</w:t>
      </w:r>
      <w:r w:rsidR="00C546A7" w:rsidRPr="00C546A7">
        <w:rPr>
          <w:color w:val="000000"/>
          <w:spacing w:val="1"/>
          <w:w w:val="74"/>
          <w:shd w:val="solid" w:color="000000" w:fill="000000"/>
          <w:fitText w:val="492" w:id="-628400625"/>
          <w14:textFill>
            <w14:solidFill>
              <w14:srgbClr w14:val="000000">
                <w14:alpha w14:val="100000"/>
              </w14:srgbClr>
            </w14:solidFill>
          </w14:textFill>
        </w:rPr>
        <w:t>|</w:t>
      </w:r>
      <w:r w:rsidR="002756F4">
        <w:t>.</w:t>
      </w:r>
    </w:p>
    <w:p w14:paraId="2060743B" w14:textId="002BD584" w:rsidR="00BA073F" w:rsidRPr="00A6742D" w:rsidRDefault="0051040F" w:rsidP="00A6742D">
      <w:pPr>
        <w:pStyle w:val="3Bodytext"/>
        <w:numPr>
          <w:ilvl w:val="0"/>
          <w:numId w:val="12"/>
        </w:numPr>
        <w:spacing w:after="0"/>
        <w:ind w:left="1134" w:hanging="425"/>
      </w:pPr>
      <w:r w:rsidRPr="001711A3">
        <w:t>Governance</w:t>
      </w:r>
      <w:r>
        <w:t xml:space="preserve"> framework for the PVA</w:t>
      </w:r>
      <w:r w:rsidR="00022D44">
        <w:t xml:space="preserve"> with regular review</w:t>
      </w:r>
      <w:r>
        <w:t xml:space="preserve">, which </w:t>
      </w:r>
      <w:r w:rsidR="00ED171A">
        <w:t>the Sponsor likens to a mana</w:t>
      </w:r>
      <w:r w:rsidR="00022D44">
        <w:t>ged access program</w:t>
      </w:r>
      <w:r w:rsidR="00523CF2">
        <w:t xml:space="preserve"> (MAP)</w:t>
      </w:r>
      <w:r w:rsidR="00022D44">
        <w:t xml:space="preserve"> based on script volumes</w:t>
      </w:r>
      <w:r w:rsidR="00EE429F">
        <w:t>.</w:t>
      </w:r>
      <w:r w:rsidR="003F1A6C">
        <w:t xml:space="preserve"> </w:t>
      </w:r>
    </w:p>
    <w:p w14:paraId="65557024" w14:textId="4DF55621" w:rsidR="00D96F05" w:rsidRPr="00BE3FF6" w:rsidRDefault="00D96F05" w:rsidP="001E4048">
      <w:pPr>
        <w:pStyle w:val="3-BodyText"/>
      </w:pPr>
      <w:r w:rsidRPr="00C1639D">
        <w:t xml:space="preserve">The submission </w:t>
      </w:r>
      <w:r w:rsidR="004F6740" w:rsidRPr="00C1639D">
        <w:t>did</w:t>
      </w:r>
      <w:r w:rsidRPr="00C1639D">
        <w:t xml:space="preserve"> not propose</w:t>
      </w:r>
      <w:r w:rsidR="002B0967" w:rsidRPr="00C1639D">
        <w:t xml:space="preserve"> any </w:t>
      </w:r>
      <w:r w:rsidR="006A025E" w:rsidRPr="00C1639D">
        <w:t xml:space="preserve">overall (i.e. </w:t>
      </w:r>
      <w:r w:rsidR="00C546A7" w:rsidRPr="00C546A7">
        <w:rPr>
          <w:color w:val="000000"/>
          <w:w w:val="61"/>
          <w:shd w:val="solid" w:color="000000" w:fill="000000"/>
          <w:fitText w:val="472" w:id="-628400624"/>
          <w14:textFill>
            <w14:solidFill>
              <w14:srgbClr w14:val="000000">
                <w14:alpha w14:val="100000"/>
              </w14:srgbClr>
            </w14:solidFill>
          </w14:textFill>
        </w:rPr>
        <w:t>|||  ||</w:t>
      </w:r>
      <w:r w:rsidR="00C546A7" w:rsidRPr="00C546A7">
        <w:rPr>
          <w:color w:val="000000"/>
          <w:spacing w:val="2"/>
          <w:w w:val="61"/>
          <w:shd w:val="solid" w:color="000000" w:fill="000000"/>
          <w:fitText w:val="472" w:id="-628400624"/>
          <w14:textFill>
            <w14:solidFill>
              <w14:srgbClr w14:val="000000">
                <w14:alpha w14:val="100000"/>
              </w14:srgbClr>
            </w14:solidFill>
          </w14:textFill>
        </w:rPr>
        <w:t>|</w:t>
      </w:r>
      <w:r w:rsidR="006A025E" w:rsidRPr="00C1639D">
        <w:t xml:space="preserve">%) cap on total </w:t>
      </w:r>
      <w:r w:rsidR="008D196A">
        <w:t>expenditure</w:t>
      </w:r>
      <w:r w:rsidR="00585866" w:rsidRPr="00C1639D">
        <w:t xml:space="preserve">. </w:t>
      </w:r>
    </w:p>
    <w:p w14:paraId="030AFC54" w14:textId="2E3D189D" w:rsidR="00837DFA" w:rsidRPr="008D196A" w:rsidRDefault="00837DFA" w:rsidP="001E4048">
      <w:pPr>
        <w:pStyle w:val="3-BodyText"/>
      </w:pPr>
      <w:r>
        <w:rPr>
          <w:i/>
          <w:iCs/>
        </w:rPr>
        <w:t xml:space="preserve">Nivolumab and ipilimumab are </w:t>
      </w:r>
      <w:r w:rsidR="00084A50">
        <w:rPr>
          <w:i/>
          <w:iCs/>
        </w:rPr>
        <w:t xml:space="preserve">currently subject to RSAs for all listed indications. </w:t>
      </w:r>
      <w:r w:rsidR="00040DDA">
        <w:rPr>
          <w:i/>
          <w:iCs/>
        </w:rPr>
        <w:t>Most</w:t>
      </w:r>
      <w:r w:rsidR="003D3FFA">
        <w:rPr>
          <w:i/>
          <w:iCs/>
        </w:rPr>
        <w:t xml:space="preserve"> include a </w:t>
      </w:r>
      <w:r w:rsidR="00C546A7" w:rsidRPr="00C546A7">
        <w:rPr>
          <w:i/>
          <w:color w:val="000000"/>
          <w:w w:val="61"/>
          <w:shd w:val="solid" w:color="000000" w:fill="000000"/>
          <w:fitText w:val="472" w:id="-628400640"/>
          <w14:textFill>
            <w14:solidFill>
              <w14:srgbClr w14:val="000000">
                <w14:alpha w14:val="100000"/>
              </w14:srgbClr>
            </w14:solidFill>
          </w14:textFill>
        </w:rPr>
        <w:t>|||  ||</w:t>
      </w:r>
      <w:r w:rsidR="00C546A7" w:rsidRPr="00C546A7">
        <w:rPr>
          <w:i/>
          <w:color w:val="000000"/>
          <w:spacing w:val="2"/>
          <w:w w:val="61"/>
          <w:shd w:val="solid" w:color="000000" w:fill="000000"/>
          <w:fitText w:val="472" w:id="-628400640"/>
          <w14:textFill>
            <w14:solidFill>
              <w14:srgbClr w14:val="000000">
                <w14:alpha w14:val="100000"/>
              </w14:srgbClr>
            </w14:solidFill>
          </w14:textFill>
        </w:rPr>
        <w:t>|</w:t>
      </w:r>
      <w:r w:rsidR="003D3FFA">
        <w:rPr>
          <w:i/>
          <w:iCs/>
        </w:rPr>
        <w:t>% reimbursement for expenditure above caps</w:t>
      </w:r>
      <w:r w:rsidR="001C43C6">
        <w:rPr>
          <w:i/>
          <w:iCs/>
        </w:rPr>
        <w:t xml:space="preserve"> (gastro-oesophageal </w:t>
      </w:r>
      <w:r w:rsidR="00D76CA0">
        <w:rPr>
          <w:i/>
          <w:iCs/>
        </w:rPr>
        <w:t xml:space="preserve">cancer </w:t>
      </w:r>
      <w:r w:rsidR="001C43C6">
        <w:rPr>
          <w:i/>
          <w:iCs/>
        </w:rPr>
        <w:t xml:space="preserve">has </w:t>
      </w:r>
      <w:r w:rsidR="00C546A7" w:rsidRPr="00C546A7">
        <w:rPr>
          <w:i/>
          <w:color w:val="000000"/>
          <w:w w:val="61"/>
          <w:shd w:val="solid" w:color="000000" w:fill="000000"/>
          <w:fitText w:val="472" w:id="-628400639"/>
          <w14:textFill>
            <w14:solidFill>
              <w14:srgbClr w14:val="000000">
                <w14:alpha w14:val="100000"/>
              </w14:srgbClr>
            </w14:solidFill>
          </w14:textFill>
        </w:rPr>
        <w:t>|||  ||</w:t>
      </w:r>
      <w:r w:rsidR="00C546A7" w:rsidRPr="00C546A7">
        <w:rPr>
          <w:i/>
          <w:color w:val="000000"/>
          <w:spacing w:val="2"/>
          <w:w w:val="61"/>
          <w:shd w:val="solid" w:color="000000" w:fill="000000"/>
          <w:fitText w:val="472" w:id="-628400639"/>
          <w14:textFill>
            <w14:solidFill>
              <w14:srgbClr w14:val="000000">
                <w14:alpha w14:val="100000"/>
              </w14:srgbClr>
            </w14:solidFill>
          </w14:textFill>
        </w:rPr>
        <w:t>|</w:t>
      </w:r>
      <w:r w:rsidR="00040DDA">
        <w:rPr>
          <w:i/>
          <w:iCs/>
        </w:rPr>
        <w:t xml:space="preserve"> and mesotheli</w:t>
      </w:r>
      <w:r w:rsidR="00FE676C">
        <w:rPr>
          <w:i/>
          <w:iCs/>
        </w:rPr>
        <w:t>oma</w:t>
      </w:r>
      <w:r w:rsidR="00772568">
        <w:rPr>
          <w:i/>
          <w:iCs/>
        </w:rPr>
        <w:t xml:space="preserve"> has a rebate of </w:t>
      </w:r>
      <w:r w:rsidR="00C546A7" w:rsidRPr="00C546A7">
        <w:rPr>
          <w:i/>
          <w:color w:val="000000"/>
          <w:w w:val="61"/>
          <w:shd w:val="solid" w:color="000000" w:fill="000000"/>
          <w:fitText w:val="472" w:id="-628400638"/>
          <w14:textFill>
            <w14:solidFill>
              <w14:srgbClr w14:val="000000">
                <w14:alpha w14:val="100000"/>
              </w14:srgbClr>
            </w14:solidFill>
          </w14:textFill>
        </w:rPr>
        <w:t>|||  ||</w:t>
      </w:r>
      <w:r w:rsidR="00C546A7" w:rsidRPr="00C546A7">
        <w:rPr>
          <w:i/>
          <w:color w:val="000000"/>
          <w:spacing w:val="2"/>
          <w:w w:val="61"/>
          <w:shd w:val="solid" w:color="000000" w:fill="000000"/>
          <w:fitText w:val="472" w:id="-628400638"/>
          <w14:textFill>
            <w14:solidFill>
              <w14:srgbClr w14:val="000000">
                <w14:alpha w14:val="100000"/>
              </w14:srgbClr>
            </w14:solidFill>
          </w14:textFill>
        </w:rPr>
        <w:t>|</w:t>
      </w:r>
      <w:r w:rsidR="00772568">
        <w:rPr>
          <w:i/>
          <w:iCs/>
        </w:rPr>
        <w:t>% over caps</w:t>
      </w:r>
      <w:r w:rsidR="00655DE8">
        <w:rPr>
          <w:i/>
          <w:iCs/>
        </w:rPr>
        <w:t>)</w:t>
      </w:r>
      <w:r w:rsidR="00084A50">
        <w:rPr>
          <w:i/>
          <w:iCs/>
        </w:rPr>
        <w:t xml:space="preserve">. </w:t>
      </w:r>
      <w:r w:rsidR="00C546A7" w:rsidRPr="00C546A7">
        <w:rPr>
          <w:i/>
          <w:color w:val="000000"/>
          <w:w w:val="61"/>
          <w:shd w:val="solid" w:color="000000" w:fill="000000"/>
          <w:fitText w:val="472" w:id="-628400637"/>
          <w14:textFill>
            <w14:solidFill>
              <w14:srgbClr w14:val="000000">
                <w14:alpha w14:val="100000"/>
              </w14:srgbClr>
            </w14:solidFill>
          </w14:textFill>
        </w:rPr>
        <w:t>|||  ||</w:t>
      </w:r>
      <w:r w:rsidR="00C546A7" w:rsidRPr="00C546A7">
        <w:rPr>
          <w:i/>
          <w:color w:val="000000"/>
          <w:spacing w:val="2"/>
          <w:w w:val="61"/>
          <w:shd w:val="solid" w:color="000000" w:fill="000000"/>
          <w:fitText w:val="472" w:id="-628400637"/>
          <w14:textFill>
            <w14:solidFill>
              <w14:srgbClr w14:val="000000">
                <w14:alpha w14:val="100000"/>
              </w14:srgbClr>
            </w14:solidFill>
          </w14:textFill>
        </w:rPr>
        <w:t>|</w:t>
      </w:r>
      <w:r w:rsidR="008E197B">
        <w:rPr>
          <w:i/>
          <w:iCs/>
        </w:rPr>
        <w:t>.</w:t>
      </w:r>
    </w:p>
    <w:p w14:paraId="20971A0E" w14:textId="032C0F45" w:rsidR="00C640EF" w:rsidRDefault="008D196A" w:rsidP="00D34CE9">
      <w:pPr>
        <w:pStyle w:val="3-BodyText"/>
      </w:pPr>
      <w:r w:rsidRPr="008D196A">
        <w:t>In its pre-PBAC response, the sponsor</w:t>
      </w:r>
      <w:r w:rsidR="00E61572">
        <w:t xml:space="preserve"> claimed that while most of the existing </w:t>
      </w:r>
      <w:r w:rsidR="002F5CAF">
        <w:t>indications</w:t>
      </w:r>
      <w:r w:rsidR="00E61572">
        <w:t xml:space="preserve"> were subject to RSAs with a </w:t>
      </w:r>
      <w:r w:rsidR="00C546A7" w:rsidRPr="00C546A7">
        <w:rPr>
          <w:color w:val="000000"/>
          <w:w w:val="61"/>
          <w:shd w:val="solid" w:color="000000" w:fill="000000"/>
          <w:fitText w:val="472" w:id="-628400636"/>
          <w14:textFill>
            <w14:solidFill>
              <w14:srgbClr w14:val="000000">
                <w14:alpha w14:val="100000"/>
              </w14:srgbClr>
            </w14:solidFill>
          </w14:textFill>
        </w:rPr>
        <w:t>|||  ||</w:t>
      </w:r>
      <w:r w:rsidR="00C546A7" w:rsidRPr="00C546A7">
        <w:rPr>
          <w:color w:val="000000"/>
          <w:spacing w:val="2"/>
          <w:w w:val="61"/>
          <w:shd w:val="solid" w:color="000000" w:fill="000000"/>
          <w:fitText w:val="472" w:id="-628400636"/>
          <w14:textFill>
            <w14:solidFill>
              <w14:srgbClr w14:val="000000">
                <w14:alpha w14:val="100000"/>
              </w14:srgbClr>
            </w14:solidFill>
          </w14:textFill>
        </w:rPr>
        <w:t>|</w:t>
      </w:r>
      <w:r w:rsidR="00E61572">
        <w:t>% cap, two indication</w:t>
      </w:r>
      <w:r w:rsidR="00EB3679">
        <w:t>s</w:t>
      </w:r>
      <w:r w:rsidR="00E61572">
        <w:t xml:space="preserve"> (gastro-oesophageal and mesothelioma) </w:t>
      </w:r>
      <w:r w:rsidR="00E169E1">
        <w:t>had a re</w:t>
      </w:r>
      <w:r w:rsidR="002F5CAF">
        <w:t>b</w:t>
      </w:r>
      <w:r w:rsidR="00E169E1">
        <w:t xml:space="preserve">ate </w:t>
      </w:r>
      <w:r w:rsidR="00C546A7" w:rsidRPr="00C546A7">
        <w:rPr>
          <w:color w:val="000000"/>
          <w:w w:val="61"/>
          <w:shd w:val="solid" w:color="000000" w:fill="000000"/>
          <w:fitText w:val="472" w:id="-628400635"/>
          <w14:textFill>
            <w14:solidFill>
              <w14:srgbClr w14:val="000000">
                <w14:alpha w14:val="100000"/>
              </w14:srgbClr>
            </w14:solidFill>
          </w14:textFill>
        </w:rPr>
        <w:t>|||  ||</w:t>
      </w:r>
      <w:r w:rsidR="00C546A7" w:rsidRPr="00C546A7">
        <w:rPr>
          <w:color w:val="000000"/>
          <w:spacing w:val="2"/>
          <w:w w:val="61"/>
          <w:shd w:val="solid" w:color="000000" w:fill="000000"/>
          <w:fitText w:val="472" w:id="-628400635"/>
          <w14:textFill>
            <w14:solidFill>
              <w14:srgbClr w14:val="000000">
                <w14:alpha w14:val="100000"/>
              </w14:srgbClr>
            </w14:solidFill>
          </w14:textFill>
        </w:rPr>
        <w:t>|</w:t>
      </w:r>
      <w:r w:rsidR="00C640EF">
        <w:t>.</w:t>
      </w:r>
      <w:r w:rsidRPr="008D196A">
        <w:t xml:space="preserve"> </w:t>
      </w:r>
      <w:r w:rsidR="00C640EF">
        <w:t xml:space="preserve">The sponsor argued that </w:t>
      </w:r>
      <w:r w:rsidR="007777D4">
        <w:t xml:space="preserve">this </w:t>
      </w:r>
      <w:r w:rsidR="008F7863">
        <w:t>submission</w:t>
      </w:r>
      <w:r w:rsidR="007777D4">
        <w:t xml:space="preserve"> </w:t>
      </w:r>
      <w:r w:rsidR="00C546A7" w:rsidRPr="00C546A7">
        <w:rPr>
          <w:color w:val="000000"/>
          <w:w w:val="61"/>
          <w:shd w:val="solid" w:color="000000" w:fill="000000"/>
          <w:fitText w:val="472" w:id="-628400634"/>
          <w14:textFill>
            <w14:solidFill>
              <w14:srgbClr w14:val="000000">
                <w14:alpha w14:val="100000"/>
              </w14:srgbClr>
            </w14:solidFill>
          </w14:textFill>
        </w:rPr>
        <w:t>|||  ||</w:t>
      </w:r>
      <w:r w:rsidR="00C546A7" w:rsidRPr="00C546A7">
        <w:rPr>
          <w:color w:val="000000"/>
          <w:spacing w:val="2"/>
          <w:w w:val="61"/>
          <w:shd w:val="solid" w:color="000000" w:fill="000000"/>
          <w:fitText w:val="472" w:id="-628400634"/>
          <w14:textFill>
            <w14:solidFill>
              <w14:srgbClr w14:val="000000">
                <w14:alpha w14:val="100000"/>
              </w14:srgbClr>
            </w14:solidFill>
          </w14:textFill>
        </w:rPr>
        <w:t>|</w:t>
      </w:r>
      <w:r w:rsidR="00C640EF">
        <w:t xml:space="preserve"> risk sharing would involve a re</w:t>
      </w:r>
      <w:r w:rsidR="007777D4">
        <w:t>b</w:t>
      </w:r>
      <w:r w:rsidR="00C640EF">
        <w:t xml:space="preserve">ate </w:t>
      </w:r>
      <w:r w:rsidR="00C546A7" w:rsidRPr="00C546A7">
        <w:rPr>
          <w:color w:val="000000"/>
          <w:w w:val="61"/>
          <w:shd w:val="solid" w:color="000000" w:fill="000000"/>
          <w:fitText w:val="472" w:id="-628400633"/>
          <w14:textFill>
            <w14:solidFill>
              <w14:srgbClr w14:val="000000">
                <w14:alpha w14:val="100000"/>
              </w14:srgbClr>
            </w14:solidFill>
          </w14:textFill>
        </w:rPr>
        <w:t>|||  ||</w:t>
      </w:r>
      <w:r w:rsidR="00C546A7" w:rsidRPr="00C546A7">
        <w:rPr>
          <w:color w:val="000000"/>
          <w:spacing w:val="2"/>
          <w:w w:val="61"/>
          <w:shd w:val="solid" w:color="000000" w:fill="000000"/>
          <w:fitText w:val="472" w:id="-628400633"/>
          <w14:textFill>
            <w14:solidFill>
              <w14:srgbClr w14:val="000000">
                <w14:alpha w14:val="100000"/>
              </w14:srgbClr>
            </w14:solidFill>
          </w14:textFill>
        </w:rPr>
        <w:t>|</w:t>
      </w:r>
      <w:r w:rsidR="007777D4">
        <w:t>.</w:t>
      </w:r>
    </w:p>
    <w:p w14:paraId="7E13BDF7" w14:textId="685A5727" w:rsidR="001E4048" w:rsidRDefault="001E4048" w:rsidP="00D34CE9">
      <w:pPr>
        <w:pStyle w:val="3-BodyText"/>
      </w:pPr>
      <w:r w:rsidRPr="008C1502">
        <w:t xml:space="preserve">The </w:t>
      </w:r>
      <w:r w:rsidR="009A2C18">
        <w:t>submission</w:t>
      </w:r>
      <w:r w:rsidRPr="008C1502">
        <w:t xml:space="preserve"> estimates that in 2025 approximately </w:t>
      </w:r>
      <w:r w:rsidR="00614BC3" w:rsidRPr="00614BC3">
        <w:t>5,000 to &lt; 10,000</w:t>
      </w:r>
      <w:r w:rsidRPr="008C1502">
        <w:t xml:space="preserve"> patients will be treated with nivolumab ± ipilimumab across currently PBS listed indications</w:t>
      </w:r>
      <w:r>
        <w:t>. The sponsor estimated Government expenditure on nivolumab and ipilimumab would be</w:t>
      </w:r>
      <w:r w:rsidRPr="008C1502">
        <w:t xml:space="preserve"> </w:t>
      </w:r>
      <w:r w:rsidRPr="008C1502">
        <w:lastRenderedPageBreak/>
        <w:t>approximately $</w:t>
      </w:r>
      <w:r w:rsidR="00A37CFA">
        <w:t xml:space="preserve">200 </w:t>
      </w:r>
      <w:r w:rsidR="00B43F9D">
        <w:t xml:space="preserve">million </w:t>
      </w:r>
      <w:r w:rsidR="00A37CFA">
        <w:t>to &lt; $300 million</w:t>
      </w:r>
      <w:r w:rsidRPr="008C1502">
        <w:t xml:space="preserve"> (</w:t>
      </w:r>
      <w:r>
        <w:t xml:space="preserve">approximately </w:t>
      </w:r>
      <w:r w:rsidRPr="008C1502">
        <w:t>nivolumab: $</w:t>
      </w:r>
      <w:r w:rsidR="00A37CFA">
        <w:t xml:space="preserve">100 </w:t>
      </w:r>
      <w:r w:rsidR="00B43F9D">
        <w:t xml:space="preserve">million </w:t>
      </w:r>
      <w:r w:rsidR="00A37CFA">
        <w:t>to &lt; $200</w:t>
      </w:r>
      <w:r w:rsidR="00BE0043">
        <w:t xml:space="preserve">million </w:t>
      </w:r>
      <w:r>
        <w:t>and</w:t>
      </w:r>
      <w:r w:rsidRPr="008C1502">
        <w:t xml:space="preserve"> ipilimumab: $</w:t>
      </w:r>
      <w:r w:rsidR="00B43F9D">
        <w:t>40 million to &lt; $50</w:t>
      </w:r>
      <w:r w:rsidR="00BE0043">
        <w:t xml:space="preserve"> million</w:t>
      </w:r>
      <w:r w:rsidRPr="008C1502">
        <w:t xml:space="preserve">). </w:t>
      </w:r>
    </w:p>
    <w:p w14:paraId="566BB1F4" w14:textId="3FD15D5E" w:rsidR="001E4048" w:rsidRDefault="001E4048" w:rsidP="001E4048">
      <w:pPr>
        <w:pStyle w:val="3-BodyText"/>
      </w:pPr>
      <w:r>
        <w:t>The sponsor estimates u</w:t>
      </w:r>
      <w:r w:rsidRPr="008C1502">
        <w:t>tilisation under the proposed broad listing would</w:t>
      </w:r>
      <w:r>
        <w:t xml:space="preserve"> include </w:t>
      </w:r>
      <w:r w:rsidRPr="008C1502">
        <w:t xml:space="preserve">an additional </w:t>
      </w:r>
      <w:r w:rsidR="00B43F9D">
        <w:t>500 to &lt; 5,000</w:t>
      </w:r>
      <w:r w:rsidRPr="008C1502">
        <w:t xml:space="preserve"> patients being treated per year with </w:t>
      </w:r>
      <w:r>
        <w:t xml:space="preserve">a subsequent </w:t>
      </w:r>
      <w:r w:rsidRPr="008C1502">
        <w:t xml:space="preserve">increase in </w:t>
      </w:r>
      <w:r>
        <w:t>Government expenditure of $</w:t>
      </w:r>
      <w:r w:rsidR="00B43F9D">
        <w:t xml:space="preserve">100 </w:t>
      </w:r>
      <w:r w:rsidR="00F16420">
        <w:t xml:space="preserve">million </w:t>
      </w:r>
      <w:r w:rsidR="00B43F9D">
        <w:t>to &lt; $200 million</w:t>
      </w:r>
      <w:r>
        <w:t xml:space="preserve">, totalling </w:t>
      </w:r>
      <w:r w:rsidRPr="008C1502">
        <w:t>$</w:t>
      </w:r>
      <w:r w:rsidR="00F16420">
        <w:t>300 million to &lt; $400 million</w:t>
      </w:r>
      <w:r w:rsidRPr="008C1502">
        <w:t xml:space="preserve"> per year.</w:t>
      </w:r>
    </w:p>
    <w:p w14:paraId="7C96B5FA" w14:textId="66B8C55D" w:rsidR="001E4048" w:rsidRPr="008C1502" w:rsidRDefault="001E4048" w:rsidP="001E4048">
      <w:pPr>
        <w:pStyle w:val="3-BodyText"/>
      </w:pPr>
      <w:r>
        <w:t>The sponsor proposed rebates for the spend above the caps that would amount to approximately $</w:t>
      </w:r>
      <w:r w:rsidR="00E97C4C">
        <w:t>40 million to &lt; $50 million</w:t>
      </w:r>
      <w:r>
        <w:t xml:space="preserve"> in its estimation. This would reduce the increased cost of the broad listing to $</w:t>
      </w:r>
      <w:r w:rsidR="00E97C4C">
        <w:t>80 million to &lt; $90 million</w:t>
      </w:r>
      <w:r>
        <w:t xml:space="preserve"> and total expenditure to $</w:t>
      </w:r>
      <w:r w:rsidR="009D5032">
        <w:t>300 million to &lt; $400 million</w:t>
      </w:r>
      <w:r>
        <w:t xml:space="preserve"> per year.</w:t>
      </w:r>
      <w:r w:rsidRPr="008C1502">
        <w:t xml:space="preserve"> </w:t>
      </w:r>
    </w:p>
    <w:p w14:paraId="3CD03DF1" w14:textId="044D81AC" w:rsidR="001E4048" w:rsidRPr="008C1502" w:rsidRDefault="001E4048" w:rsidP="001E4048">
      <w:pPr>
        <w:pStyle w:val="3-BodyText"/>
      </w:pPr>
      <w:r w:rsidRPr="008C1502">
        <w:t xml:space="preserve">The </w:t>
      </w:r>
      <w:r w:rsidR="00A7426B">
        <w:t>submission</w:t>
      </w:r>
      <w:r w:rsidR="00A7426B" w:rsidRPr="008C1502">
        <w:t xml:space="preserve"> </w:t>
      </w:r>
      <w:r w:rsidRPr="008C1502">
        <w:t xml:space="preserve">states that the </w:t>
      </w:r>
      <w:r>
        <w:t>RSA</w:t>
      </w:r>
      <w:r w:rsidRPr="008C1502">
        <w:t xml:space="preserve"> would </w:t>
      </w:r>
      <w:r>
        <w:t>provide</w:t>
      </w:r>
      <w:r w:rsidRPr="008C1502">
        <w:t xml:space="preserve"> a net price reduction for nivolumab </w:t>
      </w:r>
      <w:r w:rsidR="00BE0043">
        <w:t>and</w:t>
      </w:r>
      <w:r w:rsidR="00BE0043" w:rsidRPr="008C1502">
        <w:t xml:space="preserve"> </w:t>
      </w:r>
      <w:r w:rsidRPr="008C1502">
        <w:t xml:space="preserve">ipilimumab of </w:t>
      </w:r>
      <w:r w:rsidR="00C546A7" w:rsidRPr="00C546A7">
        <w:rPr>
          <w:color w:val="000000"/>
          <w:w w:val="61"/>
          <w:shd w:val="solid" w:color="000000" w:fill="000000"/>
          <w:fitText w:val="472" w:id="-628400632"/>
          <w14:textFill>
            <w14:solidFill>
              <w14:srgbClr w14:val="000000">
                <w14:alpha w14:val="100000"/>
              </w14:srgbClr>
            </w14:solidFill>
          </w14:textFill>
        </w:rPr>
        <w:t>|||  ||</w:t>
      </w:r>
      <w:r w:rsidR="00C546A7" w:rsidRPr="00C546A7">
        <w:rPr>
          <w:color w:val="000000"/>
          <w:spacing w:val="2"/>
          <w:w w:val="61"/>
          <w:shd w:val="solid" w:color="000000" w:fill="000000"/>
          <w:fitText w:val="472" w:id="-628400632"/>
          <w14:textFill>
            <w14:solidFill>
              <w14:srgbClr w14:val="000000">
                <w14:alpha w14:val="100000"/>
              </w14:srgbClr>
            </w14:solidFill>
          </w14:textFill>
        </w:rPr>
        <w:t>|</w:t>
      </w:r>
      <w:r w:rsidRPr="008C1502">
        <w:t>% for patients who would be newly eligible under a broad listing (i.e., from $</w:t>
      </w:r>
      <w:r w:rsidR="00C546A7" w:rsidRPr="00C546A7">
        <w:rPr>
          <w:color w:val="000000"/>
          <w:w w:val="61"/>
          <w:shd w:val="solid" w:color="000000" w:fill="000000"/>
          <w:fitText w:val="472" w:id="-628400631"/>
          <w14:textFill>
            <w14:solidFill>
              <w14:srgbClr w14:val="000000">
                <w14:alpha w14:val="100000"/>
              </w14:srgbClr>
            </w14:solidFill>
          </w14:textFill>
        </w:rPr>
        <w:t>|||  ||</w:t>
      </w:r>
      <w:r w:rsidR="00C546A7" w:rsidRPr="00C546A7">
        <w:rPr>
          <w:color w:val="000000"/>
          <w:spacing w:val="2"/>
          <w:w w:val="61"/>
          <w:shd w:val="solid" w:color="000000" w:fill="000000"/>
          <w:fitText w:val="472" w:id="-628400631"/>
          <w14:textFill>
            <w14:solidFill>
              <w14:srgbClr w14:val="000000">
                <w14:alpha w14:val="100000"/>
              </w14:srgbClr>
            </w14:solidFill>
          </w14:textFill>
        </w:rPr>
        <w:t>|</w:t>
      </w:r>
      <w:r w:rsidRPr="008C1502">
        <w:t xml:space="preserve"> q4w to $</w:t>
      </w:r>
      <w:r w:rsidR="00C546A7" w:rsidRPr="00C546A7">
        <w:rPr>
          <w:color w:val="000000"/>
          <w:w w:val="61"/>
          <w:shd w:val="solid" w:color="000000" w:fill="000000"/>
          <w:fitText w:val="472" w:id="-628400630"/>
          <w14:textFill>
            <w14:solidFill>
              <w14:srgbClr w14:val="000000">
                <w14:alpha w14:val="100000"/>
              </w14:srgbClr>
            </w14:solidFill>
          </w14:textFill>
        </w:rPr>
        <w:t>|||  ||</w:t>
      </w:r>
      <w:r w:rsidR="00C546A7" w:rsidRPr="00C546A7">
        <w:rPr>
          <w:color w:val="000000"/>
          <w:spacing w:val="2"/>
          <w:w w:val="61"/>
          <w:shd w:val="solid" w:color="000000" w:fill="000000"/>
          <w:fitText w:val="472" w:id="-628400630"/>
          <w14:textFill>
            <w14:solidFill>
              <w14:srgbClr w14:val="000000">
                <w14:alpha w14:val="100000"/>
              </w14:srgbClr>
            </w14:solidFill>
          </w14:textFill>
        </w:rPr>
        <w:t>|</w:t>
      </w:r>
      <w:r w:rsidRPr="008C1502">
        <w:t xml:space="preserve"> q4w)</w:t>
      </w:r>
      <w:r>
        <w:t xml:space="preserve"> based on its estimates of utilisation</w:t>
      </w:r>
      <w:r w:rsidRPr="008C1502">
        <w:t>.</w:t>
      </w:r>
    </w:p>
    <w:p w14:paraId="6EAE462D" w14:textId="77777777" w:rsidR="00D9076F" w:rsidRDefault="00D9076F" w:rsidP="00D9076F">
      <w:pPr>
        <w:pStyle w:val="3-BodyText"/>
        <w:numPr>
          <w:ilvl w:val="0"/>
          <w:numId w:val="0"/>
        </w:numPr>
      </w:pPr>
    </w:p>
    <w:p w14:paraId="2DB53CE6" w14:textId="73EA2FAD" w:rsidR="000D4D8B" w:rsidRDefault="000D4D8B" w:rsidP="00BC6008">
      <w:pPr>
        <w:pStyle w:val="Caption"/>
        <w:keepNext/>
      </w:pPr>
      <w:r>
        <w:t xml:space="preserve">Table </w:t>
      </w:r>
      <w:r w:rsidR="006228A5">
        <w:fldChar w:fldCharType="begin" w:fldLock="1"/>
      </w:r>
      <w:r w:rsidR="006228A5">
        <w:instrText xml:space="preserve"> SEQ Table \* ARABIC </w:instrText>
      </w:r>
      <w:r w:rsidR="006228A5">
        <w:fldChar w:fldCharType="separate"/>
      </w:r>
      <w:r w:rsidR="006228A5">
        <w:rPr>
          <w:noProof/>
        </w:rPr>
        <w:t>5</w:t>
      </w:r>
      <w:r w:rsidR="006228A5">
        <w:rPr>
          <w:noProof/>
        </w:rPr>
        <w:fldChar w:fldCharType="end"/>
      </w:r>
      <w:r w:rsidR="005B6E71">
        <w:t>:</w:t>
      </w:r>
      <w:r>
        <w:t xml:space="preserve"> </w:t>
      </w:r>
      <w:r w:rsidR="008D19E9" w:rsidRPr="008D19E9">
        <w:t>Estimated total drug cost to government (effective PBS/RPBS, with PVA structure)</w:t>
      </w:r>
    </w:p>
    <w:tbl>
      <w:tblPr>
        <w:tblW w:w="9918" w:type="dxa"/>
        <w:tblLayout w:type="fixed"/>
        <w:tblLook w:val="04A0" w:firstRow="1" w:lastRow="0" w:firstColumn="1" w:lastColumn="0" w:noHBand="0" w:noVBand="1"/>
        <w:tblCaption w:val="Table 5: Estimated total drug cost to government (effective PBS/RPBS, with PVA structure)"/>
      </w:tblPr>
      <w:tblGrid>
        <w:gridCol w:w="2405"/>
        <w:gridCol w:w="1252"/>
        <w:gridCol w:w="1252"/>
        <w:gridCol w:w="1252"/>
        <w:gridCol w:w="1252"/>
        <w:gridCol w:w="1252"/>
        <w:gridCol w:w="1253"/>
      </w:tblGrid>
      <w:tr w:rsidR="00C0157A" w:rsidRPr="00C0157A" w14:paraId="2F5D82BC" w14:textId="77777777" w:rsidTr="00BC6008">
        <w:trPr>
          <w:trHeight w:val="290"/>
        </w:trPr>
        <w:tc>
          <w:tcPr>
            <w:tcW w:w="240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62B3C60"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single" w:sz="4" w:space="0" w:color="auto"/>
              <w:left w:val="nil"/>
              <w:bottom w:val="single" w:sz="4" w:space="0" w:color="auto"/>
              <w:right w:val="single" w:sz="4" w:space="0" w:color="auto"/>
            </w:tcBorders>
            <w:shd w:val="clear" w:color="000000" w:fill="B4C6E7"/>
            <w:noWrap/>
            <w:vAlign w:val="bottom"/>
            <w:hideMark/>
          </w:tcPr>
          <w:p w14:paraId="23B82DE1"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1</w:t>
            </w:r>
          </w:p>
        </w:tc>
        <w:tc>
          <w:tcPr>
            <w:tcW w:w="1252" w:type="dxa"/>
            <w:tcBorders>
              <w:top w:val="single" w:sz="4" w:space="0" w:color="auto"/>
              <w:left w:val="nil"/>
              <w:bottom w:val="single" w:sz="4" w:space="0" w:color="auto"/>
              <w:right w:val="single" w:sz="4" w:space="0" w:color="auto"/>
            </w:tcBorders>
            <w:shd w:val="clear" w:color="000000" w:fill="B4C6E7"/>
            <w:noWrap/>
            <w:vAlign w:val="bottom"/>
            <w:hideMark/>
          </w:tcPr>
          <w:p w14:paraId="6BC4E601"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2</w:t>
            </w:r>
          </w:p>
        </w:tc>
        <w:tc>
          <w:tcPr>
            <w:tcW w:w="1252" w:type="dxa"/>
            <w:tcBorders>
              <w:top w:val="single" w:sz="4" w:space="0" w:color="auto"/>
              <w:left w:val="nil"/>
              <w:bottom w:val="single" w:sz="4" w:space="0" w:color="auto"/>
              <w:right w:val="single" w:sz="4" w:space="0" w:color="auto"/>
            </w:tcBorders>
            <w:shd w:val="clear" w:color="000000" w:fill="B4C6E7"/>
            <w:noWrap/>
            <w:vAlign w:val="bottom"/>
            <w:hideMark/>
          </w:tcPr>
          <w:p w14:paraId="7BB8A953"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3</w:t>
            </w:r>
          </w:p>
        </w:tc>
        <w:tc>
          <w:tcPr>
            <w:tcW w:w="1252" w:type="dxa"/>
            <w:tcBorders>
              <w:top w:val="single" w:sz="4" w:space="0" w:color="auto"/>
              <w:left w:val="nil"/>
              <w:bottom w:val="single" w:sz="4" w:space="0" w:color="auto"/>
              <w:right w:val="single" w:sz="4" w:space="0" w:color="auto"/>
            </w:tcBorders>
            <w:shd w:val="clear" w:color="000000" w:fill="B4C6E7"/>
            <w:noWrap/>
            <w:vAlign w:val="bottom"/>
            <w:hideMark/>
          </w:tcPr>
          <w:p w14:paraId="7644C3D2"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4</w:t>
            </w:r>
          </w:p>
        </w:tc>
        <w:tc>
          <w:tcPr>
            <w:tcW w:w="1252" w:type="dxa"/>
            <w:tcBorders>
              <w:top w:val="single" w:sz="4" w:space="0" w:color="auto"/>
              <w:left w:val="nil"/>
              <w:bottom w:val="single" w:sz="4" w:space="0" w:color="auto"/>
              <w:right w:val="single" w:sz="4" w:space="0" w:color="auto"/>
            </w:tcBorders>
            <w:shd w:val="clear" w:color="000000" w:fill="B4C6E7"/>
            <w:noWrap/>
            <w:vAlign w:val="bottom"/>
            <w:hideMark/>
          </w:tcPr>
          <w:p w14:paraId="47193411"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5</w:t>
            </w:r>
          </w:p>
        </w:tc>
        <w:tc>
          <w:tcPr>
            <w:tcW w:w="1253" w:type="dxa"/>
            <w:tcBorders>
              <w:top w:val="single" w:sz="4" w:space="0" w:color="auto"/>
              <w:left w:val="nil"/>
              <w:bottom w:val="single" w:sz="4" w:space="0" w:color="auto"/>
              <w:right w:val="single" w:sz="4" w:space="0" w:color="auto"/>
            </w:tcBorders>
            <w:shd w:val="clear" w:color="000000" w:fill="B4C6E7"/>
            <w:noWrap/>
            <w:vAlign w:val="bottom"/>
            <w:hideMark/>
          </w:tcPr>
          <w:p w14:paraId="2CEF55DB" w14:textId="77777777" w:rsidR="00C0157A" w:rsidRPr="00BC6008" w:rsidRDefault="00C0157A" w:rsidP="00C0157A">
            <w:pPr>
              <w:jc w:val="center"/>
              <w:rPr>
                <w:rFonts w:ascii="Arial Narrow" w:hAnsi="Arial Narrow" w:cs="Calibri"/>
                <w:b/>
                <w:bCs/>
                <w:color w:val="000000"/>
                <w:sz w:val="20"/>
                <w:szCs w:val="20"/>
              </w:rPr>
            </w:pPr>
            <w:r w:rsidRPr="00BC6008">
              <w:rPr>
                <w:rFonts w:ascii="Arial Narrow" w:hAnsi="Arial Narrow" w:cs="Calibri"/>
                <w:b/>
                <w:bCs/>
                <w:color w:val="000000"/>
                <w:sz w:val="20"/>
                <w:szCs w:val="20"/>
              </w:rPr>
              <w:t>Year 6</w:t>
            </w:r>
          </w:p>
        </w:tc>
      </w:tr>
      <w:tr w:rsidR="00C0157A" w:rsidRPr="00C0157A" w14:paraId="67947419" w14:textId="77777777" w:rsidTr="00BC6008">
        <w:trPr>
          <w:trHeight w:val="290"/>
        </w:trPr>
        <w:tc>
          <w:tcPr>
            <w:tcW w:w="2405" w:type="dxa"/>
            <w:tcBorders>
              <w:top w:val="nil"/>
              <w:left w:val="single" w:sz="4" w:space="0" w:color="auto"/>
              <w:bottom w:val="single" w:sz="4" w:space="0" w:color="auto"/>
              <w:right w:val="single" w:sz="4" w:space="0" w:color="auto"/>
            </w:tcBorders>
            <w:shd w:val="clear" w:color="000000" w:fill="D9E1F2"/>
            <w:noWrap/>
            <w:vAlign w:val="bottom"/>
            <w:hideMark/>
          </w:tcPr>
          <w:p w14:paraId="23CBF8BE"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Estimated cost to PBS/RPBS</w:t>
            </w:r>
          </w:p>
        </w:tc>
        <w:tc>
          <w:tcPr>
            <w:tcW w:w="1252" w:type="dxa"/>
            <w:tcBorders>
              <w:top w:val="nil"/>
              <w:left w:val="nil"/>
              <w:bottom w:val="single" w:sz="4" w:space="0" w:color="auto"/>
              <w:right w:val="single" w:sz="4" w:space="0" w:color="auto"/>
            </w:tcBorders>
            <w:noWrap/>
            <w:vAlign w:val="bottom"/>
            <w:hideMark/>
          </w:tcPr>
          <w:p w14:paraId="63124DCA" w14:textId="6BA82435" w:rsidR="00C0157A" w:rsidRPr="00FA40FF"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9"/>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9"/>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503F2423" w14:textId="66F72EC9" w:rsidR="00C0157A" w:rsidRPr="00FA40FF"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8"/>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8"/>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215A1FD1" w14:textId="3BB7DD00"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7"/>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7"/>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19836B3F" w14:textId="1A259FFF"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6"/>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6"/>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61B60CF4" w14:textId="49C94856"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5"/>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5"/>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c>
          <w:tcPr>
            <w:tcW w:w="1253" w:type="dxa"/>
            <w:tcBorders>
              <w:top w:val="nil"/>
              <w:left w:val="nil"/>
              <w:bottom w:val="single" w:sz="4" w:space="0" w:color="auto"/>
              <w:right w:val="single" w:sz="4" w:space="0" w:color="auto"/>
            </w:tcBorders>
            <w:noWrap/>
            <w:vAlign w:val="bottom"/>
            <w:hideMark/>
          </w:tcPr>
          <w:p w14:paraId="201BC7E8" w14:textId="56034735"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4"/>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4"/>
                <w14:textFill>
                  <w14:solidFill>
                    <w14:srgbClr w14:val="000000">
                      <w14:alpha w14:val="100000"/>
                    </w14:srgbClr>
                  </w14:solidFill>
                </w14:textFill>
              </w:rPr>
              <w:t>|</w:t>
            </w:r>
            <w:r w:rsidR="00FA40FF">
              <w:rPr>
                <w:rFonts w:ascii="Arial Narrow" w:hAnsi="Arial Narrow" w:cs="Calibri"/>
                <w:color w:val="000000"/>
                <w:sz w:val="20"/>
                <w:szCs w:val="20"/>
                <w:vertAlign w:val="superscript"/>
              </w:rPr>
              <w:t>1</w:t>
            </w:r>
          </w:p>
        </w:tc>
      </w:tr>
      <w:tr w:rsidR="00C0157A" w:rsidRPr="00C0157A" w14:paraId="496073C4" w14:textId="77777777" w:rsidTr="00BC6008">
        <w:trPr>
          <w:trHeight w:val="290"/>
        </w:trPr>
        <w:tc>
          <w:tcPr>
            <w:tcW w:w="2405" w:type="dxa"/>
            <w:tcBorders>
              <w:top w:val="nil"/>
              <w:left w:val="single" w:sz="4" w:space="0" w:color="auto"/>
              <w:bottom w:val="single" w:sz="4" w:space="0" w:color="auto"/>
              <w:right w:val="single" w:sz="4" w:space="0" w:color="auto"/>
            </w:tcBorders>
            <w:shd w:val="clear" w:color="000000" w:fill="D9E1F2"/>
            <w:noWrap/>
            <w:vAlign w:val="bottom"/>
            <w:hideMark/>
          </w:tcPr>
          <w:p w14:paraId="392B0E5F"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Proposed cap</w:t>
            </w:r>
          </w:p>
        </w:tc>
        <w:tc>
          <w:tcPr>
            <w:tcW w:w="1252" w:type="dxa"/>
            <w:tcBorders>
              <w:top w:val="nil"/>
              <w:left w:val="nil"/>
              <w:bottom w:val="single" w:sz="4" w:space="0" w:color="auto"/>
              <w:right w:val="single" w:sz="4" w:space="0" w:color="auto"/>
            </w:tcBorders>
            <w:shd w:val="clear" w:color="000000" w:fill="D9E1F2"/>
            <w:noWrap/>
            <w:vAlign w:val="bottom"/>
            <w:hideMark/>
          </w:tcPr>
          <w:p w14:paraId="43D327DB"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16ACD221"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7F060018"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243E9D32"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1121400A"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3" w:type="dxa"/>
            <w:tcBorders>
              <w:top w:val="nil"/>
              <w:left w:val="nil"/>
              <w:bottom w:val="single" w:sz="4" w:space="0" w:color="auto"/>
              <w:right w:val="single" w:sz="4" w:space="0" w:color="auto"/>
            </w:tcBorders>
            <w:shd w:val="clear" w:color="000000" w:fill="D9E1F2"/>
            <w:noWrap/>
            <w:vAlign w:val="bottom"/>
            <w:hideMark/>
          </w:tcPr>
          <w:p w14:paraId="43A26DF0"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r>
      <w:tr w:rsidR="00C0157A" w:rsidRPr="00C0157A" w14:paraId="05ABA00C"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14460F68" w14:textId="77777777" w:rsidR="00C0157A" w:rsidRPr="00BC6008" w:rsidRDefault="00C0157A" w:rsidP="00C0157A">
            <w:pPr>
              <w:jc w:val="left"/>
              <w:rPr>
                <w:rFonts w:ascii="Arial Narrow" w:hAnsi="Arial Narrow" w:cs="Calibri"/>
                <w:color w:val="000000"/>
                <w:sz w:val="20"/>
                <w:szCs w:val="20"/>
              </w:rPr>
            </w:pPr>
            <w:r w:rsidRPr="00BC6008">
              <w:rPr>
                <w:rFonts w:ascii="Arial Narrow" w:hAnsi="Arial Narrow" w:cs="Calibri"/>
                <w:color w:val="000000"/>
                <w:sz w:val="20"/>
                <w:szCs w:val="20"/>
              </w:rPr>
              <w:t>Subsidisation Cap 1</w:t>
            </w:r>
          </w:p>
        </w:tc>
        <w:tc>
          <w:tcPr>
            <w:tcW w:w="1252" w:type="dxa"/>
            <w:tcBorders>
              <w:top w:val="nil"/>
              <w:left w:val="nil"/>
              <w:bottom w:val="single" w:sz="4" w:space="0" w:color="auto"/>
              <w:right w:val="single" w:sz="4" w:space="0" w:color="auto"/>
            </w:tcBorders>
            <w:noWrap/>
            <w:vAlign w:val="bottom"/>
            <w:hideMark/>
          </w:tcPr>
          <w:p w14:paraId="5EC9BD28" w14:textId="729B7860"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40"/>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40"/>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7C6A8018" w14:textId="42B44B98"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9"/>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9"/>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1CC10D62" w14:textId="7F7900A3"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8"/>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8"/>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352B3B66" w14:textId="49A09CE3"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7"/>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7"/>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569286E1" w14:textId="611BE267"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6"/>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6"/>
                <w14:textFill>
                  <w14:solidFill>
                    <w14:srgbClr w14:val="000000">
                      <w14:alpha w14:val="100000"/>
                    </w14:srgbClr>
                  </w14:solidFill>
                </w14:textFill>
              </w:rPr>
              <w:t>|</w:t>
            </w:r>
          </w:p>
        </w:tc>
        <w:tc>
          <w:tcPr>
            <w:tcW w:w="1253" w:type="dxa"/>
            <w:tcBorders>
              <w:top w:val="nil"/>
              <w:left w:val="nil"/>
              <w:bottom w:val="single" w:sz="4" w:space="0" w:color="auto"/>
              <w:right w:val="single" w:sz="4" w:space="0" w:color="auto"/>
            </w:tcBorders>
            <w:noWrap/>
            <w:vAlign w:val="bottom"/>
            <w:hideMark/>
          </w:tcPr>
          <w:p w14:paraId="4E4D42E0" w14:textId="77F9FECA"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5"/>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5"/>
                <w14:textFill>
                  <w14:solidFill>
                    <w14:srgbClr w14:val="000000">
                      <w14:alpha w14:val="100000"/>
                    </w14:srgbClr>
                  </w14:solidFill>
                </w14:textFill>
              </w:rPr>
              <w:t>|</w:t>
            </w:r>
          </w:p>
        </w:tc>
      </w:tr>
      <w:tr w:rsidR="00C0157A" w:rsidRPr="00C0157A" w14:paraId="177DA493"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1FF1EF45" w14:textId="77777777" w:rsidR="00C0157A" w:rsidRPr="00BC6008" w:rsidRDefault="00C0157A" w:rsidP="00C0157A">
            <w:pPr>
              <w:jc w:val="left"/>
              <w:rPr>
                <w:rFonts w:ascii="Arial Narrow" w:hAnsi="Arial Narrow" w:cs="Calibri"/>
                <w:color w:val="000000"/>
                <w:sz w:val="20"/>
                <w:szCs w:val="20"/>
              </w:rPr>
            </w:pPr>
            <w:r w:rsidRPr="00BC6008">
              <w:rPr>
                <w:rFonts w:ascii="Arial Narrow" w:hAnsi="Arial Narrow" w:cs="Calibri"/>
                <w:color w:val="000000"/>
                <w:sz w:val="20"/>
                <w:szCs w:val="20"/>
              </w:rPr>
              <w:t>Subsidisation Cap 2</w:t>
            </w:r>
          </w:p>
        </w:tc>
        <w:tc>
          <w:tcPr>
            <w:tcW w:w="1252" w:type="dxa"/>
            <w:tcBorders>
              <w:top w:val="nil"/>
              <w:left w:val="nil"/>
              <w:bottom w:val="single" w:sz="4" w:space="0" w:color="auto"/>
              <w:right w:val="single" w:sz="4" w:space="0" w:color="auto"/>
            </w:tcBorders>
            <w:noWrap/>
            <w:vAlign w:val="bottom"/>
            <w:hideMark/>
          </w:tcPr>
          <w:p w14:paraId="1F74E26A" w14:textId="217D39DE"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4"/>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4"/>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621EC6C3" w14:textId="139A402E"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3"/>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3"/>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51BC00E7" w14:textId="79B78DA3"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2"/>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2"/>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347B847F" w14:textId="5D58AB54"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1"/>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1"/>
                <w14:textFill>
                  <w14:solidFill>
                    <w14:srgbClr w14:val="000000">
                      <w14:alpha w14:val="100000"/>
                    </w14:srgbClr>
                  </w14:solidFill>
                </w14:textFill>
              </w:rPr>
              <w:t>|</w:t>
            </w:r>
          </w:p>
        </w:tc>
        <w:tc>
          <w:tcPr>
            <w:tcW w:w="1252" w:type="dxa"/>
            <w:tcBorders>
              <w:top w:val="nil"/>
              <w:left w:val="nil"/>
              <w:bottom w:val="single" w:sz="4" w:space="0" w:color="auto"/>
              <w:right w:val="single" w:sz="4" w:space="0" w:color="auto"/>
            </w:tcBorders>
            <w:noWrap/>
            <w:vAlign w:val="bottom"/>
            <w:hideMark/>
          </w:tcPr>
          <w:p w14:paraId="0196C92B" w14:textId="027DC917"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0"/>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0"/>
                <w14:textFill>
                  <w14:solidFill>
                    <w14:srgbClr w14:val="000000">
                      <w14:alpha w14:val="100000"/>
                    </w14:srgbClr>
                  </w14:solidFill>
                </w14:textFill>
              </w:rPr>
              <w:t>|</w:t>
            </w:r>
          </w:p>
        </w:tc>
        <w:tc>
          <w:tcPr>
            <w:tcW w:w="1253" w:type="dxa"/>
            <w:tcBorders>
              <w:top w:val="nil"/>
              <w:left w:val="nil"/>
              <w:bottom w:val="single" w:sz="4" w:space="0" w:color="auto"/>
              <w:right w:val="single" w:sz="4" w:space="0" w:color="auto"/>
            </w:tcBorders>
            <w:noWrap/>
            <w:vAlign w:val="bottom"/>
            <w:hideMark/>
          </w:tcPr>
          <w:p w14:paraId="10B01F9C" w14:textId="7B86C7A6"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9"/>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9"/>
                <w14:textFill>
                  <w14:solidFill>
                    <w14:srgbClr w14:val="000000">
                      <w14:alpha w14:val="100000"/>
                    </w14:srgbClr>
                  </w14:solidFill>
                </w14:textFill>
              </w:rPr>
              <w:t>|</w:t>
            </w:r>
          </w:p>
        </w:tc>
      </w:tr>
      <w:tr w:rsidR="00C0157A" w:rsidRPr="00C0157A" w14:paraId="3177E1FE" w14:textId="77777777" w:rsidTr="00BC6008">
        <w:trPr>
          <w:trHeight w:val="290"/>
        </w:trPr>
        <w:tc>
          <w:tcPr>
            <w:tcW w:w="2405" w:type="dxa"/>
            <w:tcBorders>
              <w:top w:val="nil"/>
              <w:left w:val="single" w:sz="4" w:space="0" w:color="auto"/>
              <w:bottom w:val="single" w:sz="4" w:space="0" w:color="auto"/>
              <w:right w:val="single" w:sz="4" w:space="0" w:color="auto"/>
            </w:tcBorders>
            <w:shd w:val="clear" w:color="000000" w:fill="D9E1F2"/>
            <w:noWrap/>
            <w:vAlign w:val="bottom"/>
            <w:hideMark/>
          </w:tcPr>
          <w:p w14:paraId="165F3250"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Estimated RSA rebate</w:t>
            </w:r>
          </w:p>
        </w:tc>
        <w:tc>
          <w:tcPr>
            <w:tcW w:w="1252" w:type="dxa"/>
            <w:tcBorders>
              <w:top w:val="nil"/>
              <w:left w:val="nil"/>
              <w:bottom w:val="single" w:sz="4" w:space="0" w:color="auto"/>
              <w:right w:val="single" w:sz="4" w:space="0" w:color="auto"/>
            </w:tcBorders>
            <w:shd w:val="clear" w:color="000000" w:fill="D9E1F2"/>
            <w:noWrap/>
            <w:vAlign w:val="bottom"/>
            <w:hideMark/>
          </w:tcPr>
          <w:p w14:paraId="5D19F5E3"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47FAE29A"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7ED3FF50"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25F6AA4F"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2" w:type="dxa"/>
            <w:tcBorders>
              <w:top w:val="nil"/>
              <w:left w:val="nil"/>
              <w:bottom w:val="single" w:sz="4" w:space="0" w:color="auto"/>
              <w:right w:val="single" w:sz="4" w:space="0" w:color="auto"/>
            </w:tcBorders>
            <w:shd w:val="clear" w:color="000000" w:fill="D9E1F2"/>
            <w:noWrap/>
            <w:vAlign w:val="bottom"/>
            <w:hideMark/>
          </w:tcPr>
          <w:p w14:paraId="02F05120"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c>
          <w:tcPr>
            <w:tcW w:w="1253" w:type="dxa"/>
            <w:tcBorders>
              <w:top w:val="nil"/>
              <w:left w:val="nil"/>
              <w:bottom w:val="single" w:sz="4" w:space="0" w:color="auto"/>
              <w:right w:val="single" w:sz="4" w:space="0" w:color="auto"/>
            </w:tcBorders>
            <w:shd w:val="clear" w:color="000000" w:fill="D9E1F2"/>
            <w:noWrap/>
            <w:vAlign w:val="bottom"/>
            <w:hideMark/>
          </w:tcPr>
          <w:p w14:paraId="5864E37C"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 </w:t>
            </w:r>
          </w:p>
        </w:tc>
      </w:tr>
      <w:tr w:rsidR="00C0157A" w:rsidRPr="00C0157A" w14:paraId="01A39C97"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5F25A4DD" w14:textId="77777777" w:rsidR="00C0157A" w:rsidRPr="00BC6008" w:rsidRDefault="00C0157A" w:rsidP="00C0157A">
            <w:pPr>
              <w:jc w:val="left"/>
              <w:rPr>
                <w:rFonts w:ascii="Arial Narrow" w:hAnsi="Arial Narrow" w:cs="Calibri"/>
                <w:color w:val="000000"/>
                <w:sz w:val="20"/>
                <w:szCs w:val="20"/>
              </w:rPr>
            </w:pPr>
            <w:r w:rsidRPr="00BC6008">
              <w:rPr>
                <w:rFonts w:ascii="Arial Narrow" w:hAnsi="Arial Narrow" w:cs="Calibri"/>
                <w:color w:val="000000"/>
                <w:sz w:val="20"/>
                <w:szCs w:val="20"/>
              </w:rPr>
              <w:t>Subsidisation Cap 1 rebate</w:t>
            </w:r>
          </w:p>
        </w:tc>
        <w:tc>
          <w:tcPr>
            <w:tcW w:w="1252" w:type="dxa"/>
            <w:tcBorders>
              <w:top w:val="nil"/>
              <w:left w:val="nil"/>
              <w:bottom w:val="single" w:sz="4" w:space="0" w:color="auto"/>
              <w:right w:val="single" w:sz="4" w:space="0" w:color="auto"/>
            </w:tcBorders>
            <w:noWrap/>
            <w:vAlign w:val="bottom"/>
            <w:hideMark/>
          </w:tcPr>
          <w:p w14:paraId="42329916" w14:textId="549313DA"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8"/>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8"/>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c>
          <w:tcPr>
            <w:tcW w:w="1252" w:type="dxa"/>
            <w:tcBorders>
              <w:top w:val="nil"/>
              <w:left w:val="nil"/>
              <w:bottom w:val="single" w:sz="4" w:space="0" w:color="auto"/>
              <w:right w:val="single" w:sz="4" w:space="0" w:color="auto"/>
            </w:tcBorders>
            <w:noWrap/>
            <w:vAlign w:val="bottom"/>
            <w:hideMark/>
          </w:tcPr>
          <w:p w14:paraId="2A27C2ED" w14:textId="23C47E52"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7"/>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7"/>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c>
          <w:tcPr>
            <w:tcW w:w="1252" w:type="dxa"/>
            <w:tcBorders>
              <w:top w:val="nil"/>
              <w:left w:val="nil"/>
              <w:bottom w:val="single" w:sz="4" w:space="0" w:color="auto"/>
              <w:right w:val="single" w:sz="4" w:space="0" w:color="auto"/>
            </w:tcBorders>
            <w:noWrap/>
            <w:vAlign w:val="bottom"/>
            <w:hideMark/>
          </w:tcPr>
          <w:p w14:paraId="526DC115" w14:textId="25BB0D32"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6"/>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6"/>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c>
          <w:tcPr>
            <w:tcW w:w="1252" w:type="dxa"/>
            <w:tcBorders>
              <w:top w:val="nil"/>
              <w:left w:val="nil"/>
              <w:bottom w:val="single" w:sz="4" w:space="0" w:color="auto"/>
              <w:right w:val="single" w:sz="4" w:space="0" w:color="auto"/>
            </w:tcBorders>
            <w:noWrap/>
            <w:vAlign w:val="bottom"/>
            <w:hideMark/>
          </w:tcPr>
          <w:p w14:paraId="57952B4D" w14:textId="67A506C3"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5"/>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5"/>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c>
          <w:tcPr>
            <w:tcW w:w="1252" w:type="dxa"/>
            <w:tcBorders>
              <w:top w:val="nil"/>
              <w:left w:val="nil"/>
              <w:bottom w:val="single" w:sz="4" w:space="0" w:color="auto"/>
              <w:right w:val="single" w:sz="4" w:space="0" w:color="auto"/>
            </w:tcBorders>
            <w:noWrap/>
            <w:vAlign w:val="bottom"/>
            <w:hideMark/>
          </w:tcPr>
          <w:p w14:paraId="10AB1FAA" w14:textId="03BD3E00"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24"/>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24"/>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c>
          <w:tcPr>
            <w:tcW w:w="1253" w:type="dxa"/>
            <w:tcBorders>
              <w:top w:val="nil"/>
              <w:left w:val="nil"/>
              <w:bottom w:val="single" w:sz="4" w:space="0" w:color="auto"/>
              <w:right w:val="single" w:sz="4" w:space="0" w:color="auto"/>
            </w:tcBorders>
            <w:noWrap/>
            <w:vAlign w:val="bottom"/>
            <w:hideMark/>
          </w:tcPr>
          <w:p w14:paraId="0FEA6572" w14:textId="32542031" w:rsidR="00C0157A" w:rsidRPr="00BC6008" w:rsidRDefault="00C0157A" w:rsidP="00C0157A">
            <w:pPr>
              <w:jc w:val="right"/>
              <w:rPr>
                <w:rFonts w:ascii="Arial Narrow" w:hAnsi="Arial Narrow" w:cs="Calibri"/>
                <w:color w:val="000000"/>
                <w:sz w:val="20"/>
                <w:szCs w:val="20"/>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40"/>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40"/>
                <w14:textFill>
                  <w14:solidFill>
                    <w14:srgbClr w14:val="000000">
                      <w14:alpha w14:val="100000"/>
                    </w14:srgbClr>
                  </w14:solidFill>
                </w14:textFill>
              </w:rPr>
              <w:t>|</w:t>
            </w:r>
            <w:r w:rsidR="006A70F4">
              <w:rPr>
                <w:rFonts w:ascii="Arial Narrow" w:hAnsi="Arial Narrow" w:cs="Calibri"/>
                <w:color w:val="000000"/>
                <w:sz w:val="20"/>
                <w:szCs w:val="20"/>
                <w:vertAlign w:val="superscript"/>
              </w:rPr>
              <w:t>3</w:t>
            </w:r>
          </w:p>
        </w:tc>
      </w:tr>
      <w:tr w:rsidR="00C0157A" w:rsidRPr="00C0157A" w14:paraId="6A4A54DC"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4AEB67BA" w14:textId="77777777" w:rsidR="00C0157A" w:rsidRPr="00BC6008" w:rsidRDefault="00C0157A" w:rsidP="00C0157A">
            <w:pPr>
              <w:jc w:val="left"/>
              <w:rPr>
                <w:rFonts w:ascii="Arial Narrow" w:hAnsi="Arial Narrow" w:cs="Calibri"/>
                <w:color w:val="000000"/>
                <w:sz w:val="20"/>
                <w:szCs w:val="20"/>
              </w:rPr>
            </w:pPr>
            <w:r w:rsidRPr="00BC6008">
              <w:rPr>
                <w:rFonts w:ascii="Arial Narrow" w:hAnsi="Arial Narrow" w:cs="Calibri"/>
                <w:color w:val="000000"/>
                <w:sz w:val="20"/>
                <w:szCs w:val="20"/>
              </w:rPr>
              <w:t>Subsidisation Cap 2 rebate</w:t>
            </w:r>
          </w:p>
        </w:tc>
        <w:tc>
          <w:tcPr>
            <w:tcW w:w="1252" w:type="dxa"/>
            <w:tcBorders>
              <w:top w:val="nil"/>
              <w:left w:val="nil"/>
              <w:bottom w:val="single" w:sz="4" w:space="0" w:color="auto"/>
              <w:right w:val="single" w:sz="4" w:space="0" w:color="auto"/>
            </w:tcBorders>
            <w:noWrap/>
            <w:vAlign w:val="bottom"/>
            <w:hideMark/>
          </w:tcPr>
          <w:p w14:paraId="43F72F93" w14:textId="36D2301C"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9"/>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9"/>
                <w14:textFill>
                  <w14:solidFill>
                    <w14:srgbClr w14:val="000000">
                      <w14:alpha w14:val="100000"/>
                    </w14:srgbClr>
                  </w14:solidFill>
                </w14:textFill>
              </w:rPr>
              <w:t>|</w:t>
            </w:r>
            <w:r w:rsidR="00D02150">
              <w:rPr>
                <w:rFonts w:ascii="Arial Narrow" w:hAnsi="Arial Narrow" w:cs="Calibri"/>
                <w:color w:val="000000"/>
                <w:sz w:val="20"/>
                <w:szCs w:val="20"/>
                <w:vertAlign w:val="superscript"/>
              </w:rPr>
              <w:t>4</w:t>
            </w:r>
          </w:p>
        </w:tc>
        <w:tc>
          <w:tcPr>
            <w:tcW w:w="1252" w:type="dxa"/>
            <w:tcBorders>
              <w:top w:val="nil"/>
              <w:left w:val="nil"/>
              <w:bottom w:val="single" w:sz="4" w:space="0" w:color="auto"/>
              <w:right w:val="single" w:sz="4" w:space="0" w:color="auto"/>
            </w:tcBorders>
            <w:noWrap/>
            <w:vAlign w:val="bottom"/>
            <w:hideMark/>
          </w:tcPr>
          <w:p w14:paraId="7CE8EE8B" w14:textId="5E3F9208"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8"/>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8"/>
                <w14:textFill>
                  <w14:solidFill>
                    <w14:srgbClr w14:val="000000">
                      <w14:alpha w14:val="100000"/>
                    </w14:srgbClr>
                  </w14:solidFill>
                </w14:textFill>
              </w:rPr>
              <w:t>|</w:t>
            </w:r>
            <w:r w:rsidR="00D02150">
              <w:rPr>
                <w:rFonts w:ascii="Arial Narrow" w:hAnsi="Arial Narrow" w:cs="Calibri"/>
                <w:color w:val="000000"/>
                <w:sz w:val="20"/>
                <w:szCs w:val="20"/>
                <w:vertAlign w:val="superscript"/>
              </w:rPr>
              <w:t>4</w:t>
            </w:r>
          </w:p>
        </w:tc>
        <w:tc>
          <w:tcPr>
            <w:tcW w:w="1252" w:type="dxa"/>
            <w:tcBorders>
              <w:top w:val="nil"/>
              <w:left w:val="nil"/>
              <w:bottom w:val="single" w:sz="4" w:space="0" w:color="auto"/>
              <w:right w:val="single" w:sz="4" w:space="0" w:color="auto"/>
            </w:tcBorders>
            <w:noWrap/>
            <w:vAlign w:val="bottom"/>
            <w:hideMark/>
          </w:tcPr>
          <w:p w14:paraId="0F144A07" w14:textId="46965286"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7"/>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7"/>
                <w14:textFill>
                  <w14:solidFill>
                    <w14:srgbClr w14:val="000000">
                      <w14:alpha w14:val="100000"/>
                    </w14:srgbClr>
                  </w14:solidFill>
                </w14:textFill>
              </w:rPr>
              <w:t>|</w:t>
            </w:r>
            <w:r w:rsidR="00D02150">
              <w:rPr>
                <w:rFonts w:ascii="Arial Narrow" w:hAnsi="Arial Narrow" w:cs="Calibri"/>
                <w:color w:val="000000"/>
                <w:sz w:val="20"/>
                <w:szCs w:val="20"/>
                <w:vertAlign w:val="superscript"/>
              </w:rPr>
              <w:t>4</w:t>
            </w:r>
          </w:p>
        </w:tc>
        <w:tc>
          <w:tcPr>
            <w:tcW w:w="1252" w:type="dxa"/>
            <w:tcBorders>
              <w:top w:val="nil"/>
              <w:left w:val="nil"/>
              <w:bottom w:val="single" w:sz="4" w:space="0" w:color="auto"/>
              <w:right w:val="single" w:sz="4" w:space="0" w:color="auto"/>
            </w:tcBorders>
            <w:noWrap/>
            <w:vAlign w:val="bottom"/>
            <w:hideMark/>
          </w:tcPr>
          <w:p w14:paraId="1868A804" w14:textId="544ED8F1"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6"/>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6"/>
                <w14:textFill>
                  <w14:solidFill>
                    <w14:srgbClr w14:val="000000">
                      <w14:alpha w14:val="100000"/>
                    </w14:srgbClr>
                  </w14:solidFill>
                </w14:textFill>
              </w:rPr>
              <w:t>|</w:t>
            </w:r>
            <w:r w:rsidR="00D02150">
              <w:rPr>
                <w:rFonts w:ascii="Arial Narrow" w:hAnsi="Arial Narrow" w:cs="Calibri"/>
                <w:color w:val="000000"/>
                <w:sz w:val="20"/>
                <w:szCs w:val="20"/>
                <w:vertAlign w:val="superscript"/>
              </w:rPr>
              <w:t>4</w:t>
            </w:r>
          </w:p>
        </w:tc>
        <w:tc>
          <w:tcPr>
            <w:tcW w:w="1252" w:type="dxa"/>
            <w:tcBorders>
              <w:top w:val="nil"/>
              <w:left w:val="nil"/>
              <w:bottom w:val="single" w:sz="4" w:space="0" w:color="auto"/>
              <w:right w:val="single" w:sz="4" w:space="0" w:color="auto"/>
            </w:tcBorders>
            <w:noWrap/>
            <w:vAlign w:val="bottom"/>
            <w:hideMark/>
          </w:tcPr>
          <w:p w14:paraId="02026125" w14:textId="5A6FBF86"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5"/>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5"/>
                <w14:textFill>
                  <w14:solidFill>
                    <w14:srgbClr w14:val="000000">
                      <w14:alpha w14:val="100000"/>
                    </w14:srgbClr>
                  </w14:solidFill>
                </w14:textFill>
              </w:rPr>
              <w:t>|</w:t>
            </w:r>
            <w:r w:rsidR="00D02150">
              <w:rPr>
                <w:rFonts w:ascii="Arial Narrow" w:hAnsi="Arial Narrow" w:cs="Calibri"/>
                <w:color w:val="000000"/>
                <w:sz w:val="20"/>
                <w:szCs w:val="20"/>
                <w:vertAlign w:val="superscript"/>
              </w:rPr>
              <w:t>5</w:t>
            </w:r>
          </w:p>
        </w:tc>
        <w:tc>
          <w:tcPr>
            <w:tcW w:w="1253" w:type="dxa"/>
            <w:tcBorders>
              <w:top w:val="nil"/>
              <w:left w:val="nil"/>
              <w:bottom w:val="single" w:sz="4" w:space="0" w:color="auto"/>
              <w:right w:val="single" w:sz="4" w:space="0" w:color="auto"/>
            </w:tcBorders>
            <w:noWrap/>
            <w:vAlign w:val="bottom"/>
            <w:hideMark/>
          </w:tcPr>
          <w:p w14:paraId="30558B0E" w14:textId="680DF8DE"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color w:val="000000"/>
                <w:sz w:val="20"/>
                <w:szCs w:val="20"/>
              </w:rPr>
              <w:t>$</w:t>
            </w:r>
            <w:r w:rsidR="00C546A7" w:rsidRPr="00C546A7">
              <w:rPr>
                <w:rFonts w:ascii="Arial Narrow" w:hAnsi="Arial Narrow" w:cs="Calibri"/>
                <w:color w:val="000000"/>
                <w:spacing w:val="51"/>
                <w:sz w:val="20"/>
                <w:szCs w:val="20"/>
                <w:shd w:val="solid" w:color="000000" w:fill="000000"/>
                <w:fitText w:val="324" w:id="-628400634"/>
                <w14:textFill>
                  <w14:solidFill>
                    <w14:srgbClr w14:val="000000">
                      <w14:alpha w14:val="100000"/>
                    </w14:srgbClr>
                  </w14:solidFill>
                </w14:textFill>
              </w:rPr>
              <w:t>|||</w:t>
            </w:r>
            <w:r w:rsidR="00C546A7" w:rsidRPr="00C546A7">
              <w:rPr>
                <w:rFonts w:ascii="Arial Narrow" w:hAnsi="Arial Narrow" w:cs="Calibri"/>
                <w:color w:val="000000"/>
                <w:spacing w:val="1"/>
                <w:sz w:val="20"/>
                <w:szCs w:val="20"/>
                <w:shd w:val="solid" w:color="000000" w:fill="000000"/>
                <w:fitText w:val="324" w:id="-628400634"/>
                <w14:textFill>
                  <w14:solidFill>
                    <w14:srgbClr w14:val="000000">
                      <w14:alpha w14:val="100000"/>
                    </w14:srgbClr>
                  </w14:solidFill>
                </w14:textFill>
              </w:rPr>
              <w:t>|</w:t>
            </w:r>
            <w:r w:rsidR="00D02150" w:rsidRPr="00CA4223">
              <w:rPr>
                <w:rFonts w:ascii="Arial Narrow" w:hAnsi="Arial Narrow" w:cs="Calibri"/>
                <w:color w:val="000000"/>
                <w:sz w:val="20"/>
                <w:szCs w:val="20"/>
                <w:vertAlign w:val="superscript"/>
              </w:rPr>
              <w:t>5</w:t>
            </w:r>
          </w:p>
        </w:tc>
      </w:tr>
      <w:tr w:rsidR="00C0157A" w:rsidRPr="00C0157A" w14:paraId="0004B2CB"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7453FC4D"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Total RSA rebate</w:t>
            </w:r>
          </w:p>
        </w:tc>
        <w:tc>
          <w:tcPr>
            <w:tcW w:w="1252" w:type="dxa"/>
            <w:tcBorders>
              <w:top w:val="nil"/>
              <w:left w:val="nil"/>
              <w:bottom w:val="single" w:sz="4" w:space="0" w:color="auto"/>
              <w:right w:val="single" w:sz="4" w:space="0" w:color="auto"/>
            </w:tcBorders>
            <w:noWrap/>
            <w:vAlign w:val="bottom"/>
            <w:hideMark/>
          </w:tcPr>
          <w:p w14:paraId="55030072" w14:textId="11AFAD30" w:rsidR="00C0157A" w:rsidRPr="00CA4223" w:rsidRDefault="00C0157A" w:rsidP="00C0157A">
            <w:pPr>
              <w:jc w:val="right"/>
              <w:rPr>
                <w:rFonts w:ascii="Arial Narrow" w:hAnsi="Arial Narrow" w:cs="Calibri"/>
                <w:color w:val="000000"/>
                <w:sz w:val="20"/>
                <w:szCs w:val="20"/>
                <w:vertAlign w:val="superscript"/>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33"/>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33"/>
                <w14:textFill>
                  <w14:solidFill>
                    <w14:srgbClr w14:val="000000">
                      <w14:alpha w14:val="100000"/>
                    </w14:srgbClr>
                  </w14:solidFill>
                </w14:textFill>
              </w:rPr>
              <w:t>|</w:t>
            </w:r>
            <w:r w:rsidR="00D02150">
              <w:rPr>
                <w:rFonts w:ascii="Arial Narrow" w:hAnsi="Arial Narrow" w:cs="Calibri"/>
                <w:color w:val="000000"/>
                <w:sz w:val="20"/>
                <w:szCs w:val="20"/>
                <w:vertAlign w:val="superscript"/>
              </w:rPr>
              <w:t>5</w:t>
            </w:r>
          </w:p>
        </w:tc>
        <w:tc>
          <w:tcPr>
            <w:tcW w:w="1252" w:type="dxa"/>
            <w:tcBorders>
              <w:top w:val="nil"/>
              <w:left w:val="nil"/>
              <w:bottom w:val="single" w:sz="4" w:space="0" w:color="auto"/>
              <w:right w:val="single" w:sz="4" w:space="0" w:color="auto"/>
            </w:tcBorders>
            <w:noWrap/>
            <w:vAlign w:val="bottom"/>
            <w:hideMark/>
          </w:tcPr>
          <w:p w14:paraId="6F34F399" w14:textId="504DB530"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32"/>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32"/>
                <w14:textFill>
                  <w14:solidFill>
                    <w14:srgbClr w14:val="000000">
                      <w14:alpha w14:val="100000"/>
                    </w14:srgbClr>
                  </w14:solidFill>
                </w14:textFill>
              </w:rPr>
              <w:t>|</w:t>
            </w:r>
            <w:r w:rsidR="00D02150">
              <w:rPr>
                <w:rFonts w:ascii="Arial Narrow" w:hAnsi="Arial Narrow" w:cs="Calibri"/>
                <w:color w:val="000000"/>
                <w:sz w:val="20"/>
                <w:szCs w:val="20"/>
                <w:vertAlign w:val="superscript"/>
              </w:rPr>
              <w:t>5</w:t>
            </w:r>
          </w:p>
        </w:tc>
        <w:tc>
          <w:tcPr>
            <w:tcW w:w="1252" w:type="dxa"/>
            <w:tcBorders>
              <w:top w:val="nil"/>
              <w:left w:val="nil"/>
              <w:bottom w:val="single" w:sz="4" w:space="0" w:color="auto"/>
              <w:right w:val="single" w:sz="4" w:space="0" w:color="auto"/>
            </w:tcBorders>
            <w:noWrap/>
            <w:vAlign w:val="bottom"/>
            <w:hideMark/>
          </w:tcPr>
          <w:p w14:paraId="5D721AC8" w14:textId="2B2D6A78"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31"/>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31"/>
                <w14:textFill>
                  <w14:solidFill>
                    <w14:srgbClr w14:val="000000">
                      <w14:alpha w14:val="100000"/>
                    </w14:srgbClr>
                  </w14:solidFill>
                </w14:textFill>
              </w:rPr>
              <w:t>|</w:t>
            </w:r>
            <w:r w:rsidR="00D02150">
              <w:rPr>
                <w:rFonts w:ascii="Arial Narrow" w:hAnsi="Arial Narrow" w:cs="Calibri"/>
                <w:color w:val="000000"/>
                <w:sz w:val="20"/>
                <w:szCs w:val="20"/>
                <w:vertAlign w:val="superscript"/>
              </w:rPr>
              <w:t>5</w:t>
            </w:r>
          </w:p>
        </w:tc>
        <w:tc>
          <w:tcPr>
            <w:tcW w:w="1252" w:type="dxa"/>
            <w:tcBorders>
              <w:top w:val="nil"/>
              <w:left w:val="nil"/>
              <w:bottom w:val="single" w:sz="4" w:space="0" w:color="auto"/>
              <w:right w:val="single" w:sz="4" w:space="0" w:color="auto"/>
            </w:tcBorders>
            <w:noWrap/>
            <w:vAlign w:val="bottom"/>
            <w:hideMark/>
          </w:tcPr>
          <w:p w14:paraId="7D7A6190" w14:textId="45B4481F"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30"/>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30"/>
                <w14:textFill>
                  <w14:solidFill>
                    <w14:srgbClr w14:val="000000">
                      <w14:alpha w14:val="100000"/>
                    </w14:srgbClr>
                  </w14:solidFill>
                </w14:textFill>
              </w:rPr>
              <w:t>|</w:t>
            </w:r>
            <w:r w:rsidR="00D02150">
              <w:rPr>
                <w:rFonts w:ascii="Arial Narrow" w:hAnsi="Arial Narrow" w:cs="Calibri"/>
                <w:color w:val="000000"/>
                <w:sz w:val="20"/>
                <w:szCs w:val="20"/>
                <w:vertAlign w:val="superscript"/>
              </w:rPr>
              <w:t>6</w:t>
            </w:r>
          </w:p>
        </w:tc>
        <w:tc>
          <w:tcPr>
            <w:tcW w:w="1252" w:type="dxa"/>
            <w:tcBorders>
              <w:top w:val="nil"/>
              <w:left w:val="nil"/>
              <w:bottom w:val="single" w:sz="4" w:space="0" w:color="auto"/>
              <w:right w:val="single" w:sz="4" w:space="0" w:color="auto"/>
            </w:tcBorders>
            <w:noWrap/>
            <w:vAlign w:val="bottom"/>
            <w:hideMark/>
          </w:tcPr>
          <w:p w14:paraId="5AFDDBA1" w14:textId="0230FFBF"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9"/>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9"/>
                <w14:textFill>
                  <w14:solidFill>
                    <w14:srgbClr w14:val="000000">
                      <w14:alpha w14:val="100000"/>
                    </w14:srgbClr>
                  </w14:solidFill>
                </w14:textFill>
              </w:rPr>
              <w:t>|</w:t>
            </w:r>
            <w:r w:rsidR="00D02150">
              <w:rPr>
                <w:rFonts w:ascii="Arial Narrow" w:hAnsi="Arial Narrow" w:cs="Calibri"/>
                <w:color w:val="000000"/>
                <w:sz w:val="20"/>
                <w:szCs w:val="20"/>
                <w:vertAlign w:val="superscript"/>
              </w:rPr>
              <w:t>6</w:t>
            </w:r>
          </w:p>
        </w:tc>
        <w:tc>
          <w:tcPr>
            <w:tcW w:w="1253" w:type="dxa"/>
            <w:tcBorders>
              <w:top w:val="nil"/>
              <w:left w:val="nil"/>
              <w:bottom w:val="single" w:sz="4" w:space="0" w:color="auto"/>
              <w:right w:val="single" w:sz="4" w:space="0" w:color="auto"/>
            </w:tcBorders>
            <w:noWrap/>
            <w:vAlign w:val="bottom"/>
            <w:hideMark/>
          </w:tcPr>
          <w:p w14:paraId="57DF9551" w14:textId="58FFE447"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8"/>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8"/>
                <w14:textFill>
                  <w14:solidFill>
                    <w14:srgbClr w14:val="000000">
                      <w14:alpha w14:val="100000"/>
                    </w14:srgbClr>
                  </w14:solidFill>
                </w14:textFill>
              </w:rPr>
              <w:t>|</w:t>
            </w:r>
            <w:r w:rsidR="00D02150">
              <w:rPr>
                <w:rFonts w:ascii="Arial Narrow" w:hAnsi="Arial Narrow" w:cs="Calibri"/>
                <w:color w:val="000000"/>
                <w:sz w:val="20"/>
                <w:szCs w:val="20"/>
                <w:vertAlign w:val="superscript"/>
              </w:rPr>
              <w:t>6</w:t>
            </w:r>
          </w:p>
        </w:tc>
      </w:tr>
      <w:tr w:rsidR="00C0157A" w:rsidRPr="00C0157A" w14:paraId="23D042DA" w14:textId="77777777" w:rsidTr="00BC6008">
        <w:trPr>
          <w:trHeight w:val="290"/>
        </w:trPr>
        <w:tc>
          <w:tcPr>
            <w:tcW w:w="2405" w:type="dxa"/>
            <w:tcBorders>
              <w:top w:val="nil"/>
              <w:left w:val="single" w:sz="4" w:space="0" w:color="auto"/>
              <w:bottom w:val="single" w:sz="4" w:space="0" w:color="auto"/>
              <w:right w:val="single" w:sz="4" w:space="0" w:color="auto"/>
            </w:tcBorders>
            <w:noWrap/>
            <w:vAlign w:val="bottom"/>
            <w:hideMark/>
          </w:tcPr>
          <w:p w14:paraId="62689255" w14:textId="77777777" w:rsidR="00C0157A" w:rsidRPr="00BC6008" w:rsidRDefault="00C0157A" w:rsidP="00C0157A">
            <w:pPr>
              <w:jc w:val="left"/>
              <w:rPr>
                <w:rFonts w:ascii="Arial Narrow" w:hAnsi="Arial Narrow" w:cs="Calibri"/>
                <w:b/>
                <w:bCs/>
                <w:color w:val="000000"/>
                <w:sz w:val="20"/>
                <w:szCs w:val="20"/>
              </w:rPr>
            </w:pPr>
            <w:r w:rsidRPr="00BC6008">
              <w:rPr>
                <w:rFonts w:ascii="Arial Narrow" w:hAnsi="Arial Narrow" w:cs="Calibri"/>
                <w:b/>
                <w:bCs/>
                <w:color w:val="000000"/>
                <w:sz w:val="20"/>
                <w:szCs w:val="20"/>
              </w:rPr>
              <w:t>Estimated cost to PBS/RPBS after RSA rebates</w:t>
            </w:r>
          </w:p>
        </w:tc>
        <w:tc>
          <w:tcPr>
            <w:tcW w:w="1252" w:type="dxa"/>
            <w:tcBorders>
              <w:top w:val="nil"/>
              <w:left w:val="nil"/>
              <w:bottom w:val="single" w:sz="4" w:space="0" w:color="auto"/>
              <w:right w:val="single" w:sz="4" w:space="0" w:color="auto"/>
            </w:tcBorders>
            <w:noWrap/>
            <w:vAlign w:val="bottom"/>
            <w:hideMark/>
          </w:tcPr>
          <w:p w14:paraId="60C2AAAF" w14:textId="545A831F"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7"/>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7"/>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271AD351" w14:textId="2818A541"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6"/>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6"/>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4B2998CD" w14:textId="614DFEAC"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5"/>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5"/>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15D7CA2A" w14:textId="4ADF22E9"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24"/>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24"/>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c>
          <w:tcPr>
            <w:tcW w:w="1252" w:type="dxa"/>
            <w:tcBorders>
              <w:top w:val="nil"/>
              <w:left w:val="nil"/>
              <w:bottom w:val="single" w:sz="4" w:space="0" w:color="auto"/>
              <w:right w:val="single" w:sz="4" w:space="0" w:color="auto"/>
            </w:tcBorders>
            <w:noWrap/>
            <w:vAlign w:val="bottom"/>
            <w:hideMark/>
          </w:tcPr>
          <w:p w14:paraId="127370FF" w14:textId="2C265602"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40"/>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40"/>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c>
          <w:tcPr>
            <w:tcW w:w="1253" w:type="dxa"/>
            <w:tcBorders>
              <w:top w:val="nil"/>
              <w:left w:val="nil"/>
              <w:bottom w:val="single" w:sz="4" w:space="0" w:color="auto"/>
              <w:right w:val="single" w:sz="4" w:space="0" w:color="auto"/>
            </w:tcBorders>
            <w:noWrap/>
            <w:vAlign w:val="bottom"/>
            <w:hideMark/>
          </w:tcPr>
          <w:p w14:paraId="71C2A1E7" w14:textId="068141C1" w:rsidR="00C0157A" w:rsidRPr="00BC6008" w:rsidRDefault="00C0157A" w:rsidP="00C0157A">
            <w:pPr>
              <w:jc w:val="right"/>
              <w:rPr>
                <w:rFonts w:ascii="Arial Narrow" w:hAnsi="Arial Narrow" w:cs="Calibri"/>
                <w:b/>
                <w:bCs/>
                <w:color w:val="000000"/>
                <w:sz w:val="20"/>
                <w:szCs w:val="20"/>
              </w:rPr>
            </w:pPr>
            <w:r w:rsidRPr="00BC6008">
              <w:rPr>
                <w:rFonts w:ascii="Arial Narrow" w:hAnsi="Arial Narrow" w:cs="Calibri"/>
                <w:b/>
                <w:bCs/>
                <w:color w:val="000000"/>
                <w:sz w:val="20"/>
                <w:szCs w:val="20"/>
              </w:rPr>
              <w:t>$</w:t>
            </w:r>
            <w:r w:rsidR="00C546A7" w:rsidRPr="00C546A7">
              <w:rPr>
                <w:rFonts w:ascii="Arial Narrow" w:hAnsi="Arial Narrow" w:cs="Calibri"/>
                <w:b/>
                <w:bCs/>
                <w:color w:val="000000"/>
                <w:spacing w:val="54"/>
                <w:sz w:val="20"/>
                <w:szCs w:val="20"/>
                <w:shd w:val="solid" w:color="000000" w:fill="000000"/>
                <w:fitText w:val="348" w:id="-628400639"/>
                <w14:textFill>
                  <w14:solidFill>
                    <w14:srgbClr w14:val="000000">
                      <w14:alpha w14:val="100000"/>
                    </w14:srgbClr>
                  </w14:solidFill>
                </w14:textFill>
              </w:rPr>
              <w:t>|||</w:t>
            </w:r>
            <w:r w:rsidR="00C546A7" w:rsidRPr="00C546A7">
              <w:rPr>
                <w:rFonts w:ascii="Arial Narrow" w:hAnsi="Arial Narrow" w:cs="Calibri"/>
                <w:b/>
                <w:bCs/>
                <w:color w:val="000000"/>
                <w:spacing w:val="3"/>
                <w:sz w:val="20"/>
                <w:szCs w:val="20"/>
                <w:shd w:val="solid" w:color="000000" w:fill="000000"/>
                <w:fitText w:val="348" w:id="-628400639"/>
                <w14:textFill>
                  <w14:solidFill>
                    <w14:srgbClr w14:val="000000">
                      <w14:alpha w14:val="100000"/>
                    </w14:srgbClr>
                  </w14:solidFill>
                </w14:textFill>
              </w:rPr>
              <w:t>|</w:t>
            </w:r>
            <w:r w:rsidR="00CA4223">
              <w:rPr>
                <w:rFonts w:ascii="Arial Narrow" w:hAnsi="Arial Narrow" w:cs="Calibri"/>
                <w:color w:val="000000"/>
                <w:sz w:val="20"/>
                <w:szCs w:val="20"/>
                <w:vertAlign w:val="superscript"/>
              </w:rPr>
              <w:t>1</w:t>
            </w:r>
          </w:p>
        </w:tc>
      </w:tr>
    </w:tbl>
    <w:p w14:paraId="59A88207" w14:textId="70691897" w:rsidR="00D9076F" w:rsidRPr="00FA40FF" w:rsidRDefault="00C0157A" w:rsidP="00AE4F6B">
      <w:pPr>
        <w:pStyle w:val="TableFigureFooter"/>
        <w:jc w:val="left"/>
        <w:rPr>
          <w:i/>
          <w:iCs/>
        </w:rPr>
      </w:pPr>
      <w:r w:rsidRPr="00BC6008">
        <w:t>Source: Table</w:t>
      </w:r>
      <w:r w:rsidR="00D83017" w:rsidRPr="00BC6008">
        <w:t xml:space="preserve"> 31 of the submission</w:t>
      </w:r>
      <w:r w:rsidR="00F16420">
        <w:br/>
      </w:r>
      <w:r w:rsidR="00F16420">
        <w:rPr>
          <w:i/>
          <w:iCs/>
        </w:rPr>
        <w:t>The redacted values correspond to the following ranges:</w:t>
      </w:r>
      <w:r w:rsidR="00F16420">
        <w:rPr>
          <w:i/>
          <w:iCs/>
        </w:rPr>
        <w:br/>
      </w:r>
      <w:r w:rsidR="00F16420">
        <w:rPr>
          <w:i/>
          <w:iCs/>
          <w:vertAlign w:val="superscript"/>
        </w:rPr>
        <w:t>1</w:t>
      </w:r>
      <w:r w:rsidR="00F16420">
        <w:rPr>
          <w:i/>
          <w:iCs/>
        </w:rPr>
        <w:t xml:space="preserve"> $300 million to &lt; $400 million</w:t>
      </w:r>
      <w:r w:rsidR="00F16420">
        <w:rPr>
          <w:i/>
          <w:iCs/>
        </w:rPr>
        <w:br/>
      </w:r>
      <w:r w:rsidR="00F16420">
        <w:rPr>
          <w:i/>
          <w:iCs/>
          <w:vertAlign w:val="superscript"/>
        </w:rPr>
        <w:t>2</w:t>
      </w:r>
      <w:r w:rsidR="00F16420">
        <w:rPr>
          <w:i/>
          <w:iCs/>
        </w:rPr>
        <w:t xml:space="preserve"> $200 million to &lt; $</w:t>
      </w:r>
      <w:r w:rsidR="00AE4F6B">
        <w:rPr>
          <w:i/>
          <w:iCs/>
        </w:rPr>
        <w:t>300 million</w:t>
      </w:r>
      <w:r w:rsidR="00717B49">
        <w:rPr>
          <w:i/>
          <w:iCs/>
        </w:rPr>
        <w:br/>
      </w:r>
      <w:r w:rsidR="00717B49">
        <w:rPr>
          <w:i/>
          <w:iCs/>
          <w:vertAlign w:val="superscript"/>
        </w:rPr>
        <w:t xml:space="preserve">3 </w:t>
      </w:r>
      <w:r w:rsidR="00717B49">
        <w:rPr>
          <w:i/>
          <w:iCs/>
        </w:rPr>
        <w:t>$</w:t>
      </w:r>
      <w:r w:rsidR="006B1C0B">
        <w:rPr>
          <w:i/>
          <w:iCs/>
        </w:rPr>
        <w:t>10 million to &lt; $20 million</w:t>
      </w:r>
      <w:r w:rsidR="006B1C0B">
        <w:rPr>
          <w:i/>
          <w:iCs/>
        </w:rPr>
        <w:br/>
      </w:r>
      <w:r w:rsidR="006B1C0B">
        <w:rPr>
          <w:i/>
          <w:iCs/>
          <w:vertAlign w:val="superscript"/>
        </w:rPr>
        <w:t>4</w:t>
      </w:r>
      <w:r w:rsidR="006B1C0B">
        <w:rPr>
          <w:i/>
          <w:iCs/>
        </w:rPr>
        <w:t xml:space="preserve"> $30 million to &lt; $40 million</w:t>
      </w:r>
      <w:r w:rsidR="006B1C0B">
        <w:rPr>
          <w:i/>
          <w:iCs/>
        </w:rPr>
        <w:br/>
      </w:r>
      <w:r w:rsidR="006B1C0B">
        <w:rPr>
          <w:i/>
          <w:iCs/>
          <w:vertAlign w:val="superscript"/>
        </w:rPr>
        <w:t>5</w:t>
      </w:r>
      <w:r w:rsidR="006B1C0B">
        <w:rPr>
          <w:i/>
          <w:iCs/>
        </w:rPr>
        <w:t xml:space="preserve"> $40 million to &lt; $50 million</w:t>
      </w:r>
      <w:r w:rsidR="00FA40FF">
        <w:rPr>
          <w:i/>
          <w:iCs/>
        </w:rPr>
        <w:br/>
      </w:r>
      <w:r w:rsidR="00FA40FF">
        <w:rPr>
          <w:i/>
          <w:iCs/>
          <w:vertAlign w:val="superscript"/>
        </w:rPr>
        <w:t>6</w:t>
      </w:r>
      <w:r w:rsidR="00FA40FF">
        <w:rPr>
          <w:i/>
          <w:iCs/>
        </w:rPr>
        <w:t xml:space="preserve"> $50 million to &lt; $60 million</w:t>
      </w:r>
    </w:p>
    <w:p w14:paraId="1BE525CA" w14:textId="2D8E7399" w:rsidR="001E4048" w:rsidRPr="00E96B33" w:rsidRDefault="001E4048" w:rsidP="001E4048">
      <w:pPr>
        <w:pStyle w:val="3-BodyText"/>
      </w:pPr>
      <w:r w:rsidRPr="008C1502">
        <w:t>The financial estimates for both current listings and new/additional listing are projected by the Sponsor to be stable over the six years of the forward estimates.</w:t>
      </w:r>
      <w:r>
        <w:t xml:space="preserve"> </w:t>
      </w:r>
    </w:p>
    <w:p w14:paraId="0237C47D" w14:textId="11A2DD4C" w:rsidR="00E96B33" w:rsidRPr="00E96B33" w:rsidRDefault="00E96B33" w:rsidP="001E4048">
      <w:pPr>
        <w:pStyle w:val="3-BodyText"/>
      </w:pPr>
      <w:r w:rsidRPr="00E96B33">
        <w:t>The Pre-</w:t>
      </w:r>
      <w:r w:rsidR="00BC3059">
        <w:t>PBAC</w:t>
      </w:r>
      <w:r w:rsidR="00BC3059" w:rsidRPr="00E96B33">
        <w:t xml:space="preserve"> </w:t>
      </w:r>
      <w:r w:rsidRPr="00E96B33">
        <w:t>Response</w:t>
      </w:r>
      <w:r>
        <w:t xml:space="preserve"> stated</w:t>
      </w:r>
      <w:r w:rsidR="00F433E5">
        <w:t xml:space="preserve"> the sponsor may consider a simplified RSA structure that consolidated the discount into a single rebate applied after SC1.</w:t>
      </w:r>
    </w:p>
    <w:p w14:paraId="23C62F4A" w14:textId="2F12501F" w:rsidR="00FF01B5" w:rsidRPr="00990C99" w:rsidRDefault="00FF01B5" w:rsidP="008C1502">
      <w:pPr>
        <w:pStyle w:val="4-SubsectionHeading"/>
      </w:pPr>
      <w:r w:rsidRPr="00FE36E6">
        <w:t xml:space="preserve">Governance framework for the </w:t>
      </w:r>
      <w:r w:rsidR="00A752E6">
        <w:t>RSA</w:t>
      </w:r>
      <w:r>
        <w:t xml:space="preserve"> </w:t>
      </w:r>
    </w:p>
    <w:p w14:paraId="76224066" w14:textId="041DBBD3" w:rsidR="00FF01B5" w:rsidRDefault="00FF01B5" w:rsidP="008C1502">
      <w:pPr>
        <w:pStyle w:val="3-BodyText"/>
        <w:rPr>
          <w:snapToGrid w:val="0"/>
        </w:rPr>
      </w:pPr>
      <w:r>
        <w:t>To manage the risk to both parties of using a</w:t>
      </w:r>
      <w:r w:rsidR="00A752E6">
        <w:t>n RSA</w:t>
      </w:r>
      <w:r>
        <w:t xml:space="preserve"> to achieve an acceptably cost-effective price, the </w:t>
      </w:r>
      <w:r w:rsidR="008D3F36">
        <w:t xml:space="preserve">submission </w:t>
      </w:r>
      <w:r>
        <w:t>propos</w:t>
      </w:r>
      <w:r w:rsidR="004D146F">
        <w:t>es</w:t>
      </w:r>
      <w:r>
        <w:t xml:space="preserve"> </w:t>
      </w:r>
      <w:r>
        <w:rPr>
          <w:snapToGrid w:val="0"/>
        </w:rPr>
        <w:t xml:space="preserve">that any potential agreement should </w:t>
      </w:r>
      <w:r>
        <w:rPr>
          <w:snapToGrid w:val="0"/>
        </w:rPr>
        <w:lastRenderedPageBreak/>
        <w:t xml:space="preserve">incorporate an annual review. </w:t>
      </w:r>
      <w:r w:rsidR="009A69A7">
        <w:rPr>
          <w:snapToGrid w:val="0"/>
        </w:rPr>
        <w:t>The sponsor indicated it could work in a similar way to a Managed Access Program</w:t>
      </w:r>
      <w:r w:rsidR="00F23D9D">
        <w:rPr>
          <w:snapToGrid w:val="0"/>
        </w:rPr>
        <w:t xml:space="preserve"> specific to this proposal.</w:t>
      </w:r>
      <w:r w:rsidR="004D146F">
        <w:rPr>
          <w:snapToGrid w:val="0"/>
        </w:rPr>
        <w:t xml:space="preserve"> </w:t>
      </w:r>
    </w:p>
    <w:p w14:paraId="3D96FF3F" w14:textId="08DADA7D" w:rsidR="00FF01B5" w:rsidRDefault="00FF01B5" w:rsidP="008C1502">
      <w:pPr>
        <w:pStyle w:val="3-BodyText"/>
      </w:pPr>
      <w:r>
        <w:t xml:space="preserve">The </w:t>
      </w:r>
      <w:r w:rsidR="00CD34CE">
        <w:t>submission</w:t>
      </w:r>
      <w:r>
        <w:t xml:space="preserve"> proposed that the annual review include</w:t>
      </w:r>
      <w:r w:rsidR="00CD34CE">
        <w:t>:</w:t>
      </w:r>
    </w:p>
    <w:p w14:paraId="64CAE110" w14:textId="3A501F0A" w:rsidR="00FF01B5" w:rsidRPr="008C1502" w:rsidRDefault="00FF01B5" w:rsidP="008C1502">
      <w:pPr>
        <w:pStyle w:val="ListParagraph"/>
      </w:pPr>
      <w:r w:rsidRPr="008C1502">
        <w:t>Update</w:t>
      </w:r>
      <w:r w:rsidR="00943496">
        <w:t>s</w:t>
      </w:r>
      <w:r w:rsidRPr="008C1502">
        <w:t xml:space="preserve"> from the Sponsor re: data disclosure dates for future indications.</w:t>
      </w:r>
    </w:p>
    <w:p w14:paraId="56290019" w14:textId="77777777" w:rsidR="00FF01B5" w:rsidRPr="008C1502" w:rsidRDefault="00FF01B5" w:rsidP="008C1502">
      <w:pPr>
        <w:pStyle w:val="ListParagraph"/>
        <w:rPr>
          <w:rFonts w:eastAsia="Calibri"/>
        </w:rPr>
      </w:pPr>
      <w:r w:rsidRPr="008C1502">
        <w:rPr>
          <w:rFonts w:eastAsia="Calibri"/>
        </w:rPr>
        <w:t>Review of PBS sales data for previous year.</w:t>
      </w:r>
    </w:p>
    <w:p w14:paraId="7DF59E63" w14:textId="1F21CFD3" w:rsidR="00FF01B5" w:rsidRPr="008C1502" w:rsidRDefault="00FF01B5" w:rsidP="008C1502">
      <w:pPr>
        <w:pStyle w:val="ListParagraph"/>
      </w:pPr>
      <w:r w:rsidRPr="008C1502">
        <w:t xml:space="preserve">Discussion on potential impact of </w:t>
      </w:r>
      <w:r w:rsidR="00891121">
        <w:t>the update from the sponsor on data disclosure for future indications</w:t>
      </w:r>
      <w:r w:rsidRPr="008C1502">
        <w:t xml:space="preserve"> and </w:t>
      </w:r>
      <w:r w:rsidR="00891121">
        <w:t>the review of PBS sales data for the previous year</w:t>
      </w:r>
      <w:r w:rsidRPr="008C1502">
        <w:t xml:space="preserve"> on financial estimates for NIVO±IPI for current and future indications.</w:t>
      </w:r>
    </w:p>
    <w:p w14:paraId="52CA3DF7" w14:textId="77777777" w:rsidR="00FF01B5" w:rsidRPr="008C1502" w:rsidRDefault="00FF01B5" w:rsidP="008C1502">
      <w:pPr>
        <w:pStyle w:val="ListParagraph"/>
      </w:pPr>
      <w:r w:rsidRPr="008C1502">
        <w:t>Discussion on a formalised process for PBAC consideration of information/ outcomes from the annual meeting (akin to a Managed Access Program).</w:t>
      </w:r>
    </w:p>
    <w:p w14:paraId="49678781" w14:textId="51DA8B99" w:rsidR="00FF01B5" w:rsidRPr="00F433E5" w:rsidRDefault="007304A5" w:rsidP="00EB4E80">
      <w:pPr>
        <w:pStyle w:val="3-BodyText"/>
        <w:numPr>
          <w:ilvl w:val="1"/>
          <w:numId w:val="45"/>
        </w:numPr>
        <w:rPr>
          <w:rFonts w:cs="Arial"/>
          <w:b/>
          <w:snapToGrid w:val="0"/>
          <w:sz w:val="32"/>
          <w:szCs w:val="32"/>
        </w:rPr>
      </w:pPr>
      <w:r w:rsidRPr="0079739E">
        <w:rPr>
          <w:snapToGrid w:val="0"/>
        </w:rPr>
        <w:t>The PBAC note</w:t>
      </w:r>
      <w:r w:rsidR="0079739E" w:rsidRPr="0079739E">
        <w:rPr>
          <w:snapToGrid w:val="0"/>
        </w:rPr>
        <w:t>d</w:t>
      </w:r>
      <w:r w:rsidRPr="0079739E">
        <w:rPr>
          <w:snapToGrid w:val="0"/>
        </w:rPr>
        <w:t xml:space="preserve"> that </w:t>
      </w:r>
      <w:r w:rsidR="007E6082" w:rsidRPr="0079739E">
        <w:rPr>
          <w:snapToGrid w:val="0"/>
        </w:rPr>
        <w:t xml:space="preserve">in creating a </w:t>
      </w:r>
      <w:r w:rsidR="000C3CB9" w:rsidRPr="0079739E">
        <w:rPr>
          <w:snapToGrid w:val="0"/>
        </w:rPr>
        <w:t xml:space="preserve">new </w:t>
      </w:r>
      <w:r w:rsidR="00841F97" w:rsidRPr="0079739E">
        <w:rPr>
          <w:snapToGrid w:val="0"/>
        </w:rPr>
        <w:t xml:space="preserve">cap arrangement </w:t>
      </w:r>
      <w:r w:rsidR="005F1E74" w:rsidRPr="0079739E">
        <w:rPr>
          <w:snapToGrid w:val="0"/>
        </w:rPr>
        <w:t xml:space="preserve">for a broad listing, nivolumab and ipilimumab would </w:t>
      </w:r>
      <w:r w:rsidR="00FA19CB" w:rsidRPr="0079739E">
        <w:rPr>
          <w:snapToGrid w:val="0"/>
        </w:rPr>
        <w:t xml:space="preserve">need to be removed from </w:t>
      </w:r>
      <w:r w:rsidR="00AA774D" w:rsidRPr="0079739E">
        <w:rPr>
          <w:snapToGrid w:val="0"/>
        </w:rPr>
        <w:t xml:space="preserve">some </w:t>
      </w:r>
      <w:r w:rsidR="00FA19CB" w:rsidRPr="0079739E">
        <w:rPr>
          <w:snapToGrid w:val="0"/>
        </w:rPr>
        <w:t xml:space="preserve">existing </w:t>
      </w:r>
      <w:r w:rsidR="00786BED" w:rsidRPr="0079739E">
        <w:rPr>
          <w:snapToGrid w:val="0"/>
        </w:rPr>
        <w:t xml:space="preserve">shared </w:t>
      </w:r>
      <w:r w:rsidR="00FA19CB" w:rsidRPr="0079739E">
        <w:rPr>
          <w:snapToGrid w:val="0"/>
        </w:rPr>
        <w:t>RSAs</w:t>
      </w:r>
      <w:r w:rsidR="00124C46" w:rsidRPr="0079739E">
        <w:rPr>
          <w:snapToGrid w:val="0"/>
        </w:rPr>
        <w:t xml:space="preserve"> (melanoma</w:t>
      </w:r>
      <w:r w:rsidR="00143A24" w:rsidRPr="0079739E">
        <w:rPr>
          <w:snapToGrid w:val="0"/>
        </w:rPr>
        <w:t xml:space="preserve"> combined resected</w:t>
      </w:r>
      <w:r w:rsidR="002B74AF" w:rsidRPr="0079739E">
        <w:rPr>
          <w:snapToGrid w:val="0"/>
        </w:rPr>
        <w:t>/</w:t>
      </w:r>
      <w:r w:rsidR="00631510" w:rsidRPr="0079739E">
        <w:rPr>
          <w:snapToGrid w:val="0"/>
        </w:rPr>
        <w:t xml:space="preserve">unresectable; </w:t>
      </w:r>
      <w:r w:rsidR="008A591D" w:rsidRPr="0079739E">
        <w:rPr>
          <w:snapToGrid w:val="0"/>
        </w:rPr>
        <w:t xml:space="preserve">NSCLC; </w:t>
      </w:r>
      <w:r w:rsidR="00C422A0" w:rsidRPr="0079739E">
        <w:rPr>
          <w:snapToGrid w:val="0"/>
        </w:rPr>
        <w:t xml:space="preserve">RCC; </w:t>
      </w:r>
      <w:r w:rsidR="003B69DF" w:rsidRPr="0079739E">
        <w:rPr>
          <w:snapToGrid w:val="0"/>
        </w:rPr>
        <w:t xml:space="preserve">SCCHN; </w:t>
      </w:r>
      <w:r w:rsidR="00196A64" w:rsidRPr="0079739E">
        <w:rPr>
          <w:snapToGrid w:val="0"/>
        </w:rPr>
        <w:t>gastro-oesophageal</w:t>
      </w:r>
      <w:r w:rsidR="00E22A4B" w:rsidRPr="0079739E">
        <w:rPr>
          <w:snapToGrid w:val="0"/>
        </w:rPr>
        <w:t xml:space="preserve"> combined with adjuvant</w:t>
      </w:r>
      <w:r w:rsidR="00AE79F2" w:rsidRPr="0079739E">
        <w:rPr>
          <w:snapToGrid w:val="0"/>
        </w:rPr>
        <w:t>).</w:t>
      </w:r>
    </w:p>
    <w:p w14:paraId="1C41E4C0" w14:textId="377A230B" w:rsidR="00F433E5" w:rsidRPr="00EB4E80" w:rsidRDefault="0028343D" w:rsidP="00EB4E80">
      <w:pPr>
        <w:pStyle w:val="3-BodyText"/>
        <w:numPr>
          <w:ilvl w:val="1"/>
          <w:numId w:val="45"/>
        </w:numPr>
        <w:rPr>
          <w:rFonts w:cs="Arial"/>
          <w:b/>
          <w:snapToGrid w:val="0"/>
          <w:sz w:val="32"/>
          <w:szCs w:val="32"/>
        </w:rPr>
      </w:pPr>
      <w:r>
        <w:rPr>
          <w:snapToGrid w:val="0"/>
        </w:rPr>
        <w:t>The p</w:t>
      </w:r>
      <w:r w:rsidR="00F433E5">
        <w:rPr>
          <w:snapToGrid w:val="0"/>
        </w:rPr>
        <w:t>re-PBAC</w:t>
      </w:r>
      <w:r>
        <w:rPr>
          <w:snapToGrid w:val="0"/>
        </w:rPr>
        <w:t xml:space="preserve"> response proposed a 2-year review initiated by sponsor submission of utilisation</w:t>
      </w:r>
      <w:r w:rsidR="00586F57">
        <w:rPr>
          <w:snapToGrid w:val="0"/>
        </w:rPr>
        <w:t xml:space="preserve"> </w:t>
      </w:r>
      <w:r w:rsidR="002A0B33">
        <w:rPr>
          <w:snapToGrid w:val="0"/>
        </w:rPr>
        <w:t xml:space="preserve">since PBS listing. The measures would </w:t>
      </w:r>
      <w:r w:rsidR="00586F57">
        <w:rPr>
          <w:snapToGrid w:val="0"/>
        </w:rPr>
        <w:t>focus</w:t>
      </w:r>
      <w:r w:rsidR="002A0B33">
        <w:rPr>
          <w:snapToGrid w:val="0"/>
        </w:rPr>
        <w:t xml:space="preserve"> on whether </w:t>
      </w:r>
      <w:r w:rsidR="000566F9">
        <w:rPr>
          <w:snapToGrid w:val="0"/>
        </w:rPr>
        <w:t>utilisation</w:t>
      </w:r>
      <w:r w:rsidR="00586F57">
        <w:rPr>
          <w:snapToGrid w:val="0"/>
        </w:rPr>
        <w:t xml:space="preserve"> </w:t>
      </w:r>
      <w:r w:rsidR="002A0B33">
        <w:rPr>
          <w:snapToGrid w:val="0"/>
        </w:rPr>
        <w:t xml:space="preserve">was in line with the agreed estimates and to consider whether </w:t>
      </w:r>
      <w:r w:rsidR="005F1995">
        <w:rPr>
          <w:snapToGrid w:val="0"/>
        </w:rPr>
        <w:t>early-stage</w:t>
      </w:r>
      <w:r w:rsidR="002A0B33">
        <w:rPr>
          <w:snapToGrid w:val="0"/>
        </w:rPr>
        <w:t xml:space="preserve"> listings had impacted that </w:t>
      </w:r>
      <w:r w:rsidR="00586F57">
        <w:rPr>
          <w:snapToGrid w:val="0"/>
        </w:rPr>
        <w:t>utilisation</w:t>
      </w:r>
      <w:r w:rsidR="00EB589F">
        <w:rPr>
          <w:snapToGrid w:val="0"/>
        </w:rPr>
        <w:t>. The sponsor noted reliance on the framework would be minimised to the degree the RSA and estimates</w:t>
      </w:r>
      <w:r w:rsidR="00586F57">
        <w:rPr>
          <w:snapToGrid w:val="0"/>
        </w:rPr>
        <w:t xml:space="preserve"> were set in a manner that </w:t>
      </w:r>
      <w:r w:rsidR="00916E13">
        <w:rPr>
          <w:snapToGrid w:val="0"/>
        </w:rPr>
        <w:t xml:space="preserve">ensured proposed expenditure was reasonable and </w:t>
      </w:r>
      <w:r w:rsidR="00586F57">
        <w:rPr>
          <w:snapToGrid w:val="0"/>
        </w:rPr>
        <w:t>did not result in the caps being exceeded.</w:t>
      </w:r>
      <w:r w:rsidR="00916E13">
        <w:rPr>
          <w:snapToGrid w:val="0"/>
        </w:rPr>
        <w:t xml:space="preserve"> The sponsor </w:t>
      </w:r>
      <w:r w:rsidR="005E42F2">
        <w:rPr>
          <w:snapToGrid w:val="0"/>
        </w:rPr>
        <w:t xml:space="preserve">acknowledged </w:t>
      </w:r>
      <w:r w:rsidR="00916E13">
        <w:rPr>
          <w:snapToGrid w:val="0"/>
        </w:rPr>
        <w:t xml:space="preserve">the final </w:t>
      </w:r>
      <w:r w:rsidR="005E42F2">
        <w:rPr>
          <w:snapToGrid w:val="0"/>
        </w:rPr>
        <w:t xml:space="preserve">details of any framework would need to be negotiated with the Department </w:t>
      </w:r>
      <w:r w:rsidR="00C41C91">
        <w:rPr>
          <w:snapToGrid w:val="0"/>
        </w:rPr>
        <w:t>in the post-PBAC process.</w:t>
      </w:r>
    </w:p>
    <w:p w14:paraId="0DBB29BD" w14:textId="3C6C2999" w:rsidR="0063478E" w:rsidRPr="008C1502" w:rsidRDefault="006A5F10" w:rsidP="008C1502">
      <w:pPr>
        <w:pStyle w:val="2-SectionHeading"/>
      </w:pPr>
      <w:r w:rsidRPr="008C1502">
        <w:t>A</w:t>
      </w:r>
      <w:r w:rsidR="0063478E" w:rsidRPr="008C1502">
        <w:t>dditional indications</w:t>
      </w:r>
      <w:r w:rsidRPr="008C1502">
        <w:t>/usage</w:t>
      </w:r>
    </w:p>
    <w:p w14:paraId="0B54213E" w14:textId="01536D5B" w:rsidR="007275F4" w:rsidRPr="008C1502" w:rsidRDefault="00923711" w:rsidP="008C1502">
      <w:pPr>
        <w:pStyle w:val="3-BodyText"/>
      </w:pPr>
      <w:r w:rsidRPr="008C1502">
        <w:t>The Sponsor acknowledge</w:t>
      </w:r>
      <w:r w:rsidR="00CB194D">
        <w:t>d</w:t>
      </w:r>
      <w:r w:rsidRPr="008C1502">
        <w:t xml:space="preserve"> the difficulty in accurately </w:t>
      </w:r>
      <w:r w:rsidR="00845981" w:rsidRPr="008C1502">
        <w:t>predict</w:t>
      </w:r>
      <w:r w:rsidRPr="008C1502">
        <w:t>ing</w:t>
      </w:r>
      <w:r w:rsidR="00BA2C30" w:rsidRPr="008C1502">
        <w:t xml:space="preserve"> the following inputs in </w:t>
      </w:r>
      <w:r w:rsidR="0017011D" w:rsidRPr="008C1502">
        <w:t>the financial forecasts</w:t>
      </w:r>
    </w:p>
    <w:p w14:paraId="5FC76ADD" w14:textId="7CBC9223" w:rsidR="007275F4" w:rsidRDefault="00923711" w:rsidP="007275F4">
      <w:pPr>
        <w:pStyle w:val="3-BodyText"/>
        <w:numPr>
          <w:ilvl w:val="0"/>
          <w:numId w:val="24"/>
        </w:numPr>
        <w:spacing w:before="0" w:after="0"/>
      </w:pPr>
      <w:r>
        <w:t>future patient numbers</w:t>
      </w:r>
    </w:p>
    <w:p w14:paraId="59708790" w14:textId="0CBD6D37" w:rsidR="00A27515" w:rsidRDefault="00A27515" w:rsidP="00BB2C34">
      <w:pPr>
        <w:pStyle w:val="3-BodyText"/>
        <w:numPr>
          <w:ilvl w:val="1"/>
          <w:numId w:val="24"/>
        </w:numPr>
        <w:spacing w:before="0" w:after="0"/>
      </w:pPr>
      <w:r>
        <w:t>uptake is assumed constant across the 6 years</w:t>
      </w:r>
    </w:p>
    <w:p w14:paraId="45ABF05C" w14:textId="66CBF82A" w:rsidR="003B48FB" w:rsidRDefault="009A0A3E" w:rsidP="009A0A3E">
      <w:pPr>
        <w:pStyle w:val="3-BodyText"/>
        <w:numPr>
          <w:ilvl w:val="1"/>
          <w:numId w:val="24"/>
        </w:numPr>
        <w:spacing w:before="0" w:after="0"/>
      </w:pPr>
      <w:r>
        <w:t xml:space="preserve">for some settings it is difficult to accurately predict </w:t>
      </w:r>
      <w:r w:rsidR="003B48FB">
        <w:t xml:space="preserve">patient numbers (e.g., </w:t>
      </w:r>
      <w:r w:rsidR="009A58F5">
        <w:t xml:space="preserve">retreatment, </w:t>
      </w:r>
      <w:r w:rsidR="003B48FB">
        <w:t>rare</w:t>
      </w:r>
      <w:r w:rsidR="009A58F5">
        <w:t xml:space="preserve"> cancers)</w:t>
      </w:r>
      <w:r w:rsidR="003B48FB">
        <w:t xml:space="preserve"> </w:t>
      </w:r>
    </w:p>
    <w:p w14:paraId="11FCB2AE" w14:textId="181A5980" w:rsidR="00594167" w:rsidRDefault="00594167" w:rsidP="002A6F9A">
      <w:pPr>
        <w:pStyle w:val="3-BodyText"/>
        <w:numPr>
          <w:ilvl w:val="1"/>
          <w:numId w:val="24"/>
        </w:numPr>
        <w:spacing w:before="0" w:after="0"/>
      </w:pPr>
      <w:r>
        <w:t>the utilisation in</w:t>
      </w:r>
      <w:r w:rsidR="0072528E">
        <w:t xml:space="preserve"> </w:t>
      </w:r>
      <w:r w:rsidR="002A3B4E">
        <w:t>1L UC</w:t>
      </w:r>
      <w:r>
        <w:t xml:space="preserve"> will be impacted if a listing for </w:t>
      </w:r>
      <w:proofErr w:type="spellStart"/>
      <w:r w:rsidR="00D908D9">
        <w:t>enfortumab</w:t>
      </w:r>
      <w:proofErr w:type="spellEnd"/>
      <w:r w:rsidR="00D908D9">
        <w:t>-vedotin</w:t>
      </w:r>
      <w:r w:rsidR="004A459A">
        <w:t xml:space="preserve"> with </w:t>
      </w:r>
      <w:r w:rsidR="00D908D9">
        <w:t xml:space="preserve">pembrolizumab is </w:t>
      </w:r>
      <w:r>
        <w:t>implemented</w:t>
      </w:r>
    </w:p>
    <w:p w14:paraId="6E0D2912" w14:textId="73BDD1DE" w:rsidR="005A0ED2" w:rsidRDefault="004A459A" w:rsidP="002A328F">
      <w:pPr>
        <w:pStyle w:val="3-BodyText"/>
        <w:numPr>
          <w:ilvl w:val="1"/>
          <w:numId w:val="24"/>
        </w:numPr>
        <w:spacing w:before="0" w:after="0"/>
      </w:pPr>
      <w:r>
        <w:t xml:space="preserve">There is a lack of data to support the rate of substitution for alternative PD-(L)1 inhibitors in some indications </w:t>
      </w:r>
      <w:r w:rsidR="005A0ED2">
        <w:t xml:space="preserve">(e.g., HCC, dMMR CRC, </w:t>
      </w:r>
      <w:proofErr w:type="spellStart"/>
      <w:r w:rsidR="00493D67">
        <w:t>NSq</w:t>
      </w:r>
      <w:proofErr w:type="spellEnd"/>
      <w:r w:rsidR="00493D67">
        <w:t xml:space="preserve"> NSCLC)</w:t>
      </w:r>
      <w:r>
        <w:t>.</w:t>
      </w:r>
    </w:p>
    <w:p w14:paraId="2415494E" w14:textId="10EDC5B0" w:rsidR="00BB2C34" w:rsidRDefault="00D43D15" w:rsidP="005261E4">
      <w:pPr>
        <w:pStyle w:val="3-BodyText"/>
      </w:pPr>
      <w:r>
        <w:t>The</w:t>
      </w:r>
      <w:r w:rsidR="00C052D0">
        <w:t xml:space="preserve"> PBAC</w:t>
      </w:r>
      <w:r>
        <w:t xml:space="preserve"> note</w:t>
      </w:r>
      <w:r w:rsidR="00C052D0">
        <w:t>d</w:t>
      </w:r>
      <w:r>
        <w:t xml:space="preserve"> </w:t>
      </w:r>
      <w:r w:rsidR="004C7753">
        <w:t>under</w:t>
      </w:r>
      <w:r>
        <w:t xml:space="preserve"> the broad listing</w:t>
      </w:r>
      <w:r w:rsidR="00C052D0">
        <w:t xml:space="preserve"> as prop</w:t>
      </w:r>
      <w:r w:rsidR="003E0C88">
        <w:t>o</w:t>
      </w:r>
      <w:r w:rsidR="00C052D0">
        <w:t>sed</w:t>
      </w:r>
      <w:r>
        <w:t xml:space="preserve"> it would not be possible to track</w:t>
      </w:r>
      <w:r w:rsidR="001E4048">
        <w:t xml:space="preserve"> utilisation in specific indications</w:t>
      </w:r>
      <w:r w:rsidR="00D9580F">
        <w:t xml:space="preserve"> </w:t>
      </w:r>
      <w:r w:rsidR="00F713D5">
        <w:t xml:space="preserve">based on the administrative </w:t>
      </w:r>
      <w:r w:rsidR="00F06C4B">
        <w:t xml:space="preserve">data from the PBS alone. </w:t>
      </w:r>
      <w:r w:rsidR="00EC0322">
        <w:t xml:space="preserve">PBAC commented that while linkage of the PBS data to </w:t>
      </w:r>
      <w:r w:rsidR="0012490E">
        <w:t>other health data</w:t>
      </w:r>
      <w:r w:rsidR="00C042F9">
        <w:t xml:space="preserve"> could be considered to identify the indication of use, </w:t>
      </w:r>
      <w:r w:rsidR="0098587D">
        <w:t>it was uncertain whether this would be feasible</w:t>
      </w:r>
      <w:r w:rsidR="00B63F52">
        <w:t xml:space="preserve"> </w:t>
      </w:r>
      <w:r w:rsidR="005F27AE">
        <w:t>to do in a timely way</w:t>
      </w:r>
      <w:r w:rsidR="001E4048">
        <w:t>.</w:t>
      </w:r>
    </w:p>
    <w:p w14:paraId="03902C26" w14:textId="54293239" w:rsidR="00B93337" w:rsidRDefault="00D26D6A" w:rsidP="00F52DE9">
      <w:pPr>
        <w:pStyle w:val="5-SubsectionSubheading"/>
      </w:pPr>
      <w:r>
        <w:lastRenderedPageBreak/>
        <w:t>T</w:t>
      </w:r>
      <w:r w:rsidR="0065620C">
        <w:t>ime-on-treatment (i.e., number of doses</w:t>
      </w:r>
      <w:r w:rsidR="00FA18DE">
        <w:t xml:space="preserve"> and </w:t>
      </w:r>
      <w:r w:rsidR="0057275E">
        <w:t xml:space="preserve">resultant </w:t>
      </w:r>
      <w:r w:rsidR="00FA18DE">
        <w:t>script volumes</w:t>
      </w:r>
      <w:r w:rsidR="0065620C">
        <w:t>)</w:t>
      </w:r>
    </w:p>
    <w:p w14:paraId="34475ECA" w14:textId="2606F9D3" w:rsidR="005B27E3" w:rsidRPr="005B27E3" w:rsidRDefault="00891121" w:rsidP="00F52DE9">
      <w:pPr>
        <w:pStyle w:val="3-BodyText"/>
      </w:pPr>
      <w:r>
        <w:t>F</w:t>
      </w:r>
      <w:r w:rsidR="00F540F9" w:rsidRPr="005B27E3">
        <w:t xml:space="preserve">or </w:t>
      </w:r>
      <w:r w:rsidR="00E12F39" w:rsidRPr="005B27E3">
        <w:t xml:space="preserve">nivolumab, </w:t>
      </w:r>
      <w:r>
        <w:t>many</w:t>
      </w:r>
      <w:r w:rsidR="00F540F9" w:rsidRPr="005B27E3">
        <w:t xml:space="preserve"> of the new/additional indications</w:t>
      </w:r>
      <w:r w:rsidR="00E12F39" w:rsidRPr="005B27E3">
        <w:t xml:space="preserve"> </w:t>
      </w:r>
      <w:r w:rsidR="00D00432">
        <w:t>forecast</w:t>
      </w:r>
      <w:r w:rsidR="00E12F39" w:rsidRPr="005B27E3">
        <w:t xml:space="preserve"> </w:t>
      </w:r>
      <w:r w:rsidR="006C2ADD" w:rsidRPr="005B27E3">
        <w:t xml:space="preserve">10 </w:t>
      </w:r>
      <w:r w:rsidR="00AA7440" w:rsidRPr="005B27E3">
        <w:t>-</w:t>
      </w:r>
      <w:r w:rsidR="006C2ADD" w:rsidRPr="005B27E3">
        <w:t xml:space="preserve"> 11 </w:t>
      </w:r>
      <w:r w:rsidR="00D00432">
        <w:t xml:space="preserve">(mean) </w:t>
      </w:r>
      <w:r w:rsidR="006453C9" w:rsidRPr="005B27E3">
        <w:t xml:space="preserve">doses at </w:t>
      </w:r>
      <w:r w:rsidR="007D1F9A" w:rsidRPr="005B27E3">
        <w:t xml:space="preserve">480 mg </w:t>
      </w:r>
      <w:r w:rsidR="006C2ADD" w:rsidRPr="005B27E3">
        <w:t>q4w</w:t>
      </w:r>
      <w:r w:rsidR="001A6A67" w:rsidRPr="005B27E3">
        <w:t>, including for retreatment</w:t>
      </w:r>
      <w:r w:rsidR="00D26D6A" w:rsidRPr="005B27E3">
        <w:t xml:space="preserve">. </w:t>
      </w:r>
    </w:p>
    <w:p w14:paraId="6A158632" w14:textId="35C217FC" w:rsidR="005B27E3" w:rsidRDefault="005B27E3" w:rsidP="002A328F">
      <w:pPr>
        <w:pStyle w:val="3-BodyText"/>
      </w:pPr>
      <w:r w:rsidRPr="005B27E3">
        <w:t>S</w:t>
      </w:r>
      <w:r w:rsidR="008E67CF" w:rsidRPr="005B27E3">
        <w:t>ome indications</w:t>
      </w:r>
      <w:r w:rsidR="00D26D6A" w:rsidRPr="005B27E3">
        <w:t xml:space="preserve"> have alternative </w:t>
      </w:r>
      <w:r w:rsidR="000A2DC4">
        <w:t xml:space="preserve">forecast </w:t>
      </w:r>
      <w:r w:rsidR="00DC41B4">
        <w:t xml:space="preserve">(mean) </w:t>
      </w:r>
      <w:r w:rsidR="00D26D6A" w:rsidRPr="005B27E3">
        <w:t>dosing</w:t>
      </w:r>
      <w:r w:rsidR="008E67CF" w:rsidRPr="005B27E3">
        <w:t xml:space="preserve">, such as </w:t>
      </w:r>
      <w:proofErr w:type="spellStart"/>
      <w:r w:rsidR="008E67CF" w:rsidRPr="005B27E3">
        <w:t>cHL</w:t>
      </w:r>
      <w:proofErr w:type="spellEnd"/>
      <w:r w:rsidR="008E67CF" w:rsidRPr="005B27E3">
        <w:t xml:space="preserve"> </w:t>
      </w:r>
      <w:r w:rsidR="00D26D6A" w:rsidRPr="005B27E3">
        <w:t>(6 doses at 240 mg q2w doses) and rare cancers (5 doses at</w:t>
      </w:r>
      <w:r w:rsidR="00D26D6A">
        <w:t xml:space="preserve"> 480 mg q4w). </w:t>
      </w:r>
    </w:p>
    <w:p w14:paraId="3590954C" w14:textId="5BB979C6" w:rsidR="005B27E3" w:rsidRDefault="005B27E3" w:rsidP="002A328F">
      <w:pPr>
        <w:pStyle w:val="3-BodyText"/>
      </w:pPr>
      <w:r>
        <w:t xml:space="preserve">The Sponsor states that 10 to 11 months on treatment is the mean nivolumab time-on-treatment for advanced/metastatic indications. </w:t>
      </w:r>
    </w:p>
    <w:p w14:paraId="71C911B8" w14:textId="4B050270" w:rsidR="00CB3636" w:rsidRDefault="00D26D6A" w:rsidP="002A328F">
      <w:pPr>
        <w:pStyle w:val="3-BodyText"/>
      </w:pPr>
      <w:r>
        <w:t>F</w:t>
      </w:r>
      <w:r w:rsidR="00401E9B">
        <w:t>or ipilimumab</w:t>
      </w:r>
      <w:r w:rsidR="0066165C">
        <w:t xml:space="preserve">, </w:t>
      </w:r>
      <w:r w:rsidR="005B27E3">
        <w:t xml:space="preserve">the submission uses </w:t>
      </w:r>
      <w:r w:rsidR="0066165C">
        <w:t>the dosing from the pivotal registration RCTs for marketing approval</w:t>
      </w:r>
      <w:r w:rsidR="005B27E3">
        <w:t xml:space="preserve">. One </w:t>
      </w:r>
      <w:r w:rsidR="002204FB">
        <w:t>exception is</w:t>
      </w:r>
      <w:r w:rsidR="00FD57A9">
        <w:t xml:space="preserve"> </w:t>
      </w:r>
      <w:r w:rsidR="002204FB">
        <w:t xml:space="preserve">rare cancers, which assumes </w:t>
      </w:r>
      <w:r w:rsidR="0019181B">
        <w:t xml:space="preserve">dosing </w:t>
      </w:r>
      <w:proofErr w:type="gramStart"/>
      <w:r w:rsidR="0019181B">
        <w:t>similar to</w:t>
      </w:r>
      <w:proofErr w:type="gramEnd"/>
      <w:r w:rsidR="0019181B">
        <w:t xml:space="preserve"> that used in the Phase-2 </w:t>
      </w:r>
      <w:r w:rsidR="00AC5804">
        <w:t>single-arm Check</w:t>
      </w:r>
      <w:r w:rsidR="00F77312">
        <w:t>M</w:t>
      </w:r>
      <w:r w:rsidR="00AC5804">
        <w:t>ate-538 trial.</w:t>
      </w:r>
    </w:p>
    <w:p w14:paraId="3B024CD6" w14:textId="4354A963" w:rsidR="00E6401F" w:rsidRPr="00A07E7D" w:rsidRDefault="004E2D88" w:rsidP="00FC5CBB">
      <w:pPr>
        <w:pStyle w:val="3-BodyText"/>
        <w:jc w:val="left"/>
      </w:pPr>
      <w:r w:rsidRPr="008C1502">
        <w:t xml:space="preserve">To help understand the </w:t>
      </w:r>
      <w:r w:rsidR="00A86F8D" w:rsidRPr="008C1502">
        <w:t>proposed</w:t>
      </w:r>
      <w:r w:rsidR="00ED68BF">
        <w:t xml:space="preserve"> RSA</w:t>
      </w:r>
      <w:r w:rsidR="00A86F8D" w:rsidRPr="008C1502">
        <w:t>, it might be useful to conside</w:t>
      </w:r>
      <w:r w:rsidR="000F6320" w:rsidRPr="008C1502">
        <w:t>r</w:t>
      </w:r>
      <w:r w:rsidR="00A86F8D" w:rsidRPr="008C1502">
        <w:t xml:space="preserve"> the </w:t>
      </w:r>
      <w:r w:rsidR="000F6320" w:rsidRPr="008C1502">
        <w:t xml:space="preserve">forecast relative PBS script volumes for </w:t>
      </w:r>
      <w:r w:rsidR="00CB479D" w:rsidRPr="008C1502">
        <w:t xml:space="preserve">the </w:t>
      </w:r>
      <w:r w:rsidR="000367B6" w:rsidRPr="008C1502">
        <w:t>additional</w:t>
      </w:r>
      <w:r w:rsidR="000367B6">
        <w:t xml:space="preserve"> indications</w:t>
      </w:r>
      <w:r w:rsidR="00CB479D">
        <w:t>/usage</w:t>
      </w:r>
      <w:r w:rsidR="00B16766">
        <w:t xml:space="preserve"> provided in </w:t>
      </w:r>
      <w:r w:rsidR="00B16766">
        <w:fldChar w:fldCharType="begin" w:fldLock="1"/>
      </w:r>
      <w:r w:rsidR="00B16766">
        <w:instrText xml:space="preserve"> REF _Ref200737729 \h </w:instrText>
      </w:r>
      <w:r w:rsidR="00B16766">
        <w:fldChar w:fldCharType="separate"/>
      </w:r>
      <w:r w:rsidR="006228A5">
        <w:t xml:space="preserve">Table </w:t>
      </w:r>
      <w:r w:rsidR="006228A5">
        <w:rPr>
          <w:noProof/>
        </w:rPr>
        <w:t>6</w:t>
      </w:r>
      <w:r w:rsidR="00B16766">
        <w:fldChar w:fldCharType="end"/>
      </w:r>
      <w:r w:rsidR="00B16766">
        <w:t xml:space="preserve"> and </w:t>
      </w:r>
      <w:r w:rsidR="00B16766">
        <w:fldChar w:fldCharType="begin" w:fldLock="1"/>
      </w:r>
      <w:r w:rsidR="00B16766">
        <w:instrText xml:space="preserve"> REF _Ref200737767 \h </w:instrText>
      </w:r>
      <w:r w:rsidR="00B16766">
        <w:fldChar w:fldCharType="separate"/>
      </w:r>
      <w:r w:rsidR="006228A5">
        <w:t xml:space="preserve">Table </w:t>
      </w:r>
      <w:r w:rsidR="006228A5">
        <w:rPr>
          <w:noProof/>
        </w:rPr>
        <w:t>7</w:t>
      </w:r>
      <w:r w:rsidR="00B16766">
        <w:fldChar w:fldCharType="end"/>
      </w:r>
      <w:r w:rsidR="00B16766">
        <w:t>.</w:t>
      </w:r>
    </w:p>
    <w:p w14:paraId="21F8EAA3" w14:textId="391D8CA9" w:rsidR="00B16766" w:rsidRPr="00E270C4" w:rsidRDefault="00B16766" w:rsidP="002A328F">
      <w:pPr>
        <w:pStyle w:val="Caption"/>
        <w:keepNext/>
        <w:rPr>
          <w:szCs w:val="20"/>
        </w:rPr>
      </w:pPr>
      <w:bookmarkStart w:id="6" w:name="_Ref200737729"/>
      <w:r w:rsidRPr="00E270C4">
        <w:rPr>
          <w:szCs w:val="20"/>
        </w:rPr>
        <w:t xml:space="preserve">Table </w:t>
      </w:r>
      <w:r w:rsidRPr="00E270C4">
        <w:rPr>
          <w:szCs w:val="20"/>
        </w:rPr>
        <w:fldChar w:fldCharType="begin" w:fldLock="1"/>
      </w:r>
      <w:r w:rsidRPr="00E270C4">
        <w:rPr>
          <w:szCs w:val="20"/>
        </w:rPr>
        <w:instrText xml:space="preserve"> SEQ Table \* ARABIC </w:instrText>
      </w:r>
      <w:r w:rsidRPr="00E270C4">
        <w:rPr>
          <w:szCs w:val="20"/>
        </w:rPr>
        <w:fldChar w:fldCharType="separate"/>
      </w:r>
      <w:r w:rsidR="006228A5" w:rsidRPr="00E270C4">
        <w:rPr>
          <w:noProof/>
          <w:szCs w:val="20"/>
        </w:rPr>
        <w:t>6</w:t>
      </w:r>
      <w:r w:rsidRPr="00E270C4">
        <w:rPr>
          <w:szCs w:val="20"/>
        </w:rPr>
        <w:fldChar w:fldCharType="end"/>
      </w:r>
      <w:bookmarkEnd w:id="6"/>
      <w:r w:rsidRPr="00E270C4">
        <w:rPr>
          <w:szCs w:val="20"/>
        </w:rPr>
        <w:t>: Modelled mean number of doses and relative percent spend for additional nivolumab indications</w:t>
      </w:r>
    </w:p>
    <w:tbl>
      <w:tblPr>
        <w:tblStyle w:val="TableGridLight"/>
        <w:tblW w:w="5000" w:type="pct"/>
        <w:tblLook w:val="04A0" w:firstRow="1" w:lastRow="0" w:firstColumn="1" w:lastColumn="0" w:noHBand="0" w:noVBand="1"/>
        <w:tblCaption w:val="Table 6: Modelled mean number of doses and relative percent spend for additional nivolumab indications"/>
      </w:tblPr>
      <w:tblGrid>
        <w:gridCol w:w="2075"/>
        <w:gridCol w:w="1735"/>
        <w:gridCol w:w="1612"/>
        <w:gridCol w:w="1859"/>
        <w:gridCol w:w="1735"/>
      </w:tblGrid>
      <w:tr w:rsidR="000367B6" w:rsidRPr="00E270C4" w14:paraId="3D972D3B" w14:textId="77777777" w:rsidTr="00577037">
        <w:trPr>
          <w:trHeight w:val="300"/>
        </w:trPr>
        <w:tc>
          <w:tcPr>
            <w:tcW w:w="1151" w:type="pct"/>
            <w:noWrap/>
            <w:hideMark/>
          </w:tcPr>
          <w:p w14:paraId="1367FBA3" w14:textId="77777777" w:rsidR="000367B6" w:rsidRPr="00E270C4" w:rsidRDefault="000367B6" w:rsidP="00FC5CBB">
            <w:pPr>
              <w:keepNext/>
              <w:rPr>
                <w:rFonts w:ascii="Arial Narrow" w:hAnsi="Arial Narrow" w:cs="Calibri"/>
                <w:b/>
                <w:bCs/>
                <w:color w:val="000000"/>
                <w:sz w:val="20"/>
                <w:szCs w:val="20"/>
              </w:rPr>
            </w:pPr>
            <w:r w:rsidRPr="00E270C4">
              <w:rPr>
                <w:rFonts w:ascii="Arial Narrow" w:hAnsi="Arial Narrow" w:cs="Calibri"/>
                <w:b/>
                <w:bCs/>
                <w:color w:val="000000"/>
                <w:sz w:val="20"/>
                <w:szCs w:val="20"/>
              </w:rPr>
              <w:t>Indication</w:t>
            </w:r>
          </w:p>
        </w:tc>
        <w:tc>
          <w:tcPr>
            <w:tcW w:w="962" w:type="pct"/>
            <w:noWrap/>
          </w:tcPr>
          <w:p w14:paraId="172D614D" w14:textId="77777777" w:rsidR="000367B6" w:rsidRPr="00E270C4" w:rsidRDefault="000367B6" w:rsidP="00FC5CBB">
            <w:pPr>
              <w:keepNext/>
              <w:jc w:val="center"/>
              <w:rPr>
                <w:rFonts w:ascii="Arial Narrow" w:hAnsi="Arial Narrow" w:cs="Calibri"/>
                <w:b/>
                <w:bCs/>
                <w:color w:val="000000"/>
                <w:sz w:val="20"/>
                <w:szCs w:val="20"/>
              </w:rPr>
            </w:pPr>
            <w:r w:rsidRPr="00E270C4">
              <w:rPr>
                <w:rFonts w:ascii="Arial Narrow" w:hAnsi="Arial Narrow" w:cs="Calibri"/>
                <w:b/>
                <w:bCs/>
                <w:color w:val="000000"/>
                <w:sz w:val="20"/>
                <w:szCs w:val="20"/>
              </w:rPr>
              <w:t>modelled dose</w:t>
            </w:r>
          </w:p>
        </w:tc>
        <w:tc>
          <w:tcPr>
            <w:tcW w:w="894" w:type="pct"/>
          </w:tcPr>
          <w:p w14:paraId="42FA8C95" w14:textId="77777777" w:rsidR="000367B6" w:rsidRPr="00E270C4" w:rsidRDefault="000367B6" w:rsidP="00FC5CBB">
            <w:pPr>
              <w:keepNext/>
              <w:jc w:val="center"/>
              <w:rPr>
                <w:rFonts w:ascii="Arial Narrow" w:hAnsi="Arial Narrow" w:cs="Calibri"/>
                <w:b/>
                <w:bCs/>
                <w:color w:val="000000"/>
                <w:sz w:val="20"/>
                <w:szCs w:val="20"/>
              </w:rPr>
            </w:pPr>
            <w:r w:rsidRPr="00E270C4">
              <w:rPr>
                <w:rFonts w:ascii="Arial Narrow" w:hAnsi="Arial Narrow" w:cs="Calibri"/>
                <w:b/>
                <w:bCs/>
                <w:color w:val="000000"/>
                <w:sz w:val="20"/>
                <w:szCs w:val="20"/>
              </w:rPr>
              <w:t>modelled number of doses/scripts</w:t>
            </w:r>
          </w:p>
        </w:tc>
        <w:tc>
          <w:tcPr>
            <w:tcW w:w="1031" w:type="pct"/>
          </w:tcPr>
          <w:p w14:paraId="20F00028"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total forecast PBS expenditure</w:t>
            </w:r>
          </w:p>
          <w:p w14:paraId="3242B1B5"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across 6 years</w:t>
            </w:r>
          </w:p>
          <w:p w14:paraId="43A848EA"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(effective)</w:t>
            </w:r>
          </w:p>
          <w:p w14:paraId="2A0222E2"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($M)</w:t>
            </w:r>
          </w:p>
        </w:tc>
        <w:tc>
          <w:tcPr>
            <w:tcW w:w="962" w:type="pct"/>
          </w:tcPr>
          <w:p w14:paraId="2F0104D4"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 xml:space="preserve">relative percentage of all additional </w:t>
            </w:r>
          </w:p>
          <w:p w14:paraId="552312DB"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PBS expenditure</w:t>
            </w:r>
          </w:p>
        </w:tc>
      </w:tr>
      <w:tr w:rsidR="000367B6" w:rsidRPr="00E270C4" w14:paraId="29224E5F" w14:textId="77777777" w:rsidTr="00577037">
        <w:trPr>
          <w:trHeight w:val="300"/>
        </w:trPr>
        <w:tc>
          <w:tcPr>
            <w:tcW w:w="1151" w:type="pct"/>
            <w:noWrap/>
            <w:hideMark/>
          </w:tcPr>
          <w:p w14:paraId="6BAF09D2"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1L UC</w:t>
            </w:r>
          </w:p>
        </w:tc>
        <w:tc>
          <w:tcPr>
            <w:tcW w:w="962" w:type="pct"/>
            <w:noWrap/>
          </w:tcPr>
          <w:p w14:paraId="3518B1E1"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360 mg q3w</w:t>
            </w:r>
          </w:p>
        </w:tc>
        <w:tc>
          <w:tcPr>
            <w:tcW w:w="894" w:type="pct"/>
          </w:tcPr>
          <w:p w14:paraId="0F6CD07E"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11.3</w:t>
            </w:r>
          </w:p>
        </w:tc>
        <w:tc>
          <w:tcPr>
            <w:tcW w:w="1031" w:type="pct"/>
          </w:tcPr>
          <w:p w14:paraId="5C873DC0" w14:textId="321FEDB8" w:rsidR="000367B6" w:rsidRPr="00471A3B" w:rsidRDefault="00C546A7" w:rsidP="00FC5CBB">
            <w:pPr>
              <w:keepNext/>
              <w:jc w:val="right"/>
              <w:rPr>
                <w:rFonts w:ascii="Arial Narrow" w:hAnsi="Arial Narrow" w:cstheme="minorHAnsi"/>
                <w:color w:val="000000"/>
                <w:sz w:val="20"/>
                <w:szCs w:val="20"/>
                <w:highlight w:val="darkGray"/>
                <w:vertAlign w:val="superscript"/>
              </w:rPr>
            </w:pPr>
            <w:r w:rsidRPr="00C546A7">
              <w:rPr>
                <w:rFonts w:ascii="Arial Narrow" w:hAnsi="Arial Narrow" w:cstheme="minorHAnsi"/>
                <w:color w:val="000000"/>
                <w:spacing w:val="55"/>
                <w:sz w:val="20"/>
                <w:szCs w:val="20"/>
                <w:shd w:val="solid" w:color="000000" w:fill="000000"/>
                <w:fitText w:val="336" w:id="-628400638"/>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8"/>
                <w14:textFill>
                  <w14:solidFill>
                    <w14:srgbClr w14:val="000000">
                      <w14:alpha w14:val="100000"/>
                    </w14:srgbClr>
                  </w14:solidFill>
                </w14:textFill>
              </w:rPr>
              <w:t>|</w:t>
            </w:r>
            <w:r w:rsidR="00471A3B" w:rsidRPr="00471A3B">
              <w:rPr>
                <w:rFonts w:ascii="Arial Narrow" w:hAnsi="Arial Narrow" w:cstheme="minorHAnsi"/>
                <w:color w:val="000000"/>
                <w:sz w:val="20"/>
                <w:szCs w:val="20"/>
                <w:vertAlign w:val="superscript"/>
              </w:rPr>
              <w:t>1</w:t>
            </w:r>
          </w:p>
        </w:tc>
        <w:tc>
          <w:tcPr>
            <w:tcW w:w="962" w:type="pct"/>
          </w:tcPr>
          <w:p w14:paraId="4B58CFA2"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20%</w:t>
            </w:r>
          </w:p>
        </w:tc>
      </w:tr>
      <w:tr w:rsidR="000367B6" w:rsidRPr="00E270C4" w14:paraId="7860B990" w14:textId="77777777" w:rsidTr="00577037">
        <w:trPr>
          <w:trHeight w:val="300"/>
        </w:trPr>
        <w:tc>
          <w:tcPr>
            <w:tcW w:w="1151" w:type="pct"/>
            <w:noWrap/>
          </w:tcPr>
          <w:p w14:paraId="24256828"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color w:val="000000"/>
                <w:sz w:val="20"/>
                <w:szCs w:val="20"/>
              </w:rPr>
              <w:t>1L CRC</w:t>
            </w:r>
          </w:p>
        </w:tc>
        <w:tc>
          <w:tcPr>
            <w:tcW w:w="962" w:type="pct"/>
            <w:noWrap/>
          </w:tcPr>
          <w:p w14:paraId="4A19919C"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51F3E7A9"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13.0</w:t>
            </w:r>
          </w:p>
        </w:tc>
        <w:tc>
          <w:tcPr>
            <w:tcW w:w="1031" w:type="pct"/>
          </w:tcPr>
          <w:p w14:paraId="150B1E02" w14:textId="6ACD3FCC"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7"/>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7"/>
                <w14:textFill>
                  <w14:solidFill>
                    <w14:srgbClr w14:val="000000">
                      <w14:alpha w14:val="100000"/>
                    </w14:srgbClr>
                  </w14:solidFill>
                </w14:textFill>
              </w:rPr>
              <w:t>|</w:t>
            </w:r>
            <w:r w:rsidR="00471A3B" w:rsidRPr="00471A3B">
              <w:rPr>
                <w:rFonts w:ascii="Arial Narrow" w:hAnsi="Arial Narrow" w:cstheme="minorHAnsi"/>
                <w:color w:val="000000"/>
                <w:sz w:val="20"/>
                <w:szCs w:val="20"/>
                <w:vertAlign w:val="superscript"/>
              </w:rPr>
              <w:t>1</w:t>
            </w:r>
          </w:p>
        </w:tc>
        <w:tc>
          <w:tcPr>
            <w:tcW w:w="962" w:type="pct"/>
          </w:tcPr>
          <w:p w14:paraId="668ADD82"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26%</w:t>
            </w:r>
          </w:p>
        </w:tc>
      </w:tr>
      <w:tr w:rsidR="000367B6" w:rsidRPr="00E270C4" w14:paraId="11E877D6" w14:textId="77777777" w:rsidTr="00577037">
        <w:trPr>
          <w:trHeight w:val="300"/>
        </w:trPr>
        <w:tc>
          <w:tcPr>
            <w:tcW w:w="1151" w:type="pct"/>
            <w:noWrap/>
          </w:tcPr>
          <w:p w14:paraId="31BBB463"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color w:val="000000"/>
                <w:sz w:val="20"/>
                <w:szCs w:val="20"/>
              </w:rPr>
              <w:t>1L HCC</w:t>
            </w:r>
          </w:p>
        </w:tc>
        <w:tc>
          <w:tcPr>
            <w:tcW w:w="962" w:type="pct"/>
            <w:noWrap/>
          </w:tcPr>
          <w:p w14:paraId="0904032C"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79FA7437"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13.0</w:t>
            </w:r>
          </w:p>
        </w:tc>
        <w:tc>
          <w:tcPr>
            <w:tcW w:w="1031" w:type="pct"/>
          </w:tcPr>
          <w:p w14:paraId="18495BE4" w14:textId="26987144"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6"/>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6"/>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2</w:t>
            </w:r>
          </w:p>
        </w:tc>
        <w:tc>
          <w:tcPr>
            <w:tcW w:w="962" w:type="pct"/>
          </w:tcPr>
          <w:p w14:paraId="515701AF"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4%</w:t>
            </w:r>
          </w:p>
        </w:tc>
      </w:tr>
      <w:tr w:rsidR="000367B6" w:rsidRPr="00E270C4" w14:paraId="3EF471E4" w14:textId="77777777" w:rsidTr="00577037">
        <w:trPr>
          <w:trHeight w:val="300"/>
        </w:trPr>
        <w:tc>
          <w:tcPr>
            <w:tcW w:w="1151" w:type="pct"/>
            <w:noWrap/>
            <w:hideMark/>
          </w:tcPr>
          <w:p w14:paraId="1E49F761"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sz w:val="20"/>
                <w:szCs w:val="20"/>
              </w:rPr>
              <w:t xml:space="preserve">1L stage III-IV </w:t>
            </w:r>
            <w:proofErr w:type="spellStart"/>
            <w:r w:rsidRPr="00E270C4">
              <w:rPr>
                <w:rFonts w:ascii="Arial Narrow" w:hAnsi="Arial Narrow" w:cs="Calibri"/>
                <w:sz w:val="20"/>
                <w:szCs w:val="20"/>
              </w:rPr>
              <w:t>cHL</w:t>
            </w:r>
            <w:proofErr w:type="spellEnd"/>
            <w:r w:rsidRPr="00E270C4">
              <w:rPr>
                <w:rFonts w:ascii="Arial Narrow" w:hAnsi="Arial Narrow" w:cs="Calibri"/>
                <w:sz w:val="20"/>
                <w:szCs w:val="20"/>
              </w:rPr>
              <w:t xml:space="preserve"> </w:t>
            </w:r>
          </w:p>
        </w:tc>
        <w:tc>
          <w:tcPr>
            <w:tcW w:w="962" w:type="pct"/>
            <w:noWrap/>
          </w:tcPr>
          <w:p w14:paraId="16A40547"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240 mg q2w</w:t>
            </w:r>
          </w:p>
        </w:tc>
        <w:tc>
          <w:tcPr>
            <w:tcW w:w="894" w:type="pct"/>
          </w:tcPr>
          <w:p w14:paraId="2D6B41BF"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6.0</w:t>
            </w:r>
          </w:p>
        </w:tc>
        <w:tc>
          <w:tcPr>
            <w:tcW w:w="1031" w:type="pct"/>
          </w:tcPr>
          <w:p w14:paraId="06C604C5" w14:textId="56F5820A"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5"/>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5"/>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3</w:t>
            </w:r>
          </w:p>
        </w:tc>
        <w:tc>
          <w:tcPr>
            <w:tcW w:w="962" w:type="pct"/>
          </w:tcPr>
          <w:p w14:paraId="75B1BEDF"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5%</w:t>
            </w:r>
          </w:p>
        </w:tc>
      </w:tr>
      <w:tr w:rsidR="000367B6" w:rsidRPr="00E270C4" w14:paraId="66FC8801" w14:textId="77777777" w:rsidTr="00577037">
        <w:trPr>
          <w:trHeight w:val="300"/>
        </w:trPr>
        <w:tc>
          <w:tcPr>
            <w:tcW w:w="1151" w:type="pct"/>
            <w:noWrap/>
            <w:hideMark/>
          </w:tcPr>
          <w:p w14:paraId="42C1FB7D"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 xml:space="preserve">3L </w:t>
            </w:r>
            <w:proofErr w:type="spellStart"/>
            <w:r w:rsidRPr="00E270C4">
              <w:rPr>
                <w:rFonts w:ascii="Arial Narrow" w:hAnsi="Arial Narrow" w:cs="Calibri"/>
                <w:color w:val="000000"/>
                <w:sz w:val="20"/>
                <w:szCs w:val="20"/>
              </w:rPr>
              <w:t>cHL</w:t>
            </w:r>
            <w:proofErr w:type="spellEnd"/>
          </w:p>
        </w:tc>
        <w:tc>
          <w:tcPr>
            <w:tcW w:w="962" w:type="pct"/>
            <w:noWrap/>
          </w:tcPr>
          <w:p w14:paraId="26D9C513"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0B6A3B81"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14.0</w:t>
            </w:r>
          </w:p>
        </w:tc>
        <w:tc>
          <w:tcPr>
            <w:tcW w:w="1031" w:type="pct"/>
          </w:tcPr>
          <w:p w14:paraId="05796FED" w14:textId="1854F5DA"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4"/>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4"/>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4</w:t>
            </w:r>
          </w:p>
        </w:tc>
        <w:tc>
          <w:tcPr>
            <w:tcW w:w="962" w:type="pct"/>
          </w:tcPr>
          <w:p w14:paraId="1EC78315"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&lt;1%</w:t>
            </w:r>
          </w:p>
        </w:tc>
      </w:tr>
      <w:tr w:rsidR="000367B6" w:rsidRPr="00E270C4" w14:paraId="15A96A70" w14:textId="77777777" w:rsidTr="00577037">
        <w:trPr>
          <w:trHeight w:val="300"/>
        </w:trPr>
        <w:tc>
          <w:tcPr>
            <w:tcW w:w="1151" w:type="pct"/>
            <w:noWrap/>
            <w:hideMark/>
          </w:tcPr>
          <w:p w14:paraId="00FA843B"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2L HCC</w:t>
            </w:r>
          </w:p>
        </w:tc>
        <w:tc>
          <w:tcPr>
            <w:tcW w:w="962" w:type="pct"/>
            <w:noWrap/>
          </w:tcPr>
          <w:p w14:paraId="25AF7432"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570974CF"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6.7</w:t>
            </w:r>
          </w:p>
        </w:tc>
        <w:tc>
          <w:tcPr>
            <w:tcW w:w="1031" w:type="pct"/>
          </w:tcPr>
          <w:p w14:paraId="20D31BF4" w14:textId="04AD453D"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3"/>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3"/>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4</w:t>
            </w:r>
          </w:p>
        </w:tc>
        <w:tc>
          <w:tcPr>
            <w:tcW w:w="962" w:type="pct"/>
          </w:tcPr>
          <w:p w14:paraId="5DE42D44"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w:t>
            </w:r>
          </w:p>
        </w:tc>
      </w:tr>
      <w:tr w:rsidR="000367B6" w:rsidRPr="00E270C4" w14:paraId="245D3754" w14:textId="77777777" w:rsidTr="00577037">
        <w:trPr>
          <w:trHeight w:val="300"/>
        </w:trPr>
        <w:tc>
          <w:tcPr>
            <w:tcW w:w="1151" w:type="pct"/>
            <w:noWrap/>
            <w:hideMark/>
          </w:tcPr>
          <w:p w14:paraId="1F651146"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2L UC</w:t>
            </w:r>
          </w:p>
        </w:tc>
        <w:tc>
          <w:tcPr>
            <w:tcW w:w="962" w:type="pct"/>
            <w:noWrap/>
          </w:tcPr>
          <w:p w14:paraId="035461F5"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573E97F8"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8.0</w:t>
            </w:r>
          </w:p>
        </w:tc>
        <w:tc>
          <w:tcPr>
            <w:tcW w:w="1031" w:type="pct"/>
          </w:tcPr>
          <w:p w14:paraId="1758E622" w14:textId="64C11F77"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2"/>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2"/>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4</w:t>
            </w:r>
          </w:p>
        </w:tc>
        <w:tc>
          <w:tcPr>
            <w:tcW w:w="962" w:type="pct"/>
          </w:tcPr>
          <w:p w14:paraId="48815315"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w:t>
            </w:r>
          </w:p>
        </w:tc>
      </w:tr>
      <w:tr w:rsidR="000367B6" w:rsidRPr="00E270C4" w14:paraId="31C22CB8" w14:textId="77777777" w:rsidTr="00577037">
        <w:trPr>
          <w:trHeight w:val="300"/>
        </w:trPr>
        <w:tc>
          <w:tcPr>
            <w:tcW w:w="1151" w:type="pct"/>
            <w:noWrap/>
            <w:hideMark/>
          </w:tcPr>
          <w:p w14:paraId="27205E2B"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 xml:space="preserve">1L NSQ NSCLC </w:t>
            </w:r>
          </w:p>
        </w:tc>
        <w:tc>
          <w:tcPr>
            <w:tcW w:w="962" w:type="pct"/>
            <w:noWrap/>
          </w:tcPr>
          <w:p w14:paraId="1FC96A7E"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360 mg q3w</w:t>
            </w:r>
          </w:p>
        </w:tc>
        <w:tc>
          <w:tcPr>
            <w:tcW w:w="894" w:type="pct"/>
          </w:tcPr>
          <w:p w14:paraId="0D073992"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13.7</w:t>
            </w:r>
          </w:p>
        </w:tc>
        <w:tc>
          <w:tcPr>
            <w:tcW w:w="1031" w:type="pct"/>
          </w:tcPr>
          <w:p w14:paraId="693848B0" w14:textId="2AE2F597"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1"/>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1"/>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3</w:t>
            </w:r>
          </w:p>
        </w:tc>
        <w:tc>
          <w:tcPr>
            <w:tcW w:w="962" w:type="pct"/>
          </w:tcPr>
          <w:p w14:paraId="2F49800D"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6%</w:t>
            </w:r>
          </w:p>
        </w:tc>
      </w:tr>
      <w:tr w:rsidR="000367B6" w:rsidRPr="00E270C4" w14:paraId="7F76A9CD" w14:textId="77777777" w:rsidTr="00577037">
        <w:trPr>
          <w:trHeight w:val="300"/>
        </w:trPr>
        <w:tc>
          <w:tcPr>
            <w:tcW w:w="1151" w:type="pct"/>
            <w:noWrap/>
          </w:tcPr>
          <w:p w14:paraId="013A58F4"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IO retreatment</w:t>
            </w:r>
          </w:p>
        </w:tc>
        <w:tc>
          <w:tcPr>
            <w:tcW w:w="962" w:type="pct"/>
            <w:noWrap/>
          </w:tcPr>
          <w:p w14:paraId="36732E68"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452 mg q4w</w:t>
            </w:r>
          </w:p>
        </w:tc>
        <w:tc>
          <w:tcPr>
            <w:tcW w:w="894" w:type="pct"/>
          </w:tcPr>
          <w:p w14:paraId="7BC8143C"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10.8</w:t>
            </w:r>
          </w:p>
        </w:tc>
        <w:tc>
          <w:tcPr>
            <w:tcW w:w="1031" w:type="pct"/>
          </w:tcPr>
          <w:p w14:paraId="45BD3FE7" w14:textId="276682A4"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30"/>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30"/>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5</w:t>
            </w:r>
          </w:p>
        </w:tc>
        <w:tc>
          <w:tcPr>
            <w:tcW w:w="962" w:type="pct"/>
          </w:tcPr>
          <w:p w14:paraId="08494F5F"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17%</w:t>
            </w:r>
          </w:p>
        </w:tc>
      </w:tr>
      <w:tr w:rsidR="000367B6" w:rsidRPr="00E270C4" w14:paraId="1348A861" w14:textId="77777777" w:rsidTr="00577037">
        <w:trPr>
          <w:trHeight w:val="300"/>
        </w:trPr>
        <w:tc>
          <w:tcPr>
            <w:tcW w:w="1151" w:type="pct"/>
            <w:noWrap/>
          </w:tcPr>
          <w:p w14:paraId="065D29D1"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Rare cancers</w:t>
            </w:r>
          </w:p>
        </w:tc>
        <w:tc>
          <w:tcPr>
            <w:tcW w:w="962" w:type="pct"/>
            <w:noWrap/>
          </w:tcPr>
          <w:p w14:paraId="3F19F2A5"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480 mg q4w</w:t>
            </w:r>
          </w:p>
        </w:tc>
        <w:tc>
          <w:tcPr>
            <w:tcW w:w="894" w:type="pct"/>
          </w:tcPr>
          <w:p w14:paraId="617E74DD" w14:textId="77777777" w:rsidR="000367B6" w:rsidRPr="00E6240D" w:rsidRDefault="000367B6" w:rsidP="00FC5CBB">
            <w:pPr>
              <w:keepNext/>
              <w:jc w:val="center"/>
              <w:rPr>
                <w:rFonts w:ascii="Arial Narrow" w:hAnsi="Arial Narrow" w:cstheme="minorHAnsi"/>
                <w:color w:val="000000"/>
                <w:sz w:val="20"/>
                <w:szCs w:val="20"/>
              </w:rPr>
            </w:pPr>
            <w:r w:rsidRPr="00E6240D">
              <w:rPr>
                <w:rFonts w:ascii="Arial Narrow" w:hAnsi="Arial Narrow" w:cstheme="minorHAnsi"/>
                <w:color w:val="000000"/>
                <w:sz w:val="20"/>
                <w:szCs w:val="20"/>
              </w:rPr>
              <w:t>5.0</w:t>
            </w:r>
          </w:p>
        </w:tc>
        <w:tc>
          <w:tcPr>
            <w:tcW w:w="1031" w:type="pct"/>
          </w:tcPr>
          <w:p w14:paraId="4B5622B8" w14:textId="09BC4CF0" w:rsidR="000367B6" w:rsidRPr="00501BE0" w:rsidRDefault="00C546A7" w:rsidP="00FC5CBB">
            <w:pPr>
              <w:keepNext/>
              <w:jc w:val="right"/>
              <w:rPr>
                <w:rFonts w:ascii="Arial Narrow" w:hAnsi="Arial Narrow" w:cstheme="minorHAnsi"/>
                <w:color w:val="000000"/>
                <w:sz w:val="20"/>
                <w:szCs w:val="20"/>
                <w:highlight w:val="darkGray"/>
              </w:rPr>
            </w:pPr>
            <w:r w:rsidRPr="00C546A7">
              <w:rPr>
                <w:rFonts w:ascii="Arial Narrow" w:hAnsi="Arial Narrow" w:cstheme="minorHAnsi"/>
                <w:color w:val="000000"/>
                <w:spacing w:val="55"/>
                <w:sz w:val="20"/>
                <w:szCs w:val="20"/>
                <w:shd w:val="solid" w:color="000000" w:fill="000000"/>
                <w:fitText w:val="336" w:id="-628400629"/>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29"/>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6</w:t>
            </w:r>
          </w:p>
        </w:tc>
        <w:tc>
          <w:tcPr>
            <w:tcW w:w="962" w:type="pct"/>
          </w:tcPr>
          <w:p w14:paraId="427EBDEB"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18%</w:t>
            </w:r>
          </w:p>
        </w:tc>
      </w:tr>
    </w:tbl>
    <w:p w14:paraId="223C2D4C" w14:textId="57C5EC78" w:rsidR="000367B6" w:rsidRDefault="00E6401F" w:rsidP="00E6401F">
      <w:pPr>
        <w:pStyle w:val="3-BodyText"/>
        <w:numPr>
          <w:ilvl w:val="0"/>
          <w:numId w:val="0"/>
        </w:numPr>
        <w:spacing w:before="0" w:after="0"/>
        <w:ind w:left="720" w:hanging="720"/>
        <w:rPr>
          <w:rFonts w:ascii="Arial Narrow" w:hAnsi="Arial Narrow"/>
          <w:sz w:val="20"/>
          <w:szCs w:val="20"/>
        </w:rPr>
      </w:pPr>
      <w:r w:rsidRPr="00E270C4">
        <w:rPr>
          <w:rFonts w:ascii="Arial Narrow" w:hAnsi="Arial Narrow"/>
          <w:sz w:val="20"/>
          <w:szCs w:val="20"/>
        </w:rPr>
        <w:tab/>
      </w:r>
      <w:r w:rsidR="000367B6" w:rsidRPr="00E270C4">
        <w:rPr>
          <w:rFonts w:ascii="Arial Narrow" w:hAnsi="Arial Narrow"/>
          <w:sz w:val="20"/>
          <w:szCs w:val="20"/>
        </w:rPr>
        <w:tab/>
      </w:r>
      <w:r w:rsidR="000367B6" w:rsidRPr="00E270C4">
        <w:rPr>
          <w:rFonts w:ascii="Arial Narrow" w:hAnsi="Arial Narrow"/>
          <w:sz w:val="20"/>
          <w:szCs w:val="20"/>
        </w:rPr>
        <w:tab/>
      </w:r>
      <w:r w:rsidR="000367B6" w:rsidRPr="00E270C4">
        <w:rPr>
          <w:rFonts w:ascii="Arial Narrow" w:hAnsi="Arial Narrow"/>
          <w:sz w:val="20"/>
          <w:szCs w:val="20"/>
        </w:rPr>
        <w:tab/>
      </w:r>
      <w:r w:rsidR="000367B6" w:rsidRPr="00E270C4">
        <w:rPr>
          <w:rFonts w:ascii="Arial Narrow" w:hAnsi="Arial Narrow"/>
          <w:sz w:val="20"/>
          <w:szCs w:val="20"/>
        </w:rPr>
        <w:tab/>
        <w:t>Total</w:t>
      </w:r>
      <w:r w:rsidR="000367B6" w:rsidRPr="00E270C4">
        <w:rPr>
          <w:rFonts w:ascii="Arial Narrow" w:hAnsi="Arial Narrow"/>
          <w:sz w:val="20"/>
          <w:szCs w:val="20"/>
        </w:rPr>
        <w:tab/>
      </w:r>
      <w:r w:rsidR="000367B6" w:rsidRPr="00E270C4">
        <w:rPr>
          <w:rFonts w:ascii="Arial Narrow" w:hAnsi="Arial Narrow"/>
          <w:sz w:val="20"/>
          <w:szCs w:val="20"/>
        </w:rPr>
        <w:tab/>
        <w:t xml:space="preserve">        </w:t>
      </w:r>
      <w:r w:rsidR="00C546A7" w:rsidRPr="00C546A7">
        <w:rPr>
          <w:rFonts w:ascii="Arial Narrow" w:hAnsi="Arial Narrow"/>
          <w:color w:val="000000"/>
          <w:spacing w:val="8"/>
          <w:sz w:val="20"/>
          <w:szCs w:val="20"/>
          <w:shd w:val="solid" w:color="000000" w:fill="000000"/>
          <w:fitText w:val="304" w:id="-628400628"/>
          <w14:textFill>
            <w14:solidFill>
              <w14:srgbClr w14:val="000000">
                <w14:alpha w14:val="100000"/>
              </w14:srgbClr>
            </w14:solidFill>
          </w14:textFill>
        </w:rPr>
        <w:t>||  ||</w:t>
      </w:r>
      <w:r w:rsidR="00471A3B">
        <w:rPr>
          <w:rFonts w:ascii="Arial Narrow" w:hAnsi="Arial Narrow" w:cstheme="minorHAnsi"/>
          <w:color w:val="000000"/>
          <w:sz w:val="20"/>
          <w:szCs w:val="20"/>
          <w:vertAlign w:val="superscript"/>
        </w:rPr>
        <w:t>7</w:t>
      </w:r>
      <w:r w:rsidR="000367B6" w:rsidRPr="00E270C4">
        <w:rPr>
          <w:rFonts w:ascii="Arial Narrow" w:hAnsi="Arial Narrow"/>
          <w:sz w:val="20"/>
          <w:szCs w:val="20"/>
        </w:rPr>
        <w:tab/>
        <w:t xml:space="preserve">       100%</w:t>
      </w:r>
    </w:p>
    <w:p w14:paraId="62C7380A" w14:textId="77777777" w:rsidR="00C5274D" w:rsidRPr="00C5274D" w:rsidRDefault="00C5274D" w:rsidP="00C5274D">
      <w:pPr>
        <w:pStyle w:val="TableFigureFooter"/>
        <w:jc w:val="left"/>
        <w:rPr>
          <w:i/>
          <w:iCs/>
        </w:rPr>
      </w:pPr>
      <w:r w:rsidRPr="00C5274D">
        <w:rPr>
          <w:i/>
          <w:iCs/>
        </w:rPr>
        <w:t>The redacted values correspond to the following ranges:</w:t>
      </w:r>
    </w:p>
    <w:p w14:paraId="0FBDC99A" w14:textId="77777777" w:rsidR="00C5274D" w:rsidRPr="00C5274D" w:rsidRDefault="00C5274D" w:rsidP="00C5274D">
      <w:pPr>
        <w:pStyle w:val="TableFigureFooter"/>
        <w:jc w:val="left"/>
        <w:rPr>
          <w:i/>
          <w:iCs/>
        </w:rPr>
      </w:pPr>
      <w:r w:rsidRPr="00DD39C5">
        <w:rPr>
          <w:i/>
          <w:iCs/>
          <w:vertAlign w:val="superscript"/>
        </w:rPr>
        <w:t>1</w:t>
      </w:r>
      <w:r w:rsidRPr="00C5274D">
        <w:rPr>
          <w:i/>
          <w:iCs/>
        </w:rPr>
        <w:t xml:space="preserve"> $100 million to &lt; $200 million</w:t>
      </w:r>
    </w:p>
    <w:p w14:paraId="7EEBD6FC" w14:textId="77777777" w:rsidR="00C5274D" w:rsidRPr="00C5274D" w:rsidRDefault="00C5274D" w:rsidP="00C5274D">
      <w:pPr>
        <w:pStyle w:val="TableFigureFooter"/>
        <w:jc w:val="left"/>
        <w:rPr>
          <w:i/>
          <w:iCs/>
        </w:rPr>
      </w:pPr>
      <w:r w:rsidRPr="00DD39C5">
        <w:rPr>
          <w:i/>
          <w:iCs/>
          <w:vertAlign w:val="superscript"/>
        </w:rPr>
        <w:t>2</w:t>
      </w:r>
      <w:r w:rsidRPr="00C5274D">
        <w:rPr>
          <w:i/>
          <w:iCs/>
        </w:rPr>
        <w:t xml:space="preserve"> $20 million to &lt; $30 million</w:t>
      </w:r>
    </w:p>
    <w:p w14:paraId="38A36AAC" w14:textId="77777777" w:rsidR="00C5274D" w:rsidRPr="00C5274D" w:rsidRDefault="00C5274D" w:rsidP="00C5274D">
      <w:pPr>
        <w:pStyle w:val="TableFigureFooter"/>
        <w:jc w:val="left"/>
        <w:rPr>
          <w:i/>
          <w:iCs/>
        </w:rPr>
      </w:pPr>
      <w:r w:rsidRPr="00DD39C5">
        <w:rPr>
          <w:i/>
          <w:iCs/>
          <w:vertAlign w:val="superscript"/>
        </w:rPr>
        <w:t xml:space="preserve">3 </w:t>
      </w:r>
      <w:r w:rsidRPr="00C5274D">
        <w:rPr>
          <w:i/>
          <w:iCs/>
        </w:rPr>
        <w:t>$30 million to &lt; $40 million</w:t>
      </w:r>
    </w:p>
    <w:p w14:paraId="70401C54" w14:textId="77777777" w:rsidR="00C5274D" w:rsidRPr="00C5274D" w:rsidRDefault="00C5274D" w:rsidP="00C5274D">
      <w:pPr>
        <w:pStyle w:val="TableFigureFooter"/>
        <w:jc w:val="left"/>
        <w:rPr>
          <w:i/>
          <w:iCs/>
        </w:rPr>
      </w:pPr>
      <w:r w:rsidRPr="00DD39C5">
        <w:rPr>
          <w:i/>
          <w:iCs/>
          <w:vertAlign w:val="superscript"/>
        </w:rPr>
        <w:t xml:space="preserve">4 </w:t>
      </w:r>
      <w:r w:rsidRPr="00C5274D">
        <w:rPr>
          <w:i/>
          <w:iCs/>
        </w:rPr>
        <w:t>$0 to &lt; $10 million</w:t>
      </w:r>
    </w:p>
    <w:p w14:paraId="668BA62B" w14:textId="77777777" w:rsidR="00C5274D" w:rsidRPr="00C5274D" w:rsidRDefault="00C5274D" w:rsidP="00C5274D">
      <w:pPr>
        <w:pStyle w:val="TableFigureFooter"/>
        <w:jc w:val="left"/>
        <w:rPr>
          <w:i/>
          <w:iCs/>
        </w:rPr>
      </w:pPr>
      <w:r w:rsidRPr="00DD39C5">
        <w:rPr>
          <w:i/>
          <w:iCs/>
          <w:vertAlign w:val="superscript"/>
        </w:rPr>
        <w:t xml:space="preserve">5 </w:t>
      </w:r>
      <w:r w:rsidRPr="00C5274D">
        <w:rPr>
          <w:i/>
          <w:iCs/>
        </w:rPr>
        <w:t>$90 million to &lt; $100 million</w:t>
      </w:r>
    </w:p>
    <w:p w14:paraId="1672AFF1" w14:textId="77777777" w:rsidR="00C5274D" w:rsidRPr="00C5274D" w:rsidRDefault="00C5274D" w:rsidP="00C5274D">
      <w:pPr>
        <w:pStyle w:val="TableFigureFooter"/>
        <w:jc w:val="left"/>
        <w:rPr>
          <w:i/>
          <w:iCs/>
        </w:rPr>
      </w:pPr>
      <w:r w:rsidRPr="00DD39C5">
        <w:rPr>
          <w:i/>
          <w:iCs/>
          <w:vertAlign w:val="superscript"/>
        </w:rPr>
        <w:t>6</w:t>
      </w:r>
      <w:r w:rsidRPr="00C5274D">
        <w:rPr>
          <w:i/>
          <w:iCs/>
        </w:rPr>
        <w:t xml:space="preserve"> $100 million to &lt; $200 million</w:t>
      </w:r>
    </w:p>
    <w:p w14:paraId="6DE9788B" w14:textId="64858ECF" w:rsidR="00E908D2" w:rsidRPr="00471A3B" w:rsidRDefault="00C5274D" w:rsidP="00C5274D">
      <w:pPr>
        <w:pStyle w:val="TableFigureFooter"/>
        <w:jc w:val="left"/>
        <w:rPr>
          <w:i/>
          <w:iCs/>
        </w:rPr>
      </w:pPr>
      <w:r w:rsidRPr="00DD39C5">
        <w:rPr>
          <w:i/>
          <w:iCs/>
          <w:vertAlign w:val="superscript"/>
        </w:rPr>
        <w:t>7</w:t>
      </w:r>
      <w:r w:rsidRPr="00C5274D">
        <w:rPr>
          <w:i/>
          <w:iCs/>
        </w:rPr>
        <w:t xml:space="preserve"> $500 million to &lt; $600 million</w:t>
      </w:r>
      <w:r w:rsidR="008A7483">
        <w:rPr>
          <w:i/>
          <w:iCs/>
        </w:rPr>
        <w:br/>
      </w:r>
    </w:p>
    <w:p w14:paraId="4A681293" w14:textId="5D1284D3" w:rsidR="00B16766" w:rsidRPr="00E270C4" w:rsidRDefault="00B16766" w:rsidP="002A328F">
      <w:pPr>
        <w:pStyle w:val="Caption"/>
        <w:keepNext/>
      </w:pPr>
      <w:bookmarkStart w:id="7" w:name="_Ref200737767"/>
      <w:r w:rsidRPr="00E270C4">
        <w:lastRenderedPageBreak/>
        <w:t xml:space="preserve">Table </w:t>
      </w:r>
      <w:r w:rsidR="006228A5">
        <w:fldChar w:fldCharType="begin" w:fldLock="1"/>
      </w:r>
      <w:r w:rsidR="006228A5">
        <w:instrText xml:space="preserve"> SEQ Table \* ARABIC </w:instrText>
      </w:r>
      <w:r w:rsidR="006228A5">
        <w:fldChar w:fldCharType="separate"/>
      </w:r>
      <w:r w:rsidR="006228A5" w:rsidRPr="00E270C4">
        <w:rPr>
          <w:noProof/>
        </w:rPr>
        <w:t>7</w:t>
      </w:r>
      <w:r w:rsidR="006228A5">
        <w:rPr>
          <w:noProof/>
        </w:rPr>
        <w:fldChar w:fldCharType="end"/>
      </w:r>
      <w:bookmarkEnd w:id="7"/>
      <w:r w:rsidRPr="00E270C4">
        <w:t>: Modelled mean number of doses and relative percent spend for additional ipilimumab indications</w:t>
      </w:r>
    </w:p>
    <w:tbl>
      <w:tblPr>
        <w:tblStyle w:val="TableGridLight"/>
        <w:tblW w:w="5000" w:type="pct"/>
        <w:tblLook w:val="04A0" w:firstRow="1" w:lastRow="0" w:firstColumn="1" w:lastColumn="0" w:noHBand="0" w:noVBand="1"/>
        <w:tblCaption w:val="Table 7: Modelled mean number of doses and relative percent spend for additional ipilimumab indications"/>
      </w:tblPr>
      <w:tblGrid>
        <w:gridCol w:w="2075"/>
        <w:gridCol w:w="1735"/>
        <w:gridCol w:w="1612"/>
        <w:gridCol w:w="1859"/>
        <w:gridCol w:w="1735"/>
      </w:tblGrid>
      <w:tr w:rsidR="000367B6" w:rsidRPr="00E270C4" w14:paraId="16D140C3" w14:textId="77777777" w:rsidTr="00577037">
        <w:trPr>
          <w:trHeight w:val="300"/>
        </w:trPr>
        <w:tc>
          <w:tcPr>
            <w:tcW w:w="1151" w:type="pct"/>
            <w:noWrap/>
            <w:hideMark/>
          </w:tcPr>
          <w:p w14:paraId="1811CD57" w14:textId="77777777" w:rsidR="000367B6" w:rsidRPr="00E270C4" w:rsidRDefault="000367B6" w:rsidP="00FC5CBB">
            <w:pPr>
              <w:keepNext/>
              <w:rPr>
                <w:rFonts w:ascii="Arial Narrow" w:hAnsi="Arial Narrow" w:cs="Calibri"/>
                <w:b/>
                <w:bCs/>
                <w:color w:val="000000"/>
                <w:sz w:val="20"/>
                <w:szCs w:val="20"/>
              </w:rPr>
            </w:pPr>
            <w:r w:rsidRPr="00E270C4">
              <w:rPr>
                <w:rFonts w:ascii="Arial Narrow" w:hAnsi="Arial Narrow" w:cs="Calibri"/>
                <w:b/>
                <w:bCs/>
                <w:color w:val="000000"/>
                <w:sz w:val="20"/>
                <w:szCs w:val="20"/>
              </w:rPr>
              <w:t>Indication</w:t>
            </w:r>
          </w:p>
        </w:tc>
        <w:tc>
          <w:tcPr>
            <w:tcW w:w="962" w:type="pct"/>
            <w:noWrap/>
          </w:tcPr>
          <w:p w14:paraId="7DFF52A0" w14:textId="77777777" w:rsidR="000367B6" w:rsidRPr="00E270C4" w:rsidRDefault="000367B6" w:rsidP="00FC5CBB">
            <w:pPr>
              <w:keepNext/>
              <w:jc w:val="center"/>
              <w:rPr>
                <w:rFonts w:ascii="Arial Narrow" w:hAnsi="Arial Narrow" w:cs="Calibri"/>
                <w:b/>
                <w:bCs/>
                <w:color w:val="000000"/>
                <w:sz w:val="20"/>
                <w:szCs w:val="20"/>
              </w:rPr>
            </w:pPr>
            <w:r w:rsidRPr="00E270C4">
              <w:rPr>
                <w:rFonts w:ascii="Arial Narrow" w:hAnsi="Arial Narrow" w:cs="Calibri"/>
                <w:b/>
                <w:bCs/>
                <w:color w:val="000000"/>
                <w:sz w:val="20"/>
                <w:szCs w:val="20"/>
              </w:rPr>
              <w:t>modelled dose</w:t>
            </w:r>
          </w:p>
        </w:tc>
        <w:tc>
          <w:tcPr>
            <w:tcW w:w="894" w:type="pct"/>
          </w:tcPr>
          <w:p w14:paraId="4711C407" w14:textId="77777777" w:rsidR="000367B6" w:rsidRPr="00E270C4" w:rsidRDefault="000367B6" w:rsidP="00FC5CBB">
            <w:pPr>
              <w:keepNext/>
              <w:jc w:val="center"/>
              <w:rPr>
                <w:rFonts w:ascii="Arial Narrow" w:hAnsi="Arial Narrow" w:cs="Calibri"/>
                <w:b/>
                <w:bCs/>
                <w:color w:val="000000"/>
                <w:sz w:val="20"/>
                <w:szCs w:val="20"/>
              </w:rPr>
            </w:pPr>
            <w:r w:rsidRPr="00E270C4">
              <w:rPr>
                <w:rFonts w:ascii="Arial Narrow" w:hAnsi="Arial Narrow" w:cs="Calibri"/>
                <w:b/>
                <w:bCs/>
                <w:color w:val="000000"/>
                <w:sz w:val="20"/>
                <w:szCs w:val="20"/>
              </w:rPr>
              <w:t>modelled number of doses/scripts</w:t>
            </w:r>
          </w:p>
        </w:tc>
        <w:tc>
          <w:tcPr>
            <w:tcW w:w="1031" w:type="pct"/>
          </w:tcPr>
          <w:p w14:paraId="0F9A1CC8"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total forecast PBS expenditure</w:t>
            </w:r>
          </w:p>
          <w:p w14:paraId="264EEF23"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across 6 years</w:t>
            </w:r>
          </w:p>
          <w:p w14:paraId="3D38DA52"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(effective)</w:t>
            </w:r>
          </w:p>
          <w:p w14:paraId="491C5601"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($M)</w:t>
            </w:r>
          </w:p>
        </w:tc>
        <w:tc>
          <w:tcPr>
            <w:tcW w:w="962" w:type="pct"/>
          </w:tcPr>
          <w:p w14:paraId="5F1C3283"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 xml:space="preserve">relative percentage of all additional </w:t>
            </w:r>
          </w:p>
          <w:p w14:paraId="57CAB6BC" w14:textId="77777777" w:rsidR="000367B6" w:rsidRPr="00E270C4" w:rsidRDefault="000367B6" w:rsidP="00FC5CBB">
            <w:pPr>
              <w:keepNext/>
              <w:jc w:val="right"/>
              <w:rPr>
                <w:rFonts w:ascii="Arial Narrow" w:hAnsi="Arial Narrow" w:cs="Calibri"/>
                <w:b/>
                <w:bCs/>
                <w:color w:val="000000"/>
                <w:sz w:val="20"/>
                <w:szCs w:val="20"/>
              </w:rPr>
            </w:pPr>
            <w:r w:rsidRPr="00E270C4">
              <w:rPr>
                <w:rFonts w:ascii="Arial Narrow" w:hAnsi="Arial Narrow" w:cs="Calibri"/>
                <w:b/>
                <w:bCs/>
                <w:color w:val="000000"/>
                <w:sz w:val="20"/>
                <w:szCs w:val="20"/>
              </w:rPr>
              <w:t>PBS expenditure</w:t>
            </w:r>
          </w:p>
        </w:tc>
      </w:tr>
      <w:tr w:rsidR="000367B6" w:rsidRPr="00E270C4" w14:paraId="2A0E0ADF" w14:textId="77777777" w:rsidTr="00577037">
        <w:trPr>
          <w:trHeight w:val="300"/>
        </w:trPr>
        <w:tc>
          <w:tcPr>
            <w:tcW w:w="1151" w:type="pct"/>
            <w:noWrap/>
          </w:tcPr>
          <w:p w14:paraId="74AE32FB" w14:textId="77777777" w:rsidR="000367B6" w:rsidRPr="00E270C4" w:rsidRDefault="000367B6" w:rsidP="00FC5CBB">
            <w:pPr>
              <w:keepNext/>
              <w:rPr>
                <w:rFonts w:ascii="Arial Narrow" w:hAnsi="Arial Narrow" w:cs="Calibri"/>
                <w:color w:val="000000"/>
                <w:sz w:val="20"/>
                <w:szCs w:val="20"/>
              </w:rPr>
            </w:pPr>
            <w:r w:rsidRPr="00E270C4">
              <w:rPr>
                <w:rFonts w:ascii="Arial Narrow" w:hAnsi="Arial Narrow" w:cs="Calibri"/>
                <w:color w:val="000000"/>
                <w:sz w:val="20"/>
                <w:szCs w:val="20"/>
              </w:rPr>
              <w:t>1L OSS</w:t>
            </w:r>
          </w:p>
        </w:tc>
        <w:tc>
          <w:tcPr>
            <w:tcW w:w="962" w:type="pct"/>
            <w:noWrap/>
          </w:tcPr>
          <w:p w14:paraId="59E6C596"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 xml:space="preserve">80 mg </w:t>
            </w:r>
          </w:p>
        </w:tc>
        <w:tc>
          <w:tcPr>
            <w:tcW w:w="894" w:type="pct"/>
          </w:tcPr>
          <w:p w14:paraId="0536F5D2"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4.3</w:t>
            </w:r>
          </w:p>
        </w:tc>
        <w:tc>
          <w:tcPr>
            <w:tcW w:w="1031" w:type="pct"/>
          </w:tcPr>
          <w:p w14:paraId="2881231A" w14:textId="65AB338D" w:rsidR="000367B6" w:rsidRPr="00471A3B" w:rsidRDefault="00C546A7" w:rsidP="00FC5CBB">
            <w:pPr>
              <w:keepNext/>
              <w:jc w:val="right"/>
              <w:rPr>
                <w:rFonts w:ascii="Arial Narrow" w:hAnsi="Arial Narrow" w:cstheme="minorHAnsi"/>
                <w:color w:val="000000"/>
                <w:sz w:val="20"/>
                <w:szCs w:val="20"/>
                <w:vertAlign w:val="superscript"/>
              </w:rPr>
            </w:pPr>
            <w:r w:rsidRPr="00C546A7">
              <w:rPr>
                <w:rFonts w:ascii="Arial Narrow" w:hAnsi="Arial Narrow" w:cstheme="minorHAnsi"/>
                <w:color w:val="000000"/>
                <w:spacing w:val="55"/>
                <w:sz w:val="20"/>
                <w:szCs w:val="20"/>
                <w:shd w:val="solid" w:color="000000" w:fill="000000"/>
                <w:fitText w:val="336" w:id="-628400627"/>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27"/>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1</w:t>
            </w:r>
          </w:p>
        </w:tc>
        <w:tc>
          <w:tcPr>
            <w:tcW w:w="962" w:type="pct"/>
          </w:tcPr>
          <w:p w14:paraId="7D2C5D8E"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w:t>
            </w:r>
          </w:p>
        </w:tc>
      </w:tr>
      <w:tr w:rsidR="000367B6" w:rsidRPr="00E270C4" w14:paraId="70FFDFEA" w14:textId="77777777" w:rsidTr="00577037">
        <w:trPr>
          <w:trHeight w:val="300"/>
        </w:trPr>
        <w:tc>
          <w:tcPr>
            <w:tcW w:w="1151" w:type="pct"/>
            <w:noWrap/>
          </w:tcPr>
          <w:p w14:paraId="77C3D145"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sz w:val="20"/>
                <w:szCs w:val="20"/>
              </w:rPr>
              <w:t>1L CRC</w:t>
            </w:r>
          </w:p>
        </w:tc>
        <w:tc>
          <w:tcPr>
            <w:tcW w:w="962" w:type="pct"/>
            <w:noWrap/>
          </w:tcPr>
          <w:p w14:paraId="2E40301D"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 xml:space="preserve">80 mg </w:t>
            </w:r>
          </w:p>
        </w:tc>
        <w:tc>
          <w:tcPr>
            <w:tcW w:w="894" w:type="pct"/>
          </w:tcPr>
          <w:p w14:paraId="6F829FAD"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4.0</w:t>
            </w:r>
          </w:p>
        </w:tc>
        <w:tc>
          <w:tcPr>
            <w:tcW w:w="1031" w:type="pct"/>
          </w:tcPr>
          <w:p w14:paraId="01349335" w14:textId="7D9397D8" w:rsidR="000367B6" w:rsidRPr="00471A3B" w:rsidRDefault="00C546A7" w:rsidP="00FC5CBB">
            <w:pPr>
              <w:keepNext/>
              <w:jc w:val="right"/>
              <w:rPr>
                <w:rFonts w:ascii="Arial Narrow" w:hAnsi="Arial Narrow" w:cstheme="minorHAnsi"/>
                <w:color w:val="000000"/>
                <w:sz w:val="20"/>
                <w:szCs w:val="20"/>
                <w:vertAlign w:val="superscript"/>
              </w:rPr>
            </w:pPr>
            <w:r w:rsidRPr="00C546A7">
              <w:rPr>
                <w:rFonts w:ascii="Arial Narrow" w:hAnsi="Arial Narrow" w:cstheme="minorHAnsi"/>
                <w:color w:val="000000"/>
                <w:spacing w:val="55"/>
                <w:sz w:val="20"/>
                <w:szCs w:val="20"/>
                <w:shd w:val="solid" w:color="000000" w:fill="000000"/>
                <w:fitText w:val="336" w:id="-628400626"/>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26"/>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2</w:t>
            </w:r>
          </w:p>
        </w:tc>
        <w:tc>
          <w:tcPr>
            <w:tcW w:w="962" w:type="pct"/>
          </w:tcPr>
          <w:p w14:paraId="59000655"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15%</w:t>
            </w:r>
          </w:p>
        </w:tc>
      </w:tr>
      <w:tr w:rsidR="000367B6" w:rsidRPr="00E270C4" w14:paraId="3106E1B5" w14:textId="77777777" w:rsidTr="00577037">
        <w:trPr>
          <w:trHeight w:val="300"/>
        </w:trPr>
        <w:tc>
          <w:tcPr>
            <w:tcW w:w="1151" w:type="pct"/>
            <w:noWrap/>
          </w:tcPr>
          <w:p w14:paraId="233E1509"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sz w:val="20"/>
                <w:szCs w:val="20"/>
              </w:rPr>
              <w:t>1L HCC</w:t>
            </w:r>
          </w:p>
        </w:tc>
        <w:tc>
          <w:tcPr>
            <w:tcW w:w="962" w:type="pct"/>
            <w:noWrap/>
          </w:tcPr>
          <w:p w14:paraId="1FB9CC05"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 xml:space="preserve">240 mg </w:t>
            </w:r>
          </w:p>
        </w:tc>
        <w:tc>
          <w:tcPr>
            <w:tcW w:w="894" w:type="pct"/>
          </w:tcPr>
          <w:p w14:paraId="35D495D0"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3.0</w:t>
            </w:r>
          </w:p>
        </w:tc>
        <w:tc>
          <w:tcPr>
            <w:tcW w:w="1031" w:type="pct"/>
          </w:tcPr>
          <w:p w14:paraId="378416AB" w14:textId="495D34E2" w:rsidR="000367B6" w:rsidRPr="00471A3B" w:rsidRDefault="00C546A7" w:rsidP="00FC5CBB">
            <w:pPr>
              <w:keepNext/>
              <w:jc w:val="right"/>
              <w:rPr>
                <w:rFonts w:ascii="Arial Narrow" w:hAnsi="Arial Narrow" w:cstheme="minorHAnsi"/>
                <w:color w:val="000000"/>
                <w:sz w:val="20"/>
                <w:szCs w:val="20"/>
                <w:vertAlign w:val="superscript"/>
              </w:rPr>
            </w:pPr>
            <w:r w:rsidRPr="00C546A7">
              <w:rPr>
                <w:rFonts w:ascii="Arial Narrow" w:hAnsi="Arial Narrow" w:cstheme="minorHAnsi"/>
                <w:color w:val="000000"/>
                <w:spacing w:val="55"/>
                <w:sz w:val="20"/>
                <w:szCs w:val="20"/>
                <w:shd w:val="solid" w:color="000000" w:fill="000000"/>
                <w:fitText w:val="336" w:id="-628400625"/>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25"/>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3</w:t>
            </w:r>
          </w:p>
        </w:tc>
        <w:tc>
          <w:tcPr>
            <w:tcW w:w="962" w:type="pct"/>
          </w:tcPr>
          <w:p w14:paraId="61666A3F"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31%</w:t>
            </w:r>
          </w:p>
        </w:tc>
      </w:tr>
      <w:tr w:rsidR="000367B6" w:rsidRPr="00E270C4" w14:paraId="3274A1DD" w14:textId="77777777" w:rsidTr="00577037">
        <w:trPr>
          <w:trHeight w:val="300"/>
        </w:trPr>
        <w:tc>
          <w:tcPr>
            <w:tcW w:w="1151" w:type="pct"/>
            <w:noWrap/>
          </w:tcPr>
          <w:p w14:paraId="700DA907" w14:textId="77777777" w:rsidR="000367B6" w:rsidRPr="00E270C4" w:rsidRDefault="000367B6" w:rsidP="00FC5CBB">
            <w:pPr>
              <w:keepNext/>
              <w:rPr>
                <w:rFonts w:ascii="Arial Narrow" w:hAnsi="Arial Narrow" w:cs="Calibri"/>
                <w:sz w:val="20"/>
                <w:szCs w:val="20"/>
              </w:rPr>
            </w:pPr>
            <w:r w:rsidRPr="00E270C4">
              <w:rPr>
                <w:rFonts w:ascii="Arial Narrow" w:hAnsi="Arial Narrow" w:cs="Calibri"/>
                <w:sz w:val="20"/>
                <w:szCs w:val="20"/>
              </w:rPr>
              <w:t xml:space="preserve">1L </w:t>
            </w:r>
            <w:proofErr w:type="spellStart"/>
            <w:r w:rsidRPr="00E270C4">
              <w:rPr>
                <w:rFonts w:ascii="Arial Narrow" w:hAnsi="Arial Narrow" w:cs="Calibri"/>
                <w:sz w:val="20"/>
                <w:szCs w:val="20"/>
              </w:rPr>
              <w:t>NSq</w:t>
            </w:r>
            <w:proofErr w:type="spellEnd"/>
            <w:r w:rsidRPr="00E270C4">
              <w:rPr>
                <w:rFonts w:ascii="Arial Narrow" w:hAnsi="Arial Narrow" w:cs="Calibri"/>
                <w:sz w:val="20"/>
                <w:szCs w:val="20"/>
              </w:rPr>
              <w:t xml:space="preserve"> NSCLC</w:t>
            </w:r>
          </w:p>
        </w:tc>
        <w:tc>
          <w:tcPr>
            <w:tcW w:w="962" w:type="pct"/>
            <w:noWrap/>
          </w:tcPr>
          <w:p w14:paraId="571A6E4C"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 xml:space="preserve">80 mg </w:t>
            </w:r>
          </w:p>
        </w:tc>
        <w:tc>
          <w:tcPr>
            <w:tcW w:w="894" w:type="pct"/>
          </w:tcPr>
          <w:p w14:paraId="2C064416" w14:textId="77777777" w:rsidR="000367B6" w:rsidRPr="00E270C4" w:rsidRDefault="000367B6" w:rsidP="00FC5CBB">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7.0</w:t>
            </w:r>
          </w:p>
        </w:tc>
        <w:tc>
          <w:tcPr>
            <w:tcW w:w="1031" w:type="pct"/>
          </w:tcPr>
          <w:p w14:paraId="076EB7BE" w14:textId="7E29630D" w:rsidR="000367B6" w:rsidRPr="00471A3B" w:rsidRDefault="00C546A7" w:rsidP="00FC5CBB">
            <w:pPr>
              <w:keepNext/>
              <w:jc w:val="right"/>
              <w:rPr>
                <w:rFonts w:ascii="Arial Narrow" w:hAnsi="Arial Narrow" w:cstheme="minorHAnsi"/>
                <w:color w:val="000000"/>
                <w:sz w:val="20"/>
                <w:szCs w:val="20"/>
                <w:vertAlign w:val="superscript"/>
              </w:rPr>
            </w:pPr>
            <w:r w:rsidRPr="00C546A7">
              <w:rPr>
                <w:rFonts w:ascii="Arial Narrow" w:hAnsi="Arial Narrow" w:cstheme="minorHAnsi"/>
                <w:color w:val="000000"/>
                <w:spacing w:val="55"/>
                <w:sz w:val="20"/>
                <w:szCs w:val="20"/>
                <w:shd w:val="solid" w:color="000000" w:fill="000000"/>
                <w:fitText w:val="336" w:id="-628400624"/>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24"/>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4</w:t>
            </w:r>
          </w:p>
        </w:tc>
        <w:tc>
          <w:tcPr>
            <w:tcW w:w="962" w:type="pct"/>
          </w:tcPr>
          <w:p w14:paraId="3D8BACE5" w14:textId="77777777" w:rsidR="000367B6" w:rsidRPr="00E270C4" w:rsidRDefault="000367B6" w:rsidP="00FC5CBB">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11%</w:t>
            </w:r>
          </w:p>
        </w:tc>
      </w:tr>
      <w:tr w:rsidR="000367B6" w:rsidRPr="00E270C4" w14:paraId="5B7E0D5E" w14:textId="77777777" w:rsidTr="00577037">
        <w:trPr>
          <w:trHeight w:val="300"/>
        </w:trPr>
        <w:tc>
          <w:tcPr>
            <w:tcW w:w="1151" w:type="pct"/>
            <w:noWrap/>
          </w:tcPr>
          <w:p w14:paraId="3F725880" w14:textId="72B1E15E" w:rsidR="000367B6" w:rsidRPr="00E270C4" w:rsidRDefault="000367B6" w:rsidP="00E6401F">
            <w:pPr>
              <w:keepNext/>
              <w:rPr>
                <w:rFonts w:ascii="Arial Narrow" w:hAnsi="Arial Narrow" w:cs="Calibri"/>
                <w:color w:val="000000"/>
                <w:sz w:val="20"/>
                <w:szCs w:val="20"/>
              </w:rPr>
            </w:pPr>
            <w:r w:rsidRPr="00E270C4">
              <w:rPr>
                <w:rFonts w:ascii="Arial Narrow" w:hAnsi="Arial Narrow" w:cs="Calibri"/>
                <w:color w:val="000000"/>
                <w:sz w:val="20"/>
                <w:szCs w:val="20"/>
              </w:rPr>
              <w:t>rare</w:t>
            </w:r>
          </w:p>
        </w:tc>
        <w:tc>
          <w:tcPr>
            <w:tcW w:w="962" w:type="pct"/>
            <w:noWrap/>
          </w:tcPr>
          <w:p w14:paraId="20BA0FB4" w14:textId="77777777" w:rsidR="000367B6" w:rsidRPr="00E270C4" w:rsidRDefault="000367B6" w:rsidP="00E6401F">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80 mg</w:t>
            </w:r>
          </w:p>
        </w:tc>
        <w:tc>
          <w:tcPr>
            <w:tcW w:w="894" w:type="pct"/>
          </w:tcPr>
          <w:p w14:paraId="1CF920C5" w14:textId="77777777" w:rsidR="000367B6" w:rsidRPr="00E270C4" w:rsidRDefault="000367B6" w:rsidP="00E6401F">
            <w:pPr>
              <w:keepNext/>
              <w:jc w:val="center"/>
              <w:rPr>
                <w:rFonts w:ascii="Arial Narrow" w:hAnsi="Arial Narrow" w:cstheme="minorHAnsi"/>
                <w:color w:val="000000"/>
                <w:sz w:val="20"/>
                <w:szCs w:val="20"/>
              </w:rPr>
            </w:pPr>
            <w:r w:rsidRPr="00E270C4">
              <w:rPr>
                <w:rFonts w:ascii="Arial Narrow" w:hAnsi="Arial Narrow" w:cstheme="minorHAnsi"/>
                <w:color w:val="000000"/>
                <w:sz w:val="20"/>
                <w:szCs w:val="20"/>
              </w:rPr>
              <w:t>4.0</w:t>
            </w:r>
          </w:p>
        </w:tc>
        <w:tc>
          <w:tcPr>
            <w:tcW w:w="1031" w:type="pct"/>
          </w:tcPr>
          <w:p w14:paraId="1C6AD7C5" w14:textId="1E9B4301" w:rsidR="000367B6" w:rsidRPr="00471A3B" w:rsidRDefault="00C546A7" w:rsidP="00E6401F">
            <w:pPr>
              <w:keepNext/>
              <w:jc w:val="right"/>
              <w:rPr>
                <w:rFonts w:ascii="Arial Narrow" w:hAnsi="Arial Narrow" w:cstheme="minorHAnsi"/>
                <w:color w:val="000000"/>
                <w:sz w:val="20"/>
                <w:szCs w:val="20"/>
                <w:vertAlign w:val="superscript"/>
              </w:rPr>
            </w:pPr>
            <w:r w:rsidRPr="00C546A7">
              <w:rPr>
                <w:rFonts w:ascii="Arial Narrow" w:hAnsi="Arial Narrow" w:cstheme="minorHAnsi"/>
                <w:color w:val="000000"/>
                <w:spacing w:val="55"/>
                <w:sz w:val="20"/>
                <w:szCs w:val="20"/>
                <w:shd w:val="solid" w:color="000000" w:fill="000000"/>
                <w:fitText w:val="336" w:id="-628400640"/>
                <w14:textFill>
                  <w14:solidFill>
                    <w14:srgbClr w14:val="000000">
                      <w14:alpha w14:val="100000"/>
                    </w14:srgbClr>
                  </w14:solidFill>
                </w14:textFill>
              </w:rPr>
              <w:t>|||</w:t>
            </w:r>
            <w:r w:rsidRPr="00C546A7">
              <w:rPr>
                <w:rFonts w:ascii="Arial Narrow" w:hAnsi="Arial Narrow" w:cstheme="minorHAnsi"/>
                <w:color w:val="000000"/>
                <w:spacing w:val="1"/>
                <w:sz w:val="20"/>
                <w:szCs w:val="20"/>
                <w:shd w:val="solid" w:color="000000" w:fill="000000"/>
                <w:fitText w:val="336" w:id="-628400640"/>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5</w:t>
            </w:r>
          </w:p>
        </w:tc>
        <w:tc>
          <w:tcPr>
            <w:tcW w:w="962" w:type="pct"/>
          </w:tcPr>
          <w:p w14:paraId="49E46EDE" w14:textId="77777777" w:rsidR="000367B6" w:rsidRPr="00E270C4" w:rsidRDefault="000367B6" w:rsidP="00E6401F">
            <w:pPr>
              <w:keepNext/>
              <w:jc w:val="right"/>
              <w:rPr>
                <w:rFonts w:ascii="Arial Narrow" w:hAnsi="Arial Narrow" w:cstheme="minorHAnsi"/>
                <w:color w:val="000000"/>
                <w:sz w:val="20"/>
                <w:szCs w:val="20"/>
              </w:rPr>
            </w:pPr>
            <w:r w:rsidRPr="00E270C4">
              <w:rPr>
                <w:rFonts w:ascii="Arial Narrow" w:hAnsi="Arial Narrow" w:cstheme="minorHAnsi"/>
                <w:color w:val="000000"/>
                <w:sz w:val="20"/>
                <w:szCs w:val="20"/>
              </w:rPr>
              <w:t>42%</w:t>
            </w:r>
          </w:p>
        </w:tc>
      </w:tr>
    </w:tbl>
    <w:p w14:paraId="0DD3BD5F" w14:textId="198029EB" w:rsidR="000367B6" w:rsidRDefault="000367B6" w:rsidP="00E6401F">
      <w:pPr>
        <w:pStyle w:val="3-BodyText"/>
        <w:numPr>
          <w:ilvl w:val="0"/>
          <w:numId w:val="0"/>
        </w:numPr>
        <w:spacing w:before="0" w:after="0"/>
        <w:ind w:left="2880" w:firstLine="720"/>
        <w:rPr>
          <w:rFonts w:ascii="Arial Narrow" w:hAnsi="Arial Narrow"/>
          <w:sz w:val="20"/>
          <w:szCs w:val="20"/>
        </w:rPr>
      </w:pPr>
      <w:r w:rsidRPr="00E270C4">
        <w:rPr>
          <w:rFonts w:ascii="Arial Narrow" w:hAnsi="Arial Narrow"/>
          <w:sz w:val="20"/>
          <w:szCs w:val="20"/>
        </w:rPr>
        <w:t>Total</w:t>
      </w:r>
      <w:r w:rsidRPr="00E270C4">
        <w:rPr>
          <w:rFonts w:ascii="Arial Narrow" w:hAnsi="Arial Narrow"/>
          <w:sz w:val="20"/>
          <w:szCs w:val="20"/>
        </w:rPr>
        <w:tab/>
      </w:r>
      <w:r w:rsidRPr="00E270C4">
        <w:rPr>
          <w:rFonts w:ascii="Arial Narrow" w:hAnsi="Arial Narrow"/>
          <w:sz w:val="20"/>
          <w:szCs w:val="20"/>
        </w:rPr>
        <w:tab/>
        <w:t xml:space="preserve">        </w:t>
      </w:r>
      <w:r w:rsidR="00C546A7" w:rsidRPr="00C546A7">
        <w:rPr>
          <w:rFonts w:ascii="Arial Narrow" w:hAnsi="Arial Narrow"/>
          <w:color w:val="000000"/>
          <w:spacing w:val="8"/>
          <w:sz w:val="20"/>
          <w:szCs w:val="20"/>
          <w:shd w:val="solid" w:color="000000" w:fill="000000"/>
          <w:fitText w:val="304" w:id="-628400639"/>
          <w14:textFill>
            <w14:solidFill>
              <w14:srgbClr w14:val="000000">
                <w14:alpha w14:val="100000"/>
              </w14:srgbClr>
            </w14:solidFill>
          </w14:textFill>
        </w:rPr>
        <w:t>||  |</w:t>
      </w:r>
      <w:r w:rsidR="00C546A7" w:rsidRPr="00C546A7">
        <w:rPr>
          <w:rFonts w:ascii="Arial Narrow" w:hAnsi="Arial Narrow"/>
          <w:color w:val="000000"/>
          <w:spacing w:val="3"/>
          <w:sz w:val="20"/>
          <w:szCs w:val="20"/>
          <w:shd w:val="solid" w:color="000000" w:fill="000000"/>
          <w:fitText w:val="304" w:id="-628400639"/>
          <w14:textFill>
            <w14:solidFill>
              <w14:srgbClr w14:val="000000">
                <w14:alpha w14:val="100000"/>
              </w14:srgbClr>
            </w14:solidFill>
          </w14:textFill>
        </w:rPr>
        <w:t>|</w:t>
      </w:r>
      <w:r w:rsidR="00471A3B">
        <w:rPr>
          <w:rFonts w:ascii="Arial Narrow" w:hAnsi="Arial Narrow" w:cstheme="minorHAnsi"/>
          <w:color w:val="000000"/>
          <w:sz w:val="20"/>
          <w:szCs w:val="20"/>
          <w:vertAlign w:val="superscript"/>
        </w:rPr>
        <w:t>6</w:t>
      </w:r>
      <w:r w:rsidRPr="00E270C4">
        <w:rPr>
          <w:rFonts w:ascii="Arial Narrow" w:hAnsi="Arial Narrow"/>
          <w:sz w:val="20"/>
          <w:szCs w:val="20"/>
        </w:rPr>
        <w:t xml:space="preserve"> </w:t>
      </w:r>
      <w:r w:rsidRPr="00E270C4">
        <w:rPr>
          <w:rFonts w:ascii="Arial Narrow" w:hAnsi="Arial Narrow"/>
          <w:sz w:val="20"/>
          <w:szCs w:val="20"/>
        </w:rPr>
        <w:tab/>
        <w:t xml:space="preserve">        100%</w:t>
      </w:r>
    </w:p>
    <w:p w14:paraId="60072B57" w14:textId="77777777" w:rsidR="00916F73" w:rsidRPr="00916F73" w:rsidRDefault="00916F73" w:rsidP="00916F73">
      <w:pPr>
        <w:pStyle w:val="TableFigureFooter"/>
        <w:jc w:val="left"/>
        <w:rPr>
          <w:i/>
          <w:iCs/>
        </w:rPr>
      </w:pPr>
      <w:r w:rsidRPr="00916F73">
        <w:rPr>
          <w:i/>
          <w:iCs/>
        </w:rPr>
        <w:t>The redacted values correspond to the following ranges:</w:t>
      </w:r>
    </w:p>
    <w:p w14:paraId="0E168F7C" w14:textId="77777777" w:rsidR="00916F73" w:rsidRPr="00916F73" w:rsidRDefault="00916F73" w:rsidP="00916F73">
      <w:pPr>
        <w:pStyle w:val="TableFigureFooter"/>
        <w:jc w:val="left"/>
        <w:rPr>
          <w:i/>
          <w:iCs/>
        </w:rPr>
      </w:pPr>
      <w:r w:rsidRPr="00DD39C5">
        <w:rPr>
          <w:i/>
          <w:iCs/>
          <w:vertAlign w:val="superscript"/>
        </w:rPr>
        <w:t>1</w:t>
      </w:r>
      <w:r w:rsidRPr="00916F73">
        <w:rPr>
          <w:i/>
          <w:iCs/>
        </w:rPr>
        <w:t xml:space="preserve"> $100 million to &lt; $200 million</w:t>
      </w:r>
    </w:p>
    <w:p w14:paraId="128B4A96" w14:textId="77777777" w:rsidR="00916F73" w:rsidRPr="00916F73" w:rsidRDefault="00916F73" w:rsidP="00916F73">
      <w:pPr>
        <w:pStyle w:val="TableFigureFooter"/>
        <w:jc w:val="left"/>
        <w:rPr>
          <w:i/>
          <w:iCs/>
        </w:rPr>
      </w:pPr>
      <w:r w:rsidRPr="00CC4037">
        <w:rPr>
          <w:i/>
          <w:iCs/>
          <w:vertAlign w:val="superscript"/>
        </w:rPr>
        <w:t>2</w:t>
      </w:r>
      <w:r w:rsidRPr="00916F73">
        <w:rPr>
          <w:i/>
          <w:iCs/>
        </w:rPr>
        <w:t xml:space="preserve"> $20 million to &lt; $30 million</w:t>
      </w:r>
    </w:p>
    <w:p w14:paraId="04B91B5C" w14:textId="77777777" w:rsidR="00916F73" w:rsidRPr="00916F73" w:rsidRDefault="00916F73" w:rsidP="00916F73">
      <w:pPr>
        <w:pStyle w:val="TableFigureFooter"/>
        <w:jc w:val="left"/>
        <w:rPr>
          <w:i/>
          <w:iCs/>
        </w:rPr>
      </w:pPr>
      <w:r w:rsidRPr="00CC4037">
        <w:rPr>
          <w:i/>
          <w:iCs/>
          <w:vertAlign w:val="superscript"/>
        </w:rPr>
        <w:t>3</w:t>
      </w:r>
      <w:r w:rsidRPr="00916F73">
        <w:rPr>
          <w:i/>
          <w:iCs/>
        </w:rPr>
        <w:t xml:space="preserve"> $30 million to &lt; $40 million</w:t>
      </w:r>
    </w:p>
    <w:p w14:paraId="4C5B5B1C" w14:textId="77777777" w:rsidR="00916F73" w:rsidRPr="00916F73" w:rsidRDefault="00916F73" w:rsidP="00916F73">
      <w:pPr>
        <w:pStyle w:val="TableFigureFooter"/>
        <w:jc w:val="left"/>
        <w:rPr>
          <w:i/>
          <w:iCs/>
        </w:rPr>
      </w:pPr>
      <w:r w:rsidRPr="00CC4037">
        <w:rPr>
          <w:i/>
          <w:iCs/>
          <w:vertAlign w:val="superscript"/>
        </w:rPr>
        <w:t>4</w:t>
      </w:r>
      <w:r w:rsidRPr="00916F73">
        <w:rPr>
          <w:i/>
          <w:iCs/>
        </w:rPr>
        <w:t xml:space="preserve"> $0 to &lt; $10 million</w:t>
      </w:r>
    </w:p>
    <w:p w14:paraId="67C30DF9" w14:textId="77777777" w:rsidR="00916F73" w:rsidRPr="00916F73" w:rsidRDefault="00916F73" w:rsidP="00916F73">
      <w:pPr>
        <w:pStyle w:val="TableFigureFooter"/>
        <w:jc w:val="left"/>
        <w:rPr>
          <w:i/>
          <w:iCs/>
        </w:rPr>
      </w:pPr>
      <w:r w:rsidRPr="00CC4037">
        <w:rPr>
          <w:i/>
          <w:iCs/>
          <w:vertAlign w:val="superscript"/>
        </w:rPr>
        <w:t>5</w:t>
      </w:r>
      <w:r w:rsidRPr="00916F73">
        <w:rPr>
          <w:i/>
          <w:iCs/>
        </w:rPr>
        <w:t xml:space="preserve"> $90 million to &lt; $100 million</w:t>
      </w:r>
    </w:p>
    <w:p w14:paraId="221FBB27" w14:textId="77777777" w:rsidR="004C628F" w:rsidRDefault="00916F73" w:rsidP="00916F73">
      <w:pPr>
        <w:pStyle w:val="TableFigureFooter"/>
        <w:jc w:val="left"/>
        <w:rPr>
          <w:i/>
          <w:iCs/>
        </w:rPr>
      </w:pPr>
      <w:r w:rsidRPr="00CC4037">
        <w:rPr>
          <w:i/>
          <w:iCs/>
          <w:vertAlign w:val="superscript"/>
        </w:rPr>
        <w:t>6</w:t>
      </w:r>
      <w:r w:rsidRPr="00916F73">
        <w:rPr>
          <w:i/>
          <w:iCs/>
        </w:rPr>
        <w:t xml:space="preserve"> $100 million to &lt; $200 million</w:t>
      </w:r>
    </w:p>
    <w:p w14:paraId="40FBEA44" w14:textId="401FE1A1" w:rsidR="00916F73" w:rsidRPr="00916F73" w:rsidRDefault="004C628F" w:rsidP="00916F73">
      <w:pPr>
        <w:pStyle w:val="TableFigureFooter"/>
        <w:jc w:val="left"/>
        <w:rPr>
          <w:i/>
          <w:iCs/>
        </w:rPr>
      </w:pPr>
      <w:r w:rsidRPr="00CC4037">
        <w:rPr>
          <w:i/>
          <w:iCs/>
          <w:vertAlign w:val="superscript"/>
        </w:rPr>
        <w:t>7</w:t>
      </w:r>
      <w:r w:rsidRPr="00916F73">
        <w:rPr>
          <w:i/>
          <w:iCs/>
        </w:rPr>
        <w:t xml:space="preserve"> $500 million to &lt; $600 million</w:t>
      </w:r>
    </w:p>
    <w:p w14:paraId="08D526BE" w14:textId="59F75E52" w:rsidR="00EE14DF" w:rsidRDefault="00EE14DF" w:rsidP="008C1502">
      <w:pPr>
        <w:pStyle w:val="3-BodyText"/>
      </w:pPr>
      <w:r>
        <w:t>For nivolumab</w:t>
      </w:r>
    </w:p>
    <w:p w14:paraId="7D60C7CB" w14:textId="044EF430" w:rsidR="00EE14DF" w:rsidRDefault="00920C4D" w:rsidP="00743E02">
      <w:pPr>
        <w:pStyle w:val="3-BodyText"/>
        <w:numPr>
          <w:ilvl w:val="0"/>
          <w:numId w:val="33"/>
        </w:numPr>
        <w:spacing w:before="0" w:after="0"/>
      </w:pPr>
      <w:r>
        <w:t xml:space="preserve">26% of the </w:t>
      </w:r>
      <w:r w:rsidR="00812CAE">
        <w:t xml:space="preserve">forecast spend is for </w:t>
      </w:r>
      <w:r w:rsidR="005C246B">
        <w:t xml:space="preserve">1L </w:t>
      </w:r>
      <w:r w:rsidR="00C62ED5">
        <w:t xml:space="preserve">dMMR CRC, which depends on </w:t>
      </w:r>
      <w:r w:rsidR="00FB3532">
        <w:t xml:space="preserve">nivolumab + ipilimumab </w:t>
      </w:r>
      <w:r w:rsidR="00E96773">
        <w:t xml:space="preserve">taking </w:t>
      </w:r>
      <w:r w:rsidR="00C546A7" w:rsidRPr="00C546A7">
        <w:rPr>
          <w:color w:val="000000"/>
          <w:w w:val="61"/>
          <w:shd w:val="solid" w:color="000000" w:fill="000000"/>
          <w:fitText w:val="472" w:id="-628400638"/>
          <w14:textFill>
            <w14:solidFill>
              <w14:srgbClr w14:val="000000">
                <w14:alpha w14:val="100000"/>
              </w14:srgbClr>
            </w14:solidFill>
          </w14:textFill>
        </w:rPr>
        <w:t>|||  ||</w:t>
      </w:r>
      <w:r w:rsidR="00C546A7" w:rsidRPr="00C546A7">
        <w:rPr>
          <w:color w:val="000000"/>
          <w:spacing w:val="2"/>
          <w:w w:val="61"/>
          <w:shd w:val="solid" w:color="000000" w:fill="000000"/>
          <w:fitText w:val="472" w:id="-628400638"/>
          <w14:textFill>
            <w14:solidFill>
              <w14:srgbClr w14:val="000000">
                <w14:alpha w14:val="100000"/>
              </w14:srgbClr>
            </w14:solidFill>
          </w14:textFill>
        </w:rPr>
        <w:t>|</w:t>
      </w:r>
      <w:r w:rsidR="00FC6DF4">
        <w:t>%</w:t>
      </w:r>
      <w:r w:rsidR="003F3E6F">
        <w:t xml:space="preserve"> of the </w:t>
      </w:r>
      <w:r w:rsidR="00E96773">
        <w:t>market share</w:t>
      </w:r>
      <w:r w:rsidR="00C62ED5">
        <w:t xml:space="preserve"> </w:t>
      </w:r>
      <w:r w:rsidR="005F2582">
        <w:t xml:space="preserve">from </w:t>
      </w:r>
      <w:r w:rsidR="00C62ED5">
        <w:t>pembrolizumab</w:t>
      </w:r>
    </w:p>
    <w:p w14:paraId="70BCEFB6" w14:textId="10C82FE0" w:rsidR="0088441F" w:rsidRDefault="0088441F" w:rsidP="00743E02">
      <w:pPr>
        <w:pStyle w:val="3-BodyText"/>
        <w:numPr>
          <w:ilvl w:val="0"/>
          <w:numId w:val="33"/>
        </w:numPr>
        <w:spacing w:before="0" w:after="0"/>
      </w:pPr>
      <w:r>
        <w:t>20%</w:t>
      </w:r>
      <w:r w:rsidR="005C246B">
        <w:t xml:space="preserve"> of the forecast spend is for 1L UC, which </w:t>
      </w:r>
      <w:r w:rsidR="003F3E6F">
        <w:t xml:space="preserve">assumes that </w:t>
      </w:r>
      <w:proofErr w:type="spellStart"/>
      <w:r w:rsidR="005C246B">
        <w:t>enfortumab</w:t>
      </w:r>
      <w:proofErr w:type="spellEnd"/>
      <w:r w:rsidR="005C246B">
        <w:t>-vedotin</w:t>
      </w:r>
      <w:r w:rsidR="002D1398">
        <w:t xml:space="preserve"> </w:t>
      </w:r>
      <w:r w:rsidR="005C246B">
        <w:t>+</w:t>
      </w:r>
      <w:r w:rsidR="002D1398">
        <w:t xml:space="preserve"> </w:t>
      </w:r>
      <w:r w:rsidR="005C246B">
        <w:t>pembrolizumab</w:t>
      </w:r>
      <w:r w:rsidR="00FB3532">
        <w:t xml:space="preserve"> (recommended by PBAC, Nov-24)</w:t>
      </w:r>
      <w:r w:rsidR="003F3E6F">
        <w:t xml:space="preserve"> will not be listed</w:t>
      </w:r>
    </w:p>
    <w:p w14:paraId="492FC3ED" w14:textId="610738B5" w:rsidR="008250D8" w:rsidRDefault="008250D8" w:rsidP="00743E02">
      <w:pPr>
        <w:pStyle w:val="3-BodyText"/>
        <w:numPr>
          <w:ilvl w:val="0"/>
          <w:numId w:val="33"/>
        </w:numPr>
        <w:spacing w:before="0" w:after="0"/>
      </w:pPr>
      <w:r>
        <w:t>18% of the forecast spend is for rare cancers (see</w:t>
      </w:r>
      <w:r w:rsidR="00F433E5">
        <w:t xml:space="preserve"> </w:t>
      </w:r>
      <w:r w:rsidR="00C857B1">
        <w:fldChar w:fldCharType="begin" w:fldLock="1"/>
      </w:r>
      <w:r w:rsidR="00C857B1">
        <w:instrText xml:space="preserve"> REF _Ref201144220 \h </w:instrText>
      </w:r>
      <w:r w:rsidR="00C857B1">
        <w:fldChar w:fldCharType="separate"/>
      </w:r>
      <w:r w:rsidR="006228A5">
        <w:t xml:space="preserve">Table </w:t>
      </w:r>
      <w:r w:rsidR="006228A5">
        <w:rPr>
          <w:noProof/>
        </w:rPr>
        <w:t>8</w:t>
      </w:r>
      <w:r w:rsidR="00C857B1">
        <w:fldChar w:fldCharType="end"/>
      </w:r>
      <w:r>
        <w:t>, below for assumptions).</w:t>
      </w:r>
    </w:p>
    <w:p w14:paraId="49CEF3F3" w14:textId="480E85BA" w:rsidR="008250D8" w:rsidRDefault="00700E85" w:rsidP="00743E02">
      <w:pPr>
        <w:pStyle w:val="3-BodyText"/>
        <w:numPr>
          <w:ilvl w:val="0"/>
          <w:numId w:val="33"/>
        </w:numPr>
        <w:spacing w:before="0" w:after="0"/>
      </w:pPr>
      <w:r>
        <w:t>17% of the forecast spend is for retreatment (see</w:t>
      </w:r>
      <w:r w:rsidR="00594B88">
        <w:t xml:space="preserve"> </w:t>
      </w:r>
      <w:r w:rsidR="00594B88">
        <w:fldChar w:fldCharType="begin" w:fldLock="1"/>
      </w:r>
      <w:r w:rsidR="00594B88">
        <w:instrText xml:space="preserve"> REF _Ref201144220 \h </w:instrText>
      </w:r>
      <w:r w:rsidR="00594B88">
        <w:fldChar w:fldCharType="separate"/>
      </w:r>
      <w:r w:rsidR="006228A5">
        <w:t xml:space="preserve">Table </w:t>
      </w:r>
      <w:r w:rsidR="006228A5">
        <w:rPr>
          <w:noProof/>
        </w:rPr>
        <w:t>8</w:t>
      </w:r>
      <w:r w:rsidR="00594B88">
        <w:fldChar w:fldCharType="end"/>
      </w:r>
      <w:r>
        <w:t>, below for assumptions).</w:t>
      </w:r>
    </w:p>
    <w:p w14:paraId="6B13F9E4" w14:textId="7EC123F8" w:rsidR="0062117A" w:rsidRDefault="0062117A" w:rsidP="008C1502">
      <w:pPr>
        <w:pStyle w:val="3-BodyText"/>
      </w:pPr>
      <w:r>
        <w:t>For ipilimumab</w:t>
      </w:r>
    </w:p>
    <w:p w14:paraId="28596EBD" w14:textId="32E422EB" w:rsidR="0062117A" w:rsidRDefault="00597395" w:rsidP="00743E02">
      <w:pPr>
        <w:pStyle w:val="3-BodyText"/>
        <w:numPr>
          <w:ilvl w:val="0"/>
          <w:numId w:val="34"/>
        </w:numPr>
        <w:spacing w:before="0" w:after="0"/>
      </w:pPr>
      <w:r>
        <w:t xml:space="preserve">42% of the forecast spend is for rare cancers, which is </w:t>
      </w:r>
      <w:r w:rsidR="007E56BD">
        <w:t>reliant on the assumption that all patients would be offered ipilimumab</w:t>
      </w:r>
      <w:r w:rsidR="00D24559">
        <w:t xml:space="preserve"> (in addition to nivolumab) and that dosing would be </w:t>
      </w:r>
      <w:r w:rsidR="00743E02">
        <w:t>80 mg x 4 as per Check</w:t>
      </w:r>
      <w:r w:rsidR="000B38F0">
        <w:t>M</w:t>
      </w:r>
      <w:r w:rsidR="00743E02">
        <w:t>ate-538</w:t>
      </w:r>
    </w:p>
    <w:p w14:paraId="2C298EBA" w14:textId="75352B32" w:rsidR="00B16766" w:rsidRPr="00A81D44" w:rsidRDefault="00B16766" w:rsidP="002A328F">
      <w:pPr>
        <w:pStyle w:val="Caption"/>
        <w:keepNext/>
        <w:rPr>
          <w:szCs w:val="20"/>
        </w:rPr>
      </w:pPr>
      <w:bookmarkStart w:id="8" w:name="_Ref201144220"/>
      <w:r w:rsidRPr="00A81D44">
        <w:rPr>
          <w:szCs w:val="20"/>
        </w:rPr>
        <w:lastRenderedPageBreak/>
        <w:t xml:space="preserve">Table </w:t>
      </w:r>
      <w:r w:rsidRPr="00A81D44">
        <w:rPr>
          <w:szCs w:val="20"/>
        </w:rPr>
        <w:fldChar w:fldCharType="begin" w:fldLock="1"/>
      </w:r>
      <w:r w:rsidRPr="00A81D44">
        <w:rPr>
          <w:szCs w:val="20"/>
        </w:rPr>
        <w:instrText xml:space="preserve"> SEQ Table \* ARABIC </w:instrText>
      </w:r>
      <w:r w:rsidRPr="00A81D44">
        <w:rPr>
          <w:szCs w:val="20"/>
        </w:rPr>
        <w:fldChar w:fldCharType="separate"/>
      </w:r>
      <w:r w:rsidR="006228A5" w:rsidRPr="00A81D44">
        <w:rPr>
          <w:noProof/>
          <w:szCs w:val="20"/>
        </w:rPr>
        <w:t>8</w:t>
      </w:r>
      <w:r w:rsidRPr="00A81D44">
        <w:rPr>
          <w:szCs w:val="20"/>
        </w:rPr>
        <w:fldChar w:fldCharType="end"/>
      </w:r>
      <w:bookmarkEnd w:id="8"/>
      <w:r w:rsidRPr="00A81D44">
        <w:rPr>
          <w:szCs w:val="20"/>
        </w:rPr>
        <w:t>: Forecast number of patient and assumptions for new/additional indications</w:t>
      </w:r>
    </w:p>
    <w:tbl>
      <w:tblPr>
        <w:tblStyle w:val="TableGrid"/>
        <w:tblW w:w="0" w:type="auto"/>
        <w:tblLook w:val="04A0" w:firstRow="1" w:lastRow="0" w:firstColumn="1" w:lastColumn="0" w:noHBand="0" w:noVBand="1"/>
        <w:tblCaption w:val="Table 8: Forecast number of patient and assumptions for new/additional indications"/>
      </w:tblPr>
      <w:tblGrid>
        <w:gridCol w:w="1216"/>
        <w:gridCol w:w="7800"/>
      </w:tblGrid>
      <w:tr w:rsidR="00CB69B8" w:rsidRPr="00A81D44" w14:paraId="31083C0A" w14:textId="77777777" w:rsidTr="00891121">
        <w:tc>
          <w:tcPr>
            <w:tcW w:w="1216" w:type="dxa"/>
          </w:tcPr>
          <w:p w14:paraId="7C6CB591"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1L UC</w:t>
            </w:r>
          </w:p>
        </w:tc>
        <w:tc>
          <w:tcPr>
            <w:tcW w:w="7800" w:type="dxa"/>
          </w:tcPr>
          <w:p w14:paraId="717E88EA" w14:textId="531B662F"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7"/>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7"/>
                <w14:textFill>
                  <w14:solidFill>
                    <w14:srgbClr w14:val="000000">
                      <w14:alpha w14:val="100000"/>
                    </w14:srgbClr>
                  </w14:solidFill>
                </w14:textFill>
              </w:rPr>
              <w:t>|</w:t>
            </w:r>
            <w:r w:rsidR="00624839">
              <w:rPr>
                <w:rFonts w:ascii="Arial Narrow" w:hAnsi="Arial Narrow" w:cstheme="minorHAnsi"/>
                <w:sz w:val="20"/>
                <w:szCs w:val="20"/>
                <w:vertAlign w:val="superscript"/>
              </w:rPr>
              <w:t>1</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36"/>
                <w14:textFill>
                  <w14:solidFill>
                    <w14:srgbClr w14:val="000000">
                      <w14:alpha w14:val="100000"/>
                    </w14:srgbClr>
                  </w14:solidFill>
                </w14:textFill>
              </w:rPr>
              <w:t>||  ||</w:t>
            </w:r>
            <w:r w:rsidR="00624839">
              <w:rPr>
                <w:rFonts w:ascii="Arial Narrow" w:hAnsi="Arial Narrow" w:cstheme="minorHAnsi"/>
                <w:sz w:val="20"/>
                <w:szCs w:val="20"/>
                <w:vertAlign w:val="superscript"/>
              </w:rPr>
              <w:t>1</w:t>
            </w:r>
            <w:r w:rsidRPr="00A81D44">
              <w:rPr>
                <w:rFonts w:ascii="Arial Narrow" w:hAnsi="Arial Narrow" w:cstheme="minorHAnsi"/>
                <w:sz w:val="20"/>
                <w:szCs w:val="20"/>
              </w:rPr>
              <w:t xml:space="preserve"> patients/year</w:t>
            </w:r>
          </w:p>
          <w:p w14:paraId="1E5761FC" w14:textId="206CAE73" w:rsidR="00CB69B8" w:rsidRPr="00A81D44" w:rsidRDefault="00CB69B8" w:rsidP="00C36284">
            <w:pPr>
              <w:pStyle w:val="ListParagraph"/>
              <w:keepNext/>
              <w:keepLines/>
              <w:numPr>
                <w:ilvl w:val="0"/>
                <w:numId w:val="28"/>
              </w:numPr>
              <w:spacing w:after="0"/>
              <w:contextualSpacing/>
              <w:rPr>
                <w:rFonts w:ascii="Arial Narrow" w:hAnsi="Arial Narrow" w:cstheme="minorHAnsi"/>
                <w:sz w:val="20"/>
                <w:szCs w:val="20"/>
              </w:rPr>
            </w:pPr>
            <w:r w:rsidRPr="00A81D44">
              <w:rPr>
                <w:rFonts w:ascii="Arial Narrow" w:hAnsi="Arial Narrow" w:cstheme="minorHAnsi"/>
                <w:sz w:val="20"/>
                <w:szCs w:val="20"/>
              </w:rPr>
              <w:t>rec</w:t>
            </w:r>
            <w:r w:rsidR="008449F6" w:rsidRPr="00A81D44">
              <w:rPr>
                <w:rFonts w:ascii="Arial Narrow" w:hAnsi="Arial Narrow" w:cstheme="minorHAnsi"/>
                <w:sz w:val="20"/>
                <w:szCs w:val="20"/>
              </w:rPr>
              <w:t>ommende</w:t>
            </w:r>
            <w:r w:rsidRPr="00A81D44">
              <w:rPr>
                <w:rFonts w:ascii="Arial Narrow" w:hAnsi="Arial Narrow" w:cstheme="minorHAnsi"/>
                <w:sz w:val="20"/>
                <w:szCs w:val="20"/>
              </w:rPr>
              <w:t>d Nov-24</w:t>
            </w:r>
            <w:r w:rsidR="008449F6" w:rsidRPr="00A81D44">
              <w:rPr>
                <w:rFonts w:ascii="Arial Narrow" w:hAnsi="Arial Narrow" w:cstheme="minorHAnsi"/>
                <w:sz w:val="20"/>
                <w:szCs w:val="20"/>
              </w:rPr>
              <w:t xml:space="preserve"> not listed as 1 June 2025</w:t>
            </w:r>
          </w:p>
          <w:p w14:paraId="1956C675" w14:textId="77777777" w:rsidR="00CB69B8" w:rsidRPr="00A81D44" w:rsidRDefault="00CB69B8" w:rsidP="00C36284">
            <w:pPr>
              <w:pStyle w:val="ListParagraph"/>
              <w:keepNext/>
              <w:keepLines/>
              <w:numPr>
                <w:ilvl w:val="0"/>
                <w:numId w:val="28"/>
              </w:numPr>
              <w:spacing w:after="0"/>
              <w:contextualSpacing/>
              <w:rPr>
                <w:rFonts w:ascii="Arial Narrow" w:hAnsi="Arial Narrow" w:cstheme="minorHAnsi"/>
                <w:sz w:val="20"/>
                <w:szCs w:val="20"/>
              </w:rPr>
            </w:pPr>
            <w:r w:rsidRPr="00A81D44">
              <w:rPr>
                <w:rFonts w:ascii="Arial Narrow" w:hAnsi="Arial Narrow" w:cstheme="minorHAnsi"/>
                <w:sz w:val="20"/>
                <w:szCs w:val="20"/>
              </w:rPr>
              <w:t>utilisation will be much lower if EV+P listed</w:t>
            </w:r>
          </w:p>
        </w:tc>
      </w:tr>
      <w:tr w:rsidR="00CB69B8" w:rsidRPr="00A81D44" w14:paraId="732D518A" w14:textId="77777777" w:rsidTr="00891121">
        <w:tc>
          <w:tcPr>
            <w:tcW w:w="1216" w:type="dxa"/>
          </w:tcPr>
          <w:p w14:paraId="23F414B1" w14:textId="6CC6CD59"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1L</w:t>
            </w:r>
            <w:r w:rsidR="00D22A6D" w:rsidRPr="00A81D44">
              <w:rPr>
                <w:rFonts w:ascii="Arial Narrow" w:hAnsi="Arial Narrow" w:cstheme="minorHAnsi"/>
                <w:sz w:val="20"/>
                <w:szCs w:val="20"/>
              </w:rPr>
              <w:t xml:space="preserve"> </w:t>
            </w:r>
            <w:r w:rsidRPr="00A81D44">
              <w:rPr>
                <w:rFonts w:ascii="Arial Narrow" w:hAnsi="Arial Narrow" w:cstheme="minorHAnsi"/>
                <w:sz w:val="20"/>
                <w:szCs w:val="20"/>
              </w:rPr>
              <w:t>dMMR CRC</w:t>
            </w:r>
          </w:p>
        </w:tc>
        <w:tc>
          <w:tcPr>
            <w:tcW w:w="7800" w:type="dxa"/>
          </w:tcPr>
          <w:p w14:paraId="65CA8199" w14:textId="24CA7EDF"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5"/>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5"/>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34"/>
                <w14:textFill>
                  <w14:solidFill>
                    <w14:srgbClr w14:val="000000">
                      <w14:alpha w14:val="100000"/>
                    </w14:srgbClr>
                  </w14:solidFill>
                </w14:textFill>
              </w:rPr>
              <w:t>||  |</w:t>
            </w:r>
            <w:r w:rsidR="00C546A7" w:rsidRPr="00C546A7">
              <w:rPr>
                <w:rFonts w:ascii="Arial Narrow" w:hAnsi="Arial Narrow" w:cstheme="minorHAnsi"/>
                <w:color w:val="000000"/>
                <w:spacing w:val="5"/>
                <w:sz w:val="20"/>
                <w:szCs w:val="20"/>
                <w:shd w:val="solid" w:color="000000" w:fill="000000"/>
                <w:fitText w:val="316" w:id="-628400634"/>
                <w14:textFill>
                  <w14:solidFill>
                    <w14:srgbClr w14:val="000000">
                      <w14:alpha w14:val="100000"/>
                    </w14:srgbClr>
                  </w14:solidFill>
                </w14:textFill>
              </w:rPr>
              <w:t>|</w:t>
            </w:r>
            <w:r w:rsidR="00624839">
              <w:rPr>
                <w:rFonts w:ascii="Arial Narrow" w:hAnsi="Arial Narrow" w:cstheme="minorHAnsi"/>
                <w:sz w:val="20"/>
                <w:szCs w:val="20"/>
                <w:vertAlign w:val="superscript"/>
              </w:rPr>
              <w:t>1</w:t>
            </w:r>
            <w:r w:rsidRPr="00A81D44">
              <w:rPr>
                <w:rFonts w:ascii="Arial Narrow" w:hAnsi="Arial Narrow" w:cstheme="minorHAnsi"/>
                <w:sz w:val="20"/>
                <w:szCs w:val="20"/>
              </w:rPr>
              <w:t xml:space="preserve"> patients/year</w:t>
            </w:r>
          </w:p>
          <w:p w14:paraId="24DAA65F" w14:textId="162F2212" w:rsidR="00CB69B8" w:rsidRPr="00A81D44" w:rsidRDefault="00CB69B8" w:rsidP="00C36284">
            <w:pPr>
              <w:pStyle w:val="ListParagraph"/>
              <w:keepNext/>
              <w:keepLines/>
              <w:numPr>
                <w:ilvl w:val="0"/>
                <w:numId w:val="29"/>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assumes </w:t>
            </w:r>
            <w:r w:rsidR="00C546A7" w:rsidRPr="00C546A7">
              <w:rPr>
                <w:rFonts w:ascii="Arial Narrow" w:hAnsi="Arial Narrow" w:cstheme="minorHAnsi"/>
                <w:color w:val="000000"/>
                <w:spacing w:val="51"/>
                <w:sz w:val="20"/>
                <w:szCs w:val="20"/>
                <w:shd w:val="solid" w:color="000000" w:fill="000000"/>
                <w:fitText w:val="324" w:id="-628400633"/>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3"/>
                <w14:textFill>
                  <w14:solidFill>
                    <w14:srgbClr w14:val="000000">
                      <w14:alpha w14:val="100000"/>
                    </w14:srgbClr>
                  </w14:solidFill>
                </w14:textFill>
              </w:rPr>
              <w:t>|</w:t>
            </w:r>
            <w:r w:rsidRPr="00A81D44">
              <w:rPr>
                <w:rFonts w:ascii="Arial Narrow" w:hAnsi="Arial Narrow" w:cstheme="minorHAnsi"/>
                <w:sz w:val="20"/>
                <w:szCs w:val="20"/>
              </w:rPr>
              <w:t xml:space="preserve">% uptake </w:t>
            </w:r>
            <w:r w:rsidR="002672BC" w:rsidRPr="00A81D44">
              <w:rPr>
                <w:rFonts w:ascii="Arial Narrow" w:hAnsi="Arial Narrow" w:cstheme="minorHAnsi"/>
                <w:sz w:val="20"/>
                <w:szCs w:val="20"/>
              </w:rPr>
              <w:t>of</w:t>
            </w:r>
            <w:r w:rsidRPr="00A81D44">
              <w:rPr>
                <w:rFonts w:ascii="Arial Narrow" w:hAnsi="Arial Narrow" w:cstheme="minorHAnsi"/>
                <w:sz w:val="20"/>
                <w:szCs w:val="20"/>
              </w:rPr>
              <w:t xml:space="preserve"> </w:t>
            </w:r>
            <w:r w:rsidR="002672BC" w:rsidRPr="00A81D44">
              <w:rPr>
                <w:rFonts w:ascii="Arial Narrow" w:hAnsi="Arial Narrow" w:cstheme="minorHAnsi"/>
                <w:sz w:val="20"/>
                <w:szCs w:val="20"/>
              </w:rPr>
              <w:t xml:space="preserve">current </w:t>
            </w:r>
            <w:r w:rsidRPr="00A81D44">
              <w:rPr>
                <w:rFonts w:ascii="Arial Narrow" w:hAnsi="Arial Narrow" w:cstheme="minorHAnsi"/>
                <w:sz w:val="20"/>
                <w:szCs w:val="20"/>
              </w:rPr>
              <w:t>pembrolizumab</w:t>
            </w:r>
            <w:r w:rsidR="002672BC" w:rsidRPr="00A81D44">
              <w:rPr>
                <w:rFonts w:ascii="Arial Narrow" w:hAnsi="Arial Narrow" w:cstheme="minorHAnsi"/>
                <w:sz w:val="20"/>
                <w:szCs w:val="20"/>
              </w:rPr>
              <w:t xml:space="preserve"> PBS scripts</w:t>
            </w:r>
          </w:p>
        </w:tc>
      </w:tr>
      <w:tr w:rsidR="00CB69B8" w:rsidRPr="00A81D44" w14:paraId="6A48AB02" w14:textId="77777777" w:rsidTr="00891121">
        <w:tc>
          <w:tcPr>
            <w:tcW w:w="1216" w:type="dxa"/>
          </w:tcPr>
          <w:p w14:paraId="2C9E22D4"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1L HCC</w:t>
            </w:r>
          </w:p>
        </w:tc>
        <w:tc>
          <w:tcPr>
            <w:tcW w:w="7800" w:type="dxa"/>
          </w:tcPr>
          <w:p w14:paraId="49AAF70E" w14:textId="72C1052A"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2"/>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2"/>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31"/>
                <w14:textFill>
                  <w14:solidFill>
                    <w14:srgbClr w14:val="000000">
                      <w14:alpha w14:val="100000"/>
                    </w14:srgbClr>
                  </w14:solidFill>
                </w14:textFill>
              </w:rPr>
              <w:t>||  |</w:t>
            </w:r>
            <w:r w:rsidR="00C546A7" w:rsidRPr="00C546A7">
              <w:rPr>
                <w:rFonts w:ascii="Arial Narrow" w:hAnsi="Arial Narrow" w:cstheme="minorHAnsi"/>
                <w:color w:val="000000"/>
                <w:spacing w:val="5"/>
                <w:sz w:val="20"/>
                <w:szCs w:val="20"/>
                <w:shd w:val="solid" w:color="000000" w:fill="000000"/>
                <w:fitText w:val="316" w:id="-628400631"/>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w:t>
            </w:r>
          </w:p>
          <w:p w14:paraId="3ED4BE56" w14:textId="4E8880FD" w:rsidR="00CB69B8" w:rsidRPr="00A81D44" w:rsidRDefault="00CB69B8" w:rsidP="00C36284">
            <w:pPr>
              <w:pStyle w:val="ListParagraph"/>
              <w:keepNext/>
              <w:keepLines/>
              <w:numPr>
                <w:ilvl w:val="0"/>
                <w:numId w:val="29"/>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assumes </w:t>
            </w:r>
            <w:r w:rsidR="00C546A7" w:rsidRPr="00C546A7">
              <w:rPr>
                <w:rFonts w:ascii="Arial Narrow" w:hAnsi="Arial Narrow" w:cstheme="minorHAnsi"/>
                <w:color w:val="000000"/>
                <w:spacing w:val="51"/>
                <w:sz w:val="20"/>
                <w:szCs w:val="20"/>
                <w:shd w:val="solid" w:color="000000" w:fill="000000"/>
                <w:fitText w:val="324" w:id="-628400630"/>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0"/>
                <w14:textFill>
                  <w14:solidFill>
                    <w14:srgbClr w14:val="000000">
                      <w14:alpha w14:val="100000"/>
                    </w14:srgbClr>
                  </w14:solidFill>
                </w14:textFill>
              </w:rPr>
              <w:t>|</w:t>
            </w:r>
            <w:r w:rsidRPr="00A81D44">
              <w:rPr>
                <w:rFonts w:ascii="Arial Narrow" w:hAnsi="Arial Narrow" w:cstheme="minorHAnsi"/>
                <w:sz w:val="20"/>
                <w:szCs w:val="20"/>
              </w:rPr>
              <w:t>% substitution for atezoli</w:t>
            </w:r>
            <w:r w:rsidR="00A944B1" w:rsidRPr="00A81D44">
              <w:rPr>
                <w:rFonts w:ascii="Arial Narrow" w:hAnsi="Arial Narrow" w:cstheme="minorHAnsi"/>
                <w:sz w:val="20"/>
                <w:szCs w:val="20"/>
              </w:rPr>
              <w:t>z</w:t>
            </w:r>
            <w:r w:rsidRPr="00A81D44">
              <w:rPr>
                <w:rFonts w:ascii="Arial Narrow" w:hAnsi="Arial Narrow" w:cstheme="minorHAnsi"/>
                <w:sz w:val="20"/>
                <w:szCs w:val="20"/>
              </w:rPr>
              <w:t>umab</w:t>
            </w:r>
            <w:r w:rsidR="00DB0BAA" w:rsidRPr="00A81D44">
              <w:rPr>
                <w:rFonts w:ascii="Arial Narrow" w:hAnsi="Arial Narrow" w:cstheme="minorHAnsi"/>
                <w:sz w:val="20"/>
                <w:szCs w:val="20"/>
              </w:rPr>
              <w:t xml:space="preserve"> </w:t>
            </w:r>
            <w:r w:rsidRPr="00A81D44">
              <w:rPr>
                <w:rFonts w:ascii="Arial Narrow" w:hAnsi="Arial Narrow" w:cstheme="minorHAnsi"/>
                <w:sz w:val="20"/>
                <w:szCs w:val="20"/>
              </w:rPr>
              <w:t>+</w:t>
            </w:r>
            <w:r w:rsidR="00DB0BAA" w:rsidRPr="00A81D44">
              <w:rPr>
                <w:rFonts w:ascii="Arial Narrow" w:hAnsi="Arial Narrow" w:cstheme="minorHAnsi"/>
                <w:sz w:val="20"/>
                <w:szCs w:val="20"/>
              </w:rPr>
              <w:t xml:space="preserve"> </w:t>
            </w:r>
            <w:r w:rsidRPr="00A81D44">
              <w:rPr>
                <w:rFonts w:ascii="Arial Narrow" w:hAnsi="Arial Narrow" w:cstheme="minorHAnsi"/>
                <w:sz w:val="20"/>
                <w:szCs w:val="20"/>
              </w:rPr>
              <w:t>bevacizumab</w:t>
            </w:r>
          </w:p>
          <w:p w14:paraId="0296B274" w14:textId="77777777" w:rsidR="00CB69B8" w:rsidRPr="00A81D44" w:rsidRDefault="00CB69B8" w:rsidP="00C36284">
            <w:pPr>
              <w:pStyle w:val="ListParagraph"/>
              <w:keepNext/>
              <w:keepLines/>
              <w:numPr>
                <w:ilvl w:val="0"/>
                <w:numId w:val="29"/>
              </w:numPr>
              <w:spacing w:after="0"/>
              <w:contextualSpacing/>
              <w:rPr>
                <w:rFonts w:ascii="Arial Narrow" w:hAnsi="Arial Narrow" w:cstheme="minorHAnsi"/>
                <w:sz w:val="20"/>
                <w:szCs w:val="20"/>
              </w:rPr>
            </w:pPr>
            <w:r w:rsidRPr="00A81D44">
              <w:rPr>
                <w:rFonts w:ascii="Arial Narrow" w:hAnsi="Arial Narrow" w:cstheme="minorHAnsi"/>
                <w:sz w:val="20"/>
                <w:szCs w:val="20"/>
              </w:rPr>
              <w:t>assumes growth of the overall market around 10%</w:t>
            </w:r>
          </w:p>
        </w:tc>
      </w:tr>
      <w:tr w:rsidR="00CB69B8" w:rsidRPr="00A81D44" w14:paraId="5D3AFE26" w14:textId="77777777" w:rsidTr="00891121">
        <w:tc>
          <w:tcPr>
            <w:tcW w:w="1216" w:type="dxa"/>
          </w:tcPr>
          <w:p w14:paraId="00D565A4"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 xml:space="preserve">1L </w:t>
            </w:r>
            <w:proofErr w:type="spellStart"/>
            <w:r w:rsidRPr="00A81D44">
              <w:rPr>
                <w:rFonts w:ascii="Arial Narrow" w:hAnsi="Arial Narrow" w:cstheme="minorHAnsi"/>
                <w:sz w:val="20"/>
                <w:szCs w:val="20"/>
              </w:rPr>
              <w:t>cHL</w:t>
            </w:r>
            <w:proofErr w:type="spellEnd"/>
          </w:p>
        </w:tc>
        <w:tc>
          <w:tcPr>
            <w:tcW w:w="7800" w:type="dxa"/>
          </w:tcPr>
          <w:p w14:paraId="15A8FD01" w14:textId="48B617F1"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29"/>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29"/>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28"/>
                <w14:textFill>
                  <w14:solidFill>
                    <w14:srgbClr w14:val="000000">
                      <w14:alpha w14:val="100000"/>
                    </w14:srgbClr>
                  </w14:solidFill>
                </w14:textFill>
              </w:rPr>
              <w:t>||  |</w:t>
            </w:r>
            <w:r w:rsidR="00C546A7" w:rsidRPr="00C546A7">
              <w:rPr>
                <w:rFonts w:ascii="Arial Narrow" w:hAnsi="Arial Narrow" w:cstheme="minorHAnsi"/>
                <w:color w:val="000000"/>
                <w:spacing w:val="5"/>
                <w:sz w:val="20"/>
                <w:szCs w:val="20"/>
                <w:shd w:val="solid" w:color="000000" w:fill="000000"/>
                <w:fitText w:val="316" w:id="-628400628"/>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w:t>
            </w:r>
          </w:p>
          <w:p w14:paraId="0EFEBA3A" w14:textId="05C4884C" w:rsidR="00CB69B8" w:rsidRPr="00A81D44" w:rsidRDefault="00CB69B8" w:rsidP="00C36284">
            <w:pPr>
              <w:pStyle w:val="ListParagraph"/>
              <w:keepNext/>
              <w:keepLines/>
              <w:numPr>
                <w:ilvl w:val="0"/>
                <w:numId w:val="30"/>
              </w:numPr>
              <w:spacing w:after="0"/>
              <w:contextualSpacing/>
              <w:rPr>
                <w:rFonts w:ascii="Arial Narrow" w:hAnsi="Arial Narrow" w:cstheme="minorHAnsi"/>
                <w:i/>
                <w:iCs/>
                <w:sz w:val="20"/>
                <w:szCs w:val="20"/>
              </w:rPr>
            </w:pPr>
            <w:r w:rsidRPr="00A81D44">
              <w:rPr>
                <w:rFonts w:ascii="Arial Narrow" w:hAnsi="Arial Narrow" w:cstheme="minorHAnsi"/>
                <w:i/>
                <w:iCs/>
                <w:sz w:val="20"/>
                <w:szCs w:val="20"/>
              </w:rPr>
              <w:t xml:space="preserve">assumption of high uptake </w:t>
            </w:r>
            <w:r w:rsidR="00857185" w:rsidRPr="00A81D44">
              <w:rPr>
                <w:rFonts w:ascii="Arial Narrow" w:hAnsi="Arial Narrow" w:cstheme="minorHAnsi"/>
                <w:i/>
                <w:iCs/>
                <w:sz w:val="20"/>
                <w:szCs w:val="20"/>
              </w:rPr>
              <w:t>(&gt;</w:t>
            </w:r>
            <w:r w:rsidR="00C546A7" w:rsidRPr="00C546A7">
              <w:rPr>
                <w:rFonts w:ascii="Arial Narrow" w:hAnsi="Arial Narrow" w:cstheme="minorHAnsi"/>
                <w:i/>
                <w:iCs/>
                <w:color w:val="000000"/>
                <w:spacing w:val="51"/>
                <w:sz w:val="20"/>
                <w:szCs w:val="20"/>
                <w:shd w:val="solid" w:color="000000" w:fill="000000"/>
                <w:fitText w:val="324" w:id="-628400627"/>
                <w14:textFill>
                  <w14:solidFill>
                    <w14:srgbClr w14:val="000000">
                      <w14:alpha w14:val="100000"/>
                    </w14:srgbClr>
                  </w14:solidFill>
                </w14:textFill>
              </w:rPr>
              <w:t>|||</w:t>
            </w:r>
            <w:r w:rsidR="00C546A7" w:rsidRPr="00C546A7">
              <w:rPr>
                <w:rFonts w:ascii="Arial Narrow" w:hAnsi="Arial Narrow" w:cstheme="minorHAnsi"/>
                <w:i/>
                <w:iCs/>
                <w:color w:val="000000"/>
                <w:spacing w:val="1"/>
                <w:sz w:val="20"/>
                <w:szCs w:val="20"/>
                <w:shd w:val="solid" w:color="000000" w:fill="000000"/>
                <w:fitText w:val="324" w:id="-628400627"/>
                <w14:textFill>
                  <w14:solidFill>
                    <w14:srgbClr w14:val="000000">
                      <w14:alpha w14:val="100000"/>
                    </w14:srgbClr>
                  </w14:solidFill>
                </w14:textFill>
              </w:rPr>
              <w:t>|</w:t>
            </w:r>
            <w:r w:rsidR="00857185" w:rsidRPr="00A81D44">
              <w:rPr>
                <w:rFonts w:ascii="Arial Narrow" w:hAnsi="Arial Narrow" w:cstheme="minorHAnsi"/>
                <w:i/>
                <w:iCs/>
                <w:sz w:val="20"/>
                <w:szCs w:val="20"/>
              </w:rPr>
              <w:t xml:space="preserve">%) </w:t>
            </w:r>
            <w:r w:rsidRPr="00A81D44">
              <w:rPr>
                <w:rFonts w:ascii="Arial Narrow" w:hAnsi="Arial Narrow" w:cstheme="minorHAnsi"/>
                <w:i/>
                <w:iCs/>
                <w:sz w:val="20"/>
                <w:szCs w:val="20"/>
              </w:rPr>
              <w:t>seems reasonable</w:t>
            </w:r>
            <w:r w:rsidR="00857185" w:rsidRPr="00A81D44">
              <w:rPr>
                <w:rFonts w:ascii="Arial Narrow" w:hAnsi="Arial Narrow" w:cstheme="minorHAnsi"/>
                <w:i/>
                <w:iCs/>
                <w:sz w:val="20"/>
                <w:szCs w:val="20"/>
              </w:rPr>
              <w:t xml:space="preserve"> due to lower toxicity comp</w:t>
            </w:r>
            <w:r w:rsidR="00A944B1" w:rsidRPr="00A81D44">
              <w:rPr>
                <w:rFonts w:ascii="Arial Narrow" w:hAnsi="Arial Narrow" w:cstheme="minorHAnsi"/>
                <w:i/>
                <w:iCs/>
                <w:sz w:val="20"/>
                <w:szCs w:val="20"/>
              </w:rPr>
              <w:t>a</w:t>
            </w:r>
            <w:r w:rsidR="00857185" w:rsidRPr="00A81D44">
              <w:rPr>
                <w:rFonts w:ascii="Arial Narrow" w:hAnsi="Arial Narrow" w:cstheme="minorHAnsi"/>
                <w:i/>
                <w:iCs/>
                <w:sz w:val="20"/>
                <w:szCs w:val="20"/>
              </w:rPr>
              <w:t xml:space="preserve">red to </w:t>
            </w:r>
            <w:proofErr w:type="spellStart"/>
            <w:r w:rsidR="00857185" w:rsidRPr="00A81D44">
              <w:rPr>
                <w:rFonts w:ascii="Arial Narrow" w:hAnsi="Arial Narrow" w:cstheme="minorHAnsi"/>
                <w:i/>
                <w:iCs/>
                <w:sz w:val="20"/>
                <w:szCs w:val="20"/>
              </w:rPr>
              <w:t>SoC.</w:t>
            </w:r>
            <w:proofErr w:type="spellEnd"/>
          </w:p>
        </w:tc>
      </w:tr>
      <w:tr w:rsidR="00CB69B8" w:rsidRPr="00A81D44" w14:paraId="17CC1A15" w14:textId="77777777" w:rsidTr="00891121">
        <w:tc>
          <w:tcPr>
            <w:tcW w:w="1216" w:type="dxa"/>
          </w:tcPr>
          <w:p w14:paraId="3B34ED68"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 xml:space="preserve">3L </w:t>
            </w:r>
            <w:proofErr w:type="spellStart"/>
            <w:r w:rsidRPr="00A81D44">
              <w:rPr>
                <w:rFonts w:ascii="Arial Narrow" w:hAnsi="Arial Narrow" w:cstheme="minorHAnsi"/>
                <w:sz w:val="20"/>
                <w:szCs w:val="20"/>
              </w:rPr>
              <w:t>cHL</w:t>
            </w:r>
            <w:proofErr w:type="spellEnd"/>
            <w:r w:rsidRPr="00A81D44">
              <w:rPr>
                <w:rFonts w:ascii="Arial Narrow" w:hAnsi="Arial Narrow" w:cstheme="minorHAnsi"/>
                <w:sz w:val="20"/>
                <w:szCs w:val="20"/>
              </w:rPr>
              <w:t xml:space="preserve"> </w:t>
            </w:r>
          </w:p>
        </w:tc>
        <w:tc>
          <w:tcPr>
            <w:tcW w:w="7800" w:type="dxa"/>
          </w:tcPr>
          <w:p w14:paraId="788478A8" w14:textId="7F5C6AAD"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26"/>
                <w14:textFill>
                  <w14:solidFill>
                    <w14:srgbClr w14:val="000000">
                      <w14:alpha w14:val="100000"/>
                    </w14:srgbClr>
                  </w14:solidFill>
                </w14:textFill>
              </w:rPr>
              <w:t>||  ||</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w:t>
            </w:r>
          </w:p>
          <w:p w14:paraId="0D15C8FC" w14:textId="6E27832C" w:rsidR="00CB69B8" w:rsidRPr="00A81D44" w:rsidRDefault="00CB69B8" w:rsidP="00C36284">
            <w:pPr>
              <w:pStyle w:val="ListParagraph"/>
              <w:keepNext/>
              <w:keepLines/>
              <w:numPr>
                <w:ilvl w:val="0"/>
                <w:numId w:val="0"/>
              </w:numPr>
              <w:spacing w:after="0"/>
              <w:ind w:left="360"/>
              <w:contextualSpacing/>
              <w:rPr>
                <w:rFonts w:ascii="Arial Narrow" w:hAnsi="Arial Narrow" w:cstheme="minorHAnsi"/>
                <w:sz w:val="20"/>
                <w:szCs w:val="20"/>
              </w:rPr>
            </w:pPr>
          </w:p>
        </w:tc>
      </w:tr>
      <w:tr w:rsidR="00CB69B8" w:rsidRPr="00A81D44" w14:paraId="6CBD863D" w14:textId="77777777" w:rsidTr="00891121">
        <w:tc>
          <w:tcPr>
            <w:tcW w:w="1216" w:type="dxa"/>
          </w:tcPr>
          <w:p w14:paraId="0C114364"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2L HCC</w:t>
            </w:r>
          </w:p>
        </w:tc>
        <w:tc>
          <w:tcPr>
            <w:tcW w:w="7800" w:type="dxa"/>
          </w:tcPr>
          <w:p w14:paraId="0D5309CE" w14:textId="1ABC0CDD"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25"/>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25"/>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24"/>
                <w14:textFill>
                  <w14:solidFill>
                    <w14:srgbClr w14:val="000000">
                      <w14:alpha w14:val="100000"/>
                    </w14:srgbClr>
                  </w14:solidFill>
                </w14:textFill>
              </w:rPr>
              <w:t>||  ||</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w:t>
            </w:r>
          </w:p>
          <w:p w14:paraId="645ABAA1" w14:textId="3D4C06FC" w:rsidR="00CB69B8" w:rsidRPr="00A81D44" w:rsidRDefault="00CB69B8" w:rsidP="00C36284">
            <w:pPr>
              <w:pStyle w:val="ListParagraph"/>
              <w:keepNext/>
              <w:keepLines/>
              <w:numPr>
                <w:ilvl w:val="0"/>
                <w:numId w:val="30"/>
              </w:numPr>
              <w:spacing w:after="0"/>
              <w:contextualSpacing/>
              <w:rPr>
                <w:rFonts w:ascii="Arial Narrow" w:hAnsi="Arial Narrow" w:cstheme="minorHAnsi"/>
                <w:sz w:val="20"/>
                <w:szCs w:val="20"/>
              </w:rPr>
            </w:pPr>
            <w:r w:rsidRPr="00A81D44">
              <w:rPr>
                <w:rFonts w:ascii="Arial Narrow" w:hAnsi="Arial Narrow" w:cstheme="minorHAnsi"/>
                <w:sz w:val="20"/>
                <w:szCs w:val="20"/>
              </w:rPr>
              <w:t>seems high given availability of 1L atezoli</w:t>
            </w:r>
            <w:r w:rsidR="00B0380C" w:rsidRPr="00A81D44">
              <w:rPr>
                <w:rFonts w:ascii="Arial Narrow" w:hAnsi="Arial Narrow" w:cstheme="minorHAnsi"/>
                <w:sz w:val="20"/>
                <w:szCs w:val="20"/>
              </w:rPr>
              <w:t>z</w:t>
            </w:r>
            <w:r w:rsidRPr="00A81D44">
              <w:rPr>
                <w:rFonts w:ascii="Arial Narrow" w:hAnsi="Arial Narrow" w:cstheme="minorHAnsi"/>
                <w:sz w:val="20"/>
                <w:szCs w:val="20"/>
              </w:rPr>
              <w:t>umab</w:t>
            </w:r>
            <w:r w:rsidR="00DB0BAA" w:rsidRPr="00A81D44">
              <w:rPr>
                <w:rFonts w:ascii="Arial Narrow" w:hAnsi="Arial Narrow" w:cstheme="minorHAnsi"/>
                <w:sz w:val="20"/>
                <w:szCs w:val="20"/>
              </w:rPr>
              <w:t xml:space="preserve"> </w:t>
            </w:r>
            <w:r w:rsidRPr="00A81D44">
              <w:rPr>
                <w:rFonts w:ascii="Arial Narrow" w:hAnsi="Arial Narrow" w:cstheme="minorHAnsi"/>
                <w:sz w:val="20"/>
                <w:szCs w:val="20"/>
              </w:rPr>
              <w:t>+</w:t>
            </w:r>
            <w:r w:rsidR="00DB0BAA" w:rsidRPr="00A81D44">
              <w:rPr>
                <w:rFonts w:ascii="Arial Narrow" w:hAnsi="Arial Narrow" w:cstheme="minorHAnsi"/>
                <w:sz w:val="20"/>
                <w:szCs w:val="20"/>
              </w:rPr>
              <w:t xml:space="preserve"> </w:t>
            </w:r>
            <w:r w:rsidRPr="00A81D44">
              <w:rPr>
                <w:rFonts w:ascii="Arial Narrow" w:hAnsi="Arial Narrow" w:cstheme="minorHAnsi"/>
                <w:sz w:val="20"/>
                <w:szCs w:val="20"/>
              </w:rPr>
              <w:t>bevacizumab</w:t>
            </w:r>
          </w:p>
          <w:p w14:paraId="45ABD956" w14:textId="73554357" w:rsidR="00302CDC" w:rsidRPr="00A81D44" w:rsidRDefault="00302CDC" w:rsidP="00C36284">
            <w:pPr>
              <w:pStyle w:val="ListParagraph"/>
              <w:keepNext/>
              <w:keepLines/>
              <w:numPr>
                <w:ilvl w:val="0"/>
                <w:numId w:val="30"/>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metastatic-to-metastatic retreatment </w:t>
            </w:r>
            <w:r w:rsidR="007D36F9" w:rsidRPr="00A81D44">
              <w:rPr>
                <w:rFonts w:ascii="Arial Narrow" w:hAnsi="Arial Narrow" w:cstheme="minorHAnsi"/>
                <w:sz w:val="20"/>
                <w:szCs w:val="20"/>
              </w:rPr>
              <w:t xml:space="preserve">excluded </w:t>
            </w:r>
            <w:proofErr w:type="spellStart"/>
            <w:r w:rsidR="007D36F9" w:rsidRPr="00A81D44">
              <w:rPr>
                <w:rFonts w:ascii="Arial Narrow" w:hAnsi="Arial Narrow" w:cstheme="minorHAnsi"/>
                <w:sz w:val="20"/>
                <w:szCs w:val="20"/>
              </w:rPr>
              <w:t>form</w:t>
            </w:r>
            <w:proofErr w:type="spellEnd"/>
            <w:r w:rsidR="007D36F9" w:rsidRPr="00A81D44">
              <w:rPr>
                <w:rFonts w:ascii="Arial Narrow" w:hAnsi="Arial Narrow" w:cstheme="minorHAnsi"/>
                <w:sz w:val="20"/>
                <w:szCs w:val="20"/>
              </w:rPr>
              <w:t xml:space="preserve"> t</w:t>
            </w:r>
            <w:r w:rsidR="00D526FF" w:rsidRPr="00A81D44">
              <w:rPr>
                <w:rFonts w:ascii="Arial Narrow" w:hAnsi="Arial Narrow" w:cstheme="minorHAnsi"/>
                <w:sz w:val="20"/>
                <w:szCs w:val="20"/>
              </w:rPr>
              <w:t xml:space="preserve">he </w:t>
            </w:r>
            <w:r w:rsidR="007D36F9" w:rsidRPr="00A81D44">
              <w:rPr>
                <w:rFonts w:ascii="Arial Narrow" w:hAnsi="Arial Narrow" w:cstheme="minorHAnsi"/>
                <w:sz w:val="20"/>
                <w:szCs w:val="20"/>
              </w:rPr>
              <w:t xml:space="preserve">Sponsor’s </w:t>
            </w:r>
            <w:r w:rsidR="00D526FF" w:rsidRPr="00A81D44">
              <w:rPr>
                <w:rFonts w:ascii="Arial Narrow" w:hAnsi="Arial Narrow" w:cstheme="minorHAnsi"/>
                <w:sz w:val="20"/>
                <w:szCs w:val="20"/>
              </w:rPr>
              <w:t>retreatment forecasts</w:t>
            </w:r>
          </w:p>
        </w:tc>
      </w:tr>
      <w:tr w:rsidR="00CB69B8" w:rsidRPr="00A81D44" w14:paraId="304C6A3C" w14:textId="77777777" w:rsidTr="00891121">
        <w:tc>
          <w:tcPr>
            <w:tcW w:w="1216" w:type="dxa"/>
          </w:tcPr>
          <w:p w14:paraId="3DD3D5BC"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2L UC</w:t>
            </w:r>
          </w:p>
        </w:tc>
        <w:tc>
          <w:tcPr>
            <w:tcW w:w="7800" w:type="dxa"/>
          </w:tcPr>
          <w:p w14:paraId="02BB65A4" w14:textId="3EAFF429"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40"/>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40"/>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 </w:t>
            </w:r>
          </w:p>
          <w:p w14:paraId="6A36FDF9" w14:textId="480B1BF6" w:rsidR="00CB69B8" w:rsidRPr="00A81D44" w:rsidRDefault="00CB69B8" w:rsidP="00C36284">
            <w:pPr>
              <w:pStyle w:val="ListParagraph"/>
              <w:keepNext/>
              <w:keepLines/>
              <w:numPr>
                <w:ilvl w:val="0"/>
                <w:numId w:val="30"/>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seems high given pending listing of 1L PD-1i’s &amp; </w:t>
            </w:r>
            <w:r w:rsidR="00FA128F" w:rsidRPr="00A81D44">
              <w:rPr>
                <w:rFonts w:ascii="Arial Narrow" w:hAnsi="Arial Narrow" w:cstheme="minorHAnsi"/>
                <w:sz w:val="20"/>
                <w:szCs w:val="20"/>
              </w:rPr>
              <w:t xml:space="preserve">availability of </w:t>
            </w:r>
            <w:r w:rsidRPr="00A81D44">
              <w:rPr>
                <w:rFonts w:ascii="Arial Narrow" w:hAnsi="Arial Narrow" w:cstheme="minorHAnsi"/>
                <w:sz w:val="20"/>
                <w:szCs w:val="20"/>
              </w:rPr>
              <w:t>2L pembrolizumab</w:t>
            </w:r>
          </w:p>
          <w:p w14:paraId="5ABA188B" w14:textId="1CD596E5" w:rsidR="00CB69B8" w:rsidRPr="00A81D44" w:rsidRDefault="00CB69B8" w:rsidP="00C36284">
            <w:pPr>
              <w:pStyle w:val="ListParagraph"/>
              <w:keepNext/>
              <w:keepLines/>
              <w:numPr>
                <w:ilvl w:val="0"/>
                <w:numId w:val="30"/>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assumes nivolumab:pembrolizumab </w:t>
            </w:r>
            <w:r w:rsidR="00C546A7" w:rsidRPr="00C546A7">
              <w:rPr>
                <w:rFonts w:ascii="Arial Narrow" w:hAnsi="Arial Narrow" w:cstheme="minorHAnsi"/>
                <w:color w:val="000000"/>
                <w:spacing w:val="51"/>
                <w:sz w:val="20"/>
                <w:szCs w:val="20"/>
                <w:shd w:val="solid" w:color="000000" w:fill="000000"/>
                <w:fitText w:val="324" w:id="-628400639"/>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9"/>
                <w14:textFill>
                  <w14:solidFill>
                    <w14:srgbClr w14:val="000000">
                      <w14:alpha w14:val="100000"/>
                    </w14:srgbClr>
                  </w14:solidFill>
                </w14:textFill>
              </w:rPr>
              <w:t>|</w:t>
            </w:r>
            <w:r w:rsidRPr="00A81D44">
              <w:rPr>
                <w:rFonts w:ascii="Arial Narrow" w:hAnsi="Arial Narrow" w:cstheme="minorHAnsi"/>
                <w:sz w:val="20"/>
                <w:szCs w:val="20"/>
              </w:rPr>
              <w:t>%:</w:t>
            </w:r>
            <w:r w:rsidR="00C546A7" w:rsidRPr="00C546A7">
              <w:rPr>
                <w:rFonts w:ascii="Arial Narrow" w:hAnsi="Arial Narrow" w:cstheme="minorHAnsi"/>
                <w:color w:val="000000"/>
                <w:spacing w:val="51"/>
                <w:sz w:val="20"/>
                <w:szCs w:val="20"/>
                <w:shd w:val="solid" w:color="000000" w:fill="000000"/>
                <w:fitText w:val="324" w:id="-628400638"/>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8"/>
                <w14:textFill>
                  <w14:solidFill>
                    <w14:srgbClr w14:val="000000">
                      <w14:alpha w14:val="100000"/>
                    </w14:srgbClr>
                  </w14:solidFill>
                </w14:textFill>
              </w:rPr>
              <w:t>|</w:t>
            </w: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51"/>
                <w:sz w:val="20"/>
                <w:szCs w:val="20"/>
                <w:shd w:val="solid" w:color="000000" w:fill="000000"/>
                <w:fitText w:val="324" w:id="-628400637"/>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7"/>
                <w14:textFill>
                  <w14:solidFill>
                    <w14:srgbClr w14:val="000000">
                      <w14:alpha w14:val="100000"/>
                    </w14:srgbClr>
                  </w14:solidFill>
                </w14:textFill>
              </w:rPr>
              <w:t>|</w:t>
            </w:r>
            <w:r w:rsidRPr="00A81D44">
              <w:rPr>
                <w:rFonts w:ascii="Arial Narrow" w:hAnsi="Arial Narrow" w:cstheme="minorHAnsi"/>
                <w:sz w:val="20"/>
                <w:szCs w:val="20"/>
              </w:rPr>
              <w:t>% might be an over-estimate</w:t>
            </w:r>
          </w:p>
        </w:tc>
      </w:tr>
      <w:tr w:rsidR="00CB69B8" w:rsidRPr="00A81D44" w14:paraId="36BDDBA6" w14:textId="77777777" w:rsidTr="00891121">
        <w:tc>
          <w:tcPr>
            <w:tcW w:w="1216" w:type="dxa"/>
          </w:tcPr>
          <w:p w14:paraId="7E943C30"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 xml:space="preserve">1L </w:t>
            </w:r>
            <w:proofErr w:type="spellStart"/>
            <w:r w:rsidRPr="00A81D44">
              <w:rPr>
                <w:rFonts w:ascii="Arial Narrow" w:hAnsi="Arial Narrow" w:cstheme="minorHAnsi"/>
                <w:sz w:val="20"/>
                <w:szCs w:val="20"/>
              </w:rPr>
              <w:t>NSq</w:t>
            </w:r>
            <w:proofErr w:type="spellEnd"/>
            <w:r w:rsidRPr="00A81D44">
              <w:rPr>
                <w:rFonts w:ascii="Arial Narrow" w:hAnsi="Arial Narrow" w:cstheme="minorHAnsi"/>
                <w:sz w:val="20"/>
                <w:szCs w:val="20"/>
              </w:rPr>
              <w:t xml:space="preserve"> NSCLC</w:t>
            </w:r>
          </w:p>
        </w:tc>
        <w:tc>
          <w:tcPr>
            <w:tcW w:w="7800" w:type="dxa"/>
          </w:tcPr>
          <w:p w14:paraId="17D5E6B7" w14:textId="7E9DAA93"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6"/>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6"/>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5"/>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5"/>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patients/year </w:t>
            </w:r>
          </w:p>
          <w:p w14:paraId="0400B5E7" w14:textId="3DCFF163" w:rsidR="00CB69B8" w:rsidRPr="00A81D44" w:rsidRDefault="00CB69B8" w:rsidP="00C36284">
            <w:pPr>
              <w:pStyle w:val="ListParagraph"/>
              <w:keepNext/>
              <w:keepLines/>
              <w:numPr>
                <w:ilvl w:val="0"/>
                <w:numId w:val="31"/>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assumes </w:t>
            </w:r>
            <w:r w:rsidR="00C546A7" w:rsidRPr="00C546A7">
              <w:rPr>
                <w:rFonts w:ascii="Arial Narrow" w:hAnsi="Arial Narrow" w:cstheme="minorHAnsi"/>
                <w:color w:val="000000"/>
                <w:spacing w:val="51"/>
                <w:sz w:val="20"/>
                <w:szCs w:val="20"/>
                <w:shd w:val="solid" w:color="000000" w:fill="000000"/>
                <w:fitText w:val="324" w:id="-628400634"/>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34"/>
                <w14:textFill>
                  <w14:solidFill>
                    <w14:srgbClr w14:val="000000">
                      <w14:alpha w14:val="100000"/>
                    </w14:srgbClr>
                  </w14:solidFill>
                </w14:textFill>
              </w:rPr>
              <w:t>|</w:t>
            </w:r>
            <w:r w:rsidRPr="00A81D44">
              <w:rPr>
                <w:rFonts w:ascii="Arial Narrow" w:hAnsi="Arial Narrow" w:cstheme="minorHAnsi"/>
                <w:sz w:val="20"/>
                <w:szCs w:val="20"/>
              </w:rPr>
              <w:t>% market share</w:t>
            </w:r>
          </w:p>
          <w:p w14:paraId="2A4F13F8" w14:textId="77777777" w:rsidR="00CB69B8" w:rsidRPr="00A81D44" w:rsidRDefault="00CB69B8" w:rsidP="00C36284">
            <w:pPr>
              <w:pStyle w:val="ListParagraph"/>
              <w:keepNext/>
              <w:keepLines/>
              <w:numPr>
                <w:ilvl w:val="0"/>
                <w:numId w:val="31"/>
              </w:numPr>
              <w:spacing w:after="0"/>
              <w:contextualSpacing/>
              <w:rPr>
                <w:rFonts w:ascii="Arial Narrow" w:hAnsi="Arial Narrow" w:cstheme="minorHAnsi"/>
                <w:sz w:val="20"/>
                <w:szCs w:val="20"/>
              </w:rPr>
            </w:pPr>
            <w:r w:rsidRPr="00A81D44">
              <w:rPr>
                <w:rFonts w:ascii="Arial Narrow" w:hAnsi="Arial Narrow" w:cstheme="minorHAnsi"/>
                <w:sz w:val="20"/>
                <w:szCs w:val="20"/>
              </w:rPr>
              <w:t>difficult to assess the accuracy of this prediction</w:t>
            </w:r>
          </w:p>
        </w:tc>
      </w:tr>
      <w:tr w:rsidR="00CB69B8" w:rsidRPr="00A81D44" w14:paraId="78ECD984" w14:textId="77777777" w:rsidTr="00891121">
        <w:tc>
          <w:tcPr>
            <w:tcW w:w="1216" w:type="dxa"/>
          </w:tcPr>
          <w:p w14:paraId="2CA03EE1"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retreatment</w:t>
            </w:r>
          </w:p>
        </w:tc>
        <w:tc>
          <w:tcPr>
            <w:tcW w:w="7800" w:type="dxa"/>
          </w:tcPr>
          <w:p w14:paraId="1A9913D5" w14:textId="45DBE718"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3"/>
                <w14:textFill>
                  <w14:solidFill>
                    <w14:srgbClr w14:val="000000">
                      <w14:alpha w14:val="100000"/>
                    </w14:srgbClr>
                  </w14:solidFill>
                </w14:textFill>
              </w:rPr>
              <w:t>||  ||</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 stable across the 6 years</w:t>
            </w:r>
          </w:p>
          <w:p w14:paraId="1B2235F3" w14:textId="77777777" w:rsidR="00FA128F" w:rsidRPr="00A81D44" w:rsidRDefault="00CB69B8" w:rsidP="00C36284">
            <w:pPr>
              <w:pStyle w:val="ListParagraph"/>
              <w:keepNext/>
              <w:keepLines/>
              <w:numPr>
                <w:ilvl w:val="0"/>
                <w:numId w:val="25"/>
              </w:numPr>
              <w:spacing w:after="0"/>
              <w:contextualSpacing/>
              <w:rPr>
                <w:rFonts w:ascii="Arial Narrow" w:hAnsi="Arial Narrow" w:cstheme="minorHAnsi"/>
                <w:sz w:val="20"/>
                <w:szCs w:val="20"/>
              </w:rPr>
            </w:pPr>
            <w:r w:rsidRPr="00A81D44">
              <w:rPr>
                <w:rFonts w:ascii="Arial Narrow" w:hAnsi="Arial Narrow" w:cstheme="minorHAnsi"/>
                <w:sz w:val="20"/>
                <w:szCs w:val="20"/>
              </w:rPr>
              <w:t>only considers early-to-metastatic retreatment</w:t>
            </w:r>
          </w:p>
          <w:p w14:paraId="301BA58C" w14:textId="2470EC33" w:rsidR="00A028A7" w:rsidRPr="00A81D44" w:rsidRDefault="00CB69B8" w:rsidP="00C36284">
            <w:pPr>
              <w:pStyle w:val="ListParagraph"/>
              <w:keepNext/>
              <w:keepLines/>
              <w:numPr>
                <w:ilvl w:val="0"/>
                <w:numId w:val="0"/>
              </w:numPr>
              <w:spacing w:after="0"/>
              <w:ind w:left="360"/>
              <w:contextualSpacing/>
              <w:rPr>
                <w:rFonts w:ascii="Arial Narrow" w:hAnsi="Arial Narrow" w:cstheme="minorHAnsi"/>
                <w:sz w:val="20"/>
                <w:szCs w:val="20"/>
              </w:rPr>
            </w:pPr>
            <w:r w:rsidRPr="00A81D44">
              <w:rPr>
                <w:rFonts w:ascii="Arial Narrow" w:hAnsi="Arial Narrow" w:cstheme="minorHAnsi"/>
                <w:sz w:val="20"/>
                <w:szCs w:val="20"/>
              </w:rPr>
              <w:t>metastatic-to-metastatic retreatment is excluded</w:t>
            </w:r>
          </w:p>
          <w:p w14:paraId="40E5E9F2" w14:textId="77777777" w:rsidR="00CB69B8" w:rsidRPr="00A81D44" w:rsidRDefault="00CB69B8" w:rsidP="00C36284">
            <w:pPr>
              <w:pStyle w:val="ListParagraph"/>
              <w:keepNext/>
              <w:keepLines/>
              <w:numPr>
                <w:ilvl w:val="0"/>
                <w:numId w:val="25"/>
              </w:numPr>
              <w:spacing w:after="0"/>
              <w:contextualSpacing/>
              <w:rPr>
                <w:rFonts w:ascii="Arial Narrow" w:hAnsi="Arial Narrow" w:cstheme="minorHAnsi"/>
                <w:sz w:val="20"/>
                <w:szCs w:val="20"/>
              </w:rPr>
            </w:pPr>
            <w:r w:rsidRPr="00A81D44">
              <w:rPr>
                <w:rFonts w:ascii="Arial Narrow" w:hAnsi="Arial Narrow" w:cstheme="minorHAnsi"/>
                <w:sz w:val="20"/>
                <w:szCs w:val="20"/>
              </w:rPr>
              <w:t>mean(ToT) assumed to be the same as for PD-(L)1i-naïve patients</w:t>
            </w:r>
          </w:p>
          <w:p w14:paraId="51115E2E" w14:textId="20FF00DA" w:rsidR="00CB69B8" w:rsidRPr="00A81D44" w:rsidRDefault="00CB69B8" w:rsidP="00C36284">
            <w:pPr>
              <w:pStyle w:val="ListParagraph"/>
              <w:keepNext/>
              <w:keepLines/>
              <w:numPr>
                <w:ilvl w:val="0"/>
                <w:numId w:val="0"/>
              </w:numPr>
              <w:spacing w:after="0"/>
              <w:ind w:left="357"/>
              <w:rPr>
                <w:rFonts w:ascii="Arial Narrow" w:hAnsi="Arial Narrow" w:cstheme="minorHAnsi"/>
                <w:sz w:val="20"/>
                <w:szCs w:val="20"/>
              </w:rPr>
            </w:pPr>
            <w:r w:rsidRPr="00A81D44">
              <w:rPr>
                <w:rFonts w:ascii="Arial Narrow" w:hAnsi="Arial Narrow" w:cstheme="minorHAnsi"/>
                <w:sz w:val="20"/>
                <w:szCs w:val="20"/>
              </w:rPr>
              <w:t>~ 10 to 11 q4w doses</w:t>
            </w:r>
            <w:r w:rsidR="001F47FF" w:rsidRPr="00A81D44">
              <w:rPr>
                <w:rFonts w:ascii="Arial Narrow" w:hAnsi="Arial Narrow" w:cstheme="minorHAnsi"/>
                <w:sz w:val="20"/>
                <w:szCs w:val="20"/>
              </w:rPr>
              <w:t>,</w:t>
            </w:r>
            <w:r w:rsidR="001E3578" w:rsidRPr="00A81D44">
              <w:rPr>
                <w:rFonts w:ascii="Arial Narrow" w:hAnsi="Arial Narrow" w:cstheme="minorHAnsi"/>
                <w:sz w:val="20"/>
                <w:szCs w:val="20"/>
              </w:rPr>
              <w:t xml:space="preserve"> this may </w:t>
            </w:r>
            <w:proofErr w:type="gramStart"/>
            <w:r w:rsidR="001E3578" w:rsidRPr="00A81D44">
              <w:rPr>
                <w:rFonts w:ascii="Arial Narrow" w:hAnsi="Arial Narrow" w:cstheme="minorHAnsi"/>
                <w:sz w:val="20"/>
                <w:szCs w:val="20"/>
              </w:rPr>
              <w:t>over estimate</w:t>
            </w:r>
            <w:proofErr w:type="gramEnd"/>
            <w:r w:rsidR="001E3578" w:rsidRPr="00A81D44">
              <w:rPr>
                <w:rFonts w:ascii="Arial Narrow" w:hAnsi="Arial Narrow" w:cstheme="minorHAnsi"/>
                <w:sz w:val="20"/>
                <w:szCs w:val="20"/>
              </w:rPr>
              <w:t xml:space="preserve"> script numbers</w:t>
            </w:r>
          </w:p>
          <w:p w14:paraId="2256D9C3" w14:textId="77777777" w:rsidR="00CB69B8" w:rsidRPr="00A81D44" w:rsidRDefault="00CB69B8" w:rsidP="00C36284">
            <w:pPr>
              <w:pStyle w:val="ListParagraph"/>
              <w:keepNext/>
              <w:keepLines/>
              <w:numPr>
                <w:ilvl w:val="0"/>
                <w:numId w:val="25"/>
              </w:numPr>
              <w:spacing w:after="0"/>
              <w:ind w:left="357" w:hanging="357"/>
              <w:contextualSpacing/>
              <w:rPr>
                <w:rFonts w:ascii="Arial Narrow" w:hAnsi="Arial Narrow" w:cstheme="minorHAnsi"/>
                <w:sz w:val="20"/>
                <w:szCs w:val="20"/>
              </w:rPr>
            </w:pPr>
            <w:r w:rsidRPr="00A81D44">
              <w:rPr>
                <w:rFonts w:ascii="Arial Narrow" w:hAnsi="Arial Narrow" w:cstheme="minorHAnsi"/>
                <w:sz w:val="20"/>
                <w:szCs w:val="20"/>
              </w:rPr>
              <w:t>minor: assumes ~ 12 extra retreated melanoma patients, although retreatment in melanoma has PBS listing (6 month treatment-free interval will no longer apply)</w:t>
            </w:r>
          </w:p>
        </w:tc>
      </w:tr>
      <w:tr w:rsidR="00CB69B8" w:rsidRPr="00A81D44" w14:paraId="61F7E302" w14:textId="77777777" w:rsidTr="00891121">
        <w:tc>
          <w:tcPr>
            <w:tcW w:w="1216" w:type="dxa"/>
          </w:tcPr>
          <w:p w14:paraId="31618854" w14:textId="751C58C6"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rare cancer</w:t>
            </w:r>
            <w:r w:rsidR="00425380" w:rsidRPr="00A81D44">
              <w:rPr>
                <w:rFonts w:ascii="Arial Narrow" w:hAnsi="Arial Narrow" w:cstheme="minorHAnsi"/>
                <w:sz w:val="20"/>
                <w:szCs w:val="20"/>
              </w:rPr>
              <w:t>s</w:t>
            </w:r>
          </w:p>
        </w:tc>
        <w:tc>
          <w:tcPr>
            <w:tcW w:w="7800" w:type="dxa"/>
          </w:tcPr>
          <w:p w14:paraId="05B7BD3C" w14:textId="1FD56C6B"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2"/>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2"/>
                <w14:textFill>
                  <w14:solidFill>
                    <w14:srgbClr w14:val="000000">
                      <w14:alpha w14:val="100000"/>
                    </w14:srgbClr>
                  </w14:solidFill>
                </w14:textFill>
              </w:rPr>
              <w:t>|</w:t>
            </w:r>
            <w:r w:rsidR="00624839">
              <w:rPr>
                <w:rFonts w:ascii="Arial Narrow" w:hAnsi="Arial Narrow" w:cstheme="minorHAnsi"/>
                <w:sz w:val="20"/>
                <w:szCs w:val="20"/>
                <w:vertAlign w:val="superscript"/>
              </w:rPr>
              <w:t>1</w:t>
            </w:r>
            <w:r w:rsidRPr="00A81D44">
              <w:rPr>
                <w:rFonts w:ascii="Arial Narrow" w:hAnsi="Arial Narrow" w:cstheme="minorHAnsi"/>
                <w:sz w:val="20"/>
                <w:szCs w:val="20"/>
              </w:rPr>
              <w:t xml:space="preserve"> to </w:t>
            </w:r>
            <w:r w:rsidR="00C546A7" w:rsidRPr="00C546A7">
              <w:rPr>
                <w:rFonts w:ascii="Arial Narrow" w:hAnsi="Arial Narrow" w:cstheme="minorHAnsi"/>
                <w:color w:val="000000"/>
                <w:spacing w:val="10"/>
                <w:sz w:val="20"/>
                <w:szCs w:val="20"/>
                <w:shd w:val="solid" w:color="000000" w:fill="000000"/>
                <w:fitText w:val="316" w:id="-628400631"/>
                <w14:textFill>
                  <w14:solidFill>
                    <w14:srgbClr w14:val="000000">
                      <w14:alpha w14:val="100000"/>
                    </w14:srgbClr>
                  </w14:solidFill>
                </w14:textFill>
              </w:rPr>
              <w:t>||  ||</w:t>
            </w:r>
            <w:r w:rsidR="00624839">
              <w:rPr>
                <w:rFonts w:ascii="Arial Narrow" w:hAnsi="Arial Narrow" w:cstheme="minorHAnsi"/>
                <w:sz w:val="20"/>
                <w:szCs w:val="20"/>
                <w:vertAlign w:val="superscript"/>
              </w:rPr>
              <w:t>1</w:t>
            </w:r>
            <w:r w:rsidRPr="00A81D44">
              <w:rPr>
                <w:rFonts w:ascii="Arial Narrow" w:hAnsi="Arial Narrow" w:cstheme="minorHAnsi"/>
                <w:sz w:val="20"/>
                <w:szCs w:val="20"/>
              </w:rPr>
              <w:t xml:space="preserve"> patients/year </w:t>
            </w:r>
          </w:p>
          <w:p w14:paraId="513BDEE7" w14:textId="18C82DFA" w:rsidR="00CB69B8" w:rsidRPr="00A81D44" w:rsidRDefault="00CB69B8" w:rsidP="00C36284">
            <w:pPr>
              <w:pStyle w:val="ListParagraph"/>
              <w:keepNext/>
              <w:keepLines/>
              <w:numPr>
                <w:ilvl w:val="0"/>
                <w:numId w:val="26"/>
              </w:numPr>
              <w:spacing w:after="0"/>
              <w:contextualSpacing/>
              <w:rPr>
                <w:rFonts w:ascii="Arial Narrow" w:hAnsi="Arial Narrow" w:cstheme="minorHAnsi"/>
                <w:sz w:val="20"/>
                <w:szCs w:val="20"/>
              </w:rPr>
            </w:pPr>
            <w:r w:rsidRPr="00A81D44">
              <w:rPr>
                <w:rFonts w:ascii="Arial Narrow" w:hAnsi="Arial Narrow" w:cstheme="minorHAnsi"/>
                <w:sz w:val="20"/>
                <w:szCs w:val="20"/>
              </w:rPr>
              <w:t>uptake is assumed to be immediate and then constant across the 6 years</w:t>
            </w:r>
            <w:r w:rsidR="00914538" w:rsidRPr="00A81D44">
              <w:rPr>
                <w:rFonts w:ascii="Arial Narrow" w:hAnsi="Arial Narrow" w:cstheme="minorHAnsi"/>
                <w:sz w:val="20"/>
                <w:szCs w:val="20"/>
              </w:rPr>
              <w:t xml:space="preserve"> which may over-estimate prescription numbers</w:t>
            </w:r>
          </w:p>
          <w:p w14:paraId="00E3240E" w14:textId="77777777" w:rsidR="00CB69B8" w:rsidRPr="00A81D44" w:rsidRDefault="00CB69B8" w:rsidP="00C36284">
            <w:pPr>
              <w:pStyle w:val="ListParagraph"/>
              <w:keepNext/>
              <w:keepLines/>
              <w:numPr>
                <w:ilvl w:val="0"/>
                <w:numId w:val="26"/>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mean time-on-treatment for nivolumab (5 months) is uncertain </w:t>
            </w:r>
          </w:p>
          <w:p w14:paraId="24EAE249" w14:textId="66DDD392" w:rsidR="00CB69B8" w:rsidRPr="00A81D44" w:rsidRDefault="00CB69B8" w:rsidP="00C36284">
            <w:pPr>
              <w:pStyle w:val="ListParagraph"/>
              <w:keepNext/>
              <w:keepLines/>
              <w:numPr>
                <w:ilvl w:val="0"/>
                <w:numId w:val="26"/>
              </w:numPr>
              <w:spacing w:after="0"/>
              <w:contextualSpacing/>
              <w:rPr>
                <w:rFonts w:ascii="Arial Narrow" w:hAnsi="Arial Narrow" w:cstheme="minorHAnsi"/>
                <w:sz w:val="20"/>
                <w:szCs w:val="20"/>
              </w:rPr>
            </w:pPr>
            <w:r w:rsidRPr="00A81D44">
              <w:rPr>
                <w:rFonts w:ascii="Arial Narrow" w:hAnsi="Arial Narrow" w:cstheme="minorHAnsi"/>
                <w:sz w:val="20"/>
                <w:szCs w:val="20"/>
              </w:rPr>
              <w:t>the extent to which ipilimumab will be used is uncertain</w:t>
            </w:r>
            <w:r w:rsidR="00914538" w:rsidRPr="00A81D44">
              <w:rPr>
                <w:rFonts w:ascii="Arial Narrow" w:hAnsi="Arial Narrow" w:cstheme="minorHAnsi"/>
                <w:sz w:val="20"/>
                <w:szCs w:val="20"/>
              </w:rPr>
              <w:t xml:space="preserve"> based on available data</w:t>
            </w:r>
          </w:p>
        </w:tc>
      </w:tr>
      <w:tr w:rsidR="00CB69B8" w:rsidRPr="00A81D44" w14:paraId="2B3D08AF" w14:textId="77777777" w:rsidTr="00891121">
        <w:tc>
          <w:tcPr>
            <w:tcW w:w="1216" w:type="dxa"/>
          </w:tcPr>
          <w:p w14:paraId="7DCCBCEB"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1L OSCC</w:t>
            </w:r>
          </w:p>
          <w:p w14:paraId="32788F30" w14:textId="77777777" w:rsidR="00CB69B8" w:rsidRPr="00A81D44" w:rsidRDefault="00CB69B8" w:rsidP="00C36284">
            <w:pPr>
              <w:keepNext/>
              <w:keepLines/>
              <w:jc w:val="left"/>
              <w:rPr>
                <w:rFonts w:ascii="Arial Narrow" w:hAnsi="Arial Narrow" w:cstheme="minorHAnsi"/>
                <w:sz w:val="20"/>
                <w:szCs w:val="20"/>
              </w:rPr>
            </w:pPr>
            <w:r w:rsidRPr="00A81D44">
              <w:rPr>
                <w:rFonts w:ascii="Arial Narrow" w:hAnsi="Arial Narrow" w:cstheme="minorHAnsi"/>
                <w:sz w:val="20"/>
                <w:szCs w:val="20"/>
              </w:rPr>
              <w:t>ipilimumab only</w:t>
            </w:r>
          </w:p>
        </w:tc>
        <w:tc>
          <w:tcPr>
            <w:tcW w:w="7800" w:type="dxa"/>
          </w:tcPr>
          <w:p w14:paraId="5619FC2D" w14:textId="4F60E04F" w:rsidR="00CB69B8" w:rsidRPr="00A81D44" w:rsidRDefault="00CB69B8" w:rsidP="00C36284">
            <w:pPr>
              <w:keepNext/>
              <w:keepLines/>
              <w:rPr>
                <w:rFonts w:ascii="Arial Narrow" w:hAnsi="Arial Narrow" w:cstheme="minorHAnsi"/>
                <w:sz w:val="20"/>
                <w:szCs w:val="20"/>
              </w:rPr>
            </w:pPr>
            <w:r w:rsidRPr="00A81D44">
              <w:rPr>
                <w:rFonts w:ascii="Arial Narrow" w:hAnsi="Arial Narrow" w:cstheme="minorHAnsi"/>
                <w:sz w:val="20"/>
                <w:szCs w:val="20"/>
              </w:rPr>
              <w:t xml:space="preserve">~ </w:t>
            </w:r>
            <w:r w:rsidR="00C546A7" w:rsidRPr="00C546A7">
              <w:rPr>
                <w:rFonts w:ascii="Arial Narrow" w:hAnsi="Arial Narrow" w:cstheme="minorHAnsi"/>
                <w:color w:val="000000"/>
                <w:spacing w:val="8"/>
                <w:sz w:val="20"/>
                <w:szCs w:val="20"/>
                <w:shd w:val="solid" w:color="000000" w:fill="000000"/>
                <w:fitText w:val="304" w:id="-628400630"/>
                <w14:textFill>
                  <w14:solidFill>
                    <w14:srgbClr w14:val="000000">
                      <w14:alpha w14:val="100000"/>
                    </w14:srgbClr>
                  </w14:solidFill>
                </w14:textFill>
              </w:rPr>
              <w:t>||  |</w:t>
            </w:r>
            <w:r w:rsidR="00C546A7" w:rsidRPr="00C546A7">
              <w:rPr>
                <w:rFonts w:ascii="Arial Narrow" w:hAnsi="Arial Narrow" w:cstheme="minorHAnsi"/>
                <w:color w:val="000000"/>
                <w:spacing w:val="3"/>
                <w:sz w:val="20"/>
                <w:szCs w:val="20"/>
                <w:shd w:val="solid" w:color="000000" w:fill="000000"/>
                <w:fitText w:val="304" w:id="-628400630"/>
                <w14:textFill>
                  <w14:solidFill>
                    <w14:srgbClr w14:val="000000">
                      <w14:alpha w14:val="100000"/>
                    </w14:srgbClr>
                  </w14:solidFill>
                </w14:textFill>
              </w:rPr>
              <w:t>|</w:t>
            </w:r>
            <w:r w:rsidR="00624839">
              <w:rPr>
                <w:rFonts w:ascii="Arial Narrow" w:hAnsi="Arial Narrow" w:cstheme="minorHAnsi"/>
                <w:sz w:val="20"/>
                <w:szCs w:val="20"/>
                <w:vertAlign w:val="superscript"/>
              </w:rPr>
              <w:t>2</w:t>
            </w:r>
            <w:r w:rsidRPr="00A81D44">
              <w:rPr>
                <w:rFonts w:ascii="Arial Narrow" w:hAnsi="Arial Narrow" w:cstheme="minorHAnsi"/>
                <w:sz w:val="20"/>
                <w:szCs w:val="20"/>
              </w:rPr>
              <w:t xml:space="preserve"> patients/year</w:t>
            </w:r>
          </w:p>
          <w:p w14:paraId="3DEC3F16" w14:textId="5247338A" w:rsidR="00CB69B8" w:rsidRPr="00A81D44" w:rsidRDefault="00CB69B8" w:rsidP="00C36284">
            <w:pPr>
              <w:pStyle w:val="ListParagraph"/>
              <w:keepNext/>
              <w:keepLines/>
              <w:numPr>
                <w:ilvl w:val="0"/>
                <w:numId w:val="32"/>
              </w:numPr>
              <w:spacing w:after="0"/>
              <w:contextualSpacing/>
              <w:rPr>
                <w:rFonts w:ascii="Arial Narrow" w:hAnsi="Arial Narrow" w:cstheme="minorHAnsi"/>
                <w:sz w:val="20"/>
                <w:szCs w:val="20"/>
              </w:rPr>
            </w:pPr>
            <w:r w:rsidRPr="00A81D44">
              <w:rPr>
                <w:rFonts w:ascii="Arial Narrow" w:hAnsi="Arial Narrow" w:cstheme="minorHAnsi"/>
                <w:sz w:val="20"/>
                <w:szCs w:val="20"/>
              </w:rPr>
              <w:t xml:space="preserve">assumes </w:t>
            </w:r>
            <w:r w:rsidR="00C546A7" w:rsidRPr="00C546A7">
              <w:rPr>
                <w:rFonts w:ascii="Arial Narrow" w:hAnsi="Arial Narrow" w:cstheme="minorHAnsi"/>
                <w:color w:val="000000"/>
                <w:spacing w:val="51"/>
                <w:sz w:val="20"/>
                <w:szCs w:val="20"/>
                <w:shd w:val="solid" w:color="000000" w:fill="000000"/>
                <w:fitText w:val="324" w:id="-628400629"/>
                <w14:textFill>
                  <w14:solidFill>
                    <w14:srgbClr w14:val="000000">
                      <w14:alpha w14:val="100000"/>
                    </w14:srgbClr>
                  </w14:solidFill>
                </w14:textFill>
              </w:rPr>
              <w:t>|||</w:t>
            </w:r>
            <w:r w:rsidR="00C546A7" w:rsidRPr="00C546A7">
              <w:rPr>
                <w:rFonts w:ascii="Arial Narrow" w:hAnsi="Arial Narrow" w:cstheme="minorHAnsi"/>
                <w:color w:val="000000"/>
                <w:spacing w:val="1"/>
                <w:sz w:val="20"/>
                <w:szCs w:val="20"/>
                <w:shd w:val="solid" w:color="000000" w:fill="000000"/>
                <w:fitText w:val="324" w:id="-628400629"/>
                <w14:textFill>
                  <w14:solidFill>
                    <w14:srgbClr w14:val="000000">
                      <w14:alpha w14:val="100000"/>
                    </w14:srgbClr>
                  </w14:solidFill>
                </w14:textFill>
              </w:rPr>
              <w:t>|</w:t>
            </w:r>
            <w:r w:rsidRPr="00A81D44">
              <w:rPr>
                <w:rFonts w:ascii="Arial Narrow" w:hAnsi="Arial Narrow" w:cstheme="minorHAnsi"/>
                <w:sz w:val="20"/>
                <w:szCs w:val="20"/>
              </w:rPr>
              <w:t>% of patients unsuitable for chemotherapy</w:t>
            </w:r>
          </w:p>
        </w:tc>
      </w:tr>
    </w:tbl>
    <w:p w14:paraId="77CB6A8D" w14:textId="77777777" w:rsidR="00860A60" w:rsidRPr="00860A60" w:rsidRDefault="00860A60" w:rsidP="00860A60">
      <w:pPr>
        <w:jc w:val="left"/>
        <w:rPr>
          <w:rFonts w:ascii="Arial Narrow" w:hAnsi="Arial Narrow" w:cs="Arial"/>
          <w:i/>
          <w:sz w:val="18"/>
          <w:szCs w:val="18"/>
        </w:rPr>
      </w:pPr>
      <w:r w:rsidRPr="00860A60">
        <w:rPr>
          <w:rFonts w:ascii="Arial Narrow" w:hAnsi="Arial Narrow" w:cs="Arial"/>
          <w:i/>
          <w:sz w:val="18"/>
          <w:szCs w:val="18"/>
        </w:rPr>
        <w:t xml:space="preserve">The redacted values correspond to the following ranges: </w:t>
      </w:r>
    </w:p>
    <w:p w14:paraId="51C398DC" w14:textId="353594EC" w:rsidR="00860A60" w:rsidRPr="00860A60" w:rsidRDefault="00860A60" w:rsidP="00860A60">
      <w:pPr>
        <w:jc w:val="left"/>
        <w:rPr>
          <w:rFonts w:ascii="Arial Narrow" w:hAnsi="Arial Narrow" w:cs="Arial"/>
          <w:i/>
          <w:sz w:val="18"/>
          <w:szCs w:val="18"/>
        </w:rPr>
      </w:pPr>
      <w:r w:rsidRPr="00860A60">
        <w:rPr>
          <w:rFonts w:ascii="Arial Narrow" w:hAnsi="Arial Narrow" w:cs="Arial"/>
          <w:i/>
          <w:sz w:val="18"/>
          <w:szCs w:val="18"/>
          <w:vertAlign w:val="superscript"/>
        </w:rPr>
        <w:t>1</w:t>
      </w:r>
      <w:r w:rsidRPr="00860A60">
        <w:rPr>
          <w:rFonts w:ascii="Arial Narrow" w:hAnsi="Arial Narrow" w:cs="Arial"/>
          <w:i/>
          <w:sz w:val="18"/>
          <w:szCs w:val="18"/>
        </w:rPr>
        <w:t xml:space="preserve"> </w:t>
      </w:r>
      <w:r w:rsidR="00BB5FB4" w:rsidRPr="00BB5FB4">
        <w:rPr>
          <w:rFonts w:ascii="Arial Narrow" w:hAnsi="Arial Narrow" w:cs="Arial"/>
          <w:i/>
          <w:sz w:val="18"/>
          <w:szCs w:val="18"/>
        </w:rPr>
        <w:t>500 to &lt; 5,000</w:t>
      </w:r>
    </w:p>
    <w:p w14:paraId="57CC10A7" w14:textId="21962CDD" w:rsidR="00860A60" w:rsidRPr="00860A60" w:rsidRDefault="00860A60" w:rsidP="00860A60">
      <w:pPr>
        <w:jc w:val="left"/>
        <w:rPr>
          <w:rFonts w:ascii="Arial Narrow" w:hAnsi="Arial Narrow" w:cs="Arial"/>
          <w:i/>
          <w:sz w:val="18"/>
          <w:szCs w:val="18"/>
        </w:rPr>
      </w:pPr>
      <w:r w:rsidRPr="00860A60">
        <w:rPr>
          <w:rFonts w:ascii="Arial Narrow" w:hAnsi="Arial Narrow" w:cs="Arial"/>
          <w:i/>
          <w:sz w:val="18"/>
          <w:szCs w:val="18"/>
          <w:vertAlign w:val="superscript"/>
        </w:rPr>
        <w:t>2</w:t>
      </w:r>
      <w:r w:rsidRPr="00860A60">
        <w:rPr>
          <w:rFonts w:ascii="Arial Narrow" w:hAnsi="Arial Narrow" w:cs="Arial"/>
          <w:i/>
          <w:sz w:val="18"/>
          <w:szCs w:val="18"/>
        </w:rPr>
        <w:t xml:space="preserve"> </w:t>
      </w:r>
      <w:r w:rsidR="00BB5FB4">
        <w:rPr>
          <w:rFonts w:ascii="Arial Narrow" w:hAnsi="Arial Narrow" w:cs="Arial"/>
          <w:i/>
          <w:sz w:val="18"/>
          <w:szCs w:val="18"/>
        </w:rPr>
        <w:t>&lt; 500</w:t>
      </w:r>
    </w:p>
    <w:p w14:paraId="7B37072E" w14:textId="77777777" w:rsidR="00E26F38" w:rsidRDefault="00E26F38" w:rsidP="00C546A7">
      <w:pPr>
        <w:pStyle w:val="3-BodyText"/>
        <w:numPr>
          <w:ilvl w:val="0"/>
          <w:numId w:val="0"/>
        </w:numPr>
      </w:pPr>
    </w:p>
    <w:p w14:paraId="20FF9425" w14:textId="66E9EAE2" w:rsidR="00C62ED5" w:rsidRPr="00DC717C" w:rsidRDefault="00DC717C" w:rsidP="00D62290">
      <w:pPr>
        <w:pStyle w:val="3-BodyText"/>
      </w:pPr>
      <w:r w:rsidRPr="00C0722B">
        <w:t>The PBAC considered the estimated uptake for 1L HCC (</w:t>
      </w:r>
      <w:r w:rsidR="00C546A7" w:rsidRPr="00C546A7">
        <w:rPr>
          <w:color w:val="000000"/>
          <w:w w:val="61"/>
          <w:shd w:val="solid" w:color="000000" w:fill="000000"/>
          <w:fitText w:val="472" w:id="-628400628"/>
          <w14:textFill>
            <w14:solidFill>
              <w14:srgbClr w14:val="000000">
                <w14:alpha w14:val="100000"/>
              </w14:srgbClr>
            </w14:solidFill>
          </w14:textFill>
        </w:rPr>
        <w:t>|||  ||</w:t>
      </w:r>
      <w:r w:rsidR="00C546A7" w:rsidRPr="00C546A7">
        <w:rPr>
          <w:color w:val="000000"/>
          <w:spacing w:val="2"/>
          <w:w w:val="61"/>
          <w:shd w:val="solid" w:color="000000" w:fill="000000"/>
          <w:fitText w:val="472" w:id="-628400628"/>
          <w14:textFill>
            <w14:solidFill>
              <w14:srgbClr w14:val="000000">
                <w14:alpha w14:val="100000"/>
              </w14:srgbClr>
            </w14:solidFill>
          </w14:textFill>
        </w:rPr>
        <w:t>|</w:t>
      </w:r>
      <w:r w:rsidRPr="00C0722B">
        <w:t>% substitution for atezoli</w:t>
      </w:r>
      <w:r w:rsidR="00B0380C">
        <w:t>z</w:t>
      </w:r>
      <w:r w:rsidRPr="00C0722B">
        <w:t>umab and bevacizumab, which represents 31% of estimated spend for additional ipilimumab indications) was substantially overestimated,  given that NIVO +IPI is not a preferred regimen in international guidelines (NCCN/ESMO).</w:t>
      </w:r>
    </w:p>
    <w:p w14:paraId="22F1808B" w14:textId="3A7C8C07" w:rsidR="001453F3" w:rsidRPr="008C1502" w:rsidRDefault="00EB730B" w:rsidP="008C1502">
      <w:pPr>
        <w:pStyle w:val="2-SectionHeading"/>
      </w:pPr>
      <w:r w:rsidRPr="008C1502">
        <w:lastRenderedPageBreak/>
        <w:t xml:space="preserve">Additional </w:t>
      </w:r>
      <w:r w:rsidR="001453F3" w:rsidRPr="008C1502">
        <w:t>consideration</w:t>
      </w:r>
      <w:r w:rsidR="00731C25" w:rsidRPr="008C1502">
        <w:t>s</w:t>
      </w:r>
    </w:p>
    <w:p w14:paraId="51B33C97" w14:textId="18B7152E" w:rsidR="00B65B18" w:rsidRPr="00B65B18" w:rsidRDefault="00751F5F" w:rsidP="008C1502">
      <w:pPr>
        <w:pStyle w:val="5-SubsectionSubheading"/>
      </w:pPr>
      <w:r w:rsidRPr="00E055FC">
        <w:t>Retreatment</w:t>
      </w:r>
    </w:p>
    <w:p w14:paraId="13563401" w14:textId="6F7A4CF4" w:rsidR="009E5045" w:rsidRDefault="00B65B18" w:rsidP="00B65B18">
      <w:pPr>
        <w:pStyle w:val="3-BodyText"/>
      </w:pPr>
      <w:r>
        <w:t>The submission propose</w:t>
      </w:r>
      <w:r w:rsidR="00EB5922">
        <w:t>s</w:t>
      </w:r>
      <w:r>
        <w:t xml:space="preserve"> PD-(L)1i retreatment. </w:t>
      </w:r>
      <w:r w:rsidR="00215EFA">
        <w:t>I</w:t>
      </w:r>
      <w:r>
        <w:t xml:space="preserve">ndications </w:t>
      </w:r>
      <w:r w:rsidR="000D23B8">
        <w:t>approved by Regulatory Agencies (e.g., FDA, EMA, TGA, M</w:t>
      </w:r>
      <w:r w:rsidR="006174A4">
        <w:t>H</w:t>
      </w:r>
      <w:r w:rsidR="000D23B8">
        <w:t>RA, Health Canada</w:t>
      </w:r>
      <w:r w:rsidR="006174A4">
        <w:t>, etc</w:t>
      </w:r>
      <w:r w:rsidR="000D23B8">
        <w:t>)</w:t>
      </w:r>
      <w:r w:rsidR="00B22BCB">
        <w:t xml:space="preserve"> </w:t>
      </w:r>
      <w:r>
        <w:t>are agnostic to retreatment and as such are taken to allow retreatment</w:t>
      </w:r>
      <w:r w:rsidR="009E5045">
        <w:t xml:space="preserve">. </w:t>
      </w:r>
    </w:p>
    <w:p w14:paraId="4FA28294" w14:textId="2D71544C" w:rsidR="00A028A7" w:rsidRPr="00A028A7" w:rsidRDefault="00A028A7" w:rsidP="00B65B18">
      <w:pPr>
        <w:pStyle w:val="3-BodyText"/>
        <w:rPr>
          <w:i/>
          <w:iCs/>
        </w:rPr>
      </w:pPr>
      <w:r>
        <w:t xml:space="preserve">The submission includes </w:t>
      </w:r>
      <w:r w:rsidRPr="00A028A7">
        <w:t xml:space="preserve">retreatment from </w:t>
      </w:r>
      <w:r>
        <w:t xml:space="preserve">year 1 </w:t>
      </w:r>
      <w:r w:rsidRPr="00A028A7">
        <w:t xml:space="preserve">for tissue types where an early-stage listing does not currently exist </w:t>
      </w:r>
      <w:r>
        <w:t>(</w:t>
      </w:r>
      <w:r w:rsidRPr="00A028A7">
        <w:t>but is anticipated</w:t>
      </w:r>
      <w:r>
        <w:t>)</w:t>
      </w:r>
      <w:r w:rsidR="00532138">
        <w:t xml:space="preserve"> including RCC, CRC, SCCHN and HCC</w:t>
      </w:r>
      <w:r>
        <w:t xml:space="preserve">. </w:t>
      </w:r>
    </w:p>
    <w:p w14:paraId="19E806AC" w14:textId="66F1D5EB" w:rsidR="00B65B18" w:rsidRDefault="00B65B18" w:rsidP="007E7486">
      <w:pPr>
        <w:pStyle w:val="5-SubsectionSubheading"/>
      </w:pPr>
      <w:r>
        <w:t xml:space="preserve"> </w:t>
      </w:r>
      <w:r w:rsidR="00A028A7">
        <w:t>Classic</w:t>
      </w:r>
      <w:r w:rsidR="007E7486">
        <w:t>al</w:t>
      </w:r>
      <w:r w:rsidR="00A028A7">
        <w:t xml:space="preserve"> Hodgkin</w:t>
      </w:r>
      <w:r w:rsidR="00C27044">
        <w:t>’s Lymphoma (</w:t>
      </w:r>
      <w:proofErr w:type="spellStart"/>
      <w:r w:rsidR="00C27044">
        <w:t>cHL</w:t>
      </w:r>
      <w:proofErr w:type="spellEnd"/>
      <w:r w:rsidR="00C27044">
        <w:t>)</w:t>
      </w:r>
    </w:p>
    <w:p w14:paraId="51018E12" w14:textId="6719596C" w:rsidR="00784E55" w:rsidRPr="008C1502" w:rsidRDefault="0098643B" w:rsidP="008C1502">
      <w:pPr>
        <w:pStyle w:val="3-BodyText"/>
      </w:pPr>
      <w:r w:rsidRPr="008C1502">
        <w:t xml:space="preserve">A </w:t>
      </w:r>
      <w:r w:rsidR="001F6719" w:rsidRPr="008C1502">
        <w:t xml:space="preserve">phase 3 RCT sponsored by the National Cancer Institute (NCI) </w:t>
      </w:r>
      <w:r w:rsidR="00F52AB8" w:rsidRPr="008C1502">
        <w:t>(NCT03907488)</w:t>
      </w:r>
      <w:r w:rsidR="000410A4" w:rsidRPr="008C1502">
        <w:t xml:space="preserve"> </w:t>
      </w:r>
      <w:r w:rsidR="00A0612D" w:rsidRPr="008C1502">
        <w:t xml:space="preserve">(S1826) </w:t>
      </w:r>
      <w:r w:rsidR="000410A4" w:rsidRPr="008C1502">
        <w:t xml:space="preserve">compared nivolumab </w:t>
      </w:r>
      <w:r w:rsidR="001738B1" w:rsidRPr="008C1502">
        <w:t>with doxorubicin, vinblastine and d</w:t>
      </w:r>
      <w:r w:rsidR="00121ABE">
        <w:t>a</w:t>
      </w:r>
      <w:r w:rsidR="001738B1" w:rsidRPr="008C1502">
        <w:t>carbazine (N+</w:t>
      </w:r>
      <w:r w:rsidR="00EA203E" w:rsidRPr="008C1502">
        <w:t>AVD) to brentuximab vedotin with AVD (BV+AVD)</w:t>
      </w:r>
      <w:r w:rsidR="00623279" w:rsidRPr="008C1502">
        <w:t xml:space="preserve"> [Herrera AF et al. </w:t>
      </w:r>
      <w:proofErr w:type="spellStart"/>
      <w:r w:rsidR="00623279" w:rsidRPr="008C1502">
        <w:t>Nivolumab+AVD</w:t>
      </w:r>
      <w:proofErr w:type="spellEnd"/>
      <w:r w:rsidR="00623279" w:rsidRPr="008C1502">
        <w:t xml:space="preserve"> in Advanced-Stage Classic Hodgkin's Lymphoma. N Engl J Med. 2024 Oct 17;391(15):1379-1389. doi: 10.1056/NEJMoa2405888. PMID: 39413375; PMCID: PMC11488644]</w:t>
      </w:r>
      <w:r w:rsidR="00EA203E" w:rsidRPr="008C1502">
        <w:t>.</w:t>
      </w:r>
    </w:p>
    <w:p w14:paraId="135A2094" w14:textId="572E6061" w:rsidR="005A3A78" w:rsidRPr="008C1502" w:rsidRDefault="005A3A78" w:rsidP="008C1502">
      <w:pPr>
        <w:pStyle w:val="3-BodyText"/>
      </w:pPr>
      <w:r w:rsidRPr="008C1502">
        <w:t>Patients were randomly assigned to receive N+AVD intravenously (nivolumab at a dose of 240 mg in adults and 3 mg per kilogram of body weight in children 12 to &lt;18 years of age [capped at 240 mg], doxorubicin at a dose of 25 mg per square meter of body-surface area, vinblastine at a dose of 6 mg per square meter, and dacarbazine at a dose of 375 mg per square meter) or BV+AVD (brentuximab vedotin at a dose of 1.2 mg per kilogram [capped at 100 kg], and AVD at the doses listed above) on days 1 and 15 of each 28-day cycle for six cycles.</w:t>
      </w:r>
    </w:p>
    <w:p w14:paraId="54695CD3" w14:textId="5A332967" w:rsidR="009527E0" w:rsidRPr="008C1502" w:rsidRDefault="00C955DB" w:rsidP="008C1502">
      <w:pPr>
        <w:pStyle w:val="3-BodyText"/>
      </w:pPr>
      <w:r w:rsidRPr="008C1502">
        <w:t>T</w:t>
      </w:r>
      <w:r w:rsidR="00446395" w:rsidRPr="008C1502">
        <w:t xml:space="preserve">he intention-to-treat group </w:t>
      </w:r>
      <w:r w:rsidRPr="008C1502">
        <w:t xml:space="preserve">comprised 970 patients </w:t>
      </w:r>
      <w:r w:rsidR="00446395" w:rsidRPr="008C1502">
        <w:t>(</w:t>
      </w:r>
      <w:r w:rsidR="00DE3E31" w:rsidRPr="008C1502">
        <w:t xml:space="preserve">487 vs 483). </w:t>
      </w:r>
    </w:p>
    <w:p w14:paraId="343C93EB" w14:textId="4032B6E9" w:rsidR="00DE3E31" w:rsidRPr="008C1502" w:rsidRDefault="00DE3E31" w:rsidP="008C1502">
      <w:pPr>
        <w:pStyle w:val="3-BodyText"/>
      </w:pPr>
      <w:r w:rsidRPr="008C1502">
        <w:t>After a median follow-up of 2.1 years (range</w:t>
      </w:r>
      <w:r w:rsidR="00333B9F" w:rsidRPr="008C1502">
        <w:t xml:space="preserve">: 0 to 4.2 years), the 2-year PFS was </w:t>
      </w:r>
      <w:r w:rsidR="00CD416C" w:rsidRPr="008C1502">
        <w:t>92% vs 83%; HR(PFS) = 0.</w:t>
      </w:r>
      <w:r w:rsidR="0008502C" w:rsidRPr="008C1502">
        <w:t xml:space="preserve">45 95% CI (0.30, 0.65). </w:t>
      </w:r>
      <w:r w:rsidR="00623279" w:rsidRPr="008C1502">
        <w:t>Deaths at 2 years were 7 vs 14 with OS 99% vs 98%.</w:t>
      </w:r>
    </w:p>
    <w:p w14:paraId="5074F81A" w14:textId="2DA54211" w:rsidR="001209BA" w:rsidRPr="008C1502" w:rsidRDefault="001209BA" w:rsidP="008C1502">
      <w:pPr>
        <w:pStyle w:val="3-BodyText"/>
      </w:pPr>
      <w:r w:rsidRPr="008C1502">
        <w:t xml:space="preserve">UpToDate </w:t>
      </w:r>
      <w:r w:rsidR="00854B85" w:rsidRPr="008C1502">
        <w:t>lists N+AVD as the preferred option for initial treatment</w:t>
      </w:r>
      <w:r w:rsidR="00BB7FBB" w:rsidRPr="008C1502">
        <w:t xml:space="preserve"> of Stage III/IV disease.</w:t>
      </w:r>
    </w:p>
    <w:p w14:paraId="4696742A" w14:textId="0DAA71C7" w:rsidR="004D077C" w:rsidRDefault="00EE7917" w:rsidP="008C1502">
      <w:pPr>
        <w:pStyle w:val="5-SubsectionSubheading"/>
      </w:pPr>
      <w:r>
        <w:t xml:space="preserve">Marketing approvals for </w:t>
      </w:r>
      <w:r w:rsidR="004D077C" w:rsidRPr="004D077C">
        <w:t>rare tissue types</w:t>
      </w:r>
    </w:p>
    <w:p w14:paraId="63C00556" w14:textId="29D69304" w:rsidR="00FD26E1" w:rsidRDefault="00C049E6" w:rsidP="008C1502">
      <w:pPr>
        <w:pStyle w:val="3-BodyText"/>
      </w:pPr>
      <w:r w:rsidRPr="00C049E6">
        <w:t>Nivolumab (±</w:t>
      </w:r>
      <w:r w:rsidR="0008660D">
        <w:t xml:space="preserve"> </w:t>
      </w:r>
      <w:r w:rsidRPr="00C049E6">
        <w:t xml:space="preserve">ipilimumab) does not have marketing approval for rare </w:t>
      </w:r>
      <w:r>
        <w:t>tissue types</w:t>
      </w:r>
      <w:r w:rsidRPr="00C049E6">
        <w:t>.</w:t>
      </w:r>
      <w:r>
        <w:t xml:space="preserve"> </w:t>
      </w:r>
      <w:r w:rsidR="00FA0EDE">
        <w:t xml:space="preserve">Some </w:t>
      </w:r>
      <w:r w:rsidR="008E3F02">
        <w:t xml:space="preserve">(but not all) </w:t>
      </w:r>
      <w:r w:rsidR="00FA0EDE">
        <w:t>of the</w:t>
      </w:r>
      <w:r w:rsidR="00A11E7D">
        <w:t xml:space="preserve">se </w:t>
      </w:r>
      <w:r w:rsidR="004F4F6C">
        <w:t xml:space="preserve">rare </w:t>
      </w:r>
      <w:r w:rsidR="00A11E7D">
        <w:t xml:space="preserve">tissue types are dMMR/MSI-H or TMB-H. </w:t>
      </w:r>
    </w:p>
    <w:p w14:paraId="54F6FF0A" w14:textId="2050E2E9" w:rsidR="009C3413" w:rsidRDefault="00DD6B9E" w:rsidP="00125690">
      <w:pPr>
        <w:pStyle w:val="3Bodytext"/>
        <w:ind w:left="720"/>
      </w:pPr>
      <w:r>
        <w:t xml:space="preserve">In Australia, pembrolizumab has </w:t>
      </w:r>
      <w:r w:rsidR="004F4F6C">
        <w:t xml:space="preserve">pan-tissue </w:t>
      </w:r>
      <w:r w:rsidR="00EA2593">
        <w:t xml:space="preserve">(i.e., tissue agnostic) </w:t>
      </w:r>
      <w:r w:rsidR="000A7DA2">
        <w:t>regula</w:t>
      </w:r>
      <w:r w:rsidR="000710CF">
        <w:t>tory</w:t>
      </w:r>
      <w:r w:rsidR="000A7DA2">
        <w:t xml:space="preserve"> </w:t>
      </w:r>
      <w:r>
        <w:t xml:space="preserve">marketing approval for </w:t>
      </w:r>
      <w:r w:rsidRPr="00DD6B9E">
        <w:t xml:space="preserve">dMMR/MSI-H </w:t>
      </w:r>
      <w:r w:rsidR="000A7DA2">
        <w:t>and</w:t>
      </w:r>
      <w:r w:rsidRPr="00DD6B9E">
        <w:t xml:space="preserve"> TMB-H </w:t>
      </w:r>
      <w:r>
        <w:t xml:space="preserve">tumours. </w:t>
      </w:r>
      <w:r w:rsidR="00B60E1D">
        <w:t>In the United States, d</w:t>
      </w:r>
      <w:r w:rsidR="00711555">
        <w:t xml:space="preserve">ostarlimab has </w:t>
      </w:r>
      <w:r w:rsidR="0000302D">
        <w:t xml:space="preserve">FDA </w:t>
      </w:r>
      <w:r w:rsidR="00EF168A">
        <w:t>pan-ti</w:t>
      </w:r>
      <w:r w:rsidR="004F4F6C">
        <w:t>s</w:t>
      </w:r>
      <w:r w:rsidR="00EF168A">
        <w:t xml:space="preserve">sue </w:t>
      </w:r>
      <w:r w:rsidR="006F585C" w:rsidRPr="006F585C">
        <w:t xml:space="preserve">accelerated </w:t>
      </w:r>
      <w:r w:rsidR="0000302D">
        <w:t xml:space="preserve">approval </w:t>
      </w:r>
      <w:r w:rsidR="00EF168A">
        <w:t>for dMMR</w:t>
      </w:r>
      <w:r w:rsidR="00994300">
        <w:t>/MSI-H</w:t>
      </w:r>
      <w:r w:rsidR="00EF168A">
        <w:t>.</w:t>
      </w:r>
    </w:p>
    <w:p w14:paraId="5952499E" w14:textId="398BDE92" w:rsidR="00230397" w:rsidRPr="004A2BF3" w:rsidRDefault="00230397" w:rsidP="00230397">
      <w:pPr>
        <w:pStyle w:val="3Bodytext"/>
        <w:numPr>
          <w:ilvl w:val="0"/>
          <w:numId w:val="46"/>
        </w:numPr>
      </w:pPr>
      <w:r>
        <w:t>Toripalimab was recommended at the Mar</w:t>
      </w:r>
      <w:r w:rsidR="000818FF">
        <w:t>ch 20</w:t>
      </w:r>
      <w:r>
        <w:t xml:space="preserve">25 PBAC meeting for NPC. </w:t>
      </w:r>
    </w:p>
    <w:p w14:paraId="2A10D8C7" w14:textId="77BFF8BF" w:rsidR="004F5750" w:rsidRDefault="00B74A44" w:rsidP="008C1502">
      <w:pPr>
        <w:pStyle w:val="5-SubsectionSubheading"/>
      </w:pPr>
      <w:r>
        <w:t>Genomic testing for MSI-H and TMB</w:t>
      </w:r>
    </w:p>
    <w:p w14:paraId="05E69AE1" w14:textId="77911C58" w:rsidR="00A33C61" w:rsidRPr="008C1502" w:rsidRDefault="00902F0A" w:rsidP="008C1502">
      <w:pPr>
        <w:pStyle w:val="3-BodyText"/>
      </w:pPr>
      <w:r w:rsidRPr="008C1502">
        <w:t xml:space="preserve">dMMR </w:t>
      </w:r>
      <w:r w:rsidR="006F3E91" w:rsidRPr="008C1502">
        <w:t xml:space="preserve">can be </w:t>
      </w:r>
      <w:r w:rsidR="00F524EE" w:rsidRPr="008C1502">
        <w:t xml:space="preserve">reasonably </w:t>
      </w:r>
      <w:r w:rsidR="006F3E91" w:rsidRPr="008C1502">
        <w:t xml:space="preserve">accurately detected via immune histochemistry </w:t>
      </w:r>
      <w:r w:rsidR="00EA742B" w:rsidRPr="008C1502">
        <w:t xml:space="preserve">(IHC) testing </w:t>
      </w:r>
      <w:r w:rsidRPr="008C1502">
        <w:t xml:space="preserve">and </w:t>
      </w:r>
      <w:r w:rsidR="00351B4F" w:rsidRPr="008C1502">
        <w:t xml:space="preserve">there is an MBS item </w:t>
      </w:r>
      <w:r w:rsidR="00C5290A" w:rsidRPr="008C1502">
        <w:t xml:space="preserve">for IHC </w:t>
      </w:r>
      <w:r w:rsidR="00351B4F" w:rsidRPr="008C1502">
        <w:t>that covers</w:t>
      </w:r>
      <w:r w:rsidRPr="008C1502">
        <w:t xml:space="preserve"> all tissue types</w:t>
      </w:r>
      <w:r w:rsidR="00C53524" w:rsidRPr="008C1502">
        <w:t xml:space="preserve">. </w:t>
      </w:r>
      <w:r w:rsidR="00F8539E" w:rsidRPr="008C1502">
        <w:t>IHC is sufficient in most cases; in a few cases (e.g., staining doesn’t work) genomic MSI</w:t>
      </w:r>
      <w:r w:rsidR="00F505E6" w:rsidRPr="008C1502">
        <w:t xml:space="preserve"> </w:t>
      </w:r>
      <w:r w:rsidR="00632C34" w:rsidRPr="008C1502">
        <w:t xml:space="preserve">testing </w:t>
      </w:r>
      <w:r w:rsidR="00F505E6" w:rsidRPr="008C1502">
        <w:t>is needed.</w:t>
      </w:r>
    </w:p>
    <w:p w14:paraId="53398712" w14:textId="0928B59A" w:rsidR="00007F63" w:rsidRPr="008C1502" w:rsidRDefault="006309C8" w:rsidP="008C1502">
      <w:pPr>
        <w:pStyle w:val="3-BodyText"/>
      </w:pPr>
      <w:r w:rsidRPr="008C1502">
        <w:lastRenderedPageBreak/>
        <w:t>TMB is different</w:t>
      </w:r>
      <w:r w:rsidR="007D4392" w:rsidRPr="008C1502">
        <w:t xml:space="preserve">: genomic testing </w:t>
      </w:r>
      <w:r w:rsidR="00264AB3" w:rsidRPr="008C1502">
        <w:t>is needed</w:t>
      </w:r>
      <w:r w:rsidR="00814963" w:rsidRPr="008C1502">
        <w:t>,</w:t>
      </w:r>
      <w:r w:rsidR="00264AB3" w:rsidRPr="008C1502">
        <w:t xml:space="preserve"> </w:t>
      </w:r>
      <w:r w:rsidR="007D4392" w:rsidRPr="008C1502">
        <w:t>for which there is currently no MBS item</w:t>
      </w:r>
      <w:r w:rsidR="00264AB3" w:rsidRPr="008C1502">
        <w:t>.</w:t>
      </w:r>
      <w:r w:rsidR="00290343" w:rsidRPr="008C1502">
        <w:t xml:space="preserve"> </w:t>
      </w:r>
      <w:r w:rsidR="00632C34" w:rsidRPr="008C1502">
        <w:t xml:space="preserve">Patients would have to access </w:t>
      </w:r>
      <w:r w:rsidR="00657303" w:rsidRPr="008C1502">
        <w:t xml:space="preserve">TMB testing </w:t>
      </w:r>
      <w:r w:rsidR="00007F63" w:rsidRPr="008C1502">
        <w:t xml:space="preserve">via referral to the CaSP program operated by </w:t>
      </w:r>
      <w:proofErr w:type="spellStart"/>
      <w:r w:rsidR="00007F63" w:rsidRPr="008C1502">
        <w:t>Omico</w:t>
      </w:r>
      <w:proofErr w:type="spellEnd"/>
      <w:r w:rsidR="00007F63" w:rsidRPr="008C1502">
        <w:t xml:space="preserve">, case by case </w:t>
      </w:r>
      <w:r w:rsidR="00A61920" w:rsidRPr="008C1502">
        <w:t xml:space="preserve">public </w:t>
      </w:r>
      <w:r w:rsidR="00007F63" w:rsidRPr="008C1502">
        <w:t>hospital funding, or private funding.</w:t>
      </w:r>
    </w:p>
    <w:p w14:paraId="6C0B9232" w14:textId="73C56984" w:rsidR="004F5750" w:rsidRDefault="007C71CD" w:rsidP="008C1502">
      <w:pPr>
        <w:pStyle w:val="3-BodyText"/>
      </w:pPr>
      <w:r w:rsidRPr="008C1502">
        <w:t xml:space="preserve">The Sponsor assumed that 90% of eligible patients would have IHC testing for dMMR. For TMB-H, the </w:t>
      </w:r>
      <w:r w:rsidR="00D6249F" w:rsidRPr="008C1502">
        <w:t xml:space="preserve">assumption was </w:t>
      </w:r>
      <w:r w:rsidR="009F63FE" w:rsidRPr="008C1502">
        <w:t>that</w:t>
      </w:r>
      <w:r w:rsidR="00A10152" w:rsidRPr="008C1502">
        <w:t xml:space="preserve"> 40% </w:t>
      </w:r>
      <w:r w:rsidR="00657F30" w:rsidRPr="008C1502">
        <w:t xml:space="preserve">of patients </w:t>
      </w:r>
      <w:r w:rsidR="009F63FE" w:rsidRPr="008C1502">
        <w:t xml:space="preserve">would be </w:t>
      </w:r>
      <w:r w:rsidR="00FD3410" w:rsidRPr="008C1502">
        <w:t xml:space="preserve">tested, either via </w:t>
      </w:r>
      <w:proofErr w:type="spellStart"/>
      <w:r w:rsidR="00FD3410" w:rsidRPr="008C1502">
        <w:t>Om</w:t>
      </w:r>
      <w:r w:rsidR="004046A8" w:rsidRPr="008C1502">
        <w:t>ico</w:t>
      </w:r>
      <w:proofErr w:type="spellEnd"/>
      <w:r w:rsidR="004046A8" w:rsidRPr="008C1502">
        <w:t>, public</w:t>
      </w:r>
      <w:r w:rsidR="00D658AF" w:rsidRPr="008C1502">
        <w:t>-</w:t>
      </w:r>
      <w:r w:rsidR="004046A8" w:rsidRPr="008C1502">
        <w:t>hospital funding, or self</w:t>
      </w:r>
      <w:r w:rsidR="00D658AF" w:rsidRPr="008C1502">
        <w:t>-</w:t>
      </w:r>
      <w:r w:rsidR="004046A8" w:rsidRPr="008C1502">
        <w:t>fund</w:t>
      </w:r>
      <w:r w:rsidR="009F63FE" w:rsidRPr="008C1502">
        <w:t>ing</w:t>
      </w:r>
      <w:r w:rsidR="004046A8" w:rsidRPr="008C1502">
        <w:t xml:space="preserve">. </w:t>
      </w:r>
    </w:p>
    <w:p w14:paraId="4C0D142D" w14:textId="77777777" w:rsidR="005A06B5" w:rsidRPr="00F91542" w:rsidRDefault="005A06B5" w:rsidP="00AE677C">
      <w:pPr>
        <w:pStyle w:val="4-SubsectionHeading"/>
      </w:pPr>
      <w:r w:rsidRPr="00F91542">
        <w:t>Sponsor hearing</w:t>
      </w:r>
    </w:p>
    <w:p w14:paraId="749BC056" w14:textId="2E088122" w:rsidR="005A06B5" w:rsidRPr="00F91542" w:rsidRDefault="005A06B5" w:rsidP="005A06B5">
      <w:pPr>
        <w:widowControl w:val="0"/>
        <w:numPr>
          <w:ilvl w:val="1"/>
          <w:numId w:val="1"/>
        </w:numPr>
        <w:spacing w:after="120"/>
        <w:rPr>
          <w:rFonts w:cs="Calibri"/>
          <w:bCs/>
          <w:snapToGrid w:val="0"/>
        </w:rPr>
      </w:pPr>
      <w:bookmarkStart w:id="9" w:name="_Hlk76382575"/>
      <w:r w:rsidRPr="00F91542">
        <w:rPr>
          <w:rFonts w:cs="Calibri"/>
          <w:bCs/>
          <w:snapToGrid w:val="0"/>
        </w:rPr>
        <w:t>There was no hearing for this item.</w:t>
      </w:r>
    </w:p>
    <w:bookmarkEnd w:id="9"/>
    <w:p w14:paraId="162E8EFE" w14:textId="1CA4E44A" w:rsidR="005A06B5" w:rsidRDefault="005A06B5" w:rsidP="003A7DE4">
      <w:pPr>
        <w:pStyle w:val="4-SubsectionHeading"/>
        <w:rPr>
          <w:snapToGrid w:val="0"/>
        </w:rPr>
      </w:pPr>
      <w:r w:rsidRPr="00525B39">
        <w:rPr>
          <w:snapToGrid w:val="0"/>
        </w:rPr>
        <w:t>Consumer comments</w:t>
      </w:r>
    </w:p>
    <w:p w14:paraId="4F1961D0" w14:textId="352A0186" w:rsidR="005A06B5" w:rsidRPr="00755185" w:rsidRDefault="00596995" w:rsidP="00D34CE9">
      <w:pPr>
        <w:pStyle w:val="3-BodyText"/>
        <w:rPr>
          <w:snapToGrid w:val="0"/>
        </w:rPr>
      </w:pPr>
      <w:r w:rsidRPr="00755185">
        <w:rPr>
          <w:snapToGrid w:val="0"/>
        </w:rPr>
        <w:t>The PBAC noted and welcomed the input from health care professionals (</w:t>
      </w:r>
      <w:r w:rsidR="00B749AA" w:rsidRPr="00755185">
        <w:rPr>
          <w:snapToGrid w:val="0"/>
        </w:rPr>
        <w:t>8</w:t>
      </w:r>
      <w:r w:rsidRPr="00755185">
        <w:rPr>
          <w:snapToGrid w:val="0"/>
        </w:rPr>
        <w:t xml:space="preserve">) and </w:t>
      </w:r>
      <w:r w:rsidR="00EA28C7" w:rsidRPr="00755185">
        <w:rPr>
          <w:snapToGrid w:val="0"/>
        </w:rPr>
        <w:t xml:space="preserve">clinical </w:t>
      </w:r>
      <w:r w:rsidRPr="00755185">
        <w:rPr>
          <w:snapToGrid w:val="0"/>
        </w:rPr>
        <w:t>organisations (</w:t>
      </w:r>
      <w:r w:rsidR="005B312A">
        <w:rPr>
          <w:snapToGrid w:val="0"/>
        </w:rPr>
        <w:t>3</w:t>
      </w:r>
      <w:r w:rsidR="00B749AA" w:rsidRPr="00755185">
        <w:rPr>
          <w:snapToGrid w:val="0"/>
        </w:rPr>
        <w:t>)</w:t>
      </w:r>
      <w:r w:rsidR="00783AB4" w:rsidRPr="00755185">
        <w:rPr>
          <w:snapToGrid w:val="0"/>
        </w:rPr>
        <w:t xml:space="preserve"> a</w:t>
      </w:r>
      <w:r w:rsidR="00EA28C7" w:rsidRPr="00755185">
        <w:rPr>
          <w:snapToGrid w:val="0"/>
        </w:rPr>
        <w:t>nd consumer representatives organisations (2)</w:t>
      </w:r>
      <w:r w:rsidR="00783AB4" w:rsidRPr="00755185">
        <w:rPr>
          <w:snapToGrid w:val="0"/>
        </w:rPr>
        <w:t>.</w:t>
      </w:r>
      <w:r w:rsidR="00755185" w:rsidRPr="00755185">
        <w:rPr>
          <w:snapToGrid w:val="0"/>
        </w:rPr>
        <w:t xml:space="preserve"> The PBAC noted input from medical oncologists </w:t>
      </w:r>
      <w:r w:rsidR="00FA43F4">
        <w:rPr>
          <w:snapToGrid w:val="0"/>
        </w:rPr>
        <w:t xml:space="preserve">and the clinical groups </w:t>
      </w:r>
      <w:r w:rsidR="00755185" w:rsidRPr="00755185">
        <w:rPr>
          <w:snapToGrid w:val="0"/>
        </w:rPr>
        <w:t>were broadly supportive for expanded listing of nivolumab and ipilimumab</w:t>
      </w:r>
      <w:r w:rsidR="00FA43F4">
        <w:rPr>
          <w:snapToGrid w:val="0"/>
        </w:rPr>
        <w:t>, particularly</w:t>
      </w:r>
      <w:r w:rsidR="00755185" w:rsidRPr="00755185">
        <w:rPr>
          <w:snapToGrid w:val="0"/>
        </w:rPr>
        <w:t xml:space="preserve"> where there is evidence of benefit in </w:t>
      </w:r>
      <w:r w:rsidR="00535CCC">
        <w:rPr>
          <w:snapToGrid w:val="0"/>
        </w:rPr>
        <w:t xml:space="preserve">the </w:t>
      </w:r>
      <w:r w:rsidR="00755185" w:rsidRPr="00755185">
        <w:rPr>
          <w:snapToGrid w:val="0"/>
        </w:rPr>
        <w:t xml:space="preserve">advanced/metastatic setting. </w:t>
      </w:r>
      <w:r w:rsidR="00761FDD">
        <w:rPr>
          <w:snapToGrid w:val="0"/>
        </w:rPr>
        <w:t xml:space="preserve">Consumer </w:t>
      </w:r>
      <w:r w:rsidR="00BE7D27">
        <w:rPr>
          <w:snapToGrid w:val="0"/>
        </w:rPr>
        <w:t>organisations</w:t>
      </w:r>
      <w:r w:rsidR="00761FDD">
        <w:rPr>
          <w:snapToGrid w:val="0"/>
        </w:rPr>
        <w:t xml:space="preserve"> noted the significant financial burden associated with treatment</w:t>
      </w:r>
      <w:r w:rsidR="00BE7D27">
        <w:rPr>
          <w:snapToGrid w:val="0"/>
        </w:rPr>
        <w:t xml:space="preserve"> and the perceived inequity of access across the existing PBS listed indications. </w:t>
      </w:r>
      <w:r w:rsidR="00755185" w:rsidRPr="00755185">
        <w:rPr>
          <w:snapToGrid w:val="0"/>
        </w:rPr>
        <w:t>Input highlighted the benefits of broader access for individuals with rare, advanced cancers, with examples of efficacy provided across a range of rare cancer types</w:t>
      </w:r>
      <w:r w:rsidR="00755185">
        <w:rPr>
          <w:snapToGrid w:val="0"/>
        </w:rPr>
        <w:t xml:space="preserve">. </w:t>
      </w:r>
      <w:r w:rsidR="00FA43F4">
        <w:rPr>
          <w:snapToGrid w:val="0"/>
        </w:rPr>
        <w:t xml:space="preserve">Some input noted the </w:t>
      </w:r>
      <w:r w:rsidR="00DF4324">
        <w:rPr>
          <w:snapToGrid w:val="0"/>
        </w:rPr>
        <w:t xml:space="preserve">importance of ensuring that </w:t>
      </w:r>
      <w:r w:rsidR="00F33C2D">
        <w:rPr>
          <w:snapToGrid w:val="0"/>
        </w:rPr>
        <w:t>utilisation</w:t>
      </w:r>
      <w:r w:rsidR="00DF4324">
        <w:rPr>
          <w:snapToGrid w:val="0"/>
        </w:rPr>
        <w:t xml:space="preserve"> occurred only in conditions for which there was evidence of efficacy</w:t>
      </w:r>
      <w:r w:rsidR="00F33C2D">
        <w:rPr>
          <w:snapToGrid w:val="0"/>
        </w:rPr>
        <w:t>.</w:t>
      </w:r>
      <w:r w:rsidR="00DF4324">
        <w:rPr>
          <w:snapToGrid w:val="0"/>
        </w:rPr>
        <w:t xml:space="preserve"> </w:t>
      </w:r>
      <w:r w:rsidR="00CC4B4C">
        <w:rPr>
          <w:snapToGrid w:val="0"/>
        </w:rPr>
        <w:t>H</w:t>
      </w:r>
      <w:r w:rsidR="00DF4324">
        <w:rPr>
          <w:snapToGrid w:val="0"/>
        </w:rPr>
        <w:t>owever</w:t>
      </w:r>
      <w:r w:rsidR="00F33C2D">
        <w:rPr>
          <w:snapToGrid w:val="0"/>
        </w:rPr>
        <w:t>,</w:t>
      </w:r>
      <w:r w:rsidR="00DF4324">
        <w:rPr>
          <w:snapToGrid w:val="0"/>
        </w:rPr>
        <w:t xml:space="preserve"> others highlighted that ongoing </w:t>
      </w:r>
      <w:r w:rsidR="00CC4B4C">
        <w:rPr>
          <w:snapToGrid w:val="0"/>
        </w:rPr>
        <w:t xml:space="preserve">treatment was unlikely to occur where there was no demonstrated </w:t>
      </w:r>
      <w:r w:rsidR="00972073">
        <w:rPr>
          <w:snapToGrid w:val="0"/>
        </w:rPr>
        <w:t xml:space="preserve">patient </w:t>
      </w:r>
      <w:r w:rsidR="00CC4B4C">
        <w:rPr>
          <w:snapToGrid w:val="0"/>
        </w:rPr>
        <w:t xml:space="preserve">response. </w:t>
      </w:r>
    </w:p>
    <w:p w14:paraId="1D53418B" w14:textId="622124B2" w:rsidR="00BB12B0" w:rsidRDefault="00BB12B0" w:rsidP="00BB12B0">
      <w:pPr>
        <w:pStyle w:val="5-SubsectionSubheading"/>
      </w:pPr>
      <w:r>
        <w:t>Quality Use of medicines</w:t>
      </w:r>
    </w:p>
    <w:p w14:paraId="3FC52A1B" w14:textId="3434AA8C" w:rsidR="00BB12B0" w:rsidRDefault="00BB12B0" w:rsidP="0027768F">
      <w:pPr>
        <w:pStyle w:val="3-BodyText"/>
      </w:pPr>
      <w:r>
        <w:t>In the pre-PBAC response, the sponsor noted</w:t>
      </w:r>
      <w:r w:rsidR="007D0194">
        <w:t xml:space="preserve"> the following</w:t>
      </w:r>
      <w:r>
        <w:t>:</w:t>
      </w:r>
    </w:p>
    <w:p w14:paraId="454340BB" w14:textId="0451BEE9" w:rsidR="00BB12B0" w:rsidRPr="007F3B72" w:rsidRDefault="007D0194" w:rsidP="0027768F">
      <w:pPr>
        <w:pStyle w:val="Default"/>
        <w:spacing w:after="120"/>
        <w:ind w:left="720"/>
        <w:jc w:val="both"/>
        <w:rPr>
          <w:rFonts w:asciiTheme="minorHAnsi" w:hAnsiTheme="minorHAnsi" w:cstheme="minorHAnsi"/>
        </w:rPr>
      </w:pPr>
      <w:r w:rsidRPr="007F3B72">
        <w:rPr>
          <w:rFonts w:asciiTheme="minorHAnsi" w:hAnsiTheme="minorHAnsi" w:cstheme="minorHAnsi"/>
        </w:rPr>
        <w:t>“</w:t>
      </w:r>
      <w:r w:rsidR="00BB12B0" w:rsidRPr="007F3B72">
        <w:rPr>
          <w:rFonts w:asciiTheme="minorHAnsi" w:hAnsiTheme="minorHAnsi" w:cstheme="minorHAnsi"/>
        </w:rPr>
        <w:t>Key to the careful and successful implementation of the proposed broad PBS listing will be education and QUM initiatives. If recommended, the Sponsor would seek to partner with key stakeholders (e.g. MOGA, oncology health care organisations, the PBAC &amp; Department) to develop and roll-out a range of educational and QUM activities that will aid Australian medical oncologists to optimally identify and manage patients with unresectable advanced/metastatic cancer. This could include, but is not limited to:</w:t>
      </w:r>
    </w:p>
    <w:p w14:paraId="40172578" w14:textId="77777777" w:rsidR="00BB12B0" w:rsidRPr="007F3B72" w:rsidRDefault="00BB12B0" w:rsidP="0027768F">
      <w:pPr>
        <w:pStyle w:val="Default"/>
        <w:numPr>
          <w:ilvl w:val="0"/>
          <w:numId w:val="53"/>
        </w:numPr>
        <w:spacing w:after="120"/>
        <w:ind w:left="1440"/>
        <w:jc w:val="both"/>
        <w:rPr>
          <w:rFonts w:asciiTheme="minorHAnsi" w:hAnsiTheme="minorHAnsi" w:cstheme="minorHAnsi"/>
        </w:rPr>
      </w:pPr>
      <w:r w:rsidRPr="007F3B72">
        <w:rPr>
          <w:rFonts w:asciiTheme="minorHAnsi" w:hAnsiTheme="minorHAnsi" w:cstheme="minorHAnsi"/>
        </w:rPr>
        <w:t>Educational sessions for medical oncologists run by clinical bodies (e.g. MOGA) prior to and immediately post PBS restriction change</w:t>
      </w:r>
    </w:p>
    <w:p w14:paraId="530536C6" w14:textId="77777777" w:rsidR="00BB12B0" w:rsidRPr="007F3B72" w:rsidRDefault="00BB12B0" w:rsidP="0027768F">
      <w:pPr>
        <w:pStyle w:val="Default"/>
        <w:numPr>
          <w:ilvl w:val="0"/>
          <w:numId w:val="53"/>
        </w:numPr>
        <w:spacing w:after="120"/>
        <w:ind w:left="1440"/>
        <w:jc w:val="both"/>
        <w:rPr>
          <w:rFonts w:asciiTheme="minorHAnsi" w:hAnsiTheme="minorHAnsi" w:cstheme="minorHAnsi"/>
        </w:rPr>
      </w:pPr>
      <w:r w:rsidRPr="007F3B72">
        <w:rPr>
          <w:rFonts w:asciiTheme="minorHAnsi" w:hAnsiTheme="minorHAnsi" w:cstheme="minorHAnsi"/>
        </w:rPr>
        <w:t>Educational sessions for oncology Health Care Organisations (HCOs) run by Rare Cancers Australia (RCA) prior to and immediately post PBS restriction change</w:t>
      </w:r>
    </w:p>
    <w:p w14:paraId="0A131D07" w14:textId="77777777" w:rsidR="00BB12B0" w:rsidRPr="007F3B72" w:rsidRDefault="00BB12B0" w:rsidP="0027768F">
      <w:pPr>
        <w:pStyle w:val="Default"/>
        <w:numPr>
          <w:ilvl w:val="0"/>
          <w:numId w:val="53"/>
        </w:numPr>
        <w:spacing w:after="120"/>
        <w:ind w:left="1440"/>
        <w:jc w:val="both"/>
        <w:rPr>
          <w:rFonts w:asciiTheme="minorHAnsi" w:hAnsiTheme="minorHAnsi" w:cstheme="minorHAnsi"/>
        </w:rPr>
      </w:pPr>
      <w:r w:rsidRPr="007F3B72">
        <w:rPr>
          <w:rFonts w:asciiTheme="minorHAnsi" w:hAnsiTheme="minorHAnsi" w:cstheme="minorHAnsi"/>
        </w:rPr>
        <w:t>Ongoing peer-to-peer Health Care Professionals (HCPs) education sessions – detailing learnings and experiences post PBS restriction change</w:t>
      </w:r>
    </w:p>
    <w:p w14:paraId="1A4D59E1" w14:textId="77777777" w:rsidR="00BB12B0" w:rsidRPr="007F3B72" w:rsidRDefault="00BB12B0" w:rsidP="0027768F">
      <w:pPr>
        <w:pStyle w:val="Default"/>
        <w:numPr>
          <w:ilvl w:val="0"/>
          <w:numId w:val="53"/>
        </w:numPr>
        <w:spacing w:after="120"/>
        <w:ind w:left="1440"/>
        <w:jc w:val="both"/>
        <w:rPr>
          <w:rFonts w:asciiTheme="minorHAnsi" w:hAnsiTheme="minorHAnsi" w:cstheme="minorHAnsi"/>
        </w:rPr>
      </w:pPr>
      <w:r w:rsidRPr="007F3B72">
        <w:rPr>
          <w:rFonts w:asciiTheme="minorHAnsi" w:hAnsiTheme="minorHAnsi" w:cstheme="minorHAnsi"/>
        </w:rPr>
        <w:lastRenderedPageBreak/>
        <w:t>BMS Medical Information resourcing to support HCPs off-label enquires, including sourcing of available evidence in the BMS database (data on file; BMS congress data and/or publications) and evidence from literature searches</w:t>
      </w:r>
    </w:p>
    <w:p w14:paraId="247DD964" w14:textId="77777777" w:rsidR="00BB12B0" w:rsidRPr="007F3B72" w:rsidRDefault="00BB12B0" w:rsidP="0027768F">
      <w:pPr>
        <w:pStyle w:val="Default"/>
        <w:numPr>
          <w:ilvl w:val="0"/>
          <w:numId w:val="53"/>
        </w:numPr>
        <w:spacing w:after="120"/>
        <w:ind w:left="1440"/>
        <w:jc w:val="both"/>
        <w:rPr>
          <w:rFonts w:asciiTheme="minorHAnsi" w:hAnsiTheme="minorHAnsi" w:cstheme="minorHAnsi"/>
          <w:u w:val="single"/>
        </w:rPr>
      </w:pPr>
      <w:r w:rsidRPr="007F3B72">
        <w:rPr>
          <w:rFonts w:asciiTheme="minorHAnsi" w:hAnsiTheme="minorHAnsi" w:cstheme="minorHAnsi"/>
        </w:rPr>
        <w:t xml:space="preserve">BMS Medical Affairs support for any off-label HCP enquires, including scientific exchange to enable evidence-based discussions on the efficacy and safety of NIVO and IPI, </w:t>
      </w:r>
      <w:r w:rsidRPr="007F3B72">
        <w:rPr>
          <w:rFonts w:asciiTheme="minorHAnsi" w:hAnsiTheme="minorHAnsi" w:cstheme="minorHAnsi"/>
          <w:u w:val="single"/>
        </w:rPr>
        <w:t>including where there is no activity in tumours</w:t>
      </w:r>
    </w:p>
    <w:p w14:paraId="0B09A434" w14:textId="77777777" w:rsidR="00BB12B0" w:rsidRPr="007F3B72" w:rsidRDefault="00BB12B0" w:rsidP="0027768F">
      <w:pPr>
        <w:pStyle w:val="Default"/>
        <w:spacing w:after="120"/>
        <w:ind w:left="720"/>
        <w:jc w:val="both"/>
        <w:rPr>
          <w:rFonts w:asciiTheme="minorHAnsi" w:hAnsiTheme="minorHAnsi" w:cstheme="minorHAnsi"/>
        </w:rPr>
      </w:pPr>
      <w:r w:rsidRPr="007F3B72">
        <w:rPr>
          <w:rFonts w:asciiTheme="minorHAnsi" w:hAnsiTheme="minorHAnsi" w:cstheme="minorHAnsi"/>
        </w:rPr>
        <w:t xml:space="preserve">These initiatives would occur in addition to the current QUM activities that the Sponsor undertakes to support the use of NIVO and IPI. </w:t>
      </w:r>
    </w:p>
    <w:p w14:paraId="0BED0E53" w14:textId="2444BE74" w:rsidR="00BB12B0" w:rsidRPr="007F3B72" w:rsidRDefault="00BB12B0" w:rsidP="0027768F">
      <w:pPr>
        <w:pStyle w:val="Default"/>
        <w:spacing w:after="120"/>
        <w:ind w:left="720"/>
        <w:jc w:val="both"/>
        <w:rPr>
          <w:rFonts w:asciiTheme="minorHAnsi" w:hAnsiTheme="minorHAnsi" w:cstheme="minorHAnsi"/>
        </w:rPr>
      </w:pPr>
      <w:r w:rsidRPr="007F3B72">
        <w:rPr>
          <w:rFonts w:asciiTheme="minorHAnsi" w:hAnsiTheme="minorHAnsi" w:cstheme="minorHAnsi"/>
        </w:rPr>
        <w:t>Furthermore, modifications to the PBS restriction wording may complement this QUM work. For example, the addition of a clinical criterion that specifies “</w:t>
      </w:r>
      <w:r w:rsidRPr="007F3B72">
        <w:rPr>
          <w:rFonts w:asciiTheme="minorHAnsi" w:hAnsiTheme="minorHAnsi" w:cstheme="minorHAnsi"/>
          <w:i/>
        </w:rPr>
        <w:t xml:space="preserve">Prescribing with this drug </w:t>
      </w:r>
      <w:r w:rsidRPr="007F3B72">
        <w:rPr>
          <w:rFonts w:asciiTheme="minorHAnsi" w:hAnsiTheme="minorHAnsi" w:cstheme="minorHAnsi"/>
          <w:i/>
          <w:iCs/>
        </w:rPr>
        <w:t>should</w:t>
      </w:r>
      <w:r w:rsidRPr="007F3B72">
        <w:rPr>
          <w:rFonts w:asciiTheme="minorHAnsi" w:hAnsiTheme="minorHAnsi" w:cstheme="minorHAnsi"/>
          <w:i/>
        </w:rPr>
        <w:t xml:space="preserve"> be informed by available clinical evidence and an assessment of the risk/benefit profile of treatment specific to each individual patient</w:t>
      </w:r>
      <w:r w:rsidRPr="007F3B72">
        <w:rPr>
          <w:rFonts w:asciiTheme="minorHAnsi" w:hAnsiTheme="minorHAnsi" w:cstheme="minorHAnsi"/>
        </w:rPr>
        <w:t>” would act as a prompt to drive evidence-based prescribing of NIVO and IPI for unresectable advanced/metastatic cancer.</w:t>
      </w:r>
      <w:r w:rsidR="007D0194" w:rsidRPr="007F3B72">
        <w:rPr>
          <w:rFonts w:asciiTheme="minorHAnsi" w:hAnsiTheme="minorHAnsi" w:cstheme="minorHAnsi"/>
        </w:rPr>
        <w:t>”</w:t>
      </w:r>
    </w:p>
    <w:p w14:paraId="229840BD" w14:textId="33DA9661" w:rsidR="003314D2" w:rsidRDefault="007072C9" w:rsidP="008C1502">
      <w:pPr>
        <w:pStyle w:val="2-SectionHeading"/>
      </w:pPr>
      <w:r>
        <w:t>Forecast PBS usage and financial implications</w:t>
      </w:r>
    </w:p>
    <w:p w14:paraId="117F0C09" w14:textId="39AD5EEA" w:rsidR="00F90D0F" w:rsidRPr="00F90D0F" w:rsidRDefault="00407345" w:rsidP="00DB2220">
      <w:pPr>
        <w:pStyle w:val="3-BodyText"/>
      </w:pPr>
      <w:r>
        <w:t xml:space="preserve">The </w:t>
      </w:r>
      <w:r w:rsidRPr="000D1D4F">
        <w:t>utilisation</w:t>
      </w:r>
      <w:r>
        <w:t xml:space="preserve"> and financial estimates </w:t>
      </w:r>
      <w:r w:rsidR="00F90833">
        <w:t>presented in the submission were examined by the Drug Utilisation S</w:t>
      </w:r>
      <w:r w:rsidR="003842C1">
        <w:t>ection</w:t>
      </w:r>
      <w:r w:rsidR="00F90833">
        <w:t>.</w:t>
      </w:r>
    </w:p>
    <w:p w14:paraId="5034E99D" w14:textId="1CE53129" w:rsidR="00E6304C" w:rsidRPr="00F90D0F" w:rsidRDefault="002C5025" w:rsidP="000818FF">
      <w:pPr>
        <w:pStyle w:val="3-BodyText"/>
      </w:pPr>
      <w:r w:rsidRPr="00DB2220">
        <w:t>The submission used a mixed model approach to estimate the financial implications associated with the proposed listings</w:t>
      </w:r>
      <w:r w:rsidR="00BC0850">
        <w:t xml:space="preserve">, including (1) </w:t>
      </w:r>
      <w:r w:rsidR="00BF6DC9">
        <w:t>current listings</w:t>
      </w:r>
      <w:r w:rsidR="00FE5C7D">
        <w:t xml:space="preserve">, (2) new proposed listings, (3) </w:t>
      </w:r>
      <w:r w:rsidR="00D96479">
        <w:t>retreatment and (4) rare cancers.</w:t>
      </w:r>
    </w:p>
    <w:p w14:paraId="7BD4302E" w14:textId="2C05808C" w:rsidR="00966BE6" w:rsidRPr="00BA5145" w:rsidRDefault="00BA5145" w:rsidP="00D85C07">
      <w:pPr>
        <w:pStyle w:val="5-SubsectionSubheading"/>
      </w:pPr>
      <w:r w:rsidRPr="00BA5145">
        <w:t>Current listings</w:t>
      </w:r>
    </w:p>
    <w:p w14:paraId="149DC2F8" w14:textId="7615816A" w:rsidR="00AD72B1" w:rsidRDefault="001F5E38" w:rsidP="00AE33FF">
      <w:pPr>
        <w:pStyle w:val="3-BodyText"/>
      </w:pPr>
      <w:r>
        <w:t>The financial estimates include</w:t>
      </w:r>
      <w:r w:rsidR="00AD72B1" w:rsidRPr="00F442A8">
        <w:t xml:space="preserve"> eight </w:t>
      </w:r>
      <w:r>
        <w:t xml:space="preserve">currently listed </w:t>
      </w:r>
      <w:r w:rsidR="00AD72B1" w:rsidRPr="00F442A8">
        <w:t xml:space="preserve">PBS indications for either </w:t>
      </w:r>
      <w:r w:rsidR="00AD72B1">
        <w:t>nivolumab</w:t>
      </w:r>
      <w:r w:rsidR="00AD72B1" w:rsidRPr="00F442A8">
        <w:t xml:space="preserve"> monotherapy, </w:t>
      </w:r>
      <w:r w:rsidR="00AD72B1">
        <w:t>nivolumab</w:t>
      </w:r>
      <w:r w:rsidR="00AD72B1" w:rsidRPr="00F442A8">
        <w:t xml:space="preserve"> in combination with </w:t>
      </w:r>
      <w:r w:rsidR="00AD72B1">
        <w:t>ipilimumab</w:t>
      </w:r>
      <w:r w:rsidR="00AD72B1" w:rsidRPr="00F442A8">
        <w:t xml:space="preserve">, </w:t>
      </w:r>
      <w:r w:rsidR="00AD72B1">
        <w:t>nivolumab</w:t>
      </w:r>
      <w:r w:rsidR="00AD72B1" w:rsidRPr="00F442A8">
        <w:t xml:space="preserve"> in combination with chemotherapy, or </w:t>
      </w:r>
      <w:r w:rsidR="00AD72B1">
        <w:t>ipilimumab</w:t>
      </w:r>
      <w:r w:rsidR="00AD72B1" w:rsidRPr="00F442A8">
        <w:t xml:space="preserve"> monotherapy. </w:t>
      </w:r>
      <w:r w:rsidR="00AD72B1">
        <w:t>The submission</w:t>
      </w:r>
      <w:r w:rsidR="00AD72B1" w:rsidRPr="00F442A8">
        <w:t xml:space="preserve"> present</w:t>
      </w:r>
      <w:r w:rsidR="00AD72B1">
        <w:t>s</w:t>
      </w:r>
      <w:r w:rsidR="00AD72B1" w:rsidRPr="00F442A8">
        <w:t xml:space="preserve"> projections </w:t>
      </w:r>
      <w:r w:rsidR="00433A8C">
        <w:t>of</w:t>
      </w:r>
      <w:r w:rsidR="00AD72B1" w:rsidRPr="00F442A8">
        <w:t xml:space="preserve"> the current expenditure</w:t>
      </w:r>
      <w:r w:rsidR="00824438">
        <w:t xml:space="preserve"> </w:t>
      </w:r>
      <w:r w:rsidR="00D5219C">
        <w:t>based on the</w:t>
      </w:r>
      <w:r w:rsidR="00824438">
        <w:t xml:space="preserve"> PBS data provided by the Drug Utilisation Section to the sponsor. </w:t>
      </w:r>
      <w:r w:rsidR="00AD72B1" w:rsidRPr="00F442A8">
        <w:t xml:space="preserve">Among the listings, </w:t>
      </w:r>
      <w:r w:rsidR="00AD72B1">
        <w:t>the submission</w:t>
      </w:r>
      <w:r w:rsidR="00AD72B1" w:rsidRPr="00F442A8">
        <w:t xml:space="preserve"> assume</w:t>
      </w:r>
      <w:r w:rsidR="00AD72B1">
        <w:t>s</w:t>
      </w:r>
      <w:r w:rsidR="00AD72B1" w:rsidRPr="00F442A8">
        <w:t xml:space="preserve"> a 15% annual reduction for 2L NSCLC and 2L SCCHN. Other indications were projected based on linear growth</w:t>
      </w:r>
      <w:r w:rsidR="00CE66C9">
        <w:t>.</w:t>
      </w:r>
      <w:r w:rsidR="00AD72B1" w:rsidRPr="00F442A8">
        <w:t xml:space="preserve"> </w:t>
      </w:r>
    </w:p>
    <w:p w14:paraId="492B09F6" w14:textId="591940DD" w:rsidR="00BD77C6" w:rsidRPr="00BD77C6" w:rsidRDefault="00BD77C6" w:rsidP="00D85C07">
      <w:pPr>
        <w:pStyle w:val="5-SubsectionSubheading"/>
      </w:pPr>
      <w:r w:rsidRPr="00BD77C6">
        <w:t>New proposed listings</w:t>
      </w:r>
    </w:p>
    <w:p w14:paraId="3DA63253" w14:textId="4FFE9B31" w:rsidR="00E538E7" w:rsidRPr="00F442A8" w:rsidRDefault="00E538E7" w:rsidP="00324BB5">
      <w:pPr>
        <w:pStyle w:val="3-BodyText"/>
      </w:pPr>
      <w:r w:rsidRPr="00F442A8">
        <w:t xml:space="preserve">There are nine future indications in the proposal </w:t>
      </w:r>
      <w:r w:rsidR="005A33B9">
        <w:t xml:space="preserve">and of these, </w:t>
      </w:r>
      <w:r w:rsidRPr="00F442A8">
        <w:t xml:space="preserve">seven </w:t>
      </w:r>
      <w:r w:rsidR="000F14C9">
        <w:t xml:space="preserve">new </w:t>
      </w:r>
      <w:r w:rsidRPr="00F442A8">
        <w:t xml:space="preserve">epidemiological models </w:t>
      </w:r>
      <w:r w:rsidR="005A33B9">
        <w:t xml:space="preserve">are </w:t>
      </w:r>
      <w:r w:rsidRPr="00F442A8">
        <w:t>presented in this submission.</w:t>
      </w:r>
      <w:r w:rsidR="00324BB5">
        <w:t xml:space="preserve"> </w:t>
      </w:r>
      <w:r w:rsidR="00764FF0">
        <w:t xml:space="preserve"> The two remaining indications </w:t>
      </w:r>
      <w:r w:rsidR="00B412C9">
        <w:t xml:space="preserve">including first-line metastatic urothelial cancer and </w:t>
      </w:r>
      <w:r w:rsidR="005E5E11">
        <w:t>first-line oesophageal squamous cell carcinoma</w:t>
      </w:r>
      <w:r w:rsidR="00723ECA">
        <w:t xml:space="preserve">, </w:t>
      </w:r>
      <w:r w:rsidR="004D7691">
        <w:t xml:space="preserve">use </w:t>
      </w:r>
      <w:r w:rsidR="000E0691">
        <w:t xml:space="preserve">previously agreed </w:t>
      </w:r>
      <w:r w:rsidR="00EA4DFE">
        <w:t xml:space="preserve">financial estimates based on the November 2024 and </w:t>
      </w:r>
      <w:r w:rsidR="00FF18FB">
        <w:t xml:space="preserve">March 2023 PBAC recommendations, respectively. </w:t>
      </w:r>
      <w:r w:rsidR="007115A1">
        <w:t>The Drug Utilisation Section</w:t>
      </w:r>
      <w:r w:rsidRPr="00F442A8">
        <w:t xml:space="preserve"> </w:t>
      </w:r>
      <w:r w:rsidR="007115A1">
        <w:t>examined</w:t>
      </w:r>
      <w:r w:rsidRPr="00F442A8">
        <w:t xml:space="preserve"> the structure of the epidemiological models and offered feedback </w:t>
      </w:r>
      <w:r w:rsidR="00254207">
        <w:t xml:space="preserve">to the sponsor </w:t>
      </w:r>
      <w:r w:rsidRPr="00F442A8">
        <w:t>at the pre-submission stage.</w:t>
      </w:r>
      <w:r w:rsidR="00254207">
        <w:t xml:space="preserve"> </w:t>
      </w:r>
      <w:r w:rsidR="0040152E">
        <w:t xml:space="preserve">Overall, </w:t>
      </w:r>
      <w:r w:rsidR="002E25A7">
        <w:t xml:space="preserve">the structure of the </w:t>
      </w:r>
      <w:r w:rsidR="00712323">
        <w:t xml:space="preserve">epidemiological models was considered reasonable and </w:t>
      </w:r>
      <w:r w:rsidR="002B2F9E">
        <w:t>re</w:t>
      </w:r>
      <w:r w:rsidR="00D03DDF">
        <w:t xml:space="preserve">levant </w:t>
      </w:r>
      <w:r w:rsidR="001D1F37">
        <w:t>suggested changes</w:t>
      </w:r>
      <w:r w:rsidR="000C37F8">
        <w:t xml:space="preserve"> were addressed by the sponsor</w:t>
      </w:r>
      <w:r w:rsidRPr="00F442A8">
        <w:t xml:space="preserve">. </w:t>
      </w:r>
    </w:p>
    <w:p w14:paraId="2BE57FC2" w14:textId="6FFC74C1" w:rsidR="00E538E7" w:rsidRPr="00F442A8" w:rsidRDefault="00E538E7" w:rsidP="00F1642F">
      <w:pPr>
        <w:pStyle w:val="3-BodyText"/>
        <w:numPr>
          <w:ilvl w:val="0"/>
          <w:numId w:val="0"/>
        </w:numPr>
        <w:ind w:left="720"/>
      </w:pPr>
      <w:r w:rsidRPr="00F442A8">
        <w:lastRenderedPageBreak/>
        <w:t xml:space="preserve">Eligible patients for </w:t>
      </w:r>
      <w:r w:rsidR="00F1642F">
        <w:t xml:space="preserve">each </w:t>
      </w:r>
      <w:r w:rsidRPr="00F442A8">
        <w:t>indication are predominantly derived based on the product of</w:t>
      </w:r>
      <w:r w:rsidR="000562FB">
        <w:t xml:space="preserve"> the</w:t>
      </w:r>
      <w:r w:rsidRPr="00F442A8">
        <w:t xml:space="preserve"> </w:t>
      </w:r>
      <w:r w:rsidR="00CE03F1">
        <w:t>incidence data for the populations sourced from the Australian Institute of Health and Welfare (</w:t>
      </w:r>
      <w:r w:rsidRPr="00F442A8">
        <w:t>AIHW</w:t>
      </w:r>
      <w:r w:rsidR="00CE03F1">
        <w:t>)</w:t>
      </w:r>
      <w:r w:rsidRPr="00F442A8">
        <w:t xml:space="preserve"> populations</w:t>
      </w:r>
      <w:r w:rsidR="001956B7">
        <w:t xml:space="preserve">, </w:t>
      </w:r>
      <w:r w:rsidR="0067400A">
        <w:t>assumptions for the eligibility criteria for each listing</w:t>
      </w:r>
      <w:r w:rsidRPr="00F442A8">
        <w:t xml:space="preserve">, </w:t>
      </w:r>
      <w:r w:rsidR="00BD371D">
        <w:t xml:space="preserve">treatment uptake assumptions and </w:t>
      </w:r>
      <w:r w:rsidR="0040491F">
        <w:t>market share assumptions</w:t>
      </w:r>
      <w:r w:rsidRPr="00F442A8">
        <w:t xml:space="preserve">. </w:t>
      </w:r>
      <w:r w:rsidR="0058338D">
        <w:t>T</w:t>
      </w:r>
      <w:r w:rsidRPr="00F442A8">
        <w:t xml:space="preserve">he derivation of these cohorts are arithmetically appropriate. </w:t>
      </w:r>
    </w:p>
    <w:p w14:paraId="1E63001C" w14:textId="27B021EF" w:rsidR="00E538E7" w:rsidRPr="00F442A8" w:rsidRDefault="00E538E7" w:rsidP="00B7637C">
      <w:pPr>
        <w:pStyle w:val="3-BodyText"/>
      </w:pPr>
      <w:r w:rsidRPr="00F442A8">
        <w:t xml:space="preserve">It was noted that some indications require multiple dose regimens. </w:t>
      </w:r>
      <w:r w:rsidR="00E11129">
        <w:t>The s</w:t>
      </w:r>
      <w:r w:rsidRPr="00F442A8">
        <w:t xml:space="preserve">ponsor </w:t>
      </w:r>
      <w:r w:rsidR="00E11129">
        <w:t xml:space="preserve">has </w:t>
      </w:r>
      <w:r w:rsidRPr="00F442A8">
        <w:t xml:space="preserve">presented a simplified single dose approach. The </w:t>
      </w:r>
      <w:r w:rsidR="00970D3A">
        <w:t>s</w:t>
      </w:r>
      <w:r w:rsidRPr="00F442A8">
        <w:t xml:space="preserve">ponsor </w:t>
      </w:r>
      <w:r w:rsidR="00970D3A">
        <w:t>states</w:t>
      </w:r>
      <w:r w:rsidRPr="00F442A8">
        <w:t xml:space="preserve"> that </w:t>
      </w:r>
      <w:r w:rsidR="00285658">
        <w:t xml:space="preserve">the </w:t>
      </w:r>
      <w:r w:rsidRPr="00F442A8">
        <w:t xml:space="preserve">dosing regimens were calculated by using the mean </w:t>
      </w:r>
      <w:r w:rsidR="007629D3">
        <w:t xml:space="preserve">duration of treatment </w:t>
      </w:r>
      <w:r w:rsidRPr="00F442A8">
        <w:t xml:space="preserve">from </w:t>
      </w:r>
      <w:r w:rsidR="007629D3">
        <w:t xml:space="preserve">the </w:t>
      </w:r>
      <w:r w:rsidRPr="00F442A8">
        <w:t>pivotal trials divided by a pre-specified dose. It is unclear how the pre-specified doses were determined</w:t>
      </w:r>
      <w:r w:rsidR="00582D8D">
        <w:t xml:space="preserve"> and whether varying th</w:t>
      </w:r>
      <w:r w:rsidR="00E576FA">
        <w:t>e dosing assumptions would have a s</w:t>
      </w:r>
      <w:r w:rsidR="0005073D">
        <w:t xml:space="preserve">ignificant </w:t>
      </w:r>
      <w:r w:rsidRPr="00F442A8">
        <w:t xml:space="preserve">impact on the overall cost on the PBS/RPBS and </w:t>
      </w:r>
      <w:r w:rsidR="005064DC">
        <w:t xml:space="preserve">on </w:t>
      </w:r>
      <w:r w:rsidRPr="00F442A8">
        <w:t>the administration cost</w:t>
      </w:r>
      <w:r w:rsidR="00457515">
        <w:t>s</w:t>
      </w:r>
      <w:r w:rsidRPr="00F442A8">
        <w:t xml:space="preserve"> </w:t>
      </w:r>
      <w:r w:rsidR="00457515">
        <w:t>for the</w:t>
      </w:r>
      <w:r w:rsidRPr="00F442A8">
        <w:t xml:space="preserve"> MBS. </w:t>
      </w:r>
    </w:p>
    <w:p w14:paraId="5707E25A" w14:textId="5CC41CFF" w:rsidR="00E538E7" w:rsidRPr="00F442A8" w:rsidRDefault="00E538E7" w:rsidP="00B7637C">
      <w:pPr>
        <w:pStyle w:val="3-BodyText"/>
      </w:pPr>
      <w:r w:rsidRPr="00F442A8">
        <w:t xml:space="preserve">It is understood that many of the current comparators </w:t>
      </w:r>
      <w:r w:rsidR="00BE32D9">
        <w:t xml:space="preserve">for the proposed new listings </w:t>
      </w:r>
      <w:r w:rsidRPr="00F442A8">
        <w:t xml:space="preserve">are watchful waiting or chemotherapy. In </w:t>
      </w:r>
      <w:r w:rsidR="00886739">
        <w:t>the December 2023</w:t>
      </w:r>
      <w:r w:rsidRPr="00F442A8">
        <w:t xml:space="preserve"> submission, </w:t>
      </w:r>
      <w:r w:rsidR="00886739">
        <w:t>the s</w:t>
      </w:r>
      <w:r w:rsidRPr="00F442A8">
        <w:t>ponsor proposed that other immunotherapy or targeted therapy may also be replaced by the proposed listings.</w:t>
      </w:r>
      <w:r w:rsidR="0006766B">
        <w:t xml:space="preserve"> </w:t>
      </w:r>
    </w:p>
    <w:p w14:paraId="262034F9" w14:textId="7D27E820" w:rsidR="00D96479" w:rsidRDefault="00D96479" w:rsidP="003E1214">
      <w:pPr>
        <w:pStyle w:val="3-BodyText"/>
        <w:numPr>
          <w:ilvl w:val="0"/>
          <w:numId w:val="0"/>
        </w:numPr>
      </w:pPr>
    </w:p>
    <w:p w14:paraId="5430CDA1" w14:textId="641B3FA0" w:rsidR="003E1214" w:rsidRPr="00F226F7" w:rsidRDefault="003E1214" w:rsidP="00D85C07">
      <w:pPr>
        <w:pStyle w:val="5-SubsectionSubheading"/>
        <w:rPr>
          <w:rFonts w:eastAsia="Times New Roman" w:cs="Arial"/>
          <w:snapToGrid w:val="0"/>
        </w:rPr>
      </w:pPr>
      <w:r w:rsidRPr="003E1214">
        <w:rPr>
          <w:snapToGrid w:val="0"/>
        </w:rPr>
        <w:t>Ret</w:t>
      </w:r>
      <w:r w:rsidRPr="00F226F7">
        <w:rPr>
          <w:rFonts w:eastAsia="Times New Roman" w:cs="Arial"/>
          <w:snapToGrid w:val="0"/>
        </w:rPr>
        <w:t>reatment</w:t>
      </w:r>
    </w:p>
    <w:p w14:paraId="22830699" w14:textId="2A42C8B7" w:rsidR="003E1214" w:rsidRPr="007C64A1" w:rsidRDefault="004700EE" w:rsidP="00DA1997">
      <w:pPr>
        <w:pStyle w:val="3-BodyText"/>
      </w:pPr>
      <w:r w:rsidRPr="007C64A1">
        <w:t xml:space="preserve">The submission </w:t>
      </w:r>
      <w:r w:rsidR="007C64A1" w:rsidRPr="007C64A1">
        <w:t>estimates the impact of additional services for retreatment for eight indications (</w:t>
      </w:r>
      <w:r w:rsidR="00572BCF">
        <w:t xml:space="preserve">melanoma, NSCLC, </w:t>
      </w:r>
      <w:r w:rsidR="00A2621D">
        <w:t xml:space="preserve">RCC, </w:t>
      </w:r>
      <w:r w:rsidR="00DF6F28">
        <w:t xml:space="preserve">gastro-oesophageal cancers, </w:t>
      </w:r>
      <w:r w:rsidR="0016236E">
        <w:t xml:space="preserve">urothelial carcinoma, </w:t>
      </w:r>
      <w:r w:rsidR="00596DFB">
        <w:t xml:space="preserve">CRC, </w:t>
      </w:r>
      <w:r w:rsidR="001D7817">
        <w:t>SCCHN</w:t>
      </w:r>
      <w:r w:rsidR="00D92A02">
        <w:t xml:space="preserve"> and HCC</w:t>
      </w:r>
      <w:r w:rsidR="005E7100">
        <w:t>)</w:t>
      </w:r>
      <w:r w:rsidR="00D92A02">
        <w:t xml:space="preserve">. </w:t>
      </w:r>
    </w:p>
    <w:p w14:paraId="5DB623F7" w14:textId="22F35CE9" w:rsidR="00107690" w:rsidRDefault="002436F0" w:rsidP="00BB259C">
      <w:pPr>
        <w:pStyle w:val="3-BodyText"/>
      </w:pPr>
      <w:r w:rsidRPr="00BB259C">
        <w:t xml:space="preserve">The Drug Utilisation Section examined the structure of the </w:t>
      </w:r>
      <w:r w:rsidR="00EC5199" w:rsidRPr="00BB259C">
        <w:t xml:space="preserve">retreatment </w:t>
      </w:r>
      <w:r w:rsidRPr="00BB259C">
        <w:t xml:space="preserve">model and provided feedback to the </w:t>
      </w:r>
      <w:r w:rsidR="001F14B2" w:rsidRPr="00BB259C">
        <w:t>s</w:t>
      </w:r>
      <w:r w:rsidRPr="00BB259C">
        <w:t>ponsor at the pre-submission stage</w:t>
      </w:r>
      <w:r w:rsidR="002A7578" w:rsidRPr="00BB259C">
        <w:t xml:space="preserve"> which was considered</w:t>
      </w:r>
      <w:r w:rsidRPr="00BB259C">
        <w:t xml:space="preserve"> in </w:t>
      </w:r>
      <w:r w:rsidR="002A7578" w:rsidRPr="00BB259C">
        <w:t xml:space="preserve">preparing the financial estimates for </w:t>
      </w:r>
      <w:r w:rsidRPr="00BB259C">
        <w:t xml:space="preserve">the submission </w:t>
      </w:r>
      <w:r w:rsidR="00AE77EF" w:rsidRPr="00BB259C">
        <w:t>(refer to</w:t>
      </w:r>
      <w:r w:rsidRPr="00BB259C">
        <w:t xml:space="preserve"> Table 14</w:t>
      </w:r>
      <w:r w:rsidR="00AE77EF" w:rsidRPr="00BB259C">
        <w:t xml:space="preserve"> of the submission). </w:t>
      </w:r>
      <w:r w:rsidR="73B6CC01">
        <w:t xml:space="preserve">The eligible patients for retreatment were </w:t>
      </w:r>
      <w:r w:rsidR="6172F8A6">
        <w:t>primarily</w:t>
      </w:r>
      <w:r w:rsidR="73B6CC01">
        <w:t xml:space="preserve"> derived </w:t>
      </w:r>
      <w:r w:rsidR="4B3CA27C">
        <w:t>from</w:t>
      </w:r>
      <w:r w:rsidR="239E94AD">
        <w:t xml:space="preserve"> either</w:t>
      </w:r>
      <w:r w:rsidR="4B3CA27C">
        <w:t xml:space="preserve"> the most recent PBS service data or </w:t>
      </w:r>
      <w:r w:rsidR="548ADC32">
        <w:t xml:space="preserve">the first year estimates from various </w:t>
      </w:r>
      <w:r w:rsidR="4B3CA27C">
        <w:t>clinical trial</w:t>
      </w:r>
      <w:r w:rsidR="0A084A0B">
        <w:t>s</w:t>
      </w:r>
      <w:r w:rsidR="4B3CA27C">
        <w:t xml:space="preserve">. </w:t>
      </w:r>
      <w:r w:rsidR="06343C27">
        <w:t>T</w:t>
      </w:r>
      <w:r w:rsidR="4B3CA27C">
        <w:t>he</w:t>
      </w:r>
      <w:r w:rsidR="00B072E9">
        <w:t xml:space="preserve"> submission</w:t>
      </w:r>
      <w:r w:rsidR="1FC7A660">
        <w:t xml:space="preserve"> </w:t>
      </w:r>
      <w:r w:rsidR="060228ED">
        <w:t xml:space="preserve">projected </w:t>
      </w:r>
      <w:r w:rsidR="1FC7A660">
        <w:t xml:space="preserve">a consistent retreatment population across the six </w:t>
      </w:r>
      <w:r w:rsidR="273ED10B">
        <w:t xml:space="preserve">years </w:t>
      </w:r>
      <w:r w:rsidR="75E8CAFC">
        <w:t>of the</w:t>
      </w:r>
      <w:r w:rsidR="00B072E9">
        <w:t xml:space="preserve"> </w:t>
      </w:r>
      <w:r w:rsidR="1FC7A660">
        <w:t xml:space="preserve">forward estimates. </w:t>
      </w:r>
      <w:r w:rsidR="06343C27">
        <w:t xml:space="preserve">  </w:t>
      </w:r>
    </w:p>
    <w:p w14:paraId="2086EF73" w14:textId="66573AFA" w:rsidR="002436F0" w:rsidRPr="00100D85" w:rsidRDefault="27D2350D" w:rsidP="00BB259C">
      <w:pPr>
        <w:pStyle w:val="3-BodyText"/>
      </w:pPr>
      <w:r w:rsidRPr="00100D85">
        <w:t xml:space="preserve">The </w:t>
      </w:r>
      <w:r w:rsidR="00C45F19" w:rsidRPr="00100D85">
        <w:t>Secretariat</w:t>
      </w:r>
      <w:r w:rsidRPr="00100D85">
        <w:t xml:space="preserve"> </w:t>
      </w:r>
      <w:r w:rsidR="1762C1FF" w:rsidRPr="00100D85">
        <w:t xml:space="preserve">noted that </w:t>
      </w:r>
      <w:r w:rsidR="734C6CCC" w:rsidRPr="00100D85">
        <w:t>the submission</w:t>
      </w:r>
      <w:r w:rsidR="1762C1FF" w:rsidRPr="00100D85">
        <w:t xml:space="preserve"> </w:t>
      </w:r>
      <w:r w:rsidR="485E655B" w:rsidRPr="00100D85">
        <w:t>included</w:t>
      </w:r>
      <w:r w:rsidR="060E35F2" w:rsidRPr="00100D85">
        <w:t xml:space="preserve"> clinical trial data for</w:t>
      </w:r>
      <w:r w:rsidR="6749D51E" w:rsidRPr="00100D85">
        <w:t xml:space="preserve"> </w:t>
      </w:r>
      <w:r w:rsidR="479CD9A0" w:rsidRPr="00100D85">
        <w:t>RCC,</w:t>
      </w:r>
      <w:r w:rsidR="4F96CAD0" w:rsidRPr="00100D85">
        <w:t xml:space="preserve"> CRC, SCCHN and HCC</w:t>
      </w:r>
      <w:r w:rsidR="72EF8238" w:rsidRPr="00100D85">
        <w:t xml:space="preserve"> to derive the </w:t>
      </w:r>
      <w:r w:rsidR="39CFC6A0" w:rsidRPr="00100D85">
        <w:t>re</w:t>
      </w:r>
      <w:r w:rsidR="3953BC0B" w:rsidRPr="00100D85">
        <w:t xml:space="preserve">treatment cohort. </w:t>
      </w:r>
      <w:r w:rsidR="0F3E647A" w:rsidRPr="00100D85">
        <w:t>However, the associated indication</w:t>
      </w:r>
      <w:r w:rsidR="006E1368" w:rsidRPr="00100D85">
        <w:t>s</w:t>
      </w:r>
      <w:r w:rsidR="0F3E647A" w:rsidRPr="00100D85">
        <w:t xml:space="preserve"> </w:t>
      </w:r>
      <w:r w:rsidR="6FBEE2DD" w:rsidRPr="00100D85">
        <w:t>are not</w:t>
      </w:r>
      <w:r w:rsidR="6299877E" w:rsidRPr="00100D85">
        <w:t xml:space="preserve"> PBS-listed</w:t>
      </w:r>
      <w:r w:rsidR="392DEDA7" w:rsidRPr="00100D85">
        <w:t xml:space="preserve">. </w:t>
      </w:r>
      <w:r w:rsidR="5A4BA4D7" w:rsidRPr="00100D85">
        <w:t xml:space="preserve">Including these indications in the estimates contributes </w:t>
      </w:r>
      <w:r w:rsidR="1D75D14B" w:rsidRPr="00100D85">
        <w:t>approximately</w:t>
      </w:r>
      <w:r w:rsidR="7766735B" w:rsidRPr="00100D85">
        <w:t xml:space="preserve"> 50% of the treatable </w:t>
      </w:r>
      <w:r w:rsidR="2B3AE4BC" w:rsidRPr="00100D85">
        <w:t xml:space="preserve">retreatment </w:t>
      </w:r>
      <w:r w:rsidR="7766735B" w:rsidRPr="00100D85">
        <w:t xml:space="preserve">cohort. </w:t>
      </w:r>
    </w:p>
    <w:p w14:paraId="34B48A02" w14:textId="5D6A55BE" w:rsidR="000F70E6" w:rsidRPr="00F442A8" w:rsidRDefault="00F104A2" w:rsidP="00FD02BD">
      <w:pPr>
        <w:pStyle w:val="3-BodyText"/>
        <w:rPr>
          <w:rFonts w:cs="Calibri"/>
        </w:rPr>
      </w:pPr>
      <w:r>
        <w:rPr>
          <w:rFonts w:cs="Calibri"/>
        </w:rPr>
        <w:t>The Drug Utilisation Section</w:t>
      </w:r>
      <w:r w:rsidR="000F70E6" w:rsidRPr="00F442A8">
        <w:rPr>
          <w:rFonts w:cs="Calibri"/>
        </w:rPr>
        <w:t xml:space="preserve"> noted that </w:t>
      </w:r>
      <w:r>
        <w:rPr>
          <w:rFonts w:cs="Calibri"/>
        </w:rPr>
        <w:t>n</w:t>
      </w:r>
      <w:r w:rsidR="000F70E6" w:rsidRPr="00F442A8">
        <w:rPr>
          <w:rFonts w:cs="Calibri"/>
        </w:rPr>
        <w:t xml:space="preserve">ivolumab was only listed for NSCLC and </w:t>
      </w:r>
      <w:r w:rsidR="00114793">
        <w:rPr>
          <w:rFonts w:cs="Calibri"/>
        </w:rPr>
        <w:t>u</w:t>
      </w:r>
      <w:r w:rsidR="000F70E6" w:rsidRPr="00F442A8">
        <w:rPr>
          <w:rFonts w:cs="Calibri"/>
        </w:rPr>
        <w:t xml:space="preserve">rothelial carcinoma in August 2024. </w:t>
      </w:r>
      <w:r w:rsidR="00ED506E">
        <w:rPr>
          <w:rFonts w:cs="Calibri"/>
        </w:rPr>
        <w:t>The submission</w:t>
      </w:r>
      <w:r w:rsidR="000F70E6" w:rsidRPr="00F442A8">
        <w:rPr>
          <w:rFonts w:cs="Calibri"/>
        </w:rPr>
        <w:t xml:space="preserve"> estimated the service volumes for these indications using service volumes for A</w:t>
      </w:r>
      <w:r w:rsidR="041432FB" w:rsidRPr="00F442A8">
        <w:rPr>
          <w:rFonts w:cs="Calibri"/>
        </w:rPr>
        <w:t>ugust</w:t>
      </w:r>
      <w:r w:rsidR="000F70E6" w:rsidRPr="00F442A8">
        <w:rPr>
          <w:rFonts w:cs="Calibri"/>
        </w:rPr>
        <w:t xml:space="preserve"> </w:t>
      </w:r>
      <w:r w:rsidR="00F46C64">
        <w:rPr>
          <w:rFonts w:cs="Calibri"/>
        </w:rPr>
        <w:t>20</w:t>
      </w:r>
      <w:r w:rsidR="000F70E6" w:rsidRPr="00F442A8">
        <w:rPr>
          <w:rFonts w:cs="Calibri"/>
        </w:rPr>
        <w:t xml:space="preserve">24 – March </w:t>
      </w:r>
      <w:r w:rsidR="00F46C64">
        <w:rPr>
          <w:rFonts w:cs="Calibri"/>
        </w:rPr>
        <w:t>20</w:t>
      </w:r>
      <w:r w:rsidR="000F70E6" w:rsidRPr="00F442A8">
        <w:rPr>
          <w:rFonts w:cs="Calibri"/>
        </w:rPr>
        <w:t xml:space="preserve">25, then </w:t>
      </w:r>
      <w:r w:rsidR="00DF47CE">
        <w:rPr>
          <w:rFonts w:cs="Calibri"/>
        </w:rPr>
        <w:t xml:space="preserve">divided by </w:t>
      </w:r>
      <w:r w:rsidR="001E19C4">
        <w:rPr>
          <w:rFonts w:cs="Calibri"/>
        </w:rPr>
        <w:t xml:space="preserve">eight </w:t>
      </w:r>
      <w:r w:rsidR="350B1825">
        <w:rPr>
          <w:rFonts w:cs="Calibri"/>
        </w:rPr>
        <w:t>multiplied</w:t>
      </w:r>
      <w:r w:rsidR="00A56C71">
        <w:rPr>
          <w:rFonts w:cs="Calibri"/>
        </w:rPr>
        <w:t xml:space="preserve"> </w:t>
      </w:r>
      <w:r w:rsidR="00EC2651">
        <w:rPr>
          <w:rFonts w:cs="Calibri"/>
        </w:rPr>
        <w:t>by 12</w:t>
      </w:r>
      <w:r w:rsidR="000F70E6" w:rsidRPr="00F442A8">
        <w:rPr>
          <w:rFonts w:cs="Calibri"/>
        </w:rPr>
        <w:t xml:space="preserve"> to give a full year and then multiplied by </w:t>
      </w:r>
      <w:r w:rsidR="00C546A7" w:rsidRPr="00C546A7">
        <w:rPr>
          <w:rFonts w:cs="Calibri"/>
          <w:color w:val="000000"/>
          <w:w w:val="61"/>
          <w:shd w:val="solid" w:color="000000" w:fill="000000"/>
          <w:fitText w:val="472" w:id="-628400627"/>
          <w14:textFill>
            <w14:solidFill>
              <w14:srgbClr w14:val="000000">
                <w14:alpha w14:val="100000"/>
              </w14:srgbClr>
            </w14:solidFill>
          </w14:textFill>
        </w:rPr>
        <w:t>|||  ||</w:t>
      </w:r>
      <w:r w:rsidR="00C546A7" w:rsidRPr="00C546A7">
        <w:rPr>
          <w:rFonts w:cs="Calibri"/>
          <w:color w:val="000000"/>
          <w:spacing w:val="2"/>
          <w:w w:val="61"/>
          <w:shd w:val="solid" w:color="000000" w:fill="000000"/>
          <w:fitText w:val="472" w:id="-628400627"/>
          <w14:textFill>
            <w14:solidFill>
              <w14:srgbClr w14:val="000000">
                <w14:alpha w14:val="100000"/>
              </w14:srgbClr>
            </w14:solidFill>
          </w14:textFill>
        </w:rPr>
        <w:t>|</w:t>
      </w:r>
      <w:r w:rsidR="000F70E6" w:rsidRPr="00F442A8">
        <w:rPr>
          <w:rFonts w:cs="Calibri"/>
        </w:rPr>
        <w:t xml:space="preserve">% to reflect the estimated services once implemented into clinical practice. </w:t>
      </w:r>
      <w:r w:rsidR="009420FF">
        <w:rPr>
          <w:rFonts w:cs="Calibri"/>
        </w:rPr>
        <w:t xml:space="preserve">The submission </w:t>
      </w:r>
      <w:r w:rsidR="000F7779">
        <w:rPr>
          <w:rFonts w:cs="Calibri"/>
        </w:rPr>
        <w:t>considered that as</w:t>
      </w:r>
      <w:r w:rsidR="000F70E6" w:rsidRPr="00F442A8">
        <w:rPr>
          <w:rFonts w:cs="Calibri"/>
        </w:rPr>
        <w:t xml:space="preserve"> the utilisation </w:t>
      </w:r>
      <w:r w:rsidR="000F7779">
        <w:rPr>
          <w:rFonts w:cs="Calibri"/>
        </w:rPr>
        <w:t xml:space="preserve">had not reached </w:t>
      </w:r>
      <w:r w:rsidR="000F70E6" w:rsidRPr="00F442A8">
        <w:rPr>
          <w:rFonts w:cs="Calibri"/>
        </w:rPr>
        <w:t xml:space="preserve">a steady peak, </w:t>
      </w:r>
      <w:r w:rsidR="000A60C1">
        <w:rPr>
          <w:rFonts w:cs="Calibri"/>
        </w:rPr>
        <w:t xml:space="preserve">it was necessary for </w:t>
      </w:r>
      <w:r w:rsidR="000F70E6" w:rsidRPr="00F442A8">
        <w:rPr>
          <w:rFonts w:cs="Calibri"/>
        </w:rPr>
        <w:t xml:space="preserve">the prescription volumes </w:t>
      </w:r>
      <w:r w:rsidR="004A1BC8">
        <w:rPr>
          <w:rFonts w:cs="Calibri"/>
        </w:rPr>
        <w:t>to be</w:t>
      </w:r>
      <w:r w:rsidR="000F70E6" w:rsidRPr="00F442A8">
        <w:rPr>
          <w:rFonts w:cs="Calibri"/>
        </w:rPr>
        <w:t xml:space="preserve"> artificially inflated to reach estimated peak values. </w:t>
      </w:r>
      <w:r w:rsidR="00563102">
        <w:rPr>
          <w:rFonts w:cs="Calibri"/>
        </w:rPr>
        <w:t>The Drug Utilisation Section</w:t>
      </w:r>
      <w:r w:rsidR="000F70E6" w:rsidRPr="00F442A8">
        <w:rPr>
          <w:rFonts w:cs="Calibri"/>
        </w:rPr>
        <w:t xml:space="preserve"> compared the </w:t>
      </w:r>
      <w:r w:rsidR="006D2022">
        <w:rPr>
          <w:rFonts w:cs="Calibri"/>
        </w:rPr>
        <w:t>submission</w:t>
      </w:r>
      <w:r w:rsidR="008E298D">
        <w:rPr>
          <w:rFonts w:cs="Calibri"/>
        </w:rPr>
        <w:t xml:space="preserve">’s forecast to the </w:t>
      </w:r>
      <w:r w:rsidR="00CF6123">
        <w:rPr>
          <w:rFonts w:cs="Calibri"/>
        </w:rPr>
        <w:t>fina</w:t>
      </w:r>
      <w:r w:rsidR="00C0362B">
        <w:rPr>
          <w:rFonts w:cs="Calibri"/>
        </w:rPr>
        <w:t>ncial estimates agreed with the Department of Finance</w:t>
      </w:r>
      <w:r w:rsidR="00BB11E3">
        <w:rPr>
          <w:rFonts w:cs="Calibri"/>
        </w:rPr>
        <w:t xml:space="preserve">, noting </w:t>
      </w:r>
      <w:r w:rsidR="00FA1D35">
        <w:rPr>
          <w:rFonts w:cs="Calibri"/>
        </w:rPr>
        <w:t>that the submission’s estimates are within the previously agreed</w:t>
      </w:r>
      <w:r w:rsidR="000F70E6" w:rsidRPr="00F442A8">
        <w:rPr>
          <w:rFonts w:cs="Calibri"/>
        </w:rPr>
        <w:t xml:space="preserve"> </w:t>
      </w:r>
      <w:r w:rsidR="00AC2D32">
        <w:rPr>
          <w:rFonts w:cs="Calibri"/>
        </w:rPr>
        <w:t xml:space="preserve">estimates (see </w:t>
      </w:r>
      <w:r w:rsidR="00B54E36">
        <w:rPr>
          <w:rFonts w:cs="Calibri"/>
        </w:rPr>
        <w:fldChar w:fldCharType="begin" w:fldLock="1"/>
      </w:r>
      <w:r w:rsidR="00B54E36">
        <w:rPr>
          <w:rFonts w:cs="Calibri"/>
        </w:rPr>
        <w:instrText xml:space="preserve"> REF _Ref201000618 \h </w:instrText>
      </w:r>
      <w:r w:rsidR="00B54E36">
        <w:rPr>
          <w:rFonts w:cs="Calibri"/>
        </w:rPr>
      </w:r>
      <w:r w:rsidR="00B54E36">
        <w:rPr>
          <w:rFonts w:cs="Calibri"/>
        </w:rPr>
        <w:fldChar w:fldCharType="separate"/>
      </w:r>
      <w:r w:rsidR="006228A5">
        <w:t xml:space="preserve">Table </w:t>
      </w:r>
      <w:r w:rsidR="006228A5">
        <w:rPr>
          <w:noProof/>
        </w:rPr>
        <w:t>9</w:t>
      </w:r>
      <w:r w:rsidR="00B54E36">
        <w:rPr>
          <w:rFonts w:cs="Calibri"/>
        </w:rPr>
        <w:fldChar w:fldCharType="end"/>
      </w:r>
      <w:r w:rsidR="00AC2D32">
        <w:rPr>
          <w:rFonts w:cs="Calibri"/>
        </w:rPr>
        <w:t xml:space="preserve">). </w:t>
      </w:r>
    </w:p>
    <w:p w14:paraId="550161E5" w14:textId="77777777" w:rsidR="000F70E6" w:rsidRPr="007C64A1" w:rsidRDefault="000F70E6" w:rsidP="003E1214">
      <w:pPr>
        <w:pStyle w:val="3-BodyText"/>
        <w:numPr>
          <w:ilvl w:val="0"/>
          <w:numId w:val="0"/>
        </w:numPr>
      </w:pPr>
    </w:p>
    <w:p w14:paraId="22F5F467" w14:textId="31E058A3" w:rsidR="00B54E36" w:rsidRPr="00A81D44" w:rsidRDefault="00B54E36" w:rsidP="00D85C07">
      <w:pPr>
        <w:pStyle w:val="Caption"/>
        <w:keepNext/>
        <w:rPr>
          <w:szCs w:val="20"/>
        </w:rPr>
      </w:pPr>
      <w:bookmarkStart w:id="10" w:name="_Ref201000618"/>
      <w:r w:rsidRPr="00A81D44">
        <w:rPr>
          <w:szCs w:val="20"/>
        </w:rPr>
        <w:t xml:space="preserve">Table </w:t>
      </w:r>
      <w:r w:rsidRPr="00A81D44">
        <w:rPr>
          <w:szCs w:val="20"/>
        </w:rPr>
        <w:fldChar w:fldCharType="begin" w:fldLock="1"/>
      </w:r>
      <w:r w:rsidRPr="00A81D44">
        <w:rPr>
          <w:szCs w:val="20"/>
        </w:rPr>
        <w:instrText xml:space="preserve"> SEQ Table \* ARABIC </w:instrText>
      </w:r>
      <w:r w:rsidRPr="00A81D44">
        <w:rPr>
          <w:szCs w:val="20"/>
        </w:rPr>
        <w:fldChar w:fldCharType="separate"/>
      </w:r>
      <w:r w:rsidR="006228A5" w:rsidRPr="00A81D44">
        <w:rPr>
          <w:noProof/>
          <w:szCs w:val="20"/>
        </w:rPr>
        <w:t>9</w:t>
      </w:r>
      <w:r w:rsidRPr="00A81D44">
        <w:rPr>
          <w:szCs w:val="20"/>
        </w:rPr>
        <w:fldChar w:fldCharType="end"/>
      </w:r>
      <w:bookmarkEnd w:id="10"/>
      <w:r w:rsidRPr="00A81D44">
        <w:rPr>
          <w:szCs w:val="20"/>
        </w:rPr>
        <w:t xml:space="preserve">: Number of </w:t>
      </w:r>
      <w:r w:rsidR="00F009D8" w:rsidRPr="00A81D44">
        <w:rPr>
          <w:szCs w:val="20"/>
        </w:rPr>
        <w:t xml:space="preserve">nivolumab </w:t>
      </w:r>
      <w:r w:rsidRPr="00A81D44">
        <w:rPr>
          <w:szCs w:val="20"/>
        </w:rPr>
        <w:t>prescriptions for NSCLC and urothelial cancer estimated for 2026 based on the previously agreed financial estimates model versus the submission forecast</w:t>
      </w:r>
    </w:p>
    <w:tbl>
      <w:tblPr>
        <w:tblStyle w:val="TableGrid"/>
        <w:tblW w:w="5000" w:type="pct"/>
        <w:tblLook w:val="04A0" w:firstRow="1" w:lastRow="0" w:firstColumn="1" w:lastColumn="0" w:noHBand="0" w:noVBand="1"/>
        <w:tblCaption w:val="Table 9: Number of nivolumab prescriptions for NSCLC and urothelial cancer estimated for 2026 based on the previously agreed financial estimates model versus the submission forecast"/>
      </w:tblPr>
      <w:tblGrid>
        <w:gridCol w:w="3173"/>
        <w:gridCol w:w="2855"/>
        <w:gridCol w:w="2988"/>
      </w:tblGrid>
      <w:tr w:rsidR="00B46772" w:rsidRPr="00A81D44" w14:paraId="7F2C2BDE" w14:textId="77777777" w:rsidTr="00C36284">
        <w:tc>
          <w:tcPr>
            <w:tcW w:w="1759" w:type="pct"/>
          </w:tcPr>
          <w:p w14:paraId="6502CDBC" w14:textId="77777777" w:rsidR="00B46772" w:rsidRPr="00A81D44" w:rsidRDefault="00B46772" w:rsidP="000D352B">
            <w:pPr>
              <w:rPr>
                <w:rFonts w:ascii="Arial Narrow" w:hAnsi="Arial Narrow" w:cs="Calibri"/>
                <w:b/>
                <w:sz w:val="20"/>
                <w:szCs w:val="20"/>
              </w:rPr>
            </w:pPr>
            <w:r w:rsidRPr="00A81D44">
              <w:rPr>
                <w:rFonts w:ascii="Arial Narrow" w:hAnsi="Arial Narrow" w:cs="Calibri"/>
                <w:b/>
                <w:sz w:val="20"/>
                <w:szCs w:val="20"/>
              </w:rPr>
              <w:t>Indication</w:t>
            </w:r>
          </w:p>
        </w:tc>
        <w:tc>
          <w:tcPr>
            <w:tcW w:w="1583" w:type="pct"/>
          </w:tcPr>
          <w:p w14:paraId="379B8235" w14:textId="77777777" w:rsidR="00B46772" w:rsidRPr="00A81D44" w:rsidRDefault="00B46772" w:rsidP="000D352B">
            <w:pPr>
              <w:rPr>
                <w:rFonts w:ascii="Arial Narrow" w:hAnsi="Arial Narrow" w:cs="Calibri"/>
                <w:b/>
                <w:sz w:val="20"/>
                <w:szCs w:val="20"/>
              </w:rPr>
            </w:pPr>
            <w:r w:rsidRPr="00A81D44">
              <w:rPr>
                <w:rFonts w:ascii="Arial Narrow" w:hAnsi="Arial Narrow" w:cs="Calibri"/>
                <w:b/>
                <w:sz w:val="20"/>
                <w:szCs w:val="20"/>
              </w:rPr>
              <w:t xml:space="preserve">Submission estimated </w:t>
            </w:r>
          </w:p>
        </w:tc>
        <w:tc>
          <w:tcPr>
            <w:tcW w:w="1657" w:type="pct"/>
          </w:tcPr>
          <w:p w14:paraId="63DF0E15" w14:textId="77777777" w:rsidR="00B46772" w:rsidRPr="00A81D44" w:rsidRDefault="00B46772" w:rsidP="000D352B">
            <w:pPr>
              <w:rPr>
                <w:rFonts w:ascii="Arial Narrow" w:hAnsi="Arial Narrow" w:cs="Calibri"/>
                <w:b/>
                <w:sz w:val="20"/>
                <w:szCs w:val="20"/>
              </w:rPr>
            </w:pPr>
            <w:r w:rsidRPr="00A81D44">
              <w:rPr>
                <w:rFonts w:ascii="Arial Narrow" w:hAnsi="Arial Narrow" w:cs="Calibri"/>
                <w:b/>
                <w:sz w:val="20"/>
                <w:szCs w:val="20"/>
              </w:rPr>
              <w:t>Department estimated at listing (2026)</w:t>
            </w:r>
          </w:p>
        </w:tc>
      </w:tr>
      <w:tr w:rsidR="00B46772" w:rsidRPr="00A81D44" w14:paraId="071712E4" w14:textId="77777777" w:rsidTr="00C36284">
        <w:tc>
          <w:tcPr>
            <w:tcW w:w="1759" w:type="pct"/>
          </w:tcPr>
          <w:p w14:paraId="5C9BE799" w14:textId="77777777" w:rsidR="00B46772" w:rsidRPr="00A81D44" w:rsidRDefault="00B46772" w:rsidP="000D352B">
            <w:pPr>
              <w:rPr>
                <w:rFonts w:ascii="Arial Narrow" w:hAnsi="Arial Narrow" w:cs="Calibri"/>
                <w:sz w:val="20"/>
                <w:szCs w:val="20"/>
              </w:rPr>
            </w:pPr>
            <w:r w:rsidRPr="00A81D44">
              <w:rPr>
                <w:rFonts w:ascii="Arial Narrow" w:hAnsi="Arial Narrow" w:cs="Calibri"/>
                <w:sz w:val="20"/>
                <w:szCs w:val="20"/>
              </w:rPr>
              <w:t>NSCLC</w:t>
            </w:r>
          </w:p>
        </w:tc>
        <w:tc>
          <w:tcPr>
            <w:tcW w:w="1583" w:type="pct"/>
          </w:tcPr>
          <w:p w14:paraId="6410AD79" w14:textId="5A174185" w:rsidR="00B46772" w:rsidRPr="00C546A7" w:rsidRDefault="00C546A7" w:rsidP="000D352B">
            <w:pPr>
              <w:rPr>
                <w:rFonts w:ascii="Arial Narrow" w:hAnsi="Arial Narrow" w:cs="Calibri"/>
                <w:sz w:val="20"/>
                <w:szCs w:val="20"/>
                <w:vertAlign w:val="superscript"/>
              </w:rPr>
            </w:pPr>
            <w:r w:rsidRPr="00C546A7">
              <w:rPr>
                <w:rFonts w:ascii="Arial Narrow" w:hAnsi="Arial Narrow" w:cs="Calibri"/>
                <w:color w:val="000000"/>
                <w:spacing w:val="8"/>
                <w:sz w:val="20"/>
                <w:szCs w:val="20"/>
                <w:shd w:val="solid" w:color="000000" w:fill="000000"/>
                <w:fitText w:val="304" w:id="-628400626"/>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26"/>
                <w14:textFill>
                  <w14:solidFill>
                    <w14:srgbClr w14:val="000000">
                      <w14:alpha w14:val="100000"/>
                    </w14:srgbClr>
                  </w14:solidFill>
                </w14:textFill>
              </w:rPr>
              <w:t>|</w:t>
            </w:r>
            <w:r w:rsidR="00EF75B7" w:rsidRPr="00A81D44">
              <w:rPr>
                <w:rFonts w:ascii="Arial Narrow" w:hAnsi="Arial Narrow" w:cs="Calibri"/>
                <w:sz w:val="20"/>
                <w:szCs w:val="20"/>
              </w:rPr>
              <w:t>*</w:t>
            </w:r>
            <w:r w:rsidR="003B4462">
              <w:rPr>
                <w:rFonts w:ascii="Arial Narrow" w:hAnsi="Arial Narrow" w:cs="Calibri"/>
                <w:sz w:val="20"/>
                <w:szCs w:val="20"/>
                <w:vertAlign w:val="superscript"/>
              </w:rPr>
              <w:t>1</w:t>
            </w:r>
          </w:p>
        </w:tc>
        <w:tc>
          <w:tcPr>
            <w:tcW w:w="1657" w:type="pct"/>
          </w:tcPr>
          <w:p w14:paraId="6EDBF370" w14:textId="407811D2" w:rsidR="00B46772" w:rsidRPr="0025656E" w:rsidRDefault="00C546A7" w:rsidP="000D352B">
            <w:pPr>
              <w:rPr>
                <w:rFonts w:ascii="Arial Narrow" w:hAnsi="Arial Narrow" w:cs="Calibri"/>
                <w:sz w:val="20"/>
                <w:szCs w:val="20"/>
              </w:rPr>
            </w:pPr>
            <w:r w:rsidRPr="00C546A7">
              <w:rPr>
                <w:rFonts w:ascii="Arial Narrow" w:hAnsi="Arial Narrow" w:cs="Calibri"/>
                <w:color w:val="000000"/>
                <w:spacing w:val="8"/>
                <w:sz w:val="20"/>
                <w:szCs w:val="20"/>
                <w:shd w:val="solid" w:color="000000" w:fill="000000"/>
                <w:fitText w:val="304" w:id="-628400625"/>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25"/>
                <w14:textFill>
                  <w14:solidFill>
                    <w14:srgbClr w14:val="000000">
                      <w14:alpha w14:val="100000"/>
                    </w14:srgbClr>
                  </w14:solidFill>
                </w14:textFill>
              </w:rPr>
              <w:t>|</w:t>
            </w:r>
            <w:r w:rsidR="004A416B">
              <w:rPr>
                <w:rFonts w:ascii="Arial Narrow" w:hAnsi="Arial Narrow" w:cs="Calibri"/>
                <w:sz w:val="20"/>
                <w:szCs w:val="20"/>
                <w:vertAlign w:val="superscript"/>
              </w:rPr>
              <w:t>1</w:t>
            </w:r>
          </w:p>
        </w:tc>
      </w:tr>
      <w:tr w:rsidR="00B46772" w:rsidRPr="00A81D44" w14:paraId="0C7AFAE1" w14:textId="77777777" w:rsidTr="00C36284">
        <w:tc>
          <w:tcPr>
            <w:tcW w:w="1759" w:type="pct"/>
          </w:tcPr>
          <w:p w14:paraId="1B3C6A68" w14:textId="77777777" w:rsidR="00B46772" w:rsidRPr="00A81D44" w:rsidRDefault="00B46772" w:rsidP="000D352B">
            <w:pPr>
              <w:rPr>
                <w:rFonts w:ascii="Arial Narrow" w:hAnsi="Arial Narrow" w:cs="Calibri"/>
                <w:sz w:val="20"/>
                <w:szCs w:val="20"/>
              </w:rPr>
            </w:pPr>
            <w:r w:rsidRPr="00A81D44">
              <w:rPr>
                <w:rFonts w:ascii="Arial Narrow" w:hAnsi="Arial Narrow" w:cs="Calibri"/>
                <w:sz w:val="20"/>
                <w:szCs w:val="20"/>
              </w:rPr>
              <w:t>Urothelial carcinoma</w:t>
            </w:r>
          </w:p>
        </w:tc>
        <w:tc>
          <w:tcPr>
            <w:tcW w:w="1583" w:type="pct"/>
          </w:tcPr>
          <w:p w14:paraId="77CAC662" w14:textId="47C10898" w:rsidR="00B46772" w:rsidRPr="00C546A7" w:rsidRDefault="00C546A7" w:rsidP="000D352B">
            <w:pPr>
              <w:rPr>
                <w:rFonts w:ascii="Arial Narrow" w:hAnsi="Arial Narrow" w:cs="Calibri"/>
                <w:sz w:val="20"/>
                <w:szCs w:val="20"/>
                <w:vertAlign w:val="superscript"/>
              </w:rPr>
            </w:pPr>
            <w:r w:rsidRPr="00C546A7">
              <w:rPr>
                <w:rFonts w:ascii="Arial Narrow" w:hAnsi="Arial Narrow" w:cs="Calibri"/>
                <w:color w:val="000000"/>
                <w:spacing w:val="8"/>
                <w:sz w:val="20"/>
                <w:szCs w:val="20"/>
                <w:shd w:val="solid" w:color="000000" w:fill="000000"/>
                <w:fitText w:val="304" w:id="-628400624"/>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24"/>
                <w14:textFill>
                  <w14:solidFill>
                    <w14:srgbClr w14:val="000000">
                      <w14:alpha w14:val="100000"/>
                    </w14:srgbClr>
                  </w14:solidFill>
                </w14:textFill>
              </w:rPr>
              <w:t>|</w:t>
            </w:r>
            <w:r w:rsidR="003B4462">
              <w:rPr>
                <w:rFonts w:ascii="Arial Narrow" w:hAnsi="Arial Narrow" w:cs="Calibri"/>
                <w:sz w:val="20"/>
                <w:szCs w:val="20"/>
                <w:vertAlign w:val="superscript"/>
              </w:rPr>
              <w:t>1</w:t>
            </w:r>
          </w:p>
        </w:tc>
        <w:tc>
          <w:tcPr>
            <w:tcW w:w="1657" w:type="pct"/>
          </w:tcPr>
          <w:p w14:paraId="39299D0E" w14:textId="3E696D90" w:rsidR="00B46772" w:rsidRPr="004A416B" w:rsidRDefault="00C546A7" w:rsidP="000D352B">
            <w:pPr>
              <w:rPr>
                <w:rFonts w:ascii="Arial Narrow" w:hAnsi="Arial Narrow" w:cs="Calibri"/>
                <w:sz w:val="20"/>
                <w:szCs w:val="20"/>
                <w:vertAlign w:val="superscript"/>
              </w:rPr>
            </w:pPr>
            <w:r w:rsidRPr="00C546A7">
              <w:rPr>
                <w:rFonts w:ascii="Arial Narrow" w:hAnsi="Arial Narrow" w:cs="Calibri"/>
                <w:color w:val="000000"/>
                <w:spacing w:val="8"/>
                <w:sz w:val="20"/>
                <w:szCs w:val="20"/>
                <w:shd w:val="solid" w:color="000000" w:fill="000000"/>
                <w:fitText w:val="304" w:id="-628400640"/>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40"/>
                <w14:textFill>
                  <w14:solidFill>
                    <w14:srgbClr w14:val="000000">
                      <w14:alpha w14:val="100000"/>
                    </w14:srgbClr>
                  </w14:solidFill>
                </w14:textFill>
              </w:rPr>
              <w:t>|</w:t>
            </w:r>
            <w:r w:rsidR="004A416B">
              <w:rPr>
                <w:rFonts w:ascii="Arial Narrow" w:hAnsi="Arial Narrow" w:cs="Calibri"/>
                <w:sz w:val="20"/>
                <w:szCs w:val="20"/>
                <w:vertAlign w:val="superscript"/>
              </w:rPr>
              <w:t>1</w:t>
            </w:r>
          </w:p>
        </w:tc>
      </w:tr>
    </w:tbl>
    <w:p w14:paraId="6AB55151" w14:textId="732BD1DF" w:rsidR="00CC4037" w:rsidRPr="00CC4037" w:rsidRDefault="00F009D8" w:rsidP="00CC4037">
      <w:pPr>
        <w:pStyle w:val="TableFigureFooter"/>
        <w:jc w:val="left"/>
        <w:rPr>
          <w:i/>
          <w:iCs/>
        </w:rPr>
      </w:pPr>
      <w:r>
        <w:t>*</w:t>
      </w:r>
      <w:r w:rsidR="00A621AA">
        <w:t xml:space="preserve">The </w:t>
      </w:r>
      <w:r>
        <w:t>sponsor also included an atezolizumab component for the retreatment</w:t>
      </w:r>
    </w:p>
    <w:p w14:paraId="1977E34D" w14:textId="77777777" w:rsidR="00CC4037" w:rsidRPr="00CC4037" w:rsidRDefault="00CC4037" w:rsidP="00CC4037">
      <w:pPr>
        <w:pStyle w:val="TableFigureFooter"/>
        <w:jc w:val="left"/>
        <w:rPr>
          <w:i/>
          <w:iCs/>
        </w:rPr>
      </w:pPr>
      <w:r w:rsidRPr="00CC4037">
        <w:rPr>
          <w:i/>
          <w:iCs/>
        </w:rPr>
        <w:t>The redacted values correspond to the following ranges:</w:t>
      </w:r>
    </w:p>
    <w:p w14:paraId="5EE6D059" w14:textId="6A18D27C" w:rsidR="005F5C85" w:rsidRPr="004B038B" w:rsidRDefault="00CC4037" w:rsidP="00CC4037">
      <w:pPr>
        <w:pStyle w:val="TableFigureFooter"/>
        <w:jc w:val="left"/>
        <w:rPr>
          <w:i/>
          <w:iCs/>
        </w:rPr>
      </w:pPr>
      <w:r w:rsidRPr="00CC4037">
        <w:rPr>
          <w:i/>
          <w:iCs/>
        </w:rPr>
        <w:t>1 500 to &lt; 5,000</w:t>
      </w:r>
    </w:p>
    <w:p w14:paraId="54BFC4CE" w14:textId="5384F250" w:rsidR="009159CA" w:rsidRPr="000F7A69" w:rsidRDefault="000F7A69" w:rsidP="003E1214">
      <w:pPr>
        <w:pStyle w:val="3-BodyText"/>
        <w:numPr>
          <w:ilvl w:val="0"/>
          <w:numId w:val="0"/>
        </w:numPr>
        <w:rPr>
          <w:b/>
        </w:rPr>
      </w:pPr>
      <w:r w:rsidRPr="000F7A69">
        <w:rPr>
          <w:b/>
          <w:bCs/>
        </w:rPr>
        <w:t>Rare cancers</w:t>
      </w:r>
    </w:p>
    <w:p w14:paraId="05520BB9" w14:textId="0FBEB967" w:rsidR="00551E13" w:rsidRPr="00E73CAC" w:rsidRDefault="00A44017" w:rsidP="0094508E">
      <w:pPr>
        <w:pStyle w:val="3-BodyText"/>
        <w:rPr>
          <w:rFonts w:cs="Calibri"/>
        </w:rPr>
      </w:pPr>
      <w:r w:rsidRPr="00E73CAC">
        <w:rPr>
          <w:rFonts w:cs="Calibri"/>
        </w:rPr>
        <w:t xml:space="preserve">To estimate the </w:t>
      </w:r>
      <w:r w:rsidR="00824D6E" w:rsidRPr="00E73CAC">
        <w:rPr>
          <w:rFonts w:cs="Calibri"/>
        </w:rPr>
        <w:t>uptake of nivolumab for rare cancers</w:t>
      </w:r>
      <w:r w:rsidR="00ED2BDA" w:rsidRPr="00E73CAC">
        <w:rPr>
          <w:rFonts w:cs="Calibri"/>
        </w:rPr>
        <w:t xml:space="preserve"> under a broad listing</w:t>
      </w:r>
      <w:r w:rsidR="00824D6E" w:rsidRPr="00E73CAC">
        <w:rPr>
          <w:rFonts w:cs="Calibri"/>
        </w:rPr>
        <w:t xml:space="preserve">, the sponsor engaged </w:t>
      </w:r>
      <w:proofErr w:type="spellStart"/>
      <w:r w:rsidR="00824D6E" w:rsidRPr="00E73CAC">
        <w:rPr>
          <w:rFonts w:cs="Calibri"/>
        </w:rPr>
        <w:t>Omico</w:t>
      </w:r>
      <w:proofErr w:type="spellEnd"/>
      <w:r w:rsidR="004A3F07" w:rsidRPr="00E73CAC">
        <w:rPr>
          <w:rFonts w:cs="Calibri"/>
        </w:rPr>
        <w:t>, an organisation involved in the delivery of genomic cancer medicine clinical trials</w:t>
      </w:r>
      <w:r w:rsidR="001B5FEF" w:rsidRPr="00E73CAC">
        <w:rPr>
          <w:rFonts w:cs="Calibri"/>
        </w:rPr>
        <w:t>.</w:t>
      </w:r>
      <w:r w:rsidR="0064084E" w:rsidRPr="00E73CAC">
        <w:rPr>
          <w:rFonts w:cs="Calibri"/>
        </w:rPr>
        <w:t xml:space="preserve"> </w:t>
      </w:r>
    </w:p>
    <w:p w14:paraId="0A8298A4" w14:textId="7FCCBDAC" w:rsidR="00B82776" w:rsidRDefault="00E07CFD" w:rsidP="007E1971">
      <w:pPr>
        <w:pStyle w:val="3-BodyText"/>
        <w:rPr>
          <w:rFonts w:cs="Calibri"/>
        </w:rPr>
      </w:pPr>
      <w:proofErr w:type="spellStart"/>
      <w:r w:rsidRPr="00967B6E">
        <w:rPr>
          <w:rFonts w:cs="Calibri"/>
        </w:rPr>
        <w:t>Omico</w:t>
      </w:r>
      <w:proofErr w:type="spellEnd"/>
      <w:r w:rsidRPr="00967B6E">
        <w:rPr>
          <w:rFonts w:cs="Calibri"/>
        </w:rPr>
        <w:t xml:space="preserve"> created a refined rare cancer list, incorporating </w:t>
      </w:r>
      <w:r w:rsidR="00A6740C" w:rsidRPr="00967B6E">
        <w:rPr>
          <w:rFonts w:cs="Calibri"/>
        </w:rPr>
        <w:t>Australian Institute of Health (</w:t>
      </w:r>
      <w:r w:rsidRPr="00967B6E">
        <w:rPr>
          <w:rFonts w:cs="Calibri"/>
        </w:rPr>
        <w:t>AIHW</w:t>
      </w:r>
      <w:r w:rsidR="00A6740C" w:rsidRPr="00967B6E">
        <w:rPr>
          <w:rFonts w:cs="Calibri"/>
        </w:rPr>
        <w:t>)</w:t>
      </w:r>
      <w:r w:rsidRPr="00967B6E">
        <w:rPr>
          <w:rFonts w:cs="Calibri"/>
        </w:rPr>
        <w:t xml:space="preserve"> classifications, RARECAREV2 classifications, and consideration of cases of Carcinoma of Unknown Primary (CUP).</w:t>
      </w:r>
      <w:r w:rsidR="00261DFB" w:rsidRPr="00967B6E">
        <w:rPr>
          <w:rFonts w:cs="Calibri"/>
        </w:rPr>
        <w:t xml:space="preserve"> The submission considered that this data was more robust than the AIHW</w:t>
      </w:r>
      <w:r w:rsidR="0065277E" w:rsidRPr="00967B6E">
        <w:rPr>
          <w:rFonts w:cs="Calibri"/>
        </w:rPr>
        <w:t xml:space="preserve"> data which includes 49 indications (‘Cancer Data in Australia 2024’, Table S1a.1)</w:t>
      </w:r>
      <w:r w:rsidR="001E70FA">
        <w:rPr>
          <w:rFonts w:cs="Calibri"/>
        </w:rPr>
        <w:t>.</w:t>
      </w:r>
    </w:p>
    <w:p w14:paraId="39C85D42" w14:textId="1C254ACC" w:rsidR="001E70FA" w:rsidRPr="00967B6E" w:rsidRDefault="001E70FA" w:rsidP="007E1971">
      <w:pPr>
        <w:pStyle w:val="3-BodyText"/>
        <w:rPr>
          <w:rFonts w:cs="Calibri"/>
        </w:rPr>
      </w:pPr>
      <w:r>
        <w:rPr>
          <w:rFonts w:cs="Calibri"/>
        </w:rPr>
        <w:t xml:space="preserve">The pre-PBAC response confirmed that CUP </w:t>
      </w:r>
      <w:r w:rsidR="001066A9">
        <w:rPr>
          <w:rFonts w:cs="Calibri"/>
        </w:rPr>
        <w:t xml:space="preserve">was not included in the estimates. The sponsor </w:t>
      </w:r>
      <w:r w:rsidR="00992B46">
        <w:rPr>
          <w:rFonts w:cs="Calibri"/>
        </w:rPr>
        <w:t xml:space="preserve">noted it was difficult to accurately quantify this population and </w:t>
      </w:r>
      <w:r w:rsidR="00557461">
        <w:rPr>
          <w:rFonts w:cs="Calibri"/>
        </w:rPr>
        <w:t xml:space="preserve">that it may be preferable to exclude and consider this as a source of uncertainty instead. The sponsor </w:t>
      </w:r>
      <w:r w:rsidR="00992B46">
        <w:rPr>
          <w:rFonts w:cs="Calibri"/>
        </w:rPr>
        <w:t>h</w:t>
      </w:r>
      <w:r w:rsidR="001066A9">
        <w:rPr>
          <w:rFonts w:cs="Calibri"/>
        </w:rPr>
        <w:t xml:space="preserve">ighlighted that this may result in an underestimate of the treatable </w:t>
      </w:r>
      <w:r w:rsidR="00992B46">
        <w:rPr>
          <w:rFonts w:cs="Calibri"/>
        </w:rPr>
        <w:t xml:space="preserve">population and the risk form this would be borne by the sponsor under the proposed RSA. </w:t>
      </w:r>
    </w:p>
    <w:p w14:paraId="518F2850" w14:textId="43B856B8" w:rsidR="001D0571" w:rsidRPr="00F02CA2" w:rsidRDefault="001D0571" w:rsidP="009A1328">
      <w:pPr>
        <w:pStyle w:val="3-BodyText"/>
        <w:rPr>
          <w:rFonts w:cs="Calibri"/>
        </w:rPr>
      </w:pPr>
      <w:r w:rsidRPr="00F02CA2">
        <w:rPr>
          <w:rFonts w:cs="Calibri"/>
        </w:rPr>
        <w:t xml:space="preserve">The </w:t>
      </w:r>
      <w:proofErr w:type="spellStart"/>
      <w:r w:rsidRPr="00F02CA2">
        <w:rPr>
          <w:rFonts w:cs="Calibri"/>
        </w:rPr>
        <w:t>Omico</w:t>
      </w:r>
      <w:proofErr w:type="spellEnd"/>
      <w:r w:rsidRPr="00F02CA2">
        <w:rPr>
          <w:rFonts w:cs="Calibri"/>
        </w:rPr>
        <w:t xml:space="preserve"> analysis excluded all cases deemed to have existing PBS-eligibility</w:t>
      </w:r>
      <w:r w:rsidR="000A5362" w:rsidRPr="00F02CA2">
        <w:rPr>
          <w:rFonts w:cs="Calibri"/>
        </w:rPr>
        <w:t xml:space="preserve"> and </w:t>
      </w:r>
      <w:r w:rsidR="001B4D6A" w:rsidRPr="00F02CA2">
        <w:rPr>
          <w:rFonts w:cs="Calibri"/>
        </w:rPr>
        <w:t xml:space="preserve">identified </w:t>
      </w:r>
      <w:r w:rsidR="000A5362" w:rsidRPr="00F02CA2">
        <w:rPr>
          <w:rFonts w:cs="Calibri"/>
        </w:rPr>
        <w:t xml:space="preserve">suitability for IO </w:t>
      </w:r>
      <w:r w:rsidR="00C75714" w:rsidRPr="00F02CA2">
        <w:rPr>
          <w:rFonts w:cs="Calibri"/>
        </w:rPr>
        <w:t>based on</w:t>
      </w:r>
      <w:r w:rsidR="000A5362" w:rsidRPr="00F02CA2">
        <w:rPr>
          <w:rFonts w:cs="Calibri"/>
        </w:rPr>
        <w:t>:</w:t>
      </w:r>
    </w:p>
    <w:p w14:paraId="13B451EB" w14:textId="3E8B1B4C" w:rsidR="00C83016" w:rsidRDefault="00896220" w:rsidP="002D55C3">
      <w:pPr>
        <w:pStyle w:val="3-BodyText"/>
        <w:numPr>
          <w:ilvl w:val="1"/>
          <w:numId w:val="47"/>
        </w:numPr>
      </w:pPr>
      <w:r>
        <w:t>The presence of biomarkers</w:t>
      </w:r>
      <w:r w:rsidR="00866DCD">
        <w:t xml:space="preserve"> that have a pan</w:t>
      </w:r>
      <w:r w:rsidR="00FF6D04">
        <w:t>-tumour application (including TMB, MSI-H and dMMR).</w:t>
      </w:r>
    </w:p>
    <w:p w14:paraId="7C1627BE" w14:textId="07381217" w:rsidR="000217E6" w:rsidRDefault="001530E2" w:rsidP="002D55C3">
      <w:pPr>
        <w:pStyle w:val="3-BodyText"/>
        <w:numPr>
          <w:ilvl w:val="1"/>
          <w:numId w:val="47"/>
        </w:numPr>
      </w:pPr>
      <w:r>
        <w:t xml:space="preserve">Assessment of specific </w:t>
      </w:r>
      <w:proofErr w:type="spellStart"/>
      <w:r>
        <w:t>histotypes</w:t>
      </w:r>
      <w:proofErr w:type="spellEnd"/>
      <w:r w:rsidR="00515A81">
        <w:t xml:space="preserve"> with sufficient data indicating effectiveness in rare cancer populations. </w:t>
      </w:r>
    </w:p>
    <w:p w14:paraId="195318C9" w14:textId="47A6DD78" w:rsidR="00F7616A" w:rsidRPr="00EC3C55" w:rsidRDefault="00F7616A" w:rsidP="00FB6941">
      <w:pPr>
        <w:pStyle w:val="3-BodyText"/>
        <w:rPr>
          <w:rFonts w:cs="Calibri"/>
        </w:rPr>
      </w:pPr>
      <w:r w:rsidRPr="00EC3C55">
        <w:rPr>
          <w:rFonts w:cs="Calibri"/>
        </w:rPr>
        <w:t xml:space="preserve">The number of estimated patients </w:t>
      </w:r>
      <w:r w:rsidR="00770537" w:rsidRPr="00EC3C55">
        <w:rPr>
          <w:rFonts w:cs="Calibri"/>
        </w:rPr>
        <w:t xml:space="preserve">with rare cancers eligible for treatment with nivolumab </w:t>
      </w:r>
      <w:r w:rsidR="00E13EE0" w:rsidRPr="00EC3C55">
        <w:rPr>
          <w:rFonts w:cs="Calibri"/>
        </w:rPr>
        <w:t>+/- ipilimumab in the advanced or metastatic setting</w:t>
      </w:r>
      <w:r w:rsidR="002A48C1" w:rsidRPr="00EC3C55">
        <w:rPr>
          <w:rFonts w:cs="Calibri"/>
        </w:rPr>
        <w:t xml:space="preserve"> are shown in</w:t>
      </w:r>
      <w:r w:rsidR="00B54E36">
        <w:rPr>
          <w:rFonts w:cs="Calibri"/>
        </w:rPr>
        <w:t xml:space="preserve"> </w:t>
      </w:r>
      <w:r w:rsidR="00B54E36">
        <w:rPr>
          <w:rFonts w:cs="Calibri"/>
        </w:rPr>
        <w:fldChar w:fldCharType="begin" w:fldLock="1"/>
      </w:r>
      <w:r w:rsidR="00B54E36">
        <w:rPr>
          <w:rFonts w:cs="Calibri"/>
        </w:rPr>
        <w:instrText xml:space="preserve"> REF _Ref201000650 \h </w:instrText>
      </w:r>
      <w:r w:rsidR="00B54E36">
        <w:rPr>
          <w:rFonts w:cs="Calibri"/>
        </w:rPr>
      </w:r>
      <w:r w:rsidR="00B54E36">
        <w:rPr>
          <w:rFonts w:cs="Calibri"/>
        </w:rPr>
        <w:fldChar w:fldCharType="separate"/>
      </w:r>
      <w:r w:rsidR="006228A5">
        <w:t xml:space="preserve">Table </w:t>
      </w:r>
      <w:r w:rsidR="006228A5">
        <w:rPr>
          <w:noProof/>
        </w:rPr>
        <w:t>10</w:t>
      </w:r>
      <w:r w:rsidR="00B54E36">
        <w:rPr>
          <w:rFonts w:cs="Calibri"/>
        </w:rPr>
        <w:fldChar w:fldCharType="end"/>
      </w:r>
      <w:r w:rsidR="002A48C1" w:rsidRPr="00FB6941">
        <w:rPr>
          <w:rFonts w:cs="Calibri"/>
        </w:rPr>
        <w:t>.</w:t>
      </w:r>
      <w:r w:rsidR="002A48C1" w:rsidRPr="00EC3C55">
        <w:rPr>
          <w:rFonts w:cs="Calibri"/>
        </w:rPr>
        <w:t xml:space="preserve"> </w:t>
      </w:r>
    </w:p>
    <w:p w14:paraId="4E5305D7" w14:textId="76459852" w:rsidR="00B54E36" w:rsidRDefault="00B54E36" w:rsidP="00C36284">
      <w:pPr>
        <w:pStyle w:val="Caption"/>
        <w:keepNext/>
        <w:keepLines/>
      </w:pPr>
      <w:bookmarkStart w:id="11" w:name="_Ref201000650"/>
      <w:r>
        <w:lastRenderedPageBreak/>
        <w:t xml:space="preserve">Table </w:t>
      </w:r>
      <w:r w:rsidR="006228A5">
        <w:fldChar w:fldCharType="begin" w:fldLock="1"/>
      </w:r>
      <w:r w:rsidR="006228A5">
        <w:instrText xml:space="preserve"> SEQ Table \* ARABIC </w:instrText>
      </w:r>
      <w:r w:rsidR="006228A5">
        <w:fldChar w:fldCharType="separate"/>
      </w:r>
      <w:r w:rsidR="006228A5">
        <w:rPr>
          <w:noProof/>
        </w:rPr>
        <w:t>10</w:t>
      </w:r>
      <w:r w:rsidR="006228A5">
        <w:rPr>
          <w:noProof/>
        </w:rPr>
        <w:fldChar w:fldCharType="end"/>
      </w:r>
      <w:bookmarkEnd w:id="11"/>
      <w:r>
        <w:t xml:space="preserve">: </w:t>
      </w:r>
      <w:r w:rsidRPr="006532AC">
        <w:t>Estimated patients with rare cancers treated with NIVO±IPI in the advanced or metastatic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Estimated patients with rare cancers treated with NIVO±IPI in the advanced or metastatic setting"/>
      </w:tblPr>
      <w:tblGrid>
        <w:gridCol w:w="3816"/>
        <w:gridCol w:w="970"/>
        <w:gridCol w:w="846"/>
        <w:gridCol w:w="846"/>
        <w:gridCol w:w="846"/>
        <w:gridCol w:w="846"/>
        <w:gridCol w:w="846"/>
      </w:tblGrid>
      <w:tr w:rsidR="009A1CBE" w:rsidRPr="00634F0A" w14:paraId="37D99D45" w14:textId="77777777" w:rsidTr="00C36284">
        <w:trPr>
          <w:trHeight w:val="340"/>
        </w:trPr>
        <w:tc>
          <w:tcPr>
            <w:tcW w:w="2116" w:type="pct"/>
            <w:shd w:val="clear" w:color="auto" w:fill="D9D9D9" w:themeFill="background1" w:themeFillShade="D9"/>
            <w:noWrap/>
            <w:hideMark/>
          </w:tcPr>
          <w:p w14:paraId="52FC82C8"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Parameter</w:t>
            </w:r>
          </w:p>
        </w:tc>
        <w:tc>
          <w:tcPr>
            <w:tcW w:w="538" w:type="pct"/>
            <w:shd w:val="clear" w:color="auto" w:fill="D9D9D9" w:themeFill="background1" w:themeFillShade="D9"/>
            <w:noWrap/>
            <w:vAlign w:val="center"/>
          </w:tcPr>
          <w:p w14:paraId="3C3223F3"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2026</w:t>
            </w:r>
          </w:p>
        </w:tc>
        <w:tc>
          <w:tcPr>
            <w:tcW w:w="469" w:type="pct"/>
            <w:shd w:val="clear" w:color="auto" w:fill="D9D9D9" w:themeFill="background1" w:themeFillShade="D9"/>
            <w:noWrap/>
            <w:vAlign w:val="center"/>
          </w:tcPr>
          <w:p w14:paraId="6A9A0455"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2027</w:t>
            </w:r>
          </w:p>
        </w:tc>
        <w:tc>
          <w:tcPr>
            <w:tcW w:w="469" w:type="pct"/>
            <w:shd w:val="clear" w:color="auto" w:fill="D9D9D9" w:themeFill="background1" w:themeFillShade="D9"/>
            <w:noWrap/>
            <w:vAlign w:val="center"/>
          </w:tcPr>
          <w:p w14:paraId="31A50FAA"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2028</w:t>
            </w:r>
          </w:p>
        </w:tc>
        <w:tc>
          <w:tcPr>
            <w:tcW w:w="469" w:type="pct"/>
            <w:shd w:val="clear" w:color="auto" w:fill="D9D9D9" w:themeFill="background1" w:themeFillShade="D9"/>
            <w:noWrap/>
            <w:vAlign w:val="center"/>
          </w:tcPr>
          <w:p w14:paraId="2456BDFB"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2029</w:t>
            </w:r>
          </w:p>
        </w:tc>
        <w:tc>
          <w:tcPr>
            <w:tcW w:w="469" w:type="pct"/>
            <w:shd w:val="clear" w:color="auto" w:fill="D9D9D9" w:themeFill="background1" w:themeFillShade="D9"/>
            <w:noWrap/>
            <w:vAlign w:val="center"/>
          </w:tcPr>
          <w:p w14:paraId="2EC31C21"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2030</w:t>
            </w:r>
          </w:p>
        </w:tc>
        <w:tc>
          <w:tcPr>
            <w:tcW w:w="469" w:type="pct"/>
            <w:shd w:val="clear" w:color="auto" w:fill="D9D9D9" w:themeFill="background1" w:themeFillShade="D9"/>
            <w:vAlign w:val="center"/>
          </w:tcPr>
          <w:p w14:paraId="0E1ADE94" w14:textId="77777777" w:rsidR="009A1CBE" w:rsidRPr="00F442A8" w:rsidRDefault="009A1CBE" w:rsidP="00C36284">
            <w:pPr>
              <w:keepNext/>
              <w:keepLines/>
              <w:rPr>
                <w:rFonts w:ascii="Arial Narrow" w:hAnsi="Arial Narrow" w:cs="Calibri"/>
                <w:b/>
                <w:bCs/>
                <w:color w:val="000000"/>
                <w:sz w:val="20"/>
                <w:szCs w:val="20"/>
              </w:rPr>
            </w:pPr>
            <w:r w:rsidRPr="00F442A8">
              <w:rPr>
                <w:rFonts w:ascii="Arial Narrow" w:hAnsi="Arial Narrow" w:cs="Calibri"/>
                <w:b/>
                <w:bCs/>
                <w:color w:val="000000"/>
                <w:sz w:val="20"/>
                <w:szCs w:val="20"/>
              </w:rPr>
              <w:t>2031</w:t>
            </w:r>
          </w:p>
        </w:tc>
      </w:tr>
      <w:tr w:rsidR="009A1CBE" w:rsidRPr="00634F0A" w14:paraId="19330AFB" w14:textId="77777777" w:rsidTr="00C36284">
        <w:trPr>
          <w:trHeight w:val="340"/>
        </w:trPr>
        <w:tc>
          <w:tcPr>
            <w:tcW w:w="2116" w:type="pct"/>
            <w:noWrap/>
          </w:tcPr>
          <w:p w14:paraId="3273412D" w14:textId="77777777" w:rsidR="009A1CBE" w:rsidRPr="00F442A8" w:rsidRDefault="009A1CBE" w:rsidP="00C36284">
            <w:pPr>
              <w:keepNext/>
              <w:keepLines/>
              <w:rPr>
                <w:rFonts w:ascii="Arial Narrow" w:hAnsi="Arial Narrow" w:cs="Calibri"/>
                <w:color w:val="000000"/>
                <w:sz w:val="20"/>
                <w:szCs w:val="20"/>
                <w:vertAlign w:val="superscript"/>
              </w:rPr>
            </w:pPr>
            <w:r w:rsidRPr="00F442A8">
              <w:rPr>
                <w:rFonts w:ascii="Arial Narrow" w:hAnsi="Arial Narrow" w:cs="Calibri"/>
                <w:color w:val="000000"/>
                <w:sz w:val="20"/>
                <w:szCs w:val="20"/>
              </w:rPr>
              <w:t>Number of cases of rare cancers</w:t>
            </w:r>
            <w:r>
              <w:rPr>
                <w:rFonts w:ascii="Arial Narrow" w:hAnsi="Arial Narrow" w:cs="Calibri"/>
                <w:color w:val="000000"/>
                <w:sz w:val="20"/>
                <w:szCs w:val="20"/>
                <w:vertAlign w:val="superscript"/>
              </w:rPr>
              <w:t>1</w:t>
            </w:r>
          </w:p>
        </w:tc>
        <w:tc>
          <w:tcPr>
            <w:tcW w:w="538" w:type="pct"/>
            <w:noWrap/>
            <w:vAlign w:val="center"/>
          </w:tcPr>
          <w:p w14:paraId="0A981E69" w14:textId="77D6E3E8" w:rsidR="009A1CBE" w:rsidRPr="00C546A7" w:rsidRDefault="00C546A7" w:rsidP="00C36284">
            <w:pPr>
              <w:keepNext/>
              <w:keepLines/>
              <w:rPr>
                <w:rFonts w:ascii="Arial Narrow" w:hAnsi="Arial Narrow" w:cs="Calibri"/>
                <w:color w:val="000000"/>
                <w:sz w:val="20"/>
                <w:szCs w:val="20"/>
                <w:highlight w:val="darkGray"/>
                <w:vertAlign w:val="superscript"/>
              </w:rPr>
            </w:pPr>
            <w:r w:rsidRPr="00C546A7">
              <w:rPr>
                <w:rFonts w:ascii="Arial Narrow" w:hAnsi="Arial Narrow" w:cs="Calibri"/>
                <w:color w:val="000000"/>
                <w:spacing w:val="8"/>
                <w:sz w:val="20"/>
                <w:szCs w:val="20"/>
                <w:shd w:val="solid" w:color="000000" w:fill="000000"/>
                <w:fitText w:val="304" w:id="-628400639"/>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9"/>
                <w14:textFill>
                  <w14:solidFill>
                    <w14:srgbClr w14:val="000000">
                      <w14:alpha w14:val="100000"/>
                    </w14:srgbClr>
                  </w14:solidFill>
                </w14:textFill>
              </w:rPr>
              <w:t>|</w:t>
            </w:r>
            <w:r w:rsidR="009E0ACB" w:rsidRPr="00C546A7">
              <w:rPr>
                <w:rFonts w:ascii="Arial Narrow" w:hAnsi="Arial Narrow" w:cs="Calibri"/>
                <w:color w:val="000000"/>
                <w:sz w:val="20"/>
                <w:szCs w:val="20"/>
                <w:vertAlign w:val="superscript"/>
              </w:rPr>
              <w:t>1</w:t>
            </w:r>
          </w:p>
        </w:tc>
        <w:tc>
          <w:tcPr>
            <w:tcW w:w="469" w:type="pct"/>
            <w:noWrap/>
            <w:vAlign w:val="center"/>
          </w:tcPr>
          <w:p w14:paraId="08D36B6E" w14:textId="5F58FA7F" w:rsidR="009A1CBE" w:rsidRPr="00C546A7" w:rsidRDefault="00C546A7" w:rsidP="00C36284">
            <w:pPr>
              <w:keepNext/>
              <w:keepLines/>
              <w:rPr>
                <w:rFonts w:ascii="Arial Narrow" w:hAnsi="Arial Narrow" w:cs="Calibri"/>
                <w:color w:val="000000"/>
                <w:sz w:val="20"/>
                <w:szCs w:val="20"/>
                <w:highlight w:val="darkGray"/>
              </w:rPr>
            </w:pPr>
            <w:r w:rsidRPr="00C546A7">
              <w:rPr>
                <w:rFonts w:ascii="Arial Narrow" w:hAnsi="Arial Narrow" w:cs="Calibri"/>
                <w:color w:val="000000"/>
                <w:spacing w:val="8"/>
                <w:sz w:val="20"/>
                <w:szCs w:val="20"/>
                <w:shd w:val="solid" w:color="000000" w:fill="000000"/>
                <w:fitText w:val="304" w:id="-628400638"/>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8"/>
                <w14:textFill>
                  <w14:solidFill>
                    <w14:srgbClr w14:val="000000">
                      <w14:alpha w14:val="100000"/>
                    </w14:srgbClr>
                  </w14:solidFill>
                </w14:textFill>
              </w:rPr>
              <w:t>|</w:t>
            </w:r>
            <w:r w:rsidR="009E0ACB" w:rsidRPr="00147E19">
              <w:rPr>
                <w:rFonts w:ascii="Arial Narrow" w:hAnsi="Arial Narrow" w:cs="Calibri"/>
                <w:color w:val="000000"/>
                <w:sz w:val="20"/>
                <w:szCs w:val="20"/>
                <w:vertAlign w:val="superscript"/>
              </w:rPr>
              <w:t>1</w:t>
            </w:r>
          </w:p>
        </w:tc>
        <w:tc>
          <w:tcPr>
            <w:tcW w:w="469" w:type="pct"/>
            <w:noWrap/>
            <w:vAlign w:val="center"/>
          </w:tcPr>
          <w:p w14:paraId="31CD00CD" w14:textId="63DFF2FD" w:rsidR="009A1CBE" w:rsidRPr="00C546A7" w:rsidRDefault="00C546A7" w:rsidP="00C36284">
            <w:pPr>
              <w:keepNext/>
              <w:keepLines/>
              <w:rPr>
                <w:rFonts w:ascii="Arial Narrow" w:hAnsi="Arial Narrow" w:cs="Calibri"/>
                <w:color w:val="000000"/>
                <w:sz w:val="20"/>
                <w:szCs w:val="20"/>
                <w:highlight w:val="darkGray"/>
              </w:rPr>
            </w:pPr>
            <w:r w:rsidRPr="00C546A7">
              <w:rPr>
                <w:rFonts w:ascii="Arial Narrow" w:hAnsi="Arial Narrow" w:cs="Calibri"/>
                <w:color w:val="000000"/>
                <w:spacing w:val="8"/>
                <w:sz w:val="20"/>
                <w:szCs w:val="20"/>
                <w:shd w:val="solid" w:color="000000" w:fill="000000"/>
                <w:fitText w:val="304" w:id="-628400637"/>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7"/>
                <w14:textFill>
                  <w14:solidFill>
                    <w14:srgbClr w14:val="000000">
                      <w14:alpha w14:val="100000"/>
                    </w14:srgbClr>
                  </w14:solidFill>
                </w14:textFill>
              </w:rPr>
              <w:t>|</w:t>
            </w:r>
            <w:r w:rsidR="009E0ACB" w:rsidRPr="00147E19">
              <w:rPr>
                <w:rFonts w:ascii="Arial Narrow" w:hAnsi="Arial Narrow" w:cs="Calibri"/>
                <w:color w:val="000000"/>
                <w:sz w:val="20"/>
                <w:szCs w:val="20"/>
                <w:vertAlign w:val="superscript"/>
              </w:rPr>
              <w:t>1</w:t>
            </w:r>
          </w:p>
        </w:tc>
        <w:tc>
          <w:tcPr>
            <w:tcW w:w="469" w:type="pct"/>
            <w:noWrap/>
            <w:vAlign w:val="center"/>
          </w:tcPr>
          <w:p w14:paraId="20A487E6" w14:textId="31491FC5" w:rsidR="009A1CBE" w:rsidRPr="00C546A7" w:rsidRDefault="00C546A7" w:rsidP="00C36284">
            <w:pPr>
              <w:keepNext/>
              <w:keepLines/>
              <w:rPr>
                <w:rFonts w:ascii="Arial Narrow" w:hAnsi="Arial Narrow" w:cs="Calibri"/>
                <w:color w:val="000000"/>
                <w:sz w:val="20"/>
                <w:szCs w:val="20"/>
                <w:highlight w:val="darkGray"/>
              </w:rPr>
            </w:pPr>
            <w:r w:rsidRPr="00C546A7">
              <w:rPr>
                <w:rFonts w:ascii="Arial Narrow" w:hAnsi="Arial Narrow" w:cs="Calibri"/>
                <w:color w:val="000000"/>
                <w:spacing w:val="8"/>
                <w:sz w:val="20"/>
                <w:szCs w:val="20"/>
                <w:shd w:val="solid" w:color="000000" w:fill="000000"/>
                <w:fitText w:val="304" w:id="-628400636"/>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6"/>
                <w14:textFill>
                  <w14:solidFill>
                    <w14:srgbClr w14:val="000000">
                      <w14:alpha w14:val="100000"/>
                    </w14:srgbClr>
                  </w14:solidFill>
                </w14:textFill>
              </w:rPr>
              <w:t>|</w:t>
            </w:r>
            <w:r w:rsidR="009E0ACB" w:rsidRPr="00147E19">
              <w:rPr>
                <w:rFonts w:ascii="Arial Narrow" w:hAnsi="Arial Narrow" w:cs="Calibri"/>
                <w:color w:val="000000"/>
                <w:sz w:val="20"/>
                <w:szCs w:val="20"/>
                <w:vertAlign w:val="superscript"/>
              </w:rPr>
              <w:t>1</w:t>
            </w:r>
          </w:p>
        </w:tc>
        <w:tc>
          <w:tcPr>
            <w:tcW w:w="469" w:type="pct"/>
            <w:noWrap/>
            <w:vAlign w:val="center"/>
          </w:tcPr>
          <w:p w14:paraId="62FE4AB5" w14:textId="1A6A8B5C" w:rsidR="009A1CBE" w:rsidRPr="00C546A7" w:rsidRDefault="00C546A7" w:rsidP="00C36284">
            <w:pPr>
              <w:keepNext/>
              <w:keepLines/>
              <w:rPr>
                <w:rFonts w:ascii="Arial Narrow" w:hAnsi="Arial Narrow" w:cs="Calibri"/>
                <w:color w:val="000000"/>
                <w:sz w:val="20"/>
                <w:szCs w:val="20"/>
                <w:highlight w:val="darkGray"/>
              </w:rPr>
            </w:pPr>
            <w:r w:rsidRPr="00C546A7">
              <w:rPr>
                <w:rFonts w:ascii="Arial Narrow" w:hAnsi="Arial Narrow" w:cs="Calibri"/>
                <w:color w:val="000000"/>
                <w:spacing w:val="8"/>
                <w:sz w:val="20"/>
                <w:szCs w:val="20"/>
                <w:shd w:val="solid" w:color="000000" w:fill="000000"/>
                <w:fitText w:val="304" w:id="-628400635"/>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5"/>
                <w14:textFill>
                  <w14:solidFill>
                    <w14:srgbClr w14:val="000000">
                      <w14:alpha w14:val="100000"/>
                    </w14:srgbClr>
                  </w14:solidFill>
                </w14:textFill>
              </w:rPr>
              <w:t>|</w:t>
            </w:r>
            <w:r w:rsidR="009E0ACB" w:rsidRPr="00147E19">
              <w:rPr>
                <w:rFonts w:ascii="Arial Narrow" w:hAnsi="Arial Narrow" w:cs="Calibri"/>
                <w:color w:val="000000"/>
                <w:sz w:val="20"/>
                <w:szCs w:val="20"/>
                <w:vertAlign w:val="superscript"/>
              </w:rPr>
              <w:t>1</w:t>
            </w:r>
          </w:p>
        </w:tc>
        <w:tc>
          <w:tcPr>
            <w:tcW w:w="469" w:type="pct"/>
            <w:vAlign w:val="center"/>
          </w:tcPr>
          <w:p w14:paraId="5084FEE2" w14:textId="04AC8BEB" w:rsidR="009A1CBE" w:rsidRPr="00C546A7" w:rsidRDefault="00C546A7" w:rsidP="00C36284">
            <w:pPr>
              <w:keepNext/>
              <w:keepLines/>
              <w:rPr>
                <w:rFonts w:ascii="Arial Narrow" w:hAnsi="Arial Narrow" w:cs="Calibri"/>
                <w:b/>
                <w:color w:val="000000"/>
                <w:sz w:val="20"/>
                <w:szCs w:val="20"/>
                <w:highlight w:val="darkGray"/>
              </w:rPr>
            </w:pPr>
            <w:r w:rsidRPr="00C546A7">
              <w:rPr>
                <w:rFonts w:ascii="Arial Narrow" w:hAnsi="Arial Narrow" w:cs="Calibri"/>
                <w:color w:val="000000"/>
                <w:spacing w:val="8"/>
                <w:sz w:val="20"/>
                <w:szCs w:val="20"/>
                <w:shd w:val="solid" w:color="000000" w:fill="000000"/>
                <w:fitText w:val="304" w:id="-628400634"/>
                <w14:textFill>
                  <w14:solidFill>
                    <w14:srgbClr w14:val="000000">
                      <w14:alpha w14:val="100000"/>
                    </w14:srgbClr>
                  </w14:solidFill>
                </w14:textFill>
              </w:rPr>
              <w:t>||  |</w:t>
            </w:r>
            <w:r w:rsidRPr="00C546A7">
              <w:rPr>
                <w:rFonts w:ascii="Arial Narrow" w:hAnsi="Arial Narrow" w:cs="Calibri"/>
                <w:color w:val="000000"/>
                <w:spacing w:val="3"/>
                <w:sz w:val="20"/>
                <w:szCs w:val="20"/>
                <w:shd w:val="solid" w:color="000000" w:fill="000000"/>
                <w:fitText w:val="304" w:id="-628400634"/>
                <w14:textFill>
                  <w14:solidFill>
                    <w14:srgbClr w14:val="000000">
                      <w14:alpha w14:val="100000"/>
                    </w14:srgbClr>
                  </w14:solidFill>
                </w14:textFill>
              </w:rPr>
              <w:t>|</w:t>
            </w:r>
            <w:r w:rsidR="009E0ACB" w:rsidRPr="00147E19">
              <w:rPr>
                <w:rFonts w:ascii="Arial Narrow" w:hAnsi="Arial Narrow" w:cs="Calibri"/>
                <w:color w:val="000000"/>
                <w:sz w:val="20"/>
                <w:szCs w:val="20"/>
                <w:vertAlign w:val="superscript"/>
              </w:rPr>
              <w:t>1</w:t>
            </w:r>
          </w:p>
        </w:tc>
      </w:tr>
      <w:tr w:rsidR="009A1CBE" w:rsidRPr="00634F0A" w14:paraId="04F58CFF" w14:textId="77777777" w:rsidTr="00C36284">
        <w:trPr>
          <w:trHeight w:val="340"/>
        </w:trPr>
        <w:tc>
          <w:tcPr>
            <w:tcW w:w="2116" w:type="pct"/>
            <w:noWrap/>
          </w:tcPr>
          <w:p w14:paraId="563901B8" w14:textId="77777777" w:rsidR="009A1CBE" w:rsidRPr="00F442A8" w:rsidRDefault="009A1CBE" w:rsidP="00C36284">
            <w:pPr>
              <w:keepNext/>
              <w:keepLines/>
              <w:rPr>
                <w:rFonts w:ascii="Arial Narrow" w:hAnsi="Arial Narrow" w:cs="Calibri"/>
                <w:color w:val="000000"/>
                <w:sz w:val="20"/>
                <w:szCs w:val="20"/>
                <w:vertAlign w:val="superscript"/>
              </w:rPr>
            </w:pPr>
            <w:r w:rsidRPr="00F442A8">
              <w:rPr>
                <w:rFonts w:ascii="Arial Narrow" w:hAnsi="Arial Narrow" w:cs="Calibri"/>
                <w:color w:val="000000"/>
                <w:sz w:val="20"/>
                <w:szCs w:val="20"/>
              </w:rPr>
              <w:t>Proportion regional or metastatic</w:t>
            </w:r>
            <w:r>
              <w:rPr>
                <w:rFonts w:ascii="Arial Narrow" w:hAnsi="Arial Narrow" w:cs="Calibri"/>
                <w:color w:val="000000"/>
                <w:sz w:val="20"/>
                <w:szCs w:val="20"/>
                <w:vertAlign w:val="superscript"/>
              </w:rPr>
              <w:t>2</w:t>
            </w:r>
          </w:p>
        </w:tc>
        <w:tc>
          <w:tcPr>
            <w:tcW w:w="538" w:type="pct"/>
            <w:noWrap/>
            <w:vAlign w:val="center"/>
          </w:tcPr>
          <w:p w14:paraId="6403D512"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47.20%</w:t>
            </w:r>
          </w:p>
        </w:tc>
        <w:tc>
          <w:tcPr>
            <w:tcW w:w="469" w:type="pct"/>
            <w:noWrap/>
            <w:vAlign w:val="center"/>
          </w:tcPr>
          <w:p w14:paraId="0211FC98"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47.20%</w:t>
            </w:r>
          </w:p>
        </w:tc>
        <w:tc>
          <w:tcPr>
            <w:tcW w:w="469" w:type="pct"/>
            <w:noWrap/>
            <w:vAlign w:val="center"/>
          </w:tcPr>
          <w:p w14:paraId="0713F9A9"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47.20%</w:t>
            </w:r>
          </w:p>
        </w:tc>
        <w:tc>
          <w:tcPr>
            <w:tcW w:w="469" w:type="pct"/>
            <w:noWrap/>
            <w:vAlign w:val="center"/>
          </w:tcPr>
          <w:p w14:paraId="245D82D8"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47.20%</w:t>
            </w:r>
          </w:p>
        </w:tc>
        <w:tc>
          <w:tcPr>
            <w:tcW w:w="469" w:type="pct"/>
            <w:noWrap/>
            <w:vAlign w:val="center"/>
          </w:tcPr>
          <w:p w14:paraId="327156A7"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47.20%</w:t>
            </w:r>
          </w:p>
        </w:tc>
        <w:tc>
          <w:tcPr>
            <w:tcW w:w="469" w:type="pct"/>
            <w:vAlign w:val="center"/>
          </w:tcPr>
          <w:p w14:paraId="4116061E" w14:textId="77777777" w:rsidR="009A1CBE" w:rsidRPr="00F442A8" w:rsidRDefault="009A1CBE" w:rsidP="00C36284">
            <w:pPr>
              <w:keepNext/>
              <w:keepLines/>
              <w:rPr>
                <w:rFonts w:ascii="Arial Narrow" w:hAnsi="Arial Narrow" w:cs="Calibri"/>
                <w:b/>
                <w:color w:val="000000"/>
                <w:sz w:val="20"/>
                <w:szCs w:val="20"/>
              </w:rPr>
            </w:pPr>
            <w:r w:rsidRPr="00F442A8">
              <w:rPr>
                <w:rFonts w:ascii="Arial Narrow" w:hAnsi="Arial Narrow" w:cs="Calibri"/>
                <w:color w:val="000000"/>
                <w:sz w:val="20"/>
                <w:szCs w:val="20"/>
              </w:rPr>
              <w:t>47.20%</w:t>
            </w:r>
          </w:p>
        </w:tc>
      </w:tr>
      <w:tr w:rsidR="009A1CBE" w:rsidRPr="00634F0A" w14:paraId="48B0A3BD" w14:textId="77777777" w:rsidTr="00C36284">
        <w:trPr>
          <w:trHeight w:val="340"/>
        </w:trPr>
        <w:tc>
          <w:tcPr>
            <w:tcW w:w="2116" w:type="pct"/>
            <w:noWrap/>
          </w:tcPr>
          <w:p w14:paraId="5B2ED792" w14:textId="77777777" w:rsidR="009A1CBE" w:rsidRPr="00F442A8" w:rsidRDefault="009A1CBE" w:rsidP="00C36284">
            <w:pPr>
              <w:keepNext/>
              <w:keepLines/>
              <w:rPr>
                <w:rFonts w:ascii="Arial Narrow" w:hAnsi="Arial Narrow" w:cs="Calibri"/>
                <w:color w:val="000000"/>
                <w:sz w:val="20"/>
                <w:szCs w:val="20"/>
                <w:vertAlign w:val="superscript"/>
              </w:rPr>
            </w:pPr>
            <w:r w:rsidRPr="00F442A8">
              <w:rPr>
                <w:rFonts w:ascii="Arial Narrow" w:hAnsi="Arial Narrow" w:cs="Calibri"/>
                <w:color w:val="000000"/>
                <w:sz w:val="20"/>
                <w:szCs w:val="20"/>
              </w:rPr>
              <w:t>Cancer subtype considered candidate for IO</w:t>
            </w:r>
            <w:r>
              <w:rPr>
                <w:rFonts w:ascii="Arial Narrow" w:hAnsi="Arial Narrow" w:cs="Calibri"/>
                <w:color w:val="000000"/>
                <w:sz w:val="20"/>
                <w:szCs w:val="20"/>
                <w:vertAlign w:val="superscript"/>
              </w:rPr>
              <w:t>3</w:t>
            </w:r>
          </w:p>
        </w:tc>
        <w:tc>
          <w:tcPr>
            <w:tcW w:w="538" w:type="pct"/>
            <w:noWrap/>
            <w:vAlign w:val="center"/>
          </w:tcPr>
          <w:p w14:paraId="2F10DA13"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sz w:val="20"/>
                <w:szCs w:val="20"/>
              </w:rPr>
              <w:t>51.64%</w:t>
            </w:r>
          </w:p>
        </w:tc>
        <w:tc>
          <w:tcPr>
            <w:tcW w:w="469" w:type="pct"/>
            <w:noWrap/>
            <w:vAlign w:val="center"/>
          </w:tcPr>
          <w:p w14:paraId="348AE32B"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sz w:val="20"/>
                <w:szCs w:val="20"/>
              </w:rPr>
              <w:t>51.64%</w:t>
            </w:r>
          </w:p>
        </w:tc>
        <w:tc>
          <w:tcPr>
            <w:tcW w:w="469" w:type="pct"/>
            <w:noWrap/>
            <w:vAlign w:val="center"/>
          </w:tcPr>
          <w:p w14:paraId="4F39C169"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sz w:val="20"/>
                <w:szCs w:val="20"/>
              </w:rPr>
              <w:t>51.64%</w:t>
            </w:r>
          </w:p>
        </w:tc>
        <w:tc>
          <w:tcPr>
            <w:tcW w:w="469" w:type="pct"/>
            <w:noWrap/>
            <w:vAlign w:val="center"/>
          </w:tcPr>
          <w:p w14:paraId="75BDBC59"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sz w:val="20"/>
                <w:szCs w:val="20"/>
              </w:rPr>
              <w:t>51.64%</w:t>
            </w:r>
          </w:p>
        </w:tc>
        <w:tc>
          <w:tcPr>
            <w:tcW w:w="469" w:type="pct"/>
            <w:noWrap/>
            <w:vAlign w:val="center"/>
          </w:tcPr>
          <w:p w14:paraId="0AEF8F0E"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sz w:val="20"/>
                <w:szCs w:val="20"/>
              </w:rPr>
              <w:t>51.64%</w:t>
            </w:r>
          </w:p>
        </w:tc>
        <w:tc>
          <w:tcPr>
            <w:tcW w:w="469" w:type="pct"/>
            <w:vAlign w:val="center"/>
          </w:tcPr>
          <w:p w14:paraId="234FD525" w14:textId="77777777" w:rsidR="009A1CBE" w:rsidRPr="00F442A8" w:rsidRDefault="009A1CBE" w:rsidP="00C36284">
            <w:pPr>
              <w:keepNext/>
              <w:keepLines/>
              <w:rPr>
                <w:rFonts w:ascii="Arial Narrow" w:hAnsi="Arial Narrow" w:cs="Calibri"/>
                <w:b/>
                <w:color w:val="000000"/>
                <w:sz w:val="20"/>
                <w:szCs w:val="20"/>
              </w:rPr>
            </w:pPr>
            <w:r w:rsidRPr="00F442A8">
              <w:rPr>
                <w:rFonts w:ascii="Arial Narrow" w:hAnsi="Arial Narrow" w:cs="Calibri"/>
                <w:sz w:val="20"/>
                <w:szCs w:val="20"/>
              </w:rPr>
              <w:t>51.64%</w:t>
            </w:r>
          </w:p>
        </w:tc>
      </w:tr>
      <w:tr w:rsidR="009A1CBE" w:rsidRPr="00634F0A" w14:paraId="144266E9" w14:textId="77777777" w:rsidTr="00C36284">
        <w:trPr>
          <w:trHeight w:val="340"/>
        </w:trPr>
        <w:tc>
          <w:tcPr>
            <w:tcW w:w="2116" w:type="pct"/>
            <w:noWrap/>
          </w:tcPr>
          <w:p w14:paraId="3B866573" w14:textId="77777777" w:rsidR="009A1CBE" w:rsidRPr="00F442A8" w:rsidRDefault="009A1CBE" w:rsidP="00C36284">
            <w:pPr>
              <w:keepNext/>
              <w:keepLines/>
              <w:rPr>
                <w:rFonts w:ascii="Arial Narrow" w:hAnsi="Arial Narrow" w:cs="Calibri"/>
                <w:color w:val="000000"/>
                <w:sz w:val="20"/>
                <w:szCs w:val="20"/>
                <w:vertAlign w:val="superscript"/>
              </w:rPr>
            </w:pPr>
            <w:r w:rsidRPr="00F442A8">
              <w:rPr>
                <w:rFonts w:ascii="Arial Narrow" w:hAnsi="Arial Narrow" w:cs="Calibri"/>
                <w:color w:val="000000"/>
                <w:sz w:val="20"/>
                <w:szCs w:val="20"/>
              </w:rPr>
              <w:t>Treatment eligibility</w:t>
            </w:r>
            <w:r>
              <w:rPr>
                <w:rFonts w:ascii="Arial Narrow" w:hAnsi="Arial Narrow" w:cs="Calibri"/>
                <w:color w:val="000000"/>
                <w:sz w:val="20"/>
                <w:szCs w:val="20"/>
                <w:vertAlign w:val="superscript"/>
              </w:rPr>
              <w:t>4</w:t>
            </w:r>
          </w:p>
        </w:tc>
        <w:tc>
          <w:tcPr>
            <w:tcW w:w="538" w:type="pct"/>
            <w:noWrap/>
            <w:vAlign w:val="center"/>
          </w:tcPr>
          <w:p w14:paraId="2DEEB3D0" w14:textId="77777777" w:rsidR="009A1CBE" w:rsidRPr="00F442A8" w:rsidRDefault="009A1CBE" w:rsidP="00C36284">
            <w:pPr>
              <w:keepNext/>
              <w:keepLines/>
              <w:rPr>
                <w:rFonts w:ascii="Arial Narrow" w:hAnsi="Arial Narrow" w:cs="Calibri"/>
                <w:color w:val="000000"/>
                <w:sz w:val="20"/>
                <w:szCs w:val="20"/>
              </w:rPr>
            </w:pPr>
            <w:r w:rsidRPr="00F442A8">
              <w:rPr>
                <w:rFonts w:ascii="Arial Narrow" w:hAnsi="Arial Narrow" w:cs="Calibri"/>
                <w:color w:val="000000"/>
                <w:sz w:val="20"/>
                <w:szCs w:val="20"/>
              </w:rPr>
              <w:t>18.52%</w:t>
            </w:r>
          </w:p>
        </w:tc>
        <w:tc>
          <w:tcPr>
            <w:tcW w:w="469" w:type="pct"/>
            <w:noWrap/>
            <w:vAlign w:val="center"/>
          </w:tcPr>
          <w:p w14:paraId="3974ED88" w14:textId="77777777" w:rsidR="009A1CBE" w:rsidRPr="00F442A8" w:rsidRDefault="009A1CBE" w:rsidP="00C36284">
            <w:pPr>
              <w:keepNext/>
              <w:keepLines/>
              <w:rPr>
                <w:rFonts w:ascii="Arial Narrow" w:hAnsi="Arial Narrow"/>
                <w:sz w:val="20"/>
                <w:szCs w:val="20"/>
              </w:rPr>
            </w:pPr>
            <w:r w:rsidRPr="00F442A8">
              <w:rPr>
                <w:rFonts w:ascii="Arial Narrow" w:hAnsi="Arial Narrow" w:cs="Calibri"/>
                <w:color w:val="000000"/>
                <w:sz w:val="20"/>
                <w:szCs w:val="20"/>
              </w:rPr>
              <w:t>18.52%</w:t>
            </w:r>
          </w:p>
        </w:tc>
        <w:tc>
          <w:tcPr>
            <w:tcW w:w="469" w:type="pct"/>
            <w:noWrap/>
            <w:vAlign w:val="center"/>
          </w:tcPr>
          <w:p w14:paraId="55C9525F" w14:textId="77777777" w:rsidR="009A1CBE" w:rsidRPr="00F442A8" w:rsidRDefault="009A1CBE" w:rsidP="00C36284">
            <w:pPr>
              <w:keepNext/>
              <w:keepLines/>
              <w:rPr>
                <w:rFonts w:ascii="Arial Narrow" w:hAnsi="Arial Narrow"/>
                <w:sz w:val="20"/>
                <w:szCs w:val="20"/>
              </w:rPr>
            </w:pPr>
            <w:r w:rsidRPr="00F442A8">
              <w:rPr>
                <w:rFonts w:ascii="Arial Narrow" w:hAnsi="Arial Narrow" w:cs="Calibri"/>
                <w:color w:val="000000"/>
                <w:sz w:val="20"/>
                <w:szCs w:val="20"/>
              </w:rPr>
              <w:t>18.52%</w:t>
            </w:r>
          </w:p>
        </w:tc>
        <w:tc>
          <w:tcPr>
            <w:tcW w:w="469" w:type="pct"/>
            <w:noWrap/>
            <w:vAlign w:val="center"/>
          </w:tcPr>
          <w:p w14:paraId="2769E9CB" w14:textId="77777777" w:rsidR="009A1CBE" w:rsidRPr="00F442A8" w:rsidRDefault="009A1CBE" w:rsidP="00C36284">
            <w:pPr>
              <w:keepNext/>
              <w:keepLines/>
              <w:rPr>
                <w:rFonts w:ascii="Arial Narrow" w:hAnsi="Arial Narrow"/>
                <w:sz w:val="20"/>
                <w:szCs w:val="20"/>
              </w:rPr>
            </w:pPr>
            <w:r w:rsidRPr="00F442A8">
              <w:rPr>
                <w:rFonts w:ascii="Arial Narrow" w:hAnsi="Arial Narrow" w:cs="Calibri"/>
                <w:color w:val="000000"/>
                <w:sz w:val="20"/>
                <w:szCs w:val="20"/>
              </w:rPr>
              <w:t>18.52%</w:t>
            </w:r>
          </w:p>
        </w:tc>
        <w:tc>
          <w:tcPr>
            <w:tcW w:w="469" w:type="pct"/>
            <w:noWrap/>
            <w:vAlign w:val="center"/>
          </w:tcPr>
          <w:p w14:paraId="253ADE13" w14:textId="77777777" w:rsidR="009A1CBE" w:rsidRPr="00F442A8" w:rsidRDefault="009A1CBE" w:rsidP="00C36284">
            <w:pPr>
              <w:keepNext/>
              <w:keepLines/>
              <w:rPr>
                <w:rFonts w:ascii="Arial Narrow" w:hAnsi="Arial Narrow"/>
                <w:sz w:val="20"/>
                <w:szCs w:val="20"/>
              </w:rPr>
            </w:pPr>
            <w:r w:rsidRPr="00F442A8">
              <w:rPr>
                <w:rFonts w:ascii="Arial Narrow" w:hAnsi="Arial Narrow" w:cs="Calibri"/>
                <w:color w:val="000000"/>
                <w:sz w:val="20"/>
                <w:szCs w:val="20"/>
              </w:rPr>
              <w:t>18.52%</w:t>
            </w:r>
          </w:p>
        </w:tc>
        <w:tc>
          <w:tcPr>
            <w:tcW w:w="469" w:type="pct"/>
            <w:vAlign w:val="center"/>
          </w:tcPr>
          <w:p w14:paraId="5E6643C3" w14:textId="77777777" w:rsidR="009A1CBE" w:rsidRPr="00F442A8" w:rsidRDefault="009A1CBE" w:rsidP="00C36284">
            <w:pPr>
              <w:keepNext/>
              <w:keepLines/>
              <w:rPr>
                <w:rFonts w:ascii="Arial Narrow" w:hAnsi="Arial Narrow"/>
                <w:sz w:val="20"/>
                <w:szCs w:val="20"/>
              </w:rPr>
            </w:pPr>
            <w:r w:rsidRPr="00F442A8">
              <w:rPr>
                <w:rFonts w:ascii="Arial Narrow" w:hAnsi="Arial Narrow" w:cs="Calibri"/>
                <w:color w:val="000000"/>
                <w:sz w:val="20"/>
                <w:szCs w:val="20"/>
              </w:rPr>
              <w:t>18.52%</w:t>
            </w:r>
          </w:p>
        </w:tc>
      </w:tr>
      <w:tr w:rsidR="009A1CBE" w:rsidRPr="00634F0A" w14:paraId="7F0AD455" w14:textId="77777777" w:rsidTr="00C36284">
        <w:trPr>
          <w:trHeight w:val="340"/>
        </w:trPr>
        <w:tc>
          <w:tcPr>
            <w:tcW w:w="2116" w:type="pct"/>
            <w:noWrap/>
          </w:tcPr>
          <w:p w14:paraId="5272AEAB" w14:textId="77777777" w:rsidR="009A1CBE" w:rsidRPr="00F442A8" w:rsidRDefault="009A1CBE" w:rsidP="00C36284">
            <w:pPr>
              <w:keepNext/>
              <w:keepLines/>
              <w:rPr>
                <w:rFonts w:ascii="Arial Narrow" w:hAnsi="Arial Narrow" w:cs="Calibri"/>
                <w:b/>
                <w:bCs/>
                <w:color w:val="000000"/>
                <w:sz w:val="20"/>
                <w:szCs w:val="20"/>
                <w:vertAlign w:val="superscript"/>
              </w:rPr>
            </w:pPr>
            <w:r w:rsidRPr="00F442A8">
              <w:rPr>
                <w:rFonts w:ascii="Arial Narrow" w:hAnsi="Arial Narrow" w:cs="Calibri"/>
                <w:b/>
                <w:bCs/>
                <w:color w:val="000000"/>
                <w:sz w:val="20"/>
                <w:szCs w:val="20"/>
              </w:rPr>
              <w:t>Treated rare cancer patients</w:t>
            </w:r>
          </w:p>
        </w:tc>
        <w:tc>
          <w:tcPr>
            <w:tcW w:w="538" w:type="pct"/>
            <w:noWrap/>
            <w:vAlign w:val="center"/>
          </w:tcPr>
          <w:p w14:paraId="14A3AE8A" w14:textId="687C292C" w:rsidR="009A1CBE" w:rsidRPr="00C546A7" w:rsidRDefault="00C546A7" w:rsidP="00C36284">
            <w:pPr>
              <w:keepNext/>
              <w:keepLines/>
              <w:rPr>
                <w:rFonts w:ascii="Arial Narrow" w:hAnsi="Arial Narrow" w:cs="Calibri"/>
                <w:b/>
                <w:bCs/>
                <w:color w:val="000000"/>
                <w:sz w:val="20"/>
                <w:szCs w:val="20"/>
                <w:highlight w:val="darkGray"/>
                <w:vertAlign w:val="superscript"/>
              </w:rPr>
            </w:pPr>
            <w:r w:rsidRPr="00C546A7">
              <w:rPr>
                <w:rFonts w:ascii="Arial Narrow" w:hAnsi="Arial Narrow" w:cs="Calibri"/>
                <w:b/>
                <w:bCs/>
                <w:color w:val="000000"/>
                <w:spacing w:val="10"/>
                <w:sz w:val="20"/>
                <w:szCs w:val="20"/>
                <w:shd w:val="solid" w:color="000000" w:fill="000000"/>
                <w:fitText w:val="328" w:id="-628400633"/>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33"/>
                <w14:textFill>
                  <w14:solidFill>
                    <w14:srgbClr w14:val="000000">
                      <w14:alpha w14:val="100000"/>
                    </w14:srgbClr>
                  </w14:solidFill>
                </w14:textFill>
              </w:rPr>
              <w:t>|</w:t>
            </w:r>
            <w:r w:rsidR="00884977" w:rsidRPr="00C546A7">
              <w:rPr>
                <w:rFonts w:ascii="Arial Narrow" w:hAnsi="Arial Narrow" w:cs="Calibri"/>
                <w:b/>
                <w:bCs/>
                <w:color w:val="000000"/>
                <w:sz w:val="20"/>
                <w:szCs w:val="20"/>
                <w:vertAlign w:val="superscript"/>
              </w:rPr>
              <w:t>2</w:t>
            </w:r>
          </w:p>
        </w:tc>
        <w:tc>
          <w:tcPr>
            <w:tcW w:w="469" w:type="pct"/>
            <w:noWrap/>
            <w:vAlign w:val="center"/>
          </w:tcPr>
          <w:p w14:paraId="666BA47F" w14:textId="452B2847" w:rsidR="009A1CBE" w:rsidRPr="00F442A8" w:rsidRDefault="00C546A7" w:rsidP="00C36284">
            <w:pPr>
              <w:keepNext/>
              <w:keepLines/>
              <w:rPr>
                <w:rFonts w:ascii="Arial Narrow" w:hAnsi="Arial Narrow" w:cs="Calibri"/>
                <w:b/>
                <w:bCs/>
                <w:color w:val="000000"/>
                <w:sz w:val="20"/>
                <w:szCs w:val="20"/>
              </w:rPr>
            </w:pPr>
            <w:r w:rsidRPr="00C546A7">
              <w:rPr>
                <w:rFonts w:ascii="Arial Narrow" w:hAnsi="Arial Narrow" w:cs="Calibri"/>
                <w:b/>
                <w:bCs/>
                <w:color w:val="000000"/>
                <w:spacing w:val="10"/>
                <w:sz w:val="20"/>
                <w:szCs w:val="20"/>
                <w:shd w:val="solid" w:color="000000" w:fill="000000"/>
                <w:fitText w:val="328" w:id="-628400632"/>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32"/>
                <w14:textFill>
                  <w14:solidFill>
                    <w14:srgbClr w14:val="000000">
                      <w14:alpha w14:val="100000"/>
                    </w14:srgbClr>
                  </w14:solidFill>
                </w14:textFill>
              </w:rPr>
              <w:t>|</w:t>
            </w:r>
            <w:r w:rsidR="00884977" w:rsidRPr="00147E19">
              <w:rPr>
                <w:rFonts w:ascii="Arial Narrow" w:hAnsi="Arial Narrow" w:cs="Calibri"/>
                <w:b/>
                <w:bCs/>
                <w:color w:val="000000"/>
                <w:sz w:val="20"/>
                <w:szCs w:val="20"/>
                <w:vertAlign w:val="superscript"/>
              </w:rPr>
              <w:t>2</w:t>
            </w:r>
          </w:p>
        </w:tc>
        <w:tc>
          <w:tcPr>
            <w:tcW w:w="469" w:type="pct"/>
            <w:noWrap/>
            <w:vAlign w:val="center"/>
          </w:tcPr>
          <w:p w14:paraId="4A927719" w14:textId="0D5619DA" w:rsidR="009A1CBE" w:rsidRPr="00F442A8" w:rsidRDefault="00C546A7" w:rsidP="00C36284">
            <w:pPr>
              <w:keepNext/>
              <w:keepLines/>
              <w:rPr>
                <w:rFonts w:ascii="Arial Narrow" w:hAnsi="Arial Narrow" w:cs="Calibri"/>
                <w:b/>
                <w:bCs/>
                <w:color w:val="000000"/>
                <w:sz w:val="20"/>
                <w:szCs w:val="20"/>
              </w:rPr>
            </w:pPr>
            <w:r w:rsidRPr="00C546A7">
              <w:rPr>
                <w:rFonts w:ascii="Arial Narrow" w:hAnsi="Arial Narrow" w:cs="Calibri"/>
                <w:b/>
                <w:bCs/>
                <w:color w:val="000000"/>
                <w:spacing w:val="10"/>
                <w:sz w:val="20"/>
                <w:szCs w:val="20"/>
                <w:shd w:val="solid" w:color="000000" w:fill="000000"/>
                <w:fitText w:val="328" w:id="-628400631"/>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31"/>
                <w14:textFill>
                  <w14:solidFill>
                    <w14:srgbClr w14:val="000000">
                      <w14:alpha w14:val="100000"/>
                    </w14:srgbClr>
                  </w14:solidFill>
                </w14:textFill>
              </w:rPr>
              <w:t>|</w:t>
            </w:r>
            <w:r w:rsidR="00884977" w:rsidRPr="00147E19">
              <w:rPr>
                <w:rFonts w:ascii="Arial Narrow" w:hAnsi="Arial Narrow" w:cs="Calibri"/>
                <w:b/>
                <w:bCs/>
                <w:color w:val="000000"/>
                <w:sz w:val="20"/>
                <w:szCs w:val="20"/>
                <w:vertAlign w:val="superscript"/>
              </w:rPr>
              <w:t>2</w:t>
            </w:r>
          </w:p>
        </w:tc>
        <w:tc>
          <w:tcPr>
            <w:tcW w:w="469" w:type="pct"/>
            <w:noWrap/>
            <w:vAlign w:val="center"/>
          </w:tcPr>
          <w:p w14:paraId="6FEFE78D" w14:textId="23051232" w:rsidR="009A1CBE" w:rsidRPr="00F442A8" w:rsidRDefault="00C546A7" w:rsidP="00C36284">
            <w:pPr>
              <w:keepNext/>
              <w:keepLines/>
              <w:rPr>
                <w:rFonts w:ascii="Arial Narrow" w:hAnsi="Arial Narrow" w:cs="Calibri"/>
                <w:b/>
                <w:bCs/>
                <w:color w:val="000000"/>
                <w:sz w:val="20"/>
                <w:szCs w:val="20"/>
              </w:rPr>
            </w:pPr>
            <w:r w:rsidRPr="00C546A7">
              <w:rPr>
                <w:rFonts w:ascii="Arial Narrow" w:hAnsi="Arial Narrow" w:cs="Calibri"/>
                <w:b/>
                <w:bCs/>
                <w:color w:val="000000"/>
                <w:spacing w:val="10"/>
                <w:sz w:val="20"/>
                <w:szCs w:val="20"/>
                <w:shd w:val="solid" w:color="000000" w:fill="000000"/>
                <w:fitText w:val="328" w:id="-628400630"/>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30"/>
                <w14:textFill>
                  <w14:solidFill>
                    <w14:srgbClr w14:val="000000">
                      <w14:alpha w14:val="100000"/>
                    </w14:srgbClr>
                  </w14:solidFill>
                </w14:textFill>
              </w:rPr>
              <w:t>|</w:t>
            </w:r>
            <w:r w:rsidR="00884977" w:rsidRPr="00147E19">
              <w:rPr>
                <w:rFonts w:ascii="Arial Narrow" w:hAnsi="Arial Narrow" w:cs="Calibri"/>
                <w:b/>
                <w:bCs/>
                <w:color w:val="000000"/>
                <w:sz w:val="20"/>
                <w:szCs w:val="20"/>
                <w:vertAlign w:val="superscript"/>
              </w:rPr>
              <w:t>2</w:t>
            </w:r>
          </w:p>
        </w:tc>
        <w:tc>
          <w:tcPr>
            <w:tcW w:w="469" w:type="pct"/>
            <w:noWrap/>
            <w:vAlign w:val="center"/>
          </w:tcPr>
          <w:p w14:paraId="6192F485" w14:textId="4FAEDDB0" w:rsidR="009A1CBE" w:rsidRPr="00F442A8" w:rsidRDefault="00C546A7" w:rsidP="00C36284">
            <w:pPr>
              <w:keepNext/>
              <w:keepLines/>
              <w:rPr>
                <w:rFonts w:ascii="Arial Narrow" w:hAnsi="Arial Narrow" w:cs="Calibri"/>
                <w:b/>
                <w:bCs/>
                <w:color w:val="000000"/>
                <w:sz w:val="20"/>
                <w:szCs w:val="20"/>
              </w:rPr>
            </w:pPr>
            <w:r w:rsidRPr="00C546A7">
              <w:rPr>
                <w:rFonts w:ascii="Arial Narrow" w:hAnsi="Arial Narrow" w:cs="Calibri"/>
                <w:b/>
                <w:bCs/>
                <w:color w:val="000000"/>
                <w:spacing w:val="10"/>
                <w:sz w:val="20"/>
                <w:szCs w:val="20"/>
                <w:shd w:val="solid" w:color="000000" w:fill="000000"/>
                <w:fitText w:val="328" w:id="-628400629"/>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29"/>
                <w14:textFill>
                  <w14:solidFill>
                    <w14:srgbClr w14:val="000000">
                      <w14:alpha w14:val="100000"/>
                    </w14:srgbClr>
                  </w14:solidFill>
                </w14:textFill>
              </w:rPr>
              <w:t>|</w:t>
            </w:r>
            <w:r w:rsidR="00884977" w:rsidRPr="00147E19">
              <w:rPr>
                <w:rFonts w:ascii="Arial Narrow" w:hAnsi="Arial Narrow" w:cs="Calibri"/>
                <w:b/>
                <w:bCs/>
                <w:color w:val="000000"/>
                <w:sz w:val="20"/>
                <w:szCs w:val="20"/>
                <w:vertAlign w:val="superscript"/>
              </w:rPr>
              <w:t>2</w:t>
            </w:r>
          </w:p>
        </w:tc>
        <w:tc>
          <w:tcPr>
            <w:tcW w:w="469" w:type="pct"/>
            <w:vAlign w:val="center"/>
          </w:tcPr>
          <w:p w14:paraId="5DBB8C86" w14:textId="52AF3571" w:rsidR="009A1CBE" w:rsidRPr="00F442A8" w:rsidRDefault="00C546A7" w:rsidP="00C36284">
            <w:pPr>
              <w:keepNext/>
              <w:keepLines/>
              <w:rPr>
                <w:rFonts w:ascii="Arial Narrow" w:hAnsi="Arial Narrow" w:cs="Calibri"/>
                <w:b/>
                <w:bCs/>
                <w:color w:val="000000"/>
                <w:sz w:val="20"/>
                <w:szCs w:val="20"/>
              </w:rPr>
            </w:pPr>
            <w:r w:rsidRPr="00C546A7">
              <w:rPr>
                <w:rFonts w:ascii="Arial Narrow" w:hAnsi="Arial Narrow" w:cs="Calibri"/>
                <w:b/>
                <w:bCs/>
                <w:color w:val="000000"/>
                <w:spacing w:val="10"/>
                <w:sz w:val="20"/>
                <w:szCs w:val="20"/>
                <w:shd w:val="solid" w:color="000000" w:fill="000000"/>
                <w:fitText w:val="328" w:id="-628400628"/>
                <w14:textFill>
                  <w14:solidFill>
                    <w14:srgbClr w14:val="000000">
                      <w14:alpha w14:val="100000"/>
                    </w14:srgbClr>
                  </w14:solidFill>
                </w14:textFill>
              </w:rPr>
              <w:t>||  |</w:t>
            </w:r>
            <w:r w:rsidRPr="00C546A7">
              <w:rPr>
                <w:rFonts w:ascii="Arial Narrow" w:hAnsi="Arial Narrow" w:cs="Calibri"/>
                <w:b/>
                <w:bCs/>
                <w:color w:val="000000"/>
                <w:spacing w:val="3"/>
                <w:sz w:val="20"/>
                <w:szCs w:val="20"/>
                <w:shd w:val="solid" w:color="000000" w:fill="000000"/>
                <w:fitText w:val="328" w:id="-628400628"/>
                <w14:textFill>
                  <w14:solidFill>
                    <w14:srgbClr w14:val="000000">
                      <w14:alpha w14:val="100000"/>
                    </w14:srgbClr>
                  </w14:solidFill>
                </w14:textFill>
              </w:rPr>
              <w:t>|</w:t>
            </w:r>
            <w:r w:rsidR="00884977" w:rsidRPr="00147E19">
              <w:rPr>
                <w:rFonts w:ascii="Arial Narrow" w:hAnsi="Arial Narrow" w:cs="Calibri"/>
                <w:b/>
                <w:bCs/>
                <w:color w:val="000000"/>
                <w:sz w:val="20"/>
                <w:szCs w:val="20"/>
                <w:vertAlign w:val="superscript"/>
              </w:rPr>
              <w:t>2</w:t>
            </w:r>
          </w:p>
        </w:tc>
      </w:tr>
    </w:tbl>
    <w:p w14:paraId="5D80B10C" w14:textId="77777777" w:rsidR="009A1CBE" w:rsidRPr="00A81D44" w:rsidRDefault="009A1CBE" w:rsidP="00C36284">
      <w:pPr>
        <w:keepNext/>
        <w:keepLines/>
        <w:contextualSpacing/>
        <w:rPr>
          <w:rFonts w:ascii="Arial Narrow" w:hAnsi="Arial Narrow" w:cs="Calibri"/>
          <w:color w:val="000000"/>
          <w:sz w:val="18"/>
          <w:szCs w:val="18"/>
        </w:rPr>
      </w:pPr>
      <w:r w:rsidRPr="00A81D44">
        <w:rPr>
          <w:rFonts w:ascii="Arial Narrow" w:hAnsi="Arial Narrow" w:cs="Calibri"/>
          <w:color w:val="000000"/>
          <w:sz w:val="18"/>
          <w:szCs w:val="18"/>
          <w:u w:val="single"/>
        </w:rPr>
        <w:t>Sources</w:t>
      </w:r>
      <w:r w:rsidRPr="00A81D44">
        <w:rPr>
          <w:rFonts w:ascii="Arial Narrow" w:hAnsi="Arial Narrow" w:cs="Calibri"/>
          <w:color w:val="000000"/>
          <w:sz w:val="18"/>
          <w:szCs w:val="18"/>
        </w:rPr>
        <w:t>:</w:t>
      </w:r>
    </w:p>
    <w:p w14:paraId="2D14F00E" w14:textId="68F7029D" w:rsidR="009A1CBE" w:rsidRPr="00A81D44" w:rsidRDefault="009A1CBE" w:rsidP="00C36284">
      <w:pPr>
        <w:keepNext/>
        <w:keepLines/>
        <w:contextualSpacing/>
        <w:rPr>
          <w:rFonts w:ascii="Arial Narrow" w:hAnsi="Arial Narrow" w:cs="Calibri"/>
          <w:color w:val="000000"/>
          <w:sz w:val="18"/>
          <w:szCs w:val="18"/>
        </w:rPr>
      </w:pPr>
      <w:r w:rsidRPr="00A81D44">
        <w:rPr>
          <w:rFonts w:ascii="Arial Narrow" w:hAnsi="Arial Narrow" w:cs="Calibri"/>
          <w:color w:val="000000"/>
          <w:sz w:val="18"/>
          <w:szCs w:val="18"/>
          <w:vertAlign w:val="superscript"/>
        </w:rPr>
        <w:t xml:space="preserve">1 </w:t>
      </w:r>
      <w:r w:rsidRPr="00A81D44">
        <w:rPr>
          <w:rFonts w:ascii="Arial Narrow" w:hAnsi="Arial Narrow" w:cs="Calibri"/>
          <w:color w:val="000000"/>
          <w:sz w:val="18"/>
          <w:szCs w:val="18"/>
        </w:rPr>
        <w:t xml:space="preserve">Forecast based on AIHW Cancer in Australia Data 2024, Table S1a.1. Accessed at: </w:t>
      </w:r>
      <w:hyperlink r:id="rId12">
        <w:r w:rsidRPr="00A81D44">
          <w:rPr>
            <w:rFonts w:ascii="Arial Narrow" w:hAnsi="Arial Narrow"/>
            <w:color w:val="000000"/>
            <w:sz w:val="18"/>
            <w:szCs w:val="18"/>
          </w:rPr>
          <w:t>https://www.aihw.gov.au/getmedia/2bea39d6-4cb9-4fa7-815d-3bb56a795bb5/CDiA-2024-Book-1a-Cancer-incidence-age-standardised-rates-5-year-age-groups.xlsx</w:t>
        </w:r>
      </w:hyperlink>
    </w:p>
    <w:p w14:paraId="174A02A2" w14:textId="77777777" w:rsidR="009A1CBE" w:rsidRPr="00A81D44" w:rsidRDefault="009A1CBE" w:rsidP="00C36284">
      <w:pPr>
        <w:keepNext/>
        <w:keepLines/>
        <w:contextualSpacing/>
        <w:rPr>
          <w:rFonts w:ascii="Arial Narrow" w:hAnsi="Arial Narrow"/>
          <w:color w:val="000000"/>
          <w:sz w:val="18"/>
          <w:szCs w:val="18"/>
        </w:rPr>
      </w:pPr>
      <w:r w:rsidRPr="00A81D44">
        <w:rPr>
          <w:rFonts w:ascii="Arial Narrow" w:hAnsi="Arial Narrow" w:cs="Calibri"/>
          <w:color w:val="000000"/>
          <w:sz w:val="18"/>
          <w:szCs w:val="18"/>
          <w:vertAlign w:val="superscript"/>
        </w:rPr>
        <w:t xml:space="preserve">2 </w:t>
      </w:r>
      <w:r w:rsidRPr="00A81D44">
        <w:rPr>
          <w:rFonts w:ascii="Arial Narrow" w:hAnsi="Arial Narrow"/>
          <w:color w:val="000000"/>
          <w:sz w:val="18"/>
          <w:szCs w:val="18"/>
        </w:rPr>
        <w:t xml:space="preserve">De Heus et al. (2022). </w:t>
      </w:r>
    </w:p>
    <w:p w14:paraId="0D53C783" w14:textId="77777777" w:rsidR="009A1CBE" w:rsidRPr="00A81D44" w:rsidRDefault="009A1CBE" w:rsidP="00C36284">
      <w:pPr>
        <w:keepNext/>
        <w:keepLines/>
        <w:contextualSpacing/>
        <w:rPr>
          <w:rFonts w:ascii="Arial Narrow" w:hAnsi="Arial Narrow"/>
          <w:color w:val="000000"/>
          <w:sz w:val="18"/>
          <w:szCs w:val="18"/>
        </w:rPr>
      </w:pPr>
      <w:r w:rsidRPr="00A81D44">
        <w:rPr>
          <w:rFonts w:ascii="Arial Narrow" w:hAnsi="Arial Narrow" w:cs="Calibri"/>
          <w:color w:val="000000"/>
          <w:sz w:val="18"/>
          <w:szCs w:val="18"/>
          <w:vertAlign w:val="superscript"/>
        </w:rPr>
        <w:t xml:space="preserve">3 </w:t>
      </w:r>
      <w:r w:rsidRPr="00A81D44">
        <w:rPr>
          <w:rFonts w:ascii="Arial Narrow" w:hAnsi="Arial Narrow"/>
          <w:color w:val="000000"/>
          <w:sz w:val="18"/>
          <w:szCs w:val="18"/>
        </w:rPr>
        <w:t>Rare cancer subtypes being considered a candidate for treatment with IO. Excludes indications where a PD-(L)1 treatment is available on the PBS and those not suitable for immunotherapy.</w:t>
      </w:r>
    </w:p>
    <w:p w14:paraId="7D5BD960" w14:textId="77777777" w:rsidR="00884977" w:rsidRDefault="009A1CBE" w:rsidP="00C36284">
      <w:pPr>
        <w:keepNext/>
        <w:keepLines/>
        <w:rPr>
          <w:rFonts w:ascii="Arial Narrow" w:hAnsi="Arial Narrow" w:cs="Arial"/>
          <w:i/>
          <w:sz w:val="18"/>
          <w:szCs w:val="18"/>
        </w:rPr>
      </w:pPr>
      <w:r w:rsidRPr="00A81D44">
        <w:rPr>
          <w:rFonts w:ascii="Arial Narrow" w:hAnsi="Arial Narrow" w:cs="Calibri"/>
          <w:color w:val="000000"/>
          <w:sz w:val="18"/>
          <w:szCs w:val="18"/>
          <w:vertAlign w:val="superscript"/>
        </w:rPr>
        <w:t xml:space="preserve">4 </w:t>
      </w:r>
      <w:r w:rsidRPr="00A81D44">
        <w:rPr>
          <w:rFonts w:ascii="Arial Narrow" w:hAnsi="Arial Narrow"/>
          <w:color w:val="000000"/>
          <w:sz w:val="18"/>
          <w:szCs w:val="18"/>
        </w:rPr>
        <w:t xml:space="preserve">Uptake rate based on the </w:t>
      </w:r>
      <w:proofErr w:type="spellStart"/>
      <w:r w:rsidRPr="00A81D44">
        <w:rPr>
          <w:rFonts w:ascii="Arial Narrow" w:hAnsi="Arial Narrow"/>
          <w:color w:val="000000"/>
          <w:sz w:val="18"/>
          <w:szCs w:val="18"/>
        </w:rPr>
        <w:t>Omico</w:t>
      </w:r>
      <w:proofErr w:type="spellEnd"/>
      <w:r w:rsidRPr="00A81D44">
        <w:rPr>
          <w:rFonts w:ascii="Arial Narrow" w:hAnsi="Arial Narrow"/>
          <w:color w:val="000000"/>
          <w:sz w:val="18"/>
          <w:szCs w:val="18"/>
        </w:rPr>
        <w:t xml:space="preserve"> </w:t>
      </w:r>
      <w:proofErr w:type="spellStart"/>
      <w:r w:rsidRPr="00A81D44">
        <w:rPr>
          <w:rFonts w:ascii="Arial Narrow" w:hAnsi="Arial Narrow"/>
          <w:color w:val="000000"/>
          <w:sz w:val="18"/>
          <w:szCs w:val="18"/>
        </w:rPr>
        <w:t>clinico</w:t>
      </w:r>
      <w:proofErr w:type="spellEnd"/>
      <w:r w:rsidRPr="00A81D44">
        <w:rPr>
          <w:rFonts w:ascii="Arial Narrow" w:hAnsi="Arial Narrow"/>
          <w:color w:val="000000"/>
          <w:sz w:val="18"/>
          <w:szCs w:val="18"/>
        </w:rPr>
        <w:t>-genomic analysis.</w:t>
      </w:r>
      <w:bookmarkStart w:id="12" w:name="_Hlk210043352"/>
      <w:r w:rsidR="00884977" w:rsidRPr="00884977">
        <w:rPr>
          <w:rFonts w:ascii="Arial Narrow" w:hAnsi="Arial Narrow" w:cs="Arial"/>
          <w:i/>
          <w:sz w:val="18"/>
          <w:szCs w:val="18"/>
        </w:rPr>
        <w:t xml:space="preserve"> </w:t>
      </w:r>
    </w:p>
    <w:p w14:paraId="4DC64E06" w14:textId="3C254885" w:rsidR="00884977" w:rsidRPr="00884977" w:rsidRDefault="00884977" w:rsidP="00C36284">
      <w:pPr>
        <w:keepNext/>
        <w:keepLines/>
        <w:rPr>
          <w:rFonts w:ascii="Arial Narrow" w:hAnsi="Arial Narrow" w:cs="Arial"/>
          <w:i/>
          <w:sz w:val="18"/>
          <w:szCs w:val="18"/>
        </w:rPr>
      </w:pPr>
      <w:r w:rsidRPr="00884977">
        <w:rPr>
          <w:rFonts w:ascii="Arial Narrow" w:hAnsi="Arial Narrow" w:cs="Arial"/>
          <w:i/>
          <w:sz w:val="18"/>
          <w:szCs w:val="18"/>
        </w:rPr>
        <w:t xml:space="preserve">The redacted values correspond to the following ranges: </w:t>
      </w:r>
    </w:p>
    <w:p w14:paraId="4BAC1485" w14:textId="68FE3E3C" w:rsidR="00884977" w:rsidRPr="00884977" w:rsidRDefault="00884977" w:rsidP="00C36284">
      <w:pPr>
        <w:keepNext/>
        <w:keepLines/>
        <w:jc w:val="left"/>
        <w:rPr>
          <w:rFonts w:ascii="Arial Narrow" w:hAnsi="Arial Narrow" w:cs="Arial"/>
          <w:i/>
          <w:sz w:val="18"/>
          <w:szCs w:val="18"/>
        </w:rPr>
      </w:pPr>
      <w:r w:rsidRPr="00884977">
        <w:rPr>
          <w:rFonts w:ascii="Arial Narrow" w:hAnsi="Arial Narrow" w:cs="Arial"/>
          <w:i/>
          <w:sz w:val="18"/>
          <w:szCs w:val="18"/>
          <w:vertAlign w:val="superscript"/>
        </w:rPr>
        <w:t>1</w:t>
      </w:r>
      <w:r w:rsidRPr="00884977">
        <w:rPr>
          <w:rFonts w:ascii="Arial Narrow" w:hAnsi="Arial Narrow" w:cs="Arial"/>
          <w:i/>
          <w:sz w:val="18"/>
          <w:szCs w:val="18"/>
        </w:rPr>
        <w:t xml:space="preserve"> 20,000 to &lt; 30,000</w:t>
      </w:r>
    </w:p>
    <w:bookmarkEnd w:id="12"/>
    <w:p w14:paraId="239C1214" w14:textId="52952B4C" w:rsidR="00884977" w:rsidRPr="00884977" w:rsidRDefault="00884977" w:rsidP="00C36284">
      <w:pPr>
        <w:keepNext/>
        <w:keepLines/>
        <w:jc w:val="left"/>
        <w:rPr>
          <w:rFonts w:ascii="Arial Narrow" w:hAnsi="Arial Narrow" w:cs="Arial"/>
          <w:i/>
          <w:sz w:val="18"/>
          <w:szCs w:val="18"/>
        </w:rPr>
      </w:pPr>
      <w:r w:rsidRPr="00884977">
        <w:rPr>
          <w:rFonts w:ascii="Arial Narrow" w:hAnsi="Arial Narrow" w:cs="Arial"/>
          <w:i/>
          <w:sz w:val="18"/>
          <w:szCs w:val="18"/>
          <w:vertAlign w:val="superscript"/>
        </w:rPr>
        <w:t>2</w:t>
      </w:r>
      <w:r w:rsidRPr="00884977">
        <w:rPr>
          <w:rFonts w:ascii="Arial Narrow" w:hAnsi="Arial Narrow" w:cs="Arial"/>
          <w:i/>
          <w:sz w:val="18"/>
          <w:szCs w:val="18"/>
        </w:rPr>
        <w:t xml:space="preserve"> 500 to &lt; 5,000</w:t>
      </w:r>
    </w:p>
    <w:p w14:paraId="6219AB14" w14:textId="356E41FD" w:rsidR="009A1CBE" w:rsidRPr="00A81D44" w:rsidRDefault="009A1CBE" w:rsidP="009A1CBE">
      <w:pPr>
        <w:contextualSpacing/>
        <w:rPr>
          <w:rFonts w:ascii="Arial Narrow" w:hAnsi="Arial Narrow" w:cs="Calibri"/>
          <w:color w:val="000000"/>
          <w:sz w:val="18"/>
          <w:szCs w:val="18"/>
        </w:rPr>
      </w:pPr>
    </w:p>
    <w:p w14:paraId="2309F4C9" w14:textId="77777777" w:rsidR="0002027A" w:rsidRPr="007C64A1" w:rsidRDefault="0002027A" w:rsidP="003E1214">
      <w:pPr>
        <w:pStyle w:val="3-BodyText"/>
        <w:numPr>
          <w:ilvl w:val="0"/>
          <w:numId w:val="0"/>
        </w:numPr>
      </w:pPr>
    </w:p>
    <w:p w14:paraId="31716DDE" w14:textId="40B66A21" w:rsidR="007C7B7D" w:rsidRPr="007C7B7D" w:rsidRDefault="00495392" w:rsidP="00495392">
      <w:pPr>
        <w:pStyle w:val="3-BodyText"/>
      </w:pPr>
      <w:r w:rsidRPr="00603C87">
        <w:t xml:space="preserve">At year 6, the </w:t>
      </w:r>
      <w:r w:rsidR="00D14EAA" w:rsidRPr="00603C87">
        <w:t xml:space="preserve">submission </w:t>
      </w:r>
      <w:r w:rsidRPr="00603C87">
        <w:t xml:space="preserve">estimated number of patients was </w:t>
      </w:r>
      <w:r w:rsidR="00884977" w:rsidRPr="00884977">
        <w:t>20,000 to &lt; 30,000</w:t>
      </w:r>
      <w:r w:rsidR="00E0649F" w:rsidRPr="00603C87">
        <w:t xml:space="preserve"> </w:t>
      </w:r>
      <w:r w:rsidRPr="00603C87">
        <w:t>and the net cost to the PBS</w:t>
      </w:r>
      <w:r w:rsidR="00A80041" w:rsidRPr="00603C87">
        <w:t xml:space="preserve"> and RPBS</w:t>
      </w:r>
      <w:r w:rsidRPr="00603C87">
        <w:t xml:space="preserve"> would be $</w:t>
      </w:r>
      <w:r w:rsidR="00CC4037">
        <w:t>&gt; 1</w:t>
      </w:r>
      <w:r w:rsidR="0046008E">
        <w:t xml:space="preserve"> billion</w:t>
      </w:r>
      <w:r w:rsidR="002D0C4E">
        <w:t xml:space="preserve"> </w:t>
      </w:r>
      <w:r w:rsidR="00C91DFE">
        <w:t>(excluding RSA rebates)</w:t>
      </w:r>
      <w:r w:rsidRPr="000D3858">
        <w:rPr>
          <w:rFonts w:ascii="Arial" w:hAnsi="Arial"/>
          <w:sz w:val="22"/>
        </w:rPr>
        <w:t>.</w:t>
      </w:r>
      <w:r>
        <w:rPr>
          <w:rFonts w:ascii="Arial" w:hAnsi="Arial"/>
          <w:sz w:val="22"/>
        </w:rPr>
        <w:t xml:space="preserve"> </w:t>
      </w:r>
    </w:p>
    <w:p w14:paraId="3478834F" w14:textId="3D595E1B" w:rsidR="00D819B4" w:rsidRDefault="00377E78" w:rsidP="007C7B7D">
      <w:pPr>
        <w:pStyle w:val="2-SectionHeading"/>
      </w:pPr>
      <w:r>
        <w:t>PBAC Outcome</w:t>
      </w:r>
    </w:p>
    <w:p w14:paraId="0292AD36" w14:textId="5695D0C4" w:rsidR="00D819B4" w:rsidRDefault="00377E78" w:rsidP="00377E78">
      <w:pPr>
        <w:pStyle w:val="3-BodyText"/>
      </w:pPr>
      <w:r>
        <w:t xml:space="preserve">The PBAC deferred </w:t>
      </w:r>
      <w:r w:rsidR="008E0065">
        <w:t xml:space="preserve">making a recommendation for an expanded listing of </w:t>
      </w:r>
      <w:r w:rsidR="008A4EB6">
        <w:t>nivolumab and ipilimumab for unresectable advanced and metastatic cancer.</w:t>
      </w:r>
      <w:r w:rsidR="007C6396">
        <w:t xml:space="preserve"> The PBAC considered</w:t>
      </w:r>
      <w:r w:rsidR="00CD7D63">
        <w:t xml:space="preserve"> the proposal </w:t>
      </w:r>
      <w:r w:rsidR="006E260F">
        <w:t>had</w:t>
      </w:r>
      <w:r w:rsidR="00CD7D63">
        <w:t xml:space="preserve"> addressed most of</w:t>
      </w:r>
      <w:r w:rsidR="006E260F">
        <w:t xml:space="preserve"> its expectations for a broad listing proposal</w:t>
      </w:r>
      <w:r w:rsidR="00E53D8A">
        <w:t xml:space="preserve"> but that</w:t>
      </w:r>
      <w:r w:rsidR="00CD7D63">
        <w:t xml:space="preserve"> </w:t>
      </w:r>
      <w:r w:rsidR="007C6396">
        <w:t>a deferral would be appropriate to allow the sponsor to consider revisions to the RSA structure requested by the committee and</w:t>
      </w:r>
      <w:r w:rsidR="00E53D8A">
        <w:t xml:space="preserve"> give time for the sponsor to</w:t>
      </w:r>
      <w:r w:rsidR="007C6396">
        <w:t xml:space="preserve"> provide an updated proposal that aligns with these parameters.</w:t>
      </w:r>
    </w:p>
    <w:p w14:paraId="500738F8" w14:textId="48EBEEE9" w:rsidR="00365F93" w:rsidRDefault="00365F93" w:rsidP="00377E78">
      <w:pPr>
        <w:pStyle w:val="3-BodyText"/>
      </w:pPr>
      <w:r>
        <w:t>The PBAC reaffirmed its December 2023 advice that a broad listing for nivolumab and ipilimumab would be appropriate with a Risk Sharing Arrangement (RSA) that provided confidence regarding total cost to Government and cost-effectiveness of a broad listing</w:t>
      </w:r>
      <w:bookmarkStart w:id="13" w:name="_Hlk156408002"/>
      <w:r>
        <w:t>, and that a substantial price reduction versus the current PBS prices would likely be required</w:t>
      </w:r>
      <w:bookmarkEnd w:id="13"/>
      <w:r w:rsidR="005355DC">
        <w:t xml:space="preserve"> and a cap on total expenditure</w:t>
      </w:r>
      <w:r>
        <w:t>.</w:t>
      </w:r>
    </w:p>
    <w:p w14:paraId="3A78D5A7" w14:textId="6804580D" w:rsidR="00763706" w:rsidRPr="00763706" w:rsidRDefault="00763706" w:rsidP="00763706">
      <w:pPr>
        <w:pStyle w:val="5-SubsectionSubheading"/>
      </w:pPr>
      <w:r>
        <w:t xml:space="preserve">Proposed restriction and scope </w:t>
      </w:r>
    </w:p>
    <w:p w14:paraId="75704335" w14:textId="27F43340" w:rsidR="004B1590" w:rsidRDefault="004B1590" w:rsidP="00D34CE9">
      <w:pPr>
        <w:pStyle w:val="3-BodyText"/>
      </w:pPr>
      <w:r>
        <w:t>The PBAC supported the</w:t>
      </w:r>
      <w:r w:rsidR="00173EF1">
        <w:t xml:space="preserve"> Secretariat’s proposed amendments to the </w:t>
      </w:r>
      <w:r w:rsidR="005542DB">
        <w:t>proposed restriction</w:t>
      </w:r>
      <w:r w:rsidR="00173EF1">
        <w:t xml:space="preserve">, including the </w:t>
      </w:r>
      <w:r w:rsidR="005542DB">
        <w:t xml:space="preserve">inclusion of the </w:t>
      </w:r>
      <w:r w:rsidR="00173EF1">
        <w:t>clinical criteria:</w:t>
      </w:r>
    </w:p>
    <w:p w14:paraId="3805AA0A" w14:textId="4202C703" w:rsidR="00173EF1" w:rsidRDefault="00173EF1" w:rsidP="00173EF1">
      <w:pPr>
        <w:pStyle w:val="3-BodyText"/>
        <w:numPr>
          <w:ilvl w:val="0"/>
          <w:numId w:val="0"/>
        </w:numPr>
        <w:ind w:left="720"/>
      </w:pPr>
      <w:r w:rsidRPr="00173EF1">
        <w:t>Patient must not have developed disease progression while receiving PBS-subsidised treatment with this drug for the condition which treatment was commenced for.</w:t>
      </w:r>
    </w:p>
    <w:p w14:paraId="4F816E67" w14:textId="5888068D" w:rsidR="00C931A2" w:rsidRDefault="00426CEB" w:rsidP="00D34CE9">
      <w:pPr>
        <w:pStyle w:val="3-BodyText"/>
      </w:pPr>
      <w:r>
        <w:t>The PBAC noted the sponsor</w:t>
      </w:r>
      <w:r w:rsidR="002D792F">
        <w:t xml:space="preserve"> requested an</w:t>
      </w:r>
      <w:r w:rsidR="00C931A2">
        <w:t xml:space="preserve"> administrative advice be included on ipilimumab of:</w:t>
      </w:r>
    </w:p>
    <w:p w14:paraId="337536CB" w14:textId="77777777" w:rsidR="00C931A2" w:rsidRDefault="00C931A2" w:rsidP="00C931A2">
      <w:pPr>
        <w:pStyle w:val="3-BodyText"/>
        <w:numPr>
          <w:ilvl w:val="0"/>
          <w:numId w:val="0"/>
        </w:numPr>
        <w:ind w:left="1440"/>
        <w:rPr>
          <w:rFonts w:eastAsia="Trebuchet MS" w:cs="Trebuchet MS"/>
          <w:i/>
          <w:iCs/>
        </w:rPr>
      </w:pPr>
      <w:r w:rsidRPr="0070211E">
        <w:rPr>
          <w:rFonts w:eastAsia="Trebuchet MS" w:cs="Trebuchet MS"/>
        </w:rPr>
        <w:lastRenderedPageBreak/>
        <w:t>In the first few months after starting immunotherapy, a transient tumour flare may occur that may be mistaken as disease progression despite an overall positive response to treatment</w:t>
      </w:r>
      <w:r>
        <w:rPr>
          <w:rFonts w:eastAsia="Trebuchet MS" w:cs="Trebuchet MS"/>
          <w:i/>
          <w:iCs/>
        </w:rPr>
        <w:t>.</w:t>
      </w:r>
    </w:p>
    <w:p w14:paraId="32C3C743" w14:textId="3571964C" w:rsidR="00C931A2" w:rsidRPr="002D792F" w:rsidRDefault="00C931A2" w:rsidP="00C931A2">
      <w:pPr>
        <w:pStyle w:val="3-BodyText"/>
        <w:numPr>
          <w:ilvl w:val="0"/>
          <w:numId w:val="0"/>
        </w:numPr>
        <w:ind w:left="720"/>
        <w:rPr>
          <w:rFonts w:eastAsia="Trebuchet MS" w:cs="Trebuchet MS"/>
        </w:rPr>
      </w:pPr>
      <w:r w:rsidRPr="002D792F">
        <w:rPr>
          <w:rFonts w:eastAsia="Trebuchet MS" w:cs="Trebuchet MS"/>
        </w:rPr>
        <w:t xml:space="preserve">The </w:t>
      </w:r>
      <w:r w:rsidR="002D792F" w:rsidRPr="002D792F">
        <w:rPr>
          <w:rFonts w:eastAsia="Trebuchet MS" w:cs="Trebuchet MS"/>
        </w:rPr>
        <w:t xml:space="preserve">PBAC </w:t>
      </w:r>
      <w:r w:rsidRPr="002D792F">
        <w:rPr>
          <w:rFonts w:eastAsia="Trebuchet MS" w:cs="Trebuchet MS"/>
        </w:rPr>
        <w:t>note</w:t>
      </w:r>
      <w:r w:rsidR="002D792F" w:rsidRPr="002D792F">
        <w:rPr>
          <w:rFonts w:eastAsia="Trebuchet MS" w:cs="Trebuchet MS"/>
        </w:rPr>
        <w:t>d</w:t>
      </w:r>
      <w:r w:rsidRPr="002D792F">
        <w:rPr>
          <w:rFonts w:eastAsia="Trebuchet MS" w:cs="Trebuchet MS"/>
        </w:rPr>
        <w:t xml:space="preserve"> recent listings for nivolumab and ipilimumab have not contained this note. </w:t>
      </w:r>
      <w:r w:rsidR="002D792F" w:rsidRPr="002D792F">
        <w:rPr>
          <w:rFonts w:eastAsia="Trebuchet MS" w:cs="Trebuchet MS"/>
        </w:rPr>
        <w:t>It recalled t</w:t>
      </w:r>
      <w:r w:rsidRPr="002D792F">
        <w:rPr>
          <w:rFonts w:eastAsia="Trebuchet MS" w:cs="Trebuchet MS"/>
        </w:rPr>
        <w:t xml:space="preserve">he note was introduced when PD-(L)1 inhibitors were relatively new to the Australian market. Given there is now considerable experience in the use of these drugs in the Australian context, the note may no longer be required. The PBAC considered it would be appropriate to remove this advice in the proposed restriction for the broad listing and for the </w:t>
      </w:r>
      <w:r w:rsidR="00407929">
        <w:rPr>
          <w:rFonts w:eastAsia="Trebuchet MS" w:cs="Trebuchet MS"/>
        </w:rPr>
        <w:t xml:space="preserve">relevant </w:t>
      </w:r>
      <w:r w:rsidRPr="002D792F">
        <w:rPr>
          <w:rFonts w:eastAsia="Trebuchet MS" w:cs="Trebuchet MS"/>
        </w:rPr>
        <w:t>existing listings for</w:t>
      </w:r>
      <w:r w:rsidR="00E53D8A">
        <w:rPr>
          <w:rFonts w:eastAsia="Trebuchet MS" w:cs="Trebuchet MS"/>
        </w:rPr>
        <w:t xml:space="preserve"> any other</w:t>
      </w:r>
      <w:r w:rsidRPr="002D792F">
        <w:rPr>
          <w:rFonts w:eastAsia="Trebuchet MS" w:cs="Trebuchet MS"/>
        </w:rPr>
        <w:t xml:space="preserve"> PD-(L)1 inhibitors.</w:t>
      </w:r>
    </w:p>
    <w:p w14:paraId="7789A342" w14:textId="7DA8A9E5" w:rsidR="00724F36" w:rsidRPr="00112023" w:rsidRDefault="00724F36" w:rsidP="00724F36">
      <w:pPr>
        <w:pStyle w:val="3-BodyText"/>
      </w:pPr>
      <w:r w:rsidRPr="00112023">
        <w:t>The Secretariat note</w:t>
      </w:r>
      <w:r w:rsidR="00173EF1">
        <w:t>d</w:t>
      </w:r>
      <w:r w:rsidRPr="00112023">
        <w:t xml:space="preserve"> some listings for ipilimumab where it is intended to be used in combination with nivolumab also contain the following administrative advice:</w:t>
      </w:r>
    </w:p>
    <w:p w14:paraId="7649206C" w14:textId="77777777" w:rsidR="00724F36" w:rsidRPr="00112023" w:rsidRDefault="00724F36" w:rsidP="00724F36">
      <w:pPr>
        <w:pStyle w:val="3-BodyText"/>
        <w:numPr>
          <w:ilvl w:val="0"/>
          <w:numId w:val="0"/>
        </w:numPr>
        <w:ind w:left="1440"/>
      </w:pPr>
      <w:r w:rsidRPr="00112023">
        <w:t>Combination treatment with ipilimumab and nivolumab is associated with an increased incidence and severity of immune-related adverse reactions compared with monotherapy with these agents. Monitoring at least prior to each dose is recommended.</w:t>
      </w:r>
    </w:p>
    <w:p w14:paraId="6E6DBC67" w14:textId="3C284021" w:rsidR="00724F36" w:rsidRPr="005331F2" w:rsidRDefault="00112023" w:rsidP="00724F36">
      <w:pPr>
        <w:pStyle w:val="3-BodyText"/>
        <w:numPr>
          <w:ilvl w:val="0"/>
          <w:numId w:val="0"/>
        </w:numPr>
        <w:ind w:left="720"/>
        <w:rPr>
          <w:i/>
          <w:iCs/>
        </w:rPr>
      </w:pPr>
      <w:r w:rsidRPr="00112023">
        <w:t>The PBAC did not consider this administrative advice would be required</w:t>
      </w:r>
      <w:r>
        <w:t xml:space="preserve"> for the proposed listing</w:t>
      </w:r>
      <w:r w:rsidR="00724F36" w:rsidRPr="005331F2">
        <w:rPr>
          <w:i/>
          <w:iCs/>
        </w:rPr>
        <w:t>.</w:t>
      </w:r>
    </w:p>
    <w:p w14:paraId="655B2990" w14:textId="443328EA" w:rsidR="00C931A2" w:rsidRDefault="00112023" w:rsidP="00377E78">
      <w:pPr>
        <w:pStyle w:val="3-BodyText"/>
      </w:pPr>
      <w:r>
        <w:t xml:space="preserve">The PBAC </w:t>
      </w:r>
      <w:r w:rsidR="0059369C">
        <w:t>considered the proposed maximum amounts and repeats for the listing were appropriate.</w:t>
      </w:r>
    </w:p>
    <w:p w14:paraId="5C8D02E8" w14:textId="799E949C" w:rsidR="0059369C" w:rsidRDefault="0059369C" w:rsidP="00377E78">
      <w:pPr>
        <w:pStyle w:val="3-BodyText"/>
      </w:pPr>
      <w:r>
        <w:t xml:space="preserve">The PBAC noted the word ‘unresectable’ was </w:t>
      </w:r>
      <w:r w:rsidR="009D6A18">
        <w:t>used in different context</w:t>
      </w:r>
      <w:r w:rsidR="00C771E9">
        <w:t>s clinically</w:t>
      </w:r>
      <w:r w:rsidR="009D6A18">
        <w:t xml:space="preserve"> and</w:t>
      </w:r>
      <w:r w:rsidR="00E510B2">
        <w:t xml:space="preserve"> is</w:t>
      </w:r>
      <w:r w:rsidR="00BF42AB">
        <w:t xml:space="preserve"> not consistently defined</w:t>
      </w:r>
      <w:r w:rsidR="00E510B2">
        <w:t xml:space="preserve"> in clinical literature</w:t>
      </w:r>
      <w:r w:rsidR="00BF42AB">
        <w:t xml:space="preserve">. It considered the </w:t>
      </w:r>
      <w:r w:rsidR="009D6A18">
        <w:t xml:space="preserve">inclusion </w:t>
      </w:r>
      <w:r w:rsidR="00BF42AB">
        <w:t xml:space="preserve">of ‘unresectable’ </w:t>
      </w:r>
      <w:r w:rsidR="009D6A18">
        <w:t xml:space="preserve">in the </w:t>
      </w:r>
      <w:r w:rsidR="00BF42AB">
        <w:t xml:space="preserve">proposed </w:t>
      </w:r>
      <w:r w:rsidR="008E7C3D">
        <w:t>in</w:t>
      </w:r>
      <w:r w:rsidR="00BF42AB">
        <w:t>dica</w:t>
      </w:r>
      <w:r w:rsidR="008E7C3D">
        <w:t>tion</w:t>
      </w:r>
      <w:r w:rsidR="009D6A18">
        <w:t xml:space="preserve"> may result in confusion as to t</w:t>
      </w:r>
      <w:r w:rsidR="008E7C3D">
        <w:t>h</w:t>
      </w:r>
      <w:r w:rsidR="009D6A18">
        <w:t>e intent of the listing</w:t>
      </w:r>
      <w:r w:rsidR="005542DB">
        <w:t xml:space="preserve"> and </w:t>
      </w:r>
      <w:r w:rsidR="00F94B23">
        <w:t>unintentionally inhibit some patients’ access to the medicines</w:t>
      </w:r>
      <w:r w:rsidR="009D6A18">
        <w:t xml:space="preserve">. </w:t>
      </w:r>
      <w:r w:rsidR="00DC4F38" w:rsidRPr="00DC4F38">
        <w:t>The PBAC considered it may be appropriate to remove the word ‘unresectable’. The PBAC also considered it appropriate to add the words ‘immunotherapy sensitive’'', given the expectation of use restricted to evidence</w:t>
      </w:r>
      <w:r w:rsidR="00DC4F38">
        <w:t>-</w:t>
      </w:r>
      <w:r w:rsidR="00DC4F38" w:rsidRPr="00DC4F38">
        <w:t>based indications.</w:t>
      </w:r>
      <w:r w:rsidR="008E7C3D">
        <w:t xml:space="preserve"> The PBAC asked the sponsor </w:t>
      </w:r>
      <w:r w:rsidR="00935F39">
        <w:t xml:space="preserve">to </w:t>
      </w:r>
      <w:r w:rsidR="008E7C3D">
        <w:t xml:space="preserve">consider this alternate wording, or </w:t>
      </w:r>
      <w:r w:rsidR="00C771E9">
        <w:t>wording to the same effect</w:t>
      </w:r>
      <w:r w:rsidR="00BF42AB">
        <w:t>,</w:t>
      </w:r>
      <w:r w:rsidR="00C771E9">
        <w:t xml:space="preserve"> in any</w:t>
      </w:r>
      <w:r w:rsidR="00BF42AB">
        <w:t xml:space="preserve"> updated</w:t>
      </w:r>
      <w:r w:rsidR="00C771E9">
        <w:t xml:space="preserve"> proposals.</w:t>
      </w:r>
    </w:p>
    <w:p w14:paraId="283C2909" w14:textId="393F21F9" w:rsidR="00763706" w:rsidRDefault="00763706" w:rsidP="00763706">
      <w:pPr>
        <w:pStyle w:val="5-SubsectionSubheading"/>
      </w:pPr>
      <w:r>
        <w:t>Pricing</w:t>
      </w:r>
    </w:p>
    <w:p w14:paraId="3EE54D92" w14:textId="75334E95" w:rsidR="009911D8" w:rsidRDefault="00763706" w:rsidP="00D34CE9">
      <w:pPr>
        <w:pStyle w:val="3-BodyText"/>
      </w:pPr>
      <w:r>
        <w:t xml:space="preserve">The PBAC noted </w:t>
      </w:r>
      <w:r w:rsidR="009911D8">
        <w:t>a single weighted price based on</w:t>
      </w:r>
      <w:r w:rsidR="00F94B23" w:rsidRPr="000144D7">
        <w:t xml:space="preserve"> the </w:t>
      </w:r>
      <w:r w:rsidR="00F94B23">
        <w:t xml:space="preserve">PBS Benefits </w:t>
      </w:r>
      <w:r w:rsidR="0045343F">
        <w:t>was proposed for the existing</w:t>
      </w:r>
      <w:r w:rsidR="00F94B23" w:rsidRPr="000144D7">
        <w:t xml:space="preserve"> advanced/metastatic indication</w:t>
      </w:r>
      <w:r w:rsidR="00FA4BA9">
        <w:t>s</w:t>
      </w:r>
      <w:r w:rsidR="00F94B23">
        <w:t xml:space="preserve"> currently PBS listed over a recent 12</w:t>
      </w:r>
      <w:r w:rsidR="00E209F9">
        <w:noBreakHyphen/>
      </w:r>
      <w:r w:rsidR="00F94B23">
        <w:t>month period.</w:t>
      </w:r>
      <w:r w:rsidR="00005CEA">
        <w:t xml:space="preserve"> </w:t>
      </w:r>
      <w:r w:rsidR="009911D8">
        <w:t xml:space="preserve">The PBAC considered </w:t>
      </w:r>
      <w:r w:rsidR="00005CEA">
        <w:t xml:space="preserve">that while </w:t>
      </w:r>
      <w:r w:rsidR="00F94B23">
        <w:t>use of a weighted price</w:t>
      </w:r>
      <w:r w:rsidR="009911D8">
        <w:t xml:space="preserve"> was </w:t>
      </w:r>
      <w:r w:rsidR="00005CEA">
        <w:t xml:space="preserve">an </w:t>
      </w:r>
      <w:r w:rsidR="006B627A">
        <w:t xml:space="preserve">acceptable </w:t>
      </w:r>
      <w:r w:rsidR="00005CEA">
        <w:t xml:space="preserve">approach, </w:t>
      </w:r>
      <w:r w:rsidR="00F41F4C">
        <w:t xml:space="preserve">it may be </w:t>
      </w:r>
      <w:r w:rsidR="00E209F9">
        <w:t xml:space="preserve">relevant to consider </w:t>
      </w:r>
      <w:r w:rsidR="0011545D">
        <w:t>the</w:t>
      </w:r>
      <w:r w:rsidR="00E209F9">
        <w:t xml:space="preserve"> </w:t>
      </w:r>
      <w:r w:rsidR="00F64487">
        <w:t>modelled utilisation</w:t>
      </w:r>
      <w:r w:rsidR="009911D8">
        <w:t xml:space="preserve"> </w:t>
      </w:r>
      <w:r w:rsidR="00A60953">
        <w:t>over the forward years</w:t>
      </w:r>
      <w:r w:rsidR="00282284">
        <w:t xml:space="preserve"> and an appr</w:t>
      </w:r>
      <w:r w:rsidR="00811F90">
        <w:t xml:space="preserve">opriate approach be </w:t>
      </w:r>
      <w:r w:rsidR="009911D8">
        <w:t xml:space="preserve">negotiated </w:t>
      </w:r>
      <w:r w:rsidR="00811F90">
        <w:t xml:space="preserve">with </w:t>
      </w:r>
      <w:r w:rsidR="009911D8">
        <w:t>the Department</w:t>
      </w:r>
      <w:r w:rsidR="009F05B9">
        <w:t xml:space="preserve"> should a positive recommendation be made</w:t>
      </w:r>
      <w:r w:rsidR="00140DE1">
        <w:t>.</w:t>
      </w:r>
      <w:r w:rsidR="00140DE1" w:rsidDel="00140DE1">
        <w:t xml:space="preserve"> </w:t>
      </w:r>
    </w:p>
    <w:p w14:paraId="2919421F" w14:textId="4C78DD0E" w:rsidR="009911D8" w:rsidRDefault="006B627A" w:rsidP="00763706">
      <w:pPr>
        <w:pStyle w:val="3-BodyText"/>
      </w:pPr>
      <w:r>
        <w:t xml:space="preserve">The PBAC noted this weighted price would be applied to </w:t>
      </w:r>
      <w:r w:rsidR="00BF42AB">
        <w:t>utilisation</w:t>
      </w:r>
      <w:r>
        <w:t xml:space="preserve"> under the first tier of the proposed RSA and the cap for </w:t>
      </w:r>
      <w:r w:rsidR="00BF42AB">
        <w:t>utilisation</w:t>
      </w:r>
      <w:r>
        <w:t xml:space="preserve"> would be set based on extrapolated </w:t>
      </w:r>
      <w:r w:rsidR="00975FDD">
        <w:t>utilisation</w:t>
      </w:r>
      <w:r>
        <w:t xml:space="preserve"> of the exiting listing</w:t>
      </w:r>
      <w:r w:rsidR="008A786C">
        <w:t>s</w:t>
      </w:r>
      <w:r>
        <w:t xml:space="preserve">. </w:t>
      </w:r>
      <w:r w:rsidR="00EB0171">
        <w:t>This was intended to effectively maintain the</w:t>
      </w:r>
      <w:r w:rsidR="00ED4057">
        <w:t xml:space="preserve"> existing prices for current listings. </w:t>
      </w:r>
    </w:p>
    <w:p w14:paraId="015A0C83" w14:textId="77777777" w:rsidR="008B3846" w:rsidRPr="00A717B2" w:rsidRDefault="008B3846" w:rsidP="008B3846">
      <w:pPr>
        <w:pStyle w:val="3-BodyText"/>
        <w:rPr>
          <w:i/>
          <w:iCs/>
        </w:rPr>
      </w:pPr>
      <w:r>
        <w:lastRenderedPageBreak/>
        <w:t>The PBAC reaffirmed its view that a cap on overall expenditure would be appropriate given the level of uncertainty in uptake and potential for leakage outside the intended populations.</w:t>
      </w:r>
    </w:p>
    <w:p w14:paraId="12CC670A" w14:textId="40A574C2" w:rsidR="008B3846" w:rsidRPr="00391333" w:rsidRDefault="008B3846" w:rsidP="00391333">
      <w:pPr>
        <w:pStyle w:val="3-BodyText"/>
        <w:rPr>
          <w:i/>
          <w:iCs/>
        </w:rPr>
      </w:pPr>
      <w:r>
        <w:t xml:space="preserve">The PBAC noted the proposal was to provide a </w:t>
      </w:r>
      <w:r w:rsidR="00C546A7" w:rsidRPr="00C546A7">
        <w:rPr>
          <w:color w:val="000000"/>
          <w:w w:val="61"/>
          <w:shd w:val="solid" w:color="000000" w:fill="000000"/>
          <w:fitText w:val="472" w:id="-628400627"/>
          <w14:textFill>
            <w14:solidFill>
              <w14:srgbClr w14:val="000000">
                <w14:alpha w14:val="100000"/>
              </w14:srgbClr>
            </w14:solidFill>
          </w14:textFill>
        </w:rPr>
        <w:t>|||  ||</w:t>
      </w:r>
      <w:r w:rsidR="00C546A7" w:rsidRPr="00C546A7">
        <w:rPr>
          <w:color w:val="000000"/>
          <w:spacing w:val="2"/>
          <w:w w:val="61"/>
          <w:shd w:val="solid" w:color="000000" w:fill="000000"/>
          <w:fitText w:val="472" w:id="-628400627"/>
          <w14:textFill>
            <w14:solidFill>
              <w14:srgbClr w14:val="000000">
                <w14:alpha w14:val="100000"/>
              </w14:srgbClr>
            </w14:solidFill>
          </w14:textFill>
        </w:rPr>
        <w:t>|</w:t>
      </w:r>
      <w:r>
        <w:t xml:space="preserve">% discount overall through a two-tier rebate arrangement. </w:t>
      </w:r>
      <w:r w:rsidR="009157FA">
        <w:t xml:space="preserve">The PBAC considered that </w:t>
      </w:r>
      <w:r w:rsidR="009B7994">
        <w:t xml:space="preserve">nivolumab and ipilimumab </w:t>
      </w:r>
      <w:r w:rsidR="00DD0CFA">
        <w:t>were likely to be</w:t>
      </w:r>
      <w:r w:rsidR="003908E4">
        <w:t xml:space="preserve"> acceptabl</w:t>
      </w:r>
      <w:r w:rsidR="00DD0CFA">
        <w:t>y cost-effective</w:t>
      </w:r>
      <w:r w:rsidR="003908E4">
        <w:t xml:space="preserve"> </w:t>
      </w:r>
      <w:r w:rsidR="00FA2F41">
        <w:t xml:space="preserve">in the identified additional populations eligible under a broad advanced and metastatic cancer listing, </w:t>
      </w:r>
      <w:r w:rsidR="00E64D46">
        <w:t xml:space="preserve">with a </w:t>
      </w:r>
      <w:r w:rsidR="00C546A7" w:rsidRPr="00C546A7">
        <w:rPr>
          <w:color w:val="000000"/>
          <w:w w:val="61"/>
          <w:shd w:val="solid" w:color="000000" w:fill="000000"/>
          <w:fitText w:val="472" w:id="-628400626"/>
          <w14:textFill>
            <w14:solidFill>
              <w14:srgbClr w14:val="000000">
                <w14:alpha w14:val="100000"/>
              </w14:srgbClr>
            </w14:solidFill>
          </w14:textFill>
        </w:rPr>
        <w:t>|||  ||</w:t>
      </w:r>
      <w:r w:rsidR="00C546A7" w:rsidRPr="00C546A7">
        <w:rPr>
          <w:color w:val="000000"/>
          <w:spacing w:val="2"/>
          <w:w w:val="61"/>
          <w:shd w:val="solid" w:color="000000" w:fill="000000"/>
          <w:fitText w:val="472" w:id="-628400626"/>
          <w14:textFill>
            <w14:solidFill>
              <w14:srgbClr w14:val="000000">
                <w14:alpha w14:val="100000"/>
              </w14:srgbClr>
            </w14:solidFill>
          </w14:textFill>
        </w:rPr>
        <w:t>|</w:t>
      </w:r>
      <w:r w:rsidR="00E64D46">
        <w:t xml:space="preserve">% reduction in the current </w:t>
      </w:r>
      <w:r w:rsidR="00DA709F">
        <w:t xml:space="preserve">advanced/metastatic </w:t>
      </w:r>
      <w:r w:rsidR="00E64D46">
        <w:t>weighted price</w:t>
      </w:r>
      <w:r w:rsidR="00FA2F41">
        <w:t>s</w:t>
      </w:r>
      <w:r w:rsidR="00F87E01">
        <w:t xml:space="preserve">. </w:t>
      </w:r>
    </w:p>
    <w:p w14:paraId="475DBE31" w14:textId="34A10026" w:rsidR="00694236" w:rsidRDefault="00694236" w:rsidP="00694236">
      <w:pPr>
        <w:pStyle w:val="5-SubsectionSubheading"/>
      </w:pPr>
      <w:r>
        <w:t>Financial and utilisation estimates</w:t>
      </w:r>
    </w:p>
    <w:p w14:paraId="72563829" w14:textId="06E74F68" w:rsidR="00694236" w:rsidRDefault="00694236" w:rsidP="00694236">
      <w:pPr>
        <w:pStyle w:val="3-BodyText"/>
      </w:pPr>
      <w:bookmarkStart w:id="14" w:name="_Ref204762703"/>
      <w:r>
        <w:t>The PBAC considered the time on treatment</w:t>
      </w:r>
      <w:r w:rsidR="00A94E4C">
        <w:t xml:space="preserve"> and estimated dosing for rare cancers</w:t>
      </w:r>
      <w:r>
        <w:t xml:space="preserve"> in the financial estimates was likely over-estimated</w:t>
      </w:r>
      <w:bookmarkEnd w:id="14"/>
      <w:r w:rsidR="006246F4">
        <w:t xml:space="preserve">. </w:t>
      </w:r>
    </w:p>
    <w:p w14:paraId="7297BB78" w14:textId="55AA81E6" w:rsidR="00391333" w:rsidRPr="0038157B" w:rsidRDefault="00694236" w:rsidP="00D34CE9">
      <w:pPr>
        <w:pStyle w:val="3-BodyText"/>
        <w:rPr>
          <w:i/>
          <w:iCs/>
        </w:rPr>
      </w:pPr>
      <w:r>
        <w:t xml:space="preserve">The PBAC noted there remained uncertainty in the financial estimates and agreed a risk </w:t>
      </w:r>
      <w:r w:rsidR="00D6030A">
        <w:t xml:space="preserve">sharing </w:t>
      </w:r>
      <w:r>
        <w:t xml:space="preserve">arrangement would be appropriate. </w:t>
      </w:r>
    </w:p>
    <w:p w14:paraId="0C38D3CC" w14:textId="30F25AA8" w:rsidR="00763706" w:rsidRDefault="00763706" w:rsidP="00763706">
      <w:pPr>
        <w:pStyle w:val="5-SubsectionSubheading"/>
      </w:pPr>
      <w:r>
        <w:t xml:space="preserve">Risk </w:t>
      </w:r>
      <w:r w:rsidR="005916F1">
        <w:t xml:space="preserve">Sharing </w:t>
      </w:r>
      <w:r>
        <w:t xml:space="preserve">Arrangement </w:t>
      </w:r>
    </w:p>
    <w:p w14:paraId="58D8345B" w14:textId="36AAA840" w:rsidR="00152CCB" w:rsidRPr="003A7A74" w:rsidRDefault="00401D7A" w:rsidP="0079739E">
      <w:pPr>
        <w:pStyle w:val="3-BodyText"/>
        <w:rPr>
          <w:i/>
          <w:iCs/>
        </w:rPr>
      </w:pPr>
      <w:bookmarkStart w:id="15" w:name="_Ref204764042"/>
      <w:r>
        <w:t xml:space="preserve">The PBAC </w:t>
      </w:r>
      <w:r w:rsidR="00AE332D">
        <w:t>proposed</w:t>
      </w:r>
      <w:r>
        <w:t xml:space="preserve"> that the </w:t>
      </w:r>
      <w:r w:rsidR="0012645E">
        <w:t xml:space="preserve">RSA </w:t>
      </w:r>
      <w:r w:rsidR="00B158DC">
        <w:t xml:space="preserve">structure </w:t>
      </w:r>
      <w:r w:rsidR="0012645E">
        <w:t>should be guided by the following</w:t>
      </w:r>
      <w:r w:rsidR="00BF3769">
        <w:t>:</w:t>
      </w:r>
      <w:bookmarkEnd w:id="15"/>
      <w:r w:rsidR="0012645E">
        <w:t xml:space="preserve"> </w:t>
      </w:r>
    </w:p>
    <w:p w14:paraId="691636D6" w14:textId="4E3A0FDB" w:rsidR="003B7C24" w:rsidRPr="003A7A74" w:rsidRDefault="00A8668C" w:rsidP="007477FB">
      <w:pPr>
        <w:pStyle w:val="3-BodyText"/>
        <w:numPr>
          <w:ilvl w:val="0"/>
          <w:numId w:val="55"/>
        </w:numPr>
        <w:ind w:left="1134"/>
        <w:rPr>
          <w:i/>
          <w:iCs/>
        </w:rPr>
      </w:pPr>
      <w:r>
        <w:t>A two-tier subsidisation cap (SC) arrangement</w:t>
      </w:r>
      <w:r w:rsidR="00AE332D">
        <w:t>,</w:t>
      </w:r>
      <w:r>
        <w:t xml:space="preserve"> where </w:t>
      </w:r>
      <w:r w:rsidR="00DA030D">
        <w:t xml:space="preserve">the rebate above SC1 </w:t>
      </w:r>
      <w:r w:rsidR="00AE332D">
        <w:t>delivers</w:t>
      </w:r>
      <w:r w:rsidR="00301270">
        <w:t xml:space="preserve"> </w:t>
      </w:r>
      <w:r w:rsidR="001D1CBF">
        <w:t xml:space="preserve">a </w:t>
      </w:r>
      <w:r w:rsidR="00292B47">
        <w:t xml:space="preserve">price </w:t>
      </w:r>
      <w:r w:rsidR="001D1CBF">
        <w:t>reduction</w:t>
      </w:r>
      <w:r w:rsidR="00CA0C13">
        <w:t xml:space="preserve"> </w:t>
      </w:r>
      <w:r w:rsidR="001D1CBF">
        <w:t xml:space="preserve">for the additional population, </w:t>
      </w:r>
      <w:r w:rsidR="00153A11">
        <w:t>while</w:t>
      </w:r>
      <w:r w:rsidR="001D1CBF">
        <w:t xml:space="preserve"> SC</w:t>
      </w:r>
      <w:r w:rsidR="00DB4478">
        <w:t xml:space="preserve">2 </w:t>
      </w:r>
      <w:r w:rsidR="00FF36F9">
        <w:t xml:space="preserve">is intended to manage </w:t>
      </w:r>
      <w:r w:rsidR="004412B4">
        <w:t xml:space="preserve">overall </w:t>
      </w:r>
      <w:r w:rsidR="00D12D40">
        <w:t xml:space="preserve">expenditure and </w:t>
      </w:r>
      <w:r w:rsidR="00E26966">
        <w:t xml:space="preserve">mitigate </w:t>
      </w:r>
      <w:r w:rsidR="00742B60">
        <w:t xml:space="preserve">use beyond </w:t>
      </w:r>
      <w:r w:rsidR="00CA19E9">
        <w:t xml:space="preserve">the identified </w:t>
      </w:r>
      <w:r w:rsidR="000D6DE5">
        <w:t>population.</w:t>
      </w:r>
    </w:p>
    <w:p w14:paraId="730D74C5" w14:textId="5631A473" w:rsidR="00FF2EDB" w:rsidRPr="003A7A74" w:rsidRDefault="00336F81" w:rsidP="003A7A74">
      <w:pPr>
        <w:pStyle w:val="3-BodyText"/>
        <w:numPr>
          <w:ilvl w:val="0"/>
          <w:numId w:val="55"/>
        </w:numPr>
        <w:ind w:left="1134"/>
        <w:rPr>
          <w:i/>
          <w:iCs/>
        </w:rPr>
      </w:pPr>
      <w:r>
        <w:t>the utilisation and financial estimates provided for the currently listed indications as the basis for SC1</w:t>
      </w:r>
      <w:r w:rsidR="00E900C4">
        <w:t>.</w:t>
      </w:r>
    </w:p>
    <w:p w14:paraId="598C7DD5" w14:textId="0D9A0C30" w:rsidR="0079739E" w:rsidRPr="007F49C0" w:rsidRDefault="0079739E" w:rsidP="003A7A74">
      <w:pPr>
        <w:pStyle w:val="3-BodyText"/>
        <w:numPr>
          <w:ilvl w:val="0"/>
          <w:numId w:val="55"/>
        </w:numPr>
        <w:ind w:left="1134"/>
        <w:rPr>
          <w:i/>
        </w:rPr>
      </w:pPr>
      <w:r>
        <w:t xml:space="preserve">the discount </w:t>
      </w:r>
      <w:r w:rsidR="00BE518D">
        <w:t>(</w:t>
      </w:r>
      <w:r w:rsidR="00C546A7" w:rsidRPr="00C546A7">
        <w:rPr>
          <w:color w:val="000000"/>
          <w:w w:val="61"/>
          <w:shd w:val="solid" w:color="000000" w:fill="000000"/>
          <w:fitText w:val="472" w:id="-628400625"/>
          <w14:textFill>
            <w14:solidFill>
              <w14:srgbClr w14:val="000000">
                <w14:alpha w14:val="100000"/>
              </w14:srgbClr>
            </w14:solidFill>
          </w14:textFill>
        </w:rPr>
        <w:t>|||  ||</w:t>
      </w:r>
      <w:r w:rsidR="00C546A7" w:rsidRPr="00C546A7">
        <w:rPr>
          <w:color w:val="000000"/>
          <w:spacing w:val="2"/>
          <w:w w:val="61"/>
          <w:shd w:val="solid" w:color="000000" w:fill="000000"/>
          <w:fitText w:val="472" w:id="-628400625"/>
          <w14:textFill>
            <w14:solidFill>
              <w14:srgbClr w14:val="000000">
                <w14:alpha w14:val="100000"/>
              </w14:srgbClr>
            </w14:solidFill>
          </w14:textFill>
        </w:rPr>
        <w:t>|</w:t>
      </w:r>
      <w:r w:rsidR="00BE518D">
        <w:t>%)</w:t>
      </w:r>
      <w:r>
        <w:t xml:space="preserve"> for utilisation in the </w:t>
      </w:r>
      <w:r w:rsidR="00BE518D">
        <w:t xml:space="preserve">new </w:t>
      </w:r>
      <w:r>
        <w:t xml:space="preserve">extended population </w:t>
      </w:r>
      <w:r w:rsidR="00FF2EDB">
        <w:t xml:space="preserve">to </w:t>
      </w:r>
      <w:r>
        <w:t>be consolidated and provided</w:t>
      </w:r>
      <w:r w:rsidR="00100F50">
        <w:t xml:space="preserve"> </w:t>
      </w:r>
      <w:r w:rsidR="00C90FA5">
        <w:t xml:space="preserve">as </w:t>
      </w:r>
      <w:r w:rsidR="00100F50">
        <w:t xml:space="preserve">a single rebate </w:t>
      </w:r>
      <w:r w:rsidR="00BE518D">
        <w:t>above</w:t>
      </w:r>
      <w:r>
        <w:t xml:space="preserve"> SC1</w:t>
      </w:r>
      <w:r w:rsidR="006B74BD">
        <w:t>. This would</w:t>
      </w:r>
      <w:r>
        <w:t xml:space="preserve"> </w:t>
      </w:r>
      <w:r w:rsidR="004E24C0">
        <w:t xml:space="preserve">provide greater certainty </w:t>
      </w:r>
      <w:r w:rsidR="00196DF5">
        <w:t xml:space="preserve">in achieving </w:t>
      </w:r>
      <w:r w:rsidR="009F5939">
        <w:t>the proposed</w:t>
      </w:r>
      <w:r w:rsidR="00A35D46">
        <w:t xml:space="preserve"> cost-effective</w:t>
      </w:r>
      <w:r w:rsidR="009F5939">
        <w:t xml:space="preserve"> price for the broader population</w:t>
      </w:r>
      <w:r>
        <w:t xml:space="preserve">. </w:t>
      </w:r>
    </w:p>
    <w:p w14:paraId="4ECBD8E7" w14:textId="3D54D043" w:rsidR="00BD690A" w:rsidRPr="003A7A74" w:rsidRDefault="00E721EA" w:rsidP="007477FB">
      <w:pPr>
        <w:pStyle w:val="3-BodyText"/>
        <w:numPr>
          <w:ilvl w:val="0"/>
          <w:numId w:val="55"/>
        </w:numPr>
        <w:ind w:left="1134"/>
        <w:rPr>
          <w:i/>
          <w:iCs/>
        </w:rPr>
      </w:pPr>
      <w:r>
        <w:t xml:space="preserve">an upper tier </w:t>
      </w:r>
      <w:r w:rsidR="005A3D08">
        <w:t xml:space="preserve">(SC2) </w:t>
      </w:r>
      <w:r w:rsidR="00BD690A">
        <w:t>that is based on total utilisation estimated in the submission (i.e. including the currently listed indications, future indications, IO retreatment and rare cancers</w:t>
      </w:r>
      <w:r w:rsidR="006246F4">
        <w:t xml:space="preserve"> as presented</w:t>
      </w:r>
      <w:r w:rsidR="00BD690A">
        <w:t>)</w:t>
      </w:r>
      <w:r w:rsidR="006C542F">
        <w:t xml:space="preserve">. </w:t>
      </w:r>
    </w:p>
    <w:p w14:paraId="4F935718" w14:textId="2A13C820" w:rsidR="00E721EA" w:rsidRDefault="00E721EA" w:rsidP="003A7A74">
      <w:pPr>
        <w:pStyle w:val="3-BodyText"/>
        <w:numPr>
          <w:ilvl w:val="0"/>
          <w:numId w:val="55"/>
        </w:numPr>
        <w:ind w:left="1134"/>
        <w:rPr>
          <w:i/>
          <w:iCs/>
        </w:rPr>
      </w:pPr>
      <w:r>
        <w:t xml:space="preserve">a rebate of </w:t>
      </w:r>
      <w:r w:rsidR="00C546A7" w:rsidRPr="00C546A7">
        <w:rPr>
          <w:color w:val="000000"/>
          <w:w w:val="61"/>
          <w:shd w:val="solid" w:color="000000" w:fill="000000"/>
          <w:fitText w:val="472" w:id="-628400624"/>
          <w14:textFill>
            <w14:solidFill>
              <w14:srgbClr w14:val="000000">
                <w14:alpha w14:val="100000"/>
              </w14:srgbClr>
            </w14:solidFill>
          </w14:textFill>
        </w:rPr>
        <w:t>|||  ||</w:t>
      </w:r>
      <w:r w:rsidR="00C546A7" w:rsidRPr="00C546A7">
        <w:rPr>
          <w:color w:val="000000"/>
          <w:spacing w:val="2"/>
          <w:w w:val="61"/>
          <w:shd w:val="solid" w:color="000000" w:fill="000000"/>
          <w:fitText w:val="472" w:id="-628400624"/>
          <w14:textFill>
            <w14:solidFill>
              <w14:srgbClr w14:val="000000">
                <w14:alpha w14:val="100000"/>
              </w14:srgbClr>
            </w14:solidFill>
          </w14:textFill>
        </w:rPr>
        <w:t>|</w:t>
      </w:r>
      <w:r>
        <w:t xml:space="preserve">% </w:t>
      </w:r>
      <w:r w:rsidR="001C12E2">
        <w:t xml:space="preserve">above SC2 </w:t>
      </w:r>
      <w:r>
        <w:t xml:space="preserve">to provide a cap on overall expenditure. </w:t>
      </w:r>
      <w:r w:rsidR="006955E8">
        <w:t>It was</w:t>
      </w:r>
      <w:r>
        <w:t xml:space="preserve"> noted the scope of the listing introduced several uncertainties regarding how prescriber behaviour may be affected by the availability of the broad listing for both the affected drugs and other PD-L1 inhibitors. Given the impact on utilisation remains unclear, the PBAC considered that a high level of rebate above the estimates would be required.</w:t>
      </w:r>
      <w:r w:rsidR="00603C18">
        <w:t xml:space="preserve"> </w:t>
      </w:r>
      <w:r w:rsidR="00272728">
        <w:t xml:space="preserve">As noted in </w:t>
      </w:r>
      <w:r w:rsidR="00402004">
        <w:t xml:space="preserve">paragraph </w:t>
      </w:r>
      <w:r w:rsidR="00402004">
        <w:fldChar w:fldCharType="begin" w:fldLock="1"/>
      </w:r>
      <w:r w:rsidR="00402004">
        <w:instrText xml:space="preserve"> REF _Ref204762703 \r \h </w:instrText>
      </w:r>
      <w:r w:rsidR="00402004">
        <w:fldChar w:fldCharType="separate"/>
      </w:r>
      <w:r w:rsidR="006228A5">
        <w:t>11.12</w:t>
      </w:r>
      <w:r w:rsidR="00402004">
        <w:fldChar w:fldCharType="end"/>
      </w:r>
      <w:r w:rsidR="00A953F0">
        <w:t xml:space="preserve">, </w:t>
      </w:r>
      <w:r w:rsidR="00462533">
        <w:t xml:space="preserve">the </w:t>
      </w:r>
      <w:r w:rsidR="002D60B6">
        <w:t xml:space="preserve">estimates informing SC2 </w:t>
      </w:r>
      <w:r w:rsidR="00FB3EA6">
        <w:t xml:space="preserve">were likely </w:t>
      </w:r>
      <w:r w:rsidR="004F00FC">
        <w:t>over-estimated and</w:t>
      </w:r>
      <w:r w:rsidR="00D835A6">
        <w:t xml:space="preserve"> </w:t>
      </w:r>
      <w:r w:rsidR="0030033F">
        <w:t xml:space="preserve">represented </w:t>
      </w:r>
      <w:r w:rsidR="001C1DC1">
        <w:t>assumption</w:t>
      </w:r>
      <w:r w:rsidR="008B5E79">
        <w:t>s at the upper threshold</w:t>
      </w:r>
      <w:r w:rsidR="001C1DC1">
        <w:t xml:space="preserve"> </w:t>
      </w:r>
      <w:r w:rsidR="00DA029A">
        <w:t>favourable to the sponsor</w:t>
      </w:r>
      <w:r w:rsidR="00D835A6">
        <w:t>.</w:t>
      </w:r>
    </w:p>
    <w:p w14:paraId="7829EAE7" w14:textId="4CB68338" w:rsidR="000C16AA" w:rsidRDefault="00346FB7" w:rsidP="00377E78">
      <w:pPr>
        <w:pStyle w:val="3-BodyText"/>
      </w:pPr>
      <w:r>
        <w:t xml:space="preserve">The PBAC </w:t>
      </w:r>
      <w:r w:rsidR="00A769BD">
        <w:t xml:space="preserve">noted </w:t>
      </w:r>
      <w:r w:rsidR="0067613C">
        <w:t xml:space="preserve">the pre-PBAC </w:t>
      </w:r>
      <w:r w:rsidR="000A70DB">
        <w:t>response</w:t>
      </w:r>
      <w:r w:rsidR="0068166F">
        <w:t xml:space="preserve"> </w:t>
      </w:r>
      <w:r w:rsidR="000A70DB">
        <w:t xml:space="preserve"> </w:t>
      </w:r>
      <w:r w:rsidR="00BC6C64">
        <w:t xml:space="preserve">argued </w:t>
      </w:r>
      <w:r w:rsidR="00C277F0">
        <w:t xml:space="preserve">against a </w:t>
      </w:r>
      <w:r w:rsidR="00C546A7" w:rsidRPr="00C546A7">
        <w:rPr>
          <w:color w:val="000000"/>
          <w:w w:val="61"/>
          <w:shd w:val="solid" w:color="000000" w:fill="000000"/>
          <w:fitText w:val="472" w:id="-628400640"/>
          <w14:textFill>
            <w14:solidFill>
              <w14:srgbClr w14:val="000000">
                <w14:alpha w14:val="100000"/>
              </w14:srgbClr>
            </w14:solidFill>
          </w14:textFill>
        </w:rPr>
        <w:t>|||  ||</w:t>
      </w:r>
      <w:r w:rsidR="00C546A7" w:rsidRPr="00C546A7">
        <w:rPr>
          <w:color w:val="000000"/>
          <w:spacing w:val="2"/>
          <w:w w:val="61"/>
          <w:shd w:val="solid" w:color="000000" w:fill="000000"/>
          <w:fitText w:val="472" w:id="-628400640"/>
          <w14:textFill>
            <w14:solidFill>
              <w14:srgbClr w14:val="000000">
                <w14:alpha w14:val="100000"/>
              </w14:srgbClr>
            </w14:solidFill>
          </w14:textFill>
        </w:rPr>
        <w:t>|</w:t>
      </w:r>
      <w:r w:rsidR="00C277F0">
        <w:t xml:space="preserve">% </w:t>
      </w:r>
      <w:r w:rsidR="00DF1629">
        <w:t xml:space="preserve">reimbursement above subsidisation caps. </w:t>
      </w:r>
      <w:r w:rsidR="00FF5F30">
        <w:t xml:space="preserve">The PBAC considered that </w:t>
      </w:r>
      <w:r w:rsidR="00644D50">
        <w:t>where</w:t>
      </w:r>
      <w:r w:rsidR="00FF5F30">
        <w:t xml:space="preserve"> the</w:t>
      </w:r>
      <w:r w:rsidR="00E166A5">
        <w:t xml:space="preserve"> sponsor </w:t>
      </w:r>
      <w:r w:rsidR="00644D50">
        <w:t xml:space="preserve">is </w:t>
      </w:r>
      <w:r w:rsidR="00E166A5">
        <w:t xml:space="preserve">not </w:t>
      </w:r>
      <w:proofErr w:type="gramStart"/>
      <w:r w:rsidR="00E166A5">
        <w:t>in a position</w:t>
      </w:r>
      <w:proofErr w:type="gramEnd"/>
      <w:r w:rsidR="00E166A5">
        <w:t xml:space="preserve"> to put forward a</w:t>
      </w:r>
      <w:r w:rsidR="00F909A3">
        <w:t xml:space="preserve">n offer </w:t>
      </w:r>
      <w:r w:rsidR="004E0487">
        <w:t xml:space="preserve">of a rebate of </w:t>
      </w:r>
      <w:r w:rsidR="00C546A7" w:rsidRPr="00C546A7">
        <w:rPr>
          <w:color w:val="000000"/>
          <w:w w:val="61"/>
          <w:shd w:val="solid" w:color="000000" w:fill="000000"/>
          <w:fitText w:val="472" w:id="-628400639"/>
          <w14:textFill>
            <w14:solidFill>
              <w14:srgbClr w14:val="000000">
                <w14:alpha w14:val="100000"/>
              </w14:srgbClr>
            </w14:solidFill>
          </w14:textFill>
        </w:rPr>
        <w:t>|||  ||</w:t>
      </w:r>
      <w:r w:rsidR="00C546A7" w:rsidRPr="00C546A7">
        <w:rPr>
          <w:color w:val="000000"/>
          <w:spacing w:val="2"/>
          <w:w w:val="61"/>
          <w:shd w:val="solid" w:color="000000" w:fill="000000"/>
          <w:fitText w:val="472" w:id="-628400639"/>
          <w14:textFill>
            <w14:solidFill>
              <w14:srgbClr w14:val="000000">
                <w14:alpha w14:val="100000"/>
              </w14:srgbClr>
            </w14:solidFill>
          </w14:textFill>
        </w:rPr>
        <w:t>|</w:t>
      </w:r>
      <w:r w:rsidR="004839D6">
        <w:t>% above SC2</w:t>
      </w:r>
      <w:r w:rsidR="00F909A3">
        <w:t xml:space="preserve">, </w:t>
      </w:r>
      <w:r w:rsidR="00491EF2">
        <w:t xml:space="preserve">it could alternatively propose </w:t>
      </w:r>
      <w:r w:rsidR="006E512B">
        <w:t>a</w:t>
      </w:r>
      <w:r w:rsidR="00164760">
        <w:t xml:space="preserve"> </w:t>
      </w:r>
      <w:r w:rsidR="00472155">
        <w:t xml:space="preserve">structure </w:t>
      </w:r>
      <w:r w:rsidR="000C16AA">
        <w:t xml:space="preserve">as outlined below </w:t>
      </w:r>
      <w:r w:rsidR="00D01572">
        <w:t xml:space="preserve">that would </w:t>
      </w:r>
      <w:r w:rsidR="003B5429">
        <w:t xml:space="preserve">ensure </w:t>
      </w:r>
      <w:r w:rsidR="000C16AA">
        <w:t>the same</w:t>
      </w:r>
      <w:r w:rsidR="003B5429">
        <w:t xml:space="preserve"> net budget impact</w:t>
      </w:r>
      <w:r w:rsidR="006A7261">
        <w:t>:</w:t>
      </w:r>
      <w:r w:rsidR="003B5429">
        <w:t xml:space="preserve"> </w:t>
      </w:r>
    </w:p>
    <w:p w14:paraId="383F844E" w14:textId="3124450E" w:rsidR="005B5A6F" w:rsidRDefault="005B5A6F" w:rsidP="00E535C4">
      <w:pPr>
        <w:pStyle w:val="ListParagraph"/>
      </w:pPr>
      <w:r>
        <w:lastRenderedPageBreak/>
        <w:t>Same approach to weighted price and utilisation for existing indications to derive SC1</w:t>
      </w:r>
    </w:p>
    <w:p w14:paraId="7748417A" w14:textId="7BD26D67" w:rsidR="00D474C2" w:rsidRDefault="0061100F" w:rsidP="00E535C4">
      <w:pPr>
        <w:pStyle w:val="ListParagraph"/>
      </w:pPr>
      <w:r>
        <w:t xml:space="preserve">A </w:t>
      </w:r>
      <w:r w:rsidR="00C546A7" w:rsidRPr="00C546A7">
        <w:rPr>
          <w:color w:val="000000"/>
          <w:w w:val="74"/>
          <w:shd w:val="solid" w:color="000000" w:fill="000000"/>
          <w:fitText w:val="492" w:id="-628400638"/>
          <w14:textFill>
            <w14:solidFill>
              <w14:srgbClr w14:val="000000">
                <w14:alpha w14:val="100000"/>
              </w14:srgbClr>
            </w14:solidFill>
          </w14:textFill>
        </w:rPr>
        <w:t>|||||</w:t>
      </w:r>
      <w:r w:rsidR="00C546A7" w:rsidRPr="00C546A7">
        <w:rPr>
          <w:color w:val="000000"/>
          <w:spacing w:val="1"/>
          <w:w w:val="74"/>
          <w:shd w:val="solid" w:color="000000" w:fill="000000"/>
          <w:fitText w:val="492" w:id="-628400638"/>
          <w14:textFill>
            <w14:solidFill>
              <w14:srgbClr w14:val="000000">
                <w14:alpha w14:val="100000"/>
              </w14:srgbClr>
            </w14:solidFill>
          </w14:textFill>
        </w:rPr>
        <w:t>|</w:t>
      </w:r>
      <w:r>
        <w:t>% rebate applied above SC1</w:t>
      </w:r>
    </w:p>
    <w:p w14:paraId="08E91EDC" w14:textId="4B4A77A5" w:rsidR="000C16AA" w:rsidRDefault="00D474C2" w:rsidP="00E535C4">
      <w:pPr>
        <w:pStyle w:val="ListParagraph"/>
      </w:pPr>
      <w:r>
        <w:t xml:space="preserve">A new tier of rebate applied </w:t>
      </w:r>
      <w:r w:rsidR="00B066F5">
        <w:t>at an</w:t>
      </w:r>
      <w:r w:rsidR="00CE2B8A">
        <w:t xml:space="preserve"> </w:t>
      </w:r>
      <w:r w:rsidR="005955C0">
        <w:t xml:space="preserve">SC2 based on more conservative assumptions </w:t>
      </w:r>
      <w:r w:rsidR="00FC4219">
        <w:t>regarding treatment duration</w:t>
      </w:r>
      <w:r w:rsidR="00334BBD">
        <w:t xml:space="preserve"> (e.g. up to a 50% reduction in these values)</w:t>
      </w:r>
    </w:p>
    <w:p w14:paraId="0D57600C" w14:textId="3B9CBD57" w:rsidR="000C16AA" w:rsidRDefault="0001551F" w:rsidP="00E535C4">
      <w:pPr>
        <w:pStyle w:val="ListParagraph"/>
      </w:pPr>
      <w:r>
        <w:t xml:space="preserve">a </w:t>
      </w:r>
      <w:r w:rsidR="00623B13">
        <w:t xml:space="preserve">lower than </w:t>
      </w:r>
      <w:r w:rsidR="00C546A7" w:rsidRPr="00C546A7">
        <w:rPr>
          <w:color w:val="000000"/>
          <w:w w:val="74"/>
          <w:shd w:val="solid" w:color="000000" w:fill="000000"/>
          <w:fitText w:val="492" w:id="-628400637"/>
          <w14:textFill>
            <w14:solidFill>
              <w14:srgbClr w14:val="000000">
                <w14:alpha w14:val="100000"/>
              </w14:srgbClr>
            </w14:solidFill>
          </w14:textFill>
        </w:rPr>
        <w:t>|||||</w:t>
      </w:r>
      <w:r w:rsidR="00C546A7" w:rsidRPr="00C546A7">
        <w:rPr>
          <w:color w:val="000000"/>
          <w:spacing w:val="1"/>
          <w:w w:val="74"/>
          <w:shd w:val="solid" w:color="000000" w:fill="000000"/>
          <w:fitText w:val="492" w:id="-628400637"/>
          <w14:textFill>
            <w14:solidFill>
              <w14:srgbClr w14:val="000000">
                <w14:alpha w14:val="100000"/>
              </w14:srgbClr>
            </w14:solidFill>
          </w14:textFill>
        </w:rPr>
        <w:t>|</w:t>
      </w:r>
      <w:r w:rsidR="00623B13">
        <w:t xml:space="preserve">% </w:t>
      </w:r>
      <w:r w:rsidR="00107C55">
        <w:t xml:space="preserve">rebate </w:t>
      </w:r>
      <w:r w:rsidR="00623B13">
        <w:t xml:space="preserve">(e.g. </w:t>
      </w:r>
      <w:r w:rsidR="00C546A7" w:rsidRPr="00C546A7">
        <w:rPr>
          <w:color w:val="000000"/>
          <w:w w:val="74"/>
          <w:shd w:val="solid" w:color="000000" w:fill="000000"/>
          <w:fitText w:val="492" w:id="-628400636"/>
          <w14:textFill>
            <w14:solidFill>
              <w14:srgbClr w14:val="000000">
                <w14:alpha w14:val="100000"/>
              </w14:srgbClr>
            </w14:solidFill>
          </w14:textFill>
        </w:rPr>
        <w:t>|||||</w:t>
      </w:r>
      <w:r w:rsidR="00C546A7" w:rsidRPr="00C546A7">
        <w:rPr>
          <w:color w:val="000000"/>
          <w:spacing w:val="1"/>
          <w:w w:val="74"/>
          <w:shd w:val="solid" w:color="000000" w:fill="000000"/>
          <w:fitText w:val="492" w:id="-628400636"/>
          <w14:textFill>
            <w14:solidFill>
              <w14:srgbClr w14:val="000000">
                <w14:alpha w14:val="100000"/>
              </w14:srgbClr>
            </w14:solidFill>
          </w14:textFill>
        </w:rPr>
        <w:t>|</w:t>
      </w:r>
      <w:r w:rsidR="00107C55">
        <w:t>%</w:t>
      </w:r>
      <w:r w:rsidR="00623B13">
        <w:t>)</w:t>
      </w:r>
      <w:r w:rsidR="000151ED">
        <w:t xml:space="preserve"> above this threshold</w:t>
      </w:r>
      <w:r w:rsidR="00B066F5">
        <w:t xml:space="preserve"> (SC2)</w:t>
      </w:r>
    </w:p>
    <w:p w14:paraId="7D715A3F" w14:textId="5C85AFB2" w:rsidR="000C16AA" w:rsidRDefault="00420FAB" w:rsidP="00E535C4">
      <w:pPr>
        <w:pStyle w:val="ListParagraph"/>
      </w:pPr>
      <w:r>
        <w:t>a SC3 based on the submission’s proposed estimates</w:t>
      </w:r>
      <w:r w:rsidR="00E933CD">
        <w:t xml:space="preserve"> with </w:t>
      </w:r>
      <w:r w:rsidR="00333FFF">
        <w:t>a minor</w:t>
      </w:r>
      <w:r w:rsidR="00995C35">
        <w:t xml:space="preserve"> (less than </w:t>
      </w:r>
      <w:r w:rsidR="00C546A7" w:rsidRPr="00C546A7">
        <w:rPr>
          <w:color w:val="000000"/>
          <w:w w:val="74"/>
          <w:shd w:val="solid" w:color="000000" w:fill="000000"/>
          <w:fitText w:val="492" w:id="-628400635"/>
          <w14:textFill>
            <w14:solidFill>
              <w14:srgbClr w14:val="000000">
                <w14:alpha w14:val="100000"/>
              </w14:srgbClr>
            </w14:solidFill>
          </w14:textFill>
        </w:rPr>
        <w:t>|||||</w:t>
      </w:r>
      <w:r w:rsidR="00C546A7" w:rsidRPr="00C546A7">
        <w:rPr>
          <w:color w:val="000000"/>
          <w:spacing w:val="1"/>
          <w:w w:val="74"/>
          <w:shd w:val="solid" w:color="000000" w:fill="000000"/>
          <w:fitText w:val="492" w:id="-628400635"/>
          <w14:textFill>
            <w14:solidFill>
              <w14:srgbClr w14:val="000000">
                <w14:alpha w14:val="100000"/>
              </w14:srgbClr>
            </w14:solidFill>
          </w14:textFill>
        </w:rPr>
        <w:t>|</w:t>
      </w:r>
      <w:r w:rsidR="00995C35">
        <w:t xml:space="preserve">%) uplift </w:t>
      </w:r>
      <w:r w:rsidR="000C16AA">
        <w:t xml:space="preserve">to </w:t>
      </w:r>
      <w:r w:rsidR="00B91D32">
        <w:t>utilisation</w:t>
      </w:r>
      <w:r w:rsidR="00D11636">
        <w:t>.</w:t>
      </w:r>
      <w:r w:rsidR="004B7771">
        <w:t xml:space="preserve"> </w:t>
      </w:r>
    </w:p>
    <w:p w14:paraId="730C8FD0" w14:textId="0B086789" w:rsidR="00346FB7" w:rsidRDefault="00871F2A" w:rsidP="003A7A74">
      <w:pPr>
        <w:pStyle w:val="ListParagraph"/>
      </w:pPr>
      <w:r>
        <w:t>a rebate</w:t>
      </w:r>
      <w:r w:rsidR="00CA36F3">
        <w:t xml:space="preserve"> </w:t>
      </w:r>
      <w:r w:rsidR="00902FCB">
        <w:t xml:space="preserve">approaching </w:t>
      </w:r>
      <w:r w:rsidR="00C546A7" w:rsidRPr="00C546A7">
        <w:rPr>
          <w:color w:val="000000"/>
          <w:w w:val="74"/>
          <w:shd w:val="solid" w:color="000000" w:fill="000000"/>
          <w:fitText w:val="492" w:id="-628400634"/>
          <w14:textFill>
            <w14:solidFill>
              <w14:srgbClr w14:val="000000">
                <w14:alpha w14:val="100000"/>
              </w14:srgbClr>
            </w14:solidFill>
          </w14:textFill>
        </w:rPr>
        <w:t>|||||</w:t>
      </w:r>
      <w:r w:rsidR="00C546A7" w:rsidRPr="00C546A7">
        <w:rPr>
          <w:color w:val="000000"/>
          <w:spacing w:val="1"/>
          <w:w w:val="74"/>
          <w:shd w:val="solid" w:color="000000" w:fill="000000"/>
          <w:fitText w:val="492" w:id="-628400634"/>
          <w14:textFill>
            <w14:solidFill>
              <w14:srgbClr w14:val="000000">
                <w14:alpha w14:val="100000"/>
              </w14:srgbClr>
            </w14:solidFill>
          </w14:textFill>
        </w:rPr>
        <w:t>|</w:t>
      </w:r>
      <w:r w:rsidR="00902FCB">
        <w:t xml:space="preserve">% </w:t>
      </w:r>
      <w:r w:rsidR="00CA36F3">
        <w:t xml:space="preserve">above </w:t>
      </w:r>
      <w:r w:rsidR="000C16AA">
        <w:t>SC3</w:t>
      </w:r>
      <w:r w:rsidR="00CA36F3">
        <w:t xml:space="preserve">. </w:t>
      </w:r>
    </w:p>
    <w:p w14:paraId="2E1A8A6B" w14:textId="2A77082E" w:rsidR="008806C4" w:rsidRDefault="007C4847" w:rsidP="0065557B">
      <w:pPr>
        <w:pStyle w:val="3-BodyText"/>
      </w:pPr>
      <w:r>
        <w:t xml:space="preserve">The PBAC </w:t>
      </w:r>
      <w:r w:rsidR="00BF0DEC">
        <w:t>considered</w:t>
      </w:r>
      <w:r>
        <w:t xml:space="preserve"> that </w:t>
      </w:r>
      <w:r w:rsidR="00BF0DEC">
        <w:t xml:space="preserve">it would be appropriate for the Committee to review </w:t>
      </w:r>
      <w:r w:rsidR="001B7850">
        <w:t>the RSA</w:t>
      </w:r>
      <w:r w:rsidR="00BF0DEC">
        <w:t xml:space="preserve"> following a listing</w:t>
      </w:r>
      <w:r w:rsidR="00B40315">
        <w:t xml:space="preserve">, to monitor the performance and </w:t>
      </w:r>
      <w:r w:rsidR="009C6784">
        <w:t>any issues</w:t>
      </w:r>
      <w:r w:rsidR="00936CC9">
        <w:t xml:space="preserve"> associated with </w:t>
      </w:r>
      <w:r w:rsidR="00A56F8C">
        <w:t xml:space="preserve">the novel approach, including </w:t>
      </w:r>
      <w:r w:rsidR="0065557B">
        <w:t>opportunity to review available clinical evidence t</w:t>
      </w:r>
      <w:r w:rsidR="000C43D9">
        <w:t>o</w:t>
      </w:r>
      <w:r w:rsidR="0065557B">
        <w:t xml:space="preserve"> monitor comparative effectiveness and e</w:t>
      </w:r>
      <w:r w:rsidR="00714288">
        <w:t>nsuring TGA approvals continue to be sought for new indications with available evidence</w:t>
      </w:r>
      <w:r w:rsidR="00996FBC">
        <w:t xml:space="preserve"> within expected timeframes</w:t>
      </w:r>
      <w:r w:rsidR="0065557B">
        <w:t>.</w:t>
      </w:r>
    </w:p>
    <w:p w14:paraId="7DAF9121" w14:textId="1278BFBD" w:rsidR="000C43D9" w:rsidRDefault="000C43D9" w:rsidP="00377E78">
      <w:pPr>
        <w:pStyle w:val="3-BodyText"/>
      </w:pPr>
      <w:r>
        <w:t xml:space="preserve">The PBAC considered that </w:t>
      </w:r>
      <w:r w:rsidR="00A0795A">
        <w:t xml:space="preserve">a review </w:t>
      </w:r>
      <w:r w:rsidR="00B62CDD">
        <w:t xml:space="preserve">at </w:t>
      </w:r>
      <w:r>
        <w:t>two or three year</w:t>
      </w:r>
      <w:r w:rsidR="00582B52">
        <w:t>s post-listing</w:t>
      </w:r>
      <w:r>
        <w:t xml:space="preserve"> would be appropriate.</w:t>
      </w:r>
      <w:r w:rsidR="00DA052C">
        <w:t xml:space="preserve"> Where </w:t>
      </w:r>
      <w:r w:rsidR="006D522B">
        <w:t xml:space="preserve">any </w:t>
      </w:r>
      <w:r w:rsidR="00C63618">
        <w:t>matters arise</w:t>
      </w:r>
      <w:r w:rsidR="00B01141">
        <w:t xml:space="preserve"> that require more urgent review</w:t>
      </w:r>
      <w:r w:rsidR="00C63618">
        <w:t xml:space="preserve">, these could be </w:t>
      </w:r>
      <w:r w:rsidR="0028149D">
        <w:t>managed on an ad-hoc basis.</w:t>
      </w:r>
    </w:p>
    <w:p w14:paraId="765FE6EF" w14:textId="1E5DBEEB" w:rsidR="00383CBD" w:rsidRDefault="0044394A" w:rsidP="00377E78">
      <w:pPr>
        <w:pStyle w:val="3-BodyText"/>
      </w:pPr>
      <w:r>
        <w:t>The PBAC</w:t>
      </w:r>
      <w:r w:rsidR="00D6692B">
        <w:t xml:space="preserve"> </w:t>
      </w:r>
      <w:r w:rsidR="00577724">
        <w:t>acknowledged</w:t>
      </w:r>
      <w:r w:rsidR="00D6692B">
        <w:t xml:space="preserve"> the </w:t>
      </w:r>
      <w:r w:rsidR="00D50649">
        <w:t>sponsor’s</w:t>
      </w:r>
      <w:r w:rsidR="00D6692B">
        <w:t xml:space="preserve"> willingness to continue to engage on the RSA through </w:t>
      </w:r>
      <w:r w:rsidR="00C367D4">
        <w:t>i</w:t>
      </w:r>
      <w:r w:rsidR="00D6692B">
        <w:t xml:space="preserve">ts proposed </w:t>
      </w:r>
      <w:r w:rsidR="00630541">
        <w:t xml:space="preserve">RSA </w:t>
      </w:r>
      <w:r w:rsidR="00D6692B">
        <w:t xml:space="preserve">governance </w:t>
      </w:r>
      <w:r w:rsidR="00D50649">
        <w:t>framework</w:t>
      </w:r>
      <w:r w:rsidR="00D6692B">
        <w:t xml:space="preserve">. The PBAC considered </w:t>
      </w:r>
      <w:r w:rsidR="00C367D4">
        <w:t xml:space="preserve">this </w:t>
      </w:r>
      <w:r w:rsidR="00D50649">
        <w:t xml:space="preserve">framework </w:t>
      </w:r>
      <w:r w:rsidR="00C367D4">
        <w:t>may not be necessary if the RSA is structured in a way that acceptably controls the risk to Government</w:t>
      </w:r>
      <w:r w:rsidR="00BA4327">
        <w:t>, particularly</w:t>
      </w:r>
      <w:r w:rsidR="00C367D4">
        <w:t xml:space="preserve"> </w:t>
      </w:r>
      <w:r w:rsidR="00630541">
        <w:t>where</w:t>
      </w:r>
      <w:r w:rsidR="00C367D4">
        <w:t xml:space="preserve"> utilisation </w:t>
      </w:r>
      <w:r w:rsidR="00383CBD">
        <w:t xml:space="preserve">is greater than estimated. </w:t>
      </w:r>
    </w:p>
    <w:p w14:paraId="16B046A2" w14:textId="34B123BD" w:rsidR="00E84F89" w:rsidRDefault="00E84F89" w:rsidP="00E84F89">
      <w:pPr>
        <w:pStyle w:val="5-SubsectionSubheading"/>
      </w:pPr>
      <w:r>
        <w:t>Impact on other listings and RSAs</w:t>
      </w:r>
    </w:p>
    <w:p w14:paraId="672FFA37" w14:textId="68AF6482" w:rsidR="0079739E" w:rsidRPr="0079739E" w:rsidRDefault="0079739E" w:rsidP="0079739E">
      <w:pPr>
        <w:pStyle w:val="3-BodyText"/>
        <w:rPr>
          <w:rFonts w:cs="Arial"/>
          <w:b/>
          <w:snapToGrid w:val="0"/>
          <w:sz w:val="32"/>
          <w:szCs w:val="32"/>
        </w:rPr>
      </w:pPr>
      <w:r w:rsidRPr="0079739E">
        <w:rPr>
          <w:snapToGrid w:val="0"/>
        </w:rPr>
        <w:t xml:space="preserve">The PBAC noted that in creating a new </w:t>
      </w:r>
      <w:r w:rsidR="00330A5C">
        <w:rPr>
          <w:snapToGrid w:val="0"/>
        </w:rPr>
        <w:t>RSA</w:t>
      </w:r>
      <w:r w:rsidRPr="0079739E">
        <w:rPr>
          <w:snapToGrid w:val="0"/>
        </w:rPr>
        <w:t xml:space="preserve"> for a broad listing, nivolumab and ipilimumab would need to be removed from some existing shared RSAs (melanoma combined resected/unresectable; NSCLC; RCC; SCCHN; gastro-oesophageal combined with adjuvant).</w:t>
      </w:r>
      <w:r w:rsidR="00330A5C">
        <w:rPr>
          <w:snapToGrid w:val="0"/>
        </w:rPr>
        <w:t xml:space="preserve"> </w:t>
      </w:r>
      <w:r w:rsidR="008E1B39">
        <w:rPr>
          <w:snapToGrid w:val="0"/>
        </w:rPr>
        <w:t>T</w:t>
      </w:r>
      <w:r w:rsidR="00330A5C">
        <w:rPr>
          <w:snapToGrid w:val="0"/>
        </w:rPr>
        <w:t xml:space="preserve">his matter would be negotiated with the Department in a post-PBAC </w:t>
      </w:r>
      <w:r w:rsidR="00EF5A2A">
        <w:rPr>
          <w:snapToGrid w:val="0"/>
        </w:rPr>
        <w:t>process should a positive recommendation be made in the future.</w:t>
      </w:r>
    </w:p>
    <w:p w14:paraId="4605CA55" w14:textId="4F2CC654" w:rsidR="0079739E" w:rsidRDefault="007C1ECB" w:rsidP="007C1ECB">
      <w:pPr>
        <w:pStyle w:val="5-SubsectionSubheading"/>
      </w:pPr>
      <w:r>
        <w:t>Quality use of medicines</w:t>
      </w:r>
    </w:p>
    <w:p w14:paraId="0BC4CFA9" w14:textId="7BBF05DB" w:rsidR="00333E41" w:rsidRDefault="007C1ECB" w:rsidP="007C1ECB">
      <w:pPr>
        <w:pStyle w:val="3-BodyText"/>
      </w:pPr>
      <w:r>
        <w:t>The PBAC considered there were potential QUM issues</w:t>
      </w:r>
      <w:r w:rsidR="007D4CDD">
        <w:t xml:space="preserve"> with a broad listing</w:t>
      </w:r>
      <w:r w:rsidR="00541D78">
        <w:t xml:space="preserve"> and considered that</w:t>
      </w:r>
      <w:r w:rsidR="001751E0">
        <w:t>,</w:t>
      </w:r>
      <w:r w:rsidR="00541D78">
        <w:t xml:space="preserve"> if a recommendation was made to provide clinicians with discretion to use medicines in an </w:t>
      </w:r>
      <w:r w:rsidR="006E7AB5">
        <w:t>evidence-based</w:t>
      </w:r>
      <w:r w:rsidR="00541D78">
        <w:t xml:space="preserve"> manner</w:t>
      </w:r>
      <w:r w:rsidR="006E7AB5">
        <w:t xml:space="preserve"> such as this proposal</w:t>
      </w:r>
      <w:r w:rsidR="00541D78">
        <w:t>, i</w:t>
      </w:r>
      <w:r w:rsidR="006E7AB5">
        <w:t>t</w:t>
      </w:r>
      <w:r w:rsidR="00541D78">
        <w:t xml:space="preserve"> would be incumbent </w:t>
      </w:r>
      <w:r w:rsidR="00DE275D">
        <w:t xml:space="preserve">upon the </w:t>
      </w:r>
      <w:r w:rsidR="006E7AB5">
        <w:t xml:space="preserve">sponsor and </w:t>
      </w:r>
      <w:r w:rsidR="00C7600C">
        <w:t>clinical</w:t>
      </w:r>
      <w:r w:rsidR="00DE275D">
        <w:t xml:space="preserve"> community t</w:t>
      </w:r>
      <w:r w:rsidR="006E7AB5">
        <w:t>o</w:t>
      </w:r>
      <w:r w:rsidR="00DE275D">
        <w:t xml:space="preserve"> ensure use remained appropriat</w:t>
      </w:r>
      <w:r w:rsidR="00E67F86">
        <w:t>e</w:t>
      </w:r>
      <w:r w:rsidR="00862642">
        <w:t xml:space="preserve"> and consistent with this intent</w:t>
      </w:r>
      <w:r w:rsidR="00E67F86">
        <w:t xml:space="preserve">. </w:t>
      </w:r>
    </w:p>
    <w:p w14:paraId="322ADFB7" w14:textId="48271B5C" w:rsidR="00C7600C" w:rsidRDefault="00E67F86" w:rsidP="007C1ECB">
      <w:pPr>
        <w:pStyle w:val="3-BodyText"/>
      </w:pPr>
      <w:r>
        <w:t xml:space="preserve">The PBAC reiterated its expectation that </w:t>
      </w:r>
      <w:r w:rsidR="00333E41">
        <w:t xml:space="preserve">prescribers would utilise </w:t>
      </w:r>
      <w:r>
        <w:t xml:space="preserve">any potential broad listing </w:t>
      </w:r>
      <w:r w:rsidR="00333E41">
        <w:t>only in</w:t>
      </w:r>
      <w:r w:rsidR="00925594">
        <w:t xml:space="preserve"> </w:t>
      </w:r>
      <w:r w:rsidR="0038699F">
        <w:t>indications</w:t>
      </w:r>
      <w:r w:rsidR="00925594">
        <w:t xml:space="preserve"> for which there is a reasonable expectation of a positive risk/benefit outcome</w:t>
      </w:r>
      <w:r w:rsidR="00333E41">
        <w:t xml:space="preserve"> for the patient</w:t>
      </w:r>
      <w:r w:rsidR="00220B73">
        <w:t>,</w:t>
      </w:r>
      <w:r w:rsidR="00333E41">
        <w:t xml:space="preserve"> and </w:t>
      </w:r>
      <w:r w:rsidR="00220B73">
        <w:t xml:space="preserve">that </w:t>
      </w:r>
      <w:r w:rsidR="00333E41">
        <w:t>this was necessary</w:t>
      </w:r>
      <w:r w:rsidR="00925594">
        <w:t xml:space="preserve"> to </w:t>
      </w:r>
      <w:r w:rsidR="0038699F">
        <w:t xml:space="preserve">support </w:t>
      </w:r>
      <w:r w:rsidR="00DE275D">
        <w:t xml:space="preserve">the ongoing viability of </w:t>
      </w:r>
      <w:r w:rsidR="00C7600C">
        <w:t xml:space="preserve">the listing. </w:t>
      </w:r>
    </w:p>
    <w:p w14:paraId="224AE682" w14:textId="743E4C5F" w:rsidR="00377E78" w:rsidRDefault="00C7600C" w:rsidP="007C1ECB">
      <w:pPr>
        <w:pStyle w:val="3-BodyText"/>
      </w:pPr>
      <w:r>
        <w:lastRenderedPageBreak/>
        <w:t xml:space="preserve">The PBAC welcomed the sponsor’s proposed approach to </w:t>
      </w:r>
      <w:r w:rsidR="006E7AB5">
        <w:t>educational</w:t>
      </w:r>
      <w:r>
        <w:t xml:space="preserve"> and training resources</w:t>
      </w:r>
      <w:r w:rsidR="005C30C7">
        <w:t xml:space="preserve"> and considered these would be crucial to support the ongoing </w:t>
      </w:r>
      <w:r w:rsidR="002200CE">
        <w:t>functioning</w:t>
      </w:r>
      <w:r w:rsidR="005C30C7">
        <w:t xml:space="preserve"> of the listing. The PBAC supported the proposed</w:t>
      </w:r>
      <w:r w:rsidR="002200CE">
        <w:t xml:space="preserve"> approach of</w:t>
      </w:r>
      <w:r>
        <w:t xml:space="preserve"> </w:t>
      </w:r>
      <w:r w:rsidR="0087343E">
        <w:t xml:space="preserve">maintaining resources on the evolving evidence </w:t>
      </w:r>
      <w:r w:rsidR="00835577">
        <w:t>supporting the</w:t>
      </w:r>
      <w:r w:rsidR="0087343E">
        <w:t xml:space="preserve"> efficacy and safety of nivolumab and ipilimumab in different indication</w:t>
      </w:r>
      <w:r w:rsidR="00835577">
        <w:t>s</w:t>
      </w:r>
      <w:r w:rsidR="0087343E">
        <w:t xml:space="preserve">, as well as </w:t>
      </w:r>
      <w:r w:rsidR="00835577">
        <w:t>to provide evidence on</w:t>
      </w:r>
      <w:r w:rsidR="0087343E">
        <w:t xml:space="preserve"> indications where there is insufficient evidence to </w:t>
      </w:r>
      <w:r w:rsidR="00835577">
        <w:t xml:space="preserve">demonstrating </w:t>
      </w:r>
      <w:r w:rsidR="006E7AB5">
        <w:t>efficacy</w:t>
      </w:r>
      <w:r w:rsidR="00B34FE5">
        <w:t xml:space="preserve">. The PBAC considered this would support </w:t>
      </w:r>
      <w:r w:rsidR="00AD5B43">
        <w:t xml:space="preserve">clinicians </w:t>
      </w:r>
      <w:r w:rsidR="00B34FE5">
        <w:t xml:space="preserve">in decision making </w:t>
      </w:r>
      <w:r w:rsidR="00D2383C">
        <w:t>i</w:t>
      </w:r>
      <w:r w:rsidR="00B34FE5">
        <w:t xml:space="preserve">n </w:t>
      </w:r>
      <w:r w:rsidR="00D2383C">
        <w:t xml:space="preserve">both </w:t>
      </w:r>
      <w:r w:rsidR="00B34FE5">
        <w:t xml:space="preserve">whether </w:t>
      </w:r>
      <w:r w:rsidR="00AD5B43">
        <w:t xml:space="preserve">to prescribe </w:t>
      </w:r>
      <w:r w:rsidR="00B34FE5">
        <w:t xml:space="preserve">the medicines </w:t>
      </w:r>
      <w:r w:rsidR="00AD5B43">
        <w:t xml:space="preserve">and </w:t>
      </w:r>
      <w:r w:rsidR="00B34FE5">
        <w:t xml:space="preserve">in </w:t>
      </w:r>
      <w:r w:rsidR="00AD5B43">
        <w:t xml:space="preserve">whether </w:t>
      </w:r>
      <w:r w:rsidR="00B34FE5">
        <w:t xml:space="preserve">the </w:t>
      </w:r>
      <w:r w:rsidR="00AD5B43">
        <w:t xml:space="preserve">use </w:t>
      </w:r>
      <w:r w:rsidR="00B34FE5">
        <w:t xml:space="preserve">of the medicine </w:t>
      </w:r>
      <w:r w:rsidR="00AD5B43">
        <w:t>should be subsidised by the Commonwealth or funded privately</w:t>
      </w:r>
      <w:r w:rsidR="006E7AB5">
        <w:t>.</w:t>
      </w:r>
    </w:p>
    <w:p w14:paraId="1F38390C" w14:textId="77777777" w:rsidR="008C48EE" w:rsidRPr="008C48EE" w:rsidRDefault="008C48EE" w:rsidP="007C1ECB">
      <w:pPr>
        <w:pStyle w:val="3-BodyText"/>
        <w:numPr>
          <w:ilvl w:val="0"/>
          <w:numId w:val="0"/>
        </w:numPr>
        <w:ind w:left="720"/>
      </w:pPr>
    </w:p>
    <w:p w14:paraId="3386F0E2" w14:textId="77777777" w:rsidR="00A1306F" w:rsidRPr="00A1306F" w:rsidRDefault="00D819B4" w:rsidP="00A1306F">
      <w:pPr>
        <w:pStyle w:val="3Bodytext"/>
        <w:spacing w:after="0"/>
        <w:rPr>
          <w:b/>
          <w:bCs/>
        </w:rPr>
      </w:pPr>
      <w:r w:rsidRPr="00A1306F">
        <w:rPr>
          <w:b/>
          <w:bCs/>
        </w:rPr>
        <w:t>Outcome:</w:t>
      </w:r>
      <w:r w:rsidR="00377E78" w:rsidRPr="00A1306F">
        <w:rPr>
          <w:b/>
          <w:bCs/>
        </w:rPr>
        <w:t xml:space="preserve"> </w:t>
      </w:r>
    </w:p>
    <w:p w14:paraId="28FC145C" w14:textId="571DF683" w:rsidR="00D819B4" w:rsidRDefault="00D819B4" w:rsidP="00377E78">
      <w:pPr>
        <w:pStyle w:val="3Bodytext"/>
      </w:pPr>
      <w:r w:rsidRPr="00A1306F">
        <w:t xml:space="preserve">Deferred  </w:t>
      </w:r>
    </w:p>
    <w:p w14:paraId="4726742C" w14:textId="77777777" w:rsidR="003578A6" w:rsidRDefault="003578A6" w:rsidP="00377E78">
      <w:pPr>
        <w:pStyle w:val="3Bodytext"/>
      </w:pPr>
    </w:p>
    <w:p w14:paraId="621B9CC1" w14:textId="275500AE" w:rsidR="003578A6" w:rsidRDefault="00C3387B" w:rsidP="003578A6">
      <w:pPr>
        <w:pStyle w:val="2-SectionHeading"/>
      </w:pPr>
      <w:r>
        <w:t>Context for Decision</w:t>
      </w:r>
    </w:p>
    <w:p w14:paraId="11094CC7" w14:textId="0E116B6A" w:rsidR="00C3387B" w:rsidRPr="00C3387B" w:rsidRDefault="00C3387B" w:rsidP="00C3387B">
      <w:pPr>
        <w:pStyle w:val="3-BodyText"/>
        <w:numPr>
          <w:ilvl w:val="0"/>
          <w:numId w:val="0"/>
        </w:numPr>
        <w:ind w:left="720"/>
      </w:pPr>
      <w:r w:rsidRPr="00C3387B">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36F9C1" w14:textId="4518B53E" w:rsidR="00C3387B" w:rsidRDefault="00C3387B" w:rsidP="00C3387B">
      <w:pPr>
        <w:pStyle w:val="2-SectionHeading"/>
      </w:pPr>
      <w:r>
        <w:t>Sponsor’s Comment</w:t>
      </w:r>
    </w:p>
    <w:p w14:paraId="0FB255F5" w14:textId="66FDE4F0" w:rsidR="005F2C11" w:rsidRDefault="005F1F68">
      <w:pPr>
        <w:jc w:val="left"/>
        <w:rPr>
          <w:rFonts w:asciiTheme="minorHAnsi" w:eastAsiaTheme="minorHAnsi" w:hAnsiTheme="minorHAnsi" w:cstheme="minorBidi"/>
          <w:szCs w:val="22"/>
        </w:rPr>
      </w:pPr>
      <w:r w:rsidRPr="005F1F68">
        <w:rPr>
          <w:rFonts w:cs="Calibri"/>
          <w:lang w:val="en-GB"/>
        </w:rPr>
        <w:t>While disappointed that the PBAC has deferred a decision with regards to this submission to broaden the PBS listing for OPDIVO (nivolumab) and YERVOY (ipilimumab) at the July PBAC meeting, Bristol Myers Squibb Australia (BMSA) remains committed to working with the PBAC to navigate a prompt pathway to approval.</w:t>
      </w:r>
      <w:r w:rsidR="005F2C11">
        <w:br w:type="page"/>
      </w:r>
    </w:p>
    <w:p w14:paraId="063E5CCC" w14:textId="60FABCEA" w:rsidR="00884977" w:rsidRDefault="00884977" w:rsidP="005F2C11">
      <w:pPr>
        <w:keepNext/>
        <w:keepLines/>
        <w:rPr>
          <w:rFonts w:cs="Calibri"/>
        </w:rPr>
      </w:pPr>
    </w:p>
    <w:p w14:paraId="29A3F249" w14:textId="059651D2" w:rsidR="00884977" w:rsidRPr="00C546A7" w:rsidRDefault="00884977" w:rsidP="00C546A7">
      <w:pPr>
        <w:spacing w:before="120" w:after="160"/>
        <w:outlineLvl w:val="0"/>
        <w:rPr>
          <w:rFonts w:eastAsia="Calibri" w:cs="Arial"/>
          <w:b/>
          <w:color w:val="FF0000"/>
          <w:sz w:val="32"/>
          <w:szCs w:val="28"/>
          <w:lang w:eastAsia="en-US"/>
        </w:rPr>
      </w:pPr>
      <w:r w:rsidRPr="00884977">
        <w:rPr>
          <w:rFonts w:eastAsia="Calibri" w:cs="Arial"/>
          <w:b/>
          <w:color w:val="FF0000"/>
          <w:sz w:val="32"/>
          <w:szCs w:val="28"/>
          <w:lang w:eastAsia="en-US"/>
        </w:rPr>
        <w:t xml:space="preserve">Addendum to the </w:t>
      </w:r>
      <w:r>
        <w:rPr>
          <w:rFonts w:eastAsia="Calibri" w:cs="Arial"/>
          <w:b/>
          <w:color w:val="FF0000"/>
          <w:sz w:val="32"/>
          <w:szCs w:val="28"/>
          <w:lang w:eastAsia="en-US"/>
        </w:rPr>
        <w:t>July 2025</w:t>
      </w:r>
      <w:r w:rsidRPr="00884977">
        <w:rPr>
          <w:rFonts w:eastAsia="Calibri" w:cs="Arial"/>
          <w:b/>
          <w:color w:val="FF0000"/>
          <w:sz w:val="32"/>
          <w:szCs w:val="28"/>
          <w:lang w:eastAsia="en-US"/>
        </w:rPr>
        <w:t xml:space="preserve"> PBAC PSD:</w:t>
      </w:r>
    </w:p>
    <w:p w14:paraId="41C8A5C7" w14:textId="77777777" w:rsidR="005F2C11" w:rsidRDefault="005F2C11" w:rsidP="005F2C11">
      <w:pPr>
        <w:pStyle w:val="1MainTitle"/>
        <w:jc w:val="left"/>
      </w:pPr>
      <w:r>
        <w:t>4.02 NIVOLUMAB,</w:t>
      </w:r>
    </w:p>
    <w:p w14:paraId="498CA12E" w14:textId="77777777" w:rsidR="005F2C11" w:rsidRDefault="005F2C11" w:rsidP="005F2C11">
      <w:pPr>
        <w:pStyle w:val="1MainTitle"/>
        <w:ind w:firstLine="0"/>
        <w:jc w:val="left"/>
      </w:pPr>
      <w:r>
        <w:t>Injection concentrate for I.V. infusion 40 mg in 4 mL,</w:t>
      </w:r>
    </w:p>
    <w:p w14:paraId="33102C0A" w14:textId="77777777" w:rsidR="005F2C11" w:rsidRDefault="005F2C11" w:rsidP="005F2C11">
      <w:pPr>
        <w:pStyle w:val="1MainTitle"/>
        <w:ind w:firstLine="0"/>
        <w:jc w:val="left"/>
      </w:pPr>
      <w:r>
        <w:t>Injection concentrate for I.V. Infusion 100 mg in 10 mL,</w:t>
      </w:r>
    </w:p>
    <w:p w14:paraId="0E765CAB" w14:textId="77777777" w:rsidR="005F2C11" w:rsidRDefault="005F2C11" w:rsidP="005F2C11">
      <w:pPr>
        <w:pStyle w:val="1MainTitle"/>
        <w:ind w:firstLine="0"/>
        <w:jc w:val="left"/>
      </w:pPr>
      <w:r>
        <w:t>Opdivo®,</w:t>
      </w:r>
    </w:p>
    <w:p w14:paraId="6DCDC836" w14:textId="77777777" w:rsidR="005F2C11" w:rsidRDefault="005F2C11" w:rsidP="005F2C11">
      <w:pPr>
        <w:pStyle w:val="1MainTitle"/>
        <w:ind w:firstLine="0"/>
        <w:jc w:val="left"/>
      </w:pPr>
      <w:r>
        <w:t>IPILIMUMAB,</w:t>
      </w:r>
    </w:p>
    <w:p w14:paraId="0A86B363" w14:textId="77777777" w:rsidR="005F2C11" w:rsidRDefault="005F2C11" w:rsidP="005F2C11">
      <w:pPr>
        <w:pStyle w:val="1MainTitle"/>
        <w:ind w:firstLine="0"/>
        <w:jc w:val="left"/>
      </w:pPr>
      <w:r>
        <w:t>Injection concentrate for I.V. infusion 50 mg in 10 mL,</w:t>
      </w:r>
    </w:p>
    <w:p w14:paraId="6C9C8280" w14:textId="77777777" w:rsidR="005F2C11" w:rsidRDefault="005F2C11" w:rsidP="005F2C11">
      <w:pPr>
        <w:pStyle w:val="1MainTitle"/>
        <w:ind w:firstLine="0"/>
        <w:jc w:val="left"/>
      </w:pPr>
      <w:r>
        <w:t>Injection concentrate for I.V. infusion 200 mg in 40 mL,</w:t>
      </w:r>
    </w:p>
    <w:p w14:paraId="4B4768C7" w14:textId="77777777" w:rsidR="005F2C11" w:rsidRDefault="005F2C11" w:rsidP="005F2C11">
      <w:pPr>
        <w:pStyle w:val="1MainTitle"/>
        <w:ind w:firstLine="0"/>
        <w:jc w:val="left"/>
      </w:pPr>
      <w:r>
        <w:t>Yervoy®,</w:t>
      </w:r>
    </w:p>
    <w:p w14:paraId="0D8B72F0" w14:textId="77777777" w:rsidR="005F2C11" w:rsidRDefault="005F2C11" w:rsidP="005F2C11">
      <w:pPr>
        <w:pStyle w:val="1MainTitle"/>
        <w:ind w:firstLine="0"/>
        <w:jc w:val="left"/>
      </w:pPr>
      <w:r>
        <w:t>BRISTOL-MYERS SQUIBB AUSTRALIA PTY LTD.</w:t>
      </w:r>
    </w:p>
    <w:p w14:paraId="39C51018" w14:textId="77777777" w:rsidR="005F2C11" w:rsidRPr="00C546A7" w:rsidRDefault="005F2C11" w:rsidP="00C546A7">
      <w:pPr>
        <w:pStyle w:val="2-SectionHeading"/>
      </w:pPr>
      <w:r>
        <w:t>Purpose of Submission</w:t>
      </w:r>
    </w:p>
    <w:p w14:paraId="58073751" w14:textId="77777777" w:rsidR="005F2C11" w:rsidRDefault="005F2C11" w:rsidP="005F2C11">
      <w:pPr>
        <w:pStyle w:val="3-BodyText"/>
        <w:numPr>
          <w:ilvl w:val="1"/>
          <w:numId w:val="59"/>
        </w:numPr>
        <w:spacing w:before="120" w:after="120"/>
        <w:rPr>
          <w:rFonts w:cstheme="minorHAnsi"/>
        </w:rPr>
      </w:pPr>
      <w:r>
        <w:t xml:space="preserve">To consider a revised proposal from Bristol-Myers Squibb Australia (BMSA) for a multi-indication (broad) listing for nivolumab </w:t>
      </w:r>
      <w:r>
        <w:rPr>
          <w:rFonts w:cstheme="minorHAnsi"/>
        </w:rPr>
        <w:t>±</w:t>
      </w:r>
      <w:r>
        <w:t xml:space="preserve"> ipilimumab in advanced or metastatic cancers, addressing the issues raised by the PBAC in its July 2025 consideration.</w:t>
      </w:r>
    </w:p>
    <w:p w14:paraId="27E20D06" w14:textId="77777777" w:rsidR="005F2C11" w:rsidRDefault="005F2C11" w:rsidP="005F2C11">
      <w:pPr>
        <w:pStyle w:val="2-SectionHeading"/>
        <w:numPr>
          <w:ilvl w:val="0"/>
          <w:numId w:val="59"/>
        </w:numPr>
        <w:snapToGrid w:val="0"/>
      </w:pPr>
      <w:r>
        <w:t>Restriction</w:t>
      </w:r>
    </w:p>
    <w:p w14:paraId="261A568E" w14:textId="77777777" w:rsidR="005F2C11" w:rsidRDefault="005F2C11" w:rsidP="005F2C11">
      <w:pPr>
        <w:pStyle w:val="3-BodyText"/>
        <w:numPr>
          <w:ilvl w:val="1"/>
          <w:numId w:val="59"/>
        </w:numPr>
        <w:spacing w:before="120" w:after="120"/>
      </w:pPr>
      <w:r>
        <w:t>In July 2025, the PBAC considered the term ‘unresectable’ could be removed from the proposed restriction wording and replaced with the term ‘immunotherapy sensitive’ (paragraph 11.7).</w:t>
      </w:r>
    </w:p>
    <w:p w14:paraId="5B7741FA" w14:textId="77777777" w:rsidR="005F2C11" w:rsidRDefault="005F2C11" w:rsidP="005F2C11">
      <w:pPr>
        <w:pStyle w:val="3-BodyText"/>
        <w:numPr>
          <w:ilvl w:val="1"/>
          <w:numId w:val="59"/>
        </w:numPr>
        <w:spacing w:before="120" w:after="120"/>
      </w:pPr>
      <w:r>
        <w:t>In this revised proposal the sponsor accepted this change and provided updated proposed restrictions incorporating other recommended changes to the restrictions from the July 2025 PBAC outcome (paragraphs 11.3 - 11.7).</w:t>
      </w:r>
    </w:p>
    <w:p w14:paraId="092AFD19" w14:textId="77777777" w:rsidR="005F2C11" w:rsidRDefault="005F2C11" w:rsidP="005F2C11">
      <w:pPr>
        <w:pStyle w:val="4-SubsectionHeading"/>
      </w:pPr>
      <w:bookmarkStart w:id="16" w:name="_Toc207019147"/>
      <w:r>
        <w:t>Nivolumab – proposed restriction</w:t>
      </w:r>
      <w:bookmarkEnd w:id="16"/>
    </w:p>
    <w:tbl>
      <w:tblPr>
        <w:tblW w:w="9060" w:type="dxa"/>
        <w:tblLayout w:type="fixed"/>
        <w:tblLook w:val="06A0" w:firstRow="1" w:lastRow="0" w:firstColumn="1" w:lastColumn="0" w:noHBand="1" w:noVBand="1"/>
        <w:tblCaption w:val="nivolumab - proposed restriction"/>
      </w:tblPr>
      <w:tblGrid>
        <w:gridCol w:w="984"/>
        <w:gridCol w:w="2467"/>
        <w:gridCol w:w="1467"/>
        <w:gridCol w:w="1241"/>
        <w:gridCol w:w="1199"/>
        <w:gridCol w:w="1702"/>
      </w:tblGrid>
      <w:tr w:rsidR="005F2C11" w14:paraId="14BF210B" w14:textId="77777777" w:rsidTr="005F2C11">
        <w:trPr>
          <w:trHeight w:val="20"/>
        </w:trPr>
        <w:tc>
          <w:tcPr>
            <w:tcW w:w="9062" w:type="dxa"/>
            <w:gridSpan w:val="6"/>
            <w:tcBorders>
              <w:top w:val="single" w:sz="8" w:space="0" w:color="auto"/>
              <w:left w:val="single" w:sz="8" w:space="0" w:color="auto"/>
              <w:bottom w:val="single" w:sz="8" w:space="0" w:color="auto"/>
              <w:right w:val="single" w:sz="8" w:space="0" w:color="auto"/>
            </w:tcBorders>
            <w:hideMark/>
          </w:tcPr>
          <w:p w14:paraId="513C636D" w14:textId="77777777" w:rsidR="005F2C11" w:rsidRDefault="005F2C11">
            <w:pPr>
              <w:spacing w:line="256" w:lineRule="auto"/>
              <w:ind w:left="-57"/>
              <w:rPr>
                <w:sz w:val="20"/>
                <w:szCs w:val="20"/>
              </w:rPr>
            </w:pPr>
            <w:r>
              <w:rPr>
                <w:rFonts w:ascii="Arial Narrow" w:eastAsia="Arial Narrow" w:hAnsi="Arial Narrow" w:cs="Arial Narrow"/>
                <w:b/>
                <w:sz w:val="20"/>
                <w:szCs w:val="20"/>
              </w:rPr>
              <w:t>Category/Program:</w:t>
            </w:r>
            <w:r>
              <w:rPr>
                <w:rFonts w:ascii="Arial Narrow" w:eastAsia="Arial Narrow" w:hAnsi="Arial Narrow" w:cs="Arial Narrow"/>
                <w:sz w:val="20"/>
                <w:szCs w:val="20"/>
              </w:rPr>
              <w:t xml:space="preserve"> Section 100 – Efficient Funding of Chemotherapy Public/Private hospitals</w:t>
            </w:r>
          </w:p>
        </w:tc>
      </w:tr>
      <w:tr w:rsidR="005F2C11" w14:paraId="23451723" w14:textId="77777777" w:rsidTr="005F2C11">
        <w:trPr>
          <w:trHeight w:val="20"/>
        </w:trPr>
        <w:tc>
          <w:tcPr>
            <w:tcW w:w="3453" w:type="dxa"/>
            <w:gridSpan w:val="2"/>
            <w:tcBorders>
              <w:top w:val="single" w:sz="8" w:space="0" w:color="auto"/>
              <w:left w:val="single" w:sz="8" w:space="0" w:color="auto"/>
              <w:bottom w:val="single" w:sz="8" w:space="0" w:color="auto"/>
              <w:right w:val="single" w:sz="8" w:space="0" w:color="auto"/>
            </w:tcBorders>
            <w:hideMark/>
          </w:tcPr>
          <w:p w14:paraId="036371AD" w14:textId="77777777" w:rsidR="005F2C11" w:rsidRDefault="005F2C11">
            <w:pPr>
              <w:spacing w:line="256" w:lineRule="auto"/>
              <w:ind w:left="-57"/>
              <w:rPr>
                <w:sz w:val="20"/>
                <w:szCs w:val="20"/>
              </w:rPr>
            </w:pPr>
            <w:r>
              <w:rPr>
                <w:rFonts w:ascii="Arial Narrow" w:eastAsia="Arial Narrow" w:hAnsi="Arial Narrow" w:cs="Arial Narrow"/>
                <w:b/>
                <w:sz w:val="20"/>
                <w:szCs w:val="20"/>
              </w:rPr>
              <w:t>MEDICINAL PRODUCT</w:t>
            </w:r>
          </w:p>
          <w:p w14:paraId="190CA2B0" w14:textId="77777777" w:rsidR="005F2C11" w:rsidRDefault="005F2C11">
            <w:pPr>
              <w:spacing w:line="256" w:lineRule="auto"/>
              <w:ind w:left="-57"/>
              <w:rPr>
                <w:sz w:val="20"/>
                <w:szCs w:val="20"/>
              </w:rPr>
            </w:pPr>
            <w:r>
              <w:rPr>
                <w:rFonts w:ascii="Arial Narrow" w:eastAsia="Arial Narrow" w:hAnsi="Arial Narrow" w:cs="Arial Narrow"/>
                <w:sz w:val="20"/>
                <w:szCs w:val="20"/>
              </w:rPr>
              <w:t xml:space="preserve"> </w:t>
            </w:r>
          </w:p>
        </w:tc>
        <w:tc>
          <w:tcPr>
            <w:tcW w:w="1467" w:type="dxa"/>
            <w:tcBorders>
              <w:top w:val="nil"/>
              <w:left w:val="nil"/>
              <w:bottom w:val="single" w:sz="8" w:space="0" w:color="auto"/>
              <w:right w:val="single" w:sz="8" w:space="0" w:color="auto"/>
            </w:tcBorders>
            <w:hideMark/>
          </w:tcPr>
          <w:p w14:paraId="14C9ED31" w14:textId="77777777" w:rsidR="005F2C11" w:rsidRDefault="005F2C11">
            <w:pPr>
              <w:spacing w:line="256" w:lineRule="auto"/>
              <w:ind w:left="-57"/>
              <w:jc w:val="center"/>
              <w:rPr>
                <w:sz w:val="20"/>
                <w:szCs w:val="20"/>
              </w:rPr>
            </w:pPr>
            <w:r>
              <w:rPr>
                <w:rFonts w:ascii="Arial Narrow" w:eastAsia="Arial Narrow" w:hAnsi="Arial Narrow" w:cs="Arial Narrow"/>
                <w:b/>
                <w:sz w:val="20"/>
                <w:szCs w:val="20"/>
              </w:rPr>
              <w:t>PBS item code</w:t>
            </w:r>
          </w:p>
        </w:tc>
        <w:tc>
          <w:tcPr>
            <w:tcW w:w="1241" w:type="dxa"/>
            <w:tcBorders>
              <w:top w:val="nil"/>
              <w:left w:val="single" w:sz="8" w:space="0" w:color="auto"/>
              <w:bottom w:val="single" w:sz="8" w:space="0" w:color="auto"/>
              <w:right w:val="single" w:sz="8" w:space="0" w:color="auto"/>
            </w:tcBorders>
            <w:hideMark/>
          </w:tcPr>
          <w:p w14:paraId="219D2D92" w14:textId="77777777" w:rsidR="005F2C11" w:rsidRDefault="005F2C11">
            <w:pPr>
              <w:spacing w:line="256" w:lineRule="auto"/>
              <w:ind w:left="-57"/>
              <w:jc w:val="center"/>
              <w:rPr>
                <w:sz w:val="20"/>
                <w:szCs w:val="20"/>
              </w:rPr>
            </w:pPr>
            <w:r>
              <w:rPr>
                <w:rFonts w:ascii="Arial Narrow" w:eastAsia="Arial Narrow" w:hAnsi="Arial Narrow" w:cs="Arial Narrow"/>
                <w:b/>
                <w:sz w:val="20"/>
                <w:szCs w:val="20"/>
              </w:rPr>
              <w:t>Max.</w:t>
            </w:r>
          </w:p>
          <w:p w14:paraId="25E9F96E" w14:textId="77777777" w:rsidR="005F2C11" w:rsidRDefault="005F2C11">
            <w:pPr>
              <w:spacing w:line="256" w:lineRule="auto"/>
              <w:ind w:left="-57"/>
              <w:jc w:val="center"/>
              <w:rPr>
                <w:sz w:val="20"/>
                <w:szCs w:val="20"/>
              </w:rPr>
            </w:pPr>
            <w:r>
              <w:rPr>
                <w:rFonts w:ascii="Arial Narrow" w:eastAsia="Arial Narrow" w:hAnsi="Arial Narrow" w:cs="Arial Narrow"/>
                <w:b/>
                <w:sz w:val="20"/>
                <w:szCs w:val="20"/>
              </w:rPr>
              <w:t>Amount</w:t>
            </w:r>
          </w:p>
        </w:tc>
        <w:tc>
          <w:tcPr>
            <w:tcW w:w="1199" w:type="dxa"/>
            <w:tcBorders>
              <w:top w:val="nil"/>
              <w:left w:val="single" w:sz="8" w:space="0" w:color="auto"/>
              <w:bottom w:val="single" w:sz="8" w:space="0" w:color="auto"/>
              <w:right w:val="single" w:sz="8" w:space="0" w:color="auto"/>
            </w:tcBorders>
            <w:hideMark/>
          </w:tcPr>
          <w:p w14:paraId="1C12BE11" w14:textId="77777777" w:rsidR="005F2C11" w:rsidRDefault="005F2C11">
            <w:pPr>
              <w:spacing w:line="256" w:lineRule="auto"/>
              <w:ind w:left="-57"/>
              <w:jc w:val="center"/>
              <w:rPr>
                <w:sz w:val="20"/>
                <w:szCs w:val="20"/>
              </w:rPr>
            </w:pPr>
            <w:r>
              <w:rPr>
                <w:rFonts w:ascii="Arial Narrow" w:eastAsia="Arial Narrow" w:hAnsi="Arial Narrow" w:cs="Arial Narrow"/>
                <w:b/>
                <w:sz w:val="20"/>
                <w:szCs w:val="20"/>
              </w:rPr>
              <w:t>№.of</w:t>
            </w:r>
          </w:p>
          <w:p w14:paraId="16124222" w14:textId="77777777" w:rsidR="005F2C11" w:rsidRDefault="005F2C11">
            <w:pPr>
              <w:spacing w:line="256" w:lineRule="auto"/>
              <w:ind w:left="-57"/>
              <w:jc w:val="center"/>
              <w:rPr>
                <w:sz w:val="20"/>
                <w:szCs w:val="20"/>
              </w:rPr>
            </w:pPr>
            <w:r>
              <w:rPr>
                <w:rFonts w:ascii="Arial Narrow" w:eastAsia="Arial Narrow" w:hAnsi="Arial Narrow" w:cs="Arial Narrow"/>
                <w:b/>
                <w:sz w:val="20"/>
                <w:szCs w:val="20"/>
              </w:rPr>
              <w:t>Rpts</w:t>
            </w:r>
          </w:p>
        </w:tc>
        <w:tc>
          <w:tcPr>
            <w:tcW w:w="1702" w:type="dxa"/>
            <w:tcBorders>
              <w:top w:val="nil"/>
              <w:left w:val="single" w:sz="8" w:space="0" w:color="auto"/>
              <w:bottom w:val="single" w:sz="8" w:space="0" w:color="auto"/>
              <w:right w:val="single" w:sz="8" w:space="0" w:color="auto"/>
            </w:tcBorders>
            <w:hideMark/>
          </w:tcPr>
          <w:p w14:paraId="557FCF6B" w14:textId="77777777" w:rsidR="005F2C11" w:rsidRDefault="005F2C11">
            <w:pPr>
              <w:spacing w:line="256" w:lineRule="auto"/>
              <w:ind w:left="-57"/>
              <w:rPr>
                <w:sz w:val="20"/>
                <w:szCs w:val="20"/>
              </w:rPr>
            </w:pPr>
            <w:r>
              <w:rPr>
                <w:rFonts w:ascii="Arial Narrow" w:eastAsia="Arial Narrow" w:hAnsi="Arial Narrow" w:cs="Arial Narrow"/>
                <w:b/>
                <w:sz w:val="20"/>
                <w:szCs w:val="20"/>
              </w:rPr>
              <w:t>Manufacturer</w:t>
            </w:r>
          </w:p>
        </w:tc>
      </w:tr>
      <w:tr w:rsidR="005F2C11" w14:paraId="33C58E9C" w14:textId="77777777" w:rsidTr="005F2C11">
        <w:trPr>
          <w:trHeight w:val="20"/>
        </w:trPr>
        <w:tc>
          <w:tcPr>
            <w:tcW w:w="3453" w:type="dxa"/>
            <w:gridSpan w:val="2"/>
            <w:tcBorders>
              <w:top w:val="single" w:sz="8" w:space="0" w:color="auto"/>
              <w:left w:val="single" w:sz="8" w:space="0" w:color="auto"/>
              <w:bottom w:val="single" w:sz="8" w:space="0" w:color="auto"/>
              <w:right w:val="single" w:sz="8" w:space="0" w:color="auto"/>
            </w:tcBorders>
            <w:hideMark/>
          </w:tcPr>
          <w:p w14:paraId="2C955655" w14:textId="77777777" w:rsidR="005F2C11" w:rsidRDefault="005F2C11">
            <w:pPr>
              <w:spacing w:line="256" w:lineRule="auto"/>
              <w:ind w:left="-57"/>
              <w:rPr>
                <w:sz w:val="20"/>
                <w:szCs w:val="20"/>
              </w:rPr>
            </w:pPr>
            <w:r>
              <w:rPr>
                <w:rFonts w:ascii="Arial Narrow" w:eastAsia="Arial Narrow" w:hAnsi="Arial Narrow" w:cs="Arial Narrow"/>
                <w:sz w:val="20"/>
                <w:szCs w:val="20"/>
              </w:rPr>
              <w:t>NIVOLUMAB</w:t>
            </w:r>
          </w:p>
          <w:p w14:paraId="781DD2B1" w14:textId="77777777" w:rsidR="005F2C11" w:rsidRDefault="005F2C11">
            <w:pPr>
              <w:spacing w:line="256" w:lineRule="auto"/>
              <w:ind w:left="-57"/>
              <w:rPr>
                <w:sz w:val="20"/>
                <w:szCs w:val="20"/>
              </w:rPr>
            </w:pPr>
            <w:r>
              <w:rPr>
                <w:rFonts w:ascii="Arial Narrow" w:eastAsia="Arial Narrow" w:hAnsi="Arial Narrow" w:cs="Arial Narrow"/>
                <w:sz w:val="20"/>
                <w:szCs w:val="20"/>
              </w:rPr>
              <w:t xml:space="preserve">Injection </w:t>
            </w:r>
          </w:p>
        </w:tc>
        <w:tc>
          <w:tcPr>
            <w:tcW w:w="1467" w:type="dxa"/>
            <w:tcBorders>
              <w:top w:val="single" w:sz="8" w:space="0" w:color="auto"/>
              <w:left w:val="nil"/>
              <w:bottom w:val="single" w:sz="8" w:space="0" w:color="auto"/>
              <w:right w:val="single" w:sz="8" w:space="0" w:color="auto"/>
            </w:tcBorders>
            <w:hideMark/>
          </w:tcPr>
          <w:p w14:paraId="2B28CC02" w14:textId="77777777" w:rsidR="005F2C11" w:rsidRDefault="005F2C11">
            <w:pPr>
              <w:spacing w:line="256" w:lineRule="auto"/>
              <w:ind w:left="-57"/>
              <w:jc w:val="center"/>
              <w:rPr>
                <w:sz w:val="20"/>
                <w:szCs w:val="20"/>
              </w:rPr>
            </w:pPr>
            <w:r>
              <w:rPr>
                <w:rFonts w:ascii="Arial Narrow" w:eastAsia="Arial Narrow" w:hAnsi="Arial Narrow" w:cs="Arial Narrow"/>
                <w:sz w:val="20"/>
                <w:szCs w:val="20"/>
              </w:rPr>
              <w:t>NEW (Public)</w:t>
            </w:r>
          </w:p>
          <w:p w14:paraId="57273E5E" w14:textId="77777777" w:rsidR="005F2C11" w:rsidRDefault="005F2C11">
            <w:pPr>
              <w:spacing w:line="256" w:lineRule="auto"/>
              <w:ind w:left="-57"/>
              <w:jc w:val="center"/>
              <w:rPr>
                <w:sz w:val="20"/>
                <w:szCs w:val="20"/>
              </w:rPr>
            </w:pPr>
            <w:r>
              <w:rPr>
                <w:rFonts w:ascii="Arial Narrow" w:eastAsia="Arial Narrow" w:hAnsi="Arial Narrow" w:cs="Arial Narrow"/>
                <w:sz w:val="20"/>
                <w:szCs w:val="20"/>
              </w:rPr>
              <w:t>NEW (Private)</w:t>
            </w:r>
          </w:p>
          <w:p w14:paraId="17908D98" w14:textId="77777777" w:rsidR="005F2C11" w:rsidRDefault="005F2C11">
            <w:pPr>
              <w:spacing w:line="256" w:lineRule="auto"/>
              <w:ind w:left="-57"/>
              <w:jc w:val="center"/>
              <w:rPr>
                <w:sz w:val="20"/>
                <w:szCs w:val="20"/>
              </w:rPr>
            </w:pPr>
            <w:r>
              <w:rPr>
                <w:rFonts w:ascii="Arial Narrow" w:eastAsia="Arial Narrow" w:hAnsi="Arial Narrow" w:cs="Arial Narrow"/>
                <w:sz w:val="20"/>
                <w:szCs w:val="20"/>
                <w:vertAlign w:val="subscript"/>
              </w:rPr>
              <w:t>MP</w:t>
            </w:r>
          </w:p>
        </w:tc>
        <w:tc>
          <w:tcPr>
            <w:tcW w:w="1241" w:type="dxa"/>
            <w:tcBorders>
              <w:top w:val="single" w:sz="8" w:space="0" w:color="auto"/>
              <w:left w:val="single" w:sz="8" w:space="0" w:color="auto"/>
              <w:bottom w:val="single" w:sz="8" w:space="0" w:color="auto"/>
              <w:right w:val="single" w:sz="8" w:space="0" w:color="auto"/>
            </w:tcBorders>
          </w:tcPr>
          <w:p w14:paraId="1F94B3D9" w14:textId="77777777" w:rsidR="005F2C11" w:rsidRDefault="005F2C11">
            <w:pPr>
              <w:spacing w:line="256" w:lineRule="auto"/>
              <w:ind w:left="-57"/>
              <w:jc w:val="center"/>
              <w:rPr>
                <w:sz w:val="20"/>
                <w:szCs w:val="20"/>
              </w:rPr>
            </w:pPr>
          </w:p>
          <w:p w14:paraId="26C44514" w14:textId="77777777" w:rsidR="005F2C11" w:rsidRDefault="005F2C11">
            <w:pPr>
              <w:spacing w:line="256" w:lineRule="auto"/>
              <w:ind w:left="-57"/>
              <w:jc w:val="center"/>
              <w:rPr>
                <w:sz w:val="20"/>
                <w:szCs w:val="20"/>
              </w:rPr>
            </w:pPr>
            <w:r>
              <w:rPr>
                <w:rFonts w:ascii="Arial Narrow" w:eastAsia="Arial Narrow" w:hAnsi="Arial Narrow" w:cs="Arial Narrow"/>
                <w:sz w:val="20"/>
                <w:szCs w:val="20"/>
              </w:rPr>
              <w:t>480 mg</w:t>
            </w:r>
          </w:p>
        </w:tc>
        <w:tc>
          <w:tcPr>
            <w:tcW w:w="1199" w:type="dxa"/>
            <w:tcBorders>
              <w:top w:val="single" w:sz="8" w:space="0" w:color="auto"/>
              <w:left w:val="single" w:sz="8" w:space="0" w:color="auto"/>
              <w:bottom w:val="single" w:sz="8" w:space="0" w:color="auto"/>
              <w:right w:val="single" w:sz="8" w:space="0" w:color="auto"/>
            </w:tcBorders>
          </w:tcPr>
          <w:p w14:paraId="529AE16A" w14:textId="77777777" w:rsidR="005F2C11" w:rsidRDefault="005F2C11">
            <w:pPr>
              <w:spacing w:line="256" w:lineRule="auto"/>
              <w:ind w:left="-57"/>
              <w:jc w:val="center"/>
              <w:rPr>
                <w:sz w:val="20"/>
                <w:szCs w:val="20"/>
              </w:rPr>
            </w:pPr>
          </w:p>
          <w:p w14:paraId="1AC66E7C" w14:textId="77777777" w:rsidR="005F2C11" w:rsidRDefault="005F2C11">
            <w:pPr>
              <w:spacing w:line="256" w:lineRule="auto"/>
              <w:ind w:left="-57"/>
              <w:jc w:val="center"/>
              <w:rPr>
                <w:color w:val="FF0000"/>
                <w:sz w:val="20"/>
                <w:szCs w:val="20"/>
              </w:rPr>
            </w:pPr>
            <w:r>
              <w:rPr>
                <w:rFonts w:ascii="Arial Narrow" w:eastAsia="Arial Narrow" w:hAnsi="Arial Narrow" w:cs="Arial Narrow"/>
                <w:sz w:val="20"/>
                <w:szCs w:val="20"/>
              </w:rPr>
              <w:t>13</w:t>
            </w:r>
          </w:p>
        </w:tc>
        <w:tc>
          <w:tcPr>
            <w:tcW w:w="1702" w:type="dxa"/>
            <w:tcBorders>
              <w:top w:val="single" w:sz="8" w:space="0" w:color="auto"/>
              <w:left w:val="single" w:sz="8" w:space="0" w:color="auto"/>
              <w:bottom w:val="single" w:sz="8" w:space="0" w:color="auto"/>
              <w:right w:val="single" w:sz="8" w:space="0" w:color="auto"/>
            </w:tcBorders>
            <w:hideMark/>
          </w:tcPr>
          <w:p w14:paraId="49894FC2" w14:textId="77777777" w:rsidR="005F2C11" w:rsidRDefault="005F2C11">
            <w:pPr>
              <w:spacing w:line="256" w:lineRule="auto"/>
              <w:ind w:left="-57"/>
              <w:rPr>
                <w:sz w:val="20"/>
                <w:szCs w:val="20"/>
              </w:rPr>
            </w:pPr>
            <w:r>
              <w:rPr>
                <w:rFonts w:ascii="Arial Narrow" w:eastAsia="Arial Narrow" w:hAnsi="Arial Narrow" w:cs="Arial Narrow"/>
                <w:sz w:val="20"/>
                <w:szCs w:val="20"/>
              </w:rPr>
              <w:t>Bristol-Myers Squibb Australia Pty Ltd</w:t>
            </w:r>
          </w:p>
        </w:tc>
      </w:tr>
      <w:tr w:rsidR="005F2C11" w14:paraId="45B632DB" w14:textId="77777777" w:rsidTr="005F2C11">
        <w:trPr>
          <w:trHeight w:val="20"/>
        </w:trPr>
        <w:tc>
          <w:tcPr>
            <w:tcW w:w="9062" w:type="dxa"/>
            <w:gridSpan w:val="6"/>
            <w:tcBorders>
              <w:top w:val="single" w:sz="8" w:space="0" w:color="auto"/>
              <w:left w:val="single" w:sz="8" w:space="0" w:color="auto"/>
              <w:bottom w:val="single" w:sz="8" w:space="0" w:color="auto"/>
              <w:right w:val="single" w:sz="8" w:space="0" w:color="auto"/>
            </w:tcBorders>
            <w:hideMark/>
          </w:tcPr>
          <w:p w14:paraId="3CFCB4F0" w14:textId="77777777" w:rsidR="005F2C11" w:rsidRDefault="005F2C11">
            <w:pPr>
              <w:spacing w:line="256" w:lineRule="auto"/>
              <w:ind w:left="-57"/>
              <w:rPr>
                <w:sz w:val="20"/>
                <w:szCs w:val="20"/>
              </w:rPr>
            </w:pPr>
            <w:r>
              <w:rPr>
                <w:rFonts w:ascii="Arial Narrow" w:eastAsia="Arial Narrow" w:hAnsi="Arial Narrow" w:cs="Arial Narrow"/>
                <w:b/>
                <w:sz w:val="20"/>
                <w:szCs w:val="20"/>
              </w:rPr>
              <w:t>Available brands</w:t>
            </w:r>
          </w:p>
        </w:tc>
      </w:tr>
      <w:tr w:rsidR="005F2C11" w14:paraId="3549A6DC" w14:textId="77777777" w:rsidTr="005F2C11">
        <w:trPr>
          <w:trHeight w:val="20"/>
        </w:trPr>
        <w:tc>
          <w:tcPr>
            <w:tcW w:w="9062" w:type="dxa"/>
            <w:gridSpan w:val="6"/>
            <w:tcBorders>
              <w:top w:val="single" w:sz="8" w:space="0" w:color="auto"/>
              <w:left w:val="single" w:sz="8" w:space="0" w:color="auto"/>
              <w:bottom w:val="single" w:sz="8" w:space="0" w:color="auto"/>
              <w:right w:val="single" w:sz="8" w:space="0" w:color="auto"/>
            </w:tcBorders>
            <w:hideMark/>
          </w:tcPr>
          <w:p w14:paraId="79C9C2F6" w14:textId="77777777" w:rsidR="005F2C11" w:rsidRDefault="005F2C11">
            <w:pPr>
              <w:spacing w:line="256" w:lineRule="auto"/>
              <w:ind w:left="-57"/>
              <w:rPr>
                <w:sz w:val="20"/>
                <w:szCs w:val="20"/>
              </w:rPr>
            </w:pPr>
            <w:r>
              <w:rPr>
                <w:rFonts w:ascii="Arial Narrow" w:eastAsia="Arial Narrow" w:hAnsi="Arial Narrow" w:cs="Arial Narrow"/>
                <w:sz w:val="20"/>
                <w:szCs w:val="20"/>
              </w:rPr>
              <w:t>Opdivo (nivolumab 40 mg/4 mL injection, 4 mL vial)</w:t>
            </w:r>
          </w:p>
          <w:p w14:paraId="4C495B8A" w14:textId="77777777" w:rsidR="005F2C11" w:rsidRDefault="005F2C11">
            <w:pPr>
              <w:spacing w:line="256" w:lineRule="auto"/>
              <w:ind w:left="-57"/>
              <w:rPr>
                <w:sz w:val="20"/>
                <w:szCs w:val="20"/>
              </w:rPr>
            </w:pPr>
            <w:r>
              <w:rPr>
                <w:rFonts w:ascii="Arial Narrow" w:eastAsia="Arial Narrow" w:hAnsi="Arial Narrow" w:cs="Arial Narrow"/>
                <w:sz w:val="20"/>
                <w:szCs w:val="20"/>
              </w:rPr>
              <w:lastRenderedPageBreak/>
              <w:t>Opdivo (nivolumab 100 mg/10 mL injection, 4 mL vial)</w:t>
            </w:r>
          </w:p>
        </w:tc>
      </w:tr>
      <w:tr w:rsidR="005F2C11" w14:paraId="54289C33" w14:textId="77777777" w:rsidTr="005F2C11">
        <w:trPr>
          <w:trHeight w:val="20"/>
        </w:trPr>
        <w:tc>
          <w:tcPr>
            <w:tcW w:w="9062"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9304B6" w14:textId="77777777" w:rsidR="005F2C11" w:rsidRDefault="005F2C11">
            <w:pPr>
              <w:spacing w:line="256" w:lineRule="auto"/>
              <w:rPr>
                <w:sz w:val="20"/>
                <w:szCs w:val="20"/>
              </w:rPr>
            </w:pPr>
            <w:r>
              <w:rPr>
                <w:rFonts w:ascii="Arial Narrow" w:eastAsia="Arial Narrow" w:hAnsi="Arial Narrow" w:cs="Arial Narrow"/>
                <w:b/>
                <w:sz w:val="20"/>
                <w:szCs w:val="20"/>
                <w:lang w:val="en-GB"/>
              </w:rPr>
              <w:lastRenderedPageBreak/>
              <w:t xml:space="preserve">Restriction Summary </w:t>
            </w:r>
            <w:r>
              <w:rPr>
                <w:rFonts w:ascii="Arial Narrow" w:eastAsia="Arial Narrow" w:hAnsi="Arial Narrow" w:cs="Arial Narrow"/>
                <w:sz w:val="20"/>
                <w:szCs w:val="20"/>
                <w:lang w:val="en-GB"/>
              </w:rPr>
              <w:t>[number – For. Dept. use]</w:t>
            </w:r>
            <w:r>
              <w:rPr>
                <w:rFonts w:ascii="Arial Narrow" w:eastAsia="Arial Narrow" w:hAnsi="Arial Narrow" w:cs="Arial Narrow"/>
                <w:i/>
                <w:sz w:val="20"/>
                <w:szCs w:val="20"/>
                <w:lang w:val="en-GB"/>
              </w:rPr>
              <w:t xml:space="preserve"> </w:t>
            </w:r>
            <w:r>
              <w:rPr>
                <w:rFonts w:ascii="Arial Narrow" w:eastAsia="Arial Narrow" w:hAnsi="Arial Narrow" w:cs="Arial Narrow"/>
                <w:b/>
                <w:sz w:val="20"/>
                <w:szCs w:val="20"/>
                <w:lang w:val="en-GB"/>
              </w:rPr>
              <w:t xml:space="preserve">/ Treatment of Concept: </w:t>
            </w:r>
            <w:r>
              <w:rPr>
                <w:rFonts w:ascii="Arial Narrow" w:eastAsia="Arial Narrow" w:hAnsi="Arial Narrow" w:cs="Arial Narrow"/>
                <w:sz w:val="20"/>
                <w:szCs w:val="20"/>
                <w:lang w:val="en-GB"/>
              </w:rPr>
              <w:t xml:space="preserve">[number – For. Dept. use]: </w:t>
            </w:r>
            <w:r>
              <w:rPr>
                <w:rFonts w:ascii="Arial Narrow" w:eastAsia="Arial Narrow" w:hAnsi="Arial Narrow" w:cs="Arial Narrow"/>
                <w:b/>
                <w:sz w:val="20"/>
                <w:szCs w:val="20"/>
                <w:lang w:val="en-GB"/>
              </w:rPr>
              <w:t>Authority Required (STREAMLINED)</w:t>
            </w:r>
          </w:p>
        </w:tc>
      </w:tr>
      <w:tr w:rsidR="005F2C11" w14:paraId="0848FDB1"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FD2173" w14:textId="77777777" w:rsidR="005F2C11" w:rsidRDefault="005F2C11">
            <w:pPr>
              <w:spacing w:line="256" w:lineRule="auto"/>
              <w:jc w:val="center"/>
              <w:rPr>
                <w:sz w:val="20"/>
                <w:szCs w:val="20"/>
              </w:rPr>
            </w:pPr>
            <w:r>
              <w:rPr>
                <w:rFonts w:ascii="Arial Narrow" w:eastAsia="Arial Narrow" w:hAnsi="Arial Narrow" w:cs="Arial Narrow"/>
                <w:color w:val="333333"/>
                <w:sz w:val="20"/>
                <w:szCs w:val="20"/>
              </w:rPr>
              <w:t>This column – for Dept. use</w:t>
            </w:r>
          </w:p>
        </w:tc>
        <w:tc>
          <w:tcPr>
            <w:tcW w:w="8077" w:type="dxa"/>
            <w:gridSpan w:val="5"/>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F91935" w14:textId="77777777" w:rsidR="005F2C11" w:rsidRDefault="005F2C11">
            <w:pPr>
              <w:spacing w:line="256" w:lineRule="auto"/>
              <w:rPr>
                <w:sz w:val="20"/>
                <w:szCs w:val="20"/>
              </w:rPr>
            </w:pPr>
            <w:r>
              <w:rPr>
                <w:rFonts w:ascii="Arial Narrow" w:eastAsia="Arial Narrow" w:hAnsi="Arial Narrow" w:cs="Arial Narrow"/>
                <w:b/>
                <w:color w:val="333333"/>
                <w:sz w:val="20"/>
                <w:szCs w:val="20"/>
              </w:rPr>
              <w:t>Indication:</w:t>
            </w:r>
            <w:r>
              <w:rPr>
                <w:rFonts w:ascii="Arial Narrow" w:eastAsia="Arial Narrow" w:hAnsi="Arial Narrow" w:cs="Arial Narrow"/>
                <w:color w:val="333333"/>
                <w:sz w:val="20"/>
                <w:szCs w:val="20"/>
              </w:rPr>
              <w:t xml:space="preserve"> Immunotherapy sensitive advanced or metastatic cancer</w:t>
            </w:r>
          </w:p>
        </w:tc>
      </w:tr>
      <w:tr w:rsidR="005F2C11" w14:paraId="35C0F018"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393774" w14:textId="77777777" w:rsidR="005F2C11" w:rsidRDefault="005F2C11">
            <w:pPr>
              <w:spacing w:line="256" w:lineRule="auto"/>
              <w:jc w:val="center"/>
              <w:rPr>
                <w:sz w:val="20"/>
                <w:szCs w:val="20"/>
              </w:rPr>
            </w:pPr>
            <w:r>
              <w:rPr>
                <w:rFonts w:ascii="Arial Narrow" w:eastAsia="Arial Narrow" w:hAnsi="Arial Narrow" w:cs="Arial Narrow"/>
                <w:color w:val="333333"/>
                <w:sz w:val="20"/>
                <w:szCs w:val="20"/>
              </w:rPr>
              <w:t xml:space="preserve"> </w:t>
            </w: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115A45" w14:textId="77777777" w:rsidR="005F2C11" w:rsidRDefault="005F2C11">
            <w:pPr>
              <w:spacing w:line="256" w:lineRule="auto"/>
              <w:rPr>
                <w:sz w:val="20"/>
                <w:szCs w:val="20"/>
              </w:rPr>
            </w:pPr>
            <w:r>
              <w:rPr>
                <w:rFonts w:ascii="Arial Narrow" w:eastAsia="Arial Narrow" w:hAnsi="Arial Narrow" w:cs="Arial Narrow"/>
                <w:b/>
                <w:color w:val="333333"/>
                <w:sz w:val="20"/>
                <w:szCs w:val="20"/>
              </w:rPr>
              <w:t xml:space="preserve"> </w:t>
            </w:r>
          </w:p>
        </w:tc>
      </w:tr>
      <w:tr w:rsidR="005F2C11" w14:paraId="2C2C77B6"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C79944" w14:textId="77777777" w:rsidR="005F2C11" w:rsidRDefault="005F2C11">
            <w:pPr>
              <w:spacing w:line="256" w:lineRule="auto"/>
              <w:jc w:val="center"/>
              <w:rPr>
                <w:sz w:val="20"/>
                <w:szCs w:val="20"/>
              </w:rPr>
            </w:pPr>
            <w:r>
              <w:rPr>
                <w:rFonts w:ascii="Arial Narrow" w:eastAsia="Arial Narrow" w:hAnsi="Arial Narrow" w:cs="Arial Narrow"/>
                <w:color w:val="333333"/>
                <w:sz w:val="20"/>
                <w:szCs w:val="20"/>
              </w:rPr>
              <w:t xml:space="preserve"> </w:t>
            </w: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4FA9A9" w14:textId="77777777" w:rsidR="005F2C11" w:rsidRDefault="005F2C11">
            <w:pPr>
              <w:spacing w:line="256" w:lineRule="auto"/>
              <w:rPr>
                <w:sz w:val="20"/>
                <w:szCs w:val="20"/>
              </w:rPr>
            </w:pPr>
            <w:r>
              <w:rPr>
                <w:rFonts w:ascii="Arial Narrow" w:eastAsia="Arial Narrow" w:hAnsi="Arial Narrow" w:cs="Arial Narrow"/>
                <w:b/>
                <w:i/>
                <w:sz w:val="20"/>
                <w:szCs w:val="20"/>
              </w:rPr>
              <w:t>Clinical criteria:</w:t>
            </w:r>
          </w:p>
        </w:tc>
      </w:tr>
      <w:tr w:rsidR="005F2C11" w14:paraId="4D380EFE"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F94740" w14:textId="77777777" w:rsidR="005F2C11" w:rsidRDefault="005F2C11">
            <w:pPr>
              <w:spacing w:line="256" w:lineRule="auto"/>
              <w:jc w:val="center"/>
              <w:rPr>
                <w:sz w:val="20"/>
                <w:szCs w:val="20"/>
              </w:rPr>
            </w:pPr>
            <w:r>
              <w:rPr>
                <w:rFonts w:ascii="Arial Narrow" w:eastAsia="Arial Narrow" w:hAnsi="Arial Narrow" w:cs="Arial Narrow"/>
                <w:color w:val="333333"/>
                <w:sz w:val="20"/>
                <w:szCs w:val="20"/>
              </w:rPr>
              <w:t xml:space="preserve"> </w:t>
            </w: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2F3CB0" w14:textId="77777777" w:rsidR="005F2C11" w:rsidRDefault="005F2C11">
            <w:pPr>
              <w:spacing w:line="256" w:lineRule="auto"/>
              <w:rPr>
                <w:sz w:val="20"/>
                <w:szCs w:val="20"/>
              </w:rPr>
            </w:pPr>
            <w:r>
              <w:rPr>
                <w:rFonts w:ascii="Arial Narrow" w:eastAsia="Arial Narrow" w:hAnsi="Arial Narrow" w:cs="Arial Narrow"/>
                <w:i/>
                <w:sz w:val="20"/>
                <w:szCs w:val="20"/>
              </w:rPr>
              <w:t>Patient must not have developed disease progression while receiving PBS-subsidised treatment with this drug for the condition which treatment was commenced for.</w:t>
            </w:r>
          </w:p>
        </w:tc>
      </w:tr>
      <w:tr w:rsidR="005F2C11" w14:paraId="4978596D"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A4050E" w14:textId="77777777" w:rsidR="005F2C11" w:rsidRDefault="005F2C11">
            <w:pPr>
              <w:spacing w:line="256" w:lineRule="auto"/>
              <w:jc w:val="center"/>
              <w:rPr>
                <w:sz w:val="20"/>
                <w:szCs w:val="20"/>
              </w:rPr>
            </w:pPr>
            <w:r>
              <w:rPr>
                <w:rFonts w:ascii="Arial Narrow" w:eastAsia="Arial Narrow" w:hAnsi="Arial Narrow" w:cs="Arial Narrow"/>
                <w:color w:val="333333"/>
                <w:sz w:val="20"/>
                <w:szCs w:val="20"/>
              </w:rPr>
              <w:t xml:space="preserve"> </w:t>
            </w: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62E1AD" w14:textId="77777777" w:rsidR="005F2C11" w:rsidRDefault="005F2C11">
            <w:pPr>
              <w:spacing w:line="256" w:lineRule="auto"/>
              <w:rPr>
                <w:sz w:val="20"/>
                <w:szCs w:val="20"/>
              </w:rPr>
            </w:pPr>
            <w:r>
              <w:rPr>
                <w:rFonts w:ascii="Arial Narrow" w:eastAsia="Arial Narrow" w:hAnsi="Arial Narrow" w:cs="Arial Narrow"/>
                <w:b/>
                <w:i/>
                <w:sz w:val="20"/>
                <w:szCs w:val="20"/>
              </w:rPr>
              <w:t>Prescribing instruction:</w:t>
            </w:r>
            <w:r>
              <w:rPr>
                <w:rFonts w:ascii="Arial Narrow" w:eastAsia="Arial Narrow" w:hAnsi="Arial Narrow" w:cs="Arial Narrow"/>
                <w:i/>
                <w:sz w:val="20"/>
                <w:szCs w:val="20"/>
              </w:rPr>
              <w:t xml:space="preserve"> Patients must only receive a maximum of 240 mg every two weeks or 480 mg every four weeks under a weight based or flat dosing regimen.</w:t>
            </w:r>
          </w:p>
        </w:tc>
      </w:tr>
      <w:tr w:rsidR="005F2C11" w14:paraId="741067E3"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0B918D" w14:textId="77777777" w:rsidR="005F2C11" w:rsidRDefault="005F2C11">
            <w:pPr>
              <w:spacing w:line="256" w:lineRule="auto"/>
              <w:jc w:val="center"/>
              <w:rPr>
                <w:rFonts w:ascii="Arial Narrow" w:eastAsia="Arial Narrow" w:hAnsi="Arial Narrow" w:cs="Arial Narrow"/>
                <w:color w:val="333333"/>
                <w:sz w:val="20"/>
                <w:szCs w:val="20"/>
              </w:rPr>
            </w:pP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DBA331" w14:textId="77777777" w:rsidR="005F2C11" w:rsidRDefault="005F2C11">
            <w:pPr>
              <w:spacing w:line="256" w:lineRule="auto"/>
              <w:rPr>
                <w:rFonts w:ascii="Arial Narrow" w:eastAsia="Arial Narrow" w:hAnsi="Arial Narrow" w:cs="Arial Narrow"/>
                <w:sz w:val="20"/>
                <w:szCs w:val="20"/>
              </w:rPr>
            </w:pPr>
            <w:r>
              <w:rPr>
                <w:rFonts w:ascii="Arial Narrow" w:eastAsia="Arial Narrow" w:hAnsi="Arial Narrow" w:cs="Arial Narrow"/>
                <w:b/>
                <w:i/>
                <w:sz w:val="20"/>
                <w:szCs w:val="20"/>
              </w:rPr>
              <w:t>Administrative advice:</w:t>
            </w:r>
            <w:r>
              <w:rPr>
                <w:rFonts w:ascii="Arial Narrow" w:eastAsia="Arial Narrow" w:hAnsi="Arial Narrow" w:cs="Arial Narrow"/>
                <w:i/>
                <w:sz w:val="20"/>
                <w:szCs w:val="20"/>
              </w:rPr>
              <w:t xml:space="preserve"> No increase in the maximum number of repeats may be authorised.</w:t>
            </w:r>
          </w:p>
        </w:tc>
      </w:tr>
      <w:tr w:rsidR="005F2C11" w14:paraId="3A7044C7"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46E6E8B" w14:textId="77777777" w:rsidR="005F2C11" w:rsidRDefault="005F2C11">
            <w:pPr>
              <w:spacing w:line="256" w:lineRule="auto"/>
              <w:jc w:val="center"/>
              <w:rPr>
                <w:rFonts w:ascii="Arial Narrow" w:eastAsia="Arial Narrow" w:hAnsi="Arial Narrow" w:cs="Arial Narrow"/>
                <w:color w:val="333333"/>
                <w:sz w:val="20"/>
                <w:szCs w:val="20"/>
              </w:rPr>
            </w:pPr>
          </w:p>
        </w:tc>
        <w:tc>
          <w:tcPr>
            <w:tcW w:w="8077"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B93A6BD" w14:textId="77777777" w:rsidR="005F2C11" w:rsidRDefault="005F2C11">
            <w:pPr>
              <w:spacing w:line="256" w:lineRule="auto"/>
              <w:rPr>
                <w:rFonts w:ascii="Arial Narrow" w:eastAsia="Arial Narrow" w:hAnsi="Arial Narrow" w:cs="Arial Narrow"/>
                <w:sz w:val="20"/>
                <w:szCs w:val="20"/>
              </w:rPr>
            </w:pPr>
            <w:r>
              <w:rPr>
                <w:rFonts w:ascii="Arial Narrow" w:eastAsia="Arial Narrow" w:hAnsi="Arial Narrow" w:cs="Arial Narrow"/>
                <w:b/>
                <w:i/>
                <w:sz w:val="20"/>
                <w:szCs w:val="20"/>
              </w:rPr>
              <w:t>Administrative advice:</w:t>
            </w:r>
            <w:r>
              <w:rPr>
                <w:rFonts w:ascii="Arial Narrow" w:eastAsia="Arial Narrow" w:hAnsi="Arial Narrow" w:cs="Arial Narrow"/>
                <w:i/>
                <w:sz w:val="20"/>
                <w:szCs w:val="20"/>
              </w:rPr>
              <w:t xml:space="preserve"> Special Pricing Arrangements apply.</w:t>
            </w:r>
          </w:p>
        </w:tc>
      </w:tr>
    </w:tbl>
    <w:p w14:paraId="000B4EE7" w14:textId="77777777" w:rsidR="005F2C11" w:rsidRDefault="005F2C11" w:rsidP="005F2C11">
      <w:pPr>
        <w:pStyle w:val="4-SubsectionHeading"/>
      </w:pPr>
      <w:bookmarkStart w:id="17" w:name="_Toc207019148"/>
      <w:r>
        <w:t>Ipilimumab – proposed restriction</w:t>
      </w:r>
      <w:bookmarkEnd w:id="17"/>
    </w:p>
    <w:tbl>
      <w:tblPr>
        <w:tblW w:w="9015" w:type="dxa"/>
        <w:tblLayout w:type="fixed"/>
        <w:tblLook w:val="06A0" w:firstRow="1" w:lastRow="0" w:firstColumn="1" w:lastColumn="0" w:noHBand="1" w:noVBand="1"/>
        <w:tblCaption w:val="ipilumumab - proposed restriction"/>
      </w:tblPr>
      <w:tblGrid>
        <w:gridCol w:w="985"/>
        <w:gridCol w:w="2466"/>
        <w:gridCol w:w="1468"/>
        <w:gridCol w:w="1241"/>
        <w:gridCol w:w="1199"/>
        <w:gridCol w:w="1656"/>
      </w:tblGrid>
      <w:tr w:rsidR="005F2C11" w14:paraId="14D6FEB9" w14:textId="77777777" w:rsidTr="005F2C11">
        <w:trPr>
          <w:trHeight w:val="20"/>
        </w:trPr>
        <w:tc>
          <w:tcPr>
            <w:tcW w:w="9015" w:type="dxa"/>
            <w:gridSpan w:val="6"/>
            <w:tcBorders>
              <w:top w:val="single" w:sz="8" w:space="0" w:color="auto"/>
              <w:left w:val="single" w:sz="8" w:space="0" w:color="auto"/>
              <w:bottom w:val="single" w:sz="8" w:space="0" w:color="auto"/>
              <w:right w:val="single" w:sz="8" w:space="0" w:color="auto"/>
            </w:tcBorders>
            <w:hideMark/>
          </w:tcPr>
          <w:p w14:paraId="4CDEA7C5" w14:textId="77777777" w:rsidR="005F2C11" w:rsidRDefault="005F2C11">
            <w:pPr>
              <w:keepNext/>
              <w:spacing w:line="256" w:lineRule="auto"/>
              <w:ind w:left="-57"/>
              <w:rPr>
                <w:sz w:val="20"/>
                <w:szCs w:val="20"/>
              </w:rPr>
            </w:pPr>
            <w:r>
              <w:rPr>
                <w:rFonts w:ascii="Arial Narrow" w:eastAsia="Arial Narrow" w:hAnsi="Arial Narrow" w:cs="Arial Narrow"/>
                <w:b/>
                <w:sz w:val="20"/>
                <w:szCs w:val="20"/>
              </w:rPr>
              <w:t>Category/Program:</w:t>
            </w:r>
            <w:r>
              <w:rPr>
                <w:rFonts w:ascii="Arial Narrow" w:eastAsia="Arial Narrow" w:hAnsi="Arial Narrow" w:cs="Arial Narrow"/>
                <w:sz w:val="20"/>
                <w:szCs w:val="20"/>
              </w:rPr>
              <w:t xml:space="preserve"> Section 100 – Efficient Funding of Chemotherapy Public/Private hospitals</w:t>
            </w:r>
          </w:p>
        </w:tc>
      </w:tr>
      <w:tr w:rsidR="005F2C11" w14:paraId="69DEEE7F" w14:textId="77777777" w:rsidTr="005F2C11">
        <w:trPr>
          <w:trHeight w:val="20"/>
        </w:trPr>
        <w:tc>
          <w:tcPr>
            <w:tcW w:w="3451" w:type="dxa"/>
            <w:gridSpan w:val="2"/>
            <w:tcBorders>
              <w:top w:val="single" w:sz="8" w:space="0" w:color="auto"/>
              <w:left w:val="single" w:sz="8" w:space="0" w:color="auto"/>
              <w:bottom w:val="single" w:sz="8" w:space="0" w:color="auto"/>
              <w:right w:val="single" w:sz="8" w:space="0" w:color="auto"/>
            </w:tcBorders>
            <w:hideMark/>
          </w:tcPr>
          <w:p w14:paraId="16F6AB45" w14:textId="77777777" w:rsidR="005F2C11" w:rsidRDefault="005F2C11">
            <w:pPr>
              <w:keepNext/>
              <w:spacing w:line="256" w:lineRule="auto"/>
              <w:ind w:left="-57"/>
              <w:rPr>
                <w:sz w:val="20"/>
                <w:szCs w:val="20"/>
              </w:rPr>
            </w:pPr>
            <w:r>
              <w:rPr>
                <w:rFonts w:ascii="Arial Narrow" w:eastAsia="Arial Narrow" w:hAnsi="Arial Narrow" w:cs="Arial Narrow"/>
                <w:b/>
                <w:sz w:val="20"/>
                <w:szCs w:val="20"/>
              </w:rPr>
              <w:t>MEDICINAL PRODUCT</w:t>
            </w:r>
          </w:p>
          <w:p w14:paraId="1015220D" w14:textId="77777777" w:rsidR="005F2C11" w:rsidRDefault="005F2C11">
            <w:pPr>
              <w:keepNext/>
              <w:spacing w:line="256" w:lineRule="auto"/>
              <w:ind w:left="-57"/>
              <w:rPr>
                <w:sz w:val="20"/>
                <w:szCs w:val="20"/>
              </w:rPr>
            </w:pPr>
            <w:r>
              <w:rPr>
                <w:rFonts w:ascii="Arial Narrow" w:eastAsia="Arial Narrow" w:hAnsi="Arial Narrow" w:cs="Arial Narrow"/>
                <w:sz w:val="20"/>
                <w:szCs w:val="20"/>
              </w:rPr>
              <w:t xml:space="preserve"> </w:t>
            </w:r>
          </w:p>
        </w:tc>
        <w:tc>
          <w:tcPr>
            <w:tcW w:w="1468" w:type="dxa"/>
            <w:tcBorders>
              <w:top w:val="nil"/>
              <w:left w:val="nil"/>
              <w:bottom w:val="single" w:sz="8" w:space="0" w:color="auto"/>
              <w:right w:val="single" w:sz="8" w:space="0" w:color="auto"/>
            </w:tcBorders>
            <w:hideMark/>
          </w:tcPr>
          <w:p w14:paraId="15C8181A" w14:textId="77777777" w:rsidR="005F2C11" w:rsidRDefault="005F2C11">
            <w:pPr>
              <w:keepNext/>
              <w:spacing w:line="256" w:lineRule="auto"/>
              <w:ind w:left="-57"/>
              <w:jc w:val="center"/>
              <w:rPr>
                <w:sz w:val="20"/>
                <w:szCs w:val="20"/>
              </w:rPr>
            </w:pPr>
            <w:r>
              <w:rPr>
                <w:rFonts w:ascii="Arial Narrow" w:eastAsia="Arial Narrow" w:hAnsi="Arial Narrow" w:cs="Arial Narrow"/>
                <w:b/>
                <w:sz w:val="20"/>
                <w:szCs w:val="20"/>
              </w:rPr>
              <w:t>PBS item code</w:t>
            </w:r>
          </w:p>
        </w:tc>
        <w:tc>
          <w:tcPr>
            <w:tcW w:w="1241" w:type="dxa"/>
            <w:tcBorders>
              <w:top w:val="nil"/>
              <w:left w:val="single" w:sz="8" w:space="0" w:color="auto"/>
              <w:bottom w:val="single" w:sz="8" w:space="0" w:color="auto"/>
              <w:right w:val="single" w:sz="8" w:space="0" w:color="auto"/>
            </w:tcBorders>
            <w:hideMark/>
          </w:tcPr>
          <w:p w14:paraId="38516CF2" w14:textId="77777777" w:rsidR="005F2C11" w:rsidRDefault="005F2C11">
            <w:pPr>
              <w:keepNext/>
              <w:spacing w:line="256" w:lineRule="auto"/>
              <w:ind w:left="-57"/>
              <w:jc w:val="center"/>
              <w:rPr>
                <w:sz w:val="20"/>
                <w:szCs w:val="20"/>
              </w:rPr>
            </w:pPr>
            <w:r>
              <w:rPr>
                <w:rFonts w:ascii="Arial Narrow" w:eastAsia="Arial Narrow" w:hAnsi="Arial Narrow" w:cs="Arial Narrow"/>
                <w:b/>
                <w:sz w:val="20"/>
                <w:szCs w:val="20"/>
              </w:rPr>
              <w:t>Max.</w:t>
            </w:r>
          </w:p>
          <w:p w14:paraId="26CD4F0A" w14:textId="77777777" w:rsidR="005F2C11" w:rsidRDefault="005F2C11">
            <w:pPr>
              <w:keepNext/>
              <w:spacing w:line="256" w:lineRule="auto"/>
              <w:ind w:left="-57"/>
              <w:jc w:val="center"/>
              <w:rPr>
                <w:sz w:val="20"/>
                <w:szCs w:val="20"/>
              </w:rPr>
            </w:pPr>
            <w:r>
              <w:rPr>
                <w:rFonts w:ascii="Arial Narrow" w:eastAsia="Arial Narrow" w:hAnsi="Arial Narrow" w:cs="Arial Narrow"/>
                <w:b/>
                <w:sz w:val="20"/>
                <w:szCs w:val="20"/>
              </w:rPr>
              <w:t>Amount</w:t>
            </w:r>
          </w:p>
        </w:tc>
        <w:tc>
          <w:tcPr>
            <w:tcW w:w="1199" w:type="dxa"/>
            <w:tcBorders>
              <w:top w:val="nil"/>
              <w:left w:val="single" w:sz="8" w:space="0" w:color="auto"/>
              <w:bottom w:val="single" w:sz="8" w:space="0" w:color="auto"/>
              <w:right w:val="single" w:sz="8" w:space="0" w:color="auto"/>
            </w:tcBorders>
            <w:hideMark/>
          </w:tcPr>
          <w:p w14:paraId="2D5E0548" w14:textId="77777777" w:rsidR="005F2C11" w:rsidRDefault="005F2C11">
            <w:pPr>
              <w:keepNext/>
              <w:spacing w:line="256" w:lineRule="auto"/>
              <w:ind w:left="-57"/>
              <w:jc w:val="center"/>
              <w:rPr>
                <w:sz w:val="20"/>
                <w:szCs w:val="20"/>
              </w:rPr>
            </w:pPr>
            <w:r>
              <w:rPr>
                <w:rFonts w:ascii="Arial Narrow" w:eastAsia="Arial Narrow" w:hAnsi="Arial Narrow" w:cs="Arial Narrow"/>
                <w:b/>
                <w:sz w:val="20"/>
                <w:szCs w:val="20"/>
              </w:rPr>
              <w:t>№.of</w:t>
            </w:r>
          </w:p>
          <w:p w14:paraId="0AFD5C0C" w14:textId="77777777" w:rsidR="005F2C11" w:rsidRDefault="005F2C11">
            <w:pPr>
              <w:keepNext/>
              <w:spacing w:line="256" w:lineRule="auto"/>
              <w:ind w:left="-57"/>
              <w:jc w:val="center"/>
              <w:rPr>
                <w:sz w:val="20"/>
                <w:szCs w:val="20"/>
              </w:rPr>
            </w:pPr>
            <w:r>
              <w:rPr>
                <w:rFonts w:ascii="Arial Narrow" w:eastAsia="Arial Narrow" w:hAnsi="Arial Narrow" w:cs="Arial Narrow"/>
                <w:b/>
                <w:sz w:val="20"/>
                <w:szCs w:val="20"/>
              </w:rPr>
              <w:t>Rpts</w:t>
            </w:r>
          </w:p>
        </w:tc>
        <w:tc>
          <w:tcPr>
            <w:tcW w:w="1656" w:type="dxa"/>
            <w:tcBorders>
              <w:top w:val="nil"/>
              <w:left w:val="single" w:sz="8" w:space="0" w:color="auto"/>
              <w:bottom w:val="single" w:sz="8" w:space="0" w:color="auto"/>
              <w:right w:val="single" w:sz="8" w:space="0" w:color="auto"/>
            </w:tcBorders>
            <w:hideMark/>
          </w:tcPr>
          <w:p w14:paraId="34C0F760" w14:textId="77777777" w:rsidR="005F2C11" w:rsidRDefault="005F2C11">
            <w:pPr>
              <w:keepNext/>
              <w:spacing w:line="256" w:lineRule="auto"/>
              <w:ind w:left="-57"/>
              <w:rPr>
                <w:sz w:val="20"/>
                <w:szCs w:val="20"/>
              </w:rPr>
            </w:pPr>
            <w:r>
              <w:rPr>
                <w:rFonts w:ascii="Arial Narrow" w:eastAsia="Arial Narrow" w:hAnsi="Arial Narrow" w:cs="Arial Narrow"/>
                <w:b/>
                <w:sz w:val="20"/>
                <w:szCs w:val="20"/>
              </w:rPr>
              <w:t>Manufacturer</w:t>
            </w:r>
          </w:p>
        </w:tc>
      </w:tr>
      <w:tr w:rsidR="005F2C11" w14:paraId="3253AB25" w14:textId="77777777" w:rsidTr="005F2C11">
        <w:trPr>
          <w:trHeight w:val="20"/>
        </w:trPr>
        <w:tc>
          <w:tcPr>
            <w:tcW w:w="3451" w:type="dxa"/>
            <w:gridSpan w:val="2"/>
            <w:tcBorders>
              <w:top w:val="single" w:sz="8" w:space="0" w:color="auto"/>
              <w:left w:val="single" w:sz="8" w:space="0" w:color="auto"/>
              <w:bottom w:val="single" w:sz="8" w:space="0" w:color="auto"/>
              <w:right w:val="single" w:sz="8" w:space="0" w:color="auto"/>
            </w:tcBorders>
            <w:hideMark/>
          </w:tcPr>
          <w:p w14:paraId="28706910" w14:textId="77777777" w:rsidR="005F2C11" w:rsidRDefault="005F2C11">
            <w:pPr>
              <w:keepNext/>
              <w:spacing w:line="256" w:lineRule="auto"/>
              <w:ind w:left="-57"/>
              <w:rPr>
                <w:sz w:val="20"/>
                <w:szCs w:val="20"/>
              </w:rPr>
            </w:pPr>
            <w:r>
              <w:rPr>
                <w:rFonts w:ascii="Arial Narrow" w:eastAsia="Arial Narrow" w:hAnsi="Arial Narrow" w:cs="Arial Narrow"/>
                <w:sz w:val="20"/>
                <w:szCs w:val="20"/>
              </w:rPr>
              <w:t>IPILIMUMAB</w:t>
            </w:r>
          </w:p>
          <w:p w14:paraId="7B7B4601" w14:textId="77777777" w:rsidR="005F2C11" w:rsidRDefault="005F2C11">
            <w:pPr>
              <w:keepNext/>
              <w:spacing w:line="256" w:lineRule="auto"/>
              <w:ind w:left="-57"/>
              <w:rPr>
                <w:sz w:val="20"/>
                <w:szCs w:val="20"/>
              </w:rPr>
            </w:pPr>
            <w:r>
              <w:rPr>
                <w:rFonts w:ascii="Arial Narrow" w:eastAsia="Arial Narrow" w:hAnsi="Arial Narrow" w:cs="Arial Narrow"/>
                <w:sz w:val="20"/>
                <w:szCs w:val="20"/>
              </w:rPr>
              <w:t xml:space="preserve">Injection </w:t>
            </w:r>
          </w:p>
        </w:tc>
        <w:tc>
          <w:tcPr>
            <w:tcW w:w="1468" w:type="dxa"/>
            <w:tcBorders>
              <w:top w:val="single" w:sz="8" w:space="0" w:color="auto"/>
              <w:left w:val="nil"/>
              <w:bottom w:val="single" w:sz="8" w:space="0" w:color="auto"/>
              <w:right w:val="single" w:sz="8" w:space="0" w:color="auto"/>
            </w:tcBorders>
            <w:hideMark/>
          </w:tcPr>
          <w:p w14:paraId="4339813C" w14:textId="77777777" w:rsidR="005F2C11" w:rsidRDefault="005F2C11">
            <w:pPr>
              <w:keepNext/>
              <w:spacing w:line="256" w:lineRule="auto"/>
              <w:ind w:left="-57"/>
              <w:jc w:val="center"/>
              <w:rPr>
                <w:sz w:val="20"/>
                <w:szCs w:val="20"/>
              </w:rPr>
            </w:pPr>
            <w:r>
              <w:rPr>
                <w:rFonts w:ascii="Arial Narrow" w:eastAsia="Arial Narrow" w:hAnsi="Arial Narrow" w:cs="Arial Narrow"/>
                <w:sz w:val="20"/>
                <w:szCs w:val="20"/>
              </w:rPr>
              <w:t>NEW (Public)</w:t>
            </w:r>
          </w:p>
          <w:p w14:paraId="101FB1CB" w14:textId="77777777" w:rsidR="005F2C11" w:rsidRDefault="005F2C11">
            <w:pPr>
              <w:keepNext/>
              <w:spacing w:line="256" w:lineRule="auto"/>
              <w:ind w:left="-57"/>
              <w:jc w:val="center"/>
              <w:rPr>
                <w:sz w:val="20"/>
                <w:szCs w:val="20"/>
              </w:rPr>
            </w:pPr>
            <w:r>
              <w:rPr>
                <w:rFonts w:ascii="Arial Narrow" w:eastAsia="Arial Narrow" w:hAnsi="Arial Narrow" w:cs="Arial Narrow"/>
                <w:sz w:val="20"/>
                <w:szCs w:val="20"/>
              </w:rPr>
              <w:t>NEW (Private)</w:t>
            </w:r>
          </w:p>
          <w:p w14:paraId="2AF467CD" w14:textId="77777777" w:rsidR="005F2C11" w:rsidRDefault="005F2C11">
            <w:pPr>
              <w:keepNext/>
              <w:spacing w:line="256" w:lineRule="auto"/>
              <w:ind w:left="-57"/>
              <w:jc w:val="center"/>
              <w:rPr>
                <w:sz w:val="20"/>
                <w:szCs w:val="20"/>
              </w:rPr>
            </w:pPr>
            <w:r>
              <w:rPr>
                <w:rFonts w:ascii="Arial Narrow" w:eastAsia="Arial Narrow" w:hAnsi="Arial Narrow" w:cs="Arial Narrow"/>
                <w:sz w:val="20"/>
                <w:szCs w:val="20"/>
                <w:vertAlign w:val="subscript"/>
              </w:rPr>
              <w:t>MP</w:t>
            </w:r>
          </w:p>
        </w:tc>
        <w:tc>
          <w:tcPr>
            <w:tcW w:w="1241" w:type="dxa"/>
            <w:tcBorders>
              <w:top w:val="single" w:sz="8" w:space="0" w:color="auto"/>
              <w:left w:val="single" w:sz="8" w:space="0" w:color="auto"/>
              <w:bottom w:val="single" w:sz="8" w:space="0" w:color="auto"/>
              <w:right w:val="single" w:sz="8" w:space="0" w:color="auto"/>
            </w:tcBorders>
          </w:tcPr>
          <w:p w14:paraId="7D3F0001" w14:textId="77777777" w:rsidR="005F2C11" w:rsidRDefault="005F2C11">
            <w:pPr>
              <w:keepNext/>
              <w:spacing w:line="256" w:lineRule="auto"/>
              <w:ind w:left="-57"/>
              <w:jc w:val="center"/>
              <w:rPr>
                <w:sz w:val="20"/>
                <w:szCs w:val="20"/>
              </w:rPr>
            </w:pPr>
          </w:p>
          <w:p w14:paraId="74F03313" w14:textId="77777777" w:rsidR="005F2C11" w:rsidRDefault="005F2C11">
            <w:pPr>
              <w:keepNext/>
              <w:spacing w:line="256" w:lineRule="auto"/>
              <w:ind w:left="-57"/>
              <w:jc w:val="center"/>
              <w:rPr>
                <w:sz w:val="20"/>
                <w:szCs w:val="20"/>
              </w:rPr>
            </w:pPr>
            <w:r>
              <w:rPr>
                <w:rFonts w:ascii="Arial Narrow" w:eastAsia="Arial Narrow" w:hAnsi="Arial Narrow" w:cs="Arial Narrow"/>
                <w:sz w:val="20"/>
                <w:szCs w:val="20"/>
              </w:rPr>
              <w:t>360 mg</w:t>
            </w:r>
          </w:p>
        </w:tc>
        <w:tc>
          <w:tcPr>
            <w:tcW w:w="1199" w:type="dxa"/>
            <w:tcBorders>
              <w:top w:val="single" w:sz="8" w:space="0" w:color="auto"/>
              <w:left w:val="single" w:sz="8" w:space="0" w:color="auto"/>
              <w:bottom w:val="single" w:sz="8" w:space="0" w:color="auto"/>
              <w:right w:val="single" w:sz="8" w:space="0" w:color="auto"/>
            </w:tcBorders>
          </w:tcPr>
          <w:p w14:paraId="3DE464E7" w14:textId="77777777" w:rsidR="005F2C11" w:rsidRDefault="005F2C11">
            <w:pPr>
              <w:keepNext/>
              <w:spacing w:line="256" w:lineRule="auto"/>
              <w:ind w:left="-57"/>
              <w:jc w:val="center"/>
              <w:rPr>
                <w:sz w:val="20"/>
                <w:szCs w:val="20"/>
              </w:rPr>
            </w:pPr>
          </w:p>
          <w:p w14:paraId="7DFFB546" w14:textId="77777777" w:rsidR="005F2C11" w:rsidRDefault="005F2C11">
            <w:pPr>
              <w:keepNext/>
              <w:spacing w:line="256" w:lineRule="auto"/>
              <w:ind w:left="-57"/>
              <w:jc w:val="center"/>
              <w:rPr>
                <w:color w:val="FF0000"/>
                <w:sz w:val="20"/>
                <w:szCs w:val="20"/>
              </w:rPr>
            </w:pPr>
            <w:r>
              <w:rPr>
                <w:rFonts w:ascii="Arial Narrow" w:eastAsia="Arial Narrow" w:hAnsi="Arial Narrow" w:cs="Arial Narrow"/>
                <w:sz w:val="20"/>
                <w:szCs w:val="20"/>
              </w:rPr>
              <w:t>4</w:t>
            </w:r>
          </w:p>
        </w:tc>
        <w:tc>
          <w:tcPr>
            <w:tcW w:w="1656" w:type="dxa"/>
            <w:tcBorders>
              <w:top w:val="single" w:sz="8" w:space="0" w:color="auto"/>
              <w:left w:val="single" w:sz="8" w:space="0" w:color="auto"/>
              <w:bottom w:val="single" w:sz="8" w:space="0" w:color="auto"/>
              <w:right w:val="single" w:sz="8" w:space="0" w:color="auto"/>
            </w:tcBorders>
            <w:hideMark/>
          </w:tcPr>
          <w:p w14:paraId="55DA49F2" w14:textId="77777777" w:rsidR="005F2C11" w:rsidRDefault="005F2C11">
            <w:pPr>
              <w:keepNext/>
              <w:spacing w:line="256" w:lineRule="auto"/>
              <w:ind w:left="-57"/>
              <w:rPr>
                <w:sz w:val="20"/>
                <w:szCs w:val="20"/>
              </w:rPr>
            </w:pPr>
            <w:r>
              <w:rPr>
                <w:rFonts w:ascii="Arial Narrow" w:eastAsia="Arial Narrow" w:hAnsi="Arial Narrow" w:cs="Arial Narrow"/>
                <w:sz w:val="20"/>
                <w:szCs w:val="20"/>
              </w:rPr>
              <w:t>Bristol-Myers Squibb Australia Pty Ltd</w:t>
            </w:r>
          </w:p>
        </w:tc>
      </w:tr>
      <w:tr w:rsidR="005F2C11" w14:paraId="0A75272B" w14:textId="77777777" w:rsidTr="005F2C11">
        <w:trPr>
          <w:trHeight w:val="20"/>
        </w:trPr>
        <w:tc>
          <w:tcPr>
            <w:tcW w:w="9015" w:type="dxa"/>
            <w:gridSpan w:val="6"/>
            <w:tcBorders>
              <w:top w:val="single" w:sz="8" w:space="0" w:color="auto"/>
              <w:left w:val="single" w:sz="8" w:space="0" w:color="auto"/>
              <w:bottom w:val="single" w:sz="8" w:space="0" w:color="auto"/>
              <w:right w:val="single" w:sz="8" w:space="0" w:color="auto"/>
            </w:tcBorders>
            <w:hideMark/>
          </w:tcPr>
          <w:p w14:paraId="4ED9894D" w14:textId="77777777" w:rsidR="005F2C11" w:rsidRDefault="005F2C11">
            <w:pPr>
              <w:keepNext/>
              <w:spacing w:line="256" w:lineRule="auto"/>
              <w:ind w:left="-57"/>
              <w:rPr>
                <w:sz w:val="20"/>
                <w:szCs w:val="20"/>
              </w:rPr>
            </w:pPr>
            <w:r>
              <w:rPr>
                <w:rFonts w:ascii="Arial Narrow" w:eastAsia="Arial Narrow" w:hAnsi="Arial Narrow" w:cs="Arial Narrow"/>
                <w:b/>
                <w:sz w:val="20"/>
                <w:szCs w:val="20"/>
              </w:rPr>
              <w:t>Available brands</w:t>
            </w:r>
          </w:p>
        </w:tc>
      </w:tr>
      <w:tr w:rsidR="005F2C11" w14:paraId="2D3AA334" w14:textId="77777777" w:rsidTr="005F2C11">
        <w:trPr>
          <w:trHeight w:val="20"/>
        </w:trPr>
        <w:tc>
          <w:tcPr>
            <w:tcW w:w="9015" w:type="dxa"/>
            <w:gridSpan w:val="6"/>
            <w:tcBorders>
              <w:top w:val="single" w:sz="8" w:space="0" w:color="auto"/>
              <w:left w:val="single" w:sz="8" w:space="0" w:color="auto"/>
              <w:bottom w:val="single" w:sz="8" w:space="0" w:color="auto"/>
              <w:right w:val="single" w:sz="8" w:space="0" w:color="auto"/>
            </w:tcBorders>
            <w:hideMark/>
          </w:tcPr>
          <w:p w14:paraId="4B6C4814" w14:textId="77777777" w:rsidR="005F2C11" w:rsidRDefault="005F2C11">
            <w:pPr>
              <w:keepNext/>
              <w:spacing w:line="256" w:lineRule="auto"/>
              <w:ind w:left="-57"/>
              <w:rPr>
                <w:sz w:val="20"/>
                <w:szCs w:val="20"/>
              </w:rPr>
            </w:pPr>
            <w:r>
              <w:rPr>
                <w:rFonts w:ascii="Arial Narrow" w:eastAsia="Arial Narrow" w:hAnsi="Arial Narrow" w:cs="Arial Narrow"/>
                <w:sz w:val="20"/>
                <w:szCs w:val="20"/>
              </w:rPr>
              <w:t>Yervoy (ipilimumab 50 mg/10 mL injection, 10 mL vial)</w:t>
            </w:r>
          </w:p>
          <w:p w14:paraId="14160E98" w14:textId="77777777" w:rsidR="005F2C11" w:rsidRDefault="005F2C11">
            <w:pPr>
              <w:keepNext/>
              <w:spacing w:line="256" w:lineRule="auto"/>
              <w:ind w:left="-57"/>
              <w:rPr>
                <w:sz w:val="20"/>
                <w:szCs w:val="20"/>
              </w:rPr>
            </w:pPr>
            <w:r>
              <w:rPr>
                <w:rFonts w:ascii="Arial Narrow" w:eastAsia="Arial Narrow" w:hAnsi="Arial Narrow" w:cs="Arial Narrow"/>
                <w:sz w:val="20"/>
                <w:szCs w:val="20"/>
              </w:rPr>
              <w:t>Yervoy (ipilimumab 200 mg/40 mL injection, 40 mL vial)</w:t>
            </w:r>
          </w:p>
        </w:tc>
      </w:tr>
      <w:tr w:rsidR="005F2C11" w14:paraId="6A61BDA0" w14:textId="77777777" w:rsidTr="005F2C11">
        <w:trPr>
          <w:trHeight w:val="20"/>
        </w:trPr>
        <w:tc>
          <w:tcPr>
            <w:tcW w:w="9015" w:type="dxa"/>
            <w:gridSpan w:val="6"/>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93CE65" w14:textId="77777777" w:rsidR="005F2C11" w:rsidRDefault="005F2C11">
            <w:pPr>
              <w:keepNext/>
              <w:spacing w:line="256" w:lineRule="auto"/>
              <w:rPr>
                <w:sz w:val="20"/>
                <w:szCs w:val="20"/>
              </w:rPr>
            </w:pPr>
            <w:r>
              <w:rPr>
                <w:rFonts w:ascii="Arial Narrow" w:eastAsia="Arial Narrow" w:hAnsi="Arial Narrow" w:cs="Arial Narrow"/>
                <w:b/>
                <w:sz w:val="20"/>
                <w:szCs w:val="20"/>
                <w:lang w:val="en-GB"/>
              </w:rPr>
              <w:t xml:space="preserve">Restriction Summary </w:t>
            </w:r>
            <w:r>
              <w:rPr>
                <w:rFonts w:ascii="Arial Narrow" w:eastAsia="Arial Narrow" w:hAnsi="Arial Narrow" w:cs="Arial Narrow"/>
                <w:sz w:val="20"/>
                <w:szCs w:val="20"/>
                <w:lang w:val="en-GB"/>
              </w:rPr>
              <w:t>[number – For. Dept. use]</w:t>
            </w:r>
            <w:r>
              <w:rPr>
                <w:rFonts w:ascii="Arial Narrow" w:eastAsia="Arial Narrow" w:hAnsi="Arial Narrow" w:cs="Arial Narrow"/>
                <w:i/>
                <w:sz w:val="20"/>
                <w:szCs w:val="20"/>
                <w:lang w:val="en-GB"/>
              </w:rPr>
              <w:t xml:space="preserve"> </w:t>
            </w:r>
            <w:r>
              <w:rPr>
                <w:rFonts w:ascii="Arial Narrow" w:eastAsia="Arial Narrow" w:hAnsi="Arial Narrow" w:cs="Arial Narrow"/>
                <w:b/>
                <w:sz w:val="20"/>
                <w:szCs w:val="20"/>
                <w:lang w:val="en-GB"/>
              </w:rPr>
              <w:t xml:space="preserve">/ Treatment of Concept: </w:t>
            </w:r>
            <w:r>
              <w:rPr>
                <w:rFonts w:ascii="Arial Narrow" w:eastAsia="Arial Narrow" w:hAnsi="Arial Narrow" w:cs="Arial Narrow"/>
                <w:sz w:val="20"/>
                <w:szCs w:val="20"/>
                <w:lang w:val="en-GB"/>
              </w:rPr>
              <w:t xml:space="preserve">[number – For. Dept. use]: </w:t>
            </w:r>
            <w:r>
              <w:rPr>
                <w:rFonts w:ascii="Arial Narrow" w:eastAsia="Arial Narrow" w:hAnsi="Arial Narrow" w:cs="Arial Narrow"/>
                <w:b/>
                <w:sz w:val="20"/>
                <w:szCs w:val="20"/>
                <w:lang w:val="en-GB"/>
              </w:rPr>
              <w:t>Authority Required (STREAMLINED)</w:t>
            </w:r>
          </w:p>
        </w:tc>
      </w:tr>
      <w:tr w:rsidR="005F2C11" w14:paraId="247D2FB0"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B48129" w14:textId="77777777" w:rsidR="005F2C11" w:rsidRDefault="005F2C11">
            <w:pPr>
              <w:keepNext/>
              <w:spacing w:line="256" w:lineRule="auto"/>
              <w:jc w:val="center"/>
              <w:rPr>
                <w:sz w:val="20"/>
                <w:szCs w:val="20"/>
              </w:rPr>
            </w:pPr>
            <w:r>
              <w:rPr>
                <w:rFonts w:ascii="Arial Narrow" w:eastAsia="Arial Narrow" w:hAnsi="Arial Narrow" w:cs="Arial Narrow"/>
                <w:color w:val="333333"/>
                <w:sz w:val="20"/>
                <w:szCs w:val="20"/>
              </w:rPr>
              <w:t>This column – for Dept. use</w:t>
            </w:r>
          </w:p>
        </w:tc>
        <w:tc>
          <w:tcPr>
            <w:tcW w:w="8030" w:type="dxa"/>
            <w:gridSpan w:val="5"/>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CBDA2A" w14:textId="77777777" w:rsidR="005F2C11" w:rsidRDefault="005F2C11">
            <w:pPr>
              <w:keepNext/>
              <w:spacing w:line="256" w:lineRule="auto"/>
              <w:rPr>
                <w:sz w:val="20"/>
                <w:szCs w:val="20"/>
              </w:rPr>
            </w:pPr>
            <w:r>
              <w:rPr>
                <w:rFonts w:ascii="Arial Narrow" w:eastAsia="Arial Narrow" w:hAnsi="Arial Narrow" w:cs="Arial Narrow"/>
                <w:b/>
                <w:color w:val="333333"/>
                <w:sz w:val="20"/>
                <w:szCs w:val="20"/>
              </w:rPr>
              <w:t>Indication:</w:t>
            </w:r>
            <w:r>
              <w:rPr>
                <w:rFonts w:ascii="Arial Narrow" w:eastAsia="Arial Narrow" w:hAnsi="Arial Narrow" w:cs="Arial Narrow"/>
                <w:color w:val="333333"/>
                <w:sz w:val="20"/>
                <w:szCs w:val="20"/>
              </w:rPr>
              <w:t xml:space="preserve"> Immunotherapy sensitive advanced or metastatic cancer</w:t>
            </w:r>
          </w:p>
        </w:tc>
      </w:tr>
      <w:tr w:rsidR="005F2C11" w14:paraId="2779AC83"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9B2FC7" w14:textId="77777777" w:rsidR="005F2C11" w:rsidRDefault="005F2C11">
            <w:pPr>
              <w:keepNext/>
              <w:spacing w:line="256" w:lineRule="auto"/>
            </w:pP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84D203" w14:textId="77777777" w:rsidR="005F2C11" w:rsidRDefault="005F2C11">
            <w:pPr>
              <w:keepNext/>
              <w:spacing w:line="256" w:lineRule="auto"/>
              <w:rPr>
                <w:sz w:val="20"/>
                <w:szCs w:val="20"/>
              </w:rPr>
            </w:pPr>
          </w:p>
        </w:tc>
      </w:tr>
      <w:tr w:rsidR="005F2C11" w14:paraId="5D7B58A5"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DBD4E4" w14:textId="77777777" w:rsidR="005F2C11" w:rsidRDefault="005F2C11">
            <w:pPr>
              <w:keepNext/>
              <w:spacing w:line="256" w:lineRule="auto"/>
              <w:jc w:val="center"/>
            </w:pPr>
            <w:r>
              <w:rPr>
                <w:rFonts w:ascii="Arial Narrow" w:eastAsia="Arial Narrow" w:hAnsi="Arial Narrow" w:cs="Arial Narrow"/>
                <w:color w:val="333333"/>
                <w:sz w:val="18"/>
                <w:szCs w:val="18"/>
              </w:rPr>
              <w:t xml:space="preserve"> </w:t>
            </w: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82E440" w14:textId="77777777" w:rsidR="005F2C11" w:rsidRDefault="005F2C11">
            <w:pPr>
              <w:keepNext/>
              <w:spacing w:line="256" w:lineRule="auto"/>
              <w:rPr>
                <w:sz w:val="20"/>
                <w:szCs w:val="20"/>
              </w:rPr>
            </w:pPr>
            <w:r>
              <w:rPr>
                <w:rFonts w:ascii="Arial Narrow" w:eastAsia="Arial Narrow" w:hAnsi="Arial Narrow" w:cs="Arial Narrow"/>
                <w:b/>
                <w:i/>
                <w:sz w:val="20"/>
                <w:szCs w:val="20"/>
              </w:rPr>
              <w:t>Clinical criteria:</w:t>
            </w:r>
          </w:p>
        </w:tc>
      </w:tr>
      <w:tr w:rsidR="005F2C11" w14:paraId="18C34E68"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04AA46" w14:textId="77777777" w:rsidR="005F2C11" w:rsidRDefault="005F2C11">
            <w:pPr>
              <w:keepNext/>
              <w:spacing w:line="256" w:lineRule="auto"/>
              <w:jc w:val="center"/>
            </w:pPr>
            <w:r>
              <w:rPr>
                <w:rFonts w:ascii="Arial Narrow" w:eastAsia="Arial Narrow" w:hAnsi="Arial Narrow" w:cs="Arial Narrow"/>
                <w:color w:val="333333"/>
                <w:sz w:val="18"/>
                <w:szCs w:val="18"/>
              </w:rPr>
              <w:t xml:space="preserve"> </w:t>
            </w: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0534B2" w14:textId="77777777" w:rsidR="005F2C11" w:rsidRDefault="005F2C11">
            <w:pPr>
              <w:keepNext/>
              <w:spacing w:line="256" w:lineRule="auto"/>
              <w:rPr>
                <w:sz w:val="20"/>
                <w:szCs w:val="20"/>
              </w:rPr>
            </w:pPr>
            <w:r>
              <w:rPr>
                <w:rFonts w:ascii="Arial Narrow" w:eastAsia="Arial Narrow" w:hAnsi="Arial Narrow" w:cs="Arial Narrow"/>
                <w:i/>
                <w:sz w:val="20"/>
                <w:szCs w:val="20"/>
              </w:rPr>
              <w:t>Patient must not have developed disease progression while receiving PBS-subsidised treatment with this drug for the condition which treatment was commenced for.</w:t>
            </w:r>
          </w:p>
        </w:tc>
      </w:tr>
      <w:tr w:rsidR="005F2C11" w14:paraId="7CBC9C14"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A3B909" w14:textId="77777777" w:rsidR="005F2C11" w:rsidRDefault="005F2C11">
            <w:pPr>
              <w:keepNext/>
              <w:spacing w:line="256" w:lineRule="auto"/>
            </w:pP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FE4C28" w14:textId="77777777" w:rsidR="005F2C11" w:rsidRDefault="005F2C11">
            <w:pPr>
              <w:keepNext/>
              <w:spacing w:line="256" w:lineRule="auto"/>
              <w:rPr>
                <w:sz w:val="20"/>
                <w:szCs w:val="20"/>
              </w:rPr>
            </w:pPr>
            <w:r>
              <w:rPr>
                <w:rFonts w:ascii="Arial Narrow" w:eastAsia="Arial Narrow" w:hAnsi="Arial Narrow" w:cs="Arial Narrow"/>
                <w:b/>
                <w:i/>
                <w:sz w:val="20"/>
                <w:szCs w:val="20"/>
              </w:rPr>
              <w:t>Prescribing instruction:</w:t>
            </w:r>
            <w:r>
              <w:rPr>
                <w:rFonts w:ascii="Arial Narrow" w:eastAsia="Arial Narrow" w:hAnsi="Arial Narrow" w:cs="Arial Narrow"/>
                <w:i/>
                <w:sz w:val="20"/>
                <w:szCs w:val="20"/>
              </w:rPr>
              <w:t xml:space="preserve"> The stated maximum amount in this listing is 360mg however alternative dosing schedules may be prescribed in a quantity up to this amount, but need not be this amount for every cancer type.</w:t>
            </w:r>
          </w:p>
        </w:tc>
      </w:tr>
      <w:tr w:rsidR="005F2C11" w14:paraId="215A0EAF"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BCADB7" w14:textId="77777777" w:rsidR="005F2C11" w:rsidRDefault="005F2C11">
            <w:pPr>
              <w:keepNext/>
              <w:spacing w:line="256" w:lineRule="auto"/>
              <w:jc w:val="center"/>
            </w:pPr>
            <w:r>
              <w:rPr>
                <w:rFonts w:ascii="Arial Narrow" w:eastAsia="Arial Narrow" w:hAnsi="Arial Narrow" w:cs="Arial Narrow"/>
                <w:color w:val="333333"/>
                <w:sz w:val="18"/>
                <w:szCs w:val="18"/>
              </w:rPr>
              <w:t xml:space="preserve"> </w:t>
            </w: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612875" w14:textId="77777777" w:rsidR="005F2C11" w:rsidRDefault="005F2C11">
            <w:pPr>
              <w:keepNext/>
              <w:spacing w:line="256" w:lineRule="auto"/>
              <w:rPr>
                <w:sz w:val="20"/>
                <w:szCs w:val="20"/>
              </w:rPr>
            </w:pPr>
            <w:r>
              <w:rPr>
                <w:rFonts w:ascii="Arial Narrow" w:eastAsia="Arial Narrow" w:hAnsi="Arial Narrow" w:cs="Arial Narrow"/>
                <w:b/>
                <w:i/>
                <w:sz w:val="20"/>
                <w:szCs w:val="20"/>
              </w:rPr>
              <w:t>Administrative advice:</w:t>
            </w:r>
            <w:r>
              <w:rPr>
                <w:rFonts w:ascii="Arial Narrow" w:eastAsia="Arial Narrow" w:hAnsi="Arial Narrow" w:cs="Arial Narrow"/>
                <w:i/>
                <w:sz w:val="20"/>
                <w:szCs w:val="20"/>
              </w:rPr>
              <w:t xml:space="preserve"> No increase in the maximum number of repeats may be authorised.</w:t>
            </w:r>
          </w:p>
        </w:tc>
      </w:tr>
      <w:tr w:rsidR="005F2C11" w14:paraId="421F81A9" w14:textId="77777777" w:rsidTr="005F2C11">
        <w:trPr>
          <w:trHeight w:val="20"/>
        </w:trPr>
        <w:tc>
          <w:tcPr>
            <w:tcW w:w="9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F224EC" w14:textId="77777777" w:rsidR="005F2C11" w:rsidRDefault="005F2C11">
            <w:pPr>
              <w:keepNext/>
              <w:spacing w:line="256" w:lineRule="auto"/>
              <w:jc w:val="center"/>
            </w:pPr>
            <w:r>
              <w:rPr>
                <w:rFonts w:ascii="Arial Narrow" w:eastAsia="Arial Narrow" w:hAnsi="Arial Narrow" w:cs="Arial Narrow"/>
                <w:color w:val="333333"/>
                <w:sz w:val="18"/>
                <w:szCs w:val="18"/>
              </w:rPr>
              <w:t xml:space="preserve"> </w:t>
            </w:r>
          </w:p>
        </w:tc>
        <w:tc>
          <w:tcPr>
            <w:tcW w:w="8030" w:type="dxa"/>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7F20F0" w14:textId="77777777" w:rsidR="005F2C11" w:rsidRDefault="005F2C11">
            <w:pPr>
              <w:keepNext/>
              <w:spacing w:line="256" w:lineRule="auto"/>
              <w:rPr>
                <w:sz w:val="20"/>
                <w:szCs w:val="20"/>
              </w:rPr>
            </w:pPr>
            <w:r>
              <w:rPr>
                <w:rFonts w:ascii="Arial Narrow" w:eastAsia="Arial Narrow" w:hAnsi="Arial Narrow" w:cs="Arial Narrow"/>
                <w:b/>
                <w:i/>
                <w:sz w:val="20"/>
                <w:szCs w:val="20"/>
              </w:rPr>
              <w:t>Administrative advice:</w:t>
            </w:r>
            <w:r>
              <w:rPr>
                <w:rFonts w:ascii="Arial Narrow" w:eastAsia="Arial Narrow" w:hAnsi="Arial Narrow" w:cs="Arial Narrow"/>
                <w:i/>
                <w:sz w:val="20"/>
                <w:szCs w:val="20"/>
              </w:rPr>
              <w:t xml:space="preserve"> Special Pricing Arrangements apply.</w:t>
            </w:r>
          </w:p>
        </w:tc>
      </w:tr>
    </w:tbl>
    <w:p w14:paraId="4DBE0E81" w14:textId="77777777" w:rsidR="005F2C11" w:rsidRDefault="005F2C11" w:rsidP="005F2C11">
      <w:pPr>
        <w:pStyle w:val="2-SectionHeading"/>
        <w:numPr>
          <w:ilvl w:val="0"/>
          <w:numId w:val="59"/>
        </w:numPr>
        <w:snapToGrid w:val="0"/>
      </w:pPr>
      <w:bookmarkStart w:id="18" w:name="_Ref207373564"/>
      <w:r>
        <w:t>Sources of uncertainty in utilisation estimates</w:t>
      </w:r>
      <w:bookmarkEnd w:id="18"/>
    </w:p>
    <w:p w14:paraId="0F3F4A1A" w14:textId="77777777" w:rsidR="005F2C11" w:rsidRDefault="005F2C11" w:rsidP="005F2C11">
      <w:pPr>
        <w:pStyle w:val="3-BodyText"/>
        <w:numPr>
          <w:ilvl w:val="1"/>
          <w:numId w:val="59"/>
        </w:numPr>
        <w:spacing w:before="120" w:after="120"/>
      </w:pPr>
      <w:r>
        <w:t xml:space="preserve">In the proposal, the sponsor argued there remained sources of uncertainty in the utilisation estimates that may result in under-estimation of utilisation. The PBAC previously considered there was likely to be an over-estimate of patient and script numbers, primarily owing to the time-on-treatment and dosing in rare cancers </w:t>
      </w:r>
      <w:r>
        <w:lastRenderedPageBreak/>
        <w:t>calculations (paragraph 11.12). The revised proposal did not directly address these areas of potential over-estimation.</w:t>
      </w:r>
    </w:p>
    <w:p w14:paraId="0A0A75C1" w14:textId="77777777" w:rsidR="005F2C11" w:rsidRDefault="005F2C11" w:rsidP="005F2C11">
      <w:pPr>
        <w:pStyle w:val="4-SubsectionHeading"/>
      </w:pPr>
      <w:bookmarkStart w:id="19" w:name="_Toc207019156"/>
      <w:r>
        <w:t>Changes to the treatment paradigm due to a broad listing</w:t>
      </w:r>
      <w:bookmarkEnd w:id="19"/>
    </w:p>
    <w:p w14:paraId="4E542A54" w14:textId="77777777" w:rsidR="005F2C11" w:rsidRDefault="005F2C11" w:rsidP="005F2C11">
      <w:pPr>
        <w:pStyle w:val="3-BodyText"/>
        <w:numPr>
          <w:ilvl w:val="1"/>
          <w:numId w:val="59"/>
        </w:numPr>
        <w:spacing w:before="120" w:after="120"/>
      </w:pPr>
      <w:r>
        <w:t xml:space="preserve">The proposal stated it anticipated scenarios where clinician decision making could be impacted if nivolumab and ipilimumab were listed under the proposal. It identified two key examples, provided in </w:t>
      </w:r>
      <w:r>
        <w:fldChar w:fldCharType="begin" w:fldLock="1"/>
      </w:r>
      <w:r>
        <w:instrText xml:space="preserve"> REF _Ref207388946 \h </w:instrText>
      </w:r>
      <w:r>
        <w:fldChar w:fldCharType="separate"/>
      </w:r>
      <w:r>
        <w:t xml:space="preserve">Table </w:t>
      </w:r>
      <w:r>
        <w:rPr>
          <w:noProof/>
        </w:rPr>
        <w:t>11</w:t>
      </w:r>
      <w:r>
        <w:fldChar w:fldCharType="end"/>
      </w:r>
      <w:r>
        <w:t>.</w:t>
      </w:r>
    </w:p>
    <w:p w14:paraId="0DE8C1B8" w14:textId="77777777" w:rsidR="005F2C11" w:rsidRDefault="005F2C11" w:rsidP="005F2C11">
      <w:pPr>
        <w:pStyle w:val="Caption"/>
        <w:keepNext/>
      </w:pPr>
      <w:bookmarkStart w:id="20" w:name="_Ref207388946"/>
      <w:r>
        <w:t xml:space="preserve">Table </w:t>
      </w:r>
      <w:r>
        <w:fldChar w:fldCharType="begin" w:fldLock="1"/>
      </w:r>
      <w:r>
        <w:instrText xml:space="preserve"> SEQ Table \* ARABIC </w:instrText>
      </w:r>
      <w:r>
        <w:fldChar w:fldCharType="separate"/>
      </w:r>
      <w:r>
        <w:rPr>
          <w:noProof/>
        </w:rPr>
        <w:t>11</w:t>
      </w:r>
      <w:r>
        <w:rPr>
          <w:noProof/>
        </w:rPr>
        <w:fldChar w:fldCharType="end"/>
      </w:r>
      <w:bookmarkEnd w:id="20"/>
      <w:r>
        <w:t>: Examples of potential prescribing practice changes under a broad listing</w:t>
      </w:r>
    </w:p>
    <w:tbl>
      <w:tblPr>
        <w:tblStyle w:val="TableGrid"/>
        <w:tblW w:w="0" w:type="auto"/>
        <w:tblLook w:val="04A0" w:firstRow="1" w:lastRow="0" w:firstColumn="1" w:lastColumn="0" w:noHBand="0" w:noVBand="1"/>
        <w:tblCaption w:val="Table 11: Examples of potential prescribing practice changes under a broad listing"/>
      </w:tblPr>
      <w:tblGrid>
        <w:gridCol w:w="1094"/>
        <w:gridCol w:w="1256"/>
        <w:gridCol w:w="2991"/>
        <w:gridCol w:w="3675"/>
      </w:tblGrid>
      <w:tr w:rsidR="005F2C11" w14:paraId="6F817B12" w14:textId="77777777" w:rsidTr="005F2C1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C6438" w14:textId="77777777" w:rsidR="005F2C11" w:rsidRDefault="005F2C11">
            <w:pPr>
              <w:keepNext/>
              <w:rPr>
                <w:rFonts w:ascii="Arial Narrow" w:hAnsi="Arial Narrow"/>
                <w:b/>
                <w:sz w:val="20"/>
                <w:szCs w:val="20"/>
              </w:rPr>
            </w:pPr>
            <w:r>
              <w:rPr>
                <w:rFonts w:ascii="Arial Narrow" w:hAnsi="Arial Narrow"/>
                <w:b/>
                <w:sz w:val="20"/>
                <w:szCs w:val="20"/>
              </w:rPr>
              <w:t>Indication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D90E9" w14:textId="77777777" w:rsidR="005F2C11" w:rsidRDefault="005F2C11">
            <w:pPr>
              <w:keepNext/>
              <w:rPr>
                <w:rFonts w:ascii="Arial Narrow" w:hAnsi="Arial Narrow"/>
                <w:b/>
                <w:sz w:val="20"/>
                <w:szCs w:val="20"/>
              </w:rPr>
            </w:pPr>
            <w:r>
              <w:rPr>
                <w:rFonts w:ascii="Arial Narrow" w:hAnsi="Arial Narrow"/>
                <w:b/>
                <w:sz w:val="20"/>
                <w:szCs w:val="20"/>
              </w:rPr>
              <w:t>Relevant drug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2D08F2" w14:textId="77777777" w:rsidR="005F2C11" w:rsidRDefault="005F2C11">
            <w:pPr>
              <w:keepNext/>
              <w:rPr>
                <w:rFonts w:ascii="Arial Narrow" w:hAnsi="Arial Narrow"/>
                <w:b/>
                <w:sz w:val="20"/>
                <w:szCs w:val="20"/>
              </w:rPr>
            </w:pPr>
            <w:r>
              <w:rPr>
                <w:rFonts w:ascii="Arial Narrow" w:hAnsi="Arial Narrow"/>
                <w:b/>
                <w:sz w:val="20"/>
                <w:szCs w:val="20"/>
              </w:rPr>
              <w:t>Current funding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CFEA2" w14:textId="77777777" w:rsidR="005F2C11" w:rsidRDefault="005F2C11">
            <w:pPr>
              <w:keepNext/>
              <w:rPr>
                <w:rFonts w:ascii="Arial Narrow" w:hAnsi="Arial Narrow"/>
                <w:b/>
                <w:sz w:val="20"/>
                <w:szCs w:val="20"/>
              </w:rPr>
            </w:pPr>
            <w:r>
              <w:rPr>
                <w:rFonts w:ascii="Arial Narrow" w:hAnsi="Arial Narrow"/>
                <w:b/>
                <w:sz w:val="20"/>
                <w:szCs w:val="20"/>
              </w:rPr>
              <w:t>Implications</w:t>
            </w:r>
          </w:p>
        </w:tc>
      </w:tr>
      <w:tr w:rsidR="005F2C11" w14:paraId="713279D2" w14:textId="77777777" w:rsidTr="005F2C11">
        <w:tc>
          <w:tcPr>
            <w:tcW w:w="0" w:type="auto"/>
            <w:tcBorders>
              <w:top w:val="single" w:sz="4" w:space="0" w:color="auto"/>
              <w:left w:val="single" w:sz="4" w:space="0" w:color="auto"/>
              <w:bottom w:val="single" w:sz="4" w:space="0" w:color="auto"/>
              <w:right w:val="single" w:sz="4" w:space="0" w:color="auto"/>
            </w:tcBorders>
            <w:hideMark/>
          </w:tcPr>
          <w:p w14:paraId="555B42CC" w14:textId="77777777" w:rsidR="005F2C11" w:rsidRDefault="005F2C11">
            <w:pPr>
              <w:keepNext/>
              <w:rPr>
                <w:rFonts w:ascii="Arial Narrow" w:hAnsi="Arial Narrow"/>
                <w:sz w:val="20"/>
                <w:szCs w:val="20"/>
              </w:rPr>
            </w:pPr>
            <w:r>
              <w:rPr>
                <w:rFonts w:ascii="Arial Narrow" w:hAnsi="Arial Narrow"/>
                <w:sz w:val="20"/>
                <w:szCs w:val="20"/>
              </w:rPr>
              <w:t>Malignant melanoma</w:t>
            </w:r>
          </w:p>
        </w:tc>
        <w:tc>
          <w:tcPr>
            <w:tcW w:w="0" w:type="auto"/>
            <w:tcBorders>
              <w:top w:val="single" w:sz="4" w:space="0" w:color="auto"/>
              <w:left w:val="single" w:sz="4" w:space="0" w:color="auto"/>
              <w:bottom w:val="single" w:sz="4" w:space="0" w:color="auto"/>
              <w:right w:val="single" w:sz="4" w:space="0" w:color="auto"/>
            </w:tcBorders>
            <w:hideMark/>
          </w:tcPr>
          <w:p w14:paraId="291E5D42" w14:textId="77777777" w:rsidR="005F2C11" w:rsidRDefault="005F2C11">
            <w:pPr>
              <w:keepNext/>
              <w:rPr>
                <w:rFonts w:ascii="Arial Narrow" w:hAnsi="Arial Narrow"/>
                <w:sz w:val="20"/>
                <w:szCs w:val="20"/>
              </w:rPr>
            </w:pPr>
            <w:proofErr w:type="spellStart"/>
            <w:r>
              <w:rPr>
                <w:rFonts w:ascii="Arial Narrow" w:hAnsi="Arial Narrow"/>
                <w:sz w:val="20"/>
                <w:szCs w:val="20"/>
              </w:rPr>
              <w:t>Opdualag</w:t>
            </w:r>
            <w:proofErr w:type="spellEnd"/>
            <w:r>
              <w:rPr>
                <w:rFonts w:ascii="Arial Narrow" w:hAnsi="Arial Narrow"/>
                <w:sz w:val="20"/>
                <w:szCs w:val="20"/>
              </w:rPr>
              <w:t xml:space="preserve"> (nivolumab + </w:t>
            </w:r>
            <w:proofErr w:type="spellStart"/>
            <w:r>
              <w:rPr>
                <w:rFonts w:ascii="Arial Narrow" w:hAnsi="Arial Narrow"/>
                <w:sz w:val="20"/>
                <w:szCs w:val="20"/>
              </w:rPr>
              <w:t>relatlimab</w:t>
            </w:r>
            <w:proofErr w:type="spellEnd"/>
            <w:r>
              <w:rPr>
                <w:rFonts w:ascii="Arial Narrow" w:hAnsi="Arial Narrow"/>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CEC7BF4" w14:textId="77777777" w:rsidR="005F2C11" w:rsidRDefault="005F2C11">
            <w:pPr>
              <w:keepNext/>
              <w:rPr>
                <w:rFonts w:ascii="Arial Narrow" w:hAnsi="Arial Narrow"/>
                <w:sz w:val="20"/>
                <w:szCs w:val="20"/>
              </w:rPr>
            </w:pPr>
            <w:r>
              <w:rPr>
                <w:rFonts w:ascii="Arial Narrow" w:hAnsi="Arial Narrow"/>
                <w:sz w:val="20"/>
                <w:szCs w:val="20"/>
              </w:rPr>
              <w:t>PBS listed for Stage III or Stage IV malignant melanoma. Patient must not have received prior treatment with ipilimumab or a PD-1 (programmed cell death-1) inhibitor.</w:t>
            </w:r>
          </w:p>
        </w:tc>
        <w:tc>
          <w:tcPr>
            <w:tcW w:w="0" w:type="auto"/>
            <w:tcBorders>
              <w:top w:val="single" w:sz="4" w:space="0" w:color="auto"/>
              <w:left w:val="single" w:sz="4" w:space="0" w:color="auto"/>
              <w:bottom w:val="single" w:sz="4" w:space="0" w:color="auto"/>
              <w:right w:val="single" w:sz="4" w:space="0" w:color="auto"/>
            </w:tcBorders>
          </w:tcPr>
          <w:p w14:paraId="675C0459" w14:textId="77777777" w:rsidR="005F2C11" w:rsidRDefault="005F2C11">
            <w:pPr>
              <w:keepNext/>
              <w:rPr>
                <w:rFonts w:ascii="Arial Narrow" w:hAnsi="Arial Narrow"/>
                <w:sz w:val="20"/>
                <w:szCs w:val="20"/>
              </w:rPr>
            </w:pPr>
            <w:r>
              <w:rPr>
                <w:rFonts w:ascii="Arial Narrow" w:hAnsi="Arial Narrow"/>
                <w:sz w:val="20"/>
                <w:szCs w:val="20"/>
              </w:rPr>
              <w:t>Under a broad listing, patients with malignant melanoma will be able to access</w:t>
            </w:r>
            <w:r>
              <w:rPr>
                <w:rFonts w:ascii="Arial Narrow" w:hAnsi="Arial Narrow"/>
              </w:rPr>
              <w:t xml:space="preserve"> </w:t>
            </w:r>
            <w:r>
              <w:rPr>
                <w:rFonts w:ascii="Arial Narrow" w:hAnsi="Arial Narrow"/>
                <w:sz w:val="20"/>
                <w:szCs w:val="20"/>
              </w:rPr>
              <w:t>NIVO+IPI in the 2L setting, which was not previously possible.</w:t>
            </w:r>
          </w:p>
          <w:p w14:paraId="501FB9D3" w14:textId="77777777" w:rsidR="005F2C11" w:rsidRDefault="005F2C11">
            <w:pPr>
              <w:keepNext/>
              <w:rPr>
                <w:rFonts w:ascii="Arial Narrow" w:hAnsi="Arial Narrow"/>
                <w:sz w:val="20"/>
                <w:szCs w:val="20"/>
              </w:rPr>
            </w:pPr>
          </w:p>
          <w:p w14:paraId="6C28B847" w14:textId="77777777" w:rsidR="005F2C11" w:rsidRDefault="005F2C11">
            <w:pPr>
              <w:keepNext/>
              <w:rPr>
                <w:rFonts w:ascii="Arial Narrow" w:hAnsi="Arial Narrow"/>
                <w:sz w:val="20"/>
                <w:szCs w:val="20"/>
              </w:rPr>
            </w:pPr>
            <w:r>
              <w:rPr>
                <w:rFonts w:ascii="Arial Narrow" w:hAnsi="Arial Narrow"/>
                <w:sz w:val="20"/>
                <w:szCs w:val="20"/>
              </w:rPr>
              <w:t xml:space="preserve">As the </w:t>
            </w:r>
            <w:proofErr w:type="spellStart"/>
            <w:r>
              <w:rPr>
                <w:rFonts w:ascii="Arial Narrow" w:hAnsi="Arial Narrow"/>
                <w:sz w:val="20"/>
                <w:szCs w:val="20"/>
              </w:rPr>
              <w:t>Opdualag</w:t>
            </w:r>
            <w:proofErr w:type="spellEnd"/>
            <w:r>
              <w:rPr>
                <w:rFonts w:ascii="Arial Narrow" w:hAnsi="Arial Narrow"/>
                <w:sz w:val="20"/>
                <w:szCs w:val="20"/>
              </w:rPr>
              <w:t xml:space="preserve"> listing is unchanged, utilisation would likely increase in the 1L setting as this represents the only point in the treatment pathway where </w:t>
            </w:r>
            <w:proofErr w:type="spellStart"/>
            <w:r>
              <w:rPr>
                <w:rFonts w:ascii="Arial Narrow" w:hAnsi="Arial Narrow"/>
                <w:sz w:val="20"/>
                <w:szCs w:val="20"/>
              </w:rPr>
              <w:t>Opdualag</w:t>
            </w:r>
            <w:proofErr w:type="spellEnd"/>
            <w:r>
              <w:rPr>
                <w:rFonts w:ascii="Arial Narrow" w:hAnsi="Arial Narrow"/>
                <w:sz w:val="20"/>
                <w:szCs w:val="20"/>
              </w:rPr>
              <w:t xml:space="preserve"> is funded. </w:t>
            </w:r>
          </w:p>
        </w:tc>
      </w:tr>
      <w:tr w:rsidR="005F2C11" w14:paraId="523F96EA" w14:textId="77777777" w:rsidTr="005F2C11">
        <w:tc>
          <w:tcPr>
            <w:tcW w:w="0" w:type="auto"/>
            <w:tcBorders>
              <w:top w:val="single" w:sz="4" w:space="0" w:color="auto"/>
              <w:left w:val="single" w:sz="4" w:space="0" w:color="auto"/>
              <w:bottom w:val="single" w:sz="4" w:space="0" w:color="auto"/>
              <w:right w:val="single" w:sz="4" w:space="0" w:color="auto"/>
            </w:tcBorders>
            <w:hideMark/>
          </w:tcPr>
          <w:p w14:paraId="38785B36" w14:textId="77777777" w:rsidR="005F2C11" w:rsidRDefault="005F2C11">
            <w:pPr>
              <w:rPr>
                <w:rFonts w:ascii="Arial Narrow" w:hAnsi="Arial Narrow"/>
                <w:sz w:val="20"/>
                <w:szCs w:val="20"/>
              </w:rPr>
            </w:pPr>
            <w:r>
              <w:rPr>
                <w:rFonts w:ascii="Arial Narrow" w:hAnsi="Arial Narrow"/>
                <w:sz w:val="20"/>
                <w:szCs w:val="20"/>
              </w:rPr>
              <w:t>RCC</w:t>
            </w:r>
          </w:p>
        </w:tc>
        <w:tc>
          <w:tcPr>
            <w:tcW w:w="0" w:type="auto"/>
            <w:tcBorders>
              <w:top w:val="single" w:sz="4" w:space="0" w:color="auto"/>
              <w:left w:val="single" w:sz="4" w:space="0" w:color="auto"/>
              <w:bottom w:val="single" w:sz="4" w:space="0" w:color="auto"/>
              <w:right w:val="single" w:sz="4" w:space="0" w:color="auto"/>
            </w:tcBorders>
            <w:hideMark/>
          </w:tcPr>
          <w:p w14:paraId="7C4FEC13" w14:textId="77777777" w:rsidR="005F2C11" w:rsidRDefault="005F2C11">
            <w:pPr>
              <w:rPr>
                <w:rFonts w:ascii="Arial Narrow" w:hAnsi="Arial Narrow"/>
                <w:sz w:val="20"/>
                <w:szCs w:val="20"/>
              </w:rPr>
            </w:pPr>
            <w:proofErr w:type="spellStart"/>
            <w:r>
              <w:rPr>
                <w:rFonts w:ascii="Arial Narrow" w:hAnsi="Arial Narrow"/>
                <w:sz w:val="20"/>
                <w:szCs w:val="20"/>
              </w:rPr>
              <w:t>Lenvima</w:t>
            </w:r>
            <w:proofErr w:type="spellEnd"/>
            <w:r>
              <w:rPr>
                <w:rFonts w:ascii="Arial Narrow" w:hAnsi="Arial Narrow"/>
                <w:sz w:val="20"/>
                <w:szCs w:val="20"/>
              </w:rPr>
              <w:t xml:space="preserve"> (lenvatinib)</w:t>
            </w:r>
          </w:p>
        </w:tc>
        <w:tc>
          <w:tcPr>
            <w:tcW w:w="0" w:type="auto"/>
            <w:tcBorders>
              <w:top w:val="single" w:sz="4" w:space="0" w:color="auto"/>
              <w:left w:val="single" w:sz="4" w:space="0" w:color="auto"/>
              <w:bottom w:val="single" w:sz="4" w:space="0" w:color="auto"/>
              <w:right w:val="single" w:sz="4" w:space="0" w:color="auto"/>
            </w:tcBorders>
            <w:hideMark/>
          </w:tcPr>
          <w:p w14:paraId="21207D5B" w14:textId="77777777" w:rsidR="005F2C11" w:rsidRDefault="005F2C11">
            <w:pPr>
              <w:rPr>
                <w:rFonts w:ascii="Arial Narrow" w:hAnsi="Arial Narrow"/>
                <w:sz w:val="20"/>
                <w:szCs w:val="20"/>
              </w:rPr>
            </w:pPr>
            <w:r>
              <w:rPr>
                <w:rFonts w:ascii="Arial Narrow" w:hAnsi="Arial Narrow"/>
                <w:sz w:val="20"/>
                <w:szCs w:val="20"/>
              </w:rPr>
              <w:t>PBS listed for previously untreated intermediate-poor risk Stage IV clear cell variant RCC in combination with Keytruda (pembrolizumab).</w:t>
            </w:r>
          </w:p>
        </w:tc>
        <w:tc>
          <w:tcPr>
            <w:tcW w:w="0" w:type="auto"/>
            <w:tcBorders>
              <w:top w:val="single" w:sz="4" w:space="0" w:color="auto"/>
              <w:left w:val="single" w:sz="4" w:space="0" w:color="auto"/>
              <w:bottom w:val="single" w:sz="4" w:space="0" w:color="auto"/>
              <w:right w:val="single" w:sz="4" w:space="0" w:color="auto"/>
            </w:tcBorders>
          </w:tcPr>
          <w:p w14:paraId="7675C7A0" w14:textId="77777777" w:rsidR="005F2C11" w:rsidRDefault="005F2C11">
            <w:pPr>
              <w:rPr>
                <w:rFonts w:ascii="Arial Narrow" w:hAnsi="Arial Narrow"/>
                <w:sz w:val="20"/>
                <w:szCs w:val="20"/>
              </w:rPr>
            </w:pPr>
            <w:r>
              <w:rPr>
                <w:rFonts w:ascii="Arial Narrow" w:hAnsi="Arial Narrow"/>
                <w:sz w:val="20"/>
                <w:szCs w:val="20"/>
              </w:rPr>
              <w:t>Currently, patients are eligible to receive either PD-1+VEGF TKI or PD-1+CTLA-4 (NIVO+IPI) combination therapy in the 1L setting only, due to PBS restrictions.</w:t>
            </w:r>
          </w:p>
          <w:p w14:paraId="1F782E7A" w14:textId="77777777" w:rsidR="005F2C11" w:rsidRDefault="005F2C11">
            <w:pPr>
              <w:rPr>
                <w:rFonts w:ascii="Arial Narrow" w:hAnsi="Arial Narrow"/>
                <w:sz w:val="20"/>
                <w:szCs w:val="20"/>
              </w:rPr>
            </w:pPr>
          </w:p>
          <w:p w14:paraId="609BC0C8" w14:textId="77777777" w:rsidR="005F2C11" w:rsidRDefault="005F2C11">
            <w:pPr>
              <w:rPr>
                <w:rFonts w:ascii="Arial Narrow" w:hAnsi="Arial Narrow"/>
                <w:sz w:val="20"/>
                <w:szCs w:val="20"/>
              </w:rPr>
            </w:pPr>
            <w:r>
              <w:rPr>
                <w:rFonts w:ascii="Arial Narrow" w:hAnsi="Arial Narrow"/>
                <w:sz w:val="20"/>
                <w:szCs w:val="20"/>
              </w:rPr>
              <w:t>Under a broad listing, access to PD-1+CTLA-4 (NIVO+IPI) would not be restricted by line of therapy – this may influence treatment choice towards PD-1+VEGF TKI combination therapy in the 1L setting, as this would not be available for patients in the 2L+ setting.</w:t>
            </w:r>
          </w:p>
        </w:tc>
      </w:tr>
    </w:tbl>
    <w:p w14:paraId="6C8D7C2D" w14:textId="77777777" w:rsidR="005F2C11" w:rsidRDefault="005F2C11" w:rsidP="005F2C11">
      <w:pPr>
        <w:rPr>
          <w:rFonts w:ascii="Arial Narrow" w:hAnsi="Arial Narrow"/>
          <w:sz w:val="18"/>
          <w:szCs w:val="18"/>
        </w:rPr>
      </w:pPr>
      <w:r>
        <w:rPr>
          <w:rFonts w:ascii="Arial Narrow" w:hAnsi="Arial Narrow"/>
          <w:sz w:val="18"/>
          <w:szCs w:val="18"/>
        </w:rPr>
        <w:t>Source: Table 4, pp11-12 of the proposal main body</w:t>
      </w:r>
    </w:p>
    <w:p w14:paraId="0AE1BD24" w14:textId="77777777" w:rsidR="005F2C11" w:rsidRDefault="005F2C11" w:rsidP="005F2C11">
      <w:pPr>
        <w:rPr>
          <w:rFonts w:ascii="Arial Narrow" w:hAnsi="Arial Narrow"/>
          <w:sz w:val="18"/>
          <w:szCs w:val="18"/>
        </w:rPr>
      </w:pPr>
      <w:r>
        <w:rPr>
          <w:rFonts w:ascii="Arial Narrow" w:hAnsi="Arial Narrow"/>
          <w:sz w:val="18"/>
          <w:szCs w:val="18"/>
        </w:rPr>
        <w:t>CTLA-4 = cytotoxic T-lymphocyte-associated antigen 4; NIVO+IPI = nivolumab + ipilimumab; PBS = Pharmaceutical Benefits Scheme; PD-1 = programmed cell death-1; RCC = renal cell carcinoma; TKI = tyrosine kinase inhibitor; VEGF = vascular endothelial growth factor; 1L = first line; 2L = second line.</w:t>
      </w:r>
    </w:p>
    <w:p w14:paraId="1121CC0C" w14:textId="77777777" w:rsidR="005F2C11" w:rsidRDefault="005F2C11" w:rsidP="005F2C11">
      <w:pPr>
        <w:pStyle w:val="3-BodyText"/>
        <w:numPr>
          <w:ilvl w:val="1"/>
          <w:numId w:val="59"/>
        </w:numPr>
        <w:spacing w:before="120" w:after="120"/>
      </w:pPr>
      <w:r>
        <w:t xml:space="preserve">The proposal also noted there were positive PBAC recommendations that had not yet been implemented that may have flow on impacts to the utilisation of other PD-(L)1 inhibitors. </w:t>
      </w:r>
    </w:p>
    <w:p w14:paraId="589DA427" w14:textId="77777777" w:rsidR="005F2C11" w:rsidRDefault="005F2C11" w:rsidP="005F2C11">
      <w:pPr>
        <w:pStyle w:val="3-BodyText"/>
        <w:numPr>
          <w:ilvl w:val="1"/>
          <w:numId w:val="59"/>
        </w:numPr>
        <w:spacing w:before="120" w:after="120"/>
      </w:pPr>
      <w:r>
        <w:t xml:space="preserve">It highlighted the positive recommendation for pembrolizumab + </w:t>
      </w:r>
      <w:proofErr w:type="spellStart"/>
      <w:r>
        <w:t>enfortumab</w:t>
      </w:r>
      <w:proofErr w:type="spellEnd"/>
      <w:r>
        <w:t xml:space="preserve"> vedotin for 1L urothelial carcinoma and the deferral of zolbetuximab for 1L upper gastro-intestinal cancers. </w:t>
      </w:r>
    </w:p>
    <w:p w14:paraId="32AF440F" w14:textId="77777777" w:rsidR="005F2C11" w:rsidRDefault="005F2C11" w:rsidP="005F2C11">
      <w:pPr>
        <w:pStyle w:val="4-SubsectionHeading"/>
      </w:pPr>
      <w:r>
        <w:t xml:space="preserve">Changes to restriction wording </w:t>
      </w:r>
    </w:p>
    <w:p w14:paraId="08D2CFC4" w14:textId="77777777" w:rsidR="005F2C11" w:rsidRDefault="005F2C11" w:rsidP="005F2C11">
      <w:pPr>
        <w:pStyle w:val="3-BodyText"/>
        <w:numPr>
          <w:ilvl w:val="1"/>
          <w:numId w:val="59"/>
        </w:numPr>
        <w:spacing w:before="120" w:after="120"/>
      </w:pPr>
      <w:r>
        <w:t>The sponsor noted the replacement of the word ‘</w:t>
      </w:r>
      <w:r>
        <w:rPr>
          <w:sz w:val="22"/>
        </w:rPr>
        <w:t>u</w:t>
      </w:r>
      <w:r>
        <w:t xml:space="preserve">nresectable’ with ‘immunotherapy sensitive’ may affect prescribing behaviour and create a risk of utilisation outside the intended population. </w:t>
      </w:r>
    </w:p>
    <w:p w14:paraId="1A793D4A" w14:textId="77777777" w:rsidR="005F2C11" w:rsidRDefault="005F2C11" w:rsidP="005F2C11">
      <w:pPr>
        <w:pStyle w:val="3-BodyText"/>
        <w:numPr>
          <w:ilvl w:val="1"/>
          <w:numId w:val="59"/>
        </w:numPr>
        <w:spacing w:before="120" w:after="120"/>
      </w:pPr>
      <w:r>
        <w:t xml:space="preserve">The sponsor noted the definition of ‘advanced’ in the context of advanced or metastatic cancer is subject to a degree of clinical interpretation. </w:t>
      </w:r>
    </w:p>
    <w:p w14:paraId="3831045E" w14:textId="77777777" w:rsidR="005F2C11" w:rsidRDefault="005F2C11" w:rsidP="005F2C11">
      <w:pPr>
        <w:pStyle w:val="3-BodyText"/>
        <w:numPr>
          <w:ilvl w:val="1"/>
          <w:numId w:val="59"/>
        </w:numPr>
        <w:spacing w:before="120" w:after="120"/>
      </w:pPr>
      <w:r>
        <w:lastRenderedPageBreak/>
        <w:t>The sponsor noted two examples where utilisation may occur outside the populations modelled in the proposal:</w:t>
      </w:r>
    </w:p>
    <w:p w14:paraId="4B8164BD" w14:textId="77777777" w:rsidR="005F2C11" w:rsidRDefault="005F2C11" w:rsidP="005F2C11">
      <w:pPr>
        <w:pStyle w:val="ListParagraph"/>
        <w:numPr>
          <w:ilvl w:val="0"/>
          <w:numId w:val="58"/>
        </w:numPr>
        <w:snapToGrid w:val="0"/>
        <w:ind w:left="1134"/>
      </w:pPr>
      <w:r>
        <w:rPr>
          <w:rFonts w:eastAsia="Trebuchet MS"/>
        </w:rPr>
        <w:t xml:space="preserve">Patients with advanced non-small cell lung cancer may be eligible for treatment using the CheckMate77T protocol (that is, neoadjuvant treatment with </w:t>
      </w:r>
      <w:proofErr w:type="spellStart"/>
      <w:r>
        <w:rPr>
          <w:rFonts w:eastAsia="Trebuchet MS"/>
        </w:rPr>
        <w:t>NIVO+chemo</w:t>
      </w:r>
      <w:proofErr w:type="spellEnd"/>
      <w:r>
        <w:rPr>
          <w:rFonts w:eastAsia="Trebuchet MS"/>
        </w:rPr>
        <w:t xml:space="preserve"> followed by adjuvant NIVO). </w:t>
      </w:r>
    </w:p>
    <w:p w14:paraId="3E02714A" w14:textId="77777777" w:rsidR="005F2C11" w:rsidRDefault="005F2C11" w:rsidP="005F2C11">
      <w:pPr>
        <w:pStyle w:val="ListParagraph"/>
        <w:numPr>
          <w:ilvl w:val="0"/>
          <w:numId w:val="58"/>
        </w:numPr>
        <w:snapToGrid w:val="0"/>
        <w:ind w:left="1134"/>
      </w:pPr>
      <w:r>
        <w:rPr>
          <w:rFonts w:eastAsia="Trebuchet MS"/>
        </w:rPr>
        <w:t>Patients with locally advanced mismatch repair–deficient colon cancer (dMMR CRC) may be treated under the NICHE2 protocol (neoadjuvant NIVO+IPI).</w:t>
      </w:r>
    </w:p>
    <w:p w14:paraId="7EC0FA6C" w14:textId="77777777" w:rsidR="005F2C11" w:rsidRDefault="005F2C11" w:rsidP="005F2C11">
      <w:pPr>
        <w:pStyle w:val="3-BodyText"/>
        <w:numPr>
          <w:ilvl w:val="1"/>
          <w:numId w:val="59"/>
        </w:numPr>
        <w:spacing w:before="120" w:after="120"/>
      </w:pPr>
      <w:r>
        <w:t>The sponsor therefore considered this wording change may result in the financial estimates being under-estimated. However, the sponsor advised it was willing to accept this financial risk and did not seek changes to the financial estimates on this account.</w:t>
      </w:r>
    </w:p>
    <w:p w14:paraId="4C53F992" w14:textId="77777777" w:rsidR="005F2C11" w:rsidRDefault="005F2C11" w:rsidP="005F2C11">
      <w:pPr>
        <w:pStyle w:val="3-BodyText"/>
        <w:numPr>
          <w:ilvl w:val="1"/>
          <w:numId w:val="59"/>
        </w:numPr>
        <w:spacing w:before="120" w:after="120"/>
      </w:pPr>
      <w:r>
        <w:t xml:space="preserve">The sponsor provided examples of indications in which nivolumab and/or ipilimumab could be prescribed under the proposed listing that were not accounted for in the model. The sponsor noted these were not accounted for </w:t>
      </w:r>
      <w:r>
        <w:rPr>
          <w:rFonts w:eastAsia="Trebuchet MS" w:cs="Trebuchet MS"/>
        </w:rPr>
        <w:t>largely owing to the difficulty in creating a robust approach to extrapolating current expenditure to cover possible expanded usage</w:t>
      </w:r>
      <w:r>
        <w:t>. The examples provided were:</w:t>
      </w:r>
    </w:p>
    <w:p w14:paraId="4C9A2517" w14:textId="77777777" w:rsidR="005F2C11" w:rsidRDefault="005F2C11" w:rsidP="005F2C11">
      <w:pPr>
        <w:pStyle w:val="ListParagraph"/>
        <w:numPr>
          <w:ilvl w:val="0"/>
          <w:numId w:val="58"/>
        </w:numPr>
        <w:snapToGrid w:val="0"/>
        <w:ind w:left="1134"/>
      </w:pPr>
      <w:r>
        <w:t>Non-clear cell renal cell carcinoma (</w:t>
      </w:r>
      <w:proofErr w:type="spellStart"/>
      <w:r>
        <w:t>nccRCC</w:t>
      </w:r>
      <w:proofErr w:type="spellEnd"/>
      <w:r>
        <w:t>).</w:t>
      </w:r>
    </w:p>
    <w:p w14:paraId="508DAF08" w14:textId="77777777" w:rsidR="005F2C11" w:rsidRDefault="005F2C11" w:rsidP="005F2C11">
      <w:pPr>
        <w:pStyle w:val="ListParagraph"/>
        <w:numPr>
          <w:ilvl w:val="0"/>
          <w:numId w:val="58"/>
        </w:numPr>
        <w:snapToGrid w:val="0"/>
        <w:ind w:left="1134"/>
      </w:pPr>
      <w:r>
        <w:t>No specification of performance status in the proposed PBS restrictions – applicable to all cancer types.</w:t>
      </w:r>
    </w:p>
    <w:p w14:paraId="6680B147" w14:textId="77777777" w:rsidR="005F2C11" w:rsidRDefault="005F2C11" w:rsidP="005F2C11">
      <w:pPr>
        <w:pStyle w:val="ListParagraph"/>
        <w:numPr>
          <w:ilvl w:val="0"/>
          <w:numId w:val="58"/>
        </w:numPr>
        <w:snapToGrid w:val="0"/>
        <w:ind w:left="1134"/>
      </w:pPr>
      <w:r>
        <w:t>Treatment must not exceed a maximum total of 24 months in a lifetime for this condition – deviation from existing mesothelioma (NIVO+IPI), NSCLC (NIVO only), and UGI listings (NIVO only).</w:t>
      </w:r>
    </w:p>
    <w:p w14:paraId="721DD5CB" w14:textId="77777777" w:rsidR="005F2C11" w:rsidRDefault="005F2C11" w:rsidP="005F2C11">
      <w:pPr>
        <w:pStyle w:val="ListParagraph"/>
        <w:numPr>
          <w:ilvl w:val="0"/>
          <w:numId w:val="58"/>
        </w:numPr>
        <w:snapToGrid w:val="0"/>
        <w:ind w:left="1134"/>
      </w:pPr>
      <w:r>
        <w:t>No limitation on maximum doses for IPI across cancer types.</w:t>
      </w:r>
    </w:p>
    <w:p w14:paraId="7D9FC740" w14:textId="77777777" w:rsidR="005F2C11" w:rsidRDefault="005F2C11" w:rsidP="005F2C11">
      <w:pPr>
        <w:pStyle w:val="ListParagraph"/>
        <w:numPr>
          <w:ilvl w:val="0"/>
          <w:numId w:val="58"/>
        </w:numPr>
        <w:snapToGrid w:val="0"/>
        <w:ind w:left="1134"/>
      </w:pPr>
      <w:r>
        <w:t>Ability for patients to receive treatment with NIVO±IPI twice in the advanced/metastatic setting – applicable to all cancer types.</w:t>
      </w:r>
    </w:p>
    <w:p w14:paraId="75ABE1DA" w14:textId="77777777" w:rsidR="005F2C11" w:rsidRDefault="005F2C11" w:rsidP="005F2C11">
      <w:pPr>
        <w:pStyle w:val="3-BodyText"/>
        <w:numPr>
          <w:ilvl w:val="1"/>
          <w:numId w:val="59"/>
        </w:numPr>
        <w:spacing w:before="120" w:after="120"/>
      </w:pPr>
      <w:r>
        <w:t>The sponsor argued these points further supported its claim that utilisation would be under-estimated but that it was willing to accept this financial risk and proceed with the estimates as provided.</w:t>
      </w:r>
    </w:p>
    <w:p w14:paraId="5E044EEC" w14:textId="77777777" w:rsidR="005F2C11" w:rsidRDefault="005F2C11" w:rsidP="005F2C11">
      <w:pPr>
        <w:pStyle w:val="4-SubsectionHeading"/>
      </w:pPr>
      <w:r>
        <w:t>Other PD-(L)1 Inhibitors</w:t>
      </w:r>
    </w:p>
    <w:p w14:paraId="66548EC5" w14:textId="77777777" w:rsidR="005F2C11" w:rsidRDefault="005F2C11" w:rsidP="005F2C11">
      <w:pPr>
        <w:pStyle w:val="3-BodyText"/>
        <w:numPr>
          <w:ilvl w:val="1"/>
          <w:numId w:val="59"/>
        </w:numPr>
        <w:spacing w:before="120" w:after="120"/>
        <w:rPr>
          <w:lang w:eastAsia="en-US"/>
        </w:rPr>
      </w:pPr>
      <w:r>
        <w:rPr>
          <w:lang w:eastAsia="en-US"/>
        </w:rPr>
        <w:t>The sponsor noted there were some advanced and metastatic cancer indications for which other PD-(L)1 inhibitors are registered with the TGA and for which nivolumab and ipilimumab are not registered.</w:t>
      </w:r>
    </w:p>
    <w:p w14:paraId="54F61001" w14:textId="77777777" w:rsidR="005F2C11" w:rsidRDefault="005F2C11" w:rsidP="005F2C11">
      <w:pPr>
        <w:pStyle w:val="3-BodyText"/>
        <w:numPr>
          <w:ilvl w:val="1"/>
          <w:numId w:val="59"/>
        </w:numPr>
        <w:spacing w:before="120" w:after="120"/>
        <w:rPr>
          <w:lang w:eastAsia="en-US"/>
        </w:rPr>
      </w:pPr>
      <w:r>
        <w:rPr>
          <w:lang w:eastAsia="en-US"/>
        </w:rPr>
        <w:t xml:space="preserve">The sponsor indicated there was potential for leakage in use for these indications if nivolumab and ipilimumab were the only drugs available under a broad listing. </w:t>
      </w:r>
    </w:p>
    <w:p w14:paraId="7ED0DA8A" w14:textId="77777777" w:rsidR="005F2C11" w:rsidRDefault="005F2C11" w:rsidP="005F2C11">
      <w:pPr>
        <w:pStyle w:val="3-BodyText"/>
        <w:numPr>
          <w:ilvl w:val="1"/>
          <w:numId w:val="59"/>
        </w:numPr>
        <w:spacing w:before="120" w:after="120"/>
        <w:rPr>
          <w:lang w:eastAsia="en-US"/>
        </w:rPr>
      </w:pPr>
      <w:r>
        <w:rPr>
          <w:lang w:eastAsia="en-US"/>
        </w:rPr>
        <w:t xml:space="preserve">The sponsor noted usage in these additional indications (shaded orange in </w:t>
      </w:r>
      <w:r>
        <w:rPr>
          <w:lang w:eastAsia="en-US"/>
        </w:rPr>
        <w:fldChar w:fldCharType="begin" w:fldLock="1"/>
      </w:r>
      <w:r>
        <w:rPr>
          <w:lang w:eastAsia="en-US"/>
        </w:rPr>
        <w:instrText xml:space="preserve"> REF _Ref207617453 \h </w:instrText>
      </w:r>
      <w:r>
        <w:rPr>
          <w:lang w:eastAsia="en-US"/>
        </w:rPr>
      </w:r>
      <w:r>
        <w:rPr>
          <w:lang w:eastAsia="en-US"/>
        </w:rPr>
        <w:fldChar w:fldCharType="separate"/>
      </w:r>
      <w:r>
        <w:t xml:space="preserve">Table </w:t>
      </w:r>
      <w:r>
        <w:rPr>
          <w:noProof/>
        </w:rPr>
        <w:t>12</w:t>
      </w:r>
      <w:r>
        <w:rPr>
          <w:lang w:eastAsia="en-US"/>
        </w:rPr>
        <w:fldChar w:fldCharType="end"/>
      </w:r>
      <w:r>
        <w:rPr>
          <w:lang w:eastAsia="en-US"/>
        </w:rPr>
        <w:t xml:space="preserve">) was not modelled in the financial estimates. The sponsor noted this as a potential </w:t>
      </w:r>
      <w:r>
        <w:rPr>
          <w:lang w:eastAsia="en-US"/>
        </w:rPr>
        <w:lastRenderedPageBreak/>
        <w:t>source of under-estimation in the estimates but advised it was willing to accept this financial risk and did not seek changes to the financial estimates on this account.</w:t>
      </w:r>
    </w:p>
    <w:p w14:paraId="2D5CDAB8" w14:textId="77777777" w:rsidR="005F2C11" w:rsidRDefault="005F2C11" w:rsidP="005F2C11">
      <w:pPr>
        <w:pStyle w:val="Caption"/>
        <w:keepNext/>
      </w:pPr>
      <w:bookmarkStart w:id="21" w:name="_Ref207617453"/>
      <w:r>
        <w:t xml:space="preserve">Table </w:t>
      </w:r>
      <w:r>
        <w:fldChar w:fldCharType="begin" w:fldLock="1"/>
      </w:r>
      <w:r>
        <w:instrText xml:space="preserve"> SEQ Table \* ARABIC </w:instrText>
      </w:r>
      <w:r>
        <w:fldChar w:fldCharType="separate"/>
      </w:r>
      <w:r>
        <w:rPr>
          <w:noProof/>
        </w:rPr>
        <w:t>12</w:t>
      </w:r>
      <w:r>
        <w:rPr>
          <w:noProof/>
        </w:rPr>
        <w:fldChar w:fldCharType="end"/>
      </w:r>
      <w:bookmarkEnd w:id="21"/>
      <w:r>
        <w:t>: Current PBS listings for PD-(L)1 inhibitors</w:t>
      </w:r>
    </w:p>
    <w:tbl>
      <w:tblPr>
        <w:tblStyle w:val="TableGrid"/>
        <w:tblW w:w="9150" w:type="dxa"/>
        <w:tblLook w:val="04A0" w:firstRow="1" w:lastRow="0" w:firstColumn="1" w:lastColumn="0" w:noHBand="0" w:noVBand="1"/>
        <w:tblCaption w:val="Table 12: Current PBS listings for PD-(L)1 inhibitors"/>
      </w:tblPr>
      <w:tblGrid>
        <w:gridCol w:w="2154"/>
        <w:gridCol w:w="1052"/>
        <w:gridCol w:w="979"/>
        <w:gridCol w:w="848"/>
        <w:gridCol w:w="901"/>
        <w:gridCol w:w="786"/>
        <w:gridCol w:w="778"/>
        <w:gridCol w:w="959"/>
        <w:gridCol w:w="693"/>
      </w:tblGrid>
      <w:tr w:rsidR="005F2C11" w14:paraId="51B1DCA6"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E3F7E9D" w14:textId="77777777" w:rsidR="005F2C11" w:rsidRDefault="005F2C11">
            <w:pPr>
              <w:pStyle w:val="In-tableHeading"/>
            </w:pPr>
          </w:p>
        </w:tc>
        <w:tc>
          <w:tcPr>
            <w:tcW w:w="10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E92899" w14:textId="77777777" w:rsidR="005F2C11" w:rsidRDefault="005F2C11">
            <w:pPr>
              <w:pStyle w:val="In-tableHeading"/>
              <w:rPr>
                <w:bCs/>
                <w:szCs w:val="20"/>
              </w:rPr>
            </w:pPr>
            <w:r>
              <w:rPr>
                <w:bCs/>
                <w:szCs w:val="20"/>
              </w:rPr>
              <w:t>NIVO±IPI</w:t>
            </w:r>
          </w:p>
        </w:tc>
        <w:tc>
          <w:tcPr>
            <w:tcW w:w="97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C74E13" w14:textId="77777777" w:rsidR="005F2C11" w:rsidRDefault="005F2C11">
            <w:pPr>
              <w:pStyle w:val="In-tableHeading"/>
              <w:rPr>
                <w:bCs/>
                <w:szCs w:val="20"/>
              </w:rPr>
            </w:pPr>
            <w:r>
              <w:rPr>
                <w:bCs/>
                <w:szCs w:val="20"/>
              </w:rPr>
              <w:t>PEMBRO</w:t>
            </w:r>
          </w:p>
        </w:tc>
        <w:tc>
          <w:tcPr>
            <w:tcW w:w="84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0AF63C" w14:textId="77777777" w:rsidR="005F2C11" w:rsidRDefault="005F2C11">
            <w:pPr>
              <w:pStyle w:val="In-tableHeading"/>
              <w:rPr>
                <w:bCs/>
                <w:szCs w:val="20"/>
              </w:rPr>
            </w:pPr>
            <w:r>
              <w:rPr>
                <w:bCs/>
                <w:szCs w:val="20"/>
              </w:rPr>
              <w:t>ATEZO</w:t>
            </w:r>
          </w:p>
        </w:tc>
        <w:tc>
          <w:tcPr>
            <w:tcW w:w="9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9532A4" w14:textId="77777777" w:rsidR="005F2C11" w:rsidRDefault="005F2C11">
            <w:pPr>
              <w:pStyle w:val="In-tableHeading"/>
              <w:rPr>
                <w:bCs/>
                <w:szCs w:val="20"/>
              </w:rPr>
            </w:pPr>
            <w:r>
              <w:rPr>
                <w:bCs/>
                <w:szCs w:val="20"/>
              </w:rPr>
              <w:t>DURVA</w:t>
            </w:r>
          </w:p>
        </w:tc>
        <w:tc>
          <w:tcPr>
            <w:tcW w:w="7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C48510" w14:textId="77777777" w:rsidR="005F2C11" w:rsidRDefault="005F2C11">
            <w:pPr>
              <w:pStyle w:val="In-tableHeading"/>
              <w:rPr>
                <w:bCs/>
                <w:szCs w:val="20"/>
              </w:rPr>
            </w:pPr>
            <w:r>
              <w:rPr>
                <w:bCs/>
                <w:szCs w:val="20"/>
              </w:rPr>
              <w:t>TISLE</w:t>
            </w:r>
          </w:p>
        </w:tc>
        <w:tc>
          <w:tcPr>
            <w:tcW w:w="77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31753B" w14:textId="77777777" w:rsidR="005F2C11" w:rsidRDefault="005F2C11">
            <w:pPr>
              <w:pStyle w:val="In-tableHeading"/>
              <w:rPr>
                <w:bCs/>
                <w:szCs w:val="20"/>
              </w:rPr>
            </w:pPr>
            <w:r>
              <w:rPr>
                <w:bCs/>
                <w:szCs w:val="20"/>
              </w:rPr>
              <w:t>CEMI</w:t>
            </w:r>
          </w:p>
        </w:tc>
        <w:tc>
          <w:tcPr>
            <w:tcW w:w="95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6B17AD" w14:textId="77777777" w:rsidR="005F2C11" w:rsidRDefault="005F2C11">
            <w:pPr>
              <w:pStyle w:val="In-tableHeading"/>
              <w:rPr>
                <w:bCs/>
                <w:szCs w:val="20"/>
              </w:rPr>
            </w:pPr>
            <w:r>
              <w:rPr>
                <w:bCs/>
                <w:szCs w:val="20"/>
              </w:rPr>
              <w:t>DOSTAR</w:t>
            </w:r>
          </w:p>
        </w:tc>
        <w:tc>
          <w:tcPr>
            <w:tcW w:w="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780704" w14:textId="77777777" w:rsidR="005F2C11" w:rsidRDefault="005F2C11">
            <w:pPr>
              <w:pStyle w:val="In-tableHeading"/>
              <w:rPr>
                <w:bCs/>
                <w:szCs w:val="20"/>
              </w:rPr>
            </w:pPr>
            <w:r>
              <w:rPr>
                <w:bCs/>
                <w:szCs w:val="20"/>
              </w:rPr>
              <w:t>AVE</w:t>
            </w:r>
          </w:p>
        </w:tc>
      </w:tr>
      <w:tr w:rsidR="005F2C11" w14:paraId="62E640C6"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2F6AAEFD" w14:textId="77777777" w:rsidR="005F2C11" w:rsidRDefault="005F2C11">
            <w:pPr>
              <w:pStyle w:val="TableText0"/>
            </w:pPr>
            <w:r>
              <w:t>1L RCC</w:t>
            </w:r>
          </w:p>
        </w:tc>
        <w:tc>
          <w:tcPr>
            <w:tcW w:w="1052" w:type="dxa"/>
            <w:tcBorders>
              <w:top w:val="single" w:sz="4" w:space="0" w:color="auto"/>
              <w:left w:val="single" w:sz="4" w:space="0" w:color="auto"/>
              <w:bottom w:val="single" w:sz="4" w:space="0" w:color="auto"/>
              <w:right w:val="single" w:sz="4" w:space="0" w:color="auto"/>
            </w:tcBorders>
            <w:hideMark/>
          </w:tcPr>
          <w:p w14:paraId="2AC7F2DB"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hideMark/>
          </w:tcPr>
          <w:p w14:paraId="53BC9852" w14:textId="77777777" w:rsidR="005F2C11" w:rsidRDefault="005F2C11">
            <w:pPr>
              <w:jc w:val="center"/>
              <w:rPr>
                <w:sz w:val="20"/>
                <w:szCs w:val="20"/>
              </w:rPr>
            </w:pPr>
            <w:r>
              <w:rPr>
                <w:rFonts w:ascii="Wingdings" w:eastAsia="Wingdings" w:hAnsi="Wingdings" w:cs="Wingdings"/>
                <w:sz w:val="20"/>
                <w:szCs w:val="20"/>
              </w:rPr>
              <w:t>ü</w:t>
            </w:r>
            <w:r>
              <w:rPr>
                <w:sz w:val="20"/>
                <w:szCs w:val="20"/>
                <w:vertAlign w:val="superscript"/>
              </w:rPr>
              <w:t xml:space="preserve"> 1</w:t>
            </w:r>
          </w:p>
        </w:tc>
        <w:tc>
          <w:tcPr>
            <w:tcW w:w="848" w:type="dxa"/>
            <w:tcBorders>
              <w:top w:val="single" w:sz="4" w:space="0" w:color="auto"/>
              <w:left w:val="single" w:sz="4" w:space="0" w:color="auto"/>
              <w:bottom w:val="single" w:sz="4" w:space="0" w:color="auto"/>
              <w:right w:val="single" w:sz="4" w:space="0" w:color="auto"/>
            </w:tcBorders>
            <w:vAlign w:val="center"/>
          </w:tcPr>
          <w:p w14:paraId="052C56B0"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10649B3"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39460E80"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4FA7205D"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59915DC9"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38C7C53B" w14:textId="77777777" w:rsidR="005F2C11" w:rsidRDefault="005F2C11">
            <w:pPr>
              <w:jc w:val="center"/>
              <w:rPr>
                <w:sz w:val="20"/>
                <w:szCs w:val="20"/>
              </w:rPr>
            </w:pPr>
          </w:p>
        </w:tc>
      </w:tr>
      <w:tr w:rsidR="005F2C11" w14:paraId="623DE4FD"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center"/>
            <w:hideMark/>
          </w:tcPr>
          <w:p w14:paraId="364FCBB0" w14:textId="77777777" w:rsidR="005F2C11" w:rsidRDefault="005F2C11">
            <w:pPr>
              <w:pStyle w:val="TableText0"/>
            </w:pPr>
            <w:r>
              <w:t>2L RCC</w:t>
            </w:r>
          </w:p>
        </w:tc>
        <w:tc>
          <w:tcPr>
            <w:tcW w:w="1052" w:type="dxa"/>
            <w:tcBorders>
              <w:top w:val="single" w:sz="4" w:space="0" w:color="auto"/>
              <w:left w:val="single" w:sz="4" w:space="0" w:color="auto"/>
              <w:bottom w:val="single" w:sz="4" w:space="0" w:color="auto"/>
              <w:right w:val="single" w:sz="4" w:space="0" w:color="auto"/>
            </w:tcBorders>
            <w:hideMark/>
          </w:tcPr>
          <w:p w14:paraId="2E45FE06"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4E2EF2E9"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14:paraId="7A29C077"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EC97DAF"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2E75E25"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0113746E"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62666246"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0CD4FEC1" w14:textId="77777777" w:rsidR="005F2C11" w:rsidRDefault="005F2C11">
            <w:pPr>
              <w:jc w:val="center"/>
              <w:rPr>
                <w:sz w:val="20"/>
                <w:szCs w:val="20"/>
              </w:rPr>
            </w:pPr>
          </w:p>
        </w:tc>
      </w:tr>
      <w:tr w:rsidR="005F2C11" w14:paraId="38266FCD"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center"/>
            <w:hideMark/>
          </w:tcPr>
          <w:p w14:paraId="7B86A48F" w14:textId="77777777" w:rsidR="005F2C11" w:rsidRDefault="005F2C11">
            <w:pPr>
              <w:pStyle w:val="TableText0"/>
            </w:pPr>
            <w:r>
              <w:t>Metastatic melanoma</w:t>
            </w:r>
          </w:p>
        </w:tc>
        <w:tc>
          <w:tcPr>
            <w:tcW w:w="1052" w:type="dxa"/>
            <w:tcBorders>
              <w:top w:val="single" w:sz="4" w:space="0" w:color="auto"/>
              <w:left w:val="single" w:sz="4" w:space="0" w:color="auto"/>
              <w:bottom w:val="single" w:sz="4" w:space="0" w:color="auto"/>
              <w:right w:val="single" w:sz="4" w:space="0" w:color="auto"/>
            </w:tcBorders>
            <w:hideMark/>
          </w:tcPr>
          <w:p w14:paraId="7763FC4E"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hideMark/>
          </w:tcPr>
          <w:p w14:paraId="51D32E00"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vAlign w:val="center"/>
          </w:tcPr>
          <w:p w14:paraId="2D98A4F8"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3FD984E"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42C8DCD9"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2ECD5BFB"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74E7C49"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3902B6AA" w14:textId="77777777" w:rsidR="005F2C11" w:rsidRDefault="005F2C11">
            <w:pPr>
              <w:jc w:val="center"/>
              <w:rPr>
                <w:sz w:val="20"/>
                <w:szCs w:val="20"/>
              </w:rPr>
            </w:pPr>
          </w:p>
        </w:tc>
      </w:tr>
      <w:tr w:rsidR="005F2C11" w14:paraId="4FAA086C"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359BCF5C" w14:textId="77777777" w:rsidR="005F2C11" w:rsidRDefault="005F2C11">
            <w:pPr>
              <w:pStyle w:val="TableText0"/>
            </w:pPr>
            <w:r>
              <w:t>1L NSCLC</w:t>
            </w:r>
          </w:p>
        </w:tc>
        <w:tc>
          <w:tcPr>
            <w:tcW w:w="1052" w:type="dxa"/>
            <w:tcBorders>
              <w:top w:val="single" w:sz="4" w:space="0" w:color="auto"/>
              <w:left w:val="single" w:sz="4" w:space="0" w:color="auto"/>
              <w:bottom w:val="single" w:sz="4" w:space="0" w:color="auto"/>
              <w:right w:val="single" w:sz="4" w:space="0" w:color="auto"/>
            </w:tcBorders>
            <w:hideMark/>
          </w:tcPr>
          <w:p w14:paraId="356EC5A1"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hideMark/>
          </w:tcPr>
          <w:p w14:paraId="75A076B8"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vAlign w:val="center"/>
            <w:hideMark/>
          </w:tcPr>
          <w:p w14:paraId="27F76AC1" w14:textId="77777777" w:rsidR="005F2C11" w:rsidRDefault="005F2C11">
            <w:pPr>
              <w:jc w:val="center"/>
              <w:rPr>
                <w:sz w:val="20"/>
                <w:szCs w:val="20"/>
              </w:rPr>
            </w:pPr>
            <w:r>
              <w:rPr>
                <w:rFonts w:ascii="Wingdings" w:eastAsia="Wingdings" w:hAnsi="Wingdings" w:cs="Wingdings"/>
                <w:sz w:val="20"/>
                <w:szCs w:val="20"/>
              </w:rPr>
              <w:t>ü</w:t>
            </w:r>
            <w:r>
              <w:rPr>
                <w:sz w:val="20"/>
                <w:szCs w:val="20"/>
                <w:vertAlign w:val="superscript"/>
              </w:rPr>
              <w:t>2</w:t>
            </w:r>
          </w:p>
        </w:tc>
        <w:tc>
          <w:tcPr>
            <w:tcW w:w="901" w:type="dxa"/>
            <w:tcBorders>
              <w:top w:val="single" w:sz="4" w:space="0" w:color="auto"/>
              <w:left w:val="single" w:sz="4" w:space="0" w:color="auto"/>
              <w:bottom w:val="single" w:sz="4" w:space="0" w:color="auto"/>
              <w:right w:val="single" w:sz="4" w:space="0" w:color="auto"/>
            </w:tcBorders>
            <w:vAlign w:val="center"/>
          </w:tcPr>
          <w:p w14:paraId="59C735F8"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4A6E4C5A"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hideMark/>
          </w:tcPr>
          <w:p w14:paraId="0473E9B2" w14:textId="77777777" w:rsidR="005F2C11" w:rsidRDefault="005F2C11">
            <w:pPr>
              <w:jc w:val="center"/>
              <w:rPr>
                <w:sz w:val="20"/>
                <w:szCs w:val="20"/>
              </w:rPr>
            </w:pPr>
            <w:r>
              <w:rPr>
                <w:rFonts w:ascii="Wingdings" w:eastAsia="Wingdings" w:hAnsi="Wingdings" w:cs="Wingdings"/>
                <w:sz w:val="20"/>
                <w:szCs w:val="20"/>
              </w:rPr>
              <w:t>ü</w:t>
            </w:r>
          </w:p>
        </w:tc>
        <w:tc>
          <w:tcPr>
            <w:tcW w:w="959" w:type="dxa"/>
            <w:tcBorders>
              <w:top w:val="single" w:sz="4" w:space="0" w:color="auto"/>
              <w:left w:val="single" w:sz="4" w:space="0" w:color="auto"/>
              <w:bottom w:val="single" w:sz="4" w:space="0" w:color="auto"/>
              <w:right w:val="single" w:sz="4" w:space="0" w:color="auto"/>
            </w:tcBorders>
            <w:vAlign w:val="center"/>
          </w:tcPr>
          <w:p w14:paraId="6DD912B3"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3BAF5058" w14:textId="77777777" w:rsidR="005F2C11" w:rsidRDefault="005F2C11">
            <w:pPr>
              <w:jc w:val="center"/>
              <w:rPr>
                <w:sz w:val="20"/>
                <w:szCs w:val="20"/>
              </w:rPr>
            </w:pPr>
          </w:p>
        </w:tc>
      </w:tr>
      <w:tr w:rsidR="005F2C11" w14:paraId="4546B450"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center"/>
            <w:hideMark/>
          </w:tcPr>
          <w:p w14:paraId="491209E0" w14:textId="77777777" w:rsidR="005F2C11" w:rsidRDefault="005F2C11">
            <w:pPr>
              <w:pStyle w:val="TableText0"/>
            </w:pPr>
            <w:r>
              <w:t>2L NSCLC</w:t>
            </w:r>
          </w:p>
        </w:tc>
        <w:tc>
          <w:tcPr>
            <w:tcW w:w="1052" w:type="dxa"/>
            <w:tcBorders>
              <w:top w:val="single" w:sz="4" w:space="0" w:color="auto"/>
              <w:left w:val="single" w:sz="4" w:space="0" w:color="auto"/>
              <w:bottom w:val="single" w:sz="4" w:space="0" w:color="auto"/>
              <w:right w:val="single" w:sz="4" w:space="0" w:color="auto"/>
            </w:tcBorders>
            <w:hideMark/>
          </w:tcPr>
          <w:p w14:paraId="5411ACC4"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451DC59A"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hideMark/>
          </w:tcPr>
          <w:p w14:paraId="22327C17" w14:textId="77777777" w:rsidR="005F2C11" w:rsidRDefault="005F2C11">
            <w:pPr>
              <w:jc w:val="center"/>
              <w:rPr>
                <w:sz w:val="20"/>
                <w:szCs w:val="20"/>
              </w:rPr>
            </w:pPr>
            <w:r>
              <w:rPr>
                <w:rFonts w:ascii="Wingdings" w:eastAsia="Wingdings" w:hAnsi="Wingdings" w:cs="Wingdings"/>
                <w:sz w:val="20"/>
                <w:szCs w:val="20"/>
              </w:rPr>
              <w:t>ü</w:t>
            </w:r>
          </w:p>
        </w:tc>
        <w:tc>
          <w:tcPr>
            <w:tcW w:w="901" w:type="dxa"/>
            <w:tcBorders>
              <w:top w:val="single" w:sz="4" w:space="0" w:color="auto"/>
              <w:left w:val="single" w:sz="4" w:space="0" w:color="auto"/>
              <w:bottom w:val="single" w:sz="4" w:space="0" w:color="auto"/>
              <w:right w:val="single" w:sz="4" w:space="0" w:color="auto"/>
            </w:tcBorders>
            <w:vAlign w:val="center"/>
          </w:tcPr>
          <w:p w14:paraId="05CF3B5A"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7A2499A0"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69267639"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03926684"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22738875" w14:textId="77777777" w:rsidR="005F2C11" w:rsidRDefault="005F2C11">
            <w:pPr>
              <w:jc w:val="center"/>
              <w:rPr>
                <w:sz w:val="20"/>
                <w:szCs w:val="20"/>
              </w:rPr>
            </w:pPr>
          </w:p>
        </w:tc>
      </w:tr>
      <w:tr w:rsidR="005F2C11" w14:paraId="00087900"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center"/>
            <w:hideMark/>
          </w:tcPr>
          <w:p w14:paraId="448049AA" w14:textId="77777777" w:rsidR="005F2C11" w:rsidRDefault="005F2C11">
            <w:pPr>
              <w:pStyle w:val="TableText0"/>
            </w:pPr>
            <w:r>
              <w:t>2L SCCHN</w:t>
            </w:r>
          </w:p>
        </w:tc>
        <w:tc>
          <w:tcPr>
            <w:tcW w:w="1052" w:type="dxa"/>
            <w:tcBorders>
              <w:top w:val="single" w:sz="4" w:space="0" w:color="auto"/>
              <w:left w:val="single" w:sz="4" w:space="0" w:color="auto"/>
              <w:bottom w:val="single" w:sz="4" w:space="0" w:color="auto"/>
              <w:right w:val="single" w:sz="4" w:space="0" w:color="auto"/>
            </w:tcBorders>
            <w:hideMark/>
          </w:tcPr>
          <w:p w14:paraId="0896C81E"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1B87D3B5"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14:paraId="44D1920F"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6DD11FB"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5A079D6D"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712F573B"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40325D35"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672E8DF2" w14:textId="77777777" w:rsidR="005F2C11" w:rsidRDefault="005F2C11">
            <w:pPr>
              <w:jc w:val="center"/>
              <w:rPr>
                <w:sz w:val="20"/>
                <w:szCs w:val="20"/>
              </w:rPr>
            </w:pPr>
          </w:p>
        </w:tc>
      </w:tr>
      <w:tr w:rsidR="005F2C11" w14:paraId="1BD4A6A1"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6016A0AE" w14:textId="77777777" w:rsidR="005F2C11" w:rsidRDefault="005F2C11">
            <w:pPr>
              <w:pStyle w:val="TableText0"/>
            </w:pPr>
            <w:r>
              <w:t>Mesothelioma</w:t>
            </w:r>
          </w:p>
        </w:tc>
        <w:tc>
          <w:tcPr>
            <w:tcW w:w="1052" w:type="dxa"/>
            <w:tcBorders>
              <w:top w:val="single" w:sz="4" w:space="0" w:color="auto"/>
              <w:left w:val="single" w:sz="4" w:space="0" w:color="auto"/>
              <w:bottom w:val="single" w:sz="4" w:space="0" w:color="auto"/>
              <w:right w:val="single" w:sz="4" w:space="0" w:color="auto"/>
            </w:tcBorders>
            <w:hideMark/>
          </w:tcPr>
          <w:p w14:paraId="5F1F2F71"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4A6BEFAC"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14:paraId="29D6695C"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194BA07"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61B15C95"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6C39A940"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7B1EF661"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6DDEEA6F" w14:textId="77777777" w:rsidR="005F2C11" w:rsidRDefault="005F2C11">
            <w:pPr>
              <w:jc w:val="center"/>
              <w:rPr>
                <w:sz w:val="20"/>
                <w:szCs w:val="20"/>
              </w:rPr>
            </w:pPr>
          </w:p>
        </w:tc>
      </w:tr>
      <w:tr w:rsidR="005F2C11" w14:paraId="2BEEDDBF"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center"/>
            <w:hideMark/>
          </w:tcPr>
          <w:p w14:paraId="48091D2B" w14:textId="77777777" w:rsidR="005F2C11" w:rsidRDefault="005F2C11">
            <w:pPr>
              <w:pStyle w:val="TableText0"/>
            </w:pPr>
            <w:r>
              <w:t>UGI</w:t>
            </w:r>
          </w:p>
        </w:tc>
        <w:tc>
          <w:tcPr>
            <w:tcW w:w="1052" w:type="dxa"/>
            <w:tcBorders>
              <w:top w:val="single" w:sz="4" w:space="0" w:color="auto"/>
              <w:left w:val="single" w:sz="4" w:space="0" w:color="auto"/>
              <w:bottom w:val="single" w:sz="4" w:space="0" w:color="auto"/>
              <w:right w:val="single" w:sz="4" w:space="0" w:color="auto"/>
            </w:tcBorders>
            <w:hideMark/>
          </w:tcPr>
          <w:p w14:paraId="20B0DAAE"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3BC219CE"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14:paraId="2064D073"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69D92BC"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hideMark/>
          </w:tcPr>
          <w:p w14:paraId="761310A8" w14:textId="77777777" w:rsidR="005F2C11" w:rsidRDefault="005F2C11">
            <w:pPr>
              <w:jc w:val="center"/>
              <w:rPr>
                <w:sz w:val="20"/>
                <w:szCs w:val="20"/>
              </w:rPr>
            </w:pPr>
            <w:r>
              <w:rPr>
                <w:rFonts w:ascii="Wingdings" w:eastAsia="Wingdings" w:hAnsi="Wingdings" w:cs="Wingdings"/>
                <w:sz w:val="20"/>
                <w:szCs w:val="20"/>
              </w:rPr>
              <w:t>ü</w:t>
            </w:r>
          </w:p>
        </w:tc>
        <w:tc>
          <w:tcPr>
            <w:tcW w:w="778" w:type="dxa"/>
            <w:tcBorders>
              <w:top w:val="single" w:sz="4" w:space="0" w:color="auto"/>
              <w:left w:val="single" w:sz="4" w:space="0" w:color="auto"/>
              <w:bottom w:val="single" w:sz="4" w:space="0" w:color="auto"/>
              <w:right w:val="single" w:sz="4" w:space="0" w:color="auto"/>
            </w:tcBorders>
            <w:vAlign w:val="center"/>
          </w:tcPr>
          <w:p w14:paraId="5472FF7B"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5ABFF4AA"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1119F594" w14:textId="77777777" w:rsidR="005F2C11" w:rsidRDefault="005F2C11">
            <w:pPr>
              <w:jc w:val="center"/>
              <w:rPr>
                <w:sz w:val="20"/>
                <w:szCs w:val="20"/>
              </w:rPr>
            </w:pPr>
          </w:p>
        </w:tc>
      </w:tr>
      <w:tr w:rsidR="005F2C11" w14:paraId="618C56CD"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05BDBDF5" w14:textId="77777777" w:rsidR="005F2C11" w:rsidRDefault="005F2C11">
            <w:pPr>
              <w:pStyle w:val="TableText0"/>
            </w:pPr>
            <w:r>
              <w:t xml:space="preserve">1L </w:t>
            </w:r>
            <w:proofErr w:type="spellStart"/>
            <w:r>
              <w:t>mUC</w:t>
            </w:r>
            <w:proofErr w:type="spellEnd"/>
          </w:p>
        </w:tc>
        <w:tc>
          <w:tcPr>
            <w:tcW w:w="1052" w:type="dxa"/>
            <w:tcBorders>
              <w:top w:val="single" w:sz="4" w:space="0" w:color="auto"/>
              <w:left w:val="single" w:sz="4" w:space="0" w:color="auto"/>
              <w:bottom w:val="single" w:sz="4" w:space="0" w:color="auto"/>
              <w:right w:val="single" w:sz="4" w:space="0" w:color="auto"/>
            </w:tcBorders>
            <w:hideMark/>
          </w:tcPr>
          <w:p w14:paraId="5B2D241D" w14:textId="77777777" w:rsidR="005F2C11" w:rsidRDefault="005F2C11">
            <w:pPr>
              <w:jc w:val="center"/>
              <w:rPr>
                <w:sz w:val="20"/>
                <w:szCs w:val="20"/>
              </w:rPr>
            </w:pPr>
            <w:r>
              <w:rPr>
                <w:rFonts w:ascii="Wingdings" w:eastAsia="Wingdings" w:hAnsi="Wingdings" w:cs="Wingdings"/>
                <w:sz w:val="20"/>
                <w:szCs w:val="20"/>
              </w:rPr>
              <w:t>ü</w:t>
            </w:r>
          </w:p>
        </w:tc>
        <w:tc>
          <w:tcPr>
            <w:tcW w:w="979" w:type="dxa"/>
            <w:tcBorders>
              <w:top w:val="single" w:sz="4" w:space="0" w:color="auto"/>
              <w:left w:val="single" w:sz="4" w:space="0" w:color="auto"/>
              <w:bottom w:val="single" w:sz="4" w:space="0" w:color="auto"/>
              <w:right w:val="single" w:sz="4" w:space="0" w:color="auto"/>
            </w:tcBorders>
            <w:vAlign w:val="center"/>
          </w:tcPr>
          <w:p w14:paraId="6DCF4AA5"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tcPr>
          <w:p w14:paraId="446F7B2D"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3D54218"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275556E8"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0FF3C100"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53FD1C1"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4C5E87CB" w14:textId="77777777" w:rsidR="005F2C11" w:rsidRDefault="005F2C11">
            <w:pPr>
              <w:jc w:val="center"/>
              <w:rPr>
                <w:sz w:val="20"/>
                <w:szCs w:val="20"/>
              </w:rPr>
            </w:pPr>
          </w:p>
        </w:tc>
      </w:tr>
      <w:tr w:rsidR="005F2C11" w14:paraId="5A1C6215"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5FEAF16E" w14:textId="77777777" w:rsidR="005F2C11" w:rsidRDefault="005F2C11">
            <w:pPr>
              <w:pStyle w:val="TableText0"/>
            </w:pPr>
            <w:r>
              <w:t>1L CRC dMMR</w:t>
            </w:r>
          </w:p>
        </w:tc>
        <w:tc>
          <w:tcPr>
            <w:tcW w:w="1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33CE592"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623FFF5C"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vAlign w:val="center"/>
          </w:tcPr>
          <w:p w14:paraId="4C3446C9"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C8C691C"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1A913B8"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4E662454"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3F8C83FB"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0CB014D8" w14:textId="77777777" w:rsidR="005F2C11" w:rsidRDefault="005F2C11">
            <w:pPr>
              <w:jc w:val="center"/>
              <w:rPr>
                <w:sz w:val="20"/>
                <w:szCs w:val="20"/>
              </w:rPr>
            </w:pPr>
          </w:p>
        </w:tc>
      </w:tr>
      <w:tr w:rsidR="005F2C11" w14:paraId="471CDF55"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0DEBA1A3" w14:textId="77777777" w:rsidR="005F2C11" w:rsidRDefault="005F2C11">
            <w:pPr>
              <w:pStyle w:val="TableText0"/>
            </w:pPr>
            <w:r>
              <w:t>1L HCC</w:t>
            </w:r>
          </w:p>
        </w:tc>
        <w:tc>
          <w:tcPr>
            <w:tcW w:w="1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A4B42C"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tcPr>
          <w:p w14:paraId="00A0BA2E"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vAlign w:val="center"/>
            <w:hideMark/>
          </w:tcPr>
          <w:p w14:paraId="3113210C" w14:textId="77777777" w:rsidR="005F2C11" w:rsidRDefault="005F2C11">
            <w:pPr>
              <w:jc w:val="center"/>
              <w:rPr>
                <w:sz w:val="20"/>
                <w:szCs w:val="20"/>
              </w:rPr>
            </w:pPr>
            <w:r>
              <w:rPr>
                <w:rFonts w:ascii="Wingdings" w:eastAsia="Wingdings" w:hAnsi="Wingdings" w:cs="Wingdings"/>
                <w:sz w:val="20"/>
                <w:szCs w:val="20"/>
              </w:rPr>
              <w:t>ü</w:t>
            </w:r>
            <w:r>
              <w:rPr>
                <w:sz w:val="20"/>
                <w:szCs w:val="20"/>
                <w:vertAlign w:val="superscript"/>
              </w:rPr>
              <w:t>2</w:t>
            </w:r>
          </w:p>
        </w:tc>
        <w:tc>
          <w:tcPr>
            <w:tcW w:w="901" w:type="dxa"/>
            <w:tcBorders>
              <w:top w:val="single" w:sz="4" w:space="0" w:color="auto"/>
              <w:left w:val="single" w:sz="4" w:space="0" w:color="auto"/>
              <w:bottom w:val="single" w:sz="4" w:space="0" w:color="auto"/>
              <w:right w:val="single" w:sz="4" w:space="0" w:color="auto"/>
            </w:tcBorders>
            <w:vAlign w:val="center"/>
          </w:tcPr>
          <w:p w14:paraId="45E794E3"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6047B166"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396D91FD"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3B865B05"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2C5EACEE" w14:textId="77777777" w:rsidR="005F2C11" w:rsidRDefault="005F2C11">
            <w:pPr>
              <w:jc w:val="center"/>
              <w:rPr>
                <w:sz w:val="20"/>
                <w:szCs w:val="20"/>
              </w:rPr>
            </w:pPr>
          </w:p>
        </w:tc>
      </w:tr>
      <w:tr w:rsidR="005F2C11" w14:paraId="674886B7"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39B0948C" w14:textId="77777777" w:rsidR="005F2C11" w:rsidRDefault="005F2C11">
            <w:pPr>
              <w:pStyle w:val="TableText0"/>
            </w:pPr>
            <w:r>
              <w:t xml:space="preserve">3L </w:t>
            </w:r>
            <w:proofErr w:type="spellStart"/>
            <w:r>
              <w:t>cHL</w:t>
            </w:r>
            <w:proofErr w:type="spellEnd"/>
          </w:p>
        </w:tc>
        <w:tc>
          <w:tcPr>
            <w:tcW w:w="1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63FA270"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12478BE4"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vAlign w:val="center"/>
          </w:tcPr>
          <w:p w14:paraId="5DCE5E34"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100C975"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263D5BCE"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1AF7C08F"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2DA2F5CF"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5FBCC117" w14:textId="77777777" w:rsidR="005F2C11" w:rsidRDefault="005F2C11">
            <w:pPr>
              <w:jc w:val="center"/>
              <w:rPr>
                <w:sz w:val="20"/>
                <w:szCs w:val="20"/>
              </w:rPr>
            </w:pPr>
          </w:p>
        </w:tc>
      </w:tr>
      <w:tr w:rsidR="005F2C11" w14:paraId="7DE7E2C3"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vAlign w:val="bottom"/>
            <w:hideMark/>
          </w:tcPr>
          <w:p w14:paraId="646501E1" w14:textId="77777777" w:rsidR="005F2C11" w:rsidRDefault="005F2C11">
            <w:pPr>
              <w:pStyle w:val="TableText0"/>
            </w:pPr>
            <w:r>
              <w:t>2L urothelial</w:t>
            </w:r>
          </w:p>
        </w:tc>
        <w:tc>
          <w:tcPr>
            <w:tcW w:w="10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06080E"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0C6FC978"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vAlign w:val="center"/>
          </w:tcPr>
          <w:p w14:paraId="3790C5E7"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805096E"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447AAFD"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vAlign w:val="center"/>
          </w:tcPr>
          <w:p w14:paraId="4C776036"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AB2C937"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vAlign w:val="center"/>
          </w:tcPr>
          <w:p w14:paraId="57DE1567" w14:textId="77777777" w:rsidR="005F2C11" w:rsidRDefault="005F2C11">
            <w:pPr>
              <w:jc w:val="center"/>
              <w:rPr>
                <w:sz w:val="20"/>
                <w:szCs w:val="20"/>
              </w:rPr>
            </w:pPr>
          </w:p>
        </w:tc>
      </w:tr>
      <w:tr w:rsidR="005F2C11" w14:paraId="4D465D17"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3F34495" w14:textId="77777777" w:rsidR="005F2C11" w:rsidRDefault="005F2C11">
            <w:pPr>
              <w:pStyle w:val="TableText0"/>
            </w:pPr>
            <w:r>
              <w:t xml:space="preserve">Maintenance </w:t>
            </w:r>
            <w:proofErr w:type="spellStart"/>
            <w:r>
              <w:t>mUC</w:t>
            </w:r>
            <w:proofErr w:type="spellEnd"/>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69AD7C7"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D54CA5A"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8E3CF77"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69AC9DD"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B3F27FC"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0EDBC66"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B616455"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252CB19" w14:textId="77777777" w:rsidR="005F2C11" w:rsidRDefault="005F2C11">
            <w:pPr>
              <w:jc w:val="center"/>
              <w:rPr>
                <w:sz w:val="20"/>
                <w:szCs w:val="20"/>
              </w:rPr>
            </w:pPr>
            <w:r>
              <w:rPr>
                <w:rFonts w:ascii="Wingdings" w:eastAsia="Wingdings" w:hAnsi="Wingdings" w:cs="Wingdings"/>
                <w:sz w:val="20"/>
                <w:szCs w:val="20"/>
              </w:rPr>
              <w:t>ü</w:t>
            </w:r>
          </w:p>
        </w:tc>
      </w:tr>
      <w:tr w:rsidR="005F2C11" w14:paraId="4CE95C0F"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F6E217C" w14:textId="77777777" w:rsidR="005F2C11" w:rsidRDefault="005F2C11">
            <w:pPr>
              <w:pStyle w:val="TableText0"/>
            </w:pPr>
            <w:r>
              <w:t>1L SCCHN</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F075BA0"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852F134"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0FC16D4"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204B309"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95528F3"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310D375"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78D1FE6"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C0D7FB7" w14:textId="77777777" w:rsidR="005F2C11" w:rsidRDefault="005F2C11">
            <w:pPr>
              <w:jc w:val="center"/>
              <w:rPr>
                <w:sz w:val="20"/>
                <w:szCs w:val="20"/>
              </w:rPr>
            </w:pPr>
          </w:p>
        </w:tc>
      </w:tr>
      <w:tr w:rsidR="005F2C11" w14:paraId="7E9C89AF"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F7D775A" w14:textId="77777777" w:rsidR="005F2C11" w:rsidRDefault="005F2C11">
            <w:pPr>
              <w:pStyle w:val="TableText0"/>
            </w:pPr>
            <w:r>
              <w:t>TNBC</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B58919B"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FD6E651"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24E6068"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3D54B59"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8B87FCE"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90BDFF3"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79B2625"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613547A" w14:textId="77777777" w:rsidR="005F2C11" w:rsidRDefault="005F2C11">
            <w:pPr>
              <w:jc w:val="center"/>
              <w:rPr>
                <w:sz w:val="20"/>
                <w:szCs w:val="20"/>
              </w:rPr>
            </w:pPr>
          </w:p>
        </w:tc>
      </w:tr>
      <w:tr w:rsidR="005F2C11" w14:paraId="6A9F8A39"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65AF5B6" w14:textId="77777777" w:rsidR="005F2C11" w:rsidRDefault="005F2C11">
            <w:pPr>
              <w:pStyle w:val="TableText0"/>
            </w:pPr>
            <w:r>
              <w:t>Cervical</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A9119C3"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B963518"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C7F98E2"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618F4AA"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66EDA14"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5B0ED35"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F88F015"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36F29B3" w14:textId="77777777" w:rsidR="005F2C11" w:rsidRDefault="005F2C11">
            <w:pPr>
              <w:jc w:val="center"/>
              <w:rPr>
                <w:sz w:val="20"/>
                <w:szCs w:val="20"/>
              </w:rPr>
            </w:pPr>
          </w:p>
        </w:tc>
      </w:tr>
      <w:tr w:rsidR="005F2C11" w14:paraId="42387236"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5869084" w14:textId="77777777" w:rsidR="005F2C11" w:rsidRDefault="005F2C11">
            <w:pPr>
              <w:pStyle w:val="TableText0"/>
            </w:pPr>
            <w:r>
              <w:t>Endometrial</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662C955"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6D29040" w14:textId="77777777" w:rsidR="005F2C11" w:rsidRDefault="005F2C11">
            <w:pPr>
              <w:jc w:val="center"/>
              <w:rPr>
                <w:sz w:val="20"/>
                <w:szCs w:val="20"/>
              </w:rPr>
            </w:pPr>
            <w:r>
              <w:rPr>
                <w:rFonts w:ascii="Wingdings" w:eastAsia="Wingdings" w:hAnsi="Wingdings" w:cs="Wingdings"/>
                <w:sz w:val="20"/>
                <w:szCs w:val="20"/>
              </w:rPr>
              <w:t>ü</w:t>
            </w:r>
            <w:r>
              <w:rPr>
                <w:sz w:val="20"/>
                <w:szCs w:val="20"/>
                <w:vertAlign w:val="superscript"/>
              </w:rPr>
              <w:t>1</w:t>
            </w: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6F4E74E"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C5A5F12" w14:textId="77777777" w:rsidR="005F2C11" w:rsidRDefault="005F2C11">
            <w:pPr>
              <w:jc w:val="center"/>
              <w:rPr>
                <w:sz w:val="20"/>
                <w:szCs w:val="20"/>
              </w:rPr>
            </w:pPr>
            <w:r>
              <w:rPr>
                <w:rFonts w:ascii="Wingdings" w:eastAsia="Wingdings" w:hAnsi="Wingdings" w:cs="Wingdings"/>
                <w:sz w:val="20"/>
                <w:szCs w:val="20"/>
              </w:rPr>
              <w:t>ü</w:t>
            </w: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1FE172B"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BCBC088"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2A6218A" w14:textId="77777777" w:rsidR="005F2C11" w:rsidRDefault="005F2C11">
            <w:pPr>
              <w:jc w:val="center"/>
              <w:rPr>
                <w:sz w:val="20"/>
                <w:szCs w:val="20"/>
              </w:rPr>
            </w:pPr>
            <w:r>
              <w:rPr>
                <w:rFonts w:ascii="Wingdings" w:eastAsia="Wingdings" w:hAnsi="Wingdings" w:cs="Wingdings"/>
                <w:sz w:val="20"/>
                <w:szCs w:val="20"/>
              </w:rPr>
              <w:t>ü</w:t>
            </w: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A614FA0" w14:textId="77777777" w:rsidR="005F2C11" w:rsidRDefault="005F2C11">
            <w:pPr>
              <w:jc w:val="center"/>
              <w:rPr>
                <w:sz w:val="20"/>
                <w:szCs w:val="20"/>
              </w:rPr>
            </w:pPr>
          </w:p>
        </w:tc>
      </w:tr>
      <w:tr w:rsidR="005F2C11" w14:paraId="779E0264"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A825E3B" w14:textId="77777777" w:rsidR="005F2C11" w:rsidRDefault="005F2C11">
            <w:pPr>
              <w:pStyle w:val="TableText0"/>
            </w:pPr>
            <w:r>
              <w:t>Biliary tract</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665C464"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92C0AB1"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9A30463"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DEC2CDF" w14:textId="77777777" w:rsidR="005F2C11" w:rsidRDefault="005F2C11">
            <w:pPr>
              <w:jc w:val="center"/>
              <w:rPr>
                <w:sz w:val="20"/>
                <w:szCs w:val="20"/>
              </w:rPr>
            </w:pPr>
            <w:r>
              <w:rPr>
                <w:rFonts w:ascii="Wingdings" w:eastAsia="Wingdings" w:hAnsi="Wingdings" w:cs="Wingdings"/>
                <w:sz w:val="20"/>
                <w:szCs w:val="20"/>
              </w:rPr>
              <w:t>ü</w:t>
            </w: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88237DC"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6A5CC63"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19EC729"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34B3788" w14:textId="77777777" w:rsidR="005F2C11" w:rsidRDefault="005F2C11">
            <w:pPr>
              <w:jc w:val="center"/>
              <w:rPr>
                <w:sz w:val="20"/>
                <w:szCs w:val="20"/>
              </w:rPr>
            </w:pPr>
          </w:p>
        </w:tc>
      </w:tr>
      <w:tr w:rsidR="005F2C11" w14:paraId="3099C896"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3CEBA0F" w14:textId="77777777" w:rsidR="005F2C11" w:rsidRDefault="005F2C11">
            <w:pPr>
              <w:pStyle w:val="TableText0"/>
            </w:pPr>
            <w:r>
              <w:t>Merkel cell</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CC48214"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9BF0EB0"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A32C1D"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BE01486"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E80372B"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7D12D95"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ECE9979"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6E2A9D3" w14:textId="77777777" w:rsidR="005F2C11" w:rsidRDefault="005F2C11">
            <w:pPr>
              <w:jc w:val="center"/>
              <w:rPr>
                <w:sz w:val="20"/>
                <w:szCs w:val="20"/>
              </w:rPr>
            </w:pPr>
            <w:r>
              <w:rPr>
                <w:rFonts w:ascii="Wingdings" w:eastAsia="Wingdings" w:hAnsi="Wingdings" w:cs="Wingdings"/>
                <w:sz w:val="20"/>
                <w:szCs w:val="20"/>
              </w:rPr>
              <w:t>ü</w:t>
            </w:r>
          </w:p>
        </w:tc>
      </w:tr>
      <w:tr w:rsidR="005F2C11" w14:paraId="3B761CF3"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6B10088" w14:textId="77777777" w:rsidR="005F2C11" w:rsidRDefault="005F2C11">
            <w:pPr>
              <w:pStyle w:val="TableText0"/>
            </w:pPr>
            <w:r>
              <w:t>Cutaneous SCC</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F6E1350"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CE7967D"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B851C9E"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CA79FC1"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5A89E75"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0D3C558" w14:textId="77777777" w:rsidR="005F2C11" w:rsidRDefault="005F2C11">
            <w:pPr>
              <w:jc w:val="center"/>
              <w:rPr>
                <w:sz w:val="20"/>
                <w:szCs w:val="20"/>
              </w:rPr>
            </w:pPr>
            <w:r>
              <w:rPr>
                <w:rFonts w:ascii="Wingdings" w:eastAsia="Wingdings" w:hAnsi="Wingdings" w:cs="Wingdings"/>
                <w:sz w:val="20"/>
                <w:szCs w:val="20"/>
              </w:rPr>
              <w:t>ü</w:t>
            </w: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746AED1"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DAD467E" w14:textId="77777777" w:rsidR="005F2C11" w:rsidRDefault="005F2C11">
            <w:pPr>
              <w:jc w:val="center"/>
              <w:rPr>
                <w:sz w:val="20"/>
                <w:szCs w:val="20"/>
              </w:rPr>
            </w:pPr>
          </w:p>
        </w:tc>
      </w:tr>
      <w:tr w:rsidR="005F2C11" w14:paraId="67330B3B"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D417390" w14:textId="77777777" w:rsidR="005F2C11" w:rsidRDefault="005F2C11">
            <w:pPr>
              <w:pStyle w:val="TableText0"/>
            </w:pPr>
            <w:r>
              <w:t>Stage III NSCLC</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2FB3AA0"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B04C166"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07C4584"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A839C2B" w14:textId="77777777" w:rsidR="005F2C11" w:rsidRDefault="005F2C11">
            <w:pPr>
              <w:jc w:val="center"/>
              <w:rPr>
                <w:sz w:val="20"/>
                <w:szCs w:val="20"/>
              </w:rPr>
            </w:pPr>
            <w:r>
              <w:rPr>
                <w:rFonts w:ascii="Wingdings" w:eastAsia="Wingdings" w:hAnsi="Wingdings" w:cs="Wingdings"/>
                <w:sz w:val="20"/>
                <w:szCs w:val="20"/>
              </w:rPr>
              <w:t>ü</w:t>
            </w: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60ACE79"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79FE248"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BB8B467"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7EDC1DD" w14:textId="77777777" w:rsidR="005F2C11" w:rsidRDefault="005F2C11">
            <w:pPr>
              <w:jc w:val="center"/>
              <w:rPr>
                <w:sz w:val="20"/>
                <w:szCs w:val="20"/>
              </w:rPr>
            </w:pPr>
          </w:p>
        </w:tc>
      </w:tr>
      <w:tr w:rsidR="005F2C11" w14:paraId="2A90B30F"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C42CF5F" w14:textId="77777777" w:rsidR="005F2C11" w:rsidRDefault="005F2C11">
            <w:pPr>
              <w:pStyle w:val="TableText0"/>
            </w:pPr>
            <w:r>
              <w:t>SCLC</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A1A296F"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8B44A75" w14:textId="77777777" w:rsidR="005F2C11" w:rsidRDefault="005F2C11">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799611E" w14:textId="77777777" w:rsidR="005F2C11" w:rsidRDefault="005F2C11">
            <w:pPr>
              <w:jc w:val="center"/>
              <w:rPr>
                <w:sz w:val="20"/>
                <w:szCs w:val="20"/>
              </w:rPr>
            </w:pPr>
            <w:r>
              <w:rPr>
                <w:rFonts w:ascii="Wingdings" w:eastAsia="Wingdings" w:hAnsi="Wingdings" w:cs="Wingdings"/>
                <w:sz w:val="20"/>
                <w:szCs w:val="20"/>
              </w:rPr>
              <w:t>ü</w:t>
            </w: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22F840F" w14:textId="77777777" w:rsidR="005F2C11" w:rsidRDefault="005F2C11">
            <w:pPr>
              <w:jc w:val="center"/>
              <w:rPr>
                <w:sz w:val="20"/>
                <w:szCs w:val="20"/>
              </w:rPr>
            </w:pPr>
            <w:r>
              <w:rPr>
                <w:rFonts w:ascii="Wingdings" w:eastAsia="Wingdings" w:hAnsi="Wingdings" w:cs="Wingdings"/>
                <w:sz w:val="20"/>
                <w:szCs w:val="20"/>
              </w:rPr>
              <w:t>ü</w:t>
            </w: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3E9E3DA"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ED70911"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A83E071"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0460DEA" w14:textId="77777777" w:rsidR="005F2C11" w:rsidRDefault="005F2C11">
            <w:pPr>
              <w:jc w:val="center"/>
              <w:rPr>
                <w:sz w:val="20"/>
                <w:szCs w:val="20"/>
              </w:rPr>
            </w:pPr>
          </w:p>
        </w:tc>
      </w:tr>
      <w:tr w:rsidR="005F2C11" w14:paraId="5C349D30" w14:textId="77777777" w:rsidTr="005F2C11">
        <w:trPr>
          <w:trHeight w:val="170"/>
        </w:trPr>
        <w:tc>
          <w:tcPr>
            <w:tcW w:w="215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C321341" w14:textId="77777777" w:rsidR="005F2C11" w:rsidRDefault="005F2C11">
            <w:pPr>
              <w:pStyle w:val="TableText0"/>
            </w:pPr>
            <w:r>
              <w:t>PMBCL</w:t>
            </w:r>
          </w:p>
        </w:tc>
        <w:tc>
          <w:tcPr>
            <w:tcW w:w="10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8195F0E" w14:textId="77777777" w:rsidR="005F2C11" w:rsidRDefault="005F2C11">
            <w:pPr>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0609001" w14:textId="77777777" w:rsidR="005F2C11" w:rsidRDefault="005F2C11">
            <w:pPr>
              <w:jc w:val="center"/>
              <w:rPr>
                <w:sz w:val="20"/>
                <w:szCs w:val="20"/>
              </w:rPr>
            </w:pPr>
            <w:r>
              <w:rPr>
                <w:rFonts w:ascii="Wingdings" w:eastAsia="Wingdings" w:hAnsi="Wingdings" w:cs="Wingdings"/>
                <w:sz w:val="20"/>
                <w:szCs w:val="20"/>
              </w:rPr>
              <w:t>ü</w:t>
            </w:r>
          </w:p>
        </w:tc>
        <w:tc>
          <w:tcPr>
            <w:tcW w:w="84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38129D8" w14:textId="77777777" w:rsidR="005F2C11" w:rsidRDefault="005F2C11">
            <w:pPr>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D2EEEC7" w14:textId="77777777" w:rsidR="005F2C11" w:rsidRDefault="005F2C11">
            <w:pPr>
              <w:jc w:val="center"/>
              <w:rPr>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C8B300C" w14:textId="77777777" w:rsidR="005F2C11" w:rsidRDefault="005F2C11">
            <w:pPr>
              <w:jc w:val="center"/>
              <w:rPr>
                <w:sz w:val="20"/>
                <w:szCs w:val="20"/>
              </w:rPr>
            </w:pPr>
          </w:p>
        </w:tc>
        <w:tc>
          <w:tcPr>
            <w:tcW w:w="77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2BF3405" w14:textId="77777777" w:rsidR="005F2C11" w:rsidRDefault="005F2C11">
            <w:pPr>
              <w:jc w:val="center"/>
              <w:rPr>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C3B80CD" w14:textId="77777777" w:rsidR="005F2C11" w:rsidRDefault="005F2C11">
            <w:pPr>
              <w:jc w:val="center"/>
              <w:rPr>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1C92246" w14:textId="77777777" w:rsidR="005F2C11" w:rsidRDefault="005F2C11">
            <w:pPr>
              <w:jc w:val="center"/>
              <w:rPr>
                <w:sz w:val="20"/>
                <w:szCs w:val="20"/>
              </w:rPr>
            </w:pPr>
          </w:p>
        </w:tc>
      </w:tr>
    </w:tbl>
    <w:p w14:paraId="697F1865" w14:textId="77777777" w:rsidR="005F2C11" w:rsidRDefault="005F2C11" w:rsidP="005F2C11">
      <w:pPr>
        <w:rPr>
          <w:rFonts w:ascii="Arial Narrow" w:hAnsi="Arial Narrow"/>
          <w:sz w:val="18"/>
          <w:szCs w:val="18"/>
        </w:rPr>
      </w:pPr>
      <w:r>
        <w:rPr>
          <w:rFonts w:ascii="Arial Narrow" w:hAnsi="Arial Narrow"/>
          <w:sz w:val="18"/>
          <w:szCs w:val="18"/>
        </w:rPr>
        <w:t>Source: Table 3, p10 of the proposal main body</w:t>
      </w:r>
    </w:p>
    <w:p w14:paraId="4BD7D25A" w14:textId="77777777" w:rsidR="005F2C11" w:rsidRDefault="005F2C11" w:rsidP="005F2C11">
      <w:pPr>
        <w:rPr>
          <w:rFonts w:ascii="Arial Narrow" w:hAnsi="Arial Narrow"/>
          <w:sz w:val="18"/>
          <w:szCs w:val="18"/>
        </w:rPr>
      </w:pPr>
      <w:r>
        <w:rPr>
          <w:rFonts w:ascii="Arial Narrow" w:hAnsi="Arial Narrow"/>
          <w:sz w:val="18"/>
          <w:szCs w:val="18"/>
          <w:vertAlign w:val="superscript"/>
        </w:rPr>
        <w:t xml:space="preserve">1 </w:t>
      </w:r>
      <w:r>
        <w:rPr>
          <w:rFonts w:ascii="Arial Narrow" w:hAnsi="Arial Narrow"/>
          <w:sz w:val="18"/>
          <w:szCs w:val="18"/>
        </w:rPr>
        <w:t>Treatment in combination with lenvatinib.</w:t>
      </w:r>
    </w:p>
    <w:p w14:paraId="31ADA39C" w14:textId="77777777" w:rsidR="005F2C11" w:rsidRDefault="005F2C11" w:rsidP="005F2C11">
      <w:pPr>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Treatment in combination with bevacizumab.</w:t>
      </w:r>
    </w:p>
    <w:p w14:paraId="6D6A5423" w14:textId="77777777" w:rsidR="005F2C11" w:rsidRDefault="005F2C11" w:rsidP="005F2C11">
      <w:pPr>
        <w:rPr>
          <w:rFonts w:ascii="Arial Narrow" w:hAnsi="Arial Narrow"/>
          <w:sz w:val="18"/>
          <w:szCs w:val="18"/>
        </w:rPr>
      </w:pPr>
      <w:r>
        <w:rPr>
          <w:rFonts w:ascii="Arial Narrow" w:hAnsi="Arial Narrow"/>
          <w:sz w:val="18"/>
          <w:szCs w:val="18"/>
        </w:rPr>
        <w:t xml:space="preserve">ATEZO = atezolizumab; AVE = avelumab; CEMI = cemiplimab; </w:t>
      </w:r>
      <w:proofErr w:type="spellStart"/>
      <w:r>
        <w:rPr>
          <w:rFonts w:ascii="Arial Narrow" w:eastAsia="Calibri" w:hAnsi="Arial Narrow" w:cs="Arial"/>
          <w:sz w:val="18"/>
          <w:szCs w:val="18"/>
        </w:rPr>
        <w:t>cHL</w:t>
      </w:r>
      <w:proofErr w:type="spellEnd"/>
      <w:r>
        <w:rPr>
          <w:rFonts w:ascii="Arial Narrow" w:eastAsia="Calibri" w:hAnsi="Arial Narrow" w:cs="Arial"/>
          <w:sz w:val="18"/>
          <w:szCs w:val="18"/>
        </w:rPr>
        <w:t xml:space="preserve"> = classical Hodgkin’s lymphoma; CRC = colorectal cancer; dMMR = </w:t>
      </w:r>
      <w:r>
        <w:rPr>
          <w:rFonts w:ascii="Arial Narrow" w:eastAsia="Trebuchet MS" w:hAnsi="Arial Narrow" w:cs="Trebuchet MS"/>
          <w:sz w:val="18"/>
          <w:szCs w:val="18"/>
        </w:rPr>
        <w:t xml:space="preserve">mismatch repair–deficient; </w:t>
      </w:r>
      <w:r>
        <w:rPr>
          <w:rFonts w:ascii="Arial Narrow" w:eastAsia="Calibri" w:hAnsi="Arial Narrow" w:cs="Arial"/>
          <w:sz w:val="18"/>
          <w:szCs w:val="18"/>
        </w:rPr>
        <w:t xml:space="preserve">DOSTAR = dostarlimab; </w:t>
      </w:r>
      <w:r>
        <w:rPr>
          <w:rFonts w:ascii="Arial Narrow" w:hAnsi="Arial Narrow"/>
          <w:sz w:val="18"/>
          <w:szCs w:val="18"/>
        </w:rPr>
        <w:t xml:space="preserve">DURVA = durvalumab; </w:t>
      </w:r>
      <w:r>
        <w:rPr>
          <w:rFonts w:ascii="Arial Narrow" w:eastAsia="Calibri" w:hAnsi="Arial Narrow" w:cs="Arial"/>
          <w:sz w:val="18"/>
          <w:szCs w:val="18"/>
        </w:rPr>
        <w:t xml:space="preserve">HCC = hepatocellular carcinoma; IPI = ipilimumab; </w:t>
      </w:r>
      <w:proofErr w:type="spellStart"/>
      <w:r>
        <w:rPr>
          <w:rFonts w:ascii="Arial Narrow" w:eastAsia="Calibri" w:hAnsi="Arial Narrow" w:cs="Arial"/>
          <w:sz w:val="18"/>
          <w:szCs w:val="18"/>
        </w:rPr>
        <w:t>mUC</w:t>
      </w:r>
      <w:proofErr w:type="spellEnd"/>
      <w:r>
        <w:rPr>
          <w:rFonts w:ascii="Arial Narrow" w:eastAsia="Calibri" w:hAnsi="Arial Narrow" w:cs="Arial"/>
          <w:sz w:val="18"/>
          <w:szCs w:val="18"/>
        </w:rPr>
        <w:t xml:space="preserve"> = metastatic urothelial carcinoma; NIVO = nivolumab; NSCLC = non-small cell lung cancer; PEMBRO = pembrolizumab; PMBCL = primary mediastinal B-cell lymphoma; RCC = renal cell carcinoma; SCC = squamous cell carcinoma; SCCHN = squamous cell carcinoma of the head and neck; SCLC = small cell lung cancer; TISLE = tislelizumab; TNBC = triple negative breast cancer; UGI = upper gastro-intestinal; 1L = first line; 2L = second line; 3L = third line.</w:t>
      </w:r>
    </w:p>
    <w:p w14:paraId="232AB2F6" w14:textId="77777777" w:rsidR="005F2C11" w:rsidRDefault="005F2C11" w:rsidP="005F2C11">
      <w:pPr>
        <w:rPr>
          <w:rFonts w:ascii="Arial Narrow" w:hAnsi="Arial Narrow"/>
          <w:sz w:val="18"/>
          <w:szCs w:val="18"/>
        </w:rPr>
      </w:pPr>
      <w:r>
        <w:rPr>
          <w:rFonts w:ascii="Arial Narrow" w:hAnsi="Arial Narrow"/>
          <w:sz w:val="18"/>
          <w:szCs w:val="18"/>
        </w:rPr>
        <w:t>Notes: Only advanced/metastatic indications included. Some regimens may be used in combination with chemotherapy. As of August 2025.</w:t>
      </w:r>
    </w:p>
    <w:p w14:paraId="38203EBD" w14:textId="77777777" w:rsidR="005F2C11" w:rsidRDefault="005F2C11" w:rsidP="005F2C11">
      <w:pPr>
        <w:pStyle w:val="2-SectionHeading"/>
        <w:numPr>
          <w:ilvl w:val="0"/>
          <w:numId w:val="59"/>
        </w:numPr>
        <w:snapToGrid w:val="0"/>
      </w:pPr>
      <w:r>
        <w:t>Revised Pricing and RSA structure</w:t>
      </w:r>
    </w:p>
    <w:p w14:paraId="4813BB6A" w14:textId="77777777" w:rsidR="005F2C11" w:rsidRDefault="005F2C11" w:rsidP="005F2C11">
      <w:pPr>
        <w:pStyle w:val="4-SubsectionHeading"/>
      </w:pPr>
      <w:r>
        <w:t>Weighted Price</w:t>
      </w:r>
    </w:p>
    <w:p w14:paraId="3809BAC8" w14:textId="77777777" w:rsidR="005F2C11" w:rsidRDefault="005F2C11" w:rsidP="005F2C11">
      <w:pPr>
        <w:pStyle w:val="3-BodyText"/>
        <w:numPr>
          <w:ilvl w:val="1"/>
          <w:numId w:val="59"/>
        </w:numPr>
        <w:spacing w:before="120" w:after="120"/>
      </w:pPr>
      <w:r>
        <w:t>The proposal used the same approach to generating a weighted price for its existing PBS listed indications with minor updates since the July submission.</w:t>
      </w:r>
    </w:p>
    <w:p w14:paraId="684F6C5C" w14:textId="77777777" w:rsidR="005F2C11" w:rsidRDefault="005F2C11" w:rsidP="005F2C11">
      <w:pPr>
        <w:pStyle w:val="3-BodyText"/>
        <w:numPr>
          <w:ilvl w:val="1"/>
          <w:numId w:val="59"/>
        </w:numPr>
        <w:spacing w:before="120" w:after="120"/>
      </w:pPr>
      <w:r>
        <w:t xml:space="preserve">In the revised financial model, the proposal updated the weighted price calculations using the most recent data available (PBS Benefits, </w:t>
      </w:r>
      <w:r>
        <w:rPr>
          <w:bCs/>
        </w:rPr>
        <w:t>July 2024</w:t>
      </w:r>
      <w:r>
        <w:t xml:space="preserve"> to </w:t>
      </w:r>
      <w:r>
        <w:rPr>
          <w:bCs/>
        </w:rPr>
        <w:t>June 2025)</w:t>
      </w:r>
      <w:r>
        <w:t>.</w:t>
      </w:r>
    </w:p>
    <w:p w14:paraId="49FD003B" w14:textId="77777777" w:rsidR="005F2C11" w:rsidRDefault="005F2C11" w:rsidP="005F2C11">
      <w:pPr>
        <w:pStyle w:val="3-BodyText"/>
        <w:numPr>
          <w:ilvl w:val="1"/>
          <w:numId w:val="59"/>
        </w:numPr>
        <w:spacing w:before="120" w:after="120"/>
      </w:pPr>
      <w:r>
        <w:t xml:space="preserve">The sponsor noted the indication of nivolumab (in combination with chemotherapy) for metastatic urothelial carcinoma was listed on the PBS on 1 August 2025. As there </w:t>
      </w:r>
      <w:r>
        <w:lastRenderedPageBreak/>
        <w:t xml:space="preserve">was not utilisation data available at the time of resubmission, this indication was retained in the utilisation above SC1 and not incorporated into the weighted price. </w:t>
      </w:r>
    </w:p>
    <w:p w14:paraId="09FEA61D" w14:textId="424E0C42" w:rsidR="005F2C11" w:rsidRDefault="005F2C11" w:rsidP="005F2C11">
      <w:pPr>
        <w:pStyle w:val="3-BodyText"/>
        <w:numPr>
          <w:ilvl w:val="1"/>
          <w:numId w:val="59"/>
        </w:numPr>
        <w:spacing w:before="120" w:after="120"/>
      </w:pPr>
      <w:r>
        <w:t>The updated weighted prices calculated in the resubmission were nivolumab 100 mg price per vial of $</w:t>
      </w:r>
      <w:r w:rsidR="00C546A7" w:rsidRPr="00C546A7">
        <w:rPr>
          <w:color w:val="000000"/>
          <w:w w:val="61"/>
          <w:shd w:val="solid" w:color="000000" w:fill="000000"/>
          <w:fitText w:val="472" w:id="-628400633"/>
          <w14:textFill>
            <w14:solidFill>
              <w14:srgbClr w14:val="000000">
                <w14:alpha w14:val="100000"/>
              </w14:srgbClr>
            </w14:solidFill>
          </w14:textFill>
        </w:rPr>
        <w:t>|||  ||</w:t>
      </w:r>
      <w:r w:rsidR="00C546A7" w:rsidRPr="00C546A7">
        <w:rPr>
          <w:color w:val="000000"/>
          <w:spacing w:val="2"/>
          <w:w w:val="61"/>
          <w:shd w:val="solid" w:color="000000" w:fill="000000"/>
          <w:fitText w:val="472" w:id="-628400633"/>
          <w14:textFill>
            <w14:solidFill>
              <w14:srgbClr w14:val="000000">
                <w14:alpha w14:val="100000"/>
              </w14:srgbClr>
            </w14:solidFill>
          </w14:textFill>
        </w:rPr>
        <w:t>|</w:t>
      </w:r>
      <w:r>
        <w:t xml:space="preserve"> and ipilimumab 50 mg price per vial of $</w:t>
      </w:r>
      <w:r w:rsidR="00C546A7" w:rsidRPr="00C546A7">
        <w:rPr>
          <w:color w:val="000000"/>
          <w:w w:val="61"/>
          <w:shd w:val="solid" w:color="000000" w:fill="000000"/>
          <w:fitText w:val="472" w:id="-628400632"/>
          <w14:textFill>
            <w14:solidFill>
              <w14:srgbClr w14:val="000000">
                <w14:alpha w14:val="100000"/>
              </w14:srgbClr>
            </w14:solidFill>
          </w14:textFill>
        </w:rPr>
        <w:t>|||  ||</w:t>
      </w:r>
      <w:r w:rsidR="00C546A7" w:rsidRPr="00C546A7">
        <w:rPr>
          <w:color w:val="000000"/>
          <w:spacing w:val="2"/>
          <w:w w:val="61"/>
          <w:shd w:val="solid" w:color="000000" w:fill="000000"/>
          <w:fitText w:val="472" w:id="-628400632"/>
          <w14:textFill>
            <w14:solidFill>
              <w14:srgbClr w14:val="000000">
                <w14:alpha w14:val="100000"/>
              </w14:srgbClr>
            </w14:solidFill>
          </w14:textFill>
        </w:rPr>
        <w:t>|</w:t>
      </w:r>
      <w:r>
        <w:t xml:space="preserve">. </w:t>
      </w:r>
    </w:p>
    <w:p w14:paraId="09374F60" w14:textId="77777777" w:rsidR="005F2C11" w:rsidRDefault="005F2C11" w:rsidP="005F2C11">
      <w:pPr>
        <w:pStyle w:val="4-SubsectionHeading"/>
      </w:pPr>
      <w:r>
        <w:t>Revised Risk Sharing Arrangement</w:t>
      </w:r>
    </w:p>
    <w:p w14:paraId="29ECC921" w14:textId="2474D075" w:rsidR="005F2C11" w:rsidRDefault="005F2C11" w:rsidP="005F2C11">
      <w:pPr>
        <w:pStyle w:val="3-BodyText"/>
        <w:numPr>
          <w:ilvl w:val="1"/>
          <w:numId w:val="59"/>
        </w:numPr>
        <w:spacing w:before="120" w:after="120"/>
      </w:pPr>
      <w:r>
        <w:t xml:space="preserve">The proposal used the same approach to estimating utilisation for existing advanced and metastatic PBS-listed indications </w:t>
      </w:r>
      <w:r w:rsidR="00C546A7" w:rsidRPr="00C546A7">
        <w:rPr>
          <w:color w:val="000000"/>
          <w:w w:val="61"/>
          <w:shd w:val="solid" w:color="000000" w:fill="000000"/>
          <w:fitText w:val="472" w:id="-628400631"/>
          <w14:textFill>
            <w14:solidFill>
              <w14:srgbClr w14:val="000000">
                <w14:alpha w14:val="100000"/>
              </w14:srgbClr>
            </w14:solidFill>
          </w14:textFill>
        </w:rPr>
        <w:t>|||  ||</w:t>
      </w:r>
      <w:r w:rsidR="00C546A7" w:rsidRPr="00C546A7">
        <w:rPr>
          <w:color w:val="000000"/>
          <w:spacing w:val="2"/>
          <w:w w:val="61"/>
          <w:shd w:val="solid" w:color="000000" w:fill="000000"/>
          <w:fitText w:val="472" w:id="-628400631"/>
          <w14:textFill>
            <w14:solidFill>
              <w14:srgbClr w14:val="000000">
                <w14:alpha w14:val="100000"/>
              </w14:srgbClr>
            </w14:solidFill>
          </w14:textFill>
        </w:rPr>
        <w:t>|</w:t>
      </w:r>
      <w:r>
        <w:t>.</w:t>
      </w:r>
    </w:p>
    <w:p w14:paraId="7BECB3C0" w14:textId="1C22CD99" w:rsidR="005F2C11" w:rsidRDefault="005F2C11" w:rsidP="005F2C11">
      <w:pPr>
        <w:pStyle w:val="3-BodyText"/>
        <w:numPr>
          <w:ilvl w:val="1"/>
          <w:numId w:val="59"/>
        </w:numPr>
        <w:spacing w:before="120" w:after="120"/>
      </w:pPr>
      <w:r>
        <w:t xml:space="preserve">The proposal applied the PBAC’s recommended rebate of </w:t>
      </w:r>
      <w:r w:rsidRPr="003541B0">
        <w:t>40</w:t>
      </w:r>
      <w:r>
        <w:t xml:space="preserve">% from the weighted price for utilisation above </w:t>
      </w:r>
      <w:r w:rsidR="00C546A7" w:rsidRPr="00C546A7">
        <w:rPr>
          <w:color w:val="000000"/>
          <w:w w:val="61"/>
          <w:shd w:val="solid" w:color="000000" w:fill="000000"/>
          <w:fitText w:val="472" w:id="-628400630"/>
          <w14:textFill>
            <w14:solidFill>
              <w14:srgbClr w14:val="000000">
                <w14:alpha w14:val="100000"/>
              </w14:srgbClr>
            </w14:solidFill>
          </w14:textFill>
        </w:rPr>
        <w:t>|||  ||</w:t>
      </w:r>
      <w:r w:rsidR="00C546A7" w:rsidRPr="00C546A7">
        <w:rPr>
          <w:color w:val="000000"/>
          <w:spacing w:val="2"/>
          <w:w w:val="61"/>
          <w:shd w:val="solid" w:color="000000" w:fill="000000"/>
          <w:fitText w:val="472" w:id="-628400630"/>
          <w14:textFill>
            <w14:solidFill>
              <w14:srgbClr w14:val="000000">
                <w14:alpha w14:val="100000"/>
              </w14:srgbClr>
            </w14:solidFill>
          </w14:textFill>
        </w:rPr>
        <w:t>|</w:t>
      </w:r>
      <w:r>
        <w:t>.</w:t>
      </w:r>
    </w:p>
    <w:p w14:paraId="42B8D8DE" w14:textId="77777777" w:rsidR="005F2C11" w:rsidRDefault="005F2C11" w:rsidP="005F2C11">
      <w:pPr>
        <w:pStyle w:val="3-BodyText"/>
        <w:numPr>
          <w:ilvl w:val="1"/>
          <w:numId w:val="59"/>
        </w:numPr>
        <w:spacing w:before="120" w:after="120"/>
      </w:pPr>
      <w:r>
        <w:t xml:space="preserve">The sponsor did not accept the PBAC’s proposed </w:t>
      </w:r>
      <w:r w:rsidRPr="007A19AB">
        <w:t>100</w:t>
      </w:r>
      <w:r>
        <w:t>% rebate for utilisation above the total forecast utilisation estimates.</w:t>
      </w:r>
    </w:p>
    <w:p w14:paraId="486489E6" w14:textId="0219BA36" w:rsidR="005F2C11" w:rsidRDefault="005F2C11" w:rsidP="005F2C11">
      <w:pPr>
        <w:pStyle w:val="3-BodyText"/>
        <w:numPr>
          <w:ilvl w:val="1"/>
          <w:numId w:val="59"/>
        </w:numPr>
        <w:spacing w:before="120" w:after="120"/>
      </w:pPr>
      <w:r>
        <w:t xml:space="preserve">Instead, the sponsor proposed setting </w:t>
      </w:r>
      <w:r w:rsidR="00C546A7" w:rsidRPr="00C546A7">
        <w:rPr>
          <w:color w:val="000000"/>
          <w:w w:val="61"/>
          <w:shd w:val="solid" w:color="000000" w:fill="000000"/>
          <w:fitText w:val="472" w:id="-628400629"/>
          <w14:textFill>
            <w14:solidFill>
              <w14:srgbClr w14:val="000000">
                <w14:alpha w14:val="100000"/>
              </w14:srgbClr>
            </w14:solidFill>
          </w14:textFill>
        </w:rPr>
        <w:t>|||  ||</w:t>
      </w:r>
      <w:r w:rsidR="00C546A7" w:rsidRPr="00C546A7">
        <w:rPr>
          <w:color w:val="000000"/>
          <w:spacing w:val="2"/>
          <w:w w:val="61"/>
          <w:shd w:val="solid" w:color="000000" w:fill="000000"/>
          <w:fitText w:val="472" w:id="-628400629"/>
          <w14:textFill>
            <w14:solidFill>
              <w14:srgbClr w14:val="000000">
                <w14:alpha w14:val="100000"/>
              </w14:srgbClr>
            </w14:solidFill>
          </w14:textFill>
        </w:rPr>
        <w:t>|</w:t>
      </w:r>
      <w:r>
        <w:t xml:space="preserve"> </w:t>
      </w:r>
    </w:p>
    <w:p w14:paraId="540B20CF" w14:textId="53551D54" w:rsidR="005F2C11" w:rsidRDefault="005F2C11" w:rsidP="005F2C11">
      <w:pPr>
        <w:pStyle w:val="3-BodyText"/>
        <w:numPr>
          <w:ilvl w:val="1"/>
          <w:numId w:val="59"/>
        </w:numPr>
        <w:spacing w:before="120" w:after="120"/>
      </w:pPr>
      <w:r>
        <w:t xml:space="preserve">The sponsor acknowledged the PBAC’s request for a higher level of rebate beyond the forecast utilisation and that the PBAC had considered a </w:t>
      </w:r>
      <w:r w:rsidRPr="007A19AB">
        <w:t>100</w:t>
      </w:r>
      <w:r>
        <w:t xml:space="preserve">% rebate appropriate. However, the sponsor proposed that setting </w:t>
      </w:r>
      <w:r w:rsidR="00C546A7" w:rsidRPr="00C546A7">
        <w:rPr>
          <w:color w:val="000000"/>
          <w:w w:val="61"/>
          <w:shd w:val="solid" w:color="000000" w:fill="000000"/>
          <w:fitText w:val="472" w:id="-628400628"/>
          <w14:textFill>
            <w14:solidFill>
              <w14:srgbClr w14:val="000000">
                <w14:alpha w14:val="100000"/>
              </w14:srgbClr>
            </w14:solidFill>
          </w14:textFill>
        </w:rPr>
        <w:t>|||  ||</w:t>
      </w:r>
      <w:r w:rsidR="00C546A7" w:rsidRPr="00C546A7">
        <w:rPr>
          <w:color w:val="000000"/>
          <w:spacing w:val="2"/>
          <w:w w:val="61"/>
          <w:shd w:val="solid" w:color="000000" w:fill="000000"/>
          <w:fitText w:val="472" w:id="-628400628"/>
          <w14:textFill>
            <w14:solidFill>
              <w14:srgbClr w14:val="000000">
                <w14:alpha w14:val="100000"/>
              </w14:srgbClr>
            </w14:solidFill>
          </w14:textFill>
        </w:rPr>
        <w:t>|</w:t>
      </w:r>
      <w:r>
        <w:t xml:space="preserve"> would more equitably shared the financial risk and support viability of the listing.</w:t>
      </w:r>
    </w:p>
    <w:p w14:paraId="49F68063" w14:textId="1F698F48" w:rsidR="005F2C11" w:rsidRDefault="005F2C11" w:rsidP="005F2C11">
      <w:pPr>
        <w:pStyle w:val="3-BodyText"/>
        <w:numPr>
          <w:ilvl w:val="1"/>
          <w:numId w:val="59"/>
        </w:numPr>
        <w:spacing w:before="120" w:after="120"/>
      </w:pPr>
      <w:r>
        <w:t xml:space="preserve">The sponsor argued that, as it had identified </w:t>
      </w:r>
      <w:proofErr w:type="gramStart"/>
      <w:r>
        <w:t>a number of</w:t>
      </w:r>
      <w:proofErr w:type="gramEnd"/>
      <w:r>
        <w:t xml:space="preserve"> potential instances of under-estimation </w:t>
      </w:r>
      <w:r w:rsidR="00C546A7" w:rsidRPr="00C546A7">
        <w:rPr>
          <w:color w:val="000000"/>
          <w:w w:val="61"/>
          <w:shd w:val="solid" w:color="000000" w:fill="000000"/>
          <w:fitText w:val="472" w:id="-628400627"/>
          <w14:textFill>
            <w14:solidFill>
              <w14:srgbClr w14:val="000000">
                <w14:alpha w14:val="100000"/>
              </w14:srgbClr>
            </w14:solidFill>
          </w14:textFill>
        </w:rPr>
        <w:t>|||  ||</w:t>
      </w:r>
      <w:r w:rsidR="00C546A7" w:rsidRPr="00C546A7">
        <w:rPr>
          <w:color w:val="000000"/>
          <w:spacing w:val="2"/>
          <w:w w:val="61"/>
          <w:shd w:val="solid" w:color="000000" w:fill="000000"/>
          <w:fitText w:val="472" w:id="-628400627"/>
          <w14:textFill>
            <w14:solidFill>
              <w14:srgbClr w14:val="000000">
                <w14:alpha w14:val="100000"/>
              </w14:srgbClr>
            </w14:solidFill>
          </w14:textFill>
        </w:rPr>
        <w:t>|</w:t>
      </w:r>
      <w:r>
        <w:t xml:space="preserve"> the financial risk would remain appropriately contained by the RSA with a rebate lower than a </w:t>
      </w:r>
      <w:r w:rsidRPr="0082451F">
        <w:t>100</w:t>
      </w:r>
      <w:r>
        <w:t>% rebate for utilisation above SC2.</w:t>
      </w:r>
    </w:p>
    <w:p w14:paraId="10A831FB" w14:textId="3361BE4B" w:rsidR="005F2C11" w:rsidRDefault="005F2C11" w:rsidP="005F2C11">
      <w:pPr>
        <w:pStyle w:val="3-BodyText"/>
        <w:numPr>
          <w:ilvl w:val="1"/>
          <w:numId w:val="59"/>
        </w:numPr>
        <w:spacing w:before="120" w:after="120"/>
      </w:pPr>
      <w:r>
        <w:t xml:space="preserve">The sponsor also considered it would retain </w:t>
      </w:r>
      <w:r w:rsidR="00C546A7" w:rsidRPr="00C546A7">
        <w:rPr>
          <w:color w:val="000000"/>
          <w:w w:val="61"/>
          <w:shd w:val="solid" w:color="000000" w:fill="000000"/>
          <w:fitText w:val="472" w:id="-628400626"/>
          <w14:textFill>
            <w14:solidFill>
              <w14:srgbClr w14:val="000000">
                <w14:alpha w14:val="100000"/>
              </w14:srgbClr>
            </w14:solidFill>
          </w14:textFill>
        </w:rPr>
        <w:t>|||  ||</w:t>
      </w:r>
      <w:r w:rsidR="00C546A7" w:rsidRPr="00C546A7">
        <w:rPr>
          <w:color w:val="000000"/>
          <w:spacing w:val="2"/>
          <w:w w:val="61"/>
          <w:shd w:val="solid" w:color="000000" w:fill="000000"/>
          <w:fitText w:val="472" w:id="-628400626"/>
          <w14:textFill>
            <w14:solidFill>
              <w14:srgbClr w14:val="000000">
                <w14:alpha w14:val="100000"/>
              </w14:srgbClr>
            </w14:solidFill>
          </w14:textFill>
        </w:rPr>
        <w:t>|</w:t>
      </w:r>
    </w:p>
    <w:p w14:paraId="1F921FC2" w14:textId="77777777" w:rsidR="005F2C11" w:rsidRDefault="005F2C11" w:rsidP="005F2C11">
      <w:pPr>
        <w:pStyle w:val="3-BodyText"/>
        <w:numPr>
          <w:ilvl w:val="1"/>
          <w:numId w:val="59"/>
        </w:numPr>
        <w:spacing w:before="120" w:after="120"/>
      </w:pPr>
      <w:r>
        <w:t xml:space="preserve">A comparison of the effective pricing offers from the July 2025 proposal and this revised proposal are provided in </w:t>
      </w:r>
      <w:r>
        <w:fldChar w:fldCharType="begin" w:fldLock="1"/>
      </w:r>
      <w:r>
        <w:instrText xml:space="preserve"> REF _Ref207349509 \h </w:instrText>
      </w:r>
      <w:r>
        <w:fldChar w:fldCharType="separate"/>
      </w:r>
      <w:r>
        <w:t xml:space="preserve">Table </w:t>
      </w:r>
      <w:r>
        <w:rPr>
          <w:noProof/>
        </w:rPr>
        <w:t>13</w:t>
      </w:r>
      <w:r>
        <w:fldChar w:fldCharType="end"/>
      </w:r>
      <w:r>
        <w:t>.</w:t>
      </w:r>
    </w:p>
    <w:p w14:paraId="43D92A72" w14:textId="77777777" w:rsidR="005F2C11" w:rsidRDefault="005F2C11" w:rsidP="005F2C11">
      <w:pPr>
        <w:pStyle w:val="Caption"/>
        <w:keepNext/>
      </w:pPr>
      <w:bookmarkStart w:id="22" w:name="_Ref207349509"/>
      <w:r>
        <w:t xml:space="preserve">Table </w:t>
      </w:r>
      <w:r>
        <w:fldChar w:fldCharType="begin" w:fldLock="1"/>
      </w:r>
      <w:r>
        <w:instrText xml:space="preserve"> SEQ Table \* ARABIC </w:instrText>
      </w:r>
      <w:r>
        <w:fldChar w:fldCharType="separate"/>
      </w:r>
      <w:r>
        <w:rPr>
          <w:noProof/>
        </w:rPr>
        <w:t>13</w:t>
      </w:r>
      <w:r>
        <w:rPr>
          <w:noProof/>
        </w:rPr>
        <w:fldChar w:fldCharType="end"/>
      </w:r>
      <w:bookmarkEnd w:id="22"/>
      <w:r>
        <w:t>: Comparison of (effective) AEMP for July 2025 and September 202</w:t>
      </w:r>
      <w:r>
        <w:rPr>
          <w:noProof/>
        </w:rPr>
        <w:t>5 proposals</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Comparison of (effective) AEMP for July 2025 and September 2025 proposals"/>
      </w:tblPr>
      <w:tblGrid>
        <w:gridCol w:w="1055"/>
        <w:gridCol w:w="854"/>
        <w:gridCol w:w="690"/>
        <w:gridCol w:w="1175"/>
        <w:gridCol w:w="1011"/>
        <w:gridCol w:w="1179"/>
        <w:gridCol w:w="782"/>
        <w:gridCol w:w="763"/>
        <w:gridCol w:w="1082"/>
        <w:gridCol w:w="889"/>
      </w:tblGrid>
      <w:tr w:rsidR="005F2C11" w14:paraId="4BC51301" w14:textId="77777777" w:rsidTr="005F2C11">
        <w:trPr>
          <w:trHeight w:val="118"/>
        </w:trPr>
        <w:tc>
          <w:tcPr>
            <w:tcW w:w="4755" w:type="dxa"/>
            <w:gridSpan w:val="5"/>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7D3E3080" w14:textId="77777777" w:rsidR="005F2C11" w:rsidRDefault="005F2C11">
            <w:pPr>
              <w:pStyle w:val="In-tableHeading"/>
              <w:jc w:val="center"/>
            </w:pPr>
            <w:r>
              <w:t>July 2025 Proposal</w:t>
            </w:r>
          </w:p>
        </w:tc>
        <w:tc>
          <w:tcPr>
            <w:tcW w:w="4725" w:type="dxa"/>
            <w:gridSpan w:val="5"/>
            <w:tcBorders>
              <w:top w:val="single" w:sz="4" w:space="0" w:color="auto"/>
              <w:left w:val="single" w:sz="4" w:space="0" w:color="auto"/>
              <w:bottom w:val="single" w:sz="4" w:space="0" w:color="auto"/>
              <w:right w:val="single" w:sz="4" w:space="0" w:color="auto"/>
            </w:tcBorders>
            <w:shd w:val="clear" w:color="auto" w:fill="B4C6E7"/>
            <w:vAlign w:val="center"/>
            <w:hideMark/>
          </w:tcPr>
          <w:p w14:paraId="55D79D94" w14:textId="77777777" w:rsidR="005F2C11" w:rsidRDefault="005F2C11">
            <w:pPr>
              <w:pStyle w:val="In-tableHeading"/>
              <w:jc w:val="center"/>
            </w:pPr>
            <w:r>
              <w:t>September 2025 Revised Proposal</w:t>
            </w:r>
          </w:p>
        </w:tc>
      </w:tr>
      <w:tr w:rsidR="005F2C11" w14:paraId="1E855B0F" w14:textId="77777777" w:rsidTr="005F2C11">
        <w:trPr>
          <w:trHeight w:val="118"/>
        </w:trPr>
        <w:tc>
          <w:tcPr>
            <w:tcW w:w="1021"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276D7D7" w14:textId="77777777" w:rsidR="005F2C11" w:rsidRDefault="005F2C11">
            <w:pPr>
              <w:pStyle w:val="In-tableHeading"/>
              <w:jc w:val="center"/>
            </w:pPr>
            <w:r>
              <w:t>Nivolumab (Opdivo)</w:t>
            </w:r>
          </w:p>
        </w:tc>
        <w:tc>
          <w:tcPr>
            <w:tcW w:w="854"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4434214" w14:textId="77777777" w:rsidR="005F2C11" w:rsidRDefault="005F2C11">
            <w:pPr>
              <w:pStyle w:val="In-tableHeading"/>
              <w:jc w:val="center"/>
            </w:pPr>
            <w:r>
              <w:t>Price per 100 mg vial</w:t>
            </w:r>
          </w:p>
        </w:tc>
        <w:tc>
          <w:tcPr>
            <w:tcW w:w="69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34AAD1E" w14:textId="77777777" w:rsidR="005F2C11" w:rsidRDefault="005F2C11">
            <w:pPr>
              <w:pStyle w:val="In-tableHeading"/>
              <w:jc w:val="center"/>
            </w:pPr>
            <w:r>
              <w:t>Price q4w</w:t>
            </w:r>
          </w:p>
        </w:tc>
        <w:tc>
          <w:tcPr>
            <w:tcW w:w="1175"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02E0260D" w14:textId="77777777" w:rsidR="005F2C11" w:rsidRDefault="005F2C11">
            <w:pPr>
              <w:pStyle w:val="In-tableHeading"/>
              <w:jc w:val="center"/>
            </w:pPr>
            <w:r>
              <w:t>Ipilimumab (Yervoy)</w:t>
            </w:r>
          </w:p>
        </w:tc>
        <w:tc>
          <w:tcPr>
            <w:tcW w:w="1009" w:type="dxa"/>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6C208581" w14:textId="77777777" w:rsidR="005F2C11" w:rsidRDefault="005F2C11">
            <w:pPr>
              <w:pStyle w:val="In-tableHeading"/>
              <w:jc w:val="center"/>
            </w:pPr>
            <w:r>
              <w:t>Price per 50 mg vial</w:t>
            </w:r>
          </w:p>
        </w:tc>
        <w:tc>
          <w:tcPr>
            <w:tcW w:w="119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6AE9C54" w14:textId="77777777" w:rsidR="005F2C11" w:rsidRDefault="005F2C11">
            <w:pPr>
              <w:pStyle w:val="In-tableHeading"/>
              <w:jc w:val="center"/>
            </w:pPr>
            <w:r>
              <w:t>Nivolumab (Opdivo)</w:t>
            </w:r>
          </w:p>
        </w:tc>
        <w:tc>
          <w:tcPr>
            <w:tcW w:w="78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3B013A9" w14:textId="77777777" w:rsidR="005F2C11" w:rsidRDefault="005F2C11">
            <w:pPr>
              <w:pStyle w:val="In-tableHeading"/>
              <w:jc w:val="center"/>
            </w:pPr>
            <w:r>
              <w:t>Price per 100 mg vial</w:t>
            </w:r>
          </w:p>
        </w:tc>
        <w:tc>
          <w:tcPr>
            <w:tcW w:w="78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4EF2FBB" w14:textId="77777777" w:rsidR="005F2C11" w:rsidRDefault="005F2C11">
            <w:pPr>
              <w:pStyle w:val="In-tableHeading"/>
              <w:jc w:val="center"/>
            </w:pPr>
            <w:r>
              <w:t>Price q4w</w:t>
            </w:r>
          </w:p>
        </w:tc>
        <w:tc>
          <w:tcPr>
            <w:tcW w:w="104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7070402" w14:textId="77777777" w:rsidR="005F2C11" w:rsidRDefault="005F2C11">
            <w:pPr>
              <w:pStyle w:val="In-tableHeading"/>
              <w:jc w:val="center"/>
            </w:pPr>
            <w:r>
              <w:t>Ipilimumab (Yervoy)</w:t>
            </w:r>
          </w:p>
        </w:tc>
        <w:tc>
          <w:tcPr>
            <w:tcW w:w="91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33189EF" w14:textId="77777777" w:rsidR="005F2C11" w:rsidRDefault="005F2C11">
            <w:pPr>
              <w:pStyle w:val="In-tableHeading"/>
              <w:jc w:val="center"/>
            </w:pPr>
            <w:r>
              <w:t>Price per 50 mg vial</w:t>
            </w:r>
          </w:p>
        </w:tc>
      </w:tr>
      <w:tr w:rsidR="005F2C11" w14:paraId="7B46A36A" w14:textId="77777777" w:rsidTr="005F2C11">
        <w:trPr>
          <w:trHeight w:val="118"/>
        </w:trPr>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0321FE" w14:textId="77777777" w:rsidR="005F2C11" w:rsidRDefault="005F2C11">
            <w:pPr>
              <w:pStyle w:val="In-tableHeading"/>
            </w:pPr>
            <w:r>
              <w:t>Weighted Price</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3C126B" w14:textId="43B31CDC" w:rsidR="005F2C11" w:rsidRDefault="005F2C11">
            <w:pPr>
              <w:pStyle w:val="TableText0"/>
              <w:rPr>
                <w:rFonts w:cs="Calibri"/>
                <w:color w:val="000000"/>
                <w:sz w:val="22"/>
                <w:szCs w:val="22"/>
              </w:rPr>
            </w:pPr>
            <w:r>
              <w:t>$</w:t>
            </w:r>
            <w:r w:rsidR="00C546A7" w:rsidRPr="00C546A7">
              <w:rPr>
                <w:color w:val="000000"/>
                <w:spacing w:val="51"/>
                <w:shd w:val="solid" w:color="000000" w:fill="000000"/>
                <w:fitText w:val="324" w:id="-628400625"/>
                <w14:textFill>
                  <w14:solidFill>
                    <w14:srgbClr w14:val="000000">
                      <w14:alpha w14:val="100000"/>
                    </w14:srgbClr>
                  </w14:solidFill>
                </w14:textFill>
              </w:rPr>
              <w:t>|||</w:t>
            </w:r>
            <w:r w:rsidR="00C546A7" w:rsidRPr="00C546A7">
              <w:rPr>
                <w:color w:val="000000"/>
                <w:spacing w:val="1"/>
                <w:shd w:val="solid" w:color="000000" w:fill="000000"/>
                <w:fitText w:val="324" w:id="-628400625"/>
                <w14:textFill>
                  <w14:solidFill>
                    <w14:srgbClr w14:val="000000">
                      <w14:alpha w14:val="100000"/>
                    </w14:srgbClr>
                  </w14:solidFill>
                </w14:textFill>
              </w:rPr>
              <w:t>|</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B8A89" w14:textId="4E5CE7DF" w:rsidR="005F2C11" w:rsidRDefault="005F2C11">
            <w:pPr>
              <w:pStyle w:val="TableText0"/>
              <w:rPr>
                <w:rFonts w:cs="Calibri"/>
                <w:color w:val="000000"/>
                <w:sz w:val="22"/>
                <w:szCs w:val="22"/>
              </w:rPr>
            </w:pPr>
            <w:r>
              <w:t>$</w:t>
            </w:r>
            <w:r w:rsidR="00C546A7" w:rsidRPr="00C546A7">
              <w:rPr>
                <w:color w:val="000000"/>
                <w:spacing w:val="51"/>
                <w:shd w:val="solid" w:color="000000" w:fill="000000"/>
                <w:fitText w:val="324" w:id="-628400624"/>
                <w14:textFill>
                  <w14:solidFill>
                    <w14:srgbClr w14:val="000000">
                      <w14:alpha w14:val="100000"/>
                    </w14:srgbClr>
                  </w14:solidFill>
                </w14:textFill>
              </w:rPr>
              <w:t>|||</w:t>
            </w:r>
            <w:r w:rsidR="00C546A7" w:rsidRPr="00C546A7">
              <w:rPr>
                <w:color w:val="000000"/>
                <w:spacing w:val="1"/>
                <w:shd w:val="solid" w:color="000000" w:fill="000000"/>
                <w:fitText w:val="324" w:id="-628400624"/>
                <w14:textFill>
                  <w14:solidFill>
                    <w14:srgbClr w14:val="000000">
                      <w14:alpha w14:val="100000"/>
                    </w14:srgbClr>
                  </w14:solidFill>
                </w14:textFil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E6065" w14:textId="77777777" w:rsidR="005F2C11" w:rsidRDefault="005F2C11">
            <w:pPr>
              <w:pStyle w:val="In-tableHeading"/>
            </w:pPr>
            <w:r>
              <w:t>Weighted Price</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64C620" w14:textId="0D5268AF" w:rsidR="005F2C11" w:rsidRDefault="005F2C11">
            <w:pPr>
              <w:pStyle w:val="TableText0"/>
              <w:rPr>
                <w:rFonts w:cs="Calibri"/>
                <w:color w:val="000000"/>
                <w:sz w:val="22"/>
                <w:szCs w:val="22"/>
              </w:rPr>
            </w:pPr>
            <w:r>
              <w:t>$</w:t>
            </w:r>
            <w:r w:rsidR="00C546A7" w:rsidRPr="00C546A7">
              <w:rPr>
                <w:color w:val="000000"/>
                <w:spacing w:val="51"/>
                <w:shd w:val="solid" w:color="000000" w:fill="000000"/>
                <w:fitText w:val="324" w:id="-628400640"/>
                <w14:textFill>
                  <w14:solidFill>
                    <w14:srgbClr w14:val="000000">
                      <w14:alpha w14:val="100000"/>
                    </w14:srgbClr>
                  </w14:solidFill>
                </w14:textFill>
              </w:rPr>
              <w:t>|||</w:t>
            </w:r>
            <w:r w:rsidR="00C546A7" w:rsidRPr="00C546A7">
              <w:rPr>
                <w:color w:val="000000"/>
                <w:spacing w:val="1"/>
                <w:shd w:val="solid" w:color="000000" w:fill="000000"/>
                <w:fitText w:val="324" w:id="-628400640"/>
                <w14:textFill>
                  <w14:solidFill>
                    <w14:srgbClr w14:val="000000">
                      <w14:alpha w14:val="100000"/>
                    </w14:srgbClr>
                  </w14:solidFill>
                </w14:textFill>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1A5BF" w14:textId="77777777" w:rsidR="005F2C11" w:rsidRDefault="005F2C11">
            <w:pPr>
              <w:pStyle w:val="In-tableHeading"/>
            </w:pPr>
            <w:r>
              <w:t>Weighted Price</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06E59" w14:textId="181B2BD1" w:rsidR="005F2C11" w:rsidRDefault="005F2C11">
            <w:pPr>
              <w:pStyle w:val="TableText0"/>
            </w:pPr>
            <w:r>
              <w:t>$</w:t>
            </w:r>
            <w:r w:rsidR="00C546A7" w:rsidRPr="00C546A7">
              <w:rPr>
                <w:color w:val="000000"/>
                <w:spacing w:val="51"/>
                <w:shd w:val="solid" w:color="000000" w:fill="000000"/>
                <w:fitText w:val="324" w:id="-628400639"/>
                <w14:textFill>
                  <w14:solidFill>
                    <w14:srgbClr w14:val="000000">
                      <w14:alpha w14:val="100000"/>
                    </w14:srgbClr>
                  </w14:solidFill>
                </w14:textFill>
              </w:rPr>
              <w:t>|||</w:t>
            </w:r>
            <w:r w:rsidR="00C546A7" w:rsidRPr="00C546A7">
              <w:rPr>
                <w:color w:val="000000"/>
                <w:spacing w:val="1"/>
                <w:shd w:val="solid" w:color="000000" w:fill="000000"/>
                <w:fitText w:val="324" w:id="-628400639"/>
                <w14:textFill>
                  <w14:solidFill>
                    <w14:srgbClr w14:val="000000">
                      <w14:alpha w14:val="100000"/>
                    </w14:srgbClr>
                  </w14:solidFill>
                </w14:textFill>
              </w:rPr>
              <w:t>|</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61DA1" w14:textId="48FB346D" w:rsidR="005F2C11" w:rsidRDefault="005F2C11">
            <w:pPr>
              <w:pStyle w:val="TableText0"/>
            </w:pPr>
            <w:r>
              <w:t>$</w:t>
            </w:r>
            <w:r w:rsidR="00C546A7" w:rsidRPr="00C546A7">
              <w:rPr>
                <w:color w:val="000000"/>
                <w:spacing w:val="51"/>
                <w:shd w:val="solid" w:color="000000" w:fill="000000"/>
                <w:fitText w:val="324" w:id="-628400638"/>
                <w14:textFill>
                  <w14:solidFill>
                    <w14:srgbClr w14:val="000000">
                      <w14:alpha w14:val="100000"/>
                    </w14:srgbClr>
                  </w14:solidFill>
                </w14:textFill>
              </w:rPr>
              <w:t>|||</w:t>
            </w:r>
            <w:r w:rsidR="00C546A7" w:rsidRPr="00C546A7">
              <w:rPr>
                <w:color w:val="000000"/>
                <w:spacing w:val="1"/>
                <w:shd w:val="solid" w:color="000000" w:fill="000000"/>
                <w:fitText w:val="324" w:id="-628400638"/>
                <w14:textFill>
                  <w14:solidFill>
                    <w14:srgbClr w14:val="000000">
                      <w14:alpha w14:val="100000"/>
                    </w14:srgbClr>
                  </w14:solidFill>
                </w14:textFill>
              </w:rPr>
              <w:t>|</w:t>
            </w:r>
          </w:p>
        </w:tc>
        <w:tc>
          <w:tcPr>
            <w:tcW w:w="10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B8665" w14:textId="77777777" w:rsidR="005F2C11" w:rsidRDefault="005F2C11">
            <w:pPr>
              <w:pStyle w:val="In-tableHeading"/>
            </w:pPr>
            <w:r>
              <w:t>Weighted Price</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FD9E3" w14:textId="7CC09101" w:rsidR="005F2C11" w:rsidRDefault="005F2C11">
            <w:pPr>
              <w:pStyle w:val="TableText0"/>
            </w:pPr>
            <w:r>
              <w:t>$</w:t>
            </w:r>
            <w:r w:rsidR="00C546A7" w:rsidRPr="00C546A7">
              <w:rPr>
                <w:color w:val="000000"/>
                <w:spacing w:val="51"/>
                <w:shd w:val="solid" w:color="000000" w:fill="000000"/>
                <w:fitText w:val="324" w:id="-628400384"/>
                <w14:textFill>
                  <w14:solidFill>
                    <w14:srgbClr w14:val="000000">
                      <w14:alpha w14:val="100000"/>
                    </w14:srgbClr>
                  </w14:solidFill>
                </w14:textFill>
              </w:rPr>
              <w:t>|||</w:t>
            </w:r>
            <w:r w:rsidR="00C546A7" w:rsidRPr="00C546A7">
              <w:rPr>
                <w:color w:val="000000"/>
                <w:spacing w:val="1"/>
                <w:shd w:val="solid" w:color="000000" w:fill="000000"/>
                <w:fitText w:val="324" w:id="-628400384"/>
                <w14:textFill>
                  <w14:solidFill>
                    <w14:srgbClr w14:val="000000">
                      <w14:alpha w14:val="100000"/>
                    </w14:srgbClr>
                  </w14:solidFill>
                </w14:textFill>
              </w:rPr>
              <w:t>|</w:t>
            </w:r>
          </w:p>
        </w:tc>
      </w:tr>
      <w:tr w:rsidR="005F2C11" w14:paraId="4543E950" w14:textId="77777777" w:rsidTr="005F2C11">
        <w:trPr>
          <w:trHeight w:val="118"/>
        </w:trPr>
        <w:tc>
          <w:tcPr>
            <w:tcW w:w="1021" w:type="dxa"/>
            <w:tcBorders>
              <w:top w:val="single" w:sz="4" w:space="0" w:color="auto"/>
              <w:left w:val="single" w:sz="4" w:space="0" w:color="auto"/>
              <w:bottom w:val="single" w:sz="4" w:space="0" w:color="auto"/>
              <w:right w:val="single" w:sz="4" w:space="0" w:color="auto"/>
            </w:tcBorders>
            <w:noWrap/>
            <w:hideMark/>
          </w:tcPr>
          <w:p w14:paraId="5FF8246C" w14:textId="6A3A9418" w:rsidR="005F2C11" w:rsidRDefault="005F2C11">
            <w:pPr>
              <w:pStyle w:val="In-tableHeading"/>
            </w:pPr>
            <w:r>
              <w:t xml:space="preserve">Between SC1 and SC2 (rebate </w:t>
            </w:r>
            <w:r w:rsidR="00C546A7" w:rsidRPr="00C546A7">
              <w:rPr>
                <w:color w:val="000000"/>
                <w:spacing w:val="54"/>
                <w:shd w:val="solid" w:color="000000" w:fill="000000"/>
                <w:fitText w:val="348" w:id="-628400383"/>
                <w14:textFill>
                  <w14:solidFill>
                    <w14:srgbClr w14:val="000000">
                      <w14:alpha w14:val="100000"/>
                    </w14:srgbClr>
                  </w14:solidFill>
                </w14:textFill>
              </w:rPr>
              <w:t>|||</w:t>
            </w:r>
            <w:r w:rsidR="00C546A7" w:rsidRPr="00C546A7">
              <w:rPr>
                <w:color w:val="000000"/>
                <w:spacing w:val="3"/>
                <w:shd w:val="solid" w:color="000000" w:fill="000000"/>
                <w:fitText w:val="348" w:id="-628400383"/>
                <w14:textFill>
                  <w14:solidFill>
                    <w14:srgbClr w14:val="000000">
                      <w14:alpha w14:val="100000"/>
                    </w14:srgbClr>
                  </w14:solidFill>
                </w14:textFill>
              </w:rPr>
              <w:t>|</w:t>
            </w:r>
            <w:r>
              <w:t>%)</w:t>
            </w:r>
          </w:p>
        </w:tc>
        <w:tc>
          <w:tcPr>
            <w:tcW w:w="854" w:type="dxa"/>
            <w:tcBorders>
              <w:top w:val="single" w:sz="4" w:space="0" w:color="auto"/>
              <w:left w:val="single" w:sz="4" w:space="0" w:color="auto"/>
              <w:bottom w:val="single" w:sz="4" w:space="0" w:color="auto"/>
              <w:right w:val="single" w:sz="4" w:space="0" w:color="auto"/>
            </w:tcBorders>
            <w:noWrap/>
            <w:hideMark/>
          </w:tcPr>
          <w:p w14:paraId="4D9A3A72" w14:textId="39E98155" w:rsidR="005F2C11" w:rsidRDefault="005F2C11">
            <w:pPr>
              <w:pStyle w:val="TableText0"/>
              <w:rPr>
                <w:color w:val="000000"/>
                <w:sz w:val="22"/>
                <w:szCs w:val="22"/>
              </w:rPr>
            </w:pPr>
            <w:r>
              <w:t>$</w:t>
            </w:r>
            <w:r w:rsidR="00C546A7" w:rsidRPr="00C546A7">
              <w:rPr>
                <w:color w:val="000000"/>
                <w:spacing w:val="51"/>
                <w:shd w:val="solid" w:color="000000" w:fill="000000"/>
                <w:fitText w:val="324" w:id="-628400382"/>
                <w14:textFill>
                  <w14:solidFill>
                    <w14:srgbClr w14:val="000000">
                      <w14:alpha w14:val="100000"/>
                    </w14:srgbClr>
                  </w14:solidFill>
                </w14:textFill>
              </w:rPr>
              <w:t>|||</w:t>
            </w:r>
            <w:r w:rsidR="00C546A7" w:rsidRPr="00C546A7">
              <w:rPr>
                <w:color w:val="000000"/>
                <w:spacing w:val="1"/>
                <w:shd w:val="solid" w:color="000000" w:fill="000000"/>
                <w:fitText w:val="324" w:id="-628400382"/>
                <w14:textFill>
                  <w14:solidFill>
                    <w14:srgbClr w14:val="000000">
                      <w14:alpha w14:val="100000"/>
                    </w14:srgbClr>
                  </w14:solidFill>
                </w14:textFill>
              </w:rPr>
              <w:t>|</w:t>
            </w:r>
          </w:p>
        </w:tc>
        <w:tc>
          <w:tcPr>
            <w:tcW w:w="694" w:type="dxa"/>
            <w:tcBorders>
              <w:top w:val="single" w:sz="4" w:space="0" w:color="auto"/>
              <w:left w:val="single" w:sz="4" w:space="0" w:color="auto"/>
              <w:bottom w:val="single" w:sz="4" w:space="0" w:color="auto"/>
              <w:right w:val="single" w:sz="4" w:space="0" w:color="auto"/>
            </w:tcBorders>
            <w:hideMark/>
          </w:tcPr>
          <w:p w14:paraId="30C100E1" w14:textId="6D8A7CE0" w:rsidR="005F2C11" w:rsidRDefault="005F2C11">
            <w:pPr>
              <w:pStyle w:val="TableText0"/>
              <w:rPr>
                <w:color w:val="000000"/>
                <w:sz w:val="22"/>
                <w:szCs w:val="22"/>
              </w:rPr>
            </w:pPr>
            <w:r>
              <w:t>$</w:t>
            </w:r>
            <w:r w:rsidR="00C546A7" w:rsidRPr="00C546A7">
              <w:rPr>
                <w:color w:val="000000"/>
                <w:spacing w:val="51"/>
                <w:shd w:val="solid" w:color="000000" w:fill="000000"/>
                <w:fitText w:val="324" w:id="-628400381"/>
                <w14:textFill>
                  <w14:solidFill>
                    <w14:srgbClr w14:val="000000">
                      <w14:alpha w14:val="100000"/>
                    </w14:srgbClr>
                  </w14:solidFill>
                </w14:textFill>
              </w:rPr>
              <w:t>|||</w:t>
            </w:r>
            <w:r w:rsidR="00C546A7" w:rsidRPr="00C546A7">
              <w:rPr>
                <w:color w:val="000000"/>
                <w:spacing w:val="1"/>
                <w:shd w:val="solid" w:color="000000" w:fill="000000"/>
                <w:fitText w:val="324" w:id="-628400381"/>
                <w14:textFill>
                  <w14:solidFill>
                    <w14:srgbClr w14:val="000000">
                      <w14:alpha w14:val="100000"/>
                    </w14:srgbClr>
                  </w14:solidFill>
                </w14:textFill>
              </w:rPr>
              <w:t>|</w:t>
            </w:r>
          </w:p>
        </w:tc>
        <w:tc>
          <w:tcPr>
            <w:tcW w:w="1175" w:type="dxa"/>
            <w:tcBorders>
              <w:top w:val="single" w:sz="4" w:space="0" w:color="auto"/>
              <w:left w:val="single" w:sz="4" w:space="0" w:color="auto"/>
              <w:bottom w:val="single" w:sz="4" w:space="0" w:color="auto"/>
              <w:right w:val="single" w:sz="4" w:space="0" w:color="auto"/>
            </w:tcBorders>
            <w:noWrap/>
            <w:hideMark/>
          </w:tcPr>
          <w:p w14:paraId="774B8CEE" w14:textId="448037E5" w:rsidR="005F2C11" w:rsidRDefault="005F2C11">
            <w:pPr>
              <w:pStyle w:val="In-tableHeading"/>
            </w:pPr>
            <w:r>
              <w:t xml:space="preserve">Between SC1 and SC2 (rebate </w:t>
            </w:r>
            <w:r w:rsidR="00C546A7" w:rsidRPr="00C546A7">
              <w:rPr>
                <w:color w:val="000000"/>
                <w:spacing w:val="54"/>
                <w:shd w:val="solid" w:color="000000" w:fill="000000"/>
                <w:fitText w:val="348" w:id="-628400380"/>
                <w14:textFill>
                  <w14:solidFill>
                    <w14:srgbClr w14:val="000000">
                      <w14:alpha w14:val="100000"/>
                    </w14:srgbClr>
                  </w14:solidFill>
                </w14:textFill>
              </w:rPr>
              <w:t>|||</w:t>
            </w:r>
            <w:r w:rsidR="00C546A7" w:rsidRPr="00C546A7">
              <w:rPr>
                <w:color w:val="000000"/>
                <w:spacing w:val="3"/>
                <w:shd w:val="solid" w:color="000000" w:fill="000000"/>
                <w:fitText w:val="348" w:id="-628400380"/>
                <w14:textFill>
                  <w14:solidFill>
                    <w14:srgbClr w14:val="000000">
                      <w14:alpha w14:val="100000"/>
                    </w14:srgbClr>
                  </w14:solidFill>
                </w14:textFill>
              </w:rPr>
              <w:t>|</w:t>
            </w:r>
            <w:r>
              <w:t>%)</w:t>
            </w:r>
          </w:p>
        </w:tc>
        <w:tc>
          <w:tcPr>
            <w:tcW w:w="1009" w:type="dxa"/>
            <w:tcBorders>
              <w:top w:val="single" w:sz="4" w:space="0" w:color="auto"/>
              <w:left w:val="single" w:sz="4" w:space="0" w:color="auto"/>
              <w:bottom w:val="single" w:sz="4" w:space="0" w:color="auto"/>
              <w:right w:val="single" w:sz="4" w:space="0" w:color="auto"/>
            </w:tcBorders>
            <w:noWrap/>
            <w:hideMark/>
          </w:tcPr>
          <w:p w14:paraId="286A7475" w14:textId="564C7FB1" w:rsidR="005F2C11" w:rsidRDefault="005F2C11">
            <w:pPr>
              <w:pStyle w:val="TableText0"/>
              <w:rPr>
                <w:color w:val="000000"/>
                <w:sz w:val="22"/>
                <w:szCs w:val="22"/>
              </w:rPr>
            </w:pPr>
            <w:r>
              <w:t>$</w:t>
            </w:r>
            <w:r w:rsidR="00C546A7" w:rsidRPr="00C546A7">
              <w:rPr>
                <w:color w:val="000000"/>
                <w:spacing w:val="51"/>
                <w:shd w:val="solid" w:color="000000" w:fill="000000"/>
                <w:fitText w:val="324" w:id="-628400379"/>
                <w14:textFill>
                  <w14:solidFill>
                    <w14:srgbClr w14:val="000000">
                      <w14:alpha w14:val="100000"/>
                    </w14:srgbClr>
                  </w14:solidFill>
                </w14:textFill>
              </w:rPr>
              <w:t>|||</w:t>
            </w:r>
            <w:r w:rsidR="00C546A7" w:rsidRPr="00C546A7">
              <w:rPr>
                <w:color w:val="000000"/>
                <w:spacing w:val="1"/>
                <w:shd w:val="solid" w:color="000000" w:fill="000000"/>
                <w:fitText w:val="324" w:id="-628400379"/>
                <w14:textFill>
                  <w14:solidFill>
                    <w14:srgbClr w14:val="000000">
                      <w14:alpha w14:val="100000"/>
                    </w14:srgbClr>
                  </w14:solidFill>
                </w14:textFill>
              </w:rPr>
              <w:t>|</w:t>
            </w:r>
          </w:p>
        </w:tc>
        <w:tc>
          <w:tcPr>
            <w:tcW w:w="1197" w:type="dxa"/>
            <w:tcBorders>
              <w:top w:val="single" w:sz="4" w:space="0" w:color="auto"/>
              <w:left w:val="single" w:sz="4" w:space="0" w:color="auto"/>
              <w:bottom w:val="single" w:sz="4" w:space="0" w:color="auto"/>
              <w:right w:val="single" w:sz="4" w:space="0" w:color="auto"/>
            </w:tcBorders>
            <w:hideMark/>
          </w:tcPr>
          <w:p w14:paraId="170278DC" w14:textId="3BC3695D" w:rsidR="005F2C11" w:rsidRDefault="005F2C11">
            <w:pPr>
              <w:pStyle w:val="In-tableHeading"/>
            </w:pPr>
            <w:r>
              <w:t xml:space="preserve">Between SC1 and SC2 (rebate </w:t>
            </w:r>
            <w:r w:rsidR="00C546A7" w:rsidRPr="00C546A7">
              <w:rPr>
                <w:color w:val="000000"/>
                <w:spacing w:val="54"/>
                <w:shd w:val="solid" w:color="000000" w:fill="000000"/>
                <w:fitText w:val="348" w:id="-628400378"/>
                <w14:textFill>
                  <w14:solidFill>
                    <w14:srgbClr w14:val="000000">
                      <w14:alpha w14:val="100000"/>
                    </w14:srgbClr>
                  </w14:solidFill>
                </w14:textFill>
              </w:rPr>
              <w:t>|||</w:t>
            </w:r>
            <w:r w:rsidR="00C546A7" w:rsidRPr="00C546A7">
              <w:rPr>
                <w:color w:val="000000"/>
                <w:spacing w:val="3"/>
                <w:shd w:val="solid" w:color="000000" w:fill="000000"/>
                <w:fitText w:val="348" w:id="-628400378"/>
                <w14:textFill>
                  <w14:solidFill>
                    <w14:srgbClr w14:val="000000">
                      <w14:alpha w14:val="100000"/>
                    </w14:srgbClr>
                  </w14:solidFill>
                </w14:textFill>
              </w:rPr>
              <w:t>|</w:t>
            </w:r>
            <w:r>
              <w:t>%)</w:t>
            </w:r>
          </w:p>
        </w:tc>
        <w:tc>
          <w:tcPr>
            <w:tcW w:w="782" w:type="dxa"/>
            <w:tcBorders>
              <w:top w:val="single" w:sz="4" w:space="0" w:color="auto"/>
              <w:left w:val="single" w:sz="4" w:space="0" w:color="auto"/>
              <w:bottom w:val="single" w:sz="4" w:space="0" w:color="auto"/>
              <w:right w:val="single" w:sz="4" w:space="0" w:color="auto"/>
            </w:tcBorders>
            <w:hideMark/>
          </w:tcPr>
          <w:p w14:paraId="54E346EB" w14:textId="7E9688E0" w:rsidR="005F2C11" w:rsidRDefault="005F2C11">
            <w:pPr>
              <w:pStyle w:val="TableText0"/>
            </w:pPr>
            <w:r>
              <w:t>$</w:t>
            </w:r>
            <w:r w:rsidR="00C546A7" w:rsidRPr="00C546A7">
              <w:rPr>
                <w:color w:val="000000"/>
                <w:spacing w:val="51"/>
                <w:shd w:val="solid" w:color="000000" w:fill="000000"/>
                <w:fitText w:val="324" w:id="-628400377"/>
                <w14:textFill>
                  <w14:solidFill>
                    <w14:srgbClr w14:val="000000">
                      <w14:alpha w14:val="100000"/>
                    </w14:srgbClr>
                  </w14:solidFill>
                </w14:textFill>
              </w:rPr>
              <w:t>|||</w:t>
            </w:r>
            <w:r w:rsidR="00C546A7" w:rsidRPr="00C546A7">
              <w:rPr>
                <w:color w:val="000000"/>
                <w:spacing w:val="1"/>
                <w:shd w:val="solid" w:color="000000" w:fill="000000"/>
                <w:fitText w:val="324" w:id="-628400377"/>
                <w14:textFill>
                  <w14:solidFill>
                    <w14:srgbClr w14:val="000000">
                      <w14:alpha w14:val="100000"/>
                    </w14:srgbClr>
                  </w14:solidFill>
                </w14:textFill>
              </w:rPr>
              <w:t>|</w:t>
            </w:r>
          </w:p>
        </w:tc>
        <w:tc>
          <w:tcPr>
            <w:tcW w:w="782" w:type="dxa"/>
            <w:tcBorders>
              <w:top w:val="single" w:sz="4" w:space="0" w:color="auto"/>
              <w:left w:val="single" w:sz="4" w:space="0" w:color="auto"/>
              <w:bottom w:val="single" w:sz="4" w:space="0" w:color="auto"/>
              <w:right w:val="single" w:sz="4" w:space="0" w:color="auto"/>
            </w:tcBorders>
            <w:hideMark/>
          </w:tcPr>
          <w:p w14:paraId="2E248BA6" w14:textId="2DF30680" w:rsidR="005F2C11" w:rsidRDefault="005F2C11">
            <w:pPr>
              <w:pStyle w:val="TableText0"/>
            </w:pPr>
            <w:r>
              <w:t>$</w:t>
            </w:r>
            <w:r w:rsidR="00C546A7" w:rsidRPr="00C546A7">
              <w:rPr>
                <w:color w:val="000000"/>
                <w:spacing w:val="51"/>
                <w:shd w:val="solid" w:color="000000" w:fill="000000"/>
                <w:fitText w:val="324" w:id="-628400376"/>
                <w14:textFill>
                  <w14:solidFill>
                    <w14:srgbClr w14:val="000000">
                      <w14:alpha w14:val="100000"/>
                    </w14:srgbClr>
                  </w14:solidFill>
                </w14:textFill>
              </w:rPr>
              <w:t>|||</w:t>
            </w:r>
            <w:r w:rsidR="00C546A7" w:rsidRPr="00C546A7">
              <w:rPr>
                <w:color w:val="000000"/>
                <w:spacing w:val="1"/>
                <w:shd w:val="solid" w:color="000000" w:fill="000000"/>
                <w:fitText w:val="324" w:id="-628400376"/>
                <w14:textFill>
                  <w14:solidFill>
                    <w14:srgbClr w14:val="000000">
                      <w14:alpha w14:val="100000"/>
                    </w14:srgbClr>
                  </w14:solidFill>
                </w14:textFill>
              </w:rPr>
              <w:t>|</w:t>
            </w:r>
          </w:p>
        </w:tc>
        <w:tc>
          <w:tcPr>
            <w:tcW w:w="1047" w:type="dxa"/>
            <w:tcBorders>
              <w:top w:val="single" w:sz="4" w:space="0" w:color="auto"/>
              <w:left w:val="single" w:sz="4" w:space="0" w:color="auto"/>
              <w:bottom w:val="single" w:sz="4" w:space="0" w:color="auto"/>
              <w:right w:val="single" w:sz="4" w:space="0" w:color="auto"/>
            </w:tcBorders>
            <w:hideMark/>
          </w:tcPr>
          <w:p w14:paraId="4B0E36D2" w14:textId="5DA8BF84" w:rsidR="005F2C11" w:rsidRDefault="005F2C11">
            <w:pPr>
              <w:pStyle w:val="In-tableHeading"/>
            </w:pPr>
            <w:r>
              <w:t xml:space="preserve">Between SC1 and SC2 (rebate </w:t>
            </w:r>
            <w:r w:rsidR="00C546A7" w:rsidRPr="00C546A7">
              <w:rPr>
                <w:color w:val="000000"/>
                <w:spacing w:val="54"/>
                <w:shd w:val="solid" w:color="000000" w:fill="000000"/>
                <w:fitText w:val="348" w:id="-628400375"/>
                <w14:textFill>
                  <w14:solidFill>
                    <w14:srgbClr w14:val="000000">
                      <w14:alpha w14:val="100000"/>
                    </w14:srgbClr>
                  </w14:solidFill>
                </w14:textFill>
              </w:rPr>
              <w:t>|||</w:t>
            </w:r>
            <w:r w:rsidR="00C546A7" w:rsidRPr="00C546A7">
              <w:rPr>
                <w:color w:val="000000"/>
                <w:spacing w:val="3"/>
                <w:shd w:val="solid" w:color="000000" w:fill="000000"/>
                <w:fitText w:val="348" w:id="-628400375"/>
                <w14:textFill>
                  <w14:solidFill>
                    <w14:srgbClr w14:val="000000">
                      <w14:alpha w14:val="100000"/>
                    </w14:srgbClr>
                  </w14:solidFill>
                </w14:textFill>
              </w:rPr>
              <w:t>|</w:t>
            </w:r>
            <w:r>
              <w:t>%)</w:t>
            </w:r>
          </w:p>
        </w:tc>
        <w:tc>
          <w:tcPr>
            <w:tcW w:w="915" w:type="dxa"/>
            <w:tcBorders>
              <w:top w:val="single" w:sz="4" w:space="0" w:color="auto"/>
              <w:left w:val="single" w:sz="4" w:space="0" w:color="auto"/>
              <w:bottom w:val="single" w:sz="4" w:space="0" w:color="auto"/>
              <w:right w:val="single" w:sz="4" w:space="0" w:color="auto"/>
            </w:tcBorders>
            <w:hideMark/>
          </w:tcPr>
          <w:p w14:paraId="7B59F61E" w14:textId="07EF4012" w:rsidR="005F2C11" w:rsidRDefault="005F2C11">
            <w:pPr>
              <w:pStyle w:val="TableText0"/>
            </w:pPr>
            <w:r>
              <w:t>$</w:t>
            </w:r>
            <w:r w:rsidR="00C546A7" w:rsidRPr="00C546A7">
              <w:rPr>
                <w:color w:val="000000"/>
                <w:spacing w:val="51"/>
                <w:shd w:val="solid" w:color="000000" w:fill="000000"/>
                <w:fitText w:val="324" w:id="-628400374"/>
                <w14:textFill>
                  <w14:solidFill>
                    <w14:srgbClr w14:val="000000">
                      <w14:alpha w14:val="100000"/>
                    </w14:srgbClr>
                  </w14:solidFill>
                </w14:textFill>
              </w:rPr>
              <w:t>|||</w:t>
            </w:r>
            <w:r w:rsidR="00C546A7" w:rsidRPr="00C546A7">
              <w:rPr>
                <w:color w:val="000000"/>
                <w:spacing w:val="1"/>
                <w:shd w:val="solid" w:color="000000" w:fill="000000"/>
                <w:fitText w:val="324" w:id="-628400374"/>
                <w14:textFill>
                  <w14:solidFill>
                    <w14:srgbClr w14:val="000000">
                      <w14:alpha w14:val="100000"/>
                    </w14:srgbClr>
                  </w14:solidFill>
                </w14:textFill>
              </w:rPr>
              <w:t>|</w:t>
            </w:r>
          </w:p>
        </w:tc>
      </w:tr>
      <w:tr w:rsidR="005F2C11" w14:paraId="4693A7FF" w14:textId="77777777" w:rsidTr="005F2C11">
        <w:trPr>
          <w:trHeight w:val="118"/>
        </w:trPr>
        <w:tc>
          <w:tcPr>
            <w:tcW w:w="1021" w:type="dxa"/>
            <w:tcBorders>
              <w:top w:val="single" w:sz="4" w:space="0" w:color="auto"/>
              <w:left w:val="single" w:sz="4" w:space="0" w:color="auto"/>
              <w:bottom w:val="single" w:sz="4" w:space="0" w:color="auto"/>
              <w:right w:val="single" w:sz="4" w:space="0" w:color="auto"/>
            </w:tcBorders>
            <w:noWrap/>
            <w:hideMark/>
          </w:tcPr>
          <w:p w14:paraId="595A8B30" w14:textId="5C924B11" w:rsidR="005F2C11" w:rsidRDefault="005F2C11">
            <w:pPr>
              <w:pStyle w:val="In-tableHeading"/>
            </w:pPr>
            <w:r>
              <w:t xml:space="preserve">Above SC2 (rebate </w:t>
            </w:r>
            <w:r w:rsidR="00C546A7" w:rsidRPr="00C546A7">
              <w:rPr>
                <w:color w:val="000000"/>
                <w:spacing w:val="54"/>
                <w:shd w:val="solid" w:color="000000" w:fill="000000"/>
                <w:fitText w:val="348" w:id="-628400373"/>
                <w14:textFill>
                  <w14:solidFill>
                    <w14:srgbClr w14:val="000000">
                      <w14:alpha w14:val="100000"/>
                    </w14:srgbClr>
                  </w14:solidFill>
                </w14:textFill>
              </w:rPr>
              <w:t>|||</w:t>
            </w:r>
            <w:r w:rsidR="00C546A7" w:rsidRPr="00C546A7">
              <w:rPr>
                <w:color w:val="000000"/>
                <w:spacing w:val="3"/>
                <w:shd w:val="solid" w:color="000000" w:fill="000000"/>
                <w:fitText w:val="348" w:id="-628400373"/>
                <w14:textFill>
                  <w14:solidFill>
                    <w14:srgbClr w14:val="000000">
                      <w14:alpha w14:val="100000"/>
                    </w14:srgbClr>
                  </w14:solidFill>
                </w14:textFill>
              </w:rPr>
              <w:t>|</w:t>
            </w:r>
            <w:r>
              <w:t>%)</w:t>
            </w:r>
          </w:p>
        </w:tc>
        <w:tc>
          <w:tcPr>
            <w:tcW w:w="854" w:type="dxa"/>
            <w:tcBorders>
              <w:top w:val="single" w:sz="4" w:space="0" w:color="auto"/>
              <w:left w:val="single" w:sz="4" w:space="0" w:color="auto"/>
              <w:bottom w:val="single" w:sz="4" w:space="0" w:color="auto"/>
              <w:right w:val="single" w:sz="4" w:space="0" w:color="auto"/>
            </w:tcBorders>
            <w:noWrap/>
            <w:hideMark/>
          </w:tcPr>
          <w:p w14:paraId="019A8436" w14:textId="5214AAE9" w:rsidR="005F2C11" w:rsidRDefault="005F2C11">
            <w:pPr>
              <w:pStyle w:val="TableText0"/>
              <w:rPr>
                <w:color w:val="000000"/>
                <w:sz w:val="22"/>
                <w:szCs w:val="22"/>
              </w:rPr>
            </w:pPr>
            <w:r>
              <w:t>$</w:t>
            </w:r>
            <w:r w:rsidR="00C546A7" w:rsidRPr="00C546A7">
              <w:rPr>
                <w:color w:val="000000"/>
                <w:spacing w:val="51"/>
                <w:shd w:val="solid" w:color="000000" w:fill="000000"/>
                <w:fitText w:val="324" w:id="-628400372"/>
                <w14:textFill>
                  <w14:solidFill>
                    <w14:srgbClr w14:val="000000">
                      <w14:alpha w14:val="100000"/>
                    </w14:srgbClr>
                  </w14:solidFill>
                </w14:textFill>
              </w:rPr>
              <w:t>|||</w:t>
            </w:r>
            <w:r w:rsidR="00C546A7" w:rsidRPr="00C546A7">
              <w:rPr>
                <w:color w:val="000000"/>
                <w:spacing w:val="1"/>
                <w:shd w:val="solid" w:color="000000" w:fill="000000"/>
                <w:fitText w:val="324" w:id="-628400372"/>
                <w14:textFill>
                  <w14:solidFill>
                    <w14:srgbClr w14:val="000000">
                      <w14:alpha w14:val="100000"/>
                    </w14:srgbClr>
                  </w14:solidFill>
                </w14:textFill>
              </w:rPr>
              <w:t>|</w:t>
            </w:r>
          </w:p>
        </w:tc>
        <w:tc>
          <w:tcPr>
            <w:tcW w:w="694" w:type="dxa"/>
            <w:tcBorders>
              <w:top w:val="single" w:sz="4" w:space="0" w:color="auto"/>
              <w:left w:val="single" w:sz="4" w:space="0" w:color="auto"/>
              <w:bottom w:val="single" w:sz="4" w:space="0" w:color="auto"/>
              <w:right w:val="single" w:sz="4" w:space="0" w:color="auto"/>
            </w:tcBorders>
            <w:hideMark/>
          </w:tcPr>
          <w:p w14:paraId="1FCEC1F1" w14:textId="2F9396BC" w:rsidR="005F2C11" w:rsidRDefault="005F2C11">
            <w:pPr>
              <w:pStyle w:val="TableText0"/>
              <w:rPr>
                <w:color w:val="000000"/>
                <w:sz w:val="22"/>
                <w:szCs w:val="22"/>
              </w:rPr>
            </w:pPr>
            <w:r>
              <w:t>$</w:t>
            </w:r>
            <w:r w:rsidR="00C546A7" w:rsidRPr="00C546A7">
              <w:rPr>
                <w:color w:val="000000"/>
                <w:spacing w:val="51"/>
                <w:shd w:val="solid" w:color="000000" w:fill="000000"/>
                <w:fitText w:val="324" w:id="-628400371"/>
                <w14:textFill>
                  <w14:solidFill>
                    <w14:srgbClr w14:val="000000">
                      <w14:alpha w14:val="100000"/>
                    </w14:srgbClr>
                  </w14:solidFill>
                </w14:textFill>
              </w:rPr>
              <w:t>|||</w:t>
            </w:r>
            <w:r w:rsidR="00C546A7" w:rsidRPr="00C546A7">
              <w:rPr>
                <w:color w:val="000000"/>
                <w:spacing w:val="1"/>
                <w:shd w:val="solid" w:color="000000" w:fill="000000"/>
                <w:fitText w:val="324" w:id="-628400371"/>
                <w14:textFill>
                  <w14:solidFill>
                    <w14:srgbClr w14:val="000000">
                      <w14:alpha w14:val="100000"/>
                    </w14:srgbClr>
                  </w14:solidFill>
                </w14:textFill>
              </w:rPr>
              <w:t>|</w:t>
            </w:r>
          </w:p>
        </w:tc>
        <w:tc>
          <w:tcPr>
            <w:tcW w:w="1175" w:type="dxa"/>
            <w:tcBorders>
              <w:top w:val="single" w:sz="4" w:space="0" w:color="auto"/>
              <w:left w:val="single" w:sz="4" w:space="0" w:color="auto"/>
              <w:bottom w:val="single" w:sz="4" w:space="0" w:color="auto"/>
              <w:right w:val="single" w:sz="4" w:space="0" w:color="auto"/>
            </w:tcBorders>
            <w:noWrap/>
            <w:hideMark/>
          </w:tcPr>
          <w:p w14:paraId="59F3087A" w14:textId="5C49C121" w:rsidR="005F2C11" w:rsidRDefault="005F2C11">
            <w:pPr>
              <w:pStyle w:val="In-tableHeading"/>
            </w:pPr>
            <w:r>
              <w:t xml:space="preserve">Above SC2 (rebate </w:t>
            </w:r>
            <w:r w:rsidR="00C546A7" w:rsidRPr="00C546A7">
              <w:rPr>
                <w:color w:val="000000"/>
                <w:spacing w:val="54"/>
                <w:shd w:val="solid" w:color="000000" w:fill="000000"/>
                <w:fitText w:val="348" w:id="-628400370"/>
                <w14:textFill>
                  <w14:solidFill>
                    <w14:srgbClr w14:val="000000">
                      <w14:alpha w14:val="100000"/>
                    </w14:srgbClr>
                  </w14:solidFill>
                </w14:textFill>
              </w:rPr>
              <w:t>|||</w:t>
            </w:r>
            <w:r w:rsidR="00C546A7" w:rsidRPr="00C546A7">
              <w:rPr>
                <w:color w:val="000000"/>
                <w:spacing w:val="3"/>
                <w:shd w:val="solid" w:color="000000" w:fill="000000"/>
                <w:fitText w:val="348" w:id="-628400370"/>
                <w14:textFill>
                  <w14:solidFill>
                    <w14:srgbClr w14:val="000000">
                      <w14:alpha w14:val="100000"/>
                    </w14:srgbClr>
                  </w14:solidFill>
                </w14:textFill>
              </w:rPr>
              <w:t>|</w:t>
            </w:r>
            <w:r>
              <w:t>%)</w:t>
            </w:r>
          </w:p>
        </w:tc>
        <w:tc>
          <w:tcPr>
            <w:tcW w:w="1009" w:type="dxa"/>
            <w:tcBorders>
              <w:top w:val="single" w:sz="4" w:space="0" w:color="auto"/>
              <w:left w:val="single" w:sz="4" w:space="0" w:color="auto"/>
              <w:bottom w:val="single" w:sz="4" w:space="0" w:color="auto"/>
              <w:right w:val="single" w:sz="4" w:space="0" w:color="auto"/>
            </w:tcBorders>
            <w:noWrap/>
            <w:hideMark/>
          </w:tcPr>
          <w:p w14:paraId="5B991210" w14:textId="112D1103" w:rsidR="005F2C11" w:rsidRDefault="005F2C11">
            <w:pPr>
              <w:pStyle w:val="TableText0"/>
              <w:rPr>
                <w:color w:val="000000"/>
                <w:sz w:val="22"/>
                <w:szCs w:val="22"/>
              </w:rPr>
            </w:pPr>
            <w:r>
              <w:t>$</w:t>
            </w:r>
            <w:r w:rsidR="00C546A7" w:rsidRPr="00C546A7">
              <w:rPr>
                <w:color w:val="000000"/>
                <w:spacing w:val="51"/>
                <w:shd w:val="solid" w:color="000000" w:fill="000000"/>
                <w:fitText w:val="324" w:id="-628400369"/>
                <w14:textFill>
                  <w14:solidFill>
                    <w14:srgbClr w14:val="000000">
                      <w14:alpha w14:val="100000"/>
                    </w14:srgbClr>
                  </w14:solidFill>
                </w14:textFill>
              </w:rPr>
              <w:t>|||</w:t>
            </w:r>
            <w:r w:rsidR="00C546A7" w:rsidRPr="00C546A7">
              <w:rPr>
                <w:color w:val="000000"/>
                <w:spacing w:val="1"/>
                <w:shd w:val="solid" w:color="000000" w:fill="000000"/>
                <w:fitText w:val="324" w:id="-628400369"/>
                <w14:textFill>
                  <w14:solidFill>
                    <w14:srgbClr w14:val="000000">
                      <w14:alpha w14:val="100000"/>
                    </w14:srgbClr>
                  </w14:solidFill>
                </w14:textFill>
              </w:rPr>
              <w:t>|</w:t>
            </w:r>
          </w:p>
        </w:tc>
        <w:tc>
          <w:tcPr>
            <w:tcW w:w="1197" w:type="dxa"/>
            <w:tcBorders>
              <w:top w:val="single" w:sz="4" w:space="0" w:color="auto"/>
              <w:left w:val="single" w:sz="4" w:space="0" w:color="auto"/>
              <w:bottom w:val="single" w:sz="4" w:space="0" w:color="auto"/>
              <w:right w:val="single" w:sz="4" w:space="0" w:color="auto"/>
            </w:tcBorders>
            <w:hideMark/>
          </w:tcPr>
          <w:p w14:paraId="1A56DAF6" w14:textId="0C9E6B50" w:rsidR="005F2C11" w:rsidRDefault="005F2C11">
            <w:pPr>
              <w:pStyle w:val="In-tableHeading"/>
            </w:pPr>
            <w:r>
              <w:t xml:space="preserve">Above SC2 (rebate </w:t>
            </w:r>
            <w:r w:rsidR="00C546A7" w:rsidRPr="00C546A7">
              <w:rPr>
                <w:color w:val="000000"/>
                <w:spacing w:val="54"/>
                <w:shd w:val="solid" w:color="000000" w:fill="000000"/>
                <w:fitText w:val="348" w:id="-628400368"/>
                <w14:textFill>
                  <w14:solidFill>
                    <w14:srgbClr w14:val="000000">
                      <w14:alpha w14:val="100000"/>
                    </w14:srgbClr>
                  </w14:solidFill>
                </w14:textFill>
              </w:rPr>
              <w:t>|||</w:t>
            </w:r>
            <w:r w:rsidR="00C546A7" w:rsidRPr="00C546A7">
              <w:rPr>
                <w:color w:val="000000"/>
                <w:spacing w:val="3"/>
                <w:shd w:val="solid" w:color="000000" w:fill="000000"/>
                <w:fitText w:val="348" w:id="-628400368"/>
                <w14:textFill>
                  <w14:solidFill>
                    <w14:srgbClr w14:val="000000">
                      <w14:alpha w14:val="100000"/>
                    </w14:srgbClr>
                  </w14:solidFill>
                </w14:textFill>
              </w:rPr>
              <w:t>|</w:t>
            </w:r>
            <w:r>
              <w:t>%)</w:t>
            </w:r>
          </w:p>
        </w:tc>
        <w:tc>
          <w:tcPr>
            <w:tcW w:w="782" w:type="dxa"/>
            <w:tcBorders>
              <w:top w:val="single" w:sz="4" w:space="0" w:color="auto"/>
              <w:left w:val="single" w:sz="4" w:space="0" w:color="auto"/>
              <w:bottom w:val="single" w:sz="4" w:space="0" w:color="auto"/>
              <w:right w:val="single" w:sz="4" w:space="0" w:color="auto"/>
            </w:tcBorders>
            <w:hideMark/>
          </w:tcPr>
          <w:p w14:paraId="111ADF78" w14:textId="3C9031D0" w:rsidR="005F2C11" w:rsidRDefault="005F2C11">
            <w:pPr>
              <w:pStyle w:val="TableText0"/>
            </w:pPr>
            <w:r>
              <w:t>$</w:t>
            </w:r>
            <w:r w:rsidR="00C546A7" w:rsidRPr="00C546A7">
              <w:rPr>
                <w:color w:val="000000"/>
                <w:spacing w:val="51"/>
                <w:shd w:val="solid" w:color="000000" w:fill="000000"/>
                <w:fitText w:val="324" w:id="-628400384"/>
                <w14:textFill>
                  <w14:solidFill>
                    <w14:srgbClr w14:val="000000">
                      <w14:alpha w14:val="100000"/>
                    </w14:srgbClr>
                  </w14:solidFill>
                </w14:textFill>
              </w:rPr>
              <w:t>|||</w:t>
            </w:r>
            <w:r w:rsidR="00C546A7" w:rsidRPr="00C546A7">
              <w:rPr>
                <w:color w:val="000000"/>
                <w:spacing w:val="1"/>
                <w:shd w:val="solid" w:color="000000" w:fill="000000"/>
                <w:fitText w:val="324" w:id="-628400384"/>
                <w14:textFill>
                  <w14:solidFill>
                    <w14:srgbClr w14:val="000000">
                      <w14:alpha w14:val="100000"/>
                    </w14:srgbClr>
                  </w14:solidFill>
                </w14:textFill>
              </w:rPr>
              <w:t>|</w:t>
            </w:r>
          </w:p>
        </w:tc>
        <w:tc>
          <w:tcPr>
            <w:tcW w:w="782" w:type="dxa"/>
            <w:tcBorders>
              <w:top w:val="single" w:sz="4" w:space="0" w:color="auto"/>
              <w:left w:val="single" w:sz="4" w:space="0" w:color="auto"/>
              <w:bottom w:val="single" w:sz="4" w:space="0" w:color="auto"/>
              <w:right w:val="single" w:sz="4" w:space="0" w:color="auto"/>
            </w:tcBorders>
            <w:hideMark/>
          </w:tcPr>
          <w:p w14:paraId="4EFBB8BD" w14:textId="2318ED85" w:rsidR="005F2C11" w:rsidRDefault="005F2C11">
            <w:pPr>
              <w:pStyle w:val="TableText0"/>
            </w:pPr>
            <w:r>
              <w:t>$</w:t>
            </w:r>
            <w:r w:rsidR="00C546A7" w:rsidRPr="00C546A7">
              <w:rPr>
                <w:color w:val="000000"/>
                <w:spacing w:val="51"/>
                <w:shd w:val="solid" w:color="000000" w:fill="000000"/>
                <w:fitText w:val="324" w:id="-628400383"/>
                <w14:textFill>
                  <w14:solidFill>
                    <w14:srgbClr w14:val="000000">
                      <w14:alpha w14:val="100000"/>
                    </w14:srgbClr>
                  </w14:solidFill>
                </w14:textFill>
              </w:rPr>
              <w:t>|||</w:t>
            </w:r>
            <w:r w:rsidR="00C546A7" w:rsidRPr="00C546A7">
              <w:rPr>
                <w:color w:val="000000"/>
                <w:spacing w:val="1"/>
                <w:shd w:val="solid" w:color="000000" w:fill="000000"/>
                <w:fitText w:val="324" w:id="-628400383"/>
                <w14:textFill>
                  <w14:solidFill>
                    <w14:srgbClr w14:val="000000">
                      <w14:alpha w14:val="100000"/>
                    </w14:srgbClr>
                  </w14:solidFill>
                </w14:textFill>
              </w:rPr>
              <w:t>|</w:t>
            </w:r>
          </w:p>
        </w:tc>
        <w:tc>
          <w:tcPr>
            <w:tcW w:w="1047" w:type="dxa"/>
            <w:tcBorders>
              <w:top w:val="single" w:sz="4" w:space="0" w:color="auto"/>
              <w:left w:val="single" w:sz="4" w:space="0" w:color="auto"/>
              <w:bottom w:val="single" w:sz="4" w:space="0" w:color="auto"/>
              <w:right w:val="single" w:sz="4" w:space="0" w:color="auto"/>
            </w:tcBorders>
            <w:hideMark/>
          </w:tcPr>
          <w:p w14:paraId="29EB02B4" w14:textId="273ED94B" w:rsidR="005F2C11" w:rsidRDefault="005F2C11">
            <w:pPr>
              <w:pStyle w:val="In-tableHeading"/>
            </w:pPr>
            <w:r>
              <w:t xml:space="preserve">Above SC2 (rebate </w:t>
            </w:r>
            <w:r w:rsidR="00C546A7" w:rsidRPr="00C546A7">
              <w:rPr>
                <w:color w:val="000000"/>
                <w:spacing w:val="54"/>
                <w:shd w:val="solid" w:color="000000" w:fill="000000"/>
                <w:fitText w:val="348" w:id="-628400382"/>
                <w14:textFill>
                  <w14:solidFill>
                    <w14:srgbClr w14:val="000000">
                      <w14:alpha w14:val="100000"/>
                    </w14:srgbClr>
                  </w14:solidFill>
                </w14:textFill>
              </w:rPr>
              <w:t>|||</w:t>
            </w:r>
            <w:r w:rsidR="00C546A7" w:rsidRPr="00C546A7">
              <w:rPr>
                <w:color w:val="000000"/>
                <w:spacing w:val="3"/>
                <w:shd w:val="solid" w:color="000000" w:fill="000000"/>
                <w:fitText w:val="348" w:id="-628400382"/>
                <w14:textFill>
                  <w14:solidFill>
                    <w14:srgbClr w14:val="000000">
                      <w14:alpha w14:val="100000"/>
                    </w14:srgbClr>
                  </w14:solidFill>
                </w14:textFill>
              </w:rPr>
              <w:t>|</w:t>
            </w:r>
            <w:r>
              <w:t>%)</w:t>
            </w:r>
          </w:p>
        </w:tc>
        <w:tc>
          <w:tcPr>
            <w:tcW w:w="915" w:type="dxa"/>
            <w:tcBorders>
              <w:top w:val="single" w:sz="4" w:space="0" w:color="auto"/>
              <w:left w:val="single" w:sz="4" w:space="0" w:color="auto"/>
              <w:bottom w:val="single" w:sz="4" w:space="0" w:color="auto"/>
              <w:right w:val="single" w:sz="4" w:space="0" w:color="auto"/>
            </w:tcBorders>
            <w:hideMark/>
          </w:tcPr>
          <w:p w14:paraId="37D37747" w14:textId="19F96865" w:rsidR="005F2C11" w:rsidRDefault="005F2C11">
            <w:pPr>
              <w:pStyle w:val="TableText0"/>
            </w:pPr>
            <w:r>
              <w:t>$</w:t>
            </w:r>
            <w:r w:rsidR="00C546A7" w:rsidRPr="00C546A7">
              <w:rPr>
                <w:color w:val="000000"/>
                <w:spacing w:val="51"/>
                <w:shd w:val="solid" w:color="000000" w:fill="000000"/>
                <w:fitText w:val="324" w:id="-628400381"/>
                <w14:textFill>
                  <w14:solidFill>
                    <w14:srgbClr w14:val="000000">
                      <w14:alpha w14:val="100000"/>
                    </w14:srgbClr>
                  </w14:solidFill>
                </w14:textFill>
              </w:rPr>
              <w:t>|||</w:t>
            </w:r>
            <w:r w:rsidR="00C546A7" w:rsidRPr="00C546A7">
              <w:rPr>
                <w:color w:val="000000"/>
                <w:spacing w:val="1"/>
                <w:shd w:val="solid" w:color="000000" w:fill="000000"/>
                <w:fitText w:val="324" w:id="-628400381"/>
                <w14:textFill>
                  <w14:solidFill>
                    <w14:srgbClr w14:val="000000">
                      <w14:alpha w14:val="100000"/>
                    </w14:srgbClr>
                  </w14:solidFill>
                </w14:textFill>
              </w:rPr>
              <w:t>|</w:t>
            </w:r>
          </w:p>
        </w:tc>
      </w:tr>
    </w:tbl>
    <w:p w14:paraId="29A0CD3C" w14:textId="77777777" w:rsidR="005F2C11" w:rsidRDefault="005F2C11" w:rsidP="005F2C11">
      <w:pPr>
        <w:rPr>
          <w:rFonts w:ascii="Arial Narrow" w:hAnsi="Arial Narrow"/>
          <w:sz w:val="18"/>
          <w:szCs w:val="18"/>
        </w:rPr>
      </w:pPr>
      <w:r>
        <w:rPr>
          <w:rFonts w:ascii="Arial Narrow" w:hAnsi="Arial Narrow"/>
          <w:sz w:val="18"/>
          <w:szCs w:val="18"/>
        </w:rPr>
        <w:t>Source: July 2025 and September 2025 submission documents</w:t>
      </w:r>
    </w:p>
    <w:p w14:paraId="18EE4A58" w14:textId="77777777" w:rsidR="005F2C11" w:rsidRDefault="005F2C11" w:rsidP="005F2C11">
      <w:pPr>
        <w:rPr>
          <w:rFonts w:ascii="Arial Narrow" w:hAnsi="Arial Narrow"/>
          <w:sz w:val="18"/>
          <w:szCs w:val="18"/>
        </w:rPr>
      </w:pPr>
      <w:r>
        <w:rPr>
          <w:rFonts w:ascii="Arial Narrow" w:hAnsi="Arial Narrow"/>
          <w:sz w:val="18"/>
          <w:szCs w:val="18"/>
        </w:rPr>
        <w:t>SC1 = subsidisation cap 1; SC2 = subsidisation cap 2; q4w = every 4 weeks</w:t>
      </w:r>
    </w:p>
    <w:p w14:paraId="08A6D9C1" w14:textId="77777777" w:rsidR="005F2C11" w:rsidRDefault="005F2C11" w:rsidP="005F2C11">
      <w:pPr>
        <w:pStyle w:val="4-SubsectionHeading"/>
      </w:pPr>
      <w:r>
        <w:lastRenderedPageBreak/>
        <w:t>Financial Impact</w:t>
      </w:r>
    </w:p>
    <w:p w14:paraId="03FC750B" w14:textId="7BD4BE0E" w:rsidR="005F2C11" w:rsidRDefault="005F2C11" w:rsidP="005F2C11">
      <w:pPr>
        <w:pStyle w:val="3-BodyText"/>
        <w:numPr>
          <w:ilvl w:val="1"/>
          <w:numId w:val="59"/>
        </w:numPr>
        <w:spacing w:before="120" w:after="120"/>
      </w:pPr>
      <w:r>
        <w:t xml:space="preserve">The overall financial impact of the proposal was </w:t>
      </w:r>
      <w:r w:rsidR="0028096E" w:rsidRPr="0028096E">
        <w:t>&gt; $1 billion</w:t>
      </w:r>
      <w:r>
        <w:t xml:space="preserve"> ($</w:t>
      </w:r>
      <w:r w:rsidR="00C546A7" w:rsidRPr="00C546A7">
        <w:rPr>
          <w:color w:val="000000"/>
          <w:w w:val="61"/>
          <w:shd w:val="solid" w:color="000000" w:fill="000000"/>
          <w:fitText w:val="472" w:id="-628400380"/>
          <w14:textFill>
            <w14:solidFill>
              <w14:srgbClr w14:val="000000">
                <w14:alpha w14:val="100000"/>
              </w14:srgbClr>
            </w14:solidFill>
          </w14:textFill>
        </w:rPr>
        <w:t>|||  ||</w:t>
      </w:r>
      <w:r w:rsidR="00C546A7" w:rsidRPr="00C546A7">
        <w:rPr>
          <w:color w:val="000000"/>
          <w:spacing w:val="2"/>
          <w:w w:val="61"/>
          <w:shd w:val="solid" w:color="000000" w:fill="000000"/>
          <w:fitText w:val="472" w:id="-628400380"/>
          <w14:textFill>
            <w14:solidFill>
              <w14:srgbClr w14:val="000000">
                <w14:alpha w14:val="100000"/>
              </w14:srgbClr>
            </w14:solidFill>
          </w14:textFill>
        </w:rPr>
        <w:t>|</w:t>
      </w:r>
      <w:r>
        <w:t xml:space="preserve">) over the forward estimates (see </w:t>
      </w:r>
      <w:r>
        <w:fldChar w:fldCharType="begin" w:fldLock="1"/>
      </w:r>
      <w:r>
        <w:instrText xml:space="preserve"> REF _Ref207307900 \h </w:instrText>
      </w:r>
      <w:r>
        <w:fldChar w:fldCharType="separate"/>
      </w:r>
      <w:r>
        <w:t xml:space="preserve">Table </w:t>
      </w:r>
      <w:r>
        <w:rPr>
          <w:noProof/>
        </w:rPr>
        <w:t>14</w:t>
      </w:r>
      <w:r>
        <w:fldChar w:fldCharType="end"/>
      </w:r>
      <w:r>
        <w:t xml:space="preserve">), compared to </w:t>
      </w:r>
      <w:r w:rsidR="0028096E" w:rsidRPr="0028096E">
        <w:t>&gt; $1 billion</w:t>
      </w:r>
      <w:r>
        <w:t xml:space="preserve"> (</w:t>
      </w:r>
      <w:r w:rsidR="00AA70DD" w:rsidRPr="00AA70DD">
        <w:t>&gt; $1 billion</w:t>
      </w:r>
      <w:r w:rsidR="00C546A7" w:rsidRPr="00C546A7">
        <w:rPr>
          <w:color w:val="000000"/>
          <w:w w:val="61"/>
          <w:shd w:val="solid" w:color="000000" w:fill="000000"/>
          <w:fitText w:val="472" w:id="-628400379"/>
          <w14:textFill>
            <w14:solidFill>
              <w14:srgbClr w14:val="000000">
                <w14:alpha w14:val="100000"/>
              </w14:srgbClr>
            </w14:solidFill>
          </w14:textFill>
        </w:rPr>
        <w:t>|||  ||</w:t>
      </w:r>
      <w:r w:rsidR="00C546A7" w:rsidRPr="00C546A7">
        <w:rPr>
          <w:color w:val="000000"/>
          <w:spacing w:val="2"/>
          <w:w w:val="61"/>
          <w:shd w:val="solid" w:color="000000" w:fill="000000"/>
          <w:fitText w:val="472" w:id="-628400379"/>
          <w14:textFill>
            <w14:solidFill>
              <w14:srgbClr w14:val="000000">
                <w14:alpha w14:val="100000"/>
              </w14:srgbClr>
            </w14:solidFill>
          </w14:textFill>
        </w:rPr>
        <w:t>|</w:t>
      </w:r>
      <w:r>
        <w:t xml:space="preserve"> of the July 2025 proposal (see </w:t>
      </w:r>
      <w:r>
        <w:fldChar w:fldCharType="begin" w:fldLock="1"/>
      </w:r>
      <w:r>
        <w:instrText xml:space="preserve"> REF _Ref207307202 \h </w:instrText>
      </w:r>
      <w:r>
        <w:fldChar w:fldCharType="separate"/>
      </w:r>
      <w:r>
        <w:t xml:space="preserve">Table </w:t>
      </w:r>
      <w:r>
        <w:rPr>
          <w:noProof/>
        </w:rPr>
        <w:t>5</w:t>
      </w:r>
      <w:r>
        <w:fldChar w:fldCharType="end"/>
      </w:r>
      <w:r>
        <w:t xml:space="preserve">). </w:t>
      </w:r>
      <w:r w:rsidR="0028096E">
        <w:t xml:space="preserve"> </w:t>
      </w:r>
    </w:p>
    <w:p w14:paraId="0722D5C1" w14:textId="218ABFB3" w:rsidR="005F2C11" w:rsidRDefault="005F2C11" w:rsidP="005F2C11">
      <w:pPr>
        <w:pStyle w:val="3-BodyText"/>
        <w:numPr>
          <w:ilvl w:val="1"/>
          <w:numId w:val="59"/>
        </w:numPr>
        <w:spacing w:before="120" w:after="120"/>
        <w:rPr>
          <w:lang w:eastAsia="en-US"/>
        </w:rPr>
      </w:pPr>
      <w:r>
        <w:rPr>
          <w:lang w:eastAsia="en-US"/>
        </w:rPr>
        <w:t xml:space="preserve">As the total financial impact includes expenditure for existing PBS-listed indications that would otherwise have been incurred, the cost of use in the extended indications and treatment settings is captured by use beyond SC1. The total financial impact for use above SC1 across the forward estimates, after the proposed rebates, was </w:t>
      </w:r>
      <w:r w:rsidR="0028096E" w:rsidRPr="0028096E">
        <w:rPr>
          <w:lang w:eastAsia="en-US"/>
        </w:rPr>
        <w:t>$100 million to &lt; $200 million</w:t>
      </w:r>
      <w:r>
        <w:rPr>
          <w:lang w:eastAsia="en-US"/>
        </w:rPr>
        <w:t>.</w:t>
      </w:r>
    </w:p>
    <w:p w14:paraId="5E6F0DC6" w14:textId="77777777" w:rsidR="005F2C11" w:rsidRDefault="005F2C11" w:rsidP="00C546A7">
      <w:pPr>
        <w:pStyle w:val="Caption"/>
        <w:keepNext/>
        <w:keepLines/>
      </w:pPr>
      <w:bookmarkStart w:id="23" w:name="_Ref207307900"/>
      <w:r>
        <w:t xml:space="preserve">Table </w:t>
      </w:r>
      <w:r>
        <w:fldChar w:fldCharType="begin" w:fldLock="1"/>
      </w:r>
      <w:r>
        <w:instrText xml:space="preserve"> SEQ Table \* ARABIC </w:instrText>
      </w:r>
      <w:r>
        <w:fldChar w:fldCharType="separate"/>
      </w:r>
      <w:r>
        <w:rPr>
          <w:noProof/>
        </w:rPr>
        <w:t>14</w:t>
      </w:r>
      <w:r>
        <w:rPr>
          <w:noProof/>
        </w:rPr>
        <w:fldChar w:fldCharType="end"/>
      </w:r>
      <w:bookmarkEnd w:id="23"/>
      <w:r>
        <w:t>: Estimated total drug cost for nivolumab and ipilimumab to PBS/RPBS (effective PBS/RPBS, with RSA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Estimated total drug cost for nivolumab and ipilimumab to PBS/RPBS (effective PBS/RPBS, with RSA structure)"/>
      </w:tblPr>
      <w:tblGrid>
        <w:gridCol w:w="3781"/>
        <w:gridCol w:w="751"/>
        <w:gridCol w:w="751"/>
        <w:gridCol w:w="751"/>
        <w:gridCol w:w="709"/>
        <w:gridCol w:w="751"/>
        <w:gridCol w:w="751"/>
        <w:gridCol w:w="771"/>
      </w:tblGrid>
      <w:tr w:rsidR="00C546A7" w14:paraId="771D7A8E"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5705BC4" w14:textId="77777777" w:rsidR="005F2C11" w:rsidRDefault="005F2C11" w:rsidP="00C546A7">
            <w:pPr>
              <w:keepNext/>
              <w:keepLines/>
            </w:pPr>
          </w:p>
        </w:tc>
        <w:tc>
          <w:tcPr>
            <w:tcW w:w="58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27D4B31" w14:textId="77777777" w:rsidR="005F2C11" w:rsidRDefault="005F2C11" w:rsidP="00C546A7">
            <w:pPr>
              <w:pStyle w:val="In-tableHeading"/>
              <w:keepLines/>
              <w:rPr>
                <w:color w:val="000000"/>
                <w:szCs w:val="20"/>
              </w:rPr>
            </w:pPr>
            <w:r>
              <w:rPr>
                <w:color w:val="000000"/>
                <w:szCs w:val="20"/>
              </w:rPr>
              <w:t>Year 1</w:t>
            </w:r>
          </w:p>
        </w:tc>
        <w:tc>
          <w:tcPr>
            <w:tcW w:w="58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BBA5A3D" w14:textId="77777777" w:rsidR="005F2C11" w:rsidRDefault="005F2C11" w:rsidP="00C546A7">
            <w:pPr>
              <w:pStyle w:val="In-tableHeading"/>
              <w:keepLines/>
              <w:rPr>
                <w:color w:val="000000"/>
                <w:szCs w:val="20"/>
              </w:rPr>
            </w:pPr>
            <w:r>
              <w:rPr>
                <w:color w:val="000000"/>
                <w:szCs w:val="20"/>
              </w:rPr>
              <w:t>Year 2</w:t>
            </w:r>
          </w:p>
        </w:tc>
        <w:tc>
          <w:tcPr>
            <w:tcW w:w="58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7249BEA" w14:textId="77777777" w:rsidR="005F2C11" w:rsidRDefault="005F2C11" w:rsidP="00C546A7">
            <w:pPr>
              <w:pStyle w:val="In-tableHeading"/>
              <w:keepLines/>
              <w:rPr>
                <w:color w:val="000000"/>
                <w:szCs w:val="20"/>
              </w:rPr>
            </w:pPr>
            <w:r>
              <w:rPr>
                <w:color w:val="000000"/>
                <w:szCs w:val="20"/>
              </w:rPr>
              <w:t>Year 3</w:t>
            </w:r>
          </w:p>
        </w:tc>
        <w:tc>
          <w:tcPr>
            <w:tcW w:w="588"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27E6455" w14:textId="77777777" w:rsidR="005F2C11" w:rsidRDefault="005F2C11" w:rsidP="00C546A7">
            <w:pPr>
              <w:pStyle w:val="In-tableHeading"/>
              <w:keepLines/>
              <w:rPr>
                <w:color w:val="000000"/>
                <w:szCs w:val="20"/>
              </w:rPr>
            </w:pPr>
            <w:r>
              <w:rPr>
                <w:color w:val="000000"/>
                <w:szCs w:val="20"/>
              </w:rPr>
              <w:t>Year 4</w:t>
            </w:r>
          </w:p>
        </w:tc>
        <w:tc>
          <w:tcPr>
            <w:tcW w:w="58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5DBE253" w14:textId="77777777" w:rsidR="005F2C11" w:rsidRDefault="005F2C11" w:rsidP="00C546A7">
            <w:pPr>
              <w:pStyle w:val="In-tableHeading"/>
              <w:keepLines/>
              <w:rPr>
                <w:color w:val="000000"/>
                <w:szCs w:val="20"/>
              </w:rPr>
            </w:pPr>
            <w:r>
              <w:rPr>
                <w:color w:val="000000"/>
                <w:szCs w:val="20"/>
              </w:rPr>
              <w:t>Year 5</w:t>
            </w:r>
          </w:p>
        </w:tc>
        <w:tc>
          <w:tcPr>
            <w:tcW w:w="58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F8674FF" w14:textId="77777777" w:rsidR="005F2C11" w:rsidRDefault="005F2C11" w:rsidP="00C546A7">
            <w:pPr>
              <w:pStyle w:val="In-tableHeading"/>
              <w:keepLines/>
              <w:rPr>
                <w:color w:val="000000"/>
                <w:szCs w:val="20"/>
              </w:rPr>
            </w:pPr>
            <w:r>
              <w:rPr>
                <w:color w:val="000000"/>
                <w:szCs w:val="20"/>
              </w:rPr>
              <w:t>Year 6</w:t>
            </w:r>
          </w:p>
        </w:tc>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4435B97" w14:textId="77777777" w:rsidR="005F2C11" w:rsidRDefault="005F2C11" w:rsidP="00C546A7">
            <w:pPr>
              <w:pStyle w:val="In-tableHeading"/>
              <w:keepLines/>
              <w:rPr>
                <w:color w:val="000000"/>
                <w:szCs w:val="20"/>
              </w:rPr>
            </w:pPr>
            <w:r>
              <w:rPr>
                <w:color w:val="000000"/>
                <w:szCs w:val="20"/>
              </w:rPr>
              <w:t>Total</w:t>
            </w:r>
          </w:p>
        </w:tc>
      </w:tr>
      <w:tr w:rsidR="00C546A7" w14:paraId="6EA3BFEC"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40F39D76" w14:textId="77777777" w:rsidR="005F2C11" w:rsidRDefault="005F2C11" w:rsidP="00C546A7">
            <w:pPr>
              <w:pStyle w:val="TableText0"/>
              <w:keepLines/>
            </w:pPr>
            <w:r>
              <w:t>Estimated cost to PBS/RPBS* (less copayments)</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CEC85B7" w14:textId="13874A28"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8"/>
                <w14:textFill>
                  <w14:solidFill>
                    <w14:srgbClr w14:val="000000">
                      <w14:alpha w14:val="100000"/>
                    </w14:srgbClr>
                  </w14:solidFill>
                </w14:textFill>
              </w:rPr>
              <w:t>|||</w:t>
            </w:r>
            <w:r w:rsidR="00C546A7" w:rsidRPr="00C546A7">
              <w:rPr>
                <w:color w:val="000000"/>
                <w:spacing w:val="1"/>
                <w:shd w:val="solid" w:color="000000" w:fill="000000"/>
                <w:fitText w:val="324" w:id="-628400378"/>
                <w14:textFill>
                  <w14:solidFill>
                    <w14:srgbClr w14:val="000000">
                      <w14:alpha w14:val="100000"/>
                    </w14:srgbClr>
                  </w14:solidFill>
                </w14:textFill>
              </w:rPr>
              <w:t>|</w:t>
            </w:r>
            <w:r w:rsidR="00EC13D4">
              <w:rPr>
                <w:vertAlign w:val="superscript"/>
              </w:rPr>
              <w:t>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8D2B31D" w14:textId="0DC3990D"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7"/>
                <w14:textFill>
                  <w14:solidFill>
                    <w14:srgbClr w14:val="000000">
                      <w14:alpha w14:val="100000"/>
                    </w14:srgbClr>
                  </w14:solidFill>
                </w14:textFill>
              </w:rPr>
              <w:t>||</w:t>
            </w:r>
            <w:r w:rsidR="00C546A7" w:rsidRPr="00C546A7">
              <w:rPr>
                <w:color w:val="000000"/>
                <w:spacing w:val="1"/>
                <w:shd w:val="solid" w:color="000000" w:fill="000000"/>
                <w:fitText w:val="216" w:id="-628400377"/>
                <w14:textFill>
                  <w14:solidFill>
                    <w14:srgbClr w14:val="000000">
                      <w14:alpha w14:val="100000"/>
                    </w14:srgbClr>
                  </w14:solidFill>
                </w14:textFill>
              </w:rPr>
              <w:t>|</w:t>
            </w:r>
            <w:r w:rsidR="00EC13D4">
              <w:rPr>
                <w:vertAlign w:val="superscript"/>
              </w:rPr>
              <w:t>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62E667B" w14:textId="78BAE78E"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6"/>
                <w14:textFill>
                  <w14:solidFill>
                    <w14:srgbClr w14:val="000000">
                      <w14:alpha w14:val="100000"/>
                    </w14:srgbClr>
                  </w14:solidFill>
                </w14:textFill>
              </w:rPr>
              <w:t>||</w:t>
            </w:r>
            <w:r w:rsidR="00C546A7" w:rsidRPr="00C546A7">
              <w:rPr>
                <w:color w:val="000000"/>
                <w:spacing w:val="1"/>
                <w:shd w:val="solid" w:color="000000" w:fill="000000"/>
                <w:fitText w:val="216" w:id="-628400376"/>
                <w14:textFill>
                  <w14:solidFill>
                    <w14:srgbClr w14:val="000000">
                      <w14:alpha w14:val="100000"/>
                    </w14:srgbClr>
                  </w14:solidFill>
                </w14:textFill>
              </w:rPr>
              <w:t>|</w:t>
            </w:r>
            <w:r w:rsidR="00EC13D4">
              <w:rPr>
                <w:vertAlign w:val="superscript"/>
              </w:rPr>
              <w:t>1</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7D1E5BC4" w14:textId="2500244E"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5"/>
                <w14:textFill>
                  <w14:solidFill>
                    <w14:srgbClr w14:val="000000">
                      <w14:alpha w14:val="100000"/>
                    </w14:srgbClr>
                  </w14:solidFill>
                </w14:textFill>
              </w:rPr>
              <w:t>||</w:t>
            </w:r>
            <w:r w:rsidR="00C546A7" w:rsidRPr="00C546A7">
              <w:rPr>
                <w:color w:val="000000"/>
                <w:spacing w:val="1"/>
                <w:shd w:val="solid" w:color="000000" w:fill="000000"/>
                <w:fitText w:val="216" w:id="-628400375"/>
                <w14:textFill>
                  <w14:solidFill>
                    <w14:srgbClr w14:val="000000">
                      <w14:alpha w14:val="100000"/>
                    </w14:srgbClr>
                  </w14:solidFill>
                </w14:textFill>
              </w:rPr>
              <w:t>|</w:t>
            </w:r>
            <w:r w:rsidR="00EC13D4">
              <w:rPr>
                <w:vertAlign w:val="superscript"/>
              </w:rPr>
              <w:t>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10B35B4D" w14:textId="0CA15D6E"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4"/>
                <w14:textFill>
                  <w14:solidFill>
                    <w14:srgbClr w14:val="000000">
                      <w14:alpha w14:val="100000"/>
                    </w14:srgbClr>
                  </w14:solidFill>
                </w14:textFill>
              </w:rPr>
              <w:t>||</w:t>
            </w:r>
            <w:r w:rsidR="00C546A7" w:rsidRPr="00C546A7">
              <w:rPr>
                <w:color w:val="000000"/>
                <w:spacing w:val="1"/>
                <w:shd w:val="solid" w:color="000000" w:fill="000000"/>
                <w:fitText w:val="216" w:id="-628400374"/>
                <w14:textFill>
                  <w14:solidFill>
                    <w14:srgbClr w14:val="000000">
                      <w14:alpha w14:val="100000"/>
                    </w14:srgbClr>
                  </w14:solidFill>
                </w14:textFill>
              </w:rPr>
              <w:t>|</w:t>
            </w:r>
            <w:r w:rsidR="00EC13D4">
              <w:rPr>
                <w:vertAlign w:val="superscript"/>
              </w:rPr>
              <w:t>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BC25E6E" w14:textId="3CF0F704"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3"/>
                <w14:textFill>
                  <w14:solidFill>
                    <w14:srgbClr w14:val="000000">
                      <w14:alpha w14:val="100000"/>
                    </w14:srgbClr>
                  </w14:solidFill>
                </w14:textFill>
              </w:rPr>
              <w:t>||</w:t>
            </w:r>
            <w:r w:rsidR="00C546A7" w:rsidRPr="00C546A7">
              <w:rPr>
                <w:color w:val="000000"/>
                <w:spacing w:val="1"/>
                <w:shd w:val="solid" w:color="000000" w:fill="000000"/>
                <w:fitText w:val="216" w:id="-628400373"/>
                <w14:textFill>
                  <w14:solidFill>
                    <w14:srgbClr w14:val="000000">
                      <w14:alpha w14:val="100000"/>
                    </w14:srgbClr>
                  </w14:solidFill>
                </w14:textFill>
              </w:rPr>
              <w:t>|</w:t>
            </w:r>
            <w:r w:rsidR="00EC13D4">
              <w:rPr>
                <w:vertAlign w:val="superscript"/>
              </w:rPr>
              <w:t>1</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7AAD8A68" w14:textId="4032E4FB"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2"/>
                <w14:textFill>
                  <w14:solidFill>
                    <w14:srgbClr w14:val="000000">
                      <w14:alpha w14:val="100000"/>
                    </w14:srgbClr>
                  </w14:solidFill>
                </w14:textFill>
              </w:rPr>
              <w:t>||</w:t>
            </w:r>
            <w:r w:rsidR="00C546A7" w:rsidRPr="00C546A7">
              <w:rPr>
                <w:color w:val="000000"/>
                <w:spacing w:val="1"/>
                <w:shd w:val="solid" w:color="000000" w:fill="000000"/>
                <w:fitText w:val="216" w:id="-628400372"/>
                <w14:textFill>
                  <w14:solidFill>
                    <w14:srgbClr w14:val="000000">
                      <w14:alpha w14:val="100000"/>
                    </w14:srgbClr>
                  </w14:solidFill>
                </w14:textFill>
              </w:rPr>
              <w:t>|</w:t>
            </w:r>
            <w:r w:rsidR="00EE108E">
              <w:rPr>
                <w:vertAlign w:val="superscript"/>
              </w:rPr>
              <w:t>11</w:t>
            </w:r>
          </w:p>
        </w:tc>
      </w:tr>
      <w:tr w:rsidR="005F2C11" w14:paraId="6D63C616" w14:textId="77777777" w:rsidTr="00C546A7">
        <w:trPr>
          <w:trHeight w:val="122"/>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1B06C296" w14:textId="77777777" w:rsidR="005F2C11" w:rsidRDefault="005F2C11" w:rsidP="00C546A7">
            <w:pPr>
              <w:pStyle w:val="TableText0"/>
              <w:keepLines/>
              <w:rPr>
                <w:b/>
              </w:rPr>
            </w:pPr>
            <w:r>
              <w:rPr>
                <w:b/>
              </w:rPr>
              <w:t>Proposed subsidisation caps</w:t>
            </w:r>
          </w:p>
        </w:tc>
      </w:tr>
      <w:tr w:rsidR="00C546A7" w14:paraId="7C576F9F"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27B332C7" w14:textId="77777777" w:rsidR="005F2C11" w:rsidRDefault="005F2C11" w:rsidP="00C546A7">
            <w:pPr>
              <w:pStyle w:val="TableText0"/>
              <w:keepLines/>
            </w:pPr>
            <w:r>
              <w:t>SC1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0AFCEA4" w14:textId="6967CDFF" w:rsidR="005F2C11" w:rsidRDefault="005F2C11" w:rsidP="00C546A7">
            <w:pPr>
              <w:pStyle w:val="TableText0"/>
              <w:keepLines/>
            </w:pPr>
            <w:r>
              <w:t>$</w:t>
            </w:r>
            <w:r w:rsidR="00C546A7" w:rsidRPr="00C546A7">
              <w:rPr>
                <w:color w:val="000000"/>
                <w:spacing w:val="51"/>
                <w:shd w:val="solid" w:color="000000" w:fill="000000"/>
                <w:fitText w:val="324" w:id="-628400371"/>
                <w14:textFill>
                  <w14:solidFill>
                    <w14:srgbClr w14:val="000000">
                      <w14:alpha w14:val="100000"/>
                    </w14:srgbClr>
                  </w14:solidFill>
                </w14:textFill>
              </w:rPr>
              <w:t>|||</w:t>
            </w:r>
            <w:r w:rsidR="00C546A7" w:rsidRPr="00C546A7">
              <w:rPr>
                <w:color w:val="000000"/>
                <w:spacing w:val="1"/>
                <w:shd w:val="solid" w:color="000000" w:fill="000000"/>
                <w:fitText w:val="324" w:id="-628400371"/>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139734F6" w14:textId="37C2F86F" w:rsidR="005F2C11" w:rsidRDefault="005F2C11" w:rsidP="00C546A7">
            <w:pPr>
              <w:pStyle w:val="TableText0"/>
              <w:keepLines/>
            </w:pPr>
            <w:r>
              <w:t>$</w:t>
            </w:r>
            <w:r w:rsidR="00C546A7" w:rsidRPr="00C546A7">
              <w:rPr>
                <w:color w:val="000000"/>
                <w:spacing w:val="51"/>
                <w:shd w:val="solid" w:color="000000" w:fill="000000"/>
                <w:fitText w:val="324" w:id="-628400370"/>
                <w14:textFill>
                  <w14:solidFill>
                    <w14:srgbClr w14:val="000000">
                      <w14:alpha w14:val="100000"/>
                    </w14:srgbClr>
                  </w14:solidFill>
                </w14:textFill>
              </w:rPr>
              <w:t>|||</w:t>
            </w:r>
            <w:r w:rsidR="00C546A7" w:rsidRPr="00C546A7">
              <w:rPr>
                <w:color w:val="000000"/>
                <w:spacing w:val="1"/>
                <w:shd w:val="solid" w:color="000000" w:fill="000000"/>
                <w:fitText w:val="324" w:id="-628400370"/>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AD76A81" w14:textId="1A729A6B" w:rsidR="005F2C11" w:rsidRDefault="005F2C11" w:rsidP="00C546A7">
            <w:pPr>
              <w:pStyle w:val="TableText0"/>
              <w:keepLines/>
            </w:pPr>
            <w:r>
              <w:t>$</w:t>
            </w:r>
            <w:r w:rsidR="00C546A7" w:rsidRPr="00C546A7">
              <w:rPr>
                <w:color w:val="000000"/>
                <w:spacing w:val="51"/>
                <w:shd w:val="solid" w:color="000000" w:fill="000000"/>
                <w:fitText w:val="324" w:id="-628400369"/>
                <w14:textFill>
                  <w14:solidFill>
                    <w14:srgbClr w14:val="000000">
                      <w14:alpha w14:val="100000"/>
                    </w14:srgbClr>
                  </w14:solidFill>
                </w14:textFill>
              </w:rPr>
              <w:t>|||</w:t>
            </w:r>
            <w:r w:rsidR="00C546A7" w:rsidRPr="00C546A7">
              <w:rPr>
                <w:color w:val="000000"/>
                <w:spacing w:val="1"/>
                <w:shd w:val="solid" w:color="000000" w:fill="000000"/>
                <w:fitText w:val="324" w:id="-628400369"/>
                <w14:textFill>
                  <w14:solidFill>
                    <w14:srgbClr w14:val="000000">
                      <w14:alpha w14:val="100000"/>
                    </w14:srgbClr>
                  </w14:solidFill>
                </w14:textFill>
              </w:rPr>
              <w:t>|</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251DA5FD" w14:textId="6D50C2DE" w:rsidR="005F2C11" w:rsidRDefault="005F2C11" w:rsidP="00C546A7">
            <w:pPr>
              <w:pStyle w:val="TableText0"/>
              <w:keepLines/>
            </w:pPr>
            <w:r>
              <w:t>$</w:t>
            </w:r>
            <w:r w:rsidR="00C546A7" w:rsidRPr="00C546A7">
              <w:rPr>
                <w:color w:val="000000"/>
                <w:spacing w:val="51"/>
                <w:shd w:val="solid" w:color="000000" w:fill="000000"/>
                <w:fitText w:val="324" w:id="-628400368"/>
                <w14:textFill>
                  <w14:solidFill>
                    <w14:srgbClr w14:val="000000">
                      <w14:alpha w14:val="100000"/>
                    </w14:srgbClr>
                  </w14:solidFill>
                </w14:textFill>
              </w:rPr>
              <w:t>|||</w:t>
            </w:r>
            <w:r w:rsidR="00C546A7" w:rsidRPr="00C546A7">
              <w:rPr>
                <w:color w:val="000000"/>
                <w:spacing w:val="1"/>
                <w:shd w:val="solid" w:color="000000" w:fill="000000"/>
                <w:fitText w:val="324" w:id="-628400368"/>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D75AD8D" w14:textId="2404EC35" w:rsidR="005F2C11" w:rsidRDefault="005F2C11" w:rsidP="00C546A7">
            <w:pPr>
              <w:pStyle w:val="TableText0"/>
              <w:keepLines/>
            </w:pPr>
            <w:r>
              <w:t>$</w:t>
            </w:r>
            <w:r w:rsidR="00C546A7" w:rsidRPr="00C546A7">
              <w:rPr>
                <w:color w:val="000000"/>
                <w:spacing w:val="51"/>
                <w:shd w:val="solid" w:color="000000" w:fill="000000"/>
                <w:fitText w:val="324" w:id="-628400384"/>
                <w14:textFill>
                  <w14:solidFill>
                    <w14:srgbClr w14:val="000000">
                      <w14:alpha w14:val="100000"/>
                    </w14:srgbClr>
                  </w14:solidFill>
                </w14:textFill>
              </w:rPr>
              <w:t>|||</w:t>
            </w:r>
            <w:r w:rsidR="00C546A7" w:rsidRPr="00C546A7">
              <w:rPr>
                <w:color w:val="000000"/>
                <w:spacing w:val="1"/>
                <w:shd w:val="solid" w:color="000000" w:fill="000000"/>
                <w:fitText w:val="324" w:id="-628400384"/>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69007D7" w14:textId="26929E15" w:rsidR="005F2C11" w:rsidRDefault="005F2C11" w:rsidP="00C546A7">
            <w:pPr>
              <w:pStyle w:val="TableText0"/>
              <w:keepLines/>
            </w:pPr>
            <w:r>
              <w:t>$</w:t>
            </w:r>
            <w:r w:rsidR="00C546A7" w:rsidRPr="00C546A7">
              <w:rPr>
                <w:color w:val="000000"/>
                <w:spacing w:val="51"/>
                <w:shd w:val="solid" w:color="000000" w:fill="000000"/>
                <w:fitText w:val="324" w:id="-628400383"/>
                <w14:textFill>
                  <w14:solidFill>
                    <w14:srgbClr w14:val="000000">
                      <w14:alpha w14:val="100000"/>
                    </w14:srgbClr>
                  </w14:solidFill>
                </w14:textFill>
              </w:rPr>
              <w:t>|||</w:t>
            </w:r>
            <w:r w:rsidR="00C546A7" w:rsidRPr="00C546A7">
              <w:rPr>
                <w:color w:val="000000"/>
                <w:spacing w:val="1"/>
                <w:shd w:val="solid" w:color="000000" w:fill="000000"/>
                <w:fitText w:val="324" w:id="-628400383"/>
                <w14:textFill>
                  <w14:solidFill>
                    <w14:srgbClr w14:val="000000">
                      <w14:alpha w14:val="100000"/>
                    </w14:srgbClr>
                  </w14:solidFill>
                </w14:textFill>
              </w:rPr>
              <w:t>|</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7E898244" w14:textId="7B2F25D3" w:rsidR="005F2C11" w:rsidRDefault="005F2C11" w:rsidP="00C546A7">
            <w:pPr>
              <w:pStyle w:val="TableText0"/>
              <w:keepLines/>
            </w:pPr>
            <w:r>
              <w:t>$</w:t>
            </w:r>
            <w:r w:rsidR="00C546A7" w:rsidRPr="00C546A7">
              <w:rPr>
                <w:color w:val="000000"/>
                <w:spacing w:val="51"/>
                <w:shd w:val="solid" w:color="000000" w:fill="000000"/>
                <w:fitText w:val="324" w:id="-628400382"/>
                <w14:textFill>
                  <w14:solidFill>
                    <w14:srgbClr w14:val="000000">
                      <w14:alpha w14:val="100000"/>
                    </w14:srgbClr>
                  </w14:solidFill>
                </w14:textFill>
              </w:rPr>
              <w:t>|||</w:t>
            </w:r>
            <w:r w:rsidR="00C546A7" w:rsidRPr="00C546A7">
              <w:rPr>
                <w:color w:val="000000"/>
                <w:spacing w:val="1"/>
                <w:shd w:val="solid" w:color="000000" w:fill="000000"/>
                <w:fitText w:val="324" w:id="-628400382"/>
                <w14:textFill>
                  <w14:solidFill>
                    <w14:srgbClr w14:val="000000">
                      <w14:alpha w14:val="100000"/>
                    </w14:srgbClr>
                  </w14:solidFill>
                </w14:textFill>
              </w:rPr>
              <w:t>|</w:t>
            </w:r>
          </w:p>
        </w:tc>
      </w:tr>
      <w:tr w:rsidR="00C546A7" w14:paraId="208AF864"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41622FF5" w14:textId="77777777" w:rsidR="005F2C11" w:rsidRDefault="005F2C11" w:rsidP="00C546A7">
            <w:pPr>
              <w:pStyle w:val="TableText0"/>
              <w:keepLines/>
            </w:pPr>
            <w:r>
              <w:t>SC2</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ED693F5" w14:textId="202B7A30" w:rsidR="005F2C11" w:rsidRDefault="005F2C11" w:rsidP="00C546A7">
            <w:pPr>
              <w:pStyle w:val="TableText0"/>
              <w:keepLines/>
            </w:pPr>
            <w:r>
              <w:t>$</w:t>
            </w:r>
            <w:r w:rsidR="00C546A7" w:rsidRPr="00C546A7">
              <w:rPr>
                <w:color w:val="000000"/>
                <w:spacing w:val="51"/>
                <w:shd w:val="solid" w:color="000000" w:fill="000000"/>
                <w:fitText w:val="324" w:id="-628400381"/>
                <w14:textFill>
                  <w14:solidFill>
                    <w14:srgbClr w14:val="000000">
                      <w14:alpha w14:val="100000"/>
                    </w14:srgbClr>
                  </w14:solidFill>
                </w14:textFill>
              </w:rPr>
              <w:t>|||</w:t>
            </w:r>
            <w:r w:rsidR="00C546A7" w:rsidRPr="00C546A7">
              <w:rPr>
                <w:color w:val="000000"/>
                <w:spacing w:val="1"/>
                <w:shd w:val="solid" w:color="000000" w:fill="000000"/>
                <w:fitText w:val="324" w:id="-628400381"/>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38F7028F" w14:textId="3E806C5B" w:rsidR="005F2C11" w:rsidRDefault="005F2C11" w:rsidP="00C546A7">
            <w:pPr>
              <w:pStyle w:val="TableText0"/>
              <w:keepLines/>
            </w:pPr>
            <w:r>
              <w:t>$</w:t>
            </w:r>
            <w:r w:rsidR="00C546A7" w:rsidRPr="00C546A7">
              <w:rPr>
                <w:color w:val="000000"/>
                <w:spacing w:val="51"/>
                <w:shd w:val="solid" w:color="000000" w:fill="000000"/>
                <w:fitText w:val="324" w:id="-628400380"/>
                <w14:textFill>
                  <w14:solidFill>
                    <w14:srgbClr w14:val="000000">
                      <w14:alpha w14:val="100000"/>
                    </w14:srgbClr>
                  </w14:solidFill>
                </w14:textFill>
              </w:rPr>
              <w:t>|||</w:t>
            </w:r>
            <w:r w:rsidR="00C546A7" w:rsidRPr="00C546A7">
              <w:rPr>
                <w:color w:val="000000"/>
                <w:spacing w:val="1"/>
                <w:shd w:val="solid" w:color="000000" w:fill="000000"/>
                <w:fitText w:val="324" w:id="-628400380"/>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729F8CB" w14:textId="55217807" w:rsidR="005F2C11" w:rsidRDefault="005F2C11" w:rsidP="00C546A7">
            <w:pPr>
              <w:pStyle w:val="TableText0"/>
              <w:keepLines/>
            </w:pPr>
            <w:r>
              <w:t>$</w:t>
            </w:r>
            <w:r w:rsidR="00C546A7" w:rsidRPr="00C546A7">
              <w:rPr>
                <w:color w:val="000000"/>
                <w:spacing w:val="51"/>
                <w:shd w:val="solid" w:color="000000" w:fill="000000"/>
                <w:fitText w:val="324" w:id="-628400379"/>
                <w14:textFill>
                  <w14:solidFill>
                    <w14:srgbClr w14:val="000000">
                      <w14:alpha w14:val="100000"/>
                    </w14:srgbClr>
                  </w14:solidFill>
                </w14:textFill>
              </w:rPr>
              <w:t>|||</w:t>
            </w:r>
            <w:r w:rsidR="00C546A7" w:rsidRPr="00C546A7">
              <w:rPr>
                <w:color w:val="000000"/>
                <w:spacing w:val="1"/>
                <w:shd w:val="solid" w:color="000000" w:fill="000000"/>
                <w:fitText w:val="324" w:id="-628400379"/>
                <w14:textFill>
                  <w14:solidFill>
                    <w14:srgbClr w14:val="000000">
                      <w14:alpha w14:val="100000"/>
                    </w14:srgbClr>
                  </w14:solidFill>
                </w14:textFill>
              </w:rPr>
              <w:t>|</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203A8393" w14:textId="157BE923" w:rsidR="005F2C11" w:rsidRDefault="005F2C11" w:rsidP="00C546A7">
            <w:pPr>
              <w:pStyle w:val="TableText0"/>
              <w:keepLines/>
            </w:pPr>
            <w:r>
              <w:t>$</w:t>
            </w:r>
            <w:r w:rsidR="00C546A7" w:rsidRPr="00C546A7">
              <w:rPr>
                <w:color w:val="000000"/>
                <w:spacing w:val="51"/>
                <w:shd w:val="solid" w:color="000000" w:fill="000000"/>
                <w:fitText w:val="324" w:id="-628400378"/>
                <w14:textFill>
                  <w14:solidFill>
                    <w14:srgbClr w14:val="000000">
                      <w14:alpha w14:val="100000"/>
                    </w14:srgbClr>
                  </w14:solidFill>
                </w14:textFill>
              </w:rPr>
              <w:t>|||</w:t>
            </w:r>
            <w:r w:rsidR="00C546A7" w:rsidRPr="00C546A7">
              <w:rPr>
                <w:color w:val="000000"/>
                <w:spacing w:val="1"/>
                <w:shd w:val="solid" w:color="000000" w:fill="000000"/>
                <w:fitText w:val="324" w:id="-628400378"/>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FD673BE" w14:textId="1C0DB1A0" w:rsidR="005F2C11" w:rsidRDefault="005F2C11" w:rsidP="00C546A7">
            <w:pPr>
              <w:pStyle w:val="TableText0"/>
              <w:keepLines/>
            </w:pPr>
            <w:r>
              <w:t>$</w:t>
            </w:r>
            <w:r w:rsidR="00C546A7" w:rsidRPr="00C546A7">
              <w:rPr>
                <w:color w:val="000000"/>
                <w:spacing w:val="51"/>
                <w:shd w:val="solid" w:color="000000" w:fill="000000"/>
                <w:fitText w:val="324" w:id="-628400377"/>
                <w14:textFill>
                  <w14:solidFill>
                    <w14:srgbClr w14:val="000000">
                      <w14:alpha w14:val="100000"/>
                    </w14:srgbClr>
                  </w14:solidFill>
                </w14:textFill>
              </w:rPr>
              <w:t>|||</w:t>
            </w:r>
            <w:r w:rsidR="00C546A7" w:rsidRPr="00C546A7">
              <w:rPr>
                <w:color w:val="000000"/>
                <w:spacing w:val="1"/>
                <w:shd w:val="solid" w:color="000000" w:fill="000000"/>
                <w:fitText w:val="324" w:id="-628400377"/>
                <w14:textFill>
                  <w14:solidFill>
                    <w14:srgbClr w14:val="000000">
                      <w14:alpha w14:val="100000"/>
                    </w14:srgbClr>
                  </w14:solidFill>
                </w14:textFill>
              </w:rPr>
              <w:t>|</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1233BF4" w14:textId="510BDC39" w:rsidR="005F2C11" w:rsidRDefault="005F2C11" w:rsidP="00C546A7">
            <w:pPr>
              <w:pStyle w:val="TableText0"/>
              <w:keepLines/>
            </w:pPr>
            <w:r>
              <w:t>$</w:t>
            </w:r>
            <w:r w:rsidR="00C546A7" w:rsidRPr="00C546A7">
              <w:rPr>
                <w:color w:val="000000"/>
                <w:spacing w:val="51"/>
                <w:shd w:val="solid" w:color="000000" w:fill="000000"/>
                <w:fitText w:val="324" w:id="-628400376"/>
                <w14:textFill>
                  <w14:solidFill>
                    <w14:srgbClr w14:val="000000">
                      <w14:alpha w14:val="100000"/>
                    </w14:srgbClr>
                  </w14:solidFill>
                </w14:textFill>
              </w:rPr>
              <w:t>|||</w:t>
            </w:r>
            <w:r w:rsidR="00C546A7" w:rsidRPr="00C546A7">
              <w:rPr>
                <w:color w:val="000000"/>
                <w:spacing w:val="1"/>
                <w:shd w:val="solid" w:color="000000" w:fill="000000"/>
                <w:fitText w:val="324" w:id="-628400376"/>
                <w14:textFill>
                  <w14:solidFill>
                    <w14:srgbClr w14:val="000000">
                      <w14:alpha w14:val="100000"/>
                    </w14:srgbClr>
                  </w14:solidFill>
                </w14:textFill>
              </w:rPr>
              <w:t>|</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1FBFEA44" w14:textId="5333961B" w:rsidR="005F2C11" w:rsidRDefault="005F2C11" w:rsidP="00C546A7">
            <w:pPr>
              <w:pStyle w:val="TableText0"/>
              <w:keepLines/>
            </w:pPr>
            <w:r>
              <w:t>$</w:t>
            </w:r>
            <w:r w:rsidR="00C546A7" w:rsidRPr="00C546A7">
              <w:rPr>
                <w:color w:val="000000"/>
                <w:spacing w:val="51"/>
                <w:shd w:val="solid" w:color="000000" w:fill="000000"/>
                <w:fitText w:val="324" w:id="-628400375"/>
                <w14:textFill>
                  <w14:solidFill>
                    <w14:srgbClr w14:val="000000">
                      <w14:alpha w14:val="100000"/>
                    </w14:srgbClr>
                  </w14:solidFill>
                </w14:textFill>
              </w:rPr>
              <w:t>|||</w:t>
            </w:r>
            <w:r w:rsidR="00C546A7" w:rsidRPr="00C546A7">
              <w:rPr>
                <w:color w:val="000000"/>
                <w:spacing w:val="1"/>
                <w:shd w:val="solid" w:color="000000" w:fill="000000"/>
                <w:fitText w:val="324" w:id="-628400375"/>
                <w14:textFill>
                  <w14:solidFill>
                    <w14:srgbClr w14:val="000000">
                      <w14:alpha w14:val="100000"/>
                    </w14:srgbClr>
                  </w14:solidFill>
                </w14:textFill>
              </w:rPr>
              <w:t>|</w:t>
            </w:r>
          </w:p>
        </w:tc>
      </w:tr>
      <w:tr w:rsidR="005F2C11" w14:paraId="3DFBC06C" w14:textId="77777777" w:rsidTr="00C546A7">
        <w:trPr>
          <w:trHeight w:val="122"/>
        </w:trPr>
        <w:tc>
          <w:tcPr>
            <w:tcW w:w="5000" w:type="pct"/>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E67C4F6" w14:textId="77777777" w:rsidR="005F2C11" w:rsidRDefault="005F2C11" w:rsidP="00C546A7">
            <w:pPr>
              <w:pStyle w:val="TableText0"/>
              <w:keepLines/>
              <w:rPr>
                <w:b/>
              </w:rPr>
            </w:pPr>
            <w:r>
              <w:rPr>
                <w:b/>
                <w:bCs w:val="0"/>
              </w:rPr>
              <w:t>Estimated RSA rebate</w:t>
            </w:r>
          </w:p>
        </w:tc>
      </w:tr>
      <w:tr w:rsidR="00C546A7" w14:paraId="50B71267"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7E11CBC4" w14:textId="77777777" w:rsidR="005F2C11" w:rsidRDefault="005F2C11" w:rsidP="00C546A7">
            <w:pPr>
              <w:pStyle w:val="TableText0"/>
              <w:keepLines/>
            </w:pPr>
            <w:r>
              <w:t>SC1 rebate</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0BC32AEC" w14:textId="055FF4F5"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4"/>
                <w14:textFill>
                  <w14:solidFill>
                    <w14:srgbClr w14:val="000000">
                      <w14:alpha w14:val="100000"/>
                    </w14:srgbClr>
                  </w14:solidFill>
                </w14:textFill>
              </w:rPr>
              <w:t>|||</w:t>
            </w:r>
            <w:r w:rsidR="00C546A7" w:rsidRPr="00C546A7">
              <w:rPr>
                <w:color w:val="000000"/>
                <w:spacing w:val="1"/>
                <w:shd w:val="solid" w:color="000000" w:fill="000000"/>
                <w:fitText w:val="324" w:id="-628400374"/>
                <w14:textFill>
                  <w14:solidFill>
                    <w14:srgbClr w14:val="000000">
                      <w14:alpha w14:val="100000"/>
                    </w14:srgbClr>
                  </w14:solidFill>
                </w14:textFill>
              </w:rPr>
              <w:t>|</w:t>
            </w:r>
            <w:r w:rsidR="00EC13D4">
              <w:rPr>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9525801" w14:textId="7152C7CB"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3"/>
                <w14:textFill>
                  <w14:solidFill>
                    <w14:srgbClr w14:val="000000">
                      <w14:alpha w14:val="100000"/>
                    </w14:srgbClr>
                  </w14:solidFill>
                </w14:textFill>
              </w:rPr>
              <w:t>|||</w:t>
            </w:r>
            <w:r w:rsidR="00C546A7" w:rsidRPr="00C546A7">
              <w:rPr>
                <w:color w:val="000000"/>
                <w:spacing w:val="1"/>
                <w:shd w:val="solid" w:color="000000" w:fill="000000"/>
                <w:fitText w:val="324" w:id="-628400373"/>
                <w14:textFill>
                  <w14:solidFill>
                    <w14:srgbClr w14:val="000000">
                      <w14:alpha w14:val="100000"/>
                    </w14:srgbClr>
                  </w14:solidFill>
                </w14:textFill>
              </w:rPr>
              <w:t>|</w:t>
            </w:r>
            <w:r w:rsidR="00EC13D4">
              <w:rPr>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7070803" w14:textId="0B21AFE9"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2"/>
                <w14:textFill>
                  <w14:solidFill>
                    <w14:srgbClr w14:val="000000">
                      <w14:alpha w14:val="100000"/>
                    </w14:srgbClr>
                  </w14:solidFill>
                </w14:textFill>
              </w:rPr>
              <w:t>|||</w:t>
            </w:r>
            <w:r w:rsidR="00C546A7" w:rsidRPr="00C546A7">
              <w:rPr>
                <w:color w:val="000000"/>
                <w:spacing w:val="1"/>
                <w:shd w:val="solid" w:color="000000" w:fill="000000"/>
                <w:fitText w:val="324" w:id="-628400372"/>
                <w14:textFill>
                  <w14:solidFill>
                    <w14:srgbClr w14:val="000000">
                      <w14:alpha w14:val="100000"/>
                    </w14:srgbClr>
                  </w14:solidFill>
                </w14:textFill>
              </w:rPr>
              <w:t>|</w:t>
            </w:r>
            <w:r w:rsidR="00EC13D4">
              <w:rPr>
                <w:vertAlign w:val="superscript"/>
              </w:rPr>
              <w:t>2</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73CB3946" w14:textId="18274A31"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1"/>
                <w14:textFill>
                  <w14:solidFill>
                    <w14:srgbClr w14:val="000000">
                      <w14:alpha w14:val="100000"/>
                    </w14:srgbClr>
                  </w14:solidFill>
                </w14:textFill>
              </w:rPr>
              <w:t>||</w:t>
            </w:r>
            <w:r w:rsidR="00C546A7" w:rsidRPr="00C546A7">
              <w:rPr>
                <w:color w:val="000000"/>
                <w:spacing w:val="1"/>
                <w:shd w:val="solid" w:color="000000" w:fill="000000"/>
                <w:fitText w:val="216" w:id="-628400371"/>
                <w14:textFill>
                  <w14:solidFill>
                    <w14:srgbClr w14:val="000000">
                      <w14:alpha w14:val="100000"/>
                    </w14:srgbClr>
                  </w14:solidFill>
                </w14:textFill>
              </w:rPr>
              <w:t>|</w:t>
            </w:r>
            <w:r w:rsidR="00EC13D4">
              <w:rPr>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66118A1" w14:textId="3B23E073"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0"/>
                <w14:textFill>
                  <w14:solidFill>
                    <w14:srgbClr w14:val="000000">
                      <w14:alpha w14:val="100000"/>
                    </w14:srgbClr>
                  </w14:solidFill>
                </w14:textFill>
              </w:rPr>
              <w:t>|||</w:t>
            </w:r>
            <w:r w:rsidR="00C546A7" w:rsidRPr="00C546A7">
              <w:rPr>
                <w:color w:val="000000"/>
                <w:spacing w:val="1"/>
                <w:shd w:val="solid" w:color="000000" w:fill="000000"/>
                <w:fitText w:val="324" w:id="-628400370"/>
                <w14:textFill>
                  <w14:solidFill>
                    <w14:srgbClr w14:val="000000">
                      <w14:alpha w14:val="100000"/>
                    </w14:srgbClr>
                  </w14:solidFill>
                </w14:textFill>
              </w:rPr>
              <w:t>|</w:t>
            </w:r>
            <w:r w:rsidR="00EC13D4">
              <w:rPr>
                <w:vertAlign w:val="superscript"/>
              </w:rPr>
              <w:t>2</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5FACF66" w14:textId="1238F88F"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69"/>
                <w14:textFill>
                  <w14:solidFill>
                    <w14:srgbClr w14:val="000000">
                      <w14:alpha w14:val="100000"/>
                    </w14:srgbClr>
                  </w14:solidFill>
                </w14:textFill>
              </w:rPr>
              <w:t>|||</w:t>
            </w:r>
            <w:r w:rsidR="00C546A7" w:rsidRPr="00C546A7">
              <w:rPr>
                <w:color w:val="000000"/>
                <w:spacing w:val="1"/>
                <w:shd w:val="solid" w:color="000000" w:fill="000000"/>
                <w:fitText w:val="324" w:id="-628400369"/>
                <w14:textFill>
                  <w14:solidFill>
                    <w14:srgbClr w14:val="000000">
                      <w14:alpha w14:val="100000"/>
                    </w14:srgbClr>
                  </w14:solidFill>
                </w14:textFill>
              </w:rPr>
              <w:t>|</w:t>
            </w:r>
            <w:r w:rsidR="00EC13D4">
              <w:rPr>
                <w:vertAlign w:val="superscript"/>
              </w:rPr>
              <w:t>2</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61F36002" w14:textId="2BD1A206"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68"/>
                <w14:textFill>
                  <w14:solidFill>
                    <w14:srgbClr w14:val="000000">
                      <w14:alpha w14:val="100000"/>
                    </w14:srgbClr>
                  </w14:solidFill>
                </w14:textFill>
              </w:rPr>
              <w:t>||</w:t>
            </w:r>
            <w:r w:rsidR="00C546A7" w:rsidRPr="00C546A7">
              <w:rPr>
                <w:color w:val="000000"/>
                <w:spacing w:val="1"/>
                <w:shd w:val="solid" w:color="000000" w:fill="000000"/>
                <w:fitText w:val="216" w:id="-628400368"/>
                <w14:textFill>
                  <w14:solidFill>
                    <w14:srgbClr w14:val="000000">
                      <w14:alpha w14:val="100000"/>
                    </w14:srgbClr>
                  </w14:solidFill>
                </w14:textFill>
              </w:rPr>
              <w:t>|</w:t>
            </w:r>
            <w:r w:rsidR="00EC13D4">
              <w:rPr>
                <w:vertAlign w:val="superscript"/>
              </w:rPr>
              <w:t>3</w:t>
            </w:r>
          </w:p>
        </w:tc>
      </w:tr>
      <w:tr w:rsidR="00C546A7" w14:paraId="514C3E7B"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1A49E5EB" w14:textId="77777777" w:rsidR="005F2C11" w:rsidRDefault="005F2C11" w:rsidP="00C546A7">
            <w:pPr>
              <w:pStyle w:val="TableText0"/>
              <w:keepLines/>
            </w:pPr>
            <w:r>
              <w:t>SC2 rebate</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0061C73" w14:textId="3CC3DDBF"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4"/>
                <w14:textFill>
                  <w14:solidFill>
                    <w14:srgbClr w14:val="000000">
                      <w14:alpha w14:val="100000"/>
                    </w14:srgbClr>
                  </w14:solidFill>
                </w14:textFill>
              </w:rPr>
              <w:t>|||</w:t>
            </w:r>
            <w:r w:rsidR="00C546A7" w:rsidRPr="00C546A7">
              <w:rPr>
                <w:color w:val="000000"/>
                <w:spacing w:val="1"/>
                <w:shd w:val="solid" w:color="000000" w:fill="000000"/>
                <w:fitText w:val="324" w:id="-628400384"/>
                <w14:textFill>
                  <w14:solidFill>
                    <w14:srgbClr w14:val="000000">
                      <w14:alpha w14:val="100000"/>
                    </w14:srgbClr>
                  </w14:solidFill>
                </w14:textFill>
              </w:rPr>
              <w:t>|</w:t>
            </w:r>
            <w:r w:rsidR="00EC13D4">
              <w:rPr>
                <w:vertAlign w:val="superscript"/>
              </w:rPr>
              <w:t>4</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57E2479" w14:textId="17017A5A"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3"/>
                <w14:textFill>
                  <w14:solidFill>
                    <w14:srgbClr w14:val="000000">
                      <w14:alpha w14:val="100000"/>
                    </w14:srgbClr>
                  </w14:solidFill>
                </w14:textFill>
              </w:rPr>
              <w:t>|||</w:t>
            </w:r>
            <w:r w:rsidR="00C546A7" w:rsidRPr="00C546A7">
              <w:rPr>
                <w:color w:val="000000"/>
                <w:spacing w:val="1"/>
                <w:shd w:val="solid" w:color="000000" w:fill="000000"/>
                <w:fitText w:val="324" w:id="-628400383"/>
                <w14:textFill>
                  <w14:solidFill>
                    <w14:srgbClr w14:val="000000">
                      <w14:alpha w14:val="100000"/>
                    </w14:srgbClr>
                  </w14:solidFill>
                </w14:textFill>
              </w:rPr>
              <w:t>|</w:t>
            </w:r>
            <w:r w:rsidR="007E73A7">
              <w:rPr>
                <w:vertAlign w:val="superscript"/>
              </w:rPr>
              <w:t>5</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349EE60" w14:textId="3FC65F1C"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2"/>
                <w14:textFill>
                  <w14:solidFill>
                    <w14:srgbClr w14:val="000000">
                      <w14:alpha w14:val="100000"/>
                    </w14:srgbClr>
                  </w14:solidFill>
                </w14:textFill>
              </w:rPr>
              <w:t>|||</w:t>
            </w:r>
            <w:r w:rsidR="00C546A7" w:rsidRPr="00C546A7">
              <w:rPr>
                <w:color w:val="000000"/>
                <w:spacing w:val="1"/>
                <w:shd w:val="solid" w:color="000000" w:fill="000000"/>
                <w:fitText w:val="324" w:id="-628400382"/>
                <w14:textFill>
                  <w14:solidFill>
                    <w14:srgbClr w14:val="000000">
                      <w14:alpha w14:val="100000"/>
                    </w14:srgbClr>
                  </w14:solidFill>
                </w14:textFill>
              </w:rPr>
              <w:t>|</w:t>
            </w:r>
            <w:r w:rsidR="007E73A7">
              <w:rPr>
                <w:vertAlign w:val="superscript"/>
              </w:rPr>
              <w:t>5</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764AD075" w14:textId="7B1EB849"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81"/>
                <w14:textFill>
                  <w14:solidFill>
                    <w14:srgbClr w14:val="000000">
                      <w14:alpha w14:val="100000"/>
                    </w14:srgbClr>
                  </w14:solidFill>
                </w14:textFill>
              </w:rPr>
              <w:t>||</w:t>
            </w:r>
            <w:r w:rsidR="00C546A7" w:rsidRPr="00C546A7">
              <w:rPr>
                <w:color w:val="000000"/>
                <w:spacing w:val="1"/>
                <w:shd w:val="solid" w:color="000000" w:fill="000000"/>
                <w:fitText w:val="216" w:id="-628400381"/>
                <w14:textFill>
                  <w14:solidFill>
                    <w14:srgbClr w14:val="000000">
                      <w14:alpha w14:val="100000"/>
                    </w14:srgbClr>
                  </w14:solidFill>
                </w14:textFill>
              </w:rPr>
              <w:t>|</w:t>
            </w:r>
            <w:r w:rsidR="007E73A7">
              <w:rPr>
                <w:vertAlign w:val="superscript"/>
              </w:rPr>
              <w:t>5</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F2C14D0" w14:textId="55057BE0"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0"/>
                <w14:textFill>
                  <w14:solidFill>
                    <w14:srgbClr w14:val="000000">
                      <w14:alpha w14:val="100000"/>
                    </w14:srgbClr>
                  </w14:solidFill>
                </w14:textFill>
              </w:rPr>
              <w:t>|||</w:t>
            </w:r>
            <w:r w:rsidR="00C546A7" w:rsidRPr="00C546A7">
              <w:rPr>
                <w:color w:val="000000"/>
                <w:spacing w:val="1"/>
                <w:shd w:val="solid" w:color="000000" w:fill="000000"/>
                <w:fitText w:val="324" w:id="-628400380"/>
                <w14:textFill>
                  <w14:solidFill>
                    <w14:srgbClr w14:val="000000">
                      <w14:alpha w14:val="100000"/>
                    </w14:srgbClr>
                  </w14:solidFill>
                </w14:textFill>
              </w:rPr>
              <w:t>|</w:t>
            </w:r>
            <w:r w:rsidR="007E73A7">
              <w:rPr>
                <w:vertAlign w:val="superscript"/>
              </w:rPr>
              <w:t>3</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927303A" w14:textId="1D98F639"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9"/>
                <w14:textFill>
                  <w14:solidFill>
                    <w14:srgbClr w14:val="000000">
                      <w14:alpha w14:val="100000"/>
                    </w14:srgbClr>
                  </w14:solidFill>
                </w14:textFill>
              </w:rPr>
              <w:t>|||</w:t>
            </w:r>
            <w:r w:rsidR="00C546A7" w:rsidRPr="00C546A7">
              <w:rPr>
                <w:color w:val="000000"/>
                <w:spacing w:val="1"/>
                <w:shd w:val="solid" w:color="000000" w:fill="000000"/>
                <w:fitText w:val="324" w:id="-628400379"/>
                <w14:textFill>
                  <w14:solidFill>
                    <w14:srgbClr w14:val="000000">
                      <w14:alpha w14:val="100000"/>
                    </w14:srgbClr>
                  </w14:solidFill>
                </w14:textFill>
              </w:rPr>
              <w:t>|</w:t>
            </w:r>
            <w:r w:rsidR="007E73A7">
              <w:rPr>
                <w:vertAlign w:val="superscript"/>
              </w:rPr>
              <w:t>3</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7F71F18A" w14:textId="18DE2DC6"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8"/>
                <w14:textFill>
                  <w14:solidFill>
                    <w14:srgbClr w14:val="000000">
                      <w14:alpha w14:val="100000"/>
                    </w14:srgbClr>
                  </w14:solidFill>
                </w14:textFill>
              </w:rPr>
              <w:t>||</w:t>
            </w:r>
            <w:r w:rsidR="00C546A7" w:rsidRPr="00C546A7">
              <w:rPr>
                <w:color w:val="000000"/>
                <w:spacing w:val="1"/>
                <w:shd w:val="solid" w:color="000000" w:fill="000000"/>
                <w:fitText w:val="216" w:id="-628400378"/>
                <w14:textFill>
                  <w14:solidFill>
                    <w14:srgbClr w14:val="000000">
                      <w14:alpha w14:val="100000"/>
                    </w14:srgbClr>
                  </w14:solidFill>
                </w14:textFill>
              </w:rPr>
              <w:t>|</w:t>
            </w:r>
            <w:r w:rsidR="007E73A7">
              <w:rPr>
                <w:vertAlign w:val="superscript"/>
              </w:rPr>
              <w:t>6</w:t>
            </w:r>
          </w:p>
        </w:tc>
      </w:tr>
      <w:tr w:rsidR="00C546A7" w14:paraId="202FB2BF"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7505DE8E" w14:textId="77777777" w:rsidR="005F2C11" w:rsidRDefault="005F2C11" w:rsidP="00C546A7">
            <w:pPr>
              <w:pStyle w:val="TableText0"/>
              <w:keepLines/>
            </w:pPr>
            <w:r>
              <w:t>Total RSA rebate</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D37E0AC" w14:textId="4DCD6683"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7"/>
                <w14:textFill>
                  <w14:solidFill>
                    <w14:srgbClr w14:val="000000">
                      <w14:alpha w14:val="100000"/>
                    </w14:srgbClr>
                  </w14:solidFill>
                </w14:textFill>
              </w:rPr>
              <w:t>|||</w:t>
            </w:r>
            <w:r w:rsidR="00C546A7" w:rsidRPr="00C546A7">
              <w:rPr>
                <w:color w:val="000000"/>
                <w:spacing w:val="1"/>
                <w:shd w:val="solid" w:color="000000" w:fill="000000"/>
                <w:fitText w:val="324" w:id="-628400377"/>
                <w14:textFill>
                  <w14:solidFill>
                    <w14:srgbClr w14:val="000000">
                      <w14:alpha w14:val="100000"/>
                    </w14:srgbClr>
                  </w14:solidFill>
                </w14:textFill>
              </w:rPr>
              <w:t>|</w:t>
            </w:r>
            <w:r w:rsidR="007E73A7">
              <w:rPr>
                <w:vertAlign w:val="superscript"/>
              </w:rPr>
              <w:t>3</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3B326AF" w14:textId="33069DEB"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6"/>
                <w14:textFill>
                  <w14:solidFill>
                    <w14:srgbClr w14:val="000000">
                      <w14:alpha w14:val="100000"/>
                    </w14:srgbClr>
                  </w14:solidFill>
                </w14:textFill>
              </w:rPr>
              <w:t>|||</w:t>
            </w:r>
            <w:r w:rsidR="00C546A7" w:rsidRPr="00C546A7">
              <w:rPr>
                <w:color w:val="000000"/>
                <w:spacing w:val="1"/>
                <w:shd w:val="solid" w:color="000000" w:fill="000000"/>
                <w:fitText w:val="324" w:id="-628400376"/>
                <w14:textFill>
                  <w14:solidFill>
                    <w14:srgbClr w14:val="000000">
                      <w14:alpha w14:val="100000"/>
                    </w14:srgbClr>
                  </w14:solidFill>
                </w14:textFill>
              </w:rPr>
              <w:t>|</w:t>
            </w:r>
            <w:r w:rsidR="007E73A7">
              <w:rPr>
                <w:vertAlign w:val="superscript"/>
              </w:rPr>
              <w:t>3</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ADFFFAF" w14:textId="69C32D74"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5"/>
                <w14:textFill>
                  <w14:solidFill>
                    <w14:srgbClr w14:val="000000">
                      <w14:alpha w14:val="100000"/>
                    </w14:srgbClr>
                  </w14:solidFill>
                </w14:textFill>
              </w:rPr>
              <w:t>|||</w:t>
            </w:r>
            <w:r w:rsidR="00C546A7" w:rsidRPr="00C546A7">
              <w:rPr>
                <w:color w:val="000000"/>
                <w:spacing w:val="1"/>
                <w:shd w:val="solid" w:color="000000" w:fill="000000"/>
                <w:fitText w:val="324" w:id="-628400375"/>
                <w14:textFill>
                  <w14:solidFill>
                    <w14:srgbClr w14:val="000000">
                      <w14:alpha w14:val="100000"/>
                    </w14:srgbClr>
                  </w14:solidFill>
                </w14:textFill>
              </w:rPr>
              <w:t>|</w:t>
            </w:r>
            <w:r w:rsidR="007E73A7">
              <w:rPr>
                <w:vertAlign w:val="superscript"/>
              </w:rPr>
              <w:t>7</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2E60BCEF" w14:textId="7FDB2EBE"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4"/>
                <w14:textFill>
                  <w14:solidFill>
                    <w14:srgbClr w14:val="000000">
                      <w14:alpha w14:val="100000"/>
                    </w14:srgbClr>
                  </w14:solidFill>
                </w14:textFill>
              </w:rPr>
              <w:t>||</w:t>
            </w:r>
            <w:r w:rsidR="00C546A7" w:rsidRPr="00C546A7">
              <w:rPr>
                <w:color w:val="000000"/>
                <w:spacing w:val="1"/>
                <w:shd w:val="solid" w:color="000000" w:fill="000000"/>
                <w:fitText w:val="216" w:id="-628400374"/>
                <w14:textFill>
                  <w14:solidFill>
                    <w14:srgbClr w14:val="000000">
                      <w14:alpha w14:val="100000"/>
                    </w14:srgbClr>
                  </w14:solidFill>
                </w14:textFill>
              </w:rPr>
              <w:t>|</w:t>
            </w:r>
            <w:r w:rsidR="007E73A7">
              <w:rPr>
                <w:vertAlign w:val="superscript"/>
              </w:rPr>
              <w:t>7</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03CE714" w14:textId="2F2CD715"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3"/>
                <w14:textFill>
                  <w14:solidFill>
                    <w14:srgbClr w14:val="000000">
                      <w14:alpha w14:val="100000"/>
                    </w14:srgbClr>
                  </w14:solidFill>
                </w14:textFill>
              </w:rPr>
              <w:t>|||</w:t>
            </w:r>
            <w:r w:rsidR="00C546A7" w:rsidRPr="00C546A7">
              <w:rPr>
                <w:color w:val="000000"/>
                <w:spacing w:val="1"/>
                <w:shd w:val="solid" w:color="000000" w:fill="000000"/>
                <w:fitText w:val="324" w:id="-628400373"/>
                <w14:textFill>
                  <w14:solidFill>
                    <w14:srgbClr w14:val="000000">
                      <w14:alpha w14:val="100000"/>
                    </w14:srgbClr>
                  </w14:solidFill>
                </w14:textFill>
              </w:rPr>
              <w:t>|</w:t>
            </w:r>
            <w:r w:rsidR="007E73A7">
              <w:rPr>
                <w:vertAlign w:val="superscript"/>
              </w:rPr>
              <w:t>7</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B79C454" w14:textId="35124507"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2"/>
                <w14:textFill>
                  <w14:solidFill>
                    <w14:srgbClr w14:val="000000">
                      <w14:alpha w14:val="100000"/>
                    </w14:srgbClr>
                  </w14:solidFill>
                </w14:textFill>
              </w:rPr>
              <w:t>|||</w:t>
            </w:r>
            <w:r w:rsidR="00C546A7" w:rsidRPr="00C546A7">
              <w:rPr>
                <w:color w:val="000000"/>
                <w:spacing w:val="1"/>
                <w:shd w:val="solid" w:color="000000" w:fill="000000"/>
                <w:fitText w:val="324" w:id="-628400372"/>
                <w14:textFill>
                  <w14:solidFill>
                    <w14:srgbClr w14:val="000000">
                      <w14:alpha w14:val="100000"/>
                    </w14:srgbClr>
                  </w14:solidFill>
                </w14:textFill>
              </w:rPr>
              <w:t>|</w:t>
            </w:r>
            <w:r w:rsidR="007E73A7">
              <w:rPr>
                <w:vertAlign w:val="superscript"/>
              </w:rPr>
              <w:t>7</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196DB118" w14:textId="31C0F60C"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1"/>
                <w14:textFill>
                  <w14:solidFill>
                    <w14:srgbClr w14:val="000000">
                      <w14:alpha w14:val="100000"/>
                    </w14:srgbClr>
                  </w14:solidFill>
                </w14:textFill>
              </w:rPr>
              <w:t>||</w:t>
            </w:r>
            <w:r w:rsidR="00C546A7" w:rsidRPr="00C546A7">
              <w:rPr>
                <w:color w:val="000000"/>
                <w:spacing w:val="1"/>
                <w:shd w:val="solid" w:color="000000" w:fill="000000"/>
                <w:fitText w:val="216" w:id="-628400371"/>
                <w14:textFill>
                  <w14:solidFill>
                    <w14:srgbClr w14:val="000000">
                      <w14:alpha w14:val="100000"/>
                    </w14:srgbClr>
                  </w14:solidFill>
                </w14:textFill>
              </w:rPr>
              <w:t>|</w:t>
            </w:r>
            <w:r w:rsidR="007E73A7">
              <w:rPr>
                <w:vertAlign w:val="superscript"/>
              </w:rPr>
              <w:t>8</w:t>
            </w:r>
          </w:p>
        </w:tc>
      </w:tr>
      <w:tr w:rsidR="00C546A7" w14:paraId="08BF3035"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60E918BC" w14:textId="77777777" w:rsidR="005F2C11" w:rsidRDefault="005F2C11" w:rsidP="00C546A7">
            <w:pPr>
              <w:pStyle w:val="TableText0"/>
              <w:keepLines/>
            </w:pPr>
            <w:r>
              <w:t>Estimated cost after RSA rebates</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6966CBD8" w14:textId="3D0EE39F"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0"/>
                <w14:textFill>
                  <w14:solidFill>
                    <w14:srgbClr w14:val="000000">
                      <w14:alpha w14:val="100000"/>
                    </w14:srgbClr>
                  </w14:solidFill>
                </w14:textFill>
              </w:rPr>
              <w:t>|||</w:t>
            </w:r>
            <w:r w:rsidR="00C546A7" w:rsidRPr="00C546A7">
              <w:rPr>
                <w:color w:val="000000"/>
                <w:spacing w:val="1"/>
                <w:shd w:val="solid" w:color="000000" w:fill="000000"/>
                <w:fitText w:val="324" w:id="-628400370"/>
                <w14:textFill>
                  <w14:solidFill>
                    <w14:srgbClr w14:val="000000">
                      <w14:alpha w14:val="100000"/>
                    </w14:srgbClr>
                  </w14:solidFill>
                </w14:textFill>
              </w:rPr>
              <w:t>|</w:t>
            </w:r>
            <w:r w:rsidR="007E73A7">
              <w:rPr>
                <w:vertAlign w:val="superscript"/>
              </w:rPr>
              <w:t>9</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27A71EB9" w14:textId="6B01A777"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69"/>
                <w14:textFill>
                  <w14:solidFill>
                    <w14:srgbClr w14:val="000000">
                      <w14:alpha w14:val="100000"/>
                    </w14:srgbClr>
                  </w14:solidFill>
                </w14:textFill>
              </w:rPr>
              <w:t>|||</w:t>
            </w:r>
            <w:r w:rsidR="00C546A7" w:rsidRPr="00C546A7">
              <w:rPr>
                <w:color w:val="000000"/>
                <w:spacing w:val="1"/>
                <w:shd w:val="solid" w:color="000000" w:fill="000000"/>
                <w:fitText w:val="324" w:id="-628400369"/>
                <w14:textFill>
                  <w14:solidFill>
                    <w14:srgbClr w14:val="000000">
                      <w14:alpha w14:val="100000"/>
                    </w14:srgbClr>
                  </w14:solidFill>
                </w14:textFill>
              </w:rPr>
              <w:t>|</w:t>
            </w:r>
            <w:r w:rsidR="007E73A7">
              <w:rPr>
                <w:vertAlign w:val="superscript"/>
              </w:rPr>
              <w:t>9</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1525F58" w14:textId="46F1ED11"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68"/>
                <w14:textFill>
                  <w14:solidFill>
                    <w14:srgbClr w14:val="000000">
                      <w14:alpha w14:val="100000"/>
                    </w14:srgbClr>
                  </w14:solidFill>
                </w14:textFill>
              </w:rPr>
              <w:t>|||</w:t>
            </w:r>
            <w:r w:rsidR="00C546A7" w:rsidRPr="00C546A7">
              <w:rPr>
                <w:color w:val="000000"/>
                <w:spacing w:val="1"/>
                <w:shd w:val="solid" w:color="000000" w:fill="000000"/>
                <w:fitText w:val="324" w:id="-628400368"/>
                <w14:textFill>
                  <w14:solidFill>
                    <w14:srgbClr w14:val="000000">
                      <w14:alpha w14:val="100000"/>
                    </w14:srgbClr>
                  </w14:solidFill>
                </w14:textFill>
              </w:rPr>
              <w:t>|</w:t>
            </w:r>
            <w:r w:rsidR="007E73A7">
              <w:rPr>
                <w:vertAlign w:val="superscript"/>
              </w:rPr>
              <w:t>9</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60209F63" w14:textId="2E3C500E"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84"/>
                <w14:textFill>
                  <w14:solidFill>
                    <w14:srgbClr w14:val="000000">
                      <w14:alpha w14:val="100000"/>
                    </w14:srgbClr>
                  </w14:solidFill>
                </w14:textFill>
              </w:rPr>
              <w:t>||</w:t>
            </w:r>
            <w:r w:rsidR="00C546A7" w:rsidRPr="00C546A7">
              <w:rPr>
                <w:color w:val="000000"/>
                <w:spacing w:val="1"/>
                <w:shd w:val="solid" w:color="000000" w:fill="000000"/>
                <w:fitText w:val="216" w:id="-628400384"/>
                <w14:textFill>
                  <w14:solidFill>
                    <w14:srgbClr w14:val="000000">
                      <w14:alpha w14:val="100000"/>
                    </w14:srgbClr>
                  </w14:solidFill>
                </w14:textFill>
              </w:rPr>
              <w:t>|</w:t>
            </w:r>
            <w:r w:rsidR="007E73A7">
              <w:rPr>
                <w:vertAlign w:val="superscript"/>
              </w:rPr>
              <w:t>9</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E8F92CC" w14:textId="0A813427"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3"/>
                <w14:textFill>
                  <w14:solidFill>
                    <w14:srgbClr w14:val="000000">
                      <w14:alpha w14:val="100000"/>
                    </w14:srgbClr>
                  </w14:solidFill>
                </w14:textFill>
              </w:rPr>
              <w:t>|||</w:t>
            </w:r>
            <w:r w:rsidR="00C546A7" w:rsidRPr="00C546A7">
              <w:rPr>
                <w:color w:val="000000"/>
                <w:spacing w:val="1"/>
                <w:shd w:val="solid" w:color="000000" w:fill="000000"/>
                <w:fitText w:val="324" w:id="-628400383"/>
                <w14:textFill>
                  <w14:solidFill>
                    <w14:srgbClr w14:val="000000">
                      <w14:alpha w14:val="100000"/>
                    </w14:srgbClr>
                  </w14:solidFill>
                </w14:textFill>
              </w:rPr>
              <w:t>|</w:t>
            </w:r>
            <w:r w:rsidR="007E73A7">
              <w:rPr>
                <w:vertAlign w:val="superscript"/>
              </w:rPr>
              <w:t>9</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44FF8349" w14:textId="419B596A"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2"/>
                <w14:textFill>
                  <w14:solidFill>
                    <w14:srgbClr w14:val="000000">
                      <w14:alpha w14:val="100000"/>
                    </w14:srgbClr>
                  </w14:solidFill>
                </w14:textFill>
              </w:rPr>
              <w:t>|||</w:t>
            </w:r>
            <w:r w:rsidR="00C546A7" w:rsidRPr="00C546A7">
              <w:rPr>
                <w:color w:val="000000"/>
                <w:spacing w:val="1"/>
                <w:shd w:val="solid" w:color="000000" w:fill="000000"/>
                <w:fitText w:val="324" w:id="-628400382"/>
                <w14:textFill>
                  <w14:solidFill>
                    <w14:srgbClr w14:val="000000">
                      <w14:alpha w14:val="100000"/>
                    </w14:srgbClr>
                  </w14:solidFill>
                </w14:textFill>
              </w:rPr>
              <w:t>|</w:t>
            </w:r>
            <w:r w:rsidR="007E73A7">
              <w:rPr>
                <w:vertAlign w:val="superscript"/>
              </w:rPr>
              <w:t>9</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195C65EF" w14:textId="4366FD3B"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81"/>
                <w14:textFill>
                  <w14:solidFill>
                    <w14:srgbClr w14:val="000000">
                      <w14:alpha w14:val="100000"/>
                    </w14:srgbClr>
                  </w14:solidFill>
                </w14:textFill>
              </w:rPr>
              <w:t>||</w:t>
            </w:r>
            <w:r w:rsidR="00C546A7" w:rsidRPr="00C546A7">
              <w:rPr>
                <w:color w:val="000000"/>
                <w:spacing w:val="1"/>
                <w:shd w:val="solid" w:color="000000" w:fill="000000"/>
                <w:fitText w:val="216" w:id="-628400381"/>
                <w14:textFill>
                  <w14:solidFill>
                    <w14:srgbClr w14:val="000000">
                      <w14:alpha w14:val="100000"/>
                    </w14:srgbClr>
                  </w14:solidFill>
                </w14:textFill>
              </w:rPr>
              <w:t>|</w:t>
            </w:r>
            <w:r w:rsidR="007E73A7">
              <w:rPr>
                <w:vertAlign w:val="superscript"/>
              </w:rPr>
              <w:t>1</w:t>
            </w:r>
          </w:p>
        </w:tc>
      </w:tr>
      <w:tr w:rsidR="00C546A7" w14:paraId="52ACCD3E" w14:textId="77777777" w:rsidTr="00B85E5D">
        <w:trPr>
          <w:trHeight w:val="122"/>
        </w:trPr>
        <w:tc>
          <w:tcPr>
            <w:tcW w:w="781" w:type="pct"/>
            <w:tcBorders>
              <w:top w:val="single" w:sz="4" w:space="0" w:color="auto"/>
              <w:left w:val="single" w:sz="4" w:space="0" w:color="auto"/>
              <w:bottom w:val="single" w:sz="4" w:space="0" w:color="auto"/>
              <w:right w:val="single" w:sz="4" w:space="0" w:color="auto"/>
            </w:tcBorders>
            <w:noWrap/>
            <w:vAlign w:val="bottom"/>
            <w:hideMark/>
          </w:tcPr>
          <w:p w14:paraId="29A92571" w14:textId="77777777" w:rsidR="005F2C11" w:rsidRDefault="005F2C11" w:rsidP="00C546A7">
            <w:pPr>
              <w:pStyle w:val="TableText0"/>
              <w:keepLines/>
            </w:pPr>
            <w:r>
              <w:t>Cost attributed to use beyond SC1**</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590E1EC4" w14:textId="4F6F014E"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80"/>
                <w14:textFill>
                  <w14:solidFill>
                    <w14:srgbClr w14:val="000000">
                      <w14:alpha w14:val="100000"/>
                    </w14:srgbClr>
                  </w14:solidFill>
                </w14:textFill>
              </w:rPr>
              <w:t>|||</w:t>
            </w:r>
            <w:r w:rsidR="00C546A7" w:rsidRPr="00C546A7">
              <w:rPr>
                <w:color w:val="000000"/>
                <w:spacing w:val="1"/>
                <w:shd w:val="solid" w:color="000000" w:fill="000000"/>
                <w:fitText w:val="324" w:id="-628400380"/>
                <w14:textFill>
                  <w14:solidFill>
                    <w14:srgbClr w14:val="000000">
                      <w14:alpha w14:val="100000"/>
                    </w14:srgbClr>
                  </w14:solidFill>
                </w14:textFill>
              </w:rPr>
              <w:t>|</w:t>
            </w:r>
            <w:r w:rsidR="00B85E5D">
              <w:rPr>
                <w:vertAlign w:val="superscript"/>
              </w:rPr>
              <w:t>10</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0DBF2052" w14:textId="0A13DC65"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9"/>
                <w14:textFill>
                  <w14:solidFill>
                    <w14:srgbClr w14:val="000000">
                      <w14:alpha w14:val="100000"/>
                    </w14:srgbClr>
                  </w14:solidFill>
                </w14:textFill>
              </w:rPr>
              <w:t>|||</w:t>
            </w:r>
            <w:r w:rsidR="00C546A7" w:rsidRPr="00C546A7">
              <w:rPr>
                <w:color w:val="000000"/>
                <w:spacing w:val="1"/>
                <w:shd w:val="solid" w:color="000000" w:fill="000000"/>
                <w:fitText w:val="324" w:id="-628400379"/>
                <w14:textFill>
                  <w14:solidFill>
                    <w14:srgbClr w14:val="000000">
                      <w14:alpha w14:val="100000"/>
                    </w14:srgbClr>
                  </w14:solidFill>
                </w14:textFill>
              </w:rPr>
              <w:t>|</w:t>
            </w:r>
            <w:r w:rsidR="00B85E5D">
              <w:rPr>
                <w:vertAlign w:val="superscript"/>
              </w:rPr>
              <w:t>10</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78479877" w14:textId="5FDBB349"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8"/>
                <w14:textFill>
                  <w14:solidFill>
                    <w14:srgbClr w14:val="000000">
                      <w14:alpha w14:val="100000"/>
                    </w14:srgbClr>
                  </w14:solidFill>
                </w14:textFill>
              </w:rPr>
              <w:t>|||</w:t>
            </w:r>
            <w:r w:rsidR="00C546A7" w:rsidRPr="00C546A7">
              <w:rPr>
                <w:color w:val="000000"/>
                <w:spacing w:val="1"/>
                <w:shd w:val="solid" w:color="000000" w:fill="000000"/>
                <w:fitText w:val="324" w:id="-628400378"/>
                <w14:textFill>
                  <w14:solidFill>
                    <w14:srgbClr w14:val="000000">
                      <w14:alpha w14:val="100000"/>
                    </w14:srgbClr>
                  </w14:solidFill>
                </w14:textFill>
              </w:rPr>
              <w:t>|</w:t>
            </w:r>
            <w:r w:rsidR="00B85E5D">
              <w:rPr>
                <w:vertAlign w:val="superscript"/>
              </w:rPr>
              <w:t>10</w:t>
            </w:r>
          </w:p>
        </w:tc>
        <w:tc>
          <w:tcPr>
            <w:tcW w:w="588" w:type="pct"/>
            <w:tcBorders>
              <w:top w:val="single" w:sz="4" w:space="0" w:color="auto"/>
              <w:left w:val="single" w:sz="4" w:space="0" w:color="auto"/>
              <w:bottom w:val="single" w:sz="4" w:space="0" w:color="auto"/>
              <w:right w:val="single" w:sz="4" w:space="0" w:color="auto"/>
            </w:tcBorders>
            <w:noWrap/>
            <w:vAlign w:val="bottom"/>
            <w:hideMark/>
          </w:tcPr>
          <w:p w14:paraId="6DB113A6" w14:textId="1871F98C" w:rsidR="005F2C11" w:rsidRPr="00551034" w:rsidRDefault="005F2C11" w:rsidP="00C546A7">
            <w:pPr>
              <w:pStyle w:val="TableText0"/>
              <w:keepLines/>
              <w:rPr>
                <w:vertAlign w:val="superscript"/>
              </w:rPr>
            </w:pPr>
            <w:r>
              <w:t>$</w:t>
            </w:r>
            <w:r w:rsidR="00C546A7" w:rsidRPr="00C546A7">
              <w:rPr>
                <w:rFonts w:hint="eastAsia"/>
                <w:color w:val="000000"/>
                <w:spacing w:val="61"/>
                <w:w w:val="24"/>
                <w:shd w:val="solid" w:color="000000" w:fill="000000"/>
                <w:fitText w:val="108" w:id="-628400377"/>
                <w14:textFill>
                  <w14:solidFill>
                    <w14:srgbClr w14:val="000000">
                      <w14:alpha w14:val="100000"/>
                    </w14:srgbClr>
                  </w14:solidFill>
                </w14:textFill>
              </w:rPr>
              <w:t xml:space="preserve">　</w:t>
            </w:r>
            <w:r w:rsidR="00551034">
              <w:rPr>
                <w:color w:val="000000"/>
                <w:shd w:val="solid" w:color="000000" w:fill="000000"/>
                <w14:textFill>
                  <w14:solidFill>
                    <w14:srgbClr w14:val="000000">
                      <w14:alpha w14:val="100000"/>
                    </w14:srgbClr>
                  </w14:solidFill>
                </w14:textFill>
              </w:rPr>
              <w:t xml:space="preserve"> j</w:t>
            </w:r>
            <w:r w:rsidR="00F46024">
              <w:rPr>
                <w:vertAlign w:val="superscript"/>
              </w:rPr>
              <w:t>10</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3D4BC26A" w14:textId="599160A6"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5"/>
                <w14:textFill>
                  <w14:solidFill>
                    <w14:srgbClr w14:val="000000">
                      <w14:alpha w14:val="100000"/>
                    </w14:srgbClr>
                  </w14:solidFill>
                </w14:textFill>
              </w:rPr>
              <w:t>|||</w:t>
            </w:r>
            <w:r w:rsidR="00C546A7" w:rsidRPr="00C546A7">
              <w:rPr>
                <w:color w:val="000000"/>
                <w:spacing w:val="1"/>
                <w:shd w:val="solid" w:color="000000" w:fill="000000"/>
                <w:fitText w:val="324" w:id="-628400375"/>
                <w14:textFill>
                  <w14:solidFill>
                    <w14:srgbClr w14:val="000000">
                      <w14:alpha w14:val="100000"/>
                    </w14:srgbClr>
                  </w14:solidFill>
                </w14:textFill>
              </w:rPr>
              <w:t>|</w:t>
            </w:r>
            <w:r w:rsidR="00B85E5D">
              <w:rPr>
                <w:vertAlign w:val="superscript"/>
              </w:rPr>
              <w:t>10</w:t>
            </w:r>
          </w:p>
        </w:tc>
        <w:tc>
          <w:tcPr>
            <w:tcW w:w="587" w:type="pct"/>
            <w:tcBorders>
              <w:top w:val="single" w:sz="4" w:space="0" w:color="auto"/>
              <w:left w:val="single" w:sz="4" w:space="0" w:color="auto"/>
              <w:bottom w:val="single" w:sz="4" w:space="0" w:color="auto"/>
              <w:right w:val="single" w:sz="4" w:space="0" w:color="auto"/>
            </w:tcBorders>
            <w:noWrap/>
            <w:vAlign w:val="bottom"/>
            <w:hideMark/>
          </w:tcPr>
          <w:p w14:paraId="1E6E20C5" w14:textId="238EBA3A" w:rsidR="005F2C11" w:rsidRPr="00C546A7" w:rsidRDefault="005F2C11" w:rsidP="00C546A7">
            <w:pPr>
              <w:pStyle w:val="TableText0"/>
              <w:keepLines/>
              <w:rPr>
                <w:vertAlign w:val="superscript"/>
              </w:rPr>
            </w:pPr>
            <w:r>
              <w:t>$</w:t>
            </w:r>
            <w:r w:rsidR="00C546A7" w:rsidRPr="00C546A7">
              <w:rPr>
                <w:color w:val="000000"/>
                <w:spacing w:val="51"/>
                <w:shd w:val="solid" w:color="000000" w:fill="000000"/>
                <w:fitText w:val="324" w:id="-628400374"/>
                <w14:textFill>
                  <w14:solidFill>
                    <w14:srgbClr w14:val="000000">
                      <w14:alpha w14:val="100000"/>
                    </w14:srgbClr>
                  </w14:solidFill>
                </w14:textFill>
              </w:rPr>
              <w:t>|||</w:t>
            </w:r>
            <w:r w:rsidR="00C546A7" w:rsidRPr="00C546A7">
              <w:rPr>
                <w:color w:val="000000"/>
                <w:spacing w:val="1"/>
                <w:shd w:val="solid" w:color="000000" w:fill="000000"/>
                <w:fitText w:val="324" w:id="-628400374"/>
                <w14:textFill>
                  <w14:solidFill>
                    <w14:srgbClr w14:val="000000">
                      <w14:alpha w14:val="100000"/>
                    </w14:srgbClr>
                  </w14:solidFill>
                </w14:textFill>
              </w:rPr>
              <w:t>|</w:t>
            </w:r>
            <w:r w:rsidR="00B85E5D">
              <w:rPr>
                <w:vertAlign w:val="superscript"/>
              </w:rPr>
              <w:t>10</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01EBEB41" w14:textId="4295C08B" w:rsidR="005F2C11" w:rsidRPr="00C546A7" w:rsidRDefault="005F2C11" w:rsidP="00C546A7">
            <w:pPr>
              <w:pStyle w:val="TableText0"/>
              <w:keepLines/>
              <w:rPr>
                <w:vertAlign w:val="superscript"/>
              </w:rPr>
            </w:pPr>
            <w:r>
              <w:t>$</w:t>
            </w:r>
            <w:r w:rsidR="00C546A7" w:rsidRPr="00C546A7">
              <w:rPr>
                <w:color w:val="000000"/>
                <w:spacing w:val="44"/>
                <w:shd w:val="solid" w:color="000000" w:fill="000000"/>
                <w:fitText w:val="216" w:id="-628400373"/>
                <w14:textFill>
                  <w14:solidFill>
                    <w14:srgbClr w14:val="000000">
                      <w14:alpha w14:val="100000"/>
                    </w14:srgbClr>
                  </w14:solidFill>
                </w14:textFill>
              </w:rPr>
              <w:t>||</w:t>
            </w:r>
            <w:r w:rsidR="00C546A7" w:rsidRPr="00C546A7">
              <w:rPr>
                <w:color w:val="000000"/>
                <w:spacing w:val="1"/>
                <w:shd w:val="solid" w:color="000000" w:fill="000000"/>
                <w:fitText w:val="216" w:id="-628400373"/>
                <w14:textFill>
                  <w14:solidFill>
                    <w14:srgbClr w14:val="000000">
                      <w14:alpha w14:val="100000"/>
                    </w14:srgbClr>
                  </w14:solidFill>
                </w14:textFill>
              </w:rPr>
              <w:t>|</w:t>
            </w:r>
            <w:r w:rsidR="007E73A7">
              <w:rPr>
                <w:vertAlign w:val="superscript"/>
              </w:rPr>
              <w:t>7</w:t>
            </w:r>
          </w:p>
        </w:tc>
      </w:tr>
    </w:tbl>
    <w:p w14:paraId="4A4A98F2" w14:textId="77777777" w:rsidR="005F2C11" w:rsidRDefault="005F2C11" w:rsidP="00C546A7">
      <w:pPr>
        <w:pStyle w:val="TableFigureFooter"/>
        <w:keepNext/>
        <w:keepLines/>
      </w:pPr>
      <w:r>
        <w:t>Source: “Summary &amp; inputs” tab, Attachment 1 - BMSA-NIVO+IPI Broad Listing Workbook September 2025.</w:t>
      </w:r>
    </w:p>
    <w:p w14:paraId="2ADA4918" w14:textId="77777777" w:rsidR="005F2C11" w:rsidRDefault="005F2C11" w:rsidP="00C546A7">
      <w:pPr>
        <w:pStyle w:val="TableFigureFooter"/>
        <w:keepNext/>
        <w:keepLines/>
      </w:pPr>
      <w:r>
        <w:t xml:space="preserve">PBS = Pharmaceutical Benefits Scheme; RPBS = Repatriation Pharmaceutical Benefits Scheme; RSA = Risk Sharing Arrangement; SC1 = subsidisation cap 1; SC2 = subsidisation cap 2. </w:t>
      </w:r>
    </w:p>
    <w:p w14:paraId="1332D4A5" w14:textId="77777777" w:rsidR="005F2C11" w:rsidRDefault="005F2C11" w:rsidP="00C546A7">
      <w:pPr>
        <w:pStyle w:val="TableFigureFooter"/>
        <w:keepNext/>
        <w:keepLines/>
      </w:pPr>
      <w:r>
        <w:t>*Cost prior to any rebates</w:t>
      </w:r>
    </w:p>
    <w:p w14:paraId="461567F5" w14:textId="77777777" w:rsidR="00BA3F9B" w:rsidRDefault="005F2C11" w:rsidP="00BA3F9B">
      <w:pPr>
        <w:pStyle w:val="TableFigureFooter"/>
        <w:keepNext/>
        <w:keepLines/>
      </w:pPr>
      <w:r>
        <w:t>**After rebates</w:t>
      </w:r>
    </w:p>
    <w:p w14:paraId="3C4001FA" w14:textId="6C8F073C" w:rsidR="00BA3F9B" w:rsidRPr="00C546A7" w:rsidRDefault="00BA3F9B" w:rsidP="00C546A7">
      <w:pPr>
        <w:pStyle w:val="TableFigureFooter"/>
        <w:keepNext/>
        <w:keepLines/>
        <w:spacing w:after="0"/>
        <w:rPr>
          <w:i/>
          <w:iCs/>
        </w:rPr>
      </w:pPr>
      <w:r w:rsidRPr="00C546A7">
        <w:rPr>
          <w:i/>
          <w:iCs/>
        </w:rPr>
        <w:t xml:space="preserve">The redacted values correspond to the following ranges: </w:t>
      </w:r>
    </w:p>
    <w:p w14:paraId="670E2AD5" w14:textId="77777777" w:rsidR="008E2C82" w:rsidRDefault="00BA3F9B">
      <w:pPr>
        <w:pStyle w:val="TableFigureFooter"/>
        <w:keepNext/>
        <w:keepLines/>
        <w:spacing w:after="0"/>
        <w:rPr>
          <w:i/>
          <w:iCs/>
        </w:rPr>
      </w:pPr>
      <w:bookmarkStart w:id="24" w:name="_Hlk210043809"/>
      <w:r w:rsidRPr="00C546A7">
        <w:rPr>
          <w:i/>
          <w:iCs/>
          <w:vertAlign w:val="superscript"/>
        </w:rPr>
        <w:t>1</w:t>
      </w:r>
      <w:r>
        <w:rPr>
          <w:i/>
          <w:iCs/>
        </w:rPr>
        <w:t xml:space="preserve"> </w:t>
      </w:r>
      <w:bookmarkStart w:id="25" w:name="_Hlk210042606"/>
      <w:r w:rsidR="008E2C82" w:rsidRPr="008E2C82">
        <w:rPr>
          <w:i/>
          <w:iCs/>
        </w:rPr>
        <w:t>$300 million to &lt; $400 million</w:t>
      </w:r>
    </w:p>
    <w:p w14:paraId="2F8A0AAF" w14:textId="59031A20" w:rsidR="00EC13D4" w:rsidRDefault="00EC13D4" w:rsidP="00C546A7">
      <w:pPr>
        <w:pStyle w:val="TableFigureFooter"/>
        <w:keepNext/>
        <w:keepLines/>
        <w:spacing w:after="0"/>
        <w:rPr>
          <w:i/>
          <w:iCs/>
        </w:rPr>
      </w:pPr>
      <w:r>
        <w:rPr>
          <w:i/>
          <w:iCs/>
          <w:vertAlign w:val="superscript"/>
        </w:rPr>
        <w:t xml:space="preserve">2 </w:t>
      </w:r>
      <w:bookmarkEnd w:id="25"/>
      <w:r w:rsidRPr="00EC13D4">
        <w:rPr>
          <w:i/>
          <w:iCs/>
        </w:rPr>
        <w:t>$10 million to &lt; $20 million</w:t>
      </w:r>
    </w:p>
    <w:p w14:paraId="77A8B0A3" w14:textId="736B2F9E" w:rsidR="00EC13D4" w:rsidRPr="00B85E5D" w:rsidRDefault="00EC13D4" w:rsidP="00C546A7">
      <w:pPr>
        <w:pStyle w:val="3-BodyText"/>
        <w:numPr>
          <w:ilvl w:val="0"/>
          <w:numId w:val="0"/>
        </w:numPr>
        <w:spacing w:before="0" w:after="0"/>
        <w:rPr>
          <w:i/>
          <w:iCs/>
        </w:rPr>
      </w:pPr>
      <w:r>
        <w:rPr>
          <w:rFonts w:ascii="Arial Narrow" w:eastAsia="Times New Roman" w:hAnsi="Arial Narrow" w:cs="Arial"/>
          <w:snapToGrid w:val="0"/>
          <w:sz w:val="18"/>
          <w:vertAlign w:val="superscript"/>
        </w:rPr>
        <w:t xml:space="preserve">3 </w:t>
      </w:r>
      <w:r w:rsidRPr="00C546A7">
        <w:rPr>
          <w:rFonts w:ascii="Arial Narrow" w:eastAsia="Times New Roman" w:hAnsi="Arial Narrow" w:cs="Arial"/>
          <w:i/>
          <w:iCs/>
          <w:snapToGrid w:val="0"/>
          <w:sz w:val="18"/>
        </w:rPr>
        <w:t>$90 million to &lt; $100 million</w:t>
      </w:r>
    </w:p>
    <w:bookmarkEnd w:id="24"/>
    <w:p w14:paraId="2E8F9CDA" w14:textId="7963C810" w:rsidR="00EC13D4" w:rsidRDefault="00EC13D4" w:rsidP="00EC13D4">
      <w:pPr>
        <w:pStyle w:val="TableFigureFooter"/>
        <w:keepNext/>
        <w:keepLines/>
        <w:spacing w:after="0"/>
        <w:rPr>
          <w:i/>
          <w:iCs/>
        </w:rPr>
      </w:pPr>
      <w:r>
        <w:rPr>
          <w:i/>
          <w:iCs/>
          <w:vertAlign w:val="superscript"/>
        </w:rPr>
        <w:t>4</w:t>
      </w:r>
      <w:r>
        <w:rPr>
          <w:i/>
          <w:iCs/>
        </w:rPr>
        <w:t xml:space="preserve"> </w:t>
      </w:r>
      <w:r w:rsidR="007E73A7" w:rsidRPr="007E73A7">
        <w:rPr>
          <w:i/>
          <w:iCs/>
        </w:rPr>
        <w:t>$70 million to &lt; $80 million</w:t>
      </w:r>
    </w:p>
    <w:p w14:paraId="56812412" w14:textId="5B347E97" w:rsidR="00EC13D4" w:rsidRPr="007E73A7" w:rsidRDefault="007E73A7" w:rsidP="00EC13D4">
      <w:pPr>
        <w:pStyle w:val="TableFigureFooter"/>
        <w:keepNext/>
        <w:keepLines/>
        <w:spacing w:after="0"/>
        <w:rPr>
          <w:i/>
          <w:iCs/>
        </w:rPr>
      </w:pPr>
      <w:r>
        <w:rPr>
          <w:i/>
          <w:iCs/>
          <w:vertAlign w:val="superscript"/>
        </w:rPr>
        <w:t xml:space="preserve">5 </w:t>
      </w:r>
      <w:r w:rsidR="00EC13D4">
        <w:rPr>
          <w:i/>
          <w:iCs/>
          <w:vertAlign w:val="superscript"/>
        </w:rPr>
        <w:t xml:space="preserve"> </w:t>
      </w:r>
      <w:r w:rsidRPr="00C546A7">
        <w:rPr>
          <w:i/>
          <w:iCs/>
        </w:rPr>
        <w:t>$80 million to &lt; $90 million</w:t>
      </w:r>
    </w:p>
    <w:p w14:paraId="5AE4FA19" w14:textId="7EC4E1E4" w:rsidR="00EC13D4" w:rsidRDefault="007E73A7" w:rsidP="00B85E5D">
      <w:pPr>
        <w:pStyle w:val="3-BodyText"/>
        <w:numPr>
          <w:ilvl w:val="0"/>
          <w:numId w:val="0"/>
        </w:numPr>
        <w:spacing w:before="0" w:after="0"/>
        <w:rPr>
          <w:rFonts w:ascii="Arial Narrow" w:eastAsia="Times New Roman" w:hAnsi="Arial Narrow" w:cs="Arial"/>
          <w:i/>
          <w:iCs/>
          <w:snapToGrid w:val="0"/>
          <w:sz w:val="18"/>
        </w:rPr>
      </w:pPr>
      <w:r w:rsidRPr="00C546A7">
        <w:rPr>
          <w:rFonts w:ascii="Arial Narrow" w:eastAsia="Times New Roman" w:hAnsi="Arial Narrow" w:cs="Arial"/>
          <w:i/>
          <w:iCs/>
          <w:snapToGrid w:val="0"/>
          <w:sz w:val="18"/>
          <w:vertAlign w:val="superscript"/>
        </w:rPr>
        <w:t>6</w:t>
      </w:r>
      <w:r w:rsidR="00EC13D4" w:rsidRPr="00C546A7">
        <w:rPr>
          <w:rFonts w:ascii="Arial Narrow" w:eastAsia="Times New Roman" w:hAnsi="Arial Narrow" w:cs="Arial"/>
          <w:i/>
          <w:iCs/>
          <w:snapToGrid w:val="0"/>
          <w:sz w:val="18"/>
          <w:vertAlign w:val="superscript"/>
        </w:rPr>
        <w:t xml:space="preserve"> </w:t>
      </w:r>
      <w:r w:rsidRPr="007E73A7">
        <w:rPr>
          <w:rFonts w:ascii="Arial Narrow" w:eastAsia="Times New Roman" w:hAnsi="Arial Narrow" w:cs="Arial"/>
          <w:i/>
          <w:iCs/>
          <w:snapToGrid w:val="0"/>
          <w:sz w:val="18"/>
        </w:rPr>
        <w:t>$500 million to &lt; $600 million</w:t>
      </w:r>
    </w:p>
    <w:p w14:paraId="40A03E20" w14:textId="5F6BA4DC" w:rsidR="007E73A7" w:rsidRDefault="007E73A7" w:rsidP="00B85E5D">
      <w:pPr>
        <w:pStyle w:val="3-BodyText"/>
        <w:numPr>
          <w:ilvl w:val="0"/>
          <w:numId w:val="0"/>
        </w:numPr>
        <w:spacing w:before="0"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 xml:space="preserve">7 </w:t>
      </w:r>
      <w:r w:rsidRPr="00C546A7">
        <w:rPr>
          <w:rFonts w:ascii="Arial Narrow" w:eastAsia="Times New Roman" w:hAnsi="Arial Narrow" w:cs="Arial"/>
          <w:i/>
          <w:iCs/>
          <w:snapToGrid w:val="0"/>
          <w:sz w:val="18"/>
        </w:rPr>
        <w:t>$100 million to &lt; $200 million</w:t>
      </w:r>
    </w:p>
    <w:p w14:paraId="778B1B13" w14:textId="5DF224B9" w:rsidR="007E73A7" w:rsidRDefault="007E73A7" w:rsidP="00B85E5D">
      <w:pPr>
        <w:pStyle w:val="3-BodyText"/>
        <w:numPr>
          <w:ilvl w:val="0"/>
          <w:numId w:val="0"/>
        </w:numPr>
        <w:spacing w:before="0"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8</w:t>
      </w:r>
      <w:r>
        <w:rPr>
          <w:rFonts w:ascii="Arial Narrow" w:eastAsia="Times New Roman" w:hAnsi="Arial Narrow" w:cs="Arial"/>
          <w:i/>
          <w:iCs/>
          <w:snapToGrid w:val="0"/>
          <w:sz w:val="18"/>
        </w:rPr>
        <w:t xml:space="preserve"> </w:t>
      </w:r>
      <w:r w:rsidRPr="007E73A7">
        <w:rPr>
          <w:rFonts w:ascii="Arial Narrow" w:eastAsia="Times New Roman" w:hAnsi="Arial Narrow" w:cs="Arial"/>
          <w:i/>
          <w:iCs/>
          <w:snapToGrid w:val="0"/>
          <w:sz w:val="18"/>
        </w:rPr>
        <w:t>$</w:t>
      </w:r>
      <w:r>
        <w:rPr>
          <w:rFonts w:ascii="Arial Narrow" w:eastAsia="Times New Roman" w:hAnsi="Arial Narrow" w:cs="Arial"/>
          <w:i/>
          <w:iCs/>
          <w:snapToGrid w:val="0"/>
          <w:sz w:val="18"/>
        </w:rPr>
        <w:t>6</w:t>
      </w:r>
      <w:r w:rsidRPr="007E73A7">
        <w:rPr>
          <w:rFonts w:ascii="Arial Narrow" w:eastAsia="Times New Roman" w:hAnsi="Arial Narrow" w:cs="Arial"/>
          <w:i/>
          <w:iCs/>
          <w:snapToGrid w:val="0"/>
          <w:sz w:val="18"/>
        </w:rPr>
        <w:t>00 million to &lt; $</w:t>
      </w:r>
      <w:r>
        <w:rPr>
          <w:rFonts w:ascii="Arial Narrow" w:eastAsia="Times New Roman" w:hAnsi="Arial Narrow" w:cs="Arial"/>
          <w:i/>
          <w:iCs/>
          <w:snapToGrid w:val="0"/>
          <w:sz w:val="18"/>
        </w:rPr>
        <w:t>7</w:t>
      </w:r>
      <w:r w:rsidRPr="007E73A7">
        <w:rPr>
          <w:rFonts w:ascii="Arial Narrow" w:eastAsia="Times New Roman" w:hAnsi="Arial Narrow" w:cs="Arial"/>
          <w:i/>
          <w:iCs/>
          <w:snapToGrid w:val="0"/>
          <w:sz w:val="18"/>
        </w:rPr>
        <w:t>00 million</w:t>
      </w:r>
    </w:p>
    <w:p w14:paraId="36BF94D8" w14:textId="67E6B48C" w:rsidR="007E73A7" w:rsidRDefault="007E73A7" w:rsidP="00B85E5D">
      <w:pPr>
        <w:pStyle w:val="3-BodyText"/>
        <w:numPr>
          <w:ilvl w:val="0"/>
          <w:numId w:val="0"/>
        </w:numPr>
        <w:spacing w:before="0"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9</w:t>
      </w:r>
      <w:r>
        <w:rPr>
          <w:rFonts w:ascii="Arial Narrow" w:eastAsia="Times New Roman" w:hAnsi="Arial Narrow" w:cs="Arial"/>
          <w:i/>
          <w:iCs/>
          <w:snapToGrid w:val="0"/>
          <w:sz w:val="18"/>
        </w:rPr>
        <w:t xml:space="preserve"> </w:t>
      </w:r>
      <w:r w:rsidRPr="007E73A7">
        <w:rPr>
          <w:rFonts w:ascii="Arial Narrow" w:eastAsia="Times New Roman" w:hAnsi="Arial Narrow" w:cs="Arial"/>
          <w:i/>
          <w:iCs/>
          <w:snapToGrid w:val="0"/>
          <w:sz w:val="18"/>
        </w:rPr>
        <w:t>$200 million to &lt; $300 million</w:t>
      </w:r>
    </w:p>
    <w:p w14:paraId="201476E4" w14:textId="251DB04E" w:rsidR="005F2C11" w:rsidRDefault="007E73A7">
      <w:pPr>
        <w:pStyle w:val="3-BodyText"/>
        <w:numPr>
          <w:ilvl w:val="0"/>
          <w:numId w:val="0"/>
        </w:numPr>
        <w:spacing w:before="0" w:after="0"/>
        <w:rPr>
          <w:rFonts w:ascii="Arial Narrow" w:eastAsia="Times New Roman" w:hAnsi="Arial Narrow" w:cs="Arial"/>
          <w:i/>
          <w:iCs/>
          <w:snapToGrid w:val="0"/>
          <w:sz w:val="18"/>
        </w:rPr>
      </w:pPr>
      <w:r>
        <w:rPr>
          <w:rFonts w:ascii="Arial Narrow" w:eastAsia="Times New Roman" w:hAnsi="Arial Narrow" w:cs="Arial"/>
          <w:i/>
          <w:iCs/>
          <w:snapToGrid w:val="0"/>
          <w:sz w:val="18"/>
          <w:vertAlign w:val="superscript"/>
        </w:rPr>
        <w:t>10</w:t>
      </w:r>
      <w:r>
        <w:rPr>
          <w:rFonts w:ascii="Arial Narrow" w:eastAsia="Times New Roman" w:hAnsi="Arial Narrow" w:cs="Arial"/>
          <w:i/>
          <w:iCs/>
          <w:snapToGrid w:val="0"/>
          <w:sz w:val="18"/>
        </w:rPr>
        <w:t xml:space="preserve"> </w:t>
      </w:r>
      <w:r w:rsidR="00B85E5D" w:rsidRPr="00B85E5D">
        <w:rPr>
          <w:rFonts w:ascii="Arial Narrow" w:eastAsia="Times New Roman" w:hAnsi="Arial Narrow" w:cs="Arial"/>
          <w:i/>
          <w:iCs/>
          <w:snapToGrid w:val="0"/>
          <w:sz w:val="18"/>
        </w:rPr>
        <w:t>$30 million to &lt; $40 million</w:t>
      </w:r>
    </w:p>
    <w:p w14:paraId="1208E2DC" w14:textId="7011A28C" w:rsidR="00EE108E" w:rsidRPr="00EE108E" w:rsidRDefault="00EE108E" w:rsidP="00C546A7">
      <w:pPr>
        <w:pStyle w:val="3-BodyText"/>
        <w:numPr>
          <w:ilvl w:val="0"/>
          <w:numId w:val="0"/>
        </w:numPr>
        <w:spacing w:before="0" w:after="0"/>
      </w:pPr>
      <w:r>
        <w:rPr>
          <w:rFonts w:ascii="Arial Narrow" w:eastAsia="Times New Roman" w:hAnsi="Arial Narrow" w:cs="Arial"/>
          <w:i/>
          <w:iCs/>
          <w:snapToGrid w:val="0"/>
          <w:sz w:val="18"/>
          <w:vertAlign w:val="superscript"/>
        </w:rPr>
        <w:t>11</w:t>
      </w:r>
      <w:r>
        <w:rPr>
          <w:rFonts w:ascii="Arial Narrow" w:eastAsia="Times New Roman" w:hAnsi="Arial Narrow" w:cs="Arial"/>
          <w:i/>
          <w:iCs/>
          <w:snapToGrid w:val="0"/>
          <w:sz w:val="18"/>
        </w:rPr>
        <w:t xml:space="preserve"> &gt; $1 billion</w:t>
      </w:r>
    </w:p>
    <w:p w14:paraId="4C21BE1A" w14:textId="77777777" w:rsidR="005F2C11" w:rsidRDefault="005F2C11" w:rsidP="005F2C11">
      <w:pPr>
        <w:pStyle w:val="2-SectionHeading"/>
        <w:numPr>
          <w:ilvl w:val="0"/>
          <w:numId w:val="59"/>
        </w:numPr>
        <w:snapToGrid w:val="0"/>
      </w:pPr>
      <w:r>
        <w:t>Review and Governance Framework</w:t>
      </w:r>
    </w:p>
    <w:p w14:paraId="4586CAE7" w14:textId="77777777" w:rsidR="005F2C11" w:rsidRDefault="005F2C11" w:rsidP="005F2C11">
      <w:pPr>
        <w:pStyle w:val="3-BodyText"/>
        <w:numPr>
          <w:ilvl w:val="1"/>
          <w:numId w:val="59"/>
        </w:numPr>
        <w:spacing w:before="120" w:after="120"/>
      </w:pPr>
      <w:r>
        <w:t xml:space="preserve">The sponsor acknowledged the PBAC’s view that a governance framework may not be necessary if the RSA is structured in a way that acceptably controls the risk to Government, particularly where utilisation is greater than estimated. </w:t>
      </w:r>
    </w:p>
    <w:p w14:paraId="5F22E97E" w14:textId="77777777" w:rsidR="005F2C11" w:rsidRDefault="005F2C11" w:rsidP="005F2C11">
      <w:pPr>
        <w:pStyle w:val="3-BodyText"/>
        <w:numPr>
          <w:ilvl w:val="1"/>
          <w:numId w:val="59"/>
        </w:numPr>
        <w:spacing w:before="120" w:after="120"/>
      </w:pPr>
      <w:r>
        <w:t>However, the sponsor considered a 3-year review period would be appropriate to support the listing. It noted the additional rebates offered in the revised proposal which it considered extensively minimised the financial risk to Government under the proposed listing.</w:t>
      </w:r>
    </w:p>
    <w:p w14:paraId="59645DFD" w14:textId="77777777" w:rsidR="005F2C11" w:rsidRDefault="005F2C11" w:rsidP="005F2C11">
      <w:pPr>
        <w:pStyle w:val="3-BodyText"/>
        <w:numPr>
          <w:ilvl w:val="1"/>
          <w:numId w:val="59"/>
        </w:numPr>
        <w:spacing w:before="120" w:after="120"/>
      </w:pPr>
      <w:r>
        <w:lastRenderedPageBreak/>
        <w:t>The sponsor sought that this 3-yearly review would allow both the sponsor and the Department to review, discuss and negotiate any potential changes to the Deed conditions (including subsidisation cap amounts). However, the sponsor did not propose any specific thresholds or actions associated with the caps that should be included in such an arrangement.</w:t>
      </w:r>
    </w:p>
    <w:p w14:paraId="7A769D3B" w14:textId="77777777" w:rsidR="005F2C11" w:rsidRDefault="005F2C11" w:rsidP="005F2C11">
      <w:pPr>
        <w:pStyle w:val="3-BodyText"/>
        <w:numPr>
          <w:ilvl w:val="1"/>
          <w:numId w:val="59"/>
        </w:numPr>
        <w:spacing w:before="120" w:after="120"/>
      </w:pPr>
      <w:r>
        <w:t>The sponsor noted its expectation for flow-on implications for some existing shared RSAs that apply to nivolumab and ipilimumab (as referenced in paragraph 7.13 of the PBAC minutes July 2025). It also noted that new cap arrangements for this broad listing would be required. The PBAC noted that the implementation arrangements for RSAs would be administered by the Department per its usual practices.</w:t>
      </w:r>
    </w:p>
    <w:p w14:paraId="337AD6F9" w14:textId="77777777" w:rsidR="005F2C11" w:rsidRDefault="005F2C11" w:rsidP="005F2C11">
      <w:pPr>
        <w:pStyle w:val="2-SectionHeading"/>
        <w:numPr>
          <w:ilvl w:val="0"/>
          <w:numId w:val="59"/>
        </w:numPr>
        <w:snapToGrid w:val="0"/>
      </w:pPr>
      <w:r>
        <w:t>Other matters</w:t>
      </w:r>
    </w:p>
    <w:p w14:paraId="0A95CFB9" w14:textId="77777777" w:rsidR="005F2C11" w:rsidRDefault="005F2C11" w:rsidP="005F2C11">
      <w:pPr>
        <w:pStyle w:val="4-SubsectionHeading"/>
      </w:pPr>
      <w:r>
        <w:t>Interim Patient Access Program</w:t>
      </w:r>
    </w:p>
    <w:p w14:paraId="304EA7B4" w14:textId="77777777" w:rsidR="005F2C11" w:rsidRDefault="005F2C11" w:rsidP="005F2C11">
      <w:pPr>
        <w:pStyle w:val="3-BodyText"/>
        <w:numPr>
          <w:ilvl w:val="1"/>
          <w:numId w:val="59"/>
        </w:numPr>
        <w:spacing w:before="120" w:after="120"/>
      </w:pPr>
      <w:r>
        <w:t>The sponsor noted, should this proposal be recommended, it would implement a patient access program (PAP) in the intervening period between the positive recommendation and implementation of the listing. This program would provide access for patients with first line CRC MSI-H and access to the program would be more restricted than the proposed PBS restriction wording.</w:t>
      </w:r>
    </w:p>
    <w:p w14:paraId="54846068" w14:textId="52C04BDE" w:rsidR="005F2C11" w:rsidRDefault="005F2C11" w:rsidP="005F2C11">
      <w:pPr>
        <w:pStyle w:val="3-BodyText"/>
        <w:numPr>
          <w:ilvl w:val="1"/>
          <w:numId w:val="59"/>
        </w:numPr>
        <w:spacing w:before="120" w:after="120"/>
      </w:pPr>
      <w:r>
        <w:t xml:space="preserve">The sponsor anticipated that there will be approximately </w:t>
      </w:r>
      <w:r w:rsidR="00C546A7" w:rsidRPr="00C546A7">
        <w:rPr>
          <w:color w:val="000000"/>
          <w:w w:val="61"/>
          <w:shd w:val="solid" w:color="000000" w:fill="000000"/>
          <w:fitText w:val="472" w:id="-628400372"/>
          <w14:textFill>
            <w14:solidFill>
              <w14:srgbClr w14:val="000000">
                <w14:alpha w14:val="100000"/>
              </w14:srgbClr>
            </w14:solidFill>
          </w14:textFill>
        </w:rPr>
        <w:t>|||  ||</w:t>
      </w:r>
      <w:r w:rsidR="00C546A7" w:rsidRPr="00C546A7">
        <w:rPr>
          <w:color w:val="000000"/>
          <w:spacing w:val="2"/>
          <w:w w:val="61"/>
          <w:shd w:val="solid" w:color="000000" w:fill="000000"/>
          <w:fitText w:val="472" w:id="-628400372"/>
          <w14:textFill>
            <w14:solidFill>
              <w14:srgbClr w14:val="000000">
                <w14:alpha w14:val="100000"/>
              </w14:srgbClr>
            </w14:solidFill>
          </w14:textFill>
        </w:rPr>
        <w:t>|</w:t>
      </w:r>
      <w:r>
        <w:t xml:space="preserve"> patients per month enrolled in the PAP. The sponsor requested that these patients are accurately captured in financial estimates used to set SC2 (i.e. to result in an increase to where SC2 is applied in the first year of listing) and be grandfathered to PBS-subsidised therapy at time of PBS listing. The PBAC noted the proposed restriction wording would not disadvantage patients who had received prior therapy under a patient access program provided they otherwise met the restriction criteria.</w:t>
      </w:r>
      <w:r>
        <w:rPr>
          <w:i/>
          <w:iCs/>
        </w:rPr>
        <w:t xml:space="preserve"> </w:t>
      </w:r>
    </w:p>
    <w:p w14:paraId="75736293" w14:textId="77777777" w:rsidR="005F2C11" w:rsidRDefault="005F2C11" w:rsidP="005F2C11">
      <w:pPr>
        <w:pStyle w:val="4-SubsectionHeading"/>
      </w:pPr>
      <w:r>
        <w:t xml:space="preserve">Quality Use of Medicines </w:t>
      </w:r>
    </w:p>
    <w:p w14:paraId="669997B6" w14:textId="77777777" w:rsidR="005F2C11" w:rsidRDefault="005F2C11" w:rsidP="005F2C11">
      <w:pPr>
        <w:pStyle w:val="3-BodyText"/>
        <w:numPr>
          <w:ilvl w:val="1"/>
          <w:numId w:val="59"/>
        </w:numPr>
        <w:spacing w:before="120" w:after="120"/>
        <w:rPr>
          <w:lang w:eastAsia="en-US"/>
        </w:rPr>
      </w:pPr>
      <w:r>
        <w:rPr>
          <w:lang w:eastAsia="en-US"/>
        </w:rPr>
        <w:t xml:space="preserve">The sponsor reiterated its commitment to working with healthcare professionals and professional bodies to support appropriate use of the broad listing, if implemented. </w:t>
      </w:r>
    </w:p>
    <w:p w14:paraId="2D5E1A21" w14:textId="77777777" w:rsidR="005F2C11" w:rsidRDefault="005F2C11" w:rsidP="005F2C11">
      <w:pPr>
        <w:pStyle w:val="3-BodyText"/>
        <w:numPr>
          <w:ilvl w:val="1"/>
          <w:numId w:val="59"/>
        </w:numPr>
        <w:spacing w:before="120" w:after="120"/>
        <w:rPr>
          <w:lang w:eastAsia="en-US"/>
        </w:rPr>
      </w:pPr>
      <w:r>
        <w:rPr>
          <w:lang w:eastAsia="en-US"/>
        </w:rPr>
        <w:t>The sponsor noted it would undertake quality use of medicine activities and education with representative bodies, particularly in the early period of a potential PBS listing. The sponsor considered it would be helpful for the PBAC to provide a statement on the intent of the listing to support this work.</w:t>
      </w:r>
    </w:p>
    <w:p w14:paraId="0E1D24E1" w14:textId="77777777" w:rsidR="005F2C11" w:rsidRDefault="005F2C11" w:rsidP="005F2C11">
      <w:pPr>
        <w:pStyle w:val="2-SectionHeading"/>
        <w:numPr>
          <w:ilvl w:val="0"/>
          <w:numId w:val="59"/>
        </w:numPr>
        <w:snapToGrid w:val="0"/>
        <w:rPr>
          <w:lang w:eastAsia="en-US"/>
        </w:rPr>
      </w:pPr>
      <w:r>
        <w:rPr>
          <w:lang w:eastAsia="en-US"/>
        </w:rPr>
        <w:t>PBAC Outcome</w:t>
      </w:r>
    </w:p>
    <w:p w14:paraId="0F1C8AC2" w14:textId="77777777" w:rsidR="005F2C11" w:rsidRDefault="005F2C11" w:rsidP="005F2C11">
      <w:pPr>
        <w:pStyle w:val="3-BodyText"/>
        <w:numPr>
          <w:ilvl w:val="1"/>
          <w:numId w:val="59"/>
        </w:numPr>
        <w:spacing w:before="120" w:after="120"/>
      </w:pPr>
      <w:r>
        <w:rPr>
          <w:lang w:eastAsia="en-US"/>
        </w:rPr>
        <w:t xml:space="preserve">The PBAC recommended, under </w:t>
      </w:r>
      <w:r>
        <w:t xml:space="preserve">section 101(3) of the Act, a change to the circumstances under which nivolumab and ipilimumab are made available as pharmaceutical benefits under Part VII of the Act to enable their use for advanced and metastatic cancers. The PBAC is satisfied that the listings will provide, for some patients, a significant improvement in efficacy over alternate therapies (or watchful </w:t>
      </w:r>
      <w:r>
        <w:lastRenderedPageBreak/>
        <w:t xml:space="preserve">waiting). The PBAC’s recommendation for listing was based on, among other matters, its assessment, as described above, the listing would be cost-effective within the context of an RSA.  </w:t>
      </w:r>
    </w:p>
    <w:p w14:paraId="5503DEBC" w14:textId="77777777" w:rsidR="005F2C11" w:rsidRDefault="005F2C11" w:rsidP="005F2C11">
      <w:pPr>
        <w:pStyle w:val="3-BodyText"/>
        <w:numPr>
          <w:ilvl w:val="1"/>
          <w:numId w:val="59"/>
        </w:numPr>
        <w:spacing w:before="120" w:after="120"/>
        <w:rPr>
          <w:lang w:eastAsia="en-US"/>
        </w:rPr>
      </w:pPr>
      <w:r>
        <w:t xml:space="preserve">The PBAC considered the proposed restriction criteria were appropriate. </w:t>
      </w:r>
      <w:r>
        <w:rPr>
          <w:lang w:eastAsia="en-US"/>
        </w:rPr>
        <w:t xml:space="preserve">The PBAC noted the listing was restricted to advanced and metastatic cancers and therefore did not include early-stage cancers. </w:t>
      </w:r>
      <w:r>
        <w:t xml:space="preserve">It noted the listing would provide clinicians with appropriate discretion to treat patients with these cancers based on the best available evidence. </w:t>
      </w:r>
    </w:p>
    <w:p w14:paraId="1084BD39" w14:textId="77777777" w:rsidR="005F2C11" w:rsidRDefault="005F2C11" w:rsidP="005F2C11">
      <w:pPr>
        <w:pStyle w:val="3-BodyText"/>
        <w:numPr>
          <w:ilvl w:val="1"/>
          <w:numId w:val="59"/>
        </w:numPr>
        <w:spacing w:before="120" w:after="120"/>
      </w:pPr>
      <w:r>
        <w:rPr>
          <w:lang w:eastAsia="en-US"/>
        </w:rPr>
        <w:t xml:space="preserve">The PBAC considered the proposed approach was acceptable for calculating the weighted price using the most recent PBS expenditure data for advanced/metastatic indications. </w:t>
      </w:r>
      <w:r>
        <w:t>The PBAC noted under the proposed Risk Sharing Arrangement, the weighted price would be applied to utilisation under the first tier of the proposed RSA and the cap for utilisation would be set based on extrapolated utilisation of the existing listings. This was intended to effectively maintain the existing prices for current listings. The PBAC consider this was appropriate.</w:t>
      </w:r>
    </w:p>
    <w:p w14:paraId="4F5BEEE6" w14:textId="4C1C87EE" w:rsidR="005F2C11" w:rsidRDefault="005F2C11" w:rsidP="005F2C11">
      <w:pPr>
        <w:pStyle w:val="3-BodyText"/>
        <w:numPr>
          <w:ilvl w:val="1"/>
          <w:numId w:val="59"/>
        </w:numPr>
        <w:spacing w:before="120" w:after="120"/>
      </w:pPr>
      <w:r>
        <w:t xml:space="preserve">The PBAC noted the sponsor proposed a </w:t>
      </w:r>
      <w:r w:rsidR="00C546A7" w:rsidRPr="00C546A7">
        <w:rPr>
          <w:color w:val="000000"/>
          <w:w w:val="61"/>
          <w:shd w:val="solid" w:color="000000" w:fill="000000"/>
          <w:fitText w:val="472" w:id="-628400371"/>
          <w14:textFill>
            <w14:solidFill>
              <w14:srgbClr w14:val="000000">
                <w14:alpha w14:val="100000"/>
              </w14:srgbClr>
            </w14:solidFill>
          </w14:textFill>
        </w:rPr>
        <w:t>|||  ||</w:t>
      </w:r>
      <w:r w:rsidR="00C546A7" w:rsidRPr="00C546A7">
        <w:rPr>
          <w:color w:val="000000"/>
          <w:spacing w:val="2"/>
          <w:w w:val="61"/>
          <w:shd w:val="solid" w:color="000000" w:fill="000000"/>
          <w:fitText w:val="472" w:id="-628400371"/>
          <w14:textFill>
            <w14:solidFill>
              <w14:srgbClr w14:val="000000">
                <w14:alpha w14:val="100000"/>
              </w14:srgbClr>
            </w14:solidFill>
          </w14:textFill>
        </w:rPr>
        <w:t>|</w:t>
      </w:r>
      <w:r>
        <w:t xml:space="preserve">% rebate for utilisation between the first tier and second tiers of the RSA, which would represent utilisation in the extended indications and treatment scenarios. The PBAC considered this was appropriate. </w:t>
      </w:r>
    </w:p>
    <w:p w14:paraId="14E8DA6E" w14:textId="77777777" w:rsidR="005F2C11" w:rsidRDefault="005F2C11" w:rsidP="005F2C11">
      <w:pPr>
        <w:pStyle w:val="3-BodyText"/>
        <w:numPr>
          <w:ilvl w:val="1"/>
          <w:numId w:val="59"/>
        </w:numPr>
        <w:spacing w:before="120" w:after="120"/>
        <w:rPr>
          <w:lang w:eastAsia="en-US"/>
        </w:rPr>
      </w:pPr>
      <w:r>
        <w:rPr>
          <w:lang w:eastAsia="en-US"/>
        </w:rPr>
        <w:t>The PBAC recalled it had considered a total cap on expenditure would be appropriate for utilisation beyond the total estimated utilisation and that it had acknowledged there was uncertainty in the estimates. While the PBAC had identified areas of potential over-estimation in the estimates in its July 2025 consideration, it also noted the sponsor had identified areas of potential under-estimation in the current proposal.</w:t>
      </w:r>
    </w:p>
    <w:p w14:paraId="44105E84" w14:textId="5EA5F145" w:rsidR="005F2C11" w:rsidRDefault="005F2C11" w:rsidP="005F2C11">
      <w:pPr>
        <w:pStyle w:val="3-BodyText"/>
        <w:numPr>
          <w:ilvl w:val="1"/>
          <w:numId w:val="59"/>
        </w:numPr>
        <w:spacing w:before="120" w:after="120"/>
        <w:rPr>
          <w:lang w:eastAsia="en-US"/>
        </w:rPr>
      </w:pPr>
      <w:r>
        <w:rPr>
          <w:lang w:eastAsia="en-US"/>
        </w:rPr>
        <w:t xml:space="preserve">On balance, the PBAC supported the sponsor’s proposal to apply a </w:t>
      </w:r>
      <w:r w:rsidR="00C546A7" w:rsidRPr="00C546A7">
        <w:rPr>
          <w:color w:val="000000"/>
          <w:w w:val="59"/>
          <w:shd w:val="solid" w:color="000000" w:fill="000000"/>
          <w:fitText w:val="460" w:id="-628400370"/>
          <w:lang w:eastAsia="en-US"/>
          <w14:textFill>
            <w14:solidFill>
              <w14:srgbClr w14:val="000000">
                <w14:alpha w14:val="100000"/>
              </w14:srgbClr>
            </w14:solidFill>
          </w14:textFill>
        </w:rPr>
        <w:t>|||  ||</w:t>
      </w:r>
      <w:r w:rsidR="00C546A7" w:rsidRPr="00C546A7">
        <w:rPr>
          <w:color w:val="000000"/>
          <w:spacing w:val="5"/>
          <w:w w:val="59"/>
          <w:shd w:val="solid" w:color="000000" w:fill="000000"/>
          <w:fitText w:val="460" w:id="-628400370"/>
          <w:lang w:eastAsia="en-US"/>
          <w14:textFill>
            <w14:solidFill>
              <w14:srgbClr w14:val="000000">
                <w14:alpha w14:val="100000"/>
              </w14:srgbClr>
            </w14:solidFill>
          </w14:textFill>
        </w:rPr>
        <w:t>|</w:t>
      </w:r>
      <w:r>
        <w:rPr>
          <w:lang w:eastAsia="en-US"/>
        </w:rPr>
        <w:t>% rebate for utilisation beyond SC2, which was set once expenditure above SC1 reached $</w:t>
      </w:r>
      <w:r w:rsidR="00C546A7" w:rsidRPr="00C546A7">
        <w:rPr>
          <w:color w:val="000000"/>
          <w:w w:val="61"/>
          <w:shd w:val="solid" w:color="000000" w:fill="000000"/>
          <w:fitText w:val="472" w:id="-628400369"/>
          <w:lang w:eastAsia="en-US"/>
          <w14:textFill>
            <w14:solidFill>
              <w14:srgbClr w14:val="000000">
                <w14:alpha w14:val="100000"/>
              </w14:srgbClr>
            </w14:solidFill>
          </w14:textFill>
        </w:rPr>
        <w:t>|||  ||</w:t>
      </w:r>
      <w:r w:rsidR="00C546A7" w:rsidRPr="00C546A7">
        <w:rPr>
          <w:color w:val="000000"/>
          <w:spacing w:val="2"/>
          <w:w w:val="61"/>
          <w:shd w:val="solid" w:color="000000" w:fill="000000"/>
          <w:fitText w:val="472" w:id="-628400369"/>
          <w:lang w:eastAsia="en-US"/>
          <w14:textFill>
            <w14:solidFill>
              <w14:srgbClr w14:val="000000">
                <w14:alpha w14:val="100000"/>
              </w14:srgbClr>
            </w14:solidFill>
          </w14:textFill>
        </w:rPr>
        <w:t>|</w:t>
      </w:r>
      <w:r>
        <w:rPr>
          <w:lang w:eastAsia="en-US"/>
        </w:rPr>
        <w:t xml:space="preserve">. The PBAC noted SC2 was below the total estimated utilisation. The PBAC considered there would be a reduction in expenditure within the total estimated utilisation through this approach that would offset the application of a 90% rebate beyond the estimated utilisation. </w:t>
      </w:r>
    </w:p>
    <w:p w14:paraId="4306BC67" w14:textId="77777777" w:rsidR="005F2C11" w:rsidRDefault="005F2C11" w:rsidP="005F2C11">
      <w:pPr>
        <w:pStyle w:val="3-BodyText"/>
        <w:numPr>
          <w:ilvl w:val="1"/>
          <w:numId w:val="59"/>
        </w:numPr>
        <w:spacing w:before="120" w:after="120"/>
        <w:rPr>
          <w:lang w:eastAsia="en-US"/>
        </w:rPr>
      </w:pPr>
      <w:r>
        <w:t xml:space="preserve">The PBAC considered the medicines would be cost-effective across the extended circumstances with these rebates applied and that the financial risk to Government was sufficiently contained by the structure of the RSA. Given this, the PBAC </w:t>
      </w:r>
      <w:r>
        <w:rPr>
          <w:lang w:eastAsia="en-US"/>
        </w:rPr>
        <w:t xml:space="preserve">did not consider that the RSA would require a governance framework.  </w:t>
      </w:r>
    </w:p>
    <w:p w14:paraId="74769C13" w14:textId="77777777" w:rsidR="005F2C11" w:rsidRDefault="005F2C11" w:rsidP="005F2C11">
      <w:pPr>
        <w:pStyle w:val="3-BodyText"/>
        <w:numPr>
          <w:ilvl w:val="1"/>
          <w:numId w:val="59"/>
        </w:numPr>
        <w:spacing w:before="120" w:after="120"/>
        <w:rPr>
          <w:lang w:eastAsia="en-US"/>
        </w:rPr>
      </w:pPr>
      <w:r>
        <w:t xml:space="preserve">The PBAC considered it would be appropriate for the Department to prepare a review of the utilisation of the listing three years after implementation. The purpose of this review would be to assess whether the medicines were being used consistent with the intention of the listing and that utilisation was for indications where there was a reasonable expectation of clinical benefit. The PBAC noted that if there were significant utilisation above the estimates or indicators of high levels of inappropriate </w:t>
      </w:r>
      <w:r>
        <w:lastRenderedPageBreak/>
        <w:t>prescribing under the listing at that time, it may be necessary to make amendments to the restriction wording or authority level to address this.</w:t>
      </w:r>
    </w:p>
    <w:p w14:paraId="054E6AE2" w14:textId="52C7C5BC" w:rsidR="005F2C11" w:rsidRDefault="005F2C11" w:rsidP="005F2C11">
      <w:pPr>
        <w:pStyle w:val="3-BodyText"/>
        <w:numPr>
          <w:ilvl w:val="1"/>
          <w:numId w:val="59"/>
        </w:numPr>
        <w:spacing w:before="120" w:after="120"/>
        <w:rPr>
          <w:lang w:eastAsia="en-US"/>
        </w:rPr>
      </w:pPr>
      <w:r>
        <w:t xml:space="preserve">The PBAC noted the sponsor’s request to include up to </w:t>
      </w:r>
      <w:r w:rsidR="00C546A7" w:rsidRPr="00C546A7">
        <w:rPr>
          <w:color w:val="000000"/>
          <w:w w:val="61"/>
          <w:shd w:val="solid" w:color="000000" w:fill="000000"/>
          <w:fitText w:val="472" w:id="-628400368"/>
          <w14:textFill>
            <w14:solidFill>
              <w14:srgbClr w14:val="000000">
                <w14:alpha w14:val="100000"/>
              </w14:srgbClr>
            </w14:solidFill>
          </w14:textFill>
        </w:rPr>
        <w:t>|||  ||</w:t>
      </w:r>
      <w:r w:rsidR="00C546A7" w:rsidRPr="00C546A7">
        <w:rPr>
          <w:color w:val="000000"/>
          <w:spacing w:val="2"/>
          <w:w w:val="61"/>
          <w:shd w:val="solid" w:color="000000" w:fill="000000"/>
          <w:fitText w:val="472" w:id="-628400368"/>
          <w14:textFill>
            <w14:solidFill>
              <w14:srgbClr w14:val="000000">
                <w14:alpha w14:val="100000"/>
              </w14:srgbClr>
            </w14:solidFill>
          </w14:textFill>
        </w:rPr>
        <w:t>|</w:t>
      </w:r>
      <w:r>
        <w:t xml:space="preserve"> patients per month in the population between SC1 and SC2 to accommodate grandfathering patients who access nivolumab and ipilimumab under a proposed patient access program for CRC MSI-H. The PBAC noted the revised proposal had modelled the CRC population using the same market share approach that it considered in a separate submission for this indication in July 2025. The PBAC recalled it had considered these to be over-estimated and so it was likely these additional patients would be captured under the proposed estimates. The PBAC noted that the 2026 incident population had been included in the model and so it would not be appropriate to grandfather patients in the patient access program beyond 2025. On these bases, the PBAC did not support a further increase to the patient numbers modelled in the financial estimates.</w:t>
      </w:r>
    </w:p>
    <w:p w14:paraId="2C671BD2" w14:textId="77777777" w:rsidR="005F2C11" w:rsidRDefault="005F2C11" w:rsidP="005F2C11">
      <w:pPr>
        <w:pStyle w:val="3-BodyText"/>
        <w:numPr>
          <w:ilvl w:val="1"/>
          <w:numId w:val="59"/>
        </w:numPr>
        <w:spacing w:before="120" w:after="120"/>
        <w:rPr>
          <w:lang w:eastAsia="en-US"/>
        </w:rPr>
      </w:pPr>
      <w:r>
        <w:t xml:space="preserve">The PBAC reiterated its support for the sponsor’s proposed quality use of medicines educational activities and the importance of engagement from prescribers in ensuring the medicines were used under the listing as intended. It considered this would be crucial in supporting the listing and ensuring the medicines were utilised only where there was a reasonable expectation of benefit for the patient. </w:t>
      </w:r>
    </w:p>
    <w:p w14:paraId="0AA31837" w14:textId="77777777" w:rsidR="005F2C11" w:rsidRDefault="005F2C11" w:rsidP="005F2C11">
      <w:pPr>
        <w:pStyle w:val="3-BodyText"/>
        <w:numPr>
          <w:ilvl w:val="1"/>
          <w:numId w:val="59"/>
        </w:numPr>
        <w:spacing w:before="120" w:after="120"/>
        <w:rPr>
          <w:lang w:eastAsia="en-US"/>
        </w:rPr>
      </w:pPr>
      <w:r>
        <w:rPr>
          <w:lang w:eastAsia="en-US"/>
        </w:rPr>
        <w:t xml:space="preserve">The PBAC noted as this had received a positive recommendation it was not eligible for an independent review. </w:t>
      </w:r>
    </w:p>
    <w:p w14:paraId="2DE4B00D" w14:textId="77777777" w:rsidR="005F2C11" w:rsidRDefault="005F2C11" w:rsidP="005F2C11">
      <w:pPr>
        <w:pStyle w:val="3-BodyText"/>
        <w:numPr>
          <w:ilvl w:val="0"/>
          <w:numId w:val="0"/>
        </w:numPr>
        <w:ind w:left="720"/>
        <w:rPr>
          <w:lang w:eastAsia="en-US"/>
        </w:rPr>
      </w:pPr>
    </w:p>
    <w:p w14:paraId="3942B3CC" w14:textId="77777777" w:rsidR="005F2C11" w:rsidRDefault="005F2C11" w:rsidP="005F2C11">
      <w:pPr>
        <w:rPr>
          <w:rFonts w:asciiTheme="minorHAnsi" w:hAnsiTheme="minorHAnsi" w:cs="Arial"/>
          <w:b/>
          <w:bCs/>
          <w:snapToGrid w:val="0"/>
          <w:lang w:val="en-GB"/>
        </w:rPr>
      </w:pPr>
      <w:r>
        <w:rPr>
          <w:rFonts w:asciiTheme="minorHAnsi" w:hAnsiTheme="minorHAnsi" w:cs="Arial"/>
          <w:b/>
          <w:bCs/>
          <w:snapToGrid w:val="0"/>
          <w:lang w:val="en-GB"/>
        </w:rPr>
        <w:t>Outcome:</w:t>
      </w:r>
    </w:p>
    <w:p w14:paraId="25AF5D5A" w14:textId="77823045" w:rsidR="000300F1" w:rsidRDefault="005F2C11" w:rsidP="005F2C11">
      <w:pPr>
        <w:rPr>
          <w:rFonts w:asciiTheme="minorHAnsi" w:hAnsiTheme="minorHAnsi" w:cs="Arial"/>
          <w:bCs/>
          <w:snapToGrid w:val="0"/>
          <w:lang w:val="en-GB"/>
        </w:rPr>
      </w:pPr>
      <w:r>
        <w:rPr>
          <w:rFonts w:asciiTheme="minorHAnsi" w:hAnsiTheme="minorHAnsi" w:cs="Arial"/>
          <w:bCs/>
          <w:snapToGrid w:val="0"/>
          <w:lang w:val="en-GB"/>
        </w:rPr>
        <w:t>Recommended</w:t>
      </w:r>
    </w:p>
    <w:p w14:paraId="29B284BB" w14:textId="77777777" w:rsidR="005F2C11" w:rsidRDefault="005F2C11" w:rsidP="005F2C11">
      <w:pPr>
        <w:pStyle w:val="2-SectionHeading"/>
        <w:numPr>
          <w:ilvl w:val="0"/>
          <w:numId w:val="59"/>
        </w:numPr>
        <w:snapToGrid w:val="0"/>
        <w:rPr>
          <w:snapToGrid/>
          <w:lang w:eastAsia="en-US"/>
        </w:rPr>
      </w:pPr>
      <w:r>
        <w:rPr>
          <w:lang w:eastAsia="en-US"/>
        </w:rPr>
        <w:t>Recommended listing</w:t>
      </w:r>
    </w:p>
    <w:p w14:paraId="409AC2B0" w14:textId="77777777" w:rsidR="005F2C11" w:rsidRDefault="005F2C11" w:rsidP="005F2C11">
      <w:pPr>
        <w:pStyle w:val="3-BodyText"/>
        <w:numPr>
          <w:ilvl w:val="1"/>
          <w:numId w:val="59"/>
        </w:numPr>
        <w:spacing w:before="120" w:after="120"/>
        <w:jc w:val="left"/>
      </w:pPr>
      <w:r>
        <w:rPr>
          <w:lang w:eastAsia="en-US"/>
        </w:rPr>
        <w:t>Add the following new listing and restriction to replace all current listings for nivolumab across all PBS indications in the metastatic or advanced settings: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w:tblPr>
      <w:tblGrid>
        <w:gridCol w:w="1271"/>
        <w:gridCol w:w="1823"/>
        <w:gridCol w:w="1973"/>
        <w:gridCol w:w="1973"/>
        <w:gridCol w:w="1976"/>
      </w:tblGrid>
      <w:tr w:rsidR="005F2C11" w14:paraId="7668533C" w14:textId="77777777" w:rsidTr="005F2C11">
        <w:trPr>
          <w:cantSplit/>
          <w:trHeight w:val="20"/>
        </w:trPr>
        <w:tc>
          <w:tcPr>
            <w:tcW w:w="1716" w:type="pct"/>
            <w:gridSpan w:val="2"/>
            <w:tcBorders>
              <w:top w:val="single" w:sz="4" w:space="0" w:color="auto"/>
              <w:left w:val="single" w:sz="4" w:space="0" w:color="auto"/>
              <w:bottom w:val="single" w:sz="4" w:space="0" w:color="auto"/>
              <w:right w:val="single" w:sz="4" w:space="0" w:color="auto"/>
            </w:tcBorders>
            <w:vAlign w:val="center"/>
            <w:hideMark/>
          </w:tcPr>
          <w:p w14:paraId="0C2BC217" w14:textId="77777777" w:rsidR="005F2C11" w:rsidRDefault="005F2C11">
            <w:pPr>
              <w:keepNext/>
              <w:rPr>
                <w:rFonts w:ascii="Arial Narrow" w:hAnsi="Arial Narrow"/>
                <w:b/>
                <w:bCs/>
                <w:sz w:val="20"/>
                <w:szCs w:val="20"/>
              </w:rPr>
            </w:pPr>
            <w:r>
              <w:rPr>
                <w:rFonts w:ascii="Arial Narrow" w:hAnsi="Arial Narrow"/>
                <w:b/>
                <w:bCs/>
                <w:sz w:val="20"/>
                <w:szCs w:val="20"/>
              </w:rPr>
              <w:t>MEDICINAL PRODUCT</w:t>
            </w:r>
          </w:p>
          <w:p w14:paraId="05C1B244" w14:textId="77777777" w:rsidR="005F2C11" w:rsidRDefault="005F2C11">
            <w:pPr>
              <w:keepNext/>
              <w:rPr>
                <w:rFonts w:ascii="Arial Narrow" w:hAnsi="Arial Narrow" w:cs="Arial"/>
                <w:b/>
                <w:sz w:val="20"/>
                <w:szCs w:val="20"/>
              </w:rPr>
            </w:pPr>
            <w:r>
              <w:rPr>
                <w:rFonts w:ascii="Arial Narrow" w:hAnsi="Arial Narrow" w:cs="Arial"/>
                <w:b/>
                <w:sz w:val="20"/>
                <w:szCs w:val="20"/>
              </w:rPr>
              <w:t>Form</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2E0A03C"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PBS item code</w:t>
            </w:r>
          </w:p>
        </w:tc>
        <w:tc>
          <w:tcPr>
            <w:tcW w:w="1094" w:type="pct"/>
            <w:tcBorders>
              <w:top w:val="single" w:sz="4" w:space="0" w:color="auto"/>
              <w:left w:val="single" w:sz="4" w:space="0" w:color="auto"/>
              <w:bottom w:val="single" w:sz="4" w:space="0" w:color="auto"/>
              <w:right w:val="single" w:sz="4" w:space="0" w:color="auto"/>
            </w:tcBorders>
            <w:vAlign w:val="center"/>
            <w:hideMark/>
          </w:tcPr>
          <w:p w14:paraId="2E700D37"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Max. Amount</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BB7D4B8"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№.of Rpts</w:t>
            </w:r>
          </w:p>
        </w:tc>
      </w:tr>
      <w:tr w:rsidR="005F2C11" w14:paraId="2A451401" w14:textId="77777777" w:rsidTr="005F2C11">
        <w:trPr>
          <w:cantSplit/>
          <w:trHeight w:val="20"/>
        </w:trPr>
        <w:tc>
          <w:tcPr>
            <w:tcW w:w="1716" w:type="pct"/>
            <w:gridSpan w:val="2"/>
            <w:tcBorders>
              <w:top w:val="single" w:sz="4" w:space="0" w:color="auto"/>
              <w:left w:val="single" w:sz="4" w:space="0" w:color="auto"/>
              <w:bottom w:val="single" w:sz="4" w:space="0" w:color="auto"/>
              <w:right w:val="single" w:sz="4" w:space="0" w:color="auto"/>
            </w:tcBorders>
            <w:vAlign w:val="center"/>
            <w:hideMark/>
          </w:tcPr>
          <w:p w14:paraId="1B4E0E13" w14:textId="77777777" w:rsidR="005F2C11" w:rsidRDefault="005F2C11">
            <w:pPr>
              <w:keepNext/>
              <w:rPr>
                <w:rFonts w:ascii="Arial Narrow" w:hAnsi="Arial Narrow" w:cs="Arial"/>
                <w:sz w:val="20"/>
                <w:szCs w:val="20"/>
              </w:rPr>
            </w:pPr>
            <w:r>
              <w:rPr>
                <w:rFonts w:ascii="Arial Narrow" w:hAnsi="Arial Narrow" w:cs="Arial"/>
                <w:sz w:val="20"/>
                <w:szCs w:val="20"/>
              </w:rPr>
              <w:t>NIVOLUMAB Injection</w:t>
            </w:r>
          </w:p>
        </w:tc>
        <w:tc>
          <w:tcPr>
            <w:tcW w:w="1094" w:type="pct"/>
            <w:tcBorders>
              <w:top w:val="single" w:sz="4" w:space="0" w:color="auto"/>
              <w:left w:val="single" w:sz="4" w:space="0" w:color="auto"/>
              <w:bottom w:val="single" w:sz="4" w:space="0" w:color="auto"/>
              <w:right w:val="single" w:sz="4" w:space="0" w:color="auto"/>
            </w:tcBorders>
            <w:vAlign w:val="center"/>
            <w:hideMark/>
          </w:tcPr>
          <w:p w14:paraId="1C7EAA53" w14:textId="77777777" w:rsidR="005F2C11" w:rsidRDefault="005F2C11">
            <w:pPr>
              <w:keepNext/>
              <w:jc w:val="center"/>
              <w:rPr>
                <w:rFonts w:ascii="Arial Narrow" w:hAnsi="Arial Narrow" w:cs="Arial"/>
                <w:sz w:val="20"/>
                <w:szCs w:val="20"/>
              </w:rPr>
            </w:pPr>
            <w:r>
              <w:rPr>
                <w:rFonts w:ascii="Arial Narrow" w:hAnsi="Arial Narrow" w:cs="Arial"/>
                <w:sz w:val="20"/>
                <w:szCs w:val="20"/>
              </w:rPr>
              <w:t>NEW (HS)</w:t>
            </w:r>
          </w:p>
          <w:p w14:paraId="4258E734" w14:textId="77777777" w:rsidR="005F2C11" w:rsidRDefault="005F2C11">
            <w:pPr>
              <w:keepNext/>
              <w:jc w:val="center"/>
              <w:rPr>
                <w:rFonts w:ascii="Arial Narrow" w:hAnsi="Arial Narrow" w:cs="Arial"/>
                <w:sz w:val="20"/>
                <w:szCs w:val="20"/>
              </w:rPr>
            </w:pPr>
            <w:r>
              <w:rPr>
                <w:rFonts w:ascii="Arial Narrow" w:hAnsi="Arial Narrow" w:cs="Arial"/>
                <w:sz w:val="20"/>
                <w:szCs w:val="20"/>
              </w:rPr>
              <w:t>NEW (HB)</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7AA8071" w14:textId="77777777" w:rsidR="005F2C11" w:rsidRDefault="005F2C11">
            <w:pPr>
              <w:keepNext/>
              <w:jc w:val="center"/>
              <w:rPr>
                <w:rFonts w:ascii="Arial Narrow" w:hAnsi="Arial Narrow" w:cs="Arial"/>
                <w:sz w:val="20"/>
                <w:szCs w:val="20"/>
              </w:rPr>
            </w:pPr>
            <w:r>
              <w:rPr>
                <w:rFonts w:ascii="Arial Narrow" w:hAnsi="Arial Narrow" w:cs="Arial"/>
                <w:sz w:val="20"/>
                <w:szCs w:val="20"/>
              </w:rPr>
              <w:t>480mg</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30E64FE" w14:textId="77777777" w:rsidR="005F2C11" w:rsidRDefault="005F2C11">
            <w:pPr>
              <w:keepNext/>
              <w:jc w:val="center"/>
              <w:rPr>
                <w:rFonts w:ascii="Arial Narrow" w:hAnsi="Arial Narrow" w:cs="Arial"/>
                <w:i/>
                <w:iCs/>
                <w:sz w:val="20"/>
                <w:szCs w:val="20"/>
              </w:rPr>
            </w:pPr>
            <w:r>
              <w:rPr>
                <w:rFonts w:ascii="Arial Narrow" w:hAnsi="Arial Narrow" w:cs="Arial"/>
                <w:sz w:val="20"/>
                <w:szCs w:val="20"/>
              </w:rPr>
              <w:t>13</w:t>
            </w:r>
          </w:p>
        </w:tc>
      </w:tr>
      <w:tr w:rsidR="005F2C11" w14:paraId="771C4416"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71D38E4" w14:textId="77777777" w:rsidR="005F2C11" w:rsidRDefault="005F2C11">
            <w:pPr>
              <w:keepNext/>
              <w:rPr>
                <w:rFonts w:ascii="Arial Narrow" w:hAnsi="Arial Narrow"/>
                <w:b/>
                <w:sz w:val="20"/>
                <w:szCs w:val="20"/>
              </w:rPr>
            </w:pPr>
            <w:r>
              <w:rPr>
                <w:rFonts w:ascii="Arial Narrow" w:hAnsi="Arial Narrow"/>
                <w:b/>
                <w:sz w:val="20"/>
                <w:szCs w:val="20"/>
              </w:rPr>
              <w:t xml:space="preserve">Available brands </w:t>
            </w:r>
          </w:p>
        </w:tc>
      </w:tr>
      <w:tr w:rsidR="005F2C11" w14:paraId="7D50A02C"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26D0837" w14:textId="77777777" w:rsidR="005F2C11" w:rsidRDefault="005F2C11">
            <w:pPr>
              <w:keepNext/>
              <w:rPr>
                <w:rFonts w:ascii="Arial Narrow" w:hAnsi="Arial Narrow" w:cs="Arial"/>
                <w:sz w:val="20"/>
                <w:szCs w:val="20"/>
              </w:rPr>
            </w:pPr>
            <w:r>
              <w:rPr>
                <w:rFonts w:ascii="Arial Narrow" w:hAnsi="Arial Narrow" w:cs="Arial"/>
                <w:sz w:val="20"/>
                <w:szCs w:val="20"/>
              </w:rPr>
              <w:t xml:space="preserve">Opdivo </w:t>
            </w:r>
          </w:p>
          <w:p w14:paraId="7BE0E225" w14:textId="77777777" w:rsidR="005F2C11" w:rsidRDefault="005F2C11">
            <w:pPr>
              <w:keepNext/>
              <w:rPr>
                <w:rFonts w:ascii="Arial Narrow" w:hAnsi="Arial Narrow" w:cs="Arial"/>
                <w:sz w:val="20"/>
                <w:szCs w:val="20"/>
              </w:rPr>
            </w:pPr>
            <w:r>
              <w:rPr>
                <w:rFonts w:ascii="Arial Narrow" w:hAnsi="Arial Narrow" w:cs="Arial"/>
                <w:sz w:val="20"/>
                <w:szCs w:val="20"/>
              </w:rPr>
              <w:t>(nivolumab 40 mg/4 mL injection, 4 mL vial)</w:t>
            </w:r>
          </w:p>
        </w:tc>
      </w:tr>
      <w:tr w:rsidR="005F2C11" w14:paraId="78F534AB"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91DA635" w14:textId="77777777" w:rsidR="005F2C11" w:rsidRDefault="005F2C11">
            <w:pPr>
              <w:keepNext/>
              <w:rPr>
                <w:rFonts w:ascii="Arial Narrow" w:hAnsi="Arial Narrow" w:cs="Arial"/>
                <w:sz w:val="20"/>
                <w:szCs w:val="20"/>
              </w:rPr>
            </w:pPr>
            <w:r>
              <w:rPr>
                <w:rFonts w:ascii="Arial Narrow" w:hAnsi="Arial Narrow" w:cs="Arial"/>
                <w:sz w:val="20"/>
                <w:szCs w:val="20"/>
              </w:rPr>
              <w:t xml:space="preserve">Opdivo </w:t>
            </w:r>
          </w:p>
          <w:p w14:paraId="217DFA3A" w14:textId="77777777" w:rsidR="005F2C11" w:rsidRDefault="005F2C11">
            <w:pPr>
              <w:keepNext/>
              <w:rPr>
                <w:rFonts w:ascii="Arial Narrow" w:hAnsi="Arial Narrow" w:cs="Arial"/>
                <w:sz w:val="20"/>
                <w:szCs w:val="20"/>
              </w:rPr>
            </w:pPr>
            <w:r>
              <w:rPr>
                <w:rFonts w:ascii="Arial Narrow" w:hAnsi="Arial Narrow" w:cs="Arial"/>
                <w:sz w:val="20"/>
                <w:szCs w:val="20"/>
              </w:rPr>
              <w:t>(nivolumab 100 mg/10 mL injection, 10 mL vial)</w:t>
            </w:r>
          </w:p>
        </w:tc>
      </w:tr>
      <w:tr w:rsidR="005F2C11" w14:paraId="0135659C"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1F28DC3" w14:textId="77777777" w:rsidR="005F2C11" w:rsidRDefault="005F2C11">
            <w:pPr>
              <w:keepNext/>
              <w:rPr>
                <w:rFonts w:ascii="Arial Narrow" w:hAnsi="Arial Narrow" w:cs="Arial"/>
                <w:sz w:val="20"/>
                <w:szCs w:val="20"/>
              </w:rPr>
            </w:pPr>
          </w:p>
        </w:tc>
      </w:tr>
      <w:tr w:rsidR="005F2C11" w14:paraId="098C6C89"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887B735" w14:textId="77777777" w:rsidR="005F2C11" w:rsidRDefault="005F2C11">
            <w:pPr>
              <w:keepNext/>
              <w:rPr>
                <w:rFonts w:ascii="Arial Narrow" w:hAnsi="Arial Narrow" w:cs="Arial"/>
                <w:color w:val="FF0000"/>
                <w:sz w:val="20"/>
                <w:szCs w:val="20"/>
              </w:rPr>
            </w:pPr>
            <w:r>
              <w:rPr>
                <w:rFonts w:ascii="Arial Narrow" w:hAnsi="Arial Narrow"/>
                <w:b/>
                <w:sz w:val="20"/>
                <w:szCs w:val="20"/>
              </w:rPr>
              <w:t>Restriction Summary [new1] / Treatment of Concept: [new1A]</w:t>
            </w:r>
          </w:p>
        </w:tc>
      </w:tr>
      <w:tr w:rsidR="005F2C11" w14:paraId="74BDC53F" w14:textId="77777777" w:rsidTr="005F2C11">
        <w:trPr>
          <w:cantSplit/>
          <w:trHeight w:val="20"/>
        </w:trPr>
        <w:tc>
          <w:tcPr>
            <w:tcW w:w="705"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B2C8195"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 xml:space="preserve">Concept ID </w:t>
            </w:r>
            <w:r>
              <w:rPr>
                <w:rFonts w:ascii="Arial Narrow" w:hAnsi="Arial Narrow" w:cs="Arial"/>
                <w:sz w:val="20"/>
                <w:szCs w:val="20"/>
              </w:rPr>
              <w:t>(for internal Dept. use)</w:t>
            </w: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5742BB7" w14:textId="77777777" w:rsidR="005F2C11" w:rsidRDefault="005F2C11">
            <w:pPr>
              <w:keepNext/>
              <w:rPr>
                <w:rFonts w:ascii="Arial Narrow" w:hAnsi="Arial Narrow" w:cs="Arial"/>
                <w:sz w:val="20"/>
                <w:szCs w:val="20"/>
              </w:rPr>
            </w:pPr>
            <w:r>
              <w:rPr>
                <w:rFonts w:ascii="Arial Narrow" w:hAnsi="Arial Narrow" w:cs="Arial"/>
                <w:b/>
                <w:sz w:val="20"/>
                <w:szCs w:val="20"/>
              </w:rPr>
              <w:t xml:space="preserve">Category / Program: </w:t>
            </w:r>
            <w:r>
              <w:rPr>
                <w:rFonts w:ascii="Arial Narrow" w:hAnsi="Arial Narrow" w:cs="Arial"/>
                <w:sz w:val="20"/>
                <w:szCs w:val="20"/>
              </w:rPr>
              <w:t>Section 100 – Efficient Funding of Chemotherapy Public/Private hospitals</w:t>
            </w:r>
          </w:p>
        </w:tc>
      </w:tr>
      <w:tr w:rsidR="005F2C11" w14:paraId="50106F29" w14:textId="77777777" w:rsidTr="005F2C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503D0" w14:textId="77777777" w:rsidR="005F2C11" w:rsidRDefault="005F2C11">
            <w:pPr>
              <w:jc w:val="left"/>
              <w:rPr>
                <w:rFonts w:ascii="Arial Narrow" w:hAnsi="Arial Narrow" w:cs="Arial"/>
                <w:b/>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5B01B35" w14:textId="77777777" w:rsidR="005F2C11" w:rsidRDefault="005F2C11">
            <w:pPr>
              <w:keepNext/>
              <w:rPr>
                <w:rFonts w:ascii="Arial Narrow" w:hAnsi="Arial Narrow" w:cs="Arial"/>
                <w:b/>
                <w:sz w:val="20"/>
                <w:szCs w:val="20"/>
              </w:rPr>
            </w:pPr>
            <w:r>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p>
        </w:tc>
      </w:tr>
      <w:tr w:rsidR="005F2C11" w14:paraId="1EDB79E3" w14:textId="77777777" w:rsidTr="005F2C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5467F" w14:textId="77777777" w:rsidR="005F2C11" w:rsidRDefault="005F2C11">
            <w:pPr>
              <w:jc w:val="left"/>
              <w:rPr>
                <w:rFonts w:ascii="Arial Narrow" w:hAnsi="Arial Narrow" w:cs="Arial"/>
                <w:b/>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0EE3E5F" w14:textId="77777777" w:rsidR="005F2C11" w:rsidRDefault="005F2C11">
            <w:pPr>
              <w:rPr>
                <w:rFonts w:ascii="Arial Narrow" w:eastAsia="Calibri" w:hAnsi="Arial Narrow" w:cs="Arial"/>
                <w:sz w:val="20"/>
                <w:szCs w:val="20"/>
              </w:rPr>
            </w:pPr>
            <w:r>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Authority Required (STREAMLINED) [NEW] </w:t>
            </w:r>
          </w:p>
        </w:tc>
      </w:tr>
      <w:tr w:rsidR="005F2C11" w14:paraId="2BAB7C16"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DFB5DB" w14:textId="4A388D04" w:rsidR="005F2C11" w:rsidRDefault="005F2C11">
            <w:pPr>
              <w:keepLines/>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507BD4" w14:textId="77777777" w:rsidR="005F2C11" w:rsidRDefault="005F2C11">
            <w:pPr>
              <w:keepLines/>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Immunotherapy sensitive advanced or metastatic cancer</w:t>
            </w:r>
          </w:p>
        </w:tc>
      </w:tr>
      <w:tr w:rsidR="005F2C11" w14:paraId="67C72622"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C42C6F" w14:textId="77777777"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E9935D" w14:textId="77777777" w:rsidR="005F2C11" w:rsidRDefault="005F2C11">
            <w:pPr>
              <w:rPr>
                <w:rFonts w:ascii="Arial Narrow" w:hAnsi="Arial Narrow"/>
                <w:color w:val="333333"/>
                <w:sz w:val="20"/>
                <w:szCs w:val="20"/>
              </w:rPr>
            </w:pPr>
            <w:r>
              <w:rPr>
                <w:rFonts w:ascii="Arial Narrow" w:hAnsi="Arial Narrow"/>
                <w:b/>
                <w:bCs/>
                <w:color w:val="333333"/>
                <w:sz w:val="20"/>
                <w:szCs w:val="20"/>
              </w:rPr>
              <w:t xml:space="preserve">Clinical criteria: </w:t>
            </w:r>
          </w:p>
        </w:tc>
      </w:tr>
      <w:tr w:rsidR="005F2C11" w14:paraId="41325257"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0ECDE7" w14:textId="7686B116"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FDF1CE" w14:textId="77777777" w:rsidR="005F2C11" w:rsidRDefault="005F2C11">
            <w:pPr>
              <w:rPr>
                <w:rFonts w:ascii="Arial Narrow" w:hAnsi="Arial Narrow"/>
                <w:color w:val="333333"/>
                <w:sz w:val="20"/>
                <w:szCs w:val="20"/>
              </w:rPr>
            </w:pPr>
            <w:r>
              <w:rPr>
                <w:rFonts w:ascii="Arial Narrow" w:hAnsi="Arial Narrow"/>
                <w:color w:val="333333"/>
                <w:sz w:val="20"/>
                <w:szCs w:val="20"/>
              </w:rPr>
              <w:t>Patient must not have developed disease progression while receiving PBS-subsidised treatment with this drug for the condition which treatment was commenced for.</w:t>
            </w:r>
          </w:p>
        </w:tc>
      </w:tr>
      <w:tr w:rsidR="005F2C11" w14:paraId="38B5F94C"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8D99AA" w14:textId="284482A5"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4CE23A" w14:textId="77777777" w:rsidR="005F2C11" w:rsidRDefault="005F2C11">
            <w:pPr>
              <w:rPr>
                <w:rFonts w:ascii="Arial Narrow" w:hAnsi="Arial Narrow"/>
                <w:b/>
                <w:bCs/>
                <w:color w:val="333333"/>
                <w:sz w:val="20"/>
                <w:szCs w:val="20"/>
              </w:rPr>
            </w:pPr>
            <w:r>
              <w:rPr>
                <w:rFonts w:ascii="Arial Narrow" w:hAnsi="Arial Narrow"/>
                <w:b/>
                <w:bCs/>
                <w:color w:val="333333"/>
                <w:sz w:val="20"/>
                <w:szCs w:val="20"/>
              </w:rPr>
              <w:t xml:space="preserve">Prescribing instruction </w:t>
            </w:r>
          </w:p>
          <w:p w14:paraId="198FB240" w14:textId="77777777" w:rsidR="005F2C11" w:rsidRDefault="005F2C11">
            <w:pPr>
              <w:rPr>
                <w:rFonts w:ascii="Arial Narrow" w:hAnsi="Arial Narrow"/>
                <w:b/>
                <w:bCs/>
                <w:color w:val="333333"/>
                <w:sz w:val="20"/>
                <w:szCs w:val="20"/>
              </w:rPr>
            </w:pPr>
            <w:r>
              <w:rPr>
                <w:rFonts w:ascii="Arial Narrow" w:hAnsi="Arial Narrow"/>
                <w:color w:val="333333"/>
                <w:sz w:val="20"/>
                <w:szCs w:val="20"/>
              </w:rPr>
              <w:t>Patients must only receive a maximum of 240 mg every two weeks or 480 mg every four weeks under a weight based or flat dosing regimen.</w:t>
            </w:r>
          </w:p>
        </w:tc>
      </w:tr>
      <w:tr w:rsidR="005F2C11" w14:paraId="4F696F9A"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29AD5B" w14:textId="6754ABE9"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EC403F" w14:textId="77777777" w:rsidR="005F2C11" w:rsidRDefault="005F2C11">
            <w:pPr>
              <w:rPr>
                <w:rFonts w:ascii="Arial Narrow" w:hAnsi="Arial Narrow"/>
                <w:color w:val="333333"/>
                <w:sz w:val="20"/>
                <w:szCs w:val="20"/>
              </w:rPr>
            </w:pPr>
            <w:r>
              <w:rPr>
                <w:rFonts w:ascii="Arial Narrow" w:hAnsi="Arial Narrow"/>
                <w:b/>
                <w:bCs/>
                <w:color w:val="333333"/>
                <w:sz w:val="20"/>
                <w:szCs w:val="20"/>
              </w:rPr>
              <w:t xml:space="preserve">Administrative Advice: </w:t>
            </w:r>
            <w:r>
              <w:rPr>
                <w:rFonts w:ascii="Arial Narrow" w:hAnsi="Arial Narrow"/>
                <w:sz w:val="20"/>
                <w:szCs w:val="20"/>
              </w:rPr>
              <w:t>No increase in the maximum number of repeats may be authorised.</w:t>
            </w:r>
          </w:p>
        </w:tc>
      </w:tr>
      <w:tr w:rsidR="005F2C11" w14:paraId="3D02D7D5"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EB4210" w14:textId="3653FDC9"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20E7E" w14:textId="77777777" w:rsidR="005F2C11" w:rsidRDefault="005F2C11">
            <w:pPr>
              <w:rPr>
                <w:rFonts w:ascii="Arial Narrow" w:hAnsi="Arial Narrow"/>
                <w:color w:val="333333"/>
                <w:sz w:val="20"/>
                <w:szCs w:val="20"/>
              </w:rPr>
            </w:pPr>
            <w:r>
              <w:rPr>
                <w:rFonts w:ascii="Arial Narrow" w:eastAsia="Arial Narrow" w:hAnsi="Arial Narrow" w:cs="Arial Narrow"/>
                <w:b/>
                <w:sz w:val="20"/>
                <w:szCs w:val="20"/>
              </w:rPr>
              <w:t>Administrative advice:</w:t>
            </w:r>
            <w:r>
              <w:rPr>
                <w:rFonts w:ascii="Arial Narrow" w:eastAsia="Arial Narrow" w:hAnsi="Arial Narrow" w:cs="Arial Narrow"/>
                <w:sz w:val="20"/>
                <w:szCs w:val="20"/>
              </w:rPr>
              <w:t xml:space="preserve"> Special Pricing Arrangements apply.</w:t>
            </w:r>
          </w:p>
        </w:tc>
      </w:tr>
    </w:tbl>
    <w:p w14:paraId="723D6E7F" w14:textId="77777777" w:rsidR="005F2C11" w:rsidRDefault="005F2C11" w:rsidP="005F2C11">
      <w:pPr>
        <w:pStyle w:val="3-BodyText"/>
        <w:numPr>
          <w:ilvl w:val="0"/>
          <w:numId w:val="0"/>
        </w:numPr>
        <w:ind w:left="720" w:hanging="720"/>
      </w:pPr>
    </w:p>
    <w:p w14:paraId="39C500BD" w14:textId="77777777" w:rsidR="005F2C11" w:rsidRDefault="005F2C11" w:rsidP="005F2C11">
      <w:pPr>
        <w:pStyle w:val="3-BodyText"/>
        <w:numPr>
          <w:ilvl w:val="1"/>
          <w:numId w:val="59"/>
        </w:numPr>
        <w:spacing w:before="120" w:after="120"/>
        <w:jc w:val="left"/>
      </w:pPr>
      <w:r>
        <w:rPr>
          <w:lang w:eastAsia="en-US"/>
        </w:rPr>
        <w:t>Add the following new listing and restriction to replace all current listings for ipilimumab across all PBS indications in the metastatic or advanced settings: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ommended listing - ipilimumab"/>
      </w:tblPr>
      <w:tblGrid>
        <w:gridCol w:w="1271"/>
        <w:gridCol w:w="1823"/>
        <w:gridCol w:w="1973"/>
        <w:gridCol w:w="1973"/>
        <w:gridCol w:w="1976"/>
      </w:tblGrid>
      <w:tr w:rsidR="005F2C11" w14:paraId="00E7D699" w14:textId="77777777" w:rsidTr="005F2C11">
        <w:trPr>
          <w:cantSplit/>
          <w:trHeight w:val="20"/>
        </w:trPr>
        <w:tc>
          <w:tcPr>
            <w:tcW w:w="1716" w:type="pct"/>
            <w:gridSpan w:val="2"/>
            <w:tcBorders>
              <w:top w:val="single" w:sz="4" w:space="0" w:color="auto"/>
              <w:left w:val="single" w:sz="4" w:space="0" w:color="auto"/>
              <w:bottom w:val="single" w:sz="4" w:space="0" w:color="auto"/>
              <w:right w:val="single" w:sz="4" w:space="0" w:color="auto"/>
            </w:tcBorders>
            <w:vAlign w:val="center"/>
            <w:hideMark/>
          </w:tcPr>
          <w:p w14:paraId="55BA1D36" w14:textId="77777777" w:rsidR="005F2C11" w:rsidRDefault="005F2C11">
            <w:pPr>
              <w:keepNext/>
              <w:rPr>
                <w:rFonts w:ascii="Arial Narrow" w:hAnsi="Arial Narrow"/>
                <w:b/>
                <w:bCs/>
                <w:sz w:val="20"/>
                <w:szCs w:val="20"/>
              </w:rPr>
            </w:pPr>
            <w:r>
              <w:rPr>
                <w:rFonts w:ascii="Arial Narrow" w:hAnsi="Arial Narrow"/>
                <w:b/>
                <w:bCs/>
                <w:sz w:val="20"/>
                <w:szCs w:val="20"/>
              </w:rPr>
              <w:t>MEDICINAL PRODUCT</w:t>
            </w:r>
          </w:p>
          <w:p w14:paraId="5FFF968D" w14:textId="77777777" w:rsidR="005F2C11" w:rsidRDefault="005F2C11">
            <w:pPr>
              <w:keepNext/>
              <w:rPr>
                <w:rFonts w:ascii="Arial Narrow" w:hAnsi="Arial Narrow" w:cs="Arial"/>
                <w:b/>
                <w:sz w:val="20"/>
                <w:szCs w:val="20"/>
              </w:rPr>
            </w:pPr>
            <w:r>
              <w:rPr>
                <w:rFonts w:ascii="Arial Narrow" w:hAnsi="Arial Narrow" w:cs="Arial"/>
                <w:b/>
                <w:sz w:val="20"/>
                <w:szCs w:val="20"/>
              </w:rPr>
              <w:t>Form</w:t>
            </w:r>
          </w:p>
        </w:tc>
        <w:tc>
          <w:tcPr>
            <w:tcW w:w="1094" w:type="pct"/>
            <w:tcBorders>
              <w:top w:val="single" w:sz="4" w:space="0" w:color="auto"/>
              <w:left w:val="single" w:sz="4" w:space="0" w:color="auto"/>
              <w:bottom w:val="single" w:sz="4" w:space="0" w:color="auto"/>
              <w:right w:val="single" w:sz="4" w:space="0" w:color="auto"/>
            </w:tcBorders>
            <w:vAlign w:val="center"/>
            <w:hideMark/>
          </w:tcPr>
          <w:p w14:paraId="6B3F9BAD"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PBS item code</w:t>
            </w:r>
          </w:p>
        </w:tc>
        <w:tc>
          <w:tcPr>
            <w:tcW w:w="1094" w:type="pct"/>
            <w:tcBorders>
              <w:top w:val="single" w:sz="4" w:space="0" w:color="auto"/>
              <w:left w:val="single" w:sz="4" w:space="0" w:color="auto"/>
              <w:bottom w:val="single" w:sz="4" w:space="0" w:color="auto"/>
              <w:right w:val="single" w:sz="4" w:space="0" w:color="auto"/>
            </w:tcBorders>
            <w:vAlign w:val="center"/>
            <w:hideMark/>
          </w:tcPr>
          <w:p w14:paraId="024430BD"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Max. Amount</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D0E83ED"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№.of Rpts</w:t>
            </w:r>
          </w:p>
        </w:tc>
      </w:tr>
      <w:tr w:rsidR="005F2C11" w14:paraId="74F3E216" w14:textId="77777777" w:rsidTr="005F2C11">
        <w:trPr>
          <w:cantSplit/>
          <w:trHeight w:val="20"/>
        </w:trPr>
        <w:tc>
          <w:tcPr>
            <w:tcW w:w="1716" w:type="pct"/>
            <w:gridSpan w:val="2"/>
            <w:tcBorders>
              <w:top w:val="single" w:sz="4" w:space="0" w:color="auto"/>
              <w:left w:val="single" w:sz="4" w:space="0" w:color="auto"/>
              <w:bottom w:val="single" w:sz="4" w:space="0" w:color="auto"/>
              <w:right w:val="single" w:sz="4" w:space="0" w:color="auto"/>
            </w:tcBorders>
            <w:vAlign w:val="center"/>
            <w:hideMark/>
          </w:tcPr>
          <w:p w14:paraId="5920583B" w14:textId="77777777" w:rsidR="005F2C11" w:rsidRDefault="005F2C11">
            <w:pPr>
              <w:keepNext/>
              <w:rPr>
                <w:rFonts w:ascii="Arial Narrow" w:hAnsi="Arial Narrow" w:cs="Arial"/>
                <w:sz w:val="20"/>
                <w:szCs w:val="20"/>
              </w:rPr>
            </w:pPr>
            <w:r>
              <w:rPr>
                <w:rFonts w:ascii="Arial Narrow" w:hAnsi="Arial Narrow" w:cs="Arial"/>
                <w:sz w:val="20"/>
                <w:szCs w:val="20"/>
              </w:rPr>
              <w:t>IPILIMUMAB Injection</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8E5A3E8" w14:textId="77777777" w:rsidR="005F2C11" w:rsidRDefault="005F2C11">
            <w:pPr>
              <w:keepNext/>
              <w:jc w:val="center"/>
              <w:rPr>
                <w:rFonts w:ascii="Arial Narrow" w:hAnsi="Arial Narrow" w:cs="Arial"/>
                <w:sz w:val="20"/>
                <w:szCs w:val="20"/>
              </w:rPr>
            </w:pPr>
            <w:r>
              <w:rPr>
                <w:rFonts w:ascii="Arial Narrow" w:hAnsi="Arial Narrow" w:cs="Arial"/>
                <w:sz w:val="20"/>
                <w:szCs w:val="20"/>
              </w:rPr>
              <w:t>NEW (HS)</w:t>
            </w:r>
          </w:p>
          <w:p w14:paraId="2CCDDCD7" w14:textId="77777777" w:rsidR="005F2C11" w:rsidRDefault="005F2C11">
            <w:pPr>
              <w:keepNext/>
              <w:jc w:val="center"/>
              <w:rPr>
                <w:rFonts w:ascii="Arial Narrow" w:hAnsi="Arial Narrow" w:cs="Arial"/>
                <w:sz w:val="20"/>
                <w:szCs w:val="20"/>
              </w:rPr>
            </w:pPr>
            <w:r>
              <w:rPr>
                <w:rFonts w:ascii="Arial Narrow" w:hAnsi="Arial Narrow" w:cs="Arial"/>
                <w:sz w:val="20"/>
                <w:szCs w:val="20"/>
              </w:rPr>
              <w:t>NEW (HB)</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09DEA9C" w14:textId="77777777" w:rsidR="005F2C11" w:rsidRDefault="005F2C11">
            <w:pPr>
              <w:keepNext/>
              <w:jc w:val="center"/>
              <w:rPr>
                <w:rFonts w:ascii="Arial Narrow" w:hAnsi="Arial Narrow" w:cs="Arial"/>
                <w:sz w:val="20"/>
                <w:szCs w:val="20"/>
              </w:rPr>
            </w:pPr>
            <w:r>
              <w:rPr>
                <w:rFonts w:ascii="Arial Narrow" w:hAnsi="Arial Narrow" w:cs="Arial"/>
                <w:sz w:val="20"/>
                <w:szCs w:val="20"/>
              </w:rPr>
              <w:t>360mg</w:t>
            </w:r>
          </w:p>
        </w:tc>
        <w:tc>
          <w:tcPr>
            <w:tcW w:w="1096" w:type="pct"/>
            <w:tcBorders>
              <w:top w:val="single" w:sz="4" w:space="0" w:color="auto"/>
              <w:left w:val="single" w:sz="4" w:space="0" w:color="auto"/>
              <w:bottom w:val="single" w:sz="4" w:space="0" w:color="auto"/>
              <w:right w:val="single" w:sz="4" w:space="0" w:color="auto"/>
            </w:tcBorders>
            <w:vAlign w:val="center"/>
            <w:hideMark/>
          </w:tcPr>
          <w:p w14:paraId="753E5FF3" w14:textId="77777777" w:rsidR="005F2C11" w:rsidRDefault="005F2C11">
            <w:pPr>
              <w:keepNext/>
              <w:jc w:val="center"/>
              <w:rPr>
                <w:rFonts w:ascii="Arial Narrow" w:hAnsi="Arial Narrow" w:cs="Arial"/>
                <w:sz w:val="20"/>
                <w:szCs w:val="20"/>
              </w:rPr>
            </w:pPr>
            <w:r>
              <w:rPr>
                <w:rFonts w:ascii="Arial Narrow" w:hAnsi="Arial Narrow" w:cs="Arial"/>
                <w:sz w:val="20"/>
                <w:szCs w:val="20"/>
              </w:rPr>
              <w:t>4</w:t>
            </w:r>
          </w:p>
        </w:tc>
      </w:tr>
      <w:tr w:rsidR="005F2C11" w14:paraId="5BA6D203"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B356D16" w14:textId="77777777" w:rsidR="005F2C11" w:rsidRDefault="005F2C11">
            <w:pPr>
              <w:keepNext/>
              <w:rPr>
                <w:rFonts w:ascii="Arial Narrow" w:hAnsi="Arial Narrow"/>
                <w:b/>
                <w:sz w:val="20"/>
                <w:szCs w:val="20"/>
              </w:rPr>
            </w:pPr>
            <w:r>
              <w:rPr>
                <w:rFonts w:ascii="Arial Narrow" w:hAnsi="Arial Narrow"/>
                <w:b/>
                <w:sz w:val="20"/>
                <w:szCs w:val="20"/>
              </w:rPr>
              <w:t xml:space="preserve">Available brands </w:t>
            </w:r>
          </w:p>
        </w:tc>
      </w:tr>
      <w:tr w:rsidR="005F2C11" w14:paraId="776491AA"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9D3A1F2" w14:textId="77777777" w:rsidR="005F2C11" w:rsidRDefault="005F2C11">
            <w:pPr>
              <w:keepNext/>
              <w:rPr>
                <w:rFonts w:ascii="Arial Narrow" w:hAnsi="Arial Narrow" w:cs="Arial"/>
                <w:sz w:val="20"/>
                <w:szCs w:val="20"/>
              </w:rPr>
            </w:pPr>
            <w:r>
              <w:rPr>
                <w:rFonts w:ascii="Arial Narrow" w:hAnsi="Arial Narrow" w:cs="Arial"/>
                <w:sz w:val="20"/>
                <w:szCs w:val="20"/>
              </w:rPr>
              <w:t>Yervoy</w:t>
            </w:r>
          </w:p>
          <w:p w14:paraId="36F8871F" w14:textId="77777777" w:rsidR="005F2C11" w:rsidRDefault="005F2C11">
            <w:pPr>
              <w:keepNext/>
              <w:rPr>
                <w:rFonts w:ascii="Arial Narrow" w:hAnsi="Arial Narrow" w:cs="Arial"/>
                <w:sz w:val="20"/>
                <w:szCs w:val="20"/>
              </w:rPr>
            </w:pPr>
            <w:r>
              <w:rPr>
                <w:rFonts w:ascii="Arial Narrow" w:hAnsi="Arial Narrow" w:cs="Arial"/>
                <w:sz w:val="20"/>
                <w:szCs w:val="20"/>
              </w:rPr>
              <w:t>(ipilimumab 50 mg/10 mL injection, 10 mL vial)</w:t>
            </w:r>
          </w:p>
        </w:tc>
      </w:tr>
      <w:tr w:rsidR="005F2C11" w14:paraId="0F94C276"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8352C0E" w14:textId="77777777" w:rsidR="005F2C11" w:rsidRDefault="005F2C11">
            <w:pPr>
              <w:keepNext/>
              <w:rPr>
                <w:rFonts w:ascii="Arial Narrow" w:hAnsi="Arial Narrow" w:cs="Arial"/>
                <w:sz w:val="20"/>
                <w:szCs w:val="20"/>
              </w:rPr>
            </w:pPr>
            <w:r>
              <w:rPr>
                <w:rFonts w:ascii="Arial Narrow" w:hAnsi="Arial Narrow" w:cs="Arial"/>
                <w:sz w:val="20"/>
                <w:szCs w:val="20"/>
              </w:rPr>
              <w:t>Yervoy</w:t>
            </w:r>
          </w:p>
          <w:p w14:paraId="5AE7F452" w14:textId="77777777" w:rsidR="005F2C11" w:rsidRDefault="005F2C11">
            <w:pPr>
              <w:keepNext/>
              <w:rPr>
                <w:rFonts w:ascii="Arial Narrow" w:hAnsi="Arial Narrow" w:cs="Arial"/>
                <w:sz w:val="20"/>
                <w:szCs w:val="20"/>
              </w:rPr>
            </w:pPr>
            <w:r>
              <w:rPr>
                <w:rFonts w:ascii="Arial Narrow" w:hAnsi="Arial Narrow" w:cs="Arial"/>
                <w:sz w:val="20"/>
                <w:szCs w:val="20"/>
              </w:rPr>
              <w:t>(ipilimumab 200 mg/10 mL injection, 40 mL vial)</w:t>
            </w:r>
          </w:p>
        </w:tc>
      </w:tr>
      <w:tr w:rsidR="005F2C11" w14:paraId="462B9CD4"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8F4E615" w14:textId="77777777" w:rsidR="005F2C11" w:rsidRDefault="005F2C11">
            <w:pPr>
              <w:rPr>
                <w:rFonts w:ascii="Arial Narrow" w:hAnsi="Arial Narrow" w:cs="Arial"/>
                <w:color w:val="FF0000"/>
                <w:sz w:val="20"/>
                <w:szCs w:val="20"/>
              </w:rPr>
            </w:pPr>
          </w:p>
        </w:tc>
      </w:tr>
      <w:tr w:rsidR="005F2C11" w14:paraId="486303AE" w14:textId="77777777" w:rsidTr="005F2C11">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22C4BC2" w14:textId="77777777" w:rsidR="005F2C11" w:rsidRDefault="005F2C11">
            <w:pPr>
              <w:keepNext/>
              <w:rPr>
                <w:rFonts w:ascii="Arial Narrow" w:hAnsi="Arial Narrow" w:cs="Arial"/>
                <w:color w:val="FF0000"/>
                <w:sz w:val="20"/>
                <w:szCs w:val="20"/>
              </w:rPr>
            </w:pPr>
            <w:r>
              <w:rPr>
                <w:rFonts w:ascii="Arial Narrow" w:hAnsi="Arial Narrow"/>
                <w:b/>
                <w:sz w:val="20"/>
                <w:szCs w:val="20"/>
              </w:rPr>
              <w:t>Restriction Summary [new2]</w:t>
            </w:r>
            <w:r>
              <w:rPr>
                <w:rFonts w:ascii="Arial Narrow" w:hAnsi="Arial Narrow"/>
                <w:b/>
                <w:color w:val="FF0000"/>
                <w:sz w:val="20"/>
                <w:szCs w:val="20"/>
              </w:rPr>
              <w:t xml:space="preserve"> </w:t>
            </w:r>
            <w:r>
              <w:rPr>
                <w:rFonts w:ascii="Arial Narrow" w:hAnsi="Arial Narrow"/>
                <w:b/>
                <w:sz w:val="20"/>
                <w:szCs w:val="20"/>
              </w:rPr>
              <w:t>/ Treatment of Concept: [new2A]</w:t>
            </w:r>
          </w:p>
        </w:tc>
      </w:tr>
      <w:tr w:rsidR="005F2C11" w14:paraId="6905A0EB" w14:textId="77777777" w:rsidTr="005F2C11">
        <w:trPr>
          <w:cantSplit/>
          <w:trHeight w:val="20"/>
        </w:trPr>
        <w:tc>
          <w:tcPr>
            <w:tcW w:w="705"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990F884" w14:textId="77777777" w:rsidR="005F2C11" w:rsidRDefault="005F2C11">
            <w:pPr>
              <w:keepNext/>
              <w:jc w:val="center"/>
              <w:rPr>
                <w:rFonts w:ascii="Arial Narrow" w:hAnsi="Arial Narrow" w:cs="Arial"/>
                <w:b/>
                <w:sz w:val="20"/>
                <w:szCs w:val="20"/>
              </w:rPr>
            </w:pPr>
            <w:r>
              <w:rPr>
                <w:rFonts w:ascii="Arial Narrow" w:hAnsi="Arial Narrow" w:cs="Arial"/>
                <w:b/>
                <w:sz w:val="20"/>
                <w:szCs w:val="20"/>
              </w:rPr>
              <w:t xml:space="preserve">Concept ID </w:t>
            </w:r>
            <w:r>
              <w:rPr>
                <w:rFonts w:ascii="Arial Narrow" w:hAnsi="Arial Narrow" w:cs="Arial"/>
                <w:sz w:val="20"/>
                <w:szCs w:val="20"/>
              </w:rPr>
              <w:t>(for internal Dept. use)</w:t>
            </w: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9A8C4F" w14:textId="77777777" w:rsidR="005F2C11" w:rsidRDefault="005F2C11">
            <w:pPr>
              <w:keepNext/>
              <w:rPr>
                <w:rFonts w:ascii="Arial Narrow" w:hAnsi="Arial Narrow" w:cs="Arial"/>
                <w:sz w:val="20"/>
                <w:szCs w:val="20"/>
              </w:rPr>
            </w:pPr>
            <w:r>
              <w:rPr>
                <w:rFonts w:ascii="Arial Narrow" w:hAnsi="Arial Narrow" w:cs="Arial"/>
                <w:b/>
                <w:sz w:val="20"/>
                <w:szCs w:val="20"/>
              </w:rPr>
              <w:t xml:space="preserve">Category / Program: </w:t>
            </w:r>
            <w:r>
              <w:rPr>
                <w:rFonts w:ascii="Arial Narrow" w:hAnsi="Arial Narrow" w:cs="Arial"/>
                <w:sz w:val="20"/>
                <w:szCs w:val="20"/>
              </w:rPr>
              <w:t>Section 100 – Efficient Funding of Chemotherapy Public/Private hospitals</w:t>
            </w:r>
          </w:p>
        </w:tc>
      </w:tr>
      <w:tr w:rsidR="005F2C11" w14:paraId="07E80174" w14:textId="77777777" w:rsidTr="005F2C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B38A1" w14:textId="77777777" w:rsidR="005F2C11" w:rsidRDefault="005F2C11">
            <w:pPr>
              <w:jc w:val="left"/>
              <w:rPr>
                <w:rFonts w:ascii="Arial Narrow" w:hAnsi="Arial Narrow" w:cs="Arial"/>
                <w:b/>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B8497D" w14:textId="77777777" w:rsidR="005F2C11" w:rsidRDefault="005F2C11">
            <w:pPr>
              <w:keepNext/>
              <w:rPr>
                <w:rFonts w:ascii="Arial Narrow" w:hAnsi="Arial Narrow" w:cs="Arial"/>
                <w:b/>
                <w:sz w:val="20"/>
                <w:szCs w:val="20"/>
              </w:rPr>
            </w:pPr>
            <w:r>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p>
        </w:tc>
      </w:tr>
      <w:tr w:rsidR="005F2C11" w14:paraId="314C0BBC" w14:textId="77777777" w:rsidTr="005F2C1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65BA" w14:textId="77777777" w:rsidR="005F2C11" w:rsidRDefault="005F2C11">
            <w:pPr>
              <w:jc w:val="left"/>
              <w:rPr>
                <w:rFonts w:ascii="Arial Narrow" w:hAnsi="Arial Narrow" w:cs="Arial"/>
                <w:b/>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277F51" w14:textId="77777777" w:rsidR="005F2C11" w:rsidRDefault="005F2C11">
            <w:pPr>
              <w:rPr>
                <w:rFonts w:ascii="Arial Narrow" w:eastAsia="Calibri" w:hAnsi="Arial Narrow" w:cs="Arial"/>
                <w:sz w:val="20"/>
                <w:szCs w:val="20"/>
              </w:rPr>
            </w:pPr>
            <w:r>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Authority Required (STREAMLINED) [NEW] </w:t>
            </w:r>
          </w:p>
        </w:tc>
      </w:tr>
      <w:tr w:rsidR="005F2C11" w14:paraId="063D2560"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6B05CF" w14:textId="4F3BD053" w:rsidR="005F2C11" w:rsidRDefault="005F2C11">
            <w:pPr>
              <w:keepLines/>
              <w:jc w:val="center"/>
              <w:rPr>
                <w:rFonts w:ascii="Arial Narrow" w:hAnsi="Arial Narrow"/>
                <w:i/>
                <w:iCs/>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CAC03A" w14:textId="77777777" w:rsidR="005F2C11" w:rsidRDefault="005F2C11">
            <w:pPr>
              <w:keepLines/>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Immunotherapy sensitive advanced or metastatic cancer</w:t>
            </w:r>
          </w:p>
        </w:tc>
      </w:tr>
      <w:tr w:rsidR="005F2C11" w14:paraId="0D97C491"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CF7F1B" w14:textId="77777777" w:rsidR="005F2C11" w:rsidRDefault="005F2C11">
            <w:pP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4C2798" w14:textId="77777777" w:rsidR="005F2C11" w:rsidRDefault="005F2C11">
            <w:pPr>
              <w:rPr>
                <w:rFonts w:ascii="Arial Narrow" w:hAnsi="Arial Narrow"/>
                <w:color w:val="FF0000"/>
                <w:sz w:val="20"/>
                <w:szCs w:val="20"/>
              </w:rPr>
            </w:pPr>
            <w:r>
              <w:rPr>
                <w:rFonts w:ascii="Arial Narrow" w:hAnsi="Arial Narrow"/>
                <w:b/>
                <w:bCs/>
                <w:color w:val="333333"/>
                <w:sz w:val="20"/>
                <w:szCs w:val="20"/>
              </w:rPr>
              <w:t xml:space="preserve">Clinical criteria: </w:t>
            </w:r>
          </w:p>
        </w:tc>
      </w:tr>
      <w:tr w:rsidR="005F2C11" w14:paraId="4C1D9B9E"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5CBA0F" w14:textId="44B3E4DB"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5A7A97" w14:textId="77777777" w:rsidR="005F2C11" w:rsidRDefault="005F2C11">
            <w:pPr>
              <w:rPr>
                <w:rFonts w:ascii="Arial Narrow" w:hAnsi="Arial Narrow"/>
                <w:color w:val="333333"/>
                <w:sz w:val="20"/>
                <w:szCs w:val="20"/>
              </w:rPr>
            </w:pPr>
            <w:r>
              <w:rPr>
                <w:rFonts w:ascii="Arial Narrow" w:hAnsi="Arial Narrow"/>
                <w:color w:val="333333"/>
                <w:sz w:val="20"/>
                <w:szCs w:val="20"/>
              </w:rPr>
              <w:t>Patient must not have developed disease progression while receiving PBS-subsidised treatment with this drug for the condition which treatment was commenced for.</w:t>
            </w:r>
          </w:p>
        </w:tc>
      </w:tr>
      <w:tr w:rsidR="005F2C11" w14:paraId="39221644"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E7CF0C" w14:textId="445F8431" w:rsidR="005F2C11" w:rsidRDefault="005F2C11">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FEC040" w14:textId="77777777" w:rsidR="005F2C11" w:rsidRDefault="005F2C11">
            <w:pPr>
              <w:rPr>
                <w:rFonts w:ascii="Arial Narrow" w:hAnsi="Arial Narrow"/>
                <w:iCs/>
                <w:color w:val="333333"/>
                <w:sz w:val="20"/>
                <w:szCs w:val="20"/>
              </w:rPr>
            </w:pPr>
            <w:r>
              <w:rPr>
                <w:rFonts w:ascii="Arial Narrow" w:eastAsia="Arial Narrow" w:hAnsi="Arial Narrow" w:cs="Arial Narrow"/>
                <w:b/>
                <w:iCs/>
                <w:sz w:val="20"/>
                <w:szCs w:val="20"/>
              </w:rPr>
              <w:t>Prescribing instruction:</w:t>
            </w:r>
            <w:r>
              <w:rPr>
                <w:rFonts w:ascii="Arial Narrow" w:eastAsia="Arial Narrow" w:hAnsi="Arial Narrow" w:cs="Arial Narrow"/>
                <w:iCs/>
                <w:sz w:val="20"/>
                <w:szCs w:val="20"/>
              </w:rPr>
              <w:t xml:space="preserve"> The stated maximum amount in this listing is 360mg however alternative dosing schedules may be prescribed in a quantity up to this amount, but need not be this amount for every cancer type.</w:t>
            </w:r>
          </w:p>
        </w:tc>
      </w:tr>
      <w:tr w:rsidR="005F2C11" w14:paraId="176F0089"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BCFF53" w14:textId="1F5F3574" w:rsidR="005F2C11" w:rsidRDefault="005F2C11">
            <w:pPr>
              <w:jc w:val="center"/>
              <w:rPr>
                <w:rFonts w:ascii="Arial Narrow" w:hAnsi="Arial Narrow"/>
                <w:strike/>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9BFE13" w14:textId="77777777" w:rsidR="005F2C11" w:rsidRDefault="005F2C11">
            <w:pPr>
              <w:rPr>
                <w:rFonts w:ascii="Arial Narrow" w:hAnsi="Arial Narrow"/>
                <w:strike/>
                <w:color w:val="333333"/>
                <w:sz w:val="20"/>
                <w:szCs w:val="20"/>
              </w:rPr>
            </w:pPr>
            <w:r>
              <w:rPr>
                <w:rFonts w:ascii="Arial Narrow" w:hAnsi="Arial Narrow"/>
                <w:b/>
                <w:bCs/>
                <w:color w:val="333333"/>
                <w:sz w:val="20"/>
                <w:szCs w:val="20"/>
              </w:rPr>
              <w:t xml:space="preserve">Administrative Advice: </w:t>
            </w:r>
            <w:r>
              <w:rPr>
                <w:rFonts w:ascii="Arial Narrow" w:hAnsi="Arial Narrow"/>
                <w:sz w:val="20"/>
                <w:szCs w:val="20"/>
              </w:rPr>
              <w:t>No increase in the maximum number of repeats may be authorised.</w:t>
            </w:r>
          </w:p>
        </w:tc>
      </w:tr>
      <w:tr w:rsidR="005F2C11" w14:paraId="41471C66" w14:textId="77777777" w:rsidTr="005F2C11">
        <w:trPr>
          <w:cantSplit/>
          <w:trHeight w:val="20"/>
        </w:trPr>
        <w:tc>
          <w:tcPr>
            <w:tcW w:w="705"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745540" w14:textId="22925AF7" w:rsidR="005F2C11" w:rsidRDefault="005F2C11">
            <w:pPr>
              <w:jc w:val="center"/>
              <w:rPr>
                <w:rFonts w:ascii="Arial Narrow" w:hAnsi="Arial Narrow"/>
                <w:strike/>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F724AF" w14:textId="77777777" w:rsidR="005F2C11" w:rsidRDefault="005F2C11">
            <w:pPr>
              <w:rPr>
                <w:rFonts w:ascii="Arial Narrow" w:hAnsi="Arial Narrow"/>
                <w:strike/>
                <w:color w:val="333333"/>
                <w:sz w:val="20"/>
                <w:szCs w:val="20"/>
              </w:rPr>
            </w:pPr>
            <w:r>
              <w:rPr>
                <w:rFonts w:ascii="Arial Narrow" w:eastAsia="Arial Narrow" w:hAnsi="Arial Narrow" w:cs="Arial Narrow"/>
                <w:b/>
                <w:sz w:val="20"/>
                <w:szCs w:val="20"/>
              </w:rPr>
              <w:t>Administrative advice:</w:t>
            </w:r>
            <w:r>
              <w:rPr>
                <w:rFonts w:ascii="Arial Narrow" w:eastAsia="Arial Narrow" w:hAnsi="Arial Narrow" w:cs="Arial Narrow"/>
                <w:sz w:val="20"/>
                <w:szCs w:val="20"/>
              </w:rPr>
              <w:t xml:space="preserve"> Special Pricing Arrangements apply.</w:t>
            </w:r>
          </w:p>
        </w:tc>
      </w:tr>
    </w:tbl>
    <w:p w14:paraId="502B76FE" w14:textId="77777777" w:rsidR="005F2C11" w:rsidRDefault="005F2C11" w:rsidP="005F2C11">
      <w:pPr>
        <w:pStyle w:val="3-BodyText"/>
        <w:numPr>
          <w:ilvl w:val="0"/>
          <w:numId w:val="0"/>
        </w:numPr>
        <w:rPr>
          <w:lang w:eastAsia="en-US"/>
        </w:rPr>
      </w:pPr>
    </w:p>
    <w:p w14:paraId="68349F6F" w14:textId="3A626566" w:rsidR="00B85E5D" w:rsidRPr="00B85E5D" w:rsidRDefault="004669B7" w:rsidP="00B85E5D">
      <w:pPr>
        <w:keepNext/>
        <w:snapToGrid w:val="0"/>
        <w:spacing w:before="240" w:after="120"/>
        <w:ind w:left="720" w:hanging="720"/>
        <w:jc w:val="left"/>
        <w:outlineLvl w:val="0"/>
        <w:rPr>
          <w:rFonts w:cs="Arial"/>
          <w:b/>
          <w:bCs/>
          <w:sz w:val="32"/>
          <w:szCs w:val="32"/>
          <w:lang w:val="en-GB"/>
        </w:rPr>
      </w:pPr>
      <w:r>
        <w:rPr>
          <w:rFonts w:cs="Arial"/>
          <w:b/>
          <w:sz w:val="32"/>
          <w:szCs w:val="32"/>
        </w:rPr>
        <w:t>22</w:t>
      </w:r>
      <w:r w:rsidR="00B85E5D" w:rsidRPr="00B85E5D">
        <w:rPr>
          <w:rFonts w:cs="Arial"/>
          <w:b/>
          <w:sz w:val="32"/>
          <w:szCs w:val="32"/>
        </w:rPr>
        <w:tab/>
        <w:t>Context for Decision</w:t>
      </w:r>
    </w:p>
    <w:p w14:paraId="45D5587D" w14:textId="77777777" w:rsidR="00B85E5D" w:rsidRPr="00B85E5D" w:rsidRDefault="00B85E5D" w:rsidP="00B85E5D">
      <w:pPr>
        <w:spacing w:after="120"/>
        <w:ind w:left="720"/>
        <w:rPr>
          <w:rFonts w:cs="Arial"/>
          <w:bCs/>
          <w:lang w:val="en-GB"/>
        </w:rPr>
      </w:pPr>
      <w:r w:rsidRPr="00B85E5D">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B09438" w14:textId="1780071A" w:rsidR="00B85E5D" w:rsidRPr="00B85E5D" w:rsidRDefault="004669B7" w:rsidP="00B85E5D">
      <w:pPr>
        <w:keepNext/>
        <w:snapToGrid w:val="0"/>
        <w:spacing w:before="240" w:after="120"/>
        <w:ind w:left="720" w:hanging="720"/>
        <w:jc w:val="left"/>
        <w:outlineLvl w:val="0"/>
        <w:rPr>
          <w:rFonts w:cs="Arial"/>
          <w:b/>
          <w:sz w:val="32"/>
          <w:szCs w:val="32"/>
        </w:rPr>
      </w:pPr>
      <w:r>
        <w:rPr>
          <w:rFonts w:cs="Arial"/>
          <w:b/>
          <w:sz w:val="32"/>
          <w:szCs w:val="32"/>
        </w:rPr>
        <w:lastRenderedPageBreak/>
        <w:t>23</w:t>
      </w:r>
      <w:r w:rsidR="00B85E5D" w:rsidRPr="00B85E5D">
        <w:rPr>
          <w:rFonts w:cs="Arial"/>
          <w:b/>
          <w:sz w:val="32"/>
          <w:szCs w:val="32"/>
        </w:rPr>
        <w:tab/>
        <w:t>Sponsor’s Comment</w:t>
      </w:r>
    </w:p>
    <w:p w14:paraId="7309670E" w14:textId="3B0155DA" w:rsidR="000A4457" w:rsidRPr="00B85E5D" w:rsidRDefault="000A4457" w:rsidP="00B85E5D">
      <w:pPr>
        <w:spacing w:after="120" w:line="276" w:lineRule="auto"/>
        <w:ind w:left="720"/>
        <w:rPr>
          <w:rFonts w:eastAsia="Calibri" w:cs="Arial"/>
          <w:bCs/>
          <w:szCs w:val="22"/>
          <w:lang w:eastAsia="en-US"/>
        </w:rPr>
      </w:pPr>
      <w:r w:rsidRPr="000A4457">
        <w:rPr>
          <w:rFonts w:eastAsia="Calibri" w:cs="Arial"/>
          <w:bCs/>
          <w:szCs w:val="22"/>
          <w:lang w:eastAsia="en-US"/>
        </w:rPr>
        <w:t>Bristol Myers Squibb Australia (BMSA) is pleased that our submission to broaden the Pharmaceutical Benefits Scheme (PBS) listing for O</w:t>
      </w:r>
      <w:r w:rsidR="00825314">
        <w:rPr>
          <w:rFonts w:eastAsia="Calibri" w:cs="Arial"/>
          <w:bCs/>
          <w:szCs w:val="22"/>
          <w:lang w:eastAsia="en-US"/>
        </w:rPr>
        <w:t>pdivo</w:t>
      </w:r>
      <w:r w:rsidRPr="000A4457">
        <w:rPr>
          <w:rFonts w:eastAsia="Calibri" w:cs="Arial"/>
          <w:bCs/>
          <w:szCs w:val="22"/>
          <w:lang w:eastAsia="en-US"/>
        </w:rPr>
        <w:t>® (nivolumab) and Y</w:t>
      </w:r>
      <w:r w:rsidR="00825314">
        <w:rPr>
          <w:rFonts w:eastAsia="Calibri" w:cs="Arial"/>
          <w:bCs/>
          <w:szCs w:val="22"/>
          <w:lang w:eastAsia="en-US"/>
        </w:rPr>
        <w:t>ervoy</w:t>
      </w:r>
      <w:r w:rsidRPr="000A4457">
        <w:rPr>
          <w:rFonts w:eastAsia="Calibri" w:cs="Arial"/>
          <w:bCs/>
          <w:szCs w:val="22"/>
          <w:lang w:eastAsia="en-US"/>
        </w:rPr>
        <w:t>® (ipilimumab) has been recommended by the PBAC.</w:t>
      </w:r>
      <w:r w:rsidR="00B925FE">
        <w:rPr>
          <w:rFonts w:eastAsia="Calibri" w:cs="Arial"/>
          <w:bCs/>
          <w:szCs w:val="22"/>
          <w:lang w:eastAsia="en-US"/>
        </w:rPr>
        <w:t xml:space="preserve"> We look forward to working with the Department of Health, Disability and Ageing and the Minister of Health</w:t>
      </w:r>
      <w:r w:rsidR="00825314">
        <w:rPr>
          <w:rFonts w:eastAsia="Calibri" w:cs="Arial"/>
          <w:bCs/>
          <w:szCs w:val="22"/>
          <w:lang w:eastAsia="en-US"/>
        </w:rPr>
        <w:t xml:space="preserve"> to expand access</w:t>
      </w:r>
      <w:r w:rsidR="00485657" w:rsidRPr="00485657">
        <w:rPr>
          <w:rFonts w:eastAsia="Calibri" w:cs="Arial"/>
          <w:bCs/>
          <w:szCs w:val="22"/>
          <w:lang w:eastAsia="en-US"/>
        </w:rPr>
        <w:t xml:space="preserve"> </w:t>
      </w:r>
      <w:r w:rsidR="00485657">
        <w:rPr>
          <w:rFonts w:eastAsia="Calibri" w:cs="Arial"/>
          <w:bCs/>
          <w:szCs w:val="22"/>
          <w:lang w:eastAsia="en-US"/>
        </w:rPr>
        <w:t>and improve equity</w:t>
      </w:r>
      <w:r w:rsidR="00865D8A">
        <w:rPr>
          <w:rFonts w:eastAsia="Calibri" w:cs="Arial"/>
          <w:bCs/>
          <w:szCs w:val="22"/>
          <w:lang w:eastAsia="en-US"/>
        </w:rPr>
        <w:t xml:space="preserve"> </w:t>
      </w:r>
      <w:r w:rsidR="00825314">
        <w:rPr>
          <w:rFonts w:eastAsia="Calibri" w:cs="Arial"/>
          <w:bCs/>
          <w:szCs w:val="22"/>
          <w:lang w:eastAsia="en-US"/>
        </w:rPr>
        <w:t xml:space="preserve">to immunotherapy </w:t>
      </w:r>
      <w:r w:rsidR="00485657">
        <w:rPr>
          <w:rFonts w:eastAsia="Calibri" w:cs="Arial"/>
          <w:bCs/>
          <w:szCs w:val="22"/>
          <w:lang w:eastAsia="en-US"/>
        </w:rPr>
        <w:t>treatment</w:t>
      </w:r>
      <w:r w:rsidR="00865D8A">
        <w:rPr>
          <w:rFonts w:eastAsia="Calibri" w:cs="Arial"/>
          <w:bCs/>
          <w:szCs w:val="22"/>
          <w:lang w:eastAsia="en-US"/>
        </w:rPr>
        <w:t xml:space="preserve"> </w:t>
      </w:r>
      <w:r w:rsidR="00825314">
        <w:rPr>
          <w:rFonts w:eastAsia="Calibri" w:cs="Arial"/>
          <w:bCs/>
          <w:szCs w:val="22"/>
          <w:lang w:eastAsia="en-US"/>
        </w:rPr>
        <w:t>for Australian patients.</w:t>
      </w:r>
    </w:p>
    <w:p w14:paraId="5D0AE8E4" w14:textId="77777777" w:rsidR="00C3387B" w:rsidRPr="00C3387B" w:rsidRDefault="00C3387B" w:rsidP="002854C8">
      <w:pPr>
        <w:pStyle w:val="3-BodyText"/>
        <w:numPr>
          <w:ilvl w:val="0"/>
          <w:numId w:val="0"/>
        </w:numPr>
      </w:pPr>
    </w:p>
    <w:sectPr w:rsidR="00C3387B" w:rsidRPr="00C3387B" w:rsidSect="00606A7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58EE" w14:textId="77777777" w:rsidR="004E2EF1" w:rsidRDefault="004E2EF1">
      <w:r>
        <w:separator/>
      </w:r>
    </w:p>
    <w:p w14:paraId="644A7CF9" w14:textId="77777777" w:rsidR="004E2EF1" w:rsidRDefault="004E2EF1"/>
  </w:endnote>
  <w:endnote w:type="continuationSeparator" w:id="0">
    <w:p w14:paraId="3101B759" w14:textId="77777777" w:rsidR="004E2EF1" w:rsidRDefault="004E2EF1">
      <w:r>
        <w:continuationSeparator/>
      </w:r>
    </w:p>
    <w:p w14:paraId="29E3A2EE" w14:textId="77777777" w:rsidR="004E2EF1" w:rsidRDefault="004E2EF1"/>
  </w:endnote>
  <w:endnote w:type="continuationNotice" w:id="1">
    <w:p w14:paraId="7E87EE72" w14:textId="77777777" w:rsidR="004E2EF1" w:rsidRDefault="004E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TNEJMQuadraa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FAEEBAA" w:rsidR="009C26AA" w:rsidRPr="005A3173" w:rsidRDefault="003578A6"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7493D702" wp14:editId="7496C20D">
                    <wp:simplePos x="635" y="635"/>
                    <wp:positionH relativeFrom="page">
                      <wp:align>center</wp:align>
                    </wp:positionH>
                    <wp:positionV relativeFrom="page">
                      <wp:align>bottom</wp:align>
                    </wp:positionV>
                    <wp:extent cx="551815" cy="376555"/>
                    <wp:effectExtent l="0" t="0" r="635" b="0"/>
                    <wp:wrapNone/>
                    <wp:docPr id="4954711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DBCCE6" w14:textId="38504409"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3D702"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1DBCCE6" w14:textId="38504409"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B9303BF" w:rsidR="009C26AA" w:rsidRPr="00D429EC" w:rsidRDefault="003578A6"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12038D28" wp14:editId="73373F5F">
              <wp:simplePos x="914400" y="9404350"/>
              <wp:positionH relativeFrom="page">
                <wp:align>center</wp:align>
              </wp:positionH>
              <wp:positionV relativeFrom="page">
                <wp:align>bottom</wp:align>
              </wp:positionV>
              <wp:extent cx="551815" cy="376555"/>
              <wp:effectExtent l="0" t="0" r="635" b="0"/>
              <wp:wrapNone/>
              <wp:docPr id="5577901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81846C" w14:textId="48C1E5EC"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38D2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81846C" w14:textId="48C1E5EC"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8B8" w14:textId="7D0D2FEA" w:rsidR="0094326C" w:rsidRDefault="003578A6">
    <w:pPr>
      <w:pStyle w:val="Footer"/>
    </w:pPr>
    <w:r>
      <w:rPr>
        <w:noProof/>
      </w:rPr>
      <mc:AlternateContent>
        <mc:Choice Requires="wps">
          <w:drawing>
            <wp:anchor distT="0" distB="0" distL="0" distR="0" simplePos="0" relativeHeight="251658243" behindDoc="0" locked="0" layoutInCell="1" allowOverlap="1" wp14:anchorId="7DF416A5" wp14:editId="4F623A87">
              <wp:simplePos x="635" y="635"/>
              <wp:positionH relativeFrom="page">
                <wp:align>center</wp:align>
              </wp:positionH>
              <wp:positionV relativeFrom="page">
                <wp:align>bottom</wp:align>
              </wp:positionV>
              <wp:extent cx="551815" cy="376555"/>
              <wp:effectExtent l="0" t="0" r="635" b="0"/>
              <wp:wrapNone/>
              <wp:docPr id="563528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591F9A" w14:textId="261E5D4B"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416A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0591F9A" w14:textId="261E5D4B"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7C96" w14:textId="77777777" w:rsidR="004E2EF1" w:rsidRDefault="004E2EF1">
      <w:r>
        <w:separator/>
      </w:r>
    </w:p>
    <w:p w14:paraId="52218139" w14:textId="77777777" w:rsidR="004E2EF1" w:rsidRDefault="004E2EF1"/>
  </w:footnote>
  <w:footnote w:type="continuationSeparator" w:id="0">
    <w:p w14:paraId="1958465B" w14:textId="77777777" w:rsidR="004E2EF1" w:rsidRDefault="004E2EF1">
      <w:r>
        <w:continuationSeparator/>
      </w:r>
    </w:p>
    <w:p w14:paraId="6A8FE20E" w14:textId="77777777" w:rsidR="004E2EF1" w:rsidRDefault="004E2EF1"/>
  </w:footnote>
  <w:footnote w:type="continuationNotice" w:id="1">
    <w:p w14:paraId="2C64FA5D" w14:textId="77777777" w:rsidR="004E2EF1" w:rsidRDefault="004E2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09A21CCA" w:rsidR="009C26AA" w:rsidRPr="00A06225" w:rsidRDefault="003578A6">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B372370" wp14:editId="422DFBCD">
                    <wp:simplePos x="635" y="635"/>
                    <wp:positionH relativeFrom="page">
                      <wp:align>center</wp:align>
                    </wp:positionH>
                    <wp:positionV relativeFrom="page">
                      <wp:align>top</wp:align>
                    </wp:positionV>
                    <wp:extent cx="551815" cy="376555"/>
                    <wp:effectExtent l="0" t="0" r="635" b="4445"/>
                    <wp:wrapNone/>
                    <wp:docPr id="2126432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B6E032" w14:textId="43C3AE0A"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7237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5B6E032" w14:textId="43C3AE0A"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16081C8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73937E7" w:rsidR="00C56D78" w:rsidRPr="00C56D78" w:rsidRDefault="003578A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7A898A15" wp14:editId="6214D630">
              <wp:simplePos x="914400" y="914400"/>
              <wp:positionH relativeFrom="page">
                <wp:align>center</wp:align>
              </wp:positionH>
              <wp:positionV relativeFrom="page">
                <wp:align>top</wp:align>
              </wp:positionV>
              <wp:extent cx="551815" cy="376555"/>
              <wp:effectExtent l="0" t="0" r="635" b="4445"/>
              <wp:wrapNone/>
              <wp:docPr id="17990816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6480B4" w14:textId="71AA6429"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98A1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36480B4" w14:textId="71AA6429"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r>
      <w:rPr>
        <w:rFonts w:asciiTheme="minorHAnsi" w:eastAsiaTheme="minorEastAsia" w:hAnsiTheme="minorHAnsi" w:cstheme="minorHAnsi"/>
        <w:i/>
        <w:noProof/>
        <w:color w:val="808080"/>
      </w:rPr>
      <w:t>Public Summary Document</w:t>
    </w:r>
    <w:r w:rsidR="004D492A">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0E71B1">
      <w:rPr>
        <w:rFonts w:asciiTheme="minorHAnsi" w:eastAsiaTheme="minorEastAsia" w:hAnsiTheme="minorHAnsi" w:cstheme="minorHAnsi"/>
        <w:i/>
        <w:color w:val="808080"/>
      </w:rPr>
      <w:t xml:space="preserve">July </w:t>
    </w:r>
    <w:r w:rsidR="00C56D78">
      <w:rPr>
        <w:rFonts w:asciiTheme="minorHAnsi" w:eastAsiaTheme="minorEastAsia" w:hAnsiTheme="minorHAnsi" w:cstheme="minorHAnsi"/>
        <w:i/>
        <w:color w:val="808080"/>
      </w:rPr>
      <w:t>202</w:t>
    </w:r>
    <w:r w:rsidR="00125B3F">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r w:rsidR="005F2C11">
      <w:rPr>
        <w:rFonts w:asciiTheme="minorHAnsi" w:eastAsiaTheme="minorEastAsia" w:hAnsiTheme="minorHAnsi" w:cstheme="minorHAnsi"/>
        <w:i/>
        <w:color w:val="808080"/>
      </w:rPr>
      <w:t xml:space="preserve"> with September 2025 Addendum</w:t>
    </w:r>
  </w:p>
  <w:p w14:paraId="49FC1F8C" w14:textId="77777777" w:rsidR="00C56D78" w:rsidRPr="00232E48" w:rsidRDefault="00C56D78"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BB37" w14:textId="251E51F6" w:rsidR="00CA3F52" w:rsidRDefault="003578A6">
    <w:pPr>
      <w:pStyle w:val="Header"/>
    </w:pPr>
    <w:r>
      <w:rPr>
        <w:noProof/>
      </w:rPr>
      <mc:AlternateContent>
        <mc:Choice Requires="wps">
          <w:drawing>
            <wp:anchor distT="0" distB="0" distL="0" distR="0" simplePos="0" relativeHeight="251658240" behindDoc="0" locked="0" layoutInCell="1" allowOverlap="1" wp14:anchorId="173B1047" wp14:editId="2E60F7F1">
              <wp:simplePos x="635" y="635"/>
              <wp:positionH relativeFrom="page">
                <wp:align>center</wp:align>
              </wp:positionH>
              <wp:positionV relativeFrom="page">
                <wp:align>top</wp:align>
              </wp:positionV>
              <wp:extent cx="551815" cy="376555"/>
              <wp:effectExtent l="0" t="0" r="635" b="4445"/>
              <wp:wrapNone/>
              <wp:docPr id="236580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0202B3" w14:textId="192E68D1" w:rsidR="003578A6" w:rsidRPr="003578A6" w:rsidRDefault="003578A6" w:rsidP="003578A6">
                          <w:pPr>
                            <w:rPr>
                              <w:rFonts w:eastAsia="Calibri" w:cs="Calibri"/>
                              <w:noProof/>
                              <w:color w:val="FF0000"/>
                            </w:rPr>
                          </w:pPr>
                          <w:r w:rsidRPr="003578A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B104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50202B3" w14:textId="192E68D1" w:rsidR="003578A6" w:rsidRPr="003578A6" w:rsidRDefault="003578A6" w:rsidP="003578A6">
                    <w:pPr>
                      <w:rPr>
                        <w:rFonts w:eastAsia="Calibri" w:cs="Calibri"/>
                        <w:noProof/>
                        <w:color w:val="FF0000"/>
                      </w:rPr>
                    </w:pPr>
                    <w:r w:rsidRPr="003578A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1E47"/>
    <w:multiLevelType w:val="hybridMultilevel"/>
    <w:tmpl w:val="A00C7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06190D"/>
    <w:multiLevelType w:val="hybridMultilevel"/>
    <w:tmpl w:val="1332CA7C"/>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 w15:restartNumberingAfterBreak="0">
    <w:nsid w:val="0B59128C"/>
    <w:multiLevelType w:val="hybridMultilevel"/>
    <w:tmpl w:val="8F2CF3D2"/>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E4B0761"/>
    <w:multiLevelType w:val="hybridMultilevel"/>
    <w:tmpl w:val="9A4E0A8E"/>
    <w:lvl w:ilvl="0" w:tplc="62E8C1B2">
      <w:start w:val="1"/>
      <w:numFmt w:val="bullet"/>
      <w:lvlText w:val=""/>
      <w:lvlJc w:val="left"/>
      <w:pPr>
        <w:ind w:left="2160" w:hanging="360"/>
      </w:pPr>
      <w:rPr>
        <w:rFonts w:ascii="Symbol" w:hAnsi="Symbol"/>
      </w:rPr>
    </w:lvl>
    <w:lvl w:ilvl="1" w:tplc="73340102">
      <w:start w:val="1"/>
      <w:numFmt w:val="bullet"/>
      <w:lvlText w:val=""/>
      <w:lvlJc w:val="left"/>
      <w:pPr>
        <w:ind w:left="2160" w:hanging="360"/>
      </w:pPr>
      <w:rPr>
        <w:rFonts w:ascii="Symbol" w:hAnsi="Symbol"/>
      </w:rPr>
    </w:lvl>
    <w:lvl w:ilvl="2" w:tplc="EB360FE8">
      <w:start w:val="1"/>
      <w:numFmt w:val="bullet"/>
      <w:lvlText w:val=""/>
      <w:lvlJc w:val="left"/>
      <w:pPr>
        <w:ind w:left="2160" w:hanging="360"/>
      </w:pPr>
      <w:rPr>
        <w:rFonts w:ascii="Symbol" w:hAnsi="Symbol"/>
      </w:rPr>
    </w:lvl>
    <w:lvl w:ilvl="3" w:tplc="92506A7E">
      <w:start w:val="1"/>
      <w:numFmt w:val="bullet"/>
      <w:lvlText w:val=""/>
      <w:lvlJc w:val="left"/>
      <w:pPr>
        <w:ind w:left="2160" w:hanging="360"/>
      </w:pPr>
      <w:rPr>
        <w:rFonts w:ascii="Symbol" w:hAnsi="Symbol"/>
      </w:rPr>
    </w:lvl>
    <w:lvl w:ilvl="4" w:tplc="EB70CB58">
      <w:start w:val="1"/>
      <w:numFmt w:val="bullet"/>
      <w:lvlText w:val=""/>
      <w:lvlJc w:val="left"/>
      <w:pPr>
        <w:ind w:left="2160" w:hanging="360"/>
      </w:pPr>
      <w:rPr>
        <w:rFonts w:ascii="Symbol" w:hAnsi="Symbol"/>
      </w:rPr>
    </w:lvl>
    <w:lvl w:ilvl="5" w:tplc="ABDE127C">
      <w:start w:val="1"/>
      <w:numFmt w:val="bullet"/>
      <w:lvlText w:val=""/>
      <w:lvlJc w:val="left"/>
      <w:pPr>
        <w:ind w:left="2160" w:hanging="360"/>
      </w:pPr>
      <w:rPr>
        <w:rFonts w:ascii="Symbol" w:hAnsi="Symbol"/>
      </w:rPr>
    </w:lvl>
    <w:lvl w:ilvl="6" w:tplc="5ACCCCFE">
      <w:start w:val="1"/>
      <w:numFmt w:val="bullet"/>
      <w:lvlText w:val=""/>
      <w:lvlJc w:val="left"/>
      <w:pPr>
        <w:ind w:left="2160" w:hanging="360"/>
      </w:pPr>
      <w:rPr>
        <w:rFonts w:ascii="Symbol" w:hAnsi="Symbol"/>
      </w:rPr>
    </w:lvl>
    <w:lvl w:ilvl="7" w:tplc="B7385D02">
      <w:start w:val="1"/>
      <w:numFmt w:val="bullet"/>
      <w:lvlText w:val=""/>
      <w:lvlJc w:val="left"/>
      <w:pPr>
        <w:ind w:left="2160" w:hanging="360"/>
      </w:pPr>
      <w:rPr>
        <w:rFonts w:ascii="Symbol" w:hAnsi="Symbol"/>
      </w:rPr>
    </w:lvl>
    <w:lvl w:ilvl="8" w:tplc="810E7306">
      <w:start w:val="1"/>
      <w:numFmt w:val="bullet"/>
      <w:lvlText w:val=""/>
      <w:lvlJc w:val="left"/>
      <w:pPr>
        <w:ind w:left="2160" w:hanging="360"/>
      </w:pPr>
      <w:rPr>
        <w:rFonts w:ascii="Symbol" w:hAnsi="Symbol"/>
      </w:rPr>
    </w:lvl>
  </w:abstractNum>
  <w:abstractNum w:abstractNumId="5" w15:restartNumberingAfterBreak="0">
    <w:nsid w:val="10CE5F06"/>
    <w:multiLevelType w:val="hybridMultilevel"/>
    <w:tmpl w:val="63C4E8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33C21BD"/>
    <w:multiLevelType w:val="hybridMultilevel"/>
    <w:tmpl w:val="FE98D90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033CB6"/>
    <w:multiLevelType w:val="hybridMultilevel"/>
    <w:tmpl w:val="A66C1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FC6ED3"/>
    <w:multiLevelType w:val="hybridMultilevel"/>
    <w:tmpl w:val="CFCA27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112E51"/>
    <w:multiLevelType w:val="hybridMultilevel"/>
    <w:tmpl w:val="05CE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10197"/>
    <w:multiLevelType w:val="hybridMultilevel"/>
    <w:tmpl w:val="7E621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80358A"/>
    <w:multiLevelType w:val="hybridMultilevel"/>
    <w:tmpl w:val="7688A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B76AF2"/>
    <w:multiLevelType w:val="hybridMultilevel"/>
    <w:tmpl w:val="118A5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CE12F3"/>
    <w:multiLevelType w:val="hybridMultilevel"/>
    <w:tmpl w:val="CBF2B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182D34"/>
    <w:multiLevelType w:val="hybridMultilevel"/>
    <w:tmpl w:val="B6A466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0346AD7"/>
    <w:multiLevelType w:val="hybridMultilevel"/>
    <w:tmpl w:val="FFB8E73C"/>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9178EE"/>
    <w:multiLevelType w:val="hybridMultilevel"/>
    <w:tmpl w:val="B17EC6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5DD104F"/>
    <w:multiLevelType w:val="hybridMultilevel"/>
    <w:tmpl w:val="D318D3B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6C72134"/>
    <w:multiLevelType w:val="hybridMultilevel"/>
    <w:tmpl w:val="1E46B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D5F01"/>
    <w:multiLevelType w:val="hybridMultilevel"/>
    <w:tmpl w:val="4ACCFD04"/>
    <w:lvl w:ilvl="0" w:tplc="49DA911C">
      <w:start w:val="1"/>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587E67"/>
    <w:multiLevelType w:val="hybridMultilevel"/>
    <w:tmpl w:val="3454C64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C345FA7"/>
    <w:multiLevelType w:val="hybridMultilevel"/>
    <w:tmpl w:val="4A7E1970"/>
    <w:lvl w:ilvl="0" w:tplc="CB088344">
      <w:start w:val="1"/>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3" w15:restartNumberingAfterBreak="0">
    <w:nsid w:val="43DC1CEC"/>
    <w:multiLevelType w:val="hybridMultilevel"/>
    <w:tmpl w:val="606810E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5476CB7"/>
    <w:multiLevelType w:val="hybridMultilevel"/>
    <w:tmpl w:val="D9BA57C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9801E3"/>
    <w:multiLevelType w:val="hybridMultilevel"/>
    <w:tmpl w:val="269214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C06C6C"/>
    <w:multiLevelType w:val="hybridMultilevel"/>
    <w:tmpl w:val="90F45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4B1539"/>
    <w:multiLevelType w:val="hybridMultilevel"/>
    <w:tmpl w:val="C6AC3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DE48F2"/>
    <w:multiLevelType w:val="hybridMultilevel"/>
    <w:tmpl w:val="4746D9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A9291A"/>
    <w:multiLevelType w:val="hybridMultilevel"/>
    <w:tmpl w:val="5F5E1DF8"/>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1F57784"/>
    <w:multiLevelType w:val="hybridMultilevel"/>
    <w:tmpl w:val="9F9483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6D85615"/>
    <w:multiLevelType w:val="hybridMultilevel"/>
    <w:tmpl w:val="4712E4E8"/>
    <w:lvl w:ilvl="0" w:tplc="53C41186">
      <w:start w:val="1"/>
      <w:numFmt w:val="decimal"/>
      <w:lvlText w:val="%1)"/>
      <w:lvlJc w:val="left"/>
      <w:pPr>
        <w:ind w:left="1420" w:hanging="360"/>
      </w:pPr>
    </w:lvl>
    <w:lvl w:ilvl="1" w:tplc="A04AA9F2">
      <w:start w:val="1"/>
      <w:numFmt w:val="decimal"/>
      <w:lvlText w:val="%2)"/>
      <w:lvlJc w:val="left"/>
      <w:pPr>
        <w:ind w:left="1420" w:hanging="360"/>
      </w:pPr>
    </w:lvl>
    <w:lvl w:ilvl="2" w:tplc="1EC0F414">
      <w:start w:val="1"/>
      <w:numFmt w:val="decimal"/>
      <w:lvlText w:val="%3)"/>
      <w:lvlJc w:val="left"/>
      <w:pPr>
        <w:ind w:left="1420" w:hanging="360"/>
      </w:pPr>
    </w:lvl>
    <w:lvl w:ilvl="3" w:tplc="32345A5A">
      <w:start w:val="1"/>
      <w:numFmt w:val="decimal"/>
      <w:lvlText w:val="%4)"/>
      <w:lvlJc w:val="left"/>
      <w:pPr>
        <w:ind w:left="1420" w:hanging="360"/>
      </w:pPr>
    </w:lvl>
    <w:lvl w:ilvl="4" w:tplc="951A8C86">
      <w:start w:val="1"/>
      <w:numFmt w:val="decimal"/>
      <w:lvlText w:val="%5)"/>
      <w:lvlJc w:val="left"/>
      <w:pPr>
        <w:ind w:left="1420" w:hanging="360"/>
      </w:pPr>
    </w:lvl>
    <w:lvl w:ilvl="5" w:tplc="7BE8F104">
      <w:start w:val="1"/>
      <w:numFmt w:val="decimal"/>
      <w:lvlText w:val="%6)"/>
      <w:lvlJc w:val="left"/>
      <w:pPr>
        <w:ind w:left="1420" w:hanging="360"/>
      </w:pPr>
    </w:lvl>
    <w:lvl w:ilvl="6" w:tplc="CA5CD3F2">
      <w:start w:val="1"/>
      <w:numFmt w:val="decimal"/>
      <w:lvlText w:val="%7)"/>
      <w:lvlJc w:val="left"/>
      <w:pPr>
        <w:ind w:left="1420" w:hanging="360"/>
      </w:pPr>
    </w:lvl>
    <w:lvl w:ilvl="7" w:tplc="AB1E26C2">
      <w:start w:val="1"/>
      <w:numFmt w:val="decimal"/>
      <w:lvlText w:val="%8)"/>
      <w:lvlJc w:val="left"/>
      <w:pPr>
        <w:ind w:left="1420" w:hanging="360"/>
      </w:pPr>
    </w:lvl>
    <w:lvl w:ilvl="8" w:tplc="39A2606E">
      <w:start w:val="1"/>
      <w:numFmt w:val="decimal"/>
      <w:lvlText w:val="%9)"/>
      <w:lvlJc w:val="left"/>
      <w:pPr>
        <w:ind w:left="1420" w:hanging="360"/>
      </w:pPr>
    </w:lvl>
  </w:abstractNum>
  <w:abstractNum w:abstractNumId="33" w15:restartNumberingAfterBreak="0">
    <w:nsid w:val="57DA0775"/>
    <w:multiLevelType w:val="hybridMultilevel"/>
    <w:tmpl w:val="AA725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3D6513"/>
    <w:multiLevelType w:val="hybridMultilevel"/>
    <w:tmpl w:val="D1507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672B17"/>
    <w:multiLevelType w:val="hybridMultilevel"/>
    <w:tmpl w:val="B260AA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428285A"/>
    <w:multiLevelType w:val="hybridMultilevel"/>
    <w:tmpl w:val="938C0A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C3499C"/>
    <w:multiLevelType w:val="hybridMultilevel"/>
    <w:tmpl w:val="60482E7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E322E1"/>
    <w:multiLevelType w:val="hybridMultilevel"/>
    <w:tmpl w:val="A58C6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B7954EE"/>
    <w:multiLevelType w:val="hybridMultilevel"/>
    <w:tmpl w:val="BB74FC7C"/>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0095F1C"/>
    <w:multiLevelType w:val="hybridMultilevel"/>
    <w:tmpl w:val="1A98A01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84D033C"/>
    <w:multiLevelType w:val="multilevel"/>
    <w:tmpl w:val="EF0C365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8F5990"/>
    <w:multiLevelType w:val="hybridMultilevel"/>
    <w:tmpl w:val="50205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7244B0"/>
    <w:multiLevelType w:val="hybridMultilevel"/>
    <w:tmpl w:val="125CD1D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EDA526A"/>
    <w:multiLevelType w:val="hybridMultilevel"/>
    <w:tmpl w:val="9654A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7570559">
    <w:abstractNumId w:val="42"/>
  </w:num>
  <w:num w:numId="2" w16cid:durableId="1159004663">
    <w:abstractNumId w:val="36"/>
  </w:num>
  <w:num w:numId="3" w16cid:durableId="495537779">
    <w:abstractNumId w:val="22"/>
  </w:num>
  <w:num w:numId="4" w16cid:durableId="1468400811">
    <w:abstractNumId w:val="0"/>
  </w:num>
  <w:num w:numId="5" w16cid:durableId="1103570019">
    <w:abstractNumId w:val="15"/>
  </w:num>
  <w:num w:numId="6" w16cid:durableId="2041346921">
    <w:abstractNumId w:val="42"/>
  </w:num>
  <w:num w:numId="7" w16cid:durableId="1041981938">
    <w:abstractNumId w:val="25"/>
  </w:num>
  <w:num w:numId="8" w16cid:durableId="1533304922">
    <w:abstractNumId w:val="8"/>
  </w:num>
  <w:num w:numId="9" w16cid:durableId="859969221">
    <w:abstractNumId w:val="14"/>
  </w:num>
  <w:num w:numId="10" w16cid:durableId="2011833280">
    <w:abstractNumId w:val="16"/>
  </w:num>
  <w:num w:numId="11" w16cid:durableId="1103838267">
    <w:abstractNumId w:val="41"/>
  </w:num>
  <w:num w:numId="12" w16cid:durableId="1249194485">
    <w:abstractNumId w:val="17"/>
  </w:num>
  <w:num w:numId="13" w16cid:durableId="1500536266">
    <w:abstractNumId w:val="35"/>
  </w:num>
  <w:num w:numId="14" w16cid:durableId="1613240661">
    <w:abstractNumId w:val="2"/>
  </w:num>
  <w:num w:numId="15" w16cid:durableId="1532301758">
    <w:abstractNumId w:val="21"/>
  </w:num>
  <w:num w:numId="16" w16cid:durableId="1072777535">
    <w:abstractNumId w:val="24"/>
  </w:num>
  <w:num w:numId="17" w16cid:durableId="44304285">
    <w:abstractNumId w:val="29"/>
  </w:num>
  <w:num w:numId="18" w16cid:durableId="1225530037">
    <w:abstractNumId w:val="3"/>
  </w:num>
  <w:num w:numId="19" w16cid:durableId="699935562">
    <w:abstractNumId w:val="37"/>
  </w:num>
  <w:num w:numId="20" w16cid:durableId="1599370090">
    <w:abstractNumId w:val="44"/>
  </w:num>
  <w:num w:numId="21" w16cid:durableId="206186971">
    <w:abstractNumId w:val="38"/>
  </w:num>
  <w:num w:numId="22" w16cid:durableId="712995450">
    <w:abstractNumId w:val="6"/>
  </w:num>
  <w:num w:numId="23" w16cid:durableId="333144925">
    <w:abstractNumId w:val="23"/>
  </w:num>
  <w:num w:numId="24" w16cid:durableId="49809944">
    <w:abstractNumId w:val="40"/>
  </w:num>
  <w:num w:numId="25" w16cid:durableId="863862147">
    <w:abstractNumId w:val="28"/>
  </w:num>
  <w:num w:numId="26" w16cid:durableId="1508330893">
    <w:abstractNumId w:val="33"/>
  </w:num>
  <w:num w:numId="27" w16cid:durableId="1956016496">
    <w:abstractNumId w:val="7"/>
  </w:num>
  <w:num w:numId="28" w16cid:durableId="1354650914">
    <w:abstractNumId w:val="27"/>
  </w:num>
  <w:num w:numId="29" w16cid:durableId="1106080966">
    <w:abstractNumId w:val="11"/>
  </w:num>
  <w:num w:numId="30" w16cid:durableId="1374038970">
    <w:abstractNumId w:val="13"/>
  </w:num>
  <w:num w:numId="31" w16cid:durableId="591008509">
    <w:abstractNumId w:val="12"/>
  </w:num>
  <w:num w:numId="32" w16cid:durableId="493103593">
    <w:abstractNumId w:val="1"/>
  </w:num>
  <w:num w:numId="33" w16cid:durableId="1809737239">
    <w:abstractNumId w:val="30"/>
  </w:num>
  <w:num w:numId="34" w16cid:durableId="1462991338">
    <w:abstractNumId w:val="34"/>
  </w:num>
  <w:num w:numId="35" w16cid:durableId="2030066237">
    <w:abstractNumId w:val="19"/>
  </w:num>
  <w:num w:numId="36" w16cid:durableId="1579513457">
    <w:abstractNumId w:val="15"/>
  </w:num>
  <w:num w:numId="37" w16cid:durableId="737483546">
    <w:abstractNumId w:val="42"/>
  </w:num>
  <w:num w:numId="38" w16cid:durableId="2029987914">
    <w:abstractNumId w:val="42"/>
  </w:num>
  <w:num w:numId="39" w16cid:durableId="1455564099">
    <w:abstractNumId w:val="18"/>
  </w:num>
  <w:num w:numId="40" w16cid:durableId="565183406">
    <w:abstractNumId w:val="15"/>
  </w:num>
  <w:num w:numId="41" w16cid:durableId="1758869319">
    <w:abstractNumId w:val="42"/>
  </w:num>
  <w:num w:numId="42" w16cid:durableId="1441683394">
    <w:abstractNumId w:val="42"/>
  </w:num>
  <w:num w:numId="43" w16cid:durableId="432553892">
    <w:abstractNumId w:val="15"/>
  </w:num>
  <w:num w:numId="44" w16cid:durableId="1144005326">
    <w:abstractNumId w:val="42"/>
  </w:num>
  <w:num w:numId="45" w16cid:durableId="1736512493">
    <w:abstractNumId w:val="42"/>
  </w:num>
  <w:num w:numId="46" w16cid:durableId="1528060449">
    <w:abstractNumId w:val="45"/>
  </w:num>
  <w:num w:numId="47" w16cid:durableId="5445830">
    <w:abstractNumId w:val="20"/>
  </w:num>
  <w:num w:numId="48" w16cid:durableId="646398065">
    <w:abstractNumId w:val="43"/>
  </w:num>
  <w:num w:numId="49" w16cid:durableId="121579239">
    <w:abstractNumId w:val="4"/>
  </w:num>
  <w:num w:numId="50" w16cid:durableId="166484409">
    <w:abstractNumId w:val="45"/>
  </w:num>
  <w:num w:numId="51" w16cid:durableId="1479569132">
    <w:abstractNumId w:val="31"/>
  </w:num>
  <w:num w:numId="52" w16cid:durableId="665717266">
    <w:abstractNumId w:val="39"/>
  </w:num>
  <w:num w:numId="53" w16cid:durableId="764300501">
    <w:abstractNumId w:val="26"/>
  </w:num>
  <w:num w:numId="54" w16cid:durableId="1805269151">
    <w:abstractNumId w:val="32"/>
  </w:num>
  <w:num w:numId="55" w16cid:durableId="1847668079">
    <w:abstractNumId w:val="10"/>
  </w:num>
  <w:num w:numId="56" w16cid:durableId="1489010123">
    <w:abstractNumId w:val="9"/>
  </w:num>
  <w:num w:numId="57" w16cid:durableId="1003124503">
    <w:abstractNumId w:val="5"/>
  </w:num>
  <w:num w:numId="58" w16cid:durableId="2121533714">
    <w:abstractNumId w:val="15"/>
  </w:num>
  <w:num w:numId="59" w16cid:durableId="14395676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5599891">
    <w:abstractNumId w:val="42"/>
  </w:num>
  <w:num w:numId="61" w16cid:durableId="80840183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6A"/>
    <w:rsid w:val="0000037E"/>
    <w:rsid w:val="0000040C"/>
    <w:rsid w:val="0000050D"/>
    <w:rsid w:val="000007CB"/>
    <w:rsid w:val="0000080A"/>
    <w:rsid w:val="0000096D"/>
    <w:rsid w:val="00000D0C"/>
    <w:rsid w:val="00001046"/>
    <w:rsid w:val="00001663"/>
    <w:rsid w:val="00001804"/>
    <w:rsid w:val="000018BB"/>
    <w:rsid w:val="00002409"/>
    <w:rsid w:val="000025AD"/>
    <w:rsid w:val="00002688"/>
    <w:rsid w:val="00002C22"/>
    <w:rsid w:val="00002C39"/>
    <w:rsid w:val="00002EC4"/>
    <w:rsid w:val="0000302D"/>
    <w:rsid w:val="0000335D"/>
    <w:rsid w:val="00003958"/>
    <w:rsid w:val="00003CE4"/>
    <w:rsid w:val="00003EC5"/>
    <w:rsid w:val="00003F0A"/>
    <w:rsid w:val="00004395"/>
    <w:rsid w:val="00004ED9"/>
    <w:rsid w:val="00004FD6"/>
    <w:rsid w:val="00004FF3"/>
    <w:rsid w:val="000050A3"/>
    <w:rsid w:val="0000567F"/>
    <w:rsid w:val="0000586C"/>
    <w:rsid w:val="00005CEA"/>
    <w:rsid w:val="00005F15"/>
    <w:rsid w:val="00005F5E"/>
    <w:rsid w:val="000061AD"/>
    <w:rsid w:val="000061E6"/>
    <w:rsid w:val="00006545"/>
    <w:rsid w:val="0000668C"/>
    <w:rsid w:val="00006782"/>
    <w:rsid w:val="000067B8"/>
    <w:rsid w:val="00006C61"/>
    <w:rsid w:val="00006CDD"/>
    <w:rsid w:val="00006D93"/>
    <w:rsid w:val="0000730D"/>
    <w:rsid w:val="000079EE"/>
    <w:rsid w:val="00007F63"/>
    <w:rsid w:val="0001001A"/>
    <w:rsid w:val="000101C7"/>
    <w:rsid w:val="00010A3E"/>
    <w:rsid w:val="00011248"/>
    <w:rsid w:val="00011251"/>
    <w:rsid w:val="0001140E"/>
    <w:rsid w:val="00011684"/>
    <w:rsid w:val="0001179A"/>
    <w:rsid w:val="000118E9"/>
    <w:rsid w:val="00011A59"/>
    <w:rsid w:val="00011C67"/>
    <w:rsid w:val="00012030"/>
    <w:rsid w:val="0001220D"/>
    <w:rsid w:val="00012983"/>
    <w:rsid w:val="00012A1B"/>
    <w:rsid w:val="0001305B"/>
    <w:rsid w:val="000132BF"/>
    <w:rsid w:val="00013352"/>
    <w:rsid w:val="00013646"/>
    <w:rsid w:val="000139B9"/>
    <w:rsid w:val="00013B67"/>
    <w:rsid w:val="00014282"/>
    <w:rsid w:val="000144D7"/>
    <w:rsid w:val="00014503"/>
    <w:rsid w:val="00014572"/>
    <w:rsid w:val="00014980"/>
    <w:rsid w:val="00014A74"/>
    <w:rsid w:val="00014B92"/>
    <w:rsid w:val="00014D69"/>
    <w:rsid w:val="000151ED"/>
    <w:rsid w:val="00015259"/>
    <w:rsid w:val="0001551F"/>
    <w:rsid w:val="00015EEA"/>
    <w:rsid w:val="000161D3"/>
    <w:rsid w:val="000164EF"/>
    <w:rsid w:val="00016671"/>
    <w:rsid w:val="00016A41"/>
    <w:rsid w:val="00016C11"/>
    <w:rsid w:val="00016E6E"/>
    <w:rsid w:val="0001711C"/>
    <w:rsid w:val="00017538"/>
    <w:rsid w:val="000178CD"/>
    <w:rsid w:val="00017922"/>
    <w:rsid w:val="00017F48"/>
    <w:rsid w:val="0002012A"/>
    <w:rsid w:val="0002027A"/>
    <w:rsid w:val="0002044B"/>
    <w:rsid w:val="000204CD"/>
    <w:rsid w:val="0002057D"/>
    <w:rsid w:val="0002096F"/>
    <w:rsid w:val="00020CE9"/>
    <w:rsid w:val="00020F06"/>
    <w:rsid w:val="000210EA"/>
    <w:rsid w:val="000214D1"/>
    <w:rsid w:val="000217E6"/>
    <w:rsid w:val="00021F20"/>
    <w:rsid w:val="00022116"/>
    <w:rsid w:val="00022230"/>
    <w:rsid w:val="000228C9"/>
    <w:rsid w:val="00022B2F"/>
    <w:rsid w:val="00022D44"/>
    <w:rsid w:val="000232E9"/>
    <w:rsid w:val="000240A7"/>
    <w:rsid w:val="0002464A"/>
    <w:rsid w:val="000248D3"/>
    <w:rsid w:val="0002497A"/>
    <w:rsid w:val="00024C0A"/>
    <w:rsid w:val="00024E4B"/>
    <w:rsid w:val="000252CA"/>
    <w:rsid w:val="00025410"/>
    <w:rsid w:val="000257C9"/>
    <w:rsid w:val="00025924"/>
    <w:rsid w:val="00025A04"/>
    <w:rsid w:val="00025ABD"/>
    <w:rsid w:val="000264A3"/>
    <w:rsid w:val="0002693D"/>
    <w:rsid w:val="00026F6A"/>
    <w:rsid w:val="00027A23"/>
    <w:rsid w:val="00027A58"/>
    <w:rsid w:val="000300F1"/>
    <w:rsid w:val="000301D4"/>
    <w:rsid w:val="0003050E"/>
    <w:rsid w:val="00030874"/>
    <w:rsid w:val="000309B1"/>
    <w:rsid w:val="00030AA8"/>
    <w:rsid w:val="00030F86"/>
    <w:rsid w:val="0003106B"/>
    <w:rsid w:val="00031760"/>
    <w:rsid w:val="00031E61"/>
    <w:rsid w:val="00031FD6"/>
    <w:rsid w:val="000324E5"/>
    <w:rsid w:val="00032672"/>
    <w:rsid w:val="0003298B"/>
    <w:rsid w:val="00032E95"/>
    <w:rsid w:val="000330CF"/>
    <w:rsid w:val="000335B9"/>
    <w:rsid w:val="00033A5C"/>
    <w:rsid w:val="00033C8F"/>
    <w:rsid w:val="00033ECF"/>
    <w:rsid w:val="0003403A"/>
    <w:rsid w:val="0003428E"/>
    <w:rsid w:val="00034905"/>
    <w:rsid w:val="00034C58"/>
    <w:rsid w:val="00035121"/>
    <w:rsid w:val="000355E9"/>
    <w:rsid w:val="000356E6"/>
    <w:rsid w:val="000356FF"/>
    <w:rsid w:val="00035CD8"/>
    <w:rsid w:val="00035DB9"/>
    <w:rsid w:val="00036130"/>
    <w:rsid w:val="0003626B"/>
    <w:rsid w:val="000367B6"/>
    <w:rsid w:val="0003757B"/>
    <w:rsid w:val="000378DD"/>
    <w:rsid w:val="00037906"/>
    <w:rsid w:val="00037D78"/>
    <w:rsid w:val="00037F19"/>
    <w:rsid w:val="00040044"/>
    <w:rsid w:val="000400B5"/>
    <w:rsid w:val="0004078D"/>
    <w:rsid w:val="000407D3"/>
    <w:rsid w:val="00040A30"/>
    <w:rsid w:val="00040DDA"/>
    <w:rsid w:val="00040FFD"/>
    <w:rsid w:val="00041015"/>
    <w:rsid w:val="000410A4"/>
    <w:rsid w:val="000414C9"/>
    <w:rsid w:val="00041C78"/>
    <w:rsid w:val="000420A8"/>
    <w:rsid w:val="000421A1"/>
    <w:rsid w:val="0004240E"/>
    <w:rsid w:val="000425A2"/>
    <w:rsid w:val="000426D1"/>
    <w:rsid w:val="00042768"/>
    <w:rsid w:val="0004280C"/>
    <w:rsid w:val="00042D3B"/>
    <w:rsid w:val="000430D5"/>
    <w:rsid w:val="000435B0"/>
    <w:rsid w:val="00043866"/>
    <w:rsid w:val="00044361"/>
    <w:rsid w:val="00044417"/>
    <w:rsid w:val="00044B71"/>
    <w:rsid w:val="00044D6A"/>
    <w:rsid w:val="00044E52"/>
    <w:rsid w:val="00044E9F"/>
    <w:rsid w:val="00044EC4"/>
    <w:rsid w:val="00044EFB"/>
    <w:rsid w:val="00045626"/>
    <w:rsid w:val="0004584F"/>
    <w:rsid w:val="000458E4"/>
    <w:rsid w:val="00045DD6"/>
    <w:rsid w:val="00045E26"/>
    <w:rsid w:val="00046096"/>
    <w:rsid w:val="00046670"/>
    <w:rsid w:val="00046903"/>
    <w:rsid w:val="00046B6D"/>
    <w:rsid w:val="00046C76"/>
    <w:rsid w:val="00046CA4"/>
    <w:rsid w:val="000470D0"/>
    <w:rsid w:val="000471D6"/>
    <w:rsid w:val="00047247"/>
    <w:rsid w:val="000474B8"/>
    <w:rsid w:val="00047698"/>
    <w:rsid w:val="000476A1"/>
    <w:rsid w:val="00047C9A"/>
    <w:rsid w:val="00047D23"/>
    <w:rsid w:val="00047DA2"/>
    <w:rsid w:val="000502E6"/>
    <w:rsid w:val="00050323"/>
    <w:rsid w:val="000506A6"/>
    <w:rsid w:val="0005073D"/>
    <w:rsid w:val="00050A4A"/>
    <w:rsid w:val="00051018"/>
    <w:rsid w:val="000514B5"/>
    <w:rsid w:val="000519A6"/>
    <w:rsid w:val="00051C7C"/>
    <w:rsid w:val="00052011"/>
    <w:rsid w:val="000521ED"/>
    <w:rsid w:val="00052257"/>
    <w:rsid w:val="000523A6"/>
    <w:rsid w:val="0005250B"/>
    <w:rsid w:val="00052CB7"/>
    <w:rsid w:val="0005322E"/>
    <w:rsid w:val="000537B5"/>
    <w:rsid w:val="00053BB3"/>
    <w:rsid w:val="00053F68"/>
    <w:rsid w:val="00053FA8"/>
    <w:rsid w:val="000540BB"/>
    <w:rsid w:val="000542E9"/>
    <w:rsid w:val="000544E1"/>
    <w:rsid w:val="000546CF"/>
    <w:rsid w:val="0005476F"/>
    <w:rsid w:val="00054A89"/>
    <w:rsid w:val="00054C6D"/>
    <w:rsid w:val="00054E28"/>
    <w:rsid w:val="00054E2B"/>
    <w:rsid w:val="00054E5A"/>
    <w:rsid w:val="00054E77"/>
    <w:rsid w:val="00054FC3"/>
    <w:rsid w:val="0005544A"/>
    <w:rsid w:val="0005592B"/>
    <w:rsid w:val="00055A8E"/>
    <w:rsid w:val="00055BF9"/>
    <w:rsid w:val="00055E63"/>
    <w:rsid w:val="00055F7B"/>
    <w:rsid w:val="000560E2"/>
    <w:rsid w:val="00056100"/>
    <w:rsid w:val="00056194"/>
    <w:rsid w:val="000561F0"/>
    <w:rsid w:val="000562FB"/>
    <w:rsid w:val="000565DE"/>
    <w:rsid w:val="000566F9"/>
    <w:rsid w:val="0005702B"/>
    <w:rsid w:val="00057360"/>
    <w:rsid w:val="000573F4"/>
    <w:rsid w:val="00057B98"/>
    <w:rsid w:val="00057C8F"/>
    <w:rsid w:val="00060136"/>
    <w:rsid w:val="00060293"/>
    <w:rsid w:val="0006096F"/>
    <w:rsid w:val="00060C23"/>
    <w:rsid w:val="00060DAA"/>
    <w:rsid w:val="00060E64"/>
    <w:rsid w:val="00061146"/>
    <w:rsid w:val="000612F3"/>
    <w:rsid w:val="000613E8"/>
    <w:rsid w:val="00061419"/>
    <w:rsid w:val="00061E67"/>
    <w:rsid w:val="000621AB"/>
    <w:rsid w:val="0006233A"/>
    <w:rsid w:val="000625B2"/>
    <w:rsid w:val="00062C03"/>
    <w:rsid w:val="00062D1D"/>
    <w:rsid w:val="00062E88"/>
    <w:rsid w:val="00062EE6"/>
    <w:rsid w:val="00063701"/>
    <w:rsid w:val="00063B66"/>
    <w:rsid w:val="00063BE5"/>
    <w:rsid w:val="00063E6B"/>
    <w:rsid w:val="00064761"/>
    <w:rsid w:val="0006494A"/>
    <w:rsid w:val="00064B63"/>
    <w:rsid w:val="000655D7"/>
    <w:rsid w:val="00065FD3"/>
    <w:rsid w:val="00066193"/>
    <w:rsid w:val="00066755"/>
    <w:rsid w:val="00066A01"/>
    <w:rsid w:val="00066B99"/>
    <w:rsid w:val="00066E89"/>
    <w:rsid w:val="00067273"/>
    <w:rsid w:val="0006766B"/>
    <w:rsid w:val="000678A7"/>
    <w:rsid w:val="0006799C"/>
    <w:rsid w:val="00067A22"/>
    <w:rsid w:val="00067BE4"/>
    <w:rsid w:val="00067C8A"/>
    <w:rsid w:val="00067FC0"/>
    <w:rsid w:val="000706D7"/>
    <w:rsid w:val="00070A39"/>
    <w:rsid w:val="00070A47"/>
    <w:rsid w:val="00071079"/>
    <w:rsid w:val="000710CF"/>
    <w:rsid w:val="00071706"/>
    <w:rsid w:val="00071A5B"/>
    <w:rsid w:val="00071C35"/>
    <w:rsid w:val="00071D5A"/>
    <w:rsid w:val="00071DE3"/>
    <w:rsid w:val="00072064"/>
    <w:rsid w:val="000720BD"/>
    <w:rsid w:val="000720E5"/>
    <w:rsid w:val="00072730"/>
    <w:rsid w:val="0007337F"/>
    <w:rsid w:val="00073572"/>
    <w:rsid w:val="00073A8C"/>
    <w:rsid w:val="00073A9D"/>
    <w:rsid w:val="00073D39"/>
    <w:rsid w:val="00073D64"/>
    <w:rsid w:val="00074320"/>
    <w:rsid w:val="00074636"/>
    <w:rsid w:val="00074985"/>
    <w:rsid w:val="00075050"/>
    <w:rsid w:val="0007581A"/>
    <w:rsid w:val="000758FD"/>
    <w:rsid w:val="00075B3F"/>
    <w:rsid w:val="000763D5"/>
    <w:rsid w:val="000768BF"/>
    <w:rsid w:val="000769A5"/>
    <w:rsid w:val="00076C05"/>
    <w:rsid w:val="00076C38"/>
    <w:rsid w:val="00077008"/>
    <w:rsid w:val="00077143"/>
    <w:rsid w:val="0007752C"/>
    <w:rsid w:val="00077A10"/>
    <w:rsid w:val="00077CE1"/>
    <w:rsid w:val="00077DF7"/>
    <w:rsid w:val="00077F29"/>
    <w:rsid w:val="0008050C"/>
    <w:rsid w:val="00080A23"/>
    <w:rsid w:val="00080C94"/>
    <w:rsid w:val="00081551"/>
    <w:rsid w:val="000816D6"/>
    <w:rsid w:val="000818FF"/>
    <w:rsid w:val="00081CD5"/>
    <w:rsid w:val="00081CFE"/>
    <w:rsid w:val="00081D19"/>
    <w:rsid w:val="00081F7C"/>
    <w:rsid w:val="00082169"/>
    <w:rsid w:val="00082380"/>
    <w:rsid w:val="0008263F"/>
    <w:rsid w:val="00082831"/>
    <w:rsid w:val="00082872"/>
    <w:rsid w:val="000828F8"/>
    <w:rsid w:val="00082D06"/>
    <w:rsid w:val="00082F42"/>
    <w:rsid w:val="00083175"/>
    <w:rsid w:val="000834BE"/>
    <w:rsid w:val="00083608"/>
    <w:rsid w:val="000836DD"/>
    <w:rsid w:val="0008388F"/>
    <w:rsid w:val="00083A9E"/>
    <w:rsid w:val="00083EC4"/>
    <w:rsid w:val="00083F01"/>
    <w:rsid w:val="0008407A"/>
    <w:rsid w:val="000843EC"/>
    <w:rsid w:val="00084765"/>
    <w:rsid w:val="00084A50"/>
    <w:rsid w:val="00084A58"/>
    <w:rsid w:val="0008502C"/>
    <w:rsid w:val="000851F6"/>
    <w:rsid w:val="00086100"/>
    <w:rsid w:val="00086275"/>
    <w:rsid w:val="00086567"/>
    <w:rsid w:val="000865EA"/>
    <w:rsid w:val="00086606"/>
    <w:rsid w:val="0008660D"/>
    <w:rsid w:val="000868D8"/>
    <w:rsid w:val="00086C1A"/>
    <w:rsid w:val="0008713F"/>
    <w:rsid w:val="00087385"/>
    <w:rsid w:val="0008757E"/>
    <w:rsid w:val="00087C4C"/>
    <w:rsid w:val="00087E15"/>
    <w:rsid w:val="000906DD"/>
    <w:rsid w:val="00090F45"/>
    <w:rsid w:val="00091345"/>
    <w:rsid w:val="00091354"/>
    <w:rsid w:val="00091417"/>
    <w:rsid w:val="000918CB"/>
    <w:rsid w:val="00091B06"/>
    <w:rsid w:val="00091CB7"/>
    <w:rsid w:val="00091F23"/>
    <w:rsid w:val="000924BD"/>
    <w:rsid w:val="00092A49"/>
    <w:rsid w:val="00093061"/>
    <w:rsid w:val="00093062"/>
    <w:rsid w:val="0009403D"/>
    <w:rsid w:val="00094CE3"/>
    <w:rsid w:val="00094FE0"/>
    <w:rsid w:val="000951C4"/>
    <w:rsid w:val="0009524B"/>
    <w:rsid w:val="00095250"/>
    <w:rsid w:val="00095431"/>
    <w:rsid w:val="000954CA"/>
    <w:rsid w:val="0009585B"/>
    <w:rsid w:val="000959A9"/>
    <w:rsid w:val="00095ADA"/>
    <w:rsid w:val="00095EFE"/>
    <w:rsid w:val="00095F3A"/>
    <w:rsid w:val="00096165"/>
    <w:rsid w:val="000965DB"/>
    <w:rsid w:val="0009693D"/>
    <w:rsid w:val="000969AD"/>
    <w:rsid w:val="00096EB7"/>
    <w:rsid w:val="0009700D"/>
    <w:rsid w:val="000971F0"/>
    <w:rsid w:val="000972C9"/>
    <w:rsid w:val="000975C0"/>
    <w:rsid w:val="000975FB"/>
    <w:rsid w:val="000979FB"/>
    <w:rsid w:val="00097B2C"/>
    <w:rsid w:val="00097D90"/>
    <w:rsid w:val="000A008E"/>
    <w:rsid w:val="000A02F8"/>
    <w:rsid w:val="000A071B"/>
    <w:rsid w:val="000A0A16"/>
    <w:rsid w:val="000A0CBF"/>
    <w:rsid w:val="000A0DBE"/>
    <w:rsid w:val="000A0F5F"/>
    <w:rsid w:val="000A1512"/>
    <w:rsid w:val="000A199F"/>
    <w:rsid w:val="000A23DF"/>
    <w:rsid w:val="000A271C"/>
    <w:rsid w:val="000A2DC4"/>
    <w:rsid w:val="000A2EA8"/>
    <w:rsid w:val="000A326B"/>
    <w:rsid w:val="000A3AA2"/>
    <w:rsid w:val="000A42EF"/>
    <w:rsid w:val="000A4457"/>
    <w:rsid w:val="000A44B2"/>
    <w:rsid w:val="000A52F6"/>
    <w:rsid w:val="000A5362"/>
    <w:rsid w:val="000A5376"/>
    <w:rsid w:val="000A560A"/>
    <w:rsid w:val="000A569F"/>
    <w:rsid w:val="000A57CF"/>
    <w:rsid w:val="000A58B8"/>
    <w:rsid w:val="000A5937"/>
    <w:rsid w:val="000A5A8D"/>
    <w:rsid w:val="000A60C1"/>
    <w:rsid w:val="000A6400"/>
    <w:rsid w:val="000A6EC0"/>
    <w:rsid w:val="000A705C"/>
    <w:rsid w:val="000A70DB"/>
    <w:rsid w:val="000A756A"/>
    <w:rsid w:val="000A78B8"/>
    <w:rsid w:val="000A7C61"/>
    <w:rsid w:val="000A7DA2"/>
    <w:rsid w:val="000B0235"/>
    <w:rsid w:val="000B0335"/>
    <w:rsid w:val="000B101B"/>
    <w:rsid w:val="000B110E"/>
    <w:rsid w:val="000B134C"/>
    <w:rsid w:val="000B1396"/>
    <w:rsid w:val="000B1465"/>
    <w:rsid w:val="000B154B"/>
    <w:rsid w:val="000B1D71"/>
    <w:rsid w:val="000B1DD0"/>
    <w:rsid w:val="000B1FD5"/>
    <w:rsid w:val="000B2C2C"/>
    <w:rsid w:val="000B2F63"/>
    <w:rsid w:val="000B36C9"/>
    <w:rsid w:val="000B38B0"/>
    <w:rsid w:val="000B38F0"/>
    <w:rsid w:val="000B3C25"/>
    <w:rsid w:val="000B44C3"/>
    <w:rsid w:val="000B4906"/>
    <w:rsid w:val="000B558D"/>
    <w:rsid w:val="000B5846"/>
    <w:rsid w:val="000B5A89"/>
    <w:rsid w:val="000B5ABE"/>
    <w:rsid w:val="000B5BC7"/>
    <w:rsid w:val="000B65F6"/>
    <w:rsid w:val="000B6925"/>
    <w:rsid w:val="000B69EE"/>
    <w:rsid w:val="000B6E52"/>
    <w:rsid w:val="000B6F39"/>
    <w:rsid w:val="000B7374"/>
    <w:rsid w:val="000B73A2"/>
    <w:rsid w:val="000B7767"/>
    <w:rsid w:val="000B7972"/>
    <w:rsid w:val="000B7ED4"/>
    <w:rsid w:val="000C0205"/>
    <w:rsid w:val="000C0B5B"/>
    <w:rsid w:val="000C0CD6"/>
    <w:rsid w:val="000C13EB"/>
    <w:rsid w:val="000C16AA"/>
    <w:rsid w:val="000C1AFF"/>
    <w:rsid w:val="000C1C31"/>
    <w:rsid w:val="000C1ECE"/>
    <w:rsid w:val="000C20AE"/>
    <w:rsid w:val="000C25FA"/>
    <w:rsid w:val="000C282B"/>
    <w:rsid w:val="000C28FF"/>
    <w:rsid w:val="000C367C"/>
    <w:rsid w:val="000C37F8"/>
    <w:rsid w:val="000C3CB9"/>
    <w:rsid w:val="000C43D9"/>
    <w:rsid w:val="000C447F"/>
    <w:rsid w:val="000C4604"/>
    <w:rsid w:val="000C4797"/>
    <w:rsid w:val="000C4BD5"/>
    <w:rsid w:val="000C4E9F"/>
    <w:rsid w:val="000C4F3D"/>
    <w:rsid w:val="000C50FE"/>
    <w:rsid w:val="000C551A"/>
    <w:rsid w:val="000C5740"/>
    <w:rsid w:val="000C5AC5"/>
    <w:rsid w:val="000C5F55"/>
    <w:rsid w:val="000C5F95"/>
    <w:rsid w:val="000C66AD"/>
    <w:rsid w:val="000C6973"/>
    <w:rsid w:val="000C6996"/>
    <w:rsid w:val="000C6A0A"/>
    <w:rsid w:val="000C6B80"/>
    <w:rsid w:val="000C6F9E"/>
    <w:rsid w:val="000C742A"/>
    <w:rsid w:val="000C7533"/>
    <w:rsid w:val="000C761D"/>
    <w:rsid w:val="000C7C46"/>
    <w:rsid w:val="000C7C6A"/>
    <w:rsid w:val="000C7E88"/>
    <w:rsid w:val="000D052B"/>
    <w:rsid w:val="000D09E9"/>
    <w:rsid w:val="000D0A2E"/>
    <w:rsid w:val="000D0BD3"/>
    <w:rsid w:val="000D0BFA"/>
    <w:rsid w:val="000D0DA7"/>
    <w:rsid w:val="000D0E18"/>
    <w:rsid w:val="000D0EA0"/>
    <w:rsid w:val="000D0F42"/>
    <w:rsid w:val="000D111F"/>
    <w:rsid w:val="000D113F"/>
    <w:rsid w:val="000D1214"/>
    <w:rsid w:val="000D13FE"/>
    <w:rsid w:val="000D1411"/>
    <w:rsid w:val="000D149A"/>
    <w:rsid w:val="000D169F"/>
    <w:rsid w:val="000D1D4F"/>
    <w:rsid w:val="000D23B8"/>
    <w:rsid w:val="000D23BA"/>
    <w:rsid w:val="000D262D"/>
    <w:rsid w:val="000D2998"/>
    <w:rsid w:val="000D352B"/>
    <w:rsid w:val="000D378C"/>
    <w:rsid w:val="000D385E"/>
    <w:rsid w:val="000D3AF8"/>
    <w:rsid w:val="000D3CFE"/>
    <w:rsid w:val="000D3DB8"/>
    <w:rsid w:val="000D47B2"/>
    <w:rsid w:val="000D4D8B"/>
    <w:rsid w:val="000D4E1A"/>
    <w:rsid w:val="000D4F18"/>
    <w:rsid w:val="000D4FB1"/>
    <w:rsid w:val="000D54F6"/>
    <w:rsid w:val="000D5BCB"/>
    <w:rsid w:val="000D5D7A"/>
    <w:rsid w:val="000D5F73"/>
    <w:rsid w:val="000D6629"/>
    <w:rsid w:val="000D687D"/>
    <w:rsid w:val="000D6CFC"/>
    <w:rsid w:val="000D6DE5"/>
    <w:rsid w:val="000D6F44"/>
    <w:rsid w:val="000D71A3"/>
    <w:rsid w:val="000D78D4"/>
    <w:rsid w:val="000D7EA9"/>
    <w:rsid w:val="000E054B"/>
    <w:rsid w:val="000E05F7"/>
    <w:rsid w:val="000E0691"/>
    <w:rsid w:val="000E09CD"/>
    <w:rsid w:val="000E1080"/>
    <w:rsid w:val="000E11D7"/>
    <w:rsid w:val="000E1275"/>
    <w:rsid w:val="000E12F3"/>
    <w:rsid w:val="000E1903"/>
    <w:rsid w:val="000E19B7"/>
    <w:rsid w:val="000E1DE3"/>
    <w:rsid w:val="000E20FC"/>
    <w:rsid w:val="000E251A"/>
    <w:rsid w:val="000E29B3"/>
    <w:rsid w:val="000E3168"/>
    <w:rsid w:val="000E33E8"/>
    <w:rsid w:val="000E3B60"/>
    <w:rsid w:val="000E3C1D"/>
    <w:rsid w:val="000E3DFB"/>
    <w:rsid w:val="000E4088"/>
    <w:rsid w:val="000E4324"/>
    <w:rsid w:val="000E47F4"/>
    <w:rsid w:val="000E485D"/>
    <w:rsid w:val="000E4E7A"/>
    <w:rsid w:val="000E5421"/>
    <w:rsid w:val="000E54EB"/>
    <w:rsid w:val="000E5E5D"/>
    <w:rsid w:val="000E5E78"/>
    <w:rsid w:val="000E5EA1"/>
    <w:rsid w:val="000E611F"/>
    <w:rsid w:val="000E6759"/>
    <w:rsid w:val="000E681E"/>
    <w:rsid w:val="000E696B"/>
    <w:rsid w:val="000E6BC2"/>
    <w:rsid w:val="000E71B1"/>
    <w:rsid w:val="000E7372"/>
    <w:rsid w:val="000E7850"/>
    <w:rsid w:val="000E7E52"/>
    <w:rsid w:val="000E7E90"/>
    <w:rsid w:val="000E7F99"/>
    <w:rsid w:val="000E7FAD"/>
    <w:rsid w:val="000EE1C7"/>
    <w:rsid w:val="000F0003"/>
    <w:rsid w:val="000F02C5"/>
    <w:rsid w:val="000F11BF"/>
    <w:rsid w:val="000F1289"/>
    <w:rsid w:val="000F1341"/>
    <w:rsid w:val="000F14C9"/>
    <w:rsid w:val="000F1834"/>
    <w:rsid w:val="000F18F9"/>
    <w:rsid w:val="000F1D67"/>
    <w:rsid w:val="000F2502"/>
    <w:rsid w:val="000F26E2"/>
    <w:rsid w:val="000F3384"/>
    <w:rsid w:val="000F3438"/>
    <w:rsid w:val="000F368B"/>
    <w:rsid w:val="000F3D39"/>
    <w:rsid w:val="000F3E86"/>
    <w:rsid w:val="000F4200"/>
    <w:rsid w:val="000F4606"/>
    <w:rsid w:val="000F4679"/>
    <w:rsid w:val="000F4B8F"/>
    <w:rsid w:val="000F4E6A"/>
    <w:rsid w:val="000F5425"/>
    <w:rsid w:val="000F5588"/>
    <w:rsid w:val="000F5D78"/>
    <w:rsid w:val="000F5DCA"/>
    <w:rsid w:val="000F6072"/>
    <w:rsid w:val="000F6151"/>
    <w:rsid w:val="000F6320"/>
    <w:rsid w:val="000F63B2"/>
    <w:rsid w:val="000F6513"/>
    <w:rsid w:val="000F6ABB"/>
    <w:rsid w:val="000F6CDC"/>
    <w:rsid w:val="000F6D0F"/>
    <w:rsid w:val="000F6DAD"/>
    <w:rsid w:val="000F70E6"/>
    <w:rsid w:val="000F7181"/>
    <w:rsid w:val="000F7354"/>
    <w:rsid w:val="000F7553"/>
    <w:rsid w:val="000F7689"/>
    <w:rsid w:val="000F7779"/>
    <w:rsid w:val="000F78C3"/>
    <w:rsid w:val="000F7A07"/>
    <w:rsid w:val="000F7A69"/>
    <w:rsid w:val="000F7C27"/>
    <w:rsid w:val="000F7CB7"/>
    <w:rsid w:val="000F7DA5"/>
    <w:rsid w:val="000F7EB5"/>
    <w:rsid w:val="000F7FE2"/>
    <w:rsid w:val="00100007"/>
    <w:rsid w:val="00100063"/>
    <w:rsid w:val="001002A9"/>
    <w:rsid w:val="001006C6"/>
    <w:rsid w:val="00100C1D"/>
    <w:rsid w:val="00100D62"/>
    <w:rsid w:val="00100D85"/>
    <w:rsid w:val="00100F50"/>
    <w:rsid w:val="0010138D"/>
    <w:rsid w:val="0010150F"/>
    <w:rsid w:val="0010178F"/>
    <w:rsid w:val="001018A3"/>
    <w:rsid w:val="0010193C"/>
    <w:rsid w:val="00101ABE"/>
    <w:rsid w:val="00101EB5"/>
    <w:rsid w:val="00102202"/>
    <w:rsid w:val="00102290"/>
    <w:rsid w:val="00102508"/>
    <w:rsid w:val="00102700"/>
    <w:rsid w:val="00102A0B"/>
    <w:rsid w:val="00102A78"/>
    <w:rsid w:val="00103118"/>
    <w:rsid w:val="00103217"/>
    <w:rsid w:val="00103318"/>
    <w:rsid w:val="00103527"/>
    <w:rsid w:val="001036FE"/>
    <w:rsid w:val="00103F1B"/>
    <w:rsid w:val="001040F0"/>
    <w:rsid w:val="00104227"/>
    <w:rsid w:val="00104550"/>
    <w:rsid w:val="00104A74"/>
    <w:rsid w:val="00104FBE"/>
    <w:rsid w:val="00105370"/>
    <w:rsid w:val="001053D5"/>
    <w:rsid w:val="001055B2"/>
    <w:rsid w:val="00105629"/>
    <w:rsid w:val="00106419"/>
    <w:rsid w:val="00106479"/>
    <w:rsid w:val="001064B1"/>
    <w:rsid w:val="0010666B"/>
    <w:rsid w:val="001066A9"/>
    <w:rsid w:val="00106812"/>
    <w:rsid w:val="001069ED"/>
    <w:rsid w:val="00106AAB"/>
    <w:rsid w:val="00106D6E"/>
    <w:rsid w:val="00106EF1"/>
    <w:rsid w:val="00106FEB"/>
    <w:rsid w:val="001070BA"/>
    <w:rsid w:val="00107409"/>
    <w:rsid w:val="00107690"/>
    <w:rsid w:val="0010778C"/>
    <w:rsid w:val="00107AD7"/>
    <w:rsid w:val="00107C55"/>
    <w:rsid w:val="00107E7D"/>
    <w:rsid w:val="001100E3"/>
    <w:rsid w:val="00110188"/>
    <w:rsid w:val="001104A3"/>
    <w:rsid w:val="001107BF"/>
    <w:rsid w:val="00110E64"/>
    <w:rsid w:val="0011114C"/>
    <w:rsid w:val="00111337"/>
    <w:rsid w:val="0011138E"/>
    <w:rsid w:val="00111472"/>
    <w:rsid w:val="00112023"/>
    <w:rsid w:val="0011248F"/>
    <w:rsid w:val="00112581"/>
    <w:rsid w:val="00112937"/>
    <w:rsid w:val="00112FCF"/>
    <w:rsid w:val="0011302A"/>
    <w:rsid w:val="001133C3"/>
    <w:rsid w:val="00113649"/>
    <w:rsid w:val="00113D5C"/>
    <w:rsid w:val="00113E15"/>
    <w:rsid w:val="00114085"/>
    <w:rsid w:val="00114273"/>
    <w:rsid w:val="00114793"/>
    <w:rsid w:val="001148A3"/>
    <w:rsid w:val="00114EA7"/>
    <w:rsid w:val="00115333"/>
    <w:rsid w:val="0011545D"/>
    <w:rsid w:val="001155DA"/>
    <w:rsid w:val="00115809"/>
    <w:rsid w:val="00115948"/>
    <w:rsid w:val="001160A2"/>
    <w:rsid w:val="001165BA"/>
    <w:rsid w:val="001168DC"/>
    <w:rsid w:val="00116ABC"/>
    <w:rsid w:val="00116B03"/>
    <w:rsid w:val="001171BC"/>
    <w:rsid w:val="00117D31"/>
    <w:rsid w:val="001201ED"/>
    <w:rsid w:val="001202D0"/>
    <w:rsid w:val="0012050F"/>
    <w:rsid w:val="001209BA"/>
    <w:rsid w:val="00120AA6"/>
    <w:rsid w:val="00120AD7"/>
    <w:rsid w:val="001217D0"/>
    <w:rsid w:val="00121951"/>
    <w:rsid w:val="00121ABE"/>
    <w:rsid w:val="00121BBB"/>
    <w:rsid w:val="00121EC4"/>
    <w:rsid w:val="0012210C"/>
    <w:rsid w:val="0012240C"/>
    <w:rsid w:val="0012263E"/>
    <w:rsid w:val="0012339C"/>
    <w:rsid w:val="001234CE"/>
    <w:rsid w:val="00123798"/>
    <w:rsid w:val="001239DB"/>
    <w:rsid w:val="0012417C"/>
    <w:rsid w:val="0012490E"/>
    <w:rsid w:val="00124BF2"/>
    <w:rsid w:val="00124C46"/>
    <w:rsid w:val="00124E5C"/>
    <w:rsid w:val="00124FF5"/>
    <w:rsid w:val="0012500C"/>
    <w:rsid w:val="00125677"/>
    <w:rsid w:val="00125690"/>
    <w:rsid w:val="00125837"/>
    <w:rsid w:val="00125880"/>
    <w:rsid w:val="0012597F"/>
    <w:rsid w:val="00125B3F"/>
    <w:rsid w:val="00125B42"/>
    <w:rsid w:val="00125E9D"/>
    <w:rsid w:val="00125EAF"/>
    <w:rsid w:val="00125ECC"/>
    <w:rsid w:val="00126059"/>
    <w:rsid w:val="001260D8"/>
    <w:rsid w:val="0012645E"/>
    <w:rsid w:val="00126507"/>
    <w:rsid w:val="00126B19"/>
    <w:rsid w:val="00126D3A"/>
    <w:rsid w:val="00126F1E"/>
    <w:rsid w:val="001271A4"/>
    <w:rsid w:val="001272F9"/>
    <w:rsid w:val="0012733D"/>
    <w:rsid w:val="0012749D"/>
    <w:rsid w:val="00127590"/>
    <w:rsid w:val="00127A23"/>
    <w:rsid w:val="00127AB7"/>
    <w:rsid w:val="00130245"/>
    <w:rsid w:val="001306A5"/>
    <w:rsid w:val="00130918"/>
    <w:rsid w:val="00130E08"/>
    <w:rsid w:val="001311AE"/>
    <w:rsid w:val="00131222"/>
    <w:rsid w:val="0013155C"/>
    <w:rsid w:val="00131820"/>
    <w:rsid w:val="00131AE0"/>
    <w:rsid w:val="00132165"/>
    <w:rsid w:val="0013241B"/>
    <w:rsid w:val="001328CB"/>
    <w:rsid w:val="00132ADF"/>
    <w:rsid w:val="00133491"/>
    <w:rsid w:val="001338AA"/>
    <w:rsid w:val="00133F05"/>
    <w:rsid w:val="001343CA"/>
    <w:rsid w:val="001344B3"/>
    <w:rsid w:val="001345DD"/>
    <w:rsid w:val="0013477C"/>
    <w:rsid w:val="00134994"/>
    <w:rsid w:val="00134CF1"/>
    <w:rsid w:val="001356C4"/>
    <w:rsid w:val="00135726"/>
    <w:rsid w:val="001359D8"/>
    <w:rsid w:val="00135C74"/>
    <w:rsid w:val="00135FAB"/>
    <w:rsid w:val="001360AE"/>
    <w:rsid w:val="001366C2"/>
    <w:rsid w:val="00136866"/>
    <w:rsid w:val="00136906"/>
    <w:rsid w:val="00136C17"/>
    <w:rsid w:val="00136D83"/>
    <w:rsid w:val="00136F5A"/>
    <w:rsid w:val="0013753C"/>
    <w:rsid w:val="00137558"/>
    <w:rsid w:val="00137D3F"/>
    <w:rsid w:val="001401B6"/>
    <w:rsid w:val="00140323"/>
    <w:rsid w:val="001407B5"/>
    <w:rsid w:val="001408B3"/>
    <w:rsid w:val="00140B74"/>
    <w:rsid w:val="00140CFC"/>
    <w:rsid w:val="00140D94"/>
    <w:rsid w:val="00140DDC"/>
    <w:rsid w:val="00140DE1"/>
    <w:rsid w:val="00141205"/>
    <w:rsid w:val="001416CE"/>
    <w:rsid w:val="00141B11"/>
    <w:rsid w:val="00141EF9"/>
    <w:rsid w:val="0014210E"/>
    <w:rsid w:val="001422A3"/>
    <w:rsid w:val="001422E9"/>
    <w:rsid w:val="00142395"/>
    <w:rsid w:val="0014250D"/>
    <w:rsid w:val="00142604"/>
    <w:rsid w:val="0014268A"/>
    <w:rsid w:val="00142714"/>
    <w:rsid w:val="00142936"/>
    <w:rsid w:val="00142A9D"/>
    <w:rsid w:val="00142C65"/>
    <w:rsid w:val="00142DBE"/>
    <w:rsid w:val="0014311C"/>
    <w:rsid w:val="00143639"/>
    <w:rsid w:val="00143A24"/>
    <w:rsid w:val="0014400A"/>
    <w:rsid w:val="0014492B"/>
    <w:rsid w:val="00144B2C"/>
    <w:rsid w:val="00144B3A"/>
    <w:rsid w:val="00144CAC"/>
    <w:rsid w:val="00144CBB"/>
    <w:rsid w:val="00144D09"/>
    <w:rsid w:val="00144E06"/>
    <w:rsid w:val="001452D2"/>
    <w:rsid w:val="001452ED"/>
    <w:rsid w:val="001453F3"/>
    <w:rsid w:val="00145BEC"/>
    <w:rsid w:val="00145C89"/>
    <w:rsid w:val="00146129"/>
    <w:rsid w:val="001462E4"/>
    <w:rsid w:val="001463FD"/>
    <w:rsid w:val="001464FA"/>
    <w:rsid w:val="001469B0"/>
    <w:rsid w:val="00146AA2"/>
    <w:rsid w:val="00147277"/>
    <w:rsid w:val="00147498"/>
    <w:rsid w:val="00147797"/>
    <w:rsid w:val="00147D03"/>
    <w:rsid w:val="00147D84"/>
    <w:rsid w:val="00147E72"/>
    <w:rsid w:val="001501E6"/>
    <w:rsid w:val="0015028E"/>
    <w:rsid w:val="001508EB"/>
    <w:rsid w:val="001508F6"/>
    <w:rsid w:val="00150922"/>
    <w:rsid w:val="00150E4C"/>
    <w:rsid w:val="00150E89"/>
    <w:rsid w:val="00151228"/>
    <w:rsid w:val="001512B6"/>
    <w:rsid w:val="00151525"/>
    <w:rsid w:val="00151584"/>
    <w:rsid w:val="00151915"/>
    <w:rsid w:val="00151CBD"/>
    <w:rsid w:val="00152107"/>
    <w:rsid w:val="0015265A"/>
    <w:rsid w:val="00152C77"/>
    <w:rsid w:val="00152CCB"/>
    <w:rsid w:val="00153009"/>
    <w:rsid w:val="001530E2"/>
    <w:rsid w:val="001533C3"/>
    <w:rsid w:val="00153575"/>
    <w:rsid w:val="00153A11"/>
    <w:rsid w:val="00153E2F"/>
    <w:rsid w:val="001549C1"/>
    <w:rsid w:val="00154D2C"/>
    <w:rsid w:val="00155203"/>
    <w:rsid w:val="00155992"/>
    <w:rsid w:val="001563FA"/>
    <w:rsid w:val="00156A94"/>
    <w:rsid w:val="00156B36"/>
    <w:rsid w:val="00156BE6"/>
    <w:rsid w:val="00156C50"/>
    <w:rsid w:val="00156C75"/>
    <w:rsid w:val="00156C8D"/>
    <w:rsid w:val="00156D09"/>
    <w:rsid w:val="0015765B"/>
    <w:rsid w:val="0015785D"/>
    <w:rsid w:val="00157B0D"/>
    <w:rsid w:val="0016090D"/>
    <w:rsid w:val="00160969"/>
    <w:rsid w:val="00160F4D"/>
    <w:rsid w:val="0016104F"/>
    <w:rsid w:val="001611E0"/>
    <w:rsid w:val="0016150C"/>
    <w:rsid w:val="00161611"/>
    <w:rsid w:val="00161A7A"/>
    <w:rsid w:val="00161DAC"/>
    <w:rsid w:val="0016236E"/>
    <w:rsid w:val="0016261A"/>
    <w:rsid w:val="00162697"/>
    <w:rsid w:val="001629C6"/>
    <w:rsid w:val="00162BB1"/>
    <w:rsid w:val="00162BDD"/>
    <w:rsid w:val="00162D4E"/>
    <w:rsid w:val="001631A7"/>
    <w:rsid w:val="00163329"/>
    <w:rsid w:val="001633DF"/>
    <w:rsid w:val="0016347A"/>
    <w:rsid w:val="00163A58"/>
    <w:rsid w:val="00163B2F"/>
    <w:rsid w:val="00163C0B"/>
    <w:rsid w:val="00163F3A"/>
    <w:rsid w:val="00164623"/>
    <w:rsid w:val="00164760"/>
    <w:rsid w:val="00164896"/>
    <w:rsid w:val="00164983"/>
    <w:rsid w:val="00164B1C"/>
    <w:rsid w:val="00164D65"/>
    <w:rsid w:val="001652AB"/>
    <w:rsid w:val="001652DE"/>
    <w:rsid w:val="001653DB"/>
    <w:rsid w:val="001653EC"/>
    <w:rsid w:val="00165B64"/>
    <w:rsid w:val="00165C33"/>
    <w:rsid w:val="00165CBE"/>
    <w:rsid w:val="001661F3"/>
    <w:rsid w:val="00166502"/>
    <w:rsid w:val="00166840"/>
    <w:rsid w:val="00166B36"/>
    <w:rsid w:val="0016764C"/>
    <w:rsid w:val="00167C39"/>
    <w:rsid w:val="00167D21"/>
    <w:rsid w:val="0017011D"/>
    <w:rsid w:val="00170B88"/>
    <w:rsid w:val="00170C4D"/>
    <w:rsid w:val="00170FBA"/>
    <w:rsid w:val="001711A3"/>
    <w:rsid w:val="001712F8"/>
    <w:rsid w:val="001714A8"/>
    <w:rsid w:val="00171ACE"/>
    <w:rsid w:val="00171DBF"/>
    <w:rsid w:val="0017200B"/>
    <w:rsid w:val="001722F5"/>
    <w:rsid w:val="001726F4"/>
    <w:rsid w:val="00172723"/>
    <w:rsid w:val="0017285F"/>
    <w:rsid w:val="00172A51"/>
    <w:rsid w:val="00172AD1"/>
    <w:rsid w:val="00172B06"/>
    <w:rsid w:val="00172D5A"/>
    <w:rsid w:val="00173040"/>
    <w:rsid w:val="00173531"/>
    <w:rsid w:val="00173594"/>
    <w:rsid w:val="0017372D"/>
    <w:rsid w:val="001738B1"/>
    <w:rsid w:val="00173B35"/>
    <w:rsid w:val="00173CD0"/>
    <w:rsid w:val="00173D9B"/>
    <w:rsid w:val="00173EF1"/>
    <w:rsid w:val="001744D2"/>
    <w:rsid w:val="001745D6"/>
    <w:rsid w:val="00174A77"/>
    <w:rsid w:val="00174CCC"/>
    <w:rsid w:val="00174EB8"/>
    <w:rsid w:val="001751E0"/>
    <w:rsid w:val="00175200"/>
    <w:rsid w:val="001756CB"/>
    <w:rsid w:val="001758EE"/>
    <w:rsid w:val="00175930"/>
    <w:rsid w:val="00175C09"/>
    <w:rsid w:val="00175DBA"/>
    <w:rsid w:val="001765F1"/>
    <w:rsid w:val="00176B9D"/>
    <w:rsid w:val="00176E62"/>
    <w:rsid w:val="00177197"/>
    <w:rsid w:val="00177278"/>
    <w:rsid w:val="001779E6"/>
    <w:rsid w:val="00177EB6"/>
    <w:rsid w:val="00177F29"/>
    <w:rsid w:val="001806CA"/>
    <w:rsid w:val="00180713"/>
    <w:rsid w:val="00180720"/>
    <w:rsid w:val="001809CB"/>
    <w:rsid w:val="00181903"/>
    <w:rsid w:val="001829A1"/>
    <w:rsid w:val="00182C38"/>
    <w:rsid w:val="00182C96"/>
    <w:rsid w:val="00182CC8"/>
    <w:rsid w:val="001830CE"/>
    <w:rsid w:val="0018361A"/>
    <w:rsid w:val="001836E3"/>
    <w:rsid w:val="00183956"/>
    <w:rsid w:val="00183AF3"/>
    <w:rsid w:val="00184056"/>
    <w:rsid w:val="001844D9"/>
    <w:rsid w:val="00184659"/>
    <w:rsid w:val="00184AD9"/>
    <w:rsid w:val="001853D0"/>
    <w:rsid w:val="001857EE"/>
    <w:rsid w:val="00185DF9"/>
    <w:rsid w:val="00185FF3"/>
    <w:rsid w:val="0018602F"/>
    <w:rsid w:val="001860E5"/>
    <w:rsid w:val="0018643B"/>
    <w:rsid w:val="00186916"/>
    <w:rsid w:val="00186CE9"/>
    <w:rsid w:val="00186F09"/>
    <w:rsid w:val="00187259"/>
    <w:rsid w:val="0018736E"/>
    <w:rsid w:val="00187BA2"/>
    <w:rsid w:val="00190115"/>
    <w:rsid w:val="001902DA"/>
    <w:rsid w:val="001902F7"/>
    <w:rsid w:val="00190CB7"/>
    <w:rsid w:val="0019103C"/>
    <w:rsid w:val="0019160E"/>
    <w:rsid w:val="00191696"/>
    <w:rsid w:val="0019181B"/>
    <w:rsid w:val="00191835"/>
    <w:rsid w:val="00191955"/>
    <w:rsid w:val="00191FC7"/>
    <w:rsid w:val="001927D0"/>
    <w:rsid w:val="001929B8"/>
    <w:rsid w:val="00192A92"/>
    <w:rsid w:val="00192AA3"/>
    <w:rsid w:val="00192CB1"/>
    <w:rsid w:val="001934F9"/>
    <w:rsid w:val="0019360D"/>
    <w:rsid w:val="001938E9"/>
    <w:rsid w:val="001938FC"/>
    <w:rsid w:val="001939F7"/>
    <w:rsid w:val="00193E3B"/>
    <w:rsid w:val="00193FBA"/>
    <w:rsid w:val="00194436"/>
    <w:rsid w:val="00194A2F"/>
    <w:rsid w:val="00194BDF"/>
    <w:rsid w:val="00194DD2"/>
    <w:rsid w:val="0019502A"/>
    <w:rsid w:val="001951AB"/>
    <w:rsid w:val="001951F7"/>
    <w:rsid w:val="00195330"/>
    <w:rsid w:val="00195368"/>
    <w:rsid w:val="001954A8"/>
    <w:rsid w:val="001956B7"/>
    <w:rsid w:val="00195C94"/>
    <w:rsid w:val="001960B5"/>
    <w:rsid w:val="00196307"/>
    <w:rsid w:val="0019676E"/>
    <w:rsid w:val="001967A0"/>
    <w:rsid w:val="00196848"/>
    <w:rsid w:val="00196A64"/>
    <w:rsid w:val="00196DF5"/>
    <w:rsid w:val="00197BDA"/>
    <w:rsid w:val="00197C70"/>
    <w:rsid w:val="00197C72"/>
    <w:rsid w:val="00197F03"/>
    <w:rsid w:val="001A001B"/>
    <w:rsid w:val="001A0224"/>
    <w:rsid w:val="001A0A0B"/>
    <w:rsid w:val="001A0D10"/>
    <w:rsid w:val="001A1178"/>
    <w:rsid w:val="001A1ABF"/>
    <w:rsid w:val="001A1C79"/>
    <w:rsid w:val="001A2111"/>
    <w:rsid w:val="001A2455"/>
    <w:rsid w:val="001A2A1F"/>
    <w:rsid w:val="001A2B7C"/>
    <w:rsid w:val="001A2D6F"/>
    <w:rsid w:val="001A2DA2"/>
    <w:rsid w:val="001A2E91"/>
    <w:rsid w:val="001A30CA"/>
    <w:rsid w:val="001A3263"/>
    <w:rsid w:val="001A33EA"/>
    <w:rsid w:val="001A3456"/>
    <w:rsid w:val="001A3529"/>
    <w:rsid w:val="001A3615"/>
    <w:rsid w:val="001A3753"/>
    <w:rsid w:val="001A38D9"/>
    <w:rsid w:val="001A3A05"/>
    <w:rsid w:val="001A3C2F"/>
    <w:rsid w:val="001A3F66"/>
    <w:rsid w:val="001A40D1"/>
    <w:rsid w:val="001A4350"/>
    <w:rsid w:val="001A4413"/>
    <w:rsid w:val="001A4624"/>
    <w:rsid w:val="001A4AB2"/>
    <w:rsid w:val="001A4C4F"/>
    <w:rsid w:val="001A5423"/>
    <w:rsid w:val="001A5A2B"/>
    <w:rsid w:val="001A5C60"/>
    <w:rsid w:val="001A5D7A"/>
    <w:rsid w:val="001A5E34"/>
    <w:rsid w:val="001A5E99"/>
    <w:rsid w:val="001A6800"/>
    <w:rsid w:val="001A68F1"/>
    <w:rsid w:val="001A69A3"/>
    <w:rsid w:val="001A6A67"/>
    <w:rsid w:val="001A713B"/>
    <w:rsid w:val="001A7372"/>
    <w:rsid w:val="001A74E2"/>
    <w:rsid w:val="001A759E"/>
    <w:rsid w:val="001A76FB"/>
    <w:rsid w:val="001A7776"/>
    <w:rsid w:val="001A77DA"/>
    <w:rsid w:val="001A7BAB"/>
    <w:rsid w:val="001A7CF9"/>
    <w:rsid w:val="001B017F"/>
    <w:rsid w:val="001B059E"/>
    <w:rsid w:val="001B0771"/>
    <w:rsid w:val="001B0B79"/>
    <w:rsid w:val="001B0BB5"/>
    <w:rsid w:val="001B0D81"/>
    <w:rsid w:val="001B0EE4"/>
    <w:rsid w:val="001B1585"/>
    <w:rsid w:val="001B1751"/>
    <w:rsid w:val="001B19EA"/>
    <w:rsid w:val="001B1AD9"/>
    <w:rsid w:val="001B1C7A"/>
    <w:rsid w:val="001B1DC8"/>
    <w:rsid w:val="001B21CF"/>
    <w:rsid w:val="001B2279"/>
    <w:rsid w:val="001B25FF"/>
    <w:rsid w:val="001B29DD"/>
    <w:rsid w:val="001B2BBC"/>
    <w:rsid w:val="001B2BCD"/>
    <w:rsid w:val="001B2DED"/>
    <w:rsid w:val="001B34BA"/>
    <w:rsid w:val="001B3A40"/>
    <w:rsid w:val="001B3FFE"/>
    <w:rsid w:val="001B4065"/>
    <w:rsid w:val="001B42D8"/>
    <w:rsid w:val="001B4484"/>
    <w:rsid w:val="001B4AD7"/>
    <w:rsid w:val="001B4D6A"/>
    <w:rsid w:val="001B5129"/>
    <w:rsid w:val="001B5E8D"/>
    <w:rsid w:val="001B5FEF"/>
    <w:rsid w:val="001B62E1"/>
    <w:rsid w:val="001B643B"/>
    <w:rsid w:val="001B66E7"/>
    <w:rsid w:val="001B679E"/>
    <w:rsid w:val="001B6F6C"/>
    <w:rsid w:val="001B6F75"/>
    <w:rsid w:val="001B7850"/>
    <w:rsid w:val="001B7873"/>
    <w:rsid w:val="001B7B80"/>
    <w:rsid w:val="001B7D8F"/>
    <w:rsid w:val="001B7F5D"/>
    <w:rsid w:val="001B7F67"/>
    <w:rsid w:val="001B7F88"/>
    <w:rsid w:val="001B7FED"/>
    <w:rsid w:val="001C01E3"/>
    <w:rsid w:val="001C08D6"/>
    <w:rsid w:val="001C0B4C"/>
    <w:rsid w:val="001C0EC4"/>
    <w:rsid w:val="001C1195"/>
    <w:rsid w:val="001C12AE"/>
    <w:rsid w:val="001C12E2"/>
    <w:rsid w:val="001C16B4"/>
    <w:rsid w:val="001C16DF"/>
    <w:rsid w:val="001C18E8"/>
    <w:rsid w:val="001C1B41"/>
    <w:rsid w:val="001C1B7F"/>
    <w:rsid w:val="001C1DC1"/>
    <w:rsid w:val="001C1E84"/>
    <w:rsid w:val="001C1EF0"/>
    <w:rsid w:val="001C20E1"/>
    <w:rsid w:val="001C2388"/>
    <w:rsid w:val="001C240E"/>
    <w:rsid w:val="001C2518"/>
    <w:rsid w:val="001C2A0F"/>
    <w:rsid w:val="001C2D25"/>
    <w:rsid w:val="001C2E42"/>
    <w:rsid w:val="001C2F57"/>
    <w:rsid w:val="001C30B1"/>
    <w:rsid w:val="001C36D1"/>
    <w:rsid w:val="001C374F"/>
    <w:rsid w:val="001C3B37"/>
    <w:rsid w:val="001C43C6"/>
    <w:rsid w:val="001C4572"/>
    <w:rsid w:val="001C4C6A"/>
    <w:rsid w:val="001C4E4D"/>
    <w:rsid w:val="001C5863"/>
    <w:rsid w:val="001C5A36"/>
    <w:rsid w:val="001C5B07"/>
    <w:rsid w:val="001C5CCC"/>
    <w:rsid w:val="001C5EC4"/>
    <w:rsid w:val="001C63E5"/>
    <w:rsid w:val="001C6673"/>
    <w:rsid w:val="001C7244"/>
    <w:rsid w:val="001C736B"/>
    <w:rsid w:val="001C74D4"/>
    <w:rsid w:val="001C77EE"/>
    <w:rsid w:val="001C7BE2"/>
    <w:rsid w:val="001D027E"/>
    <w:rsid w:val="001D0571"/>
    <w:rsid w:val="001D067E"/>
    <w:rsid w:val="001D0989"/>
    <w:rsid w:val="001D0B55"/>
    <w:rsid w:val="001D0C47"/>
    <w:rsid w:val="001D149F"/>
    <w:rsid w:val="001D17F8"/>
    <w:rsid w:val="001D186F"/>
    <w:rsid w:val="001D192F"/>
    <w:rsid w:val="001D1BDA"/>
    <w:rsid w:val="001D1CBF"/>
    <w:rsid w:val="001D1F37"/>
    <w:rsid w:val="001D1F5F"/>
    <w:rsid w:val="001D21AA"/>
    <w:rsid w:val="001D2D29"/>
    <w:rsid w:val="001D2E1A"/>
    <w:rsid w:val="001D30EE"/>
    <w:rsid w:val="001D3164"/>
    <w:rsid w:val="001D33E0"/>
    <w:rsid w:val="001D3928"/>
    <w:rsid w:val="001D3F18"/>
    <w:rsid w:val="001D3F55"/>
    <w:rsid w:val="001D47EA"/>
    <w:rsid w:val="001D4BAB"/>
    <w:rsid w:val="001D4C93"/>
    <w:rsid w:val="001D4F04"/>
    <w:rsid w:val="001D50BA"/>
    <w:rsid w:val="001D557D"/>
    <w:rsid w:val="001D5776"/>
    <w:rsid w:val="001D595B"/>
    <w:rsid w:val="001D5F61"/>
    <w:rsid w:val="001D62BC"/>
    <w:rsid w:val="001D63BF"/>
    <w:rsid w:val="001D66A8"/>
    <w:rsid w:val="001D6A77"/>
    <w:rsid w:val="001D70CD"/>
    <w:rsid w:val="001D755D"/>
    <w:rsid w:val="001D7661"/>
    <w:rsid w:val="001D7817"/>
    <w:rsid w:val="001D7CE9"/>
    <w:rsid w:val="001E06D2"/>
    <w:rsid w:val="001E079F"/>
    <w:rsid w:val="001E0914"/>
    <w:rsid w:val="001E0A53"/>
    <w:rsid w:val="001E14EE"/>
    <w:rsid w:val="001E1699"/>
    <w:rsid w:val="001E17C4"/>
    <w:rsid w:val="001E1845"/>
    <w:rsid w:val="001E19C4"/>
    <w:rsid w:val="001E290B"/>
    <w:rsid w:val="001E2A47"/>
    <w:rsid w:val="001E2C6B"/>
    <w:rsid w:val="001E2D65"/>
    <w:rsid w:val="001E3130"/>
    <w:rsid w:val="001E34C0"/>
    <w:rsid w:val="001E3578"/>
    <w:rsid w:val="001E3604"/>
    <w:rsid w:val="001E3630"/>
    <w:rsid w:val="001E3B9F"/>
    <w:rsid w:val="001E4048"/>
    <w:rsid w:val="001E41CA"/>
    <w:rsid w:val="001E4A32"/>
    <w:rsid w:val="001E4C8B"/>
    <w:rsid w:val="001E4CDC"/>
    <w:rsid w:val="001E4EDD"/>
    <w:rsid w:val="001E50DC"/>
    <w:rsid w:val="001E5195"/>
    <w:rsid w:val="001E52CC"/>
    <w:rsid w:val="001E53F6"/>
    <w:rsid w:val="001E5F04"/>
    <w:rsid w:val="001E5FDB"/>
    <w:rsid w:val="001E6F89"/>
    <w:rsid w:val="001E70FA"/>
    <w:rsid w:val="001E71D8"/>
    <w:rsid w:val="001E7ADB"/>
    <w:rsid w:val="001F005B"/>
    <w:rsid w:val="001F0266"/>
    <w:rsid w:val="001F0420"/>
    <w:rsid w:val="001F0B14"/>
    <w:rsid w:val="001F0CC7"/>
    <w:rsid w:val="001F1105"/>
    <w:rsid w:val="001F14B2"/>
    <w:rsid w:val="001F14BE"/>
    <w:rsid w:val="001F1850"/>
    <w:rsid w:val="001F1E90"/>
    <w:rsid w:val="001F1FBF"/>
    <w:rsid w:val="001F2311"/>
    <w:rsid w:val="001F25A3"/>
    <w:rsid w:val="001F28A5"/>
    <w:rsid w:val="001F2B80"/>
    <w:rsid w:val="001F2F1C"/>
    <w:rsid w:val="001F30C3"/>
    <w:rsid w:val="001F3142"/>
    <w:rsid w:val="001F3189"/>
    <w:rsid w:val="001F369C"/>
    <w:rsid w:val="001F3BFA"/>
    <w:rsid w:val="001F3E81"/>
    <w:rsid w:val="001F3EA0"/>
    <w:rsid w:val="001F4035"/>
    <w:rsid w:val="001F4179"/>
    <w:rsid w:val="001F45E2"/>
    <w:rsid w:val="001F4755"/>
    <w:rsid w:val="001F47FF"/>
    <w:rsid w:val="001F49F3"/>
    <w:rsid w:val="001F4FAC"/>
    <w:rsid w:val="001F5302"/>
    <w:rsid w:val="001F555A"/>
    <w:rsid w:val="001F575C"/>
    <w:rsid w:val="001F5E38"/>
    <w:rsid w:val="001F5F7B"/>
    <w:rsid w:val="001F5F92"/>
    <w:rsid w:val="001F6251"/>
    <w:rsid w:val="001F6465"/>
    <w:rsid w:val="001F65E5"/>
    <w:rsid w:val="001F6719"/>
    <w:rsid w:val="001F6AA5"/>
    <w:rsid w:val="001F6B88"/>
    <w:rsid w:val="001F6D13"/>
    <w:rsid w:val="001F72D7"/>
    <w:rsid w:val="001F754B"/>
    <w:rsid w:val="001F7EE5"/>
    <w:rsid w:val="0020034E"/>
    <w:rsid w:val="002007BC"/>
    <w:rsid w:val="00200BEA"/>
    <w:rsid w:val="0020133E"/>
    <w:rsid w:val="00201456"/>
    <w:rsid w:val="00201CEE"/>
    <w:rsid w:val="00201D8E"/>
    <w:rsid w:val="00201FB8"/>
    <w:rsid w:val="00202C79"/>
    <w:rsid w:val="00202D93"/>
    <w:rsid w:val="00202E01"/>
    <w:rsid w:val="00202FCD"/>
    <w:rsid w:val="0020301E"/>
    <w:rsid w:val="00203230"/>
    <w:rsid w:val="00203612"/>
    <w:rsid w:val="0020376C"/>
    <w:rsid w:val="00203CDA"/>
    <w:rsid w:val="00203FAC"/>
    <w:rsid w:val="0020401A"/>
    <w:rsid w:val="00204A23"/>
    <w:rsid w:val="00204E0F"/>
    <w:rsid w:val="00205617"/>
    <w:rsid w:val="002059C3"/>
    <w:rsid w:val="00205BF9"/>
    <w:rsid w:val="002065CC"/>
    <w:rsid w:val="00206AA1"/>
    <w:rsid w:val="00206C3E"/>
    <w:rsid w:val="00207444"/>
    <w:rsid w:val="00207C49"/>
    <w:rsid w:val="00207C95"/>
    <w:rsid w:val="00210A24"/>
    <w:rsid w:val="00210D56"/>
    <w:rsid w:val="00211755"/>
    <w:rsid w:val="00211BED"/>
    <w:rsid w:val="00211EE2"/>
    <w:rsid w:val="00211F64"/>
    <w:rsid w:val="002126A9"/>
    <w:rsid w:val="00212A2B"/>
    <w:rsid w:val="00212AB9"/>
    <w:rsid w:val="00212E52"/>
    <w:rsid w:val="0021326B"/>
    <w:rsid w:val="00213297"/>
    <w:rsid w:val="002133FB"/>
    <w:rsid w:val="00213553"/>
    <w:rsid w:val="002135D4"/>
    <w:rsid w:val="0021391F"/>
    <w:rsid w:val="00213CFB"/>
    <w:rsid w:val="00213FA2"/>
    <w:rsid w:val="00214347"/>
    <w:rsid w:val="00214630"/>
    <w:rsid w:val="00214AF2"/>
    <w:rsid w:val="00214BC6"/>
    <w:rsid w:val="0021553C"/>
    <w:rsid w:val="0021557B"/>
    <w:rsid w:val="002155EC"/>
    <w:rsid w:val="00215AB4"/>
    <w:rsid w:val="00215DE2"/>
    <w:rsid w:val="00215E08"/>
    <w:rsid w:val="00215EFA"/>
    <w:rsid w:val="00216544"/>
    <w:rsid w:val="00216676"/>
    <w:rsid w:val="002166FB"/>
    <w:rsid w:val="00216B87"/>
    <w:rsid w:val="00216DC8"/>
    <w:rsid w:val="00216EE3"/>
    <w:rsid w:val="00216F02"/>
    <w:rsid w:val="002174F0"/>
    <w:rsid w:val="002174FD"/>
    <w:rsid w:val="00217629"/>
    <w:rsid w:val="002177EA"/>
    <w:rsid w:val="00217BE1"/>
    <w:rsid w:val="00217CA2"/>
    <w:rsid w:val="00217CF9"/>
    <w:rsid w:val="00217EFF"/>
    <w:rsid w:val="002200CE"/>
    <w:rsid w:val="002201D1"/>
    <w:rsid w:val="002204FB"/>
    <w:rsid w:val="002206D5"/>
    <w:rsid w:val="002207FA"/>
    <w:rsid w:val="00220A9C"/>
    <w:rsid w:val="00220B73"/>
    <w:rsid w:val="00220D9B"/>
    <w:rsid w:val="00220E42"/>
    <w:rsid w:val="00221361"/>
    <w:rsid w:val="002213A5"/>
    <w:rsid w:val="002214B9"/>
    <w:rsid w:val="00221700"/>
    <w:rsid w:val="002217B5"/>
    <w:rsid w:val="00221840"/>
    <w:rsid w:val="00221A73"/>
    <w:rsid w:val="00221F0A"/>
    <w:rsid w:val="00222680"/>
    <w:rsid w:val="00223353"/>
    <w:rsid w:val="00223370"/>
    <w:rsid w:val="002237F0"/>
    <w:rsid w:val="0022391B"/>
    <w:rsid w:val="0022393E"/>
    <w:rsid w:val="002243B9"/>
    <w:rsid w:val="0022461D"/>
    <w:rsid w:val="002249AC"/>
    <w:rsid w:val="00224B51"/>
    <w:rsid w:val="00224BF1"/>
    <w:rsid w:val="00224C34"/>
    <w:rsid w:val="00224C62"/>
    <w:rsid w:val="00224D1E"/>
    <w:rsid w:val="00225909"/>
    <w:rsid w:val="00225A25"/>
    <w:rsid w:val="00225DF8"/>
    <w:rsid w:val="00226611"/>
    <w:rsid w:val="00226A09"/>
    <w:rsid w:val="00226B63"/>
    <w:rsid w:val="00226E07"/>
    <w:rsid w:val="0022705D"/>
    <w:rsid w:val="0022723D"/>
    <w:rsid w:val="00227819"/>
    <w:rsid w:val="00227954"/>
    <w:rsid w:val="00227BC5"/>
    <w:rsid w:val="00227D31"/>
    <w:rsid w:val="00227DE2"/>
    <w:rsid w:val="00230397"/>
    <w:rsid w:val="0023092C"/>
    <w:rsid w:val="00230BBD"/>
    <w:rsid w:val="00230F63"/>
    <w:rsid w:val="00230F77"/>
    <w:rsid w:val="00231390"/>
    <w:rsid w:val="0023143D"/>
    <w:rsid w:val="00231C8D"/>
    <w:rsid w:val="00232DEF"/>
    <w:rsid w:val="00232E48"/>
    <w:rsid w:val="0023354A"/>
    <w:rsid w:val="002336B8"/>
    <w:rsid w:val="002337D5"/>
    <w:rsid w:val="00233BB0"/>
    <w:rsid w:val="00233E90"/>
    <w:rsid w:val="00234252"/>
    <w:rsid w:val="002343A1"/>
    <w:rsid w:val="00234408"/>
    <w:rsid w:val="0023466E"/>
    <w:rsid w:val="00234768"/>
    <w:rsid w:val="00235369"/>
    <w:rsid w:val="00235A20"/>
    <w:rsid w:val="00235A33"/>
    <w:rsid w:val="00235ABD"/>
    <w:rsid w:val="00235D60"/>
    <w:rsid w:val="00235F58"/>
    <w:rsid w:val="002362FD"/>
    <w:rsid w:val="0023631C"/>
    <w:rsid w:val="00236945"/>
    <w:rsid w:val="0023736C"/>
    <w:rsid w:val="002373CE"/>
    <w:rsid w:val="00237AC6"/>
    <w:rsid w:val="00237BBC"/>
    <w:rsid w:val="00237C97"/>
    <w:rsid w:val="00237D5F"/>
    <w:rsid w:val="002408CF"/>
    <w:rsid w:val="002408F1"/>
    <w:rsid w:val="00240BB6"/>
    <w:rsid w:val="00240E7E"/>
    <w:rsid w:val="00241897"/>
    <w:rsid w:val="00241CB3"/>
    <w:rsid w:val="00242B64"/>
    <w:rsid w:val="00242BFD"/>
    <w:rsid w:val="00242DCB"/>
    <w:rsid w:val="002433B6"/>
    <w:rsid w:val="002434CF"/>
    <w:rsid w:val="002436F0"/>
    <w:rsid w:val="0024385D"/>
    <w:rsid w:val="00243C5E"/>
    <w:rsid w:val="00243FE3"/>
    <w:rsid w:val="00244139"/>
    <w:rsid w:val="002441E6"/>
    <w:rsid w:val="00244490"/>
    <w:rsid w:val="00244BEC"/>
    <w:rsid w:val="00244E65"/>
    <w:rsid w:val="00244FCF"/>
    <w:rsid w:val="0024502A"/>
    <w:rsid w:val="00245444"/>
    <w:rsid w:val="0024565A"/>
    <w:rsid w:val="00245A8C"/>
    <w:rsid w:val="00245B9C"/>
    <w:rsid w:val="00245F3E"/>
    <w:rsid w:val="00246091"/>
    <w:rsid w:val="0024624D"/>
    <w:rsid w:val="00246B25"/>
    <w:rsid w:val="00246BCC"/>
    <w:rsid w:val="00246E6B"/>
    <w:rsid w:val="00246E81"/>
    <w:rsid w:val="00247354"/>
    <w:rsid w:val="00247582"/>
    <w:rsid w:val="00247D77"/>
    <w:rsid w:val="00250874"/>
    <w:rsid w:val="00250B27"/>
    <w:rsid w:val="00250B5E"/>
    <w:rsid w:val="002512AC"/>
    <w:rsid w:val="002516B3"/>
    <w:rsid w:val="00251A14"/>
    <w:rsid w:val="00251B85"/>
    <w:rsid w:val="00252587"/>
    <w:rsid w:val="00252D70"/>
    <w:rsid w:val="002532AC"/>
    <w:rsid w:val="00253499"/>
    <w:rsid w:val="00253A81"/>
    <w:rsid w:val="00253C2B"/>
    <w:rsid w:val="0025408A"/>
    <w:rsid w:val="00254207"/>
    <w:rsid w:val="0025440F"/>
    <w:rsid w:val="00254FCB"/>
    <w:rsid w:val="002551A4"/>
    <w:rsid w:val="00256177"/>
    <w:rsid w:val="0025656E"/>
    <w:rsid w:val="002565B7"/>
    <w:rsid w:val="0025716E"/>
    <w:rsid w:val="0025734B"/>
    <w:rsid w:val="00257664"/>
    <w:rsid w:val="00257D6F"/>
    <w:rsid w:val="0026009B"/>
    <w:rsid w:val="00260147"/>
    <w:rsid w:val="00260165"/>
    <w:rsid w:val="00260C7E"/>
    <w:rsid w:val="00260F51"/>
    <w:rsid w:val="00261229"/>
    <w:rsid w:val="002617FC"/>
    <w:rsid w:val="00261DFB"/>
    <w:rsid w:val="00261F84"/>
    <w:rsid w:val="00261FEF"/>
    <w:rsid w:val="002620DC"/>
    <w:rsid w:val="002628C6"/>
    <w:rsid w:val="00262D42"/>
    <w:rsid w:val="00263C09"/>
    <w:rsid w:val="00263EAA"/>
    <w:rsid w:val="00264089"/>
    <w:rsid w:val="00264124"/>
    <w:rsid w:val="002642EC"/>
    <w:rsid w:val="00264312"/>
    <w:rsid w:val="002644A2"/>
    <w:rsid w:val="00264AB3"/>
    <w:rsid w:val="00264F57"/>
    <w:rsid w:val="00265151"/>
    <w:rsid w:val="00265670"/>
    <w:rsid w:val="00265C2C"/>
    <w:rsid w:val="00266509"/>
    <w:rsid w:val="0026682B"/>
    <w:rsid w:val="002668B3"/>
    <w:rsid w:val="00266902"/>
    <w:rsid w:val="00266F81"/>
    <w:rsid w:val="00267098"/>
    <w:rsid w:val="002672BC"/>
    <w:rsid w:val="002676C1"/>
    <w:rsid w:val="002677C7"/>
    <w:rsid w:val="00267C95"/>
    <w:rsid w:val="00267EED"/>
    <w:rsid w:val="002704CE"/>
    <w:rsid w:val="002706B0"/>
    <w:rsid w:val="00270798"/>
    <w:rsid w:val="00270969"/>
    <w:rsid w:val="00270AB7"/>
    <w:rsid w:val="00270C64"/>
    <w:rsid w:val="00270E64"/>
    <w:rsid w:val="00270F4E"/>
    <w:rsid w:val="00270F86"/>
    <w:rsid w:val="0027157F"/>
    <w:rsid w:val="002715ED"/>
    <w:rsid w:val="00271759"/>
    <w:rsid w:val="002717E2"/>
    <w:rsid w:val="00271A57"/>
    <w:rsid w:val="00271B91"/>
    <w:rsid w:val="00271BA1"/>
    <w:rsid w:val="00271CE2"/>
    <w:rsid w:val="00271E5D"/>
    <w:rsid w:val="0027214D"/>
    <w:rsid w:val="00272243"/>
    <w:rsid w:val="0027239B"/>
    <w:rsid w:val="00272728"/>
    <w:rsid w:val="0027280D"/>
    <w:rsid w:val="00272937"/>
    <w:rsid w:val="00272BEA"/>
    <w:rsid w:val="00272DE5"/>
    <w:rsid w:val="00272F5F"/>
    <w:rsid w:val="00273475"/>
    <w:rsid w:val="002737D1"/>
    <w:rsid w:val="0027387B"/>
    <w:rsid w:val="002738DC"/>
    <w:rsid w:val="00273AC5"/>
    <w:rsid w:val="00273E0C"/>
    <w:rsid w:val="00274051"/>
    <w:rsid w:val="002740A1"/>
    <w:rsid w:val="002745D9"/>
    <w:rsid w:val="00274B5D"/>
    <w:rsid w:val="002756F4"/>
    <w:rsid w:val="002762FA"/>
    <w:rsid w:val="002767F6"/>
    <w:rsid w:val="00276BE3"/>
    <w:rsid w:val="00276E25"/>
    <w:rsid w:val="00277505"/>
    <w:rsid w:val="00277678"/>
    <w:rsid w:val="0027768F"/>
    <w:rsid w:val="00277873"/>
    <w:rsid w:val="002778F0"/>
    <w:rsid w:val="002779BD"/>
    <w:rsid w:val="00277A3E"/>
    <w:rsid w:val="00277BA0"/>
    <w:rsid w:val="00277C87"/>
    <w:rsid w:val="00277C96"/>
    <w:rsid w:val="00280251"/>
    <w:rsid w:val="0028035F"/>
    <w:rsid w:val="00280386"/>
    <w:rsid w:val="00280538"/>
    <w:rsid w:val="002805EC"/>
    <w:rsid w:val="002807B3"/>
    <w:rsid w:val="0028096E"/>
    <w:rsid w:val="00280B1B"/>
    <w:rsid w:val="00281111"/>
    <w:rsid w:val="00281267"/>
    <w:rsid w:val="0028138C"/>
    <w:rsid w:val="00281423"/>
    <w:rsid w:val="0028149D"/>
    <w:rsid w:val="0028158C"/>
    <w:rsid w:val="00281944"/>
    <w:rsid w:val="0028198E"/>
    <w:rsid w:val="00282284"/>
    <w:rsid w:val="002823B6"/>
    <w:rsid w:val="0028257E"/>
    <w:rsid w:val="0028264B"/>
    <w:rsid w:val="002827FB"/>
    <w:rsid w:val="002829C1"/>
    <w:rsid w:val="00282AC3"/>
    <w:rsid w:val="00282F56"/>
    <w:rsid w:val="00282FB0"/>
    <w:rsid w:val="00283409"/>
    <w:rsid w:val="0028343D"/>
    <w:rsid w:val="002834AE"/>
    <w:rsid w:val="00283BC7"/>
    <w:rsid w:val="002842A2"/>
    <w:rsid w:val="002854C8"/>
    <w:rsid w:val="00285658"/>
    <w:rsid w:val="002865F5"/>
    <w:rsid w:val="00286845"/>
    <w:rsid w:val="00287664"/>
    <w:rsid w:val="002877C6"/>
    <w:rsid w:val="0028786B"/>
    <w:rsid w:val="00287B42"/>
    <w:rsid w:val="00287B93"/>
    <w:rsid w:val="00287E43"/>
    <w:rsid w:val="00290233"/>
    <w:rsid w:val="00290343"/>
    <w:rsid w:val="002908C4"/>
    <w:rsid w:val="00290B8D"/>
    <w:rsid w:val="00290C03"/>
    <w:rsid w:val="00290CB7"/>
    <w:rsid w:val="00290CC1"/>
    <w:rsid w:val="00290D15"/>
    <w:rsid w:val="002915EA"/>
    <w:rsid w:val="00292100"/>
    <w:rsid w:val="00292294"/>
    <w:rsid w:val="00292392"/>
    <w:rsid w:val="00292B47"/>
    <w:rsid w:val="00292E3B"/>
    <w:rsid w:val="002933A8"/>
    <w:rsid w:val="00294051"/>
    <w:rsid w:val="00294274"/>
    <w:rsid w:val="0029458F"/>
    <w:rsid w:val="0029489B"/>
    <w:rsid w:val="00294914"/>
    <w:rsid w:val="00294B3C"/>
    <w:rsid w:val="00294C21"/>
    <w:rsid w:val="00294F83"/>
    <w:rsid w:val="0029508D"/>
    <w:rsid w:val="002953B9"/>
    <w:rsid w:val="0029552C"/>
    <w:rsid w:val="002956F7"/>
    <w:rsid w:val="00295A22"/>
    <w:rsid w:val="00295B9D"/>
    <w:rsid w:val="00295D04"/>
    <w:rsid w:val="00295DF3"/>
    <w:rsid w:val="002960F3"/>
    <w:rsid w:val="00296181"/>
    <w:rsid w:val="00296264"/>
    <w:rsid w:val="00296CEE"/>
    <w:rsid w:val="0029797C"/>
    <w:rsid w:val="00297A63"/>
    <w:rsid w:val="00297B2B"/>
    <w:rsid w:val="00297B37"/>
    <w:rsid w:val="002A0078"/>
    <w:rsid w:val="002A018F"/>
    <w:rsid w:val="002A06C1"/>
    <w:rsid w:val="002A0B33"/>
    <w:rsid w:val="002A0CE5"/>
    <w:rsid w:val="002A0E04"/>
    <w:rsid w:val="002A104C"/>
    <w:rsid w:val="002A11B5"/>
    <w:rsid w:val="002A12D4"/>
    <w:rsid w:val="002A1EF7"/>
    <w:rsid w:val="002A28B2"/>
    <w:rsid w:val="002A2B7B"/>
    <w:rsid w:val="002A2C2C"/>
    <w:rsid w:val="002A2E12"/>
    <w:rsid w:val="002A3146"/>
    <w:rsid w:val="002A320F"/>
    <w:rsid w:val="002A328F"/>
    <w:rsid w:val="002A3567"/>
    <w:rsid w:val="002A3B4E"/>
    <w:rsid w:val="002A3EEA"/>
    <w:rsid w:val="002A4343"/>
    <w:rsid w:val="002A48C1"/>
    <w:rsid w:val="002A494D"/>
    <w:rsid w:val="002A4960"/>
    <w:rsid w:val="002A498D"/>
    <w:rsid w:val="002A4C44"/>
    <w:rsid w:val="002A50F2"/>
    <w:rsid w:val="002A5967"/>
    <w:rsid w:val="002A5D82"/>
    <w:rsid w:val="002A5F0D"/>
    <w:rsid w:val="002A636A"/>
    <w:rsid w:val="002A6F9A"/>
    <w:rsid w:val="002A71D4"/>
    <w:rsid w:val="002A7375"/>
    <w:rsid w:val="002A755F"/>
    <w:rsid w:val="002A7578"/>
    <w:rsid w:val="002A76F9"/>
    <w:rsid w:val="002A7727"/>
    <w:rsid w:val="002A7D39"/>
    <w:rsid w:val="002A7D99"/>
    <w:rsid w:val="002B0154"/>
    <w:rsid w:val="002B068E"/>
    <w:rsid w:val="002B06D5"/>
    <w:rsid w:val="002B0967"/>
    <w:rsid w:val="002B0AE0"/>
    <w:rsid w:val="002B0B2B"/>
    <w:rsid w:val="002B0C2D"/>
    <w:rsid w:val="002B0C9B"/>
    <w:rsid w:val="002B0D2B"/>
    <w:rsid w:val="002B0D67"/>
    <w:rsid w:val="002B154B"/>
    <w:rsid w:val="002B1AE6"/>
    <w:rsid w:val="002B1D51"/>
    <w:rsid w:val="002B1D5E"/>
    <w:rsid w:val="002B1DF3"/>
    <w:rsid w:val="002B23FB"/>
    <w:rsid w:val="002B2848"/>
    <w:rsid w:val="002B2C59"/>
    <w:rsid w:val="002B2C9B"/>
    <w:rsid w:val="002B2DE8"/>
    <w:rsid w:val="002B2F9E"/>
    <w:rsid w:val="002B30F8"/>
    <w:rsid w:val="002B377E"/>
    <w:rsid w:val="002B388A"/>
    <w:rsid w:val="002B3BFE"/>
    <w:rsid w:val="002B3C1A"/>
    <w:rsid w:val="002B3E33"/>
    <w:rsid w:val="002B402A"/>
    <w:rsid w:val="002B41B6"/>
    <w:rsid w:val="002B435F"/>
    <w:rsid w:val="002B4562"/>
    <w:rsid w:val="002B4A4E"/>
    <w:rsid w:val="002B4C2A"/>
    <w:rsid w:val="002B4E4C"/>
    <w:rsid w:val="002B4F1F"/>
    <w:rsid w:val="002B5596"/>
    <w:rsid w:val="002B5851"/>
    <w:rsid w:val="002B5CE3"/>
    <w:rsid w:val="002B6233"/>
    <w:rsid w:val="002B6381"/>
    <w:rsid w:val="002B63AE"/>
    <w:rsid w:val="002B6430"/>
    <w:rsid w:val="002B6940"/>
    <w:rsid w:val="002B6DBB"/>
    <w:rsid w:val="002B74AF"/>
    <w:rsid w:val="002B76D8"/>
    <w:rsid w:val="002B77D7"/>
    <w:rsid w:val="002B78A6"/>
    <w:rsid w:val="002B7912"/>
    <w:rsid w:val="002B7C79"/>
    <w:rsid w:val="002C0455"/>
    <w:rsid w:val="002C049F"/>
    <w:rsid w:val="002C0763"/>
    <w:rsid w:val="002C0A95"/>
    <w:rsid w:val="002C0C5F"/>
    <w:rsid w:val="002C0D1E"/>
    <w:rsid w:val="002C0D71"/>
    <w:rsid w:val="002C0DE2"/>
    <w:rsid w:val="002C1039"/>
    <w:rsid w:val="002C1333"/>
    <w:rsid w:val="002C14AA"/>
    <w:rsid w:val="002C1977"/>
    <w:rsid w:val="002C1D06"/>
    <w:rsid w:val="002C212F"/>
    <w:rsid w:val="002C21C6"/>
    <w:rsid w:val="002C22E3"/>
    <w:rsid w:val="002C241C"/>
    <w:rsid w:val="002C2F35"/>
    <w:rsid w:val="002C3616"/>
    <w:rsid w:val="002C3B2F"/>
    <w:rsid w:val="002C3CA5"/>
    <w:rsid w:val="002C3FF5"/>
    <w:rsid w:val="002C4493"/>
    <w:rsid w:val="002C44F7"/>
    <w:rsid w:val="002C4DC4"/>
    <w:rsid w:val="002C4E94"/>
    <w:rsid w:val="002C5025"/>
    <w:rsid w:val="002C5850"/>
    <w:rsid w:val="002C58D6"/>
    <w:rsid w:val="002C58D8"/>
    <w:rsid w:val="002C6142"/>
    <w:rsid w:val="002C6428"/>
    <w:rsid w:val="002C69E4"/>
    <w:rsid w:val="002C6A26"/>
    <w:rsid w:val="002C6AA9"/>
    <w:rsid w:val="002C7260"/>
    <w:rsid w:val="002C7485"/>
    <w:rsid w:val="002C77DE"/>
    <w:rsid w:val="002C7815"/>
    <w:rsid w:val="002C78B5"/>
    <w:rsid w:val="002C7AD9"/>
    <w:rsid w:val="002C7E24"/>
    <w:rsid w:val="002C7F7C"/>
    <w:rsid w:val="002C7FEA"/>
    <w:rsid w:val="002D01B7"/>
    <w:rsid w:val="002D0328"/>
    <w:rsid w:val="002D057F"/>
    <w:rsid w:val="002D0863"/>
    <w:rsid w:val="002D0A6B"/>
    <w:rsid w:val="002D0B4F"/>
    <w:rsid w:val="002D0C4E"/>
    <w:rsid w:val="002D0D41"/>
    <w:rsid w:val="002D1398"/>
    <w:rsid w:val="002D1805"/>
    <w:rsid w:val="002D2039"/>
    <w:rsid w:val="002D2178"/>
    <w:rsid w:val="002D2641"/>
    <w:rsid w:val="002D283A"/>
    <w:rsid w:val="002D2B4A"/>
    <w:rsid w:val="002D2B92"/>
    <w:rsid w:val="002D2BBF"/>
    <w:rsid w:val="002D3707"/>
    <w:rsid w:val="002D43A9"/>
    <w:rsid w:val="002D4543"/>
    <w:rsid w:val="002D45E2"/>
    <w:rsid w:val="002D46A9"/>
    <w:rsid w:val="002D4DB9"/>
    <w:rsid w:val="002D5222"/>
    <w:rsid w:val="002D5229"/>
    <w:rsid w:val="002D52BD"/>
    <w:rsid w:val="002D55C3"/>
    <w:rsid w:val="002D5951"/>
    <w:rsid w:val="002D598C"/>
    <w:rsid w:val="002D59C2"/>
    <w:rsid w:val="002D5AB0"/>
    <w:rsid w:val="002D5C03"/>
    <w:rsid w:val="002D5C9B"/>
    <w:rsid w:val="002D5CF8"/>
    <w:rsid w:val="002D5F42"/>
    <w:rsid w:val="002D60B6"/>
    <w:rsid w:val="002D6A64"/>
    <w:rsid w:val="002D6A86"/>
    <w:rsid w:val="002D7082"/>
    <w:rsid w:val="002D715F"/>
    <w:rsid w:val="002D7276"/>
    <w:rsid w:val="002D73FC"/>
    <w:rsid w:val="002D792F"/>
    <w:rsid w:val="002D7A94"/>
    <w:rsid w:val="002E022A"/>
    <w:rsid w:val="002E047A"/>
    <w:rsid w:val="002E0DCF"/>
    <w:rsid w:val="002E0F7E"/>
    <w:rsid w:val="002E11E4"/>
    <w:rsid w:val="002E1477"/>
    <w:rsid w:val="002E14A4"/>
    <w:rsid w:val="002E151B"/>
    <w:rsid w:val="002E1577"/>
    <w:rsid w:val="002E15AE"/>
    <w:rsid w:val="002E23B3"/>
    <w:rsid w:val="002E25A7"/>
    <w:rsid w:val="002E274F"/>
    <w:rsid w:val="002E290C"/>
    <w:rsid w:val="002E2F36"/>
    <w:rsid w:val="002E3153"/>
    <w:rsid w:val="002E33CE"/>
    <w:rsid w:val="002E3859"/>
    <w:rsid w:val="002E3A9B"/>
    <w:rsid w:val="002E3B0A"/>
    <w:rsid w:val="002E3DBE"/>
    <w:rsid w:val="002E3DCC"/>
    <w:rsid w:val="002E3E6E"/>
    <w:rsid w:val="002E3FD4"/>
    <w:rsid w:val="002E3FDE"/>
    <w:rsid w:val="002E44BB"/>
    <w:rsid w:val="002E472B"/>
    <w:rsid w:val="002E4A02"/>
    <w:rsid w:val="002E5292"/>
    <w:rsid w:val="002E57AB"/>
    <w:rsid w:val="002E5A4A"/>
    <w:rsid w:val="002E5E63"/>
    <w:rsid w:val="002E62AA"/>
    <w:rsid w:val="002E637E"/>
    <w:rsid w:val="002E6650"/>
    <w:rsid w:val="002E69BE"/>
    <w:rsid w:val="002E6AD3"/>
    <w:rsid w:val="002E6C77"/>
    <w:rsid w:val="002E6E1F"/>
    <w:rsid w:val="002E72CA"/>
    <w:rsid w:val="002E74D3"/>
    <w:rsid w:val="002E75DD"/>
    <w:rsid w:val="002E7897"/>
    <w:rsid w:val="002E7EEB"/>
    <w:rsid w:val="002F04A6"/>
    <w:rsid w:val="002F09DE"/>
    <w:rsid w:val="002F0D77"/>
    <w:rsid w:val="002F0EF9"/>
    <w:rsid w:val="002F12F6"/>
    <w:rsid w:val="002F1CC2"/>
    <w:rsid w:val="002F1D07"/>
    <w:rsid w:val="002F1D5F"/>
    <w:rsid w:val="002F2561"/>
    <w:rsid w:val="002F2B04"/>
    <w:rsid w:val="002F30EC"/>
    <w:rsid w:val="002F35C9"/>
    <w:rsid w:val="002F3814"/>
    <w:rsid w:val="002F3889"/>
    <w:rsid w:val="002F38E9"/>
    <w:rsid w:val="002F3B1F"/>
    <w:rsid w:val="002F3C1C"/>
    <w:rsid w:val="002F3C57"/>
    <w:rsid w:val="002F3F5A"/>
    <w:rsid w:val="002F42BF"/>
    <w:rsid w:val="002F4433"/>
    <w:rsid w:val="002F45AE"/>
    <w:rsid w:val="002F4945"/>
    <w:rsid w:val="002F4B45"/>
    <w:rsid w:val="002F5615"/>
    <w:rsid w:val="002F5C5B"/>
    <w:rsid w:val="002F5CAF"/>
    <w:rsid w:val="002F5E14"/>
    <w:rsid w:val="002F5F08"/>
    <w:rsid w:val="002F600D"/>
    <w:rsid w:val="002F6CEC"/>
    <w:rsid w:val="002F6D76"/>
    <w:rsid w:val="002F6DB9"/>
    <w:rsid w:val="002F6F0F"/>
    <w:rsid w:val="002F734D"/>
    <w:rsid w:val="002F7855"/>
    <w:rsid w:val="002F7E47"/>
    <w:rsid w:val="00300167"/>
    <w:rsid w:val="0030033F"/>
    <w:rsid w:val="00300408"/>
    <w:rsid w:val="00300437"/>
    <w:rsid w:val="003005C9"/>
    <w:rsid w:val="00300A52"/>
    <w:rsid w:val="00300AD6"/>
    <w:rsid w:val="00300B1B"/>
    <w:rsid w:val="00300B75"/>
    <w:rsid w:val="00301270"/>
    <w:rsid w:val="003017DA"/>
    <w:rsid w:val="003018C0"/>
    <w:rsid w:val="003019D0"/>
    <w:rsid w:val="003019DE"/>
    <w:rsid w:val="00301FF9"/>
    <w:rsid w:val="00302544"/>
    <w:rsid w:val="00302CDC"/>
    <w:rsid w:val="0030311E"/>
    <w:rsid w:val="0030315A"/>
    <w:rsid w:val="0030369B"/>
    <w:rsid w:val="003038CB"/>
    <w:rsid w:val="00303935"/>
    <w:rsid w:val="00303AE1"/>
    <w:rsid w:val="00303CFE"/>
    <w:rsid w:val="0030436A"/>
    <w:rsid w:val="003046D0"/>
    <w:rsid w:val="003049E9"/>
    <w:rsid w:val="00304AAA"/>
    <w:rsid w:val="00304D25"/>
    <w:rsid w:val="00304D31"/>
    <w:rsid w:val="0030530D"/>
    <w:rsid w:val="003058F4"/>
    <w:rsid w:val="00305E81"/>
    <w:rsid w:val="003064AF"/>
    <w:rsid w:val="003066E3"/>
    <w:rsid w:val="00306946"/>
    <w:rsid w:val="003071E1"/>
    <w:rsid w:val="00307470"/>
    <w:rsid w:val="00307DC6"/>
    <w:rsid w:val="00307DEA"/>
    <w:rsid w:val="00310108"/>
    <w:rsid w:val="003107BF"/>
    <w:rsid w:val="00310A8B"/>
    <w:rsid w:val="00310B68"/>
    <w:rsid w:val="00310B97"/>
    <w:rsid w:val="00310F85"/>
    <w:rsid w:val="0031165D"/>
    <w:rsid w:val="0031182B"/>
    <w:rsid w:val="00311A96"/>
    <w:rsid w:val="00311AA0"/>
    <w:rsid w:val="0031255D"/>
    <w:rsid w:val="00312A89"/>
    <w:rsid w:val="00313002"/>
    <w:rsid w:val="0031375D"/>
    <w:rsid w:val="00313C85"/>
    <w:rsid w:val="00313D21"/>
    <w:rsid w:val="0031422F"/>
    <w:rsid w:val="003143E5"/>
    <w:rsid w:val="00314CE6"/>
    <w:rsid w:val="0031519F"/>
    <w:rsid w:val="003152BA"/>
    <w:rsid w:val="003155F1"/>
    <w:rsid w:val="00315AD8"/>
    <w:rsid w:val="00315EDC"/>
    <w:rsid w:val="0031600E"/>
    <w:rsid w:val="003160D2"/>
    <w:rsid w:val="003162CC"/>
    <w:rsid w:val="00316B1E"/>
    <w:rsid w:val="00316B50"/>
    <w:rsid w:val="0031707C"/>
    <w:rsid w:val="003173FC"/>
    <w:rsid w:val="00317B5D"/>
    <w:rsid w:val="00317C6C"/>
    <w:rsid w:val="00317CD0"/>
    <w:rsid w:val="00317D64"/>
    <w:rsid w:val="00320366"/>
    <w:rsid w:val="0032054C"/>
    <w:rsid w:val="00320849"/>
    <w:rsid w:val="00320B27"/>
    <w:rsid w:val="00320B80"/>
    <w:rsid w:val="00320CD3"/>
    <w:rsid w:val="00321495"/>
    <w:rsid w:val="003215FF"/>
    <w:rsid w:val="00321A20"/>
    <w:rsid w:val="00322667"/>
    <w:rsid w:val="00322852"/>
    <w:rsid w:val="00322DEF"/>
    <w:rsid w:val="00322E9C"/>
    <w:rsid w:val="003230AD"/>
    <w:rsid w:val="00323544"/>
    <w:rsid w:val="0032385C"/>
    <w:rsid w:val="00323D1C"/>
    <w:rsid w:val="00324185"/>
    <w:rsid w:val="0032463C"/>
    <w:rsid w:val="00324708"/>
    <w:rsid w:val="00324BB5"/>
    <w:rsid w:val="00324D5C"/>
    <w:rsid w:val="0032561C"/>
    <w:rsid w:val="00325620"/>
    <w:rsid w:val="00325D06"/>
    <w:rsid w:val="00325D9C"/>
    <w:rsid w:val="0032607C"/>
    <w:rsid w:val="00326A35"/>
    <w:rsid w:val="00326D29"/>
    <w:rsid w:val="00326E79"/>
    <w:rsid w:val="003271A1"/>
    <w:rsid w:val="003271D3"/>
    <w:rsid w:val="00327258"/>
    <w:rsid w:val="003273C3"/>
    <w:rsid w:val="0032748A"/>
    <w:rsid w:val="0032776C"/>
    <w:rsid w:val="00327842"/>
    <w:rsid w:val="00327D07"/>
    <w:rsid w:val="00327DE7"/>
    <w:rsid w:val="00327F10"/>
    <w:rsid w:val="003301B1"/>
    <w:rsid w:val="003304D5"/>
    <w:rsid w:val="0033054B"/>
    <w:rsid w:val="00330A5C"/>
    <w:rsid w:val="00331183"/>
    <w:rsid w:val="00331189"/>
    <w:rsid w:val="00331245"/>
    <w:rsid w:val="003312B6"/>
    <w:rsid w:val="003314D2"/>
    <w:rsid w:val="00331885"/>
    <w:rsid w:val="003324BD"/>
    <w:rsid w:val="0033263D"/>
    <w:rsid w:val="0033271C"/>
    <w:rsid w:val="00332781"/>
    <w:rsid w:val="003328DC"/>
    <w:rsid w:val="00332BE6"/>
    <w:rsid w:val="00333254"/>
    <w:rsid w:val="003334DB"/>
    <w:rsid w:val="00333A06"/>
    <w:rsid w:val="00333B9F"/>
    <w:rsid w:val="00333C57"/>
    <w:rsid w:val="00333DAE"/>
    <w:rsid w:val="00333E41"/>
    <w:rsid w:val="00333E7B"/>
    <w:rsid w:val="00333FFF"/>
    <w:rsid w:val="00334005"/>
    <w:rsid w:val="003345D9"/>
    <w:rsid w:val="00334751"/>
    <w:rsid w:val="00334BBD"/>
    <w:rsid w:val="00334E69"/>
    <w:rsid w:val="00334FB9"/>
    <w:rsid w:val="0033518A"/>
    <w:rsid w:val="00335535"/>
    <w:rsid w:val="00335973"/>
    <w:rsid w:val="00335B82"/>
    <w:rsid w:val="00336045"/>
    <w:rsid w:val="00336107"/>
    <w:rsid w:val="003361EC"/>
    <w:rsid w:val="0033672F"/>
    <w:rsid w:val="003367EF"/>
    <w:rsid w:val="00336971"/>
    <w:rsid w:val="00336F81"/>
    <w:rsid w:val="00337117"/>
    <w:rsid w:val="003372E4"/>
    <w:rsid w:val="003374A4"/>
    <w:rsid w:val="003376D0"/>
    <w:rsid w:val="00337E6D"/>
    <w:rsid w:val="003406FC"/>
    <w:rsid w:val="0034074A"/>
    <w:rsid w:val="00340EE3"/>
    <w:rsid w:val="00340F35"/>
    <w:rsid w:val="003412B3"/>
    <w:rsid w:val="003412FA"/>
    <w:rsid w:val="00341313"/>
    <w:rsid w:val="00341AE4"/>
    <w:rsid w:val="00341EF5"/>
    <w:rsid w:val="003425CA"/>
    <w:rsid w:val="00342632"/>
    <w:rsid w:val="00342A21"/>
    <w:rsid w:val="00342D18"/>
    <w:rsid w:val="00342F15"/>
    <w:rsid w:val="00342F86"/>
    <w:rsid w:val="003436C5"/>
    <w:rsid w:val="00343E4F"/>
    <w:rsid w:val="00343FB7"/>
    <w:rsid w:val="003456DA"/>
    <w:rsid w:val="0034585C"/>
    <w:rsid w:val="00345C28"/>
    <w:rsid w:val="00345FCC"/>
    <w:rsid w:val="003464B5"/>
    <w:rsid w:val="003465A0"/>
    <w:rsid w:val="003465A3"/>
    <w:rsid w:val="00346878"/>
    <w:rsid w:val="003468F0"/>
    <w:rsid w:val="00346B19"/>
    <w:rsid w:val="00346CFD"/>
    <w:rsid w:val="00346FB7"/>
    <w:rsid w:val="003476EE"/>
    <w:rsid w:val="00347C01"/>
    <w:rsid w:val="00347E6F"/>
    <w:rsid w:val="00347F83"/>
    <w:rsid w:val="00350F34"/>
    <w:rsid w:val="00350F36"/>
    <w:rsid w:val="0035100A"/>
    <w:rsid w:val="00351109"/>
    <w:rsid w:val="0035125A"/>
    <w:rsid w:val="00351299"/>
    <w:rsid w:val="00351328"/>
    <w:rsid w:val="0035180F"/>
    <w:rsid w:val="00351B4F"/>
    <w:rsid w:val="003520E7"/>
    <w:rsid w:val="00352415"/>
    <w:rsid w:val="0035246D"/>
    <w:rsid w:val="003526C7"/>
    <w:rsid w:val="00353442"/>
    <w:rsid w:val="003536B1"/>
    <w:rsid w:val="0035379A"/>
    <w:rsid w:val="0035401E"/>
    <w:rsid w:val="003541B0"/>
    <w:rsid w:val="003541DD"/>
    <w:rsid w:val="0035466D"/>
    <w:rsid w:val="00354B8B"/>
    <w:rsid w:val="003553AC"/>
    <w:rsid w:val="00355403"/>
    <w:rsid w:val="00355752"/>
    <w:rsid w:val="00355E89"/>
    <w:rsid w:val="00355F85"/>
    <w:rsid w:val="003565F5"/>
    <w:rsid w:val="00356E5B"/>
    <w:rsid w:val="003570B3"/>
    <w:rsid w:val="0035732C"/>
    <w:rsid w:val="003573DD"/>
    <w:rsid w:val="00357522"/>
    <w:rsid w:val="00357565"/>
    <w:rsid w:val="0035768A"/>
    <w:rsid w:val="003578A6"/>
    <w:rsid w:val="00357A6C"/>
    <w:rsid w:val="00360121"/>
    <w:rsid w:val="00360256"/>
    <w:rsid w:val="00360887"/>
    <w:rsid w:val="00360D17"/>
    <w:rsid w:val="00361E0E"/>
    <w:rsid w:val="003621AE"/>
    <w:rsid w:val="00362429"/>
    <w:rsid w:val="0036246F"/>
    <w:rsid w:val="0036249F"/>
    <w:rsid w:val="00363B6E"/>
    <w:rsid w:val="00363D42"/>
    <w:rsid w:val="00363FEB"/>
    <w:rsid w:val="003643B4"/>
    <w:rsid w:val="00364942"/>
    <w:rsid w:val="00364ABB"/>
    <w:rsid w:val="0036524C"/>
    <w:rsid w:val="00365399"/>
    <w:rsid w:val="00365DD7"/>
    <w:rsid w:val="00365E3C"/>
    <w:rsid w:val="00365F93"/>
    <w:rsid w:val="0036600B"/>
    <w:rsid w:val="003661B4"/>
    <w:rsid w:val="00366233"/>
    <w:rsid w:val="00366E7E"/>
    <w:rsid w:val="0036718C"/>
    <w:rsid w:val="00367274"/>
    <w:rsid w:val="003674AD"/>
    <w:rsid w:val="003678BE"/>
    <w:rsid w:val="00367A77"/>
    <w:rsid w:val="00367C57"/>
    <w:rsid w:val="003702C0"/>
    <w:rsid w:val="00370F8B"/>
    <w:rsid w:val="00371246"/>
    <w:rsid w:val="0037126E"/>
    <w:rsid w:val="00371365"/>
    <w:rsid w:val="003713B3"/>
    <w:rsid w:val="0037167E"/>
    <w:rsid w:val="0037255B"/>
    <w:rsid w:val="003726BB"/>
    <w:rsid w:val="00372840"/>
    <w:rsid w:val="0037296F"/>
    <w:rsid w:val="00373245"/>
    <w:rsid w:val="00373273"/>
    <w:rsid w:val="003736C9"/>
    <w:rsid w:val="00374255"/>
    <w:rsid w:val="00374659"/>
    <w:rsid w:val="00374EEA"/>
    <w:rsid w:val="00375B46"/>
    <w:rsid w:val="00375F31"/>
    <w:rsid w:val="0037619C"/>
    <w:rsid w:val="00376906"/>
    <w:rsid w:val="00376981"/>
    <w:rsid w:val="00376DB0"/>
    <w:rsid w:val="00377898"/>
    <w:rsid w:val="00377E78"/>
    <w:rsid w:val="0038084F"/>
    <w:rsid w:val="00380995"/>
    <w:rsid w:val="00380ACA"/>
    <w:rsid w:val="0038106F"/>
    <w:rsid w:val="00381476"/>
    <w:rsid w:val="0038157B"/>
    <w:rsid w:val="00381AC3"/>
    <w:rsid w:val="00381C2D"/>
    <w:rsid w:val="00381C92"/>
    <w:rsid w:val="00381F90"/>
    <w:rsid w:val="003828DE"/>
    <w:rsid w:val="00382A77"/>
    <w:rsid w:val="00382C37"/>
    <w:rsid w:val="00382D10"/>
    <w:rsid w:val="00382DB7"/>
    <w:rsid w:val="00382E68"/>
    <w:rsid w:val="00382FF7"/>
    <w:rsid w:val="00383019"/>
    <w:rsid w:val="003830D3"/>
    <w:rsid w:val="00383132"/>
    <w:rsid w:val="003838DD"/>
    <w:rsid w:val="00383B76"/>
    <w:rsid w:val="00383B77"/>
    <w:rsid w:val="00383CBD"/>
    <w:rsid w:val="00383CEB"/>
    <w:rsid w:val="00383F8E"/>
    <w:rsid w:val="00384076"/>
    <w:rsid w:val="00384295"/>
    <w:rsid w:val="003842C1"/>
    <w:rsid w:val="00384605"/>
    <w:rsid w:val="00384988"/>
    <w:rsid w:val="00384D59"/>
    <w:rsid w:val="00385CA0"/>
    <w:rsid w:val="00385E35"/>
    <w:rsid w:val="003860A9"/>
    <w:rsid w:val="0038620F"/>
    <w:rsid w:val="0038645C"/>
    <w:rsid w:val="003865C3"/>
    <w:rsid w:val="00386707"/>
    <w:rsid w:val="00386801"/>
    <w:rsid w:val="0038686E"/>
    <w:rsid w:val="0038692B"/>
    <w:rsid w:val="0038699F"/>
    <w:rsid w:val="00386AC2"/>
    <w:rsid w:val="00386CA3"/>
    <w:rsid w:val="00386D51"/>
    <w:rsid w:val="00386E65"/>
    <w:rsid w:val="00387091"/>
    <w:rsid w:val="003872CF"/>
    <w:rsid w:val="003874CB"/>
    <w:rsid w:val="00387559"/>
    <w:rsid w:val="00387BB5"/>
    <w:rsid w:val="00387C1F"/>
    <w:rsid w:val="003900DD"/>
    <w:rsid w:val="00390123"/>
    <w:rsid w:val="003903B1"/>
    <w:rsid w:val="003908E4"/>
    <w:rsid w:val="00391333"/>
    <w:rsid w:val="00391742"/>
    <w:rsid w:val="003918C5"/>
    <w:rsid w:val="00391960"/>
    <w:rsid w:val="0039281A"/>
    <w:rsid w:val="0039286E"/>
    <w:rsid w:val="003929C7"/>
    <w:rsid w:val="00392AED"/>
    <w:rsid w:val="00392C30"/>
    <w:rsid w:val="0039334B"/>
    <w:rsid w:val="00393531"/>
    <w:rsid w:val="0039384A"/>
    <w:rsid w:val="003938EB"/>
    <w:rsid w:val="00393B8C"/>
    <w:rsid w:val="00393C66"/>
    <w:rsid w:val="00393E6A"/>
    <w:rsid w:val="00394219"/>
    <w:rsid w:val="0039434D"/>
    <w:rsid w:val="00394365"/>
    <w:rsid w:val="00394459"/>
    <w:rsid w:val="003947AB"/>
    <w:rsid w:val="00394ECE"/>
    <w:rsid w:val="00395191"/>
    <w:rsid w:val="00395491"/>
    <w:rsid w:val="00395879"/>
    <w:rsid w:val="003958F9"/>
    <w:rsid w:val="00395AE9"/>
    <w:rsid w:val="003961B7"/>
    <w:rsid w:val="00396E08"/>
    <w:rsid w:val="00396F27"/>
    <w:rsid w:val="003970DD"/>
    <w:rsid w:val="00397588"/>
    <w:rsid w:val="003976E2"/>
    <w:rsid w:val="0039782C"/>
    <w:rsid w:val="00397C17"/>
    <w:rsid w:val="00397F26"/>
    <w:rsid w:val="00397F47"/>
    <w:rsid w:val="00397F98"/>
    <w:rsid w:val="003A0172"/>
    <w:rsid w:val="003A1226"/>
    <w:rsid w:val="003A12E0"/>
    <w:rsid w:val="003A13A6"/>
    <w:rsid w:val="003A15CB"/>
    <w:rsid w:val="003A2165"/>
    <w:rsid w:val="003A2539"/>
    <w:rsid w:val="003A2678"/>
    <w:rsid w:val="003A294B"/>
    <w:rsid w:val="003A29AA"/>
    <w:rsid w:val="003A2C1A"/>
    <w:rsid w:val="003A2D3A"/>
    <w:rsid w:val="003A2EF6"/>
    <w:rsid w:val="003A2F09"/>
    <w:rsid w:val="003A2F2A"/>
    <w:rsid w:val="003A2FD2"/>
    <w:rsid w:val="003A30C8"/>
    <w:rsid w:val="003A346D"/>
    <w:rsid w:val="003A367D"/>
    <w:rsid w:val="003A3AE2"/>
    <w:rsid w:val="003A3AF3"/>
    <w:rsid w:val="003A3FD4"/>
    <w:rsid w:val="003A451D"/>
    <w:rsid w:val="003A48DF"/>
    <w:rsid w:val="003A49AE"/>
    <w:rsid w:val="003A4F5C"/>
    <w:rsid w:val="003A53A8"/>
    <w:rsid w:val="003A5866"/>
    <w:rsid w:val="003A586A"/>
    <w:rsid w:val="003A5B4A"/>
    <w:rsid w:val="003A5C74"/>
    <w:rsid w:val="003A5D95"/>
    <w:rsid w:val="003A6510"/>
    <w:rsid w:val="003A6725"/>
    <w:rsid w:val="003A6B7B"/>
    <w:rsid w:val="003A6D26"/>
    <w:rsid w:val="003A726C"/>
    <w:rsid w:val="003A74E2"/>
    <w:rsid w:val="003A767A"/>
    <w:rsid w:val="003A7795"/>
    <w:rsid w:val="003A7A11"/>
    <w:rsid w:val="003A7A74"/>
    <w:rsid w:val="003A7CCB"/>
    <w:rsid w:val="003A7DE4"/>
    <w:rsid w:val="003A7F9C"/>
    <w:rsid w:val="003B01FF"/>
    <w:rsid w:val="003B0D3A"/>
    <w:rsid w:val="003B18B8"/>
    <w:rsid w:val="003B1D2B"/>
    <w:rsid w:val="003B2302"/>
    <w:rsid w:val="003B23C5"/>
    <w:rsid w:val="003B2A75"/>
    <w:rsid w:val="003B2A9E"/>
    <w:rsid w:val="003B2ECA"/>
    <w:rsid w:val="003B301F"/>
    <w:rsid w:val="003B368C"/>
    <w:rsid w:val="003B3990"/>
    <w:rsid w:val="003B3FCB"/>
    <w:rsid w:val="003B41CD"/>
    <w:rsid w:val="003B439B"/>
    <w:rsid w:val="003B444D"/>
    <w:rsid w:val="003B4462"/>
    <w:rsid w:val="003B480C"/>
    <w:rsid w:val="003B48FB"/>
    <w:rsid w:val="003B49B2"/>
    <w:rsid w:val="003B4AB5"/>
    <w:rsid w:val="003B4E1E"/>
    <w:rsid w:val="003B5429"/>
    <w:rsid w:val="003B5895"/>
    <w:rsid w:val="003B5EE9"/>
    <w:rsid w:val="003B6124"/>
    <w:rsid w:val="003B6898"/>
    <w:rsid w:val="003B696C"/>
    <w:rsid w:val="003B69DF"/>
    <w:rsid w:val="003B6E53"/>
    <w:rsid w:val="003B71F2"/>
    <w:rsid w:val="003B76F6"/>
    <w:rsid w:val="003B783E"/>
    <w:rsid w:val="003B7960"/>
    <w:rsid w:val="003B7C24"/>
    <w:rsid w:val="003C0267"/>
    <w:rsid w:val="003C0476"/>
    <w:rsid w:val="003C0908"/>
    <w:rsid w:val="003C093A"/>
    <w:rsid w:val="003C0C1C"/>
    <w:rsid w:val="003C0FC5"/>
    <w:rsid w:val="003C13CC"/>
    <w:rsid w:val="003C1709"/>
    <w:rsid w:val="003C181B"/>
    <w:rsid w:val="003C1B99"/>
    <w:rsid w:val="003C1E3D"/>
    <w:rsid w:val="003C1ECF"/>
    <w:rsid w:val="003C1F42"/>
    <w:rsid w:val="003C20BD"/>
    <w:rsid w:val="003C22AF"/>
    <w:rsid w:val="003C23DF"/>
    <w:rsid w:val="003C2BD9"/>
    <w:rsid w:val="003C2FB5"/>
    <w:rsid w:val="003C3302"/>
    <w:rsid w:val="003C471A"/>
    <w:rsid w:val="003C4760"/>
    <w:rsid w:val="003C4966"/>
    <w:rsid w:val="003C4AF4"/>
    <w:rsid w:val="003C4F80"/>
    <w:rsid w:val="003C5A8E"/>
    <w:rsid w:val="003C5E6B"/>
    <w:rsid w:val="003C685F"/>
    <w:rsid w:val="003C6C1F"/>
    <w:rsid w:val="003C7854"/>
    <w:rsid w:val="003D099D"/>
    <w:rsid w:val="003D09C3"/>
    <w:rsid w:val="003D0A14"/>
    <w:rsid w:val="003D0A27"/>
    <w:rsid w:val="003D0C35"/>
    <w:rsid w:val="003D12E6"/>
    <w:rsid w:val="003D155C"/>
    <w:rsid w:val="003D1BCB"/>
    <w:rsid w:val="003D2356"/>
    <w:rsid w:val="003D24C5"/>
    <w:rsid w:val="003D29C1"/>
    <w:rsid w:val="003D2B1E"/>
    <w:rsid w:val="003D3374"/>
    <w:rsid w:val="003D398E"/>
    <w:rsid w:val="003D3C2D"/>
    <w:rsid w:val="003D3D61"/>
    <w:rsid w:val="003D3E19"/>
    <w:rsid w:val="003D3E22"/>
    <w:rsid w:val="003D3F8F"/>
    <w:rsid w:val="003D3FFA"/>
    <w:rsid w:val="003D4102"/>
    <w:rsid w:val="003D451E"/>
    <w:rsid w:val="003D4594"/>
    <w:rsid w:val="003D4882"/>
    <w:rsid w:val="003D4AC4"/>
    <w:rsid w:val="003D4F01"/>
    <w:rsid w:val="003D5035"/>
    <w:rsid w:val="003D50BA"/>
    <w:rsid w:val="003D523B"/>
    <w:rsid w:val="003D53B7"/>
    <w:rsid w:val="003D5433"/>
    <w:rsid w:val="003D60E0"/>
    <w:rsid w:val="003D63B7"/>
    <w:rsid w:val="003D68F5"/>
    <w:rsid w:val="003D69BF"/>
    <w:rsid w:val="003D74C5"/>
    <w:rsid w:val="003D7B59"/>
    <w:rsid w:val="003D7D5F"/>
    <w:rsid w:val="003D7D9D"/>
    <w:rsid w:val="003D7DCD"/>
    <w:rsid w:val="003D7F33"/>
    <w:rsid w:val="003E0131"/>
    <w:rsid w:val="003E04CA"/>
    <w:rsid w:val="003E05F6"/>
    <w:rsid w:val="003E0994"/>
    <w:rsid w:val="003E09D6"/>
    <w:rsid w:val="003E0C88"/>
    <w:rsid w:val="003E10E9"/>
    <w:rsid w:val="003E1214"/>
    <w:rsid w:val="003E1487"/>
    <w:rsid w:val="003E16F8"/>
    <w:rsid w:val="003E19DD"/>
    <w:rsid w:val="003E1E18"/>
    <w:rsid w:val="003E24E3"/>
    <w:rsid w:val="003E26E8"/>
    <w:rsid w:val="003E277C"/>
    <w:rsid w:val="003E2878"/>
    <w:rsid w:val="003E288B"/>
    <w:rsid w:val="003E2D24"/>
    <w:rsid w:val="003E2F8C"/>
    <w:rsid w:val="003E3494"/>
    <w:rsid w:val="003E351E"/>
    <w:rsid w:val="003E361F"/>
    <w:rsid w:val="003E389D"/>
    <w:rsid w:val="003E3A0C"/>
    <w:rsid w:val="003E3EDD"/>
    <w:rsid w:val="003E4203"/>
    <w:rsid w:val="003E4374"/>
    <w:rsid w:val="003E43EA"/>
    <w:rsid w:val="003E468B"/>
    <w:rsid w:val="003E49A0"/>
    <w:rsid w:val="003E4E22"/>
    <w:rsid w:val="003E51A8"/>
    <w:rsid w:val="003E51AB"/>
    <w:rsid w:val="003E612C"/>
    <w:rsid w:val="003E62BD"/>
    <w:rsid w:val="003E6353"/>
    <w:rsid w:val="003E658D"/>
    <w:rsid w:val="003E6852"/>
    <w:rsid w:val="003E6AAA"/>
    <w:rsid w:val="003E7014"/>
    <w:rsid w:val="003E7328"/>
    <w:rsid w:val="003E76A1"/>
    <w:rsid w:val="003E790B"/>
    <w:rsid w:val="003F0393"/>
    <w:rsid w:val="003F043D"/>
    <w:rsid w:val="003F044F"/>
    <w:rsid w:val="003F05B6"/>
    <w:rsid w:val="003F062C"/>
    <w:rsid w:val="003F0C3A"/>
    <w:rsid w:val="003F0FDC"/>
    <w:rsid w:val="003F10DF"/>
    <w:rsid w:val="003F15F0"/>
    <w:rsid w:val="003F1A6C"/>
    <w:rsid w:val="003F228D"/>
    <w:rsid w:val="003F27D4"/>
    <w:rsid w:val="003F2AD9"/>
    <w:rsid w:val="003F3228"/>
    <w:rsid w:val="003F3591"/>
    <w:rsid w:val="003F37BF"/>
    <w:rsid w:val="003F3B1C"/>
    <w:rsid w:val="003F3E6F"/>
    <w:rsid w:val="003F3F7A"/>
    <w:rsid w:val="003F49E7"/>
    <w:rsid w:val="003F4CF8"/>
    <w:rsid w:val="003F4E48"/>
    <w:rsid w:val="003F506D"/>
    <w:rsid w:val="003F519C"/>
    <w:rsid w:val="003F535B"/>
    <w:rsid w:val="003F5379"/>
    <w:rsid w:val="003F5653"/>
    <w:rsid w:val="003F5868"/>
    <w:rsid w:val="003F5C8C"/>
    <w:rsid w:val="003F5CF0"/>
    <w:rsid w:val="003F6238"/>
    <w:rsid w:val="003F6296"/>
    <w:rsid w:val="003F62C9"/>
    <w:rsid w:val="003F63CE"/>
    <w:rsid w:val="003F6510"/>
    <w:rsid w:val="003F6BD8"/>
    <w:rsid w:val="003F6F68"/>
    <w:rsid w:val="003F703C"/>
    <w:rsid w:val="003F7418"/>
    <w:rsid w:val="003F775A"/>
    <w:rsid w:val="00400042"/>
    <w:rsid w:val="004000CE"/>
    <w:rsid w:val="00400453"/>
    <w:rsid w:val="00400950"/>
    <w:rsid w:val="00400C84"/>
    <w:rsid w:val="00400E55"/>
    <w:rsid w:val="00400FEF"/>
    <w:rsid w:val="00401245"/>
    <w:rsid w:val="0040128E"/>
    <w:rsid w:val="0040152E"/>
    <w:rsid w:val="00401640"/>
    <w:rsid w:val="00401D7A"/>
    <w:rsid w:val="00401E9B"/>
    <w:rsid w:val="00401FF4"/>
    <w:rsid w:val="00402004"/>
    <w:rsid w:val="0040216B"/>
    <w:rsid w:val="0040243C"/>
    <w:rsid w:val="00402464"/>
    <w:rsid w:val="004024DE"/>
    <w:rsid w:val="00402AC9"/>
    <w:rsid w:val="00403059"/>
    <w:rsid w:val="004031BA"/>
    <w:rsid w:val="004032DC"/>
    <w:rsid w:val="00403488"/>
    <w:rsid w:val="00403EEE"/>
    <w:rsid w:val="00403F99"/>
    <w:rsid w:val="0040406E"/>
    <w:rsid w:val="00404236"/>
    <w:rsid w:val="004046A8"/>
    <w:rsid w:val="004047F0"/>
    <w:rsid w:val="00404852"/>
    <w:rsid w:val="0040491F"/>
    <w:rsid w:val="00404AFD"/>
    <w:rsid w:val="00404D4B"/>
    <w:rsid w:val="00405299"/>
    <w:rsid w:val="00405319"/>
    <w:rsid w:val="004054F4"/>
    <w:rsid w:val="0040590E"/>
    <w:rsid w:val="00405910"/>
    <w:rsid w:val="00405A79"/>
    <w:rsid w:val="00405BA8"/>
    <w:rsid w:val="00405CE3"/>
    <w:rsid w:val="00405FA3"/>
    <w:rsid w:val="004067AD"/>
    <w:rsid w:val="00406C17"/>
    <w:rsid w:val="00407345"/>
    <w:rsid w:val="004077E6"/>
    <w:rsid w:val="00407929"/>
    <w:rsid w:val="00407CC8"/>
    <w:rsid w:val="00407D70"/>
    <w:rsid w:val="00407FA0"/>
    <w:rsid w:val="00410193"/>
    <w:rsid w:val="00410440"/>
    <w:rsid w:val="00410623"/>
    <w:rsid w:val="0041067B"/>
    <w:rsid w:val="004111A1"/>
    <w:rsid w:val="00411B0C"/>
    <w:rsid w:val="00411D3A"/>
    <w:rsid w:val="0041266D"/>
    <w:rsid w:val="0041296B"/>
    <w:rsid w:val="00413A51"/>
    <w:rsid w:val="00413BE1"/>
    <w:rsid w:val="004140CB"/>
    <w:rsid w:val="00414124"/>
    <w:rsid w:val="004141BC"/>
    <w:rsid w:val="004141C4"/>
    <w:rsid w:val="00414437"/>
    <w:rsid w:val="00414B37"/>
    <w:rsid w:val="00414DF0"/>
    <w:rsid w:val="00414F0C"/>
    <w:rsid w:val="00414F60"/>
    <w:rsid w:val="00415159"/>
    <w:rsid w:val="00415182"/>
    <w:rsid w:val="00415331"/>
    <w:rsid w:val="0041551A"/>
    <w:rsid w:val="00415C4D"/>
    <w:rsid w:val="00415E08"/>
    <w:rsid w:val="00415F14"/>
    <w:rsid w:val="0041651F"/>
    <w:rsid w:val="004169A3"/>
    <w:rsid w:val="00416B25"/>
    <w:rsid w:val="00416D5C"/>
    <w:rsid w:val="00416D7C"/>
    <w:rsid w:val="00416FAD"/>
    <w:rsid w:val="00417184"/>
    <w:rsid w:val="00417335"/>
    <w:rsid w:val="00417703"/>
    <w:rsid w:val="00417B93"/>
    <w:rsid w:val="00417D9F"/>
    <w:rsid w:val="00417FE5"/>
    <w:rsid w:val="00420400"/>
    <w:rsid w:val="0042050E"/>
    <w:rsid w:val="00420553"/>
    <w:rsid w:val="00420567"/>
    <w:rsid w:val="0042059B"/>
    <w:rsid w:val="00420A99"/>
    <w:rsid w:val="00420B66"/>
    <w:rsid w:val="00420FAB"/>
    <w:rsid w:val="00421A28"/>
    <w:rsid w:val="00422238"/>
    <w:rsid w:val="00423567"/>
    <w:rsid w:val="004235C3"/>
    <w:rsid w:val="0042380A"/>
    <w:rsid w:val="00423942"/>
    <w:rsid w:val="00423E78"/>
    <w:rsid w:val="00424292"/>
    <w:rsid w:val="0042430D"/>
    <w:rsid w:val="004245F9"/>
    <w:rsid w:val="004252EC"/>
    <w:rsid w:val="00425380"/>
    <w:rsid w:val="004256E9"/>
    <w:rsid w:val="0042590C"/>
    <w:rsid w:val="00425A73"/>
    <w:rsid w:val="00425D13"/>
    <w:rsid w:val="00425F34"/>
    <w:rsid w:val="00426A45"/>
    <w:rsid w:val="00426C84"/>
    <w:rsid w:val="00426CEB"/>
    <w:rsid w:val="00426CF0"/>
    <w:rsid w:val="00427209"/>
    <w:rsid w:val="00427484"/>
    <w:rsid w:val="00427A05"/>
    <w:rsid w:val="00427AE0"/>
    <w:rsid w:val="00427D93"/>
    <w:rsid w:val="00427DC7"/>
    <w:rsid w:val="00427E4C"/>
    <w:rsid w:val="00430187"/>
    <w:rsid w:val="00430280"/>
    <w:rsid w:val="004306B2"/>
    <w:rsid w:val="00430D39"/>
    <w:rsid w:val="00430EE0"/>
    <w:rsid w:val="00431189"/>
    <w:rsid w:val="00431CB4"/>
    <w:rsid w:val="00431EE8"/>
    <w:rsid w:val="00432178"/>
    <w:rsid w:val="004323D4"/>
    <w:rsid w:val="0043285B"/>
    <w:rsid w:val="0043295F"/>
    <w:rsid w:val="00432EBF"/>
    <w:rsid w:val="004334C2"/>
    <w:rsid w:val="00433A8C"/>
    <w:rsid w:val="00433C46"/>
    <w:rsid w:val="00433C77"/>
    <w:rsid w:val="00433CB3"/>
    <w:rsid w:val="00433E09"/>
    <w:rsid w:val="00433FEB"/>
    <w:rsid w:val="0043401C"/>
    <w:rsid w:val="004348EF"/>
    <w:rsid w:val="00435850"/>
    <w:rsid w:val="004358D9"/>
    <w:rsid w:val="00435F00"/>
    <w:rsid w:val="00436070"/>
    <w:rsid w:val="0043617A"/>
    <w:rsid w:val="00436988"/>
    <w:rsid w:val="00436C2F"/>
    <w:rsid w:val="00436EEB"/>
    <w:rsid w:val="004372E3"/>
    <w:rsid w:val="00437351"/>
    <w:rsid w:val="004374D5"/>
    <w:rsid w:val="0043791B"/>
    <w:rsid w:val="0044055A"/>
    <w:rsid w:val="00440646"/>
    <w:rsid w:val="00440960"/>
    <w:rsid w:val="00440F1E"/>
    <w:rsid w:val="004410A3"/>
    <w:rsid w:val="004412AA"/>
    <w:rsid w:val="004412B4"/>
    <w:rsid w:val="00441330"/>
    <w:rsid w:val="004414EA"/>
    <w:rsid w:val="00441542"/>
    <w:rsid w:val="0044191B"/>
    <w:rsid w:val="00442597"/>
    <w:rsid w:val="00442898"/>
    <w:rsid w:val="00442C78"/>
    <w:rsid w:val="00442C91"/>
    <w:rsid w:val="00442FBB"/>
    <w:rsid w:val="00443387"/>
    <w:rsid w:val="00443753"/>
    <w:rsid w:val="0044394A"/>
    <w:rsid w:val="00443985"/>
    <w:rsid w:val="00443BF4"/>
    <w:rsid w:val="00443E38"/>
    <w:rsid w:val="00443F90"/>
    <w:rsid w:val="0044424F"/>
    <w:rsid w:val="0044440D"/>
    <w:rsid w:val="00444534"/>
    <w:rsid w:val="0044485C"/>
    <w:rsid w:val="00444E9D"/>
    <w:rsid w:val="004450F7"/>
    <w:rsid w:val="004451D6"/>
    <w:rsid w:val="00445360"/>
    <w:rsid w:val="00445840"/>
    <w:rsid w:val="00445BD8"/>
    <w:rsid w:val="00446395"/>
    <w:rsid w:val="004465BD"/>
    <w:rsid w:val="00446874"/>
    <w:rsid w:val="00446938"/>
    <w:rsid w:val="00446C31"/>
    <w:rsid w:val="00446DF8"/>
    <w:rsid w:val="004501A3"/>
    <w:rsid w:val="0045027D"/>
    <w:rsid w:val="004505D3"/>
    <w:rsid w:val="00450874"/>
    <w:rsid w:val="00450A1D"/>
    <w:rsid w:val="00450C0D"/>
    <w:rsid w:val="00450E0A"/>
    <w:rsid w:val="00450F9B"/>
    <w:rsid w:val="004511C7"/>
    <w:rsid w:val="0045131C"/>
    <w:rsid w:val="0045199B"/>
    <w:rsid w:val="00451B0B"/>
    <w:rsid w:val="00451C3E"/>
    <w:rsid w:val="0045275E"/>
    <w:rsid w:val="004528FA"/>
    <w:rsid w:val="00452A6C"/>
    <w:rsid w:val="00452BFF"/>
    <w:rsid w:val="0045343F"/>
    <w:rsid w:val="00453777"/>
    <w:rsid w:val="00453C4C"/>
    <w:rsid w:val="004541E1"/>
    <w:rsid w:val="00454CBB"/>
    <w:rsid w:val="00454F2B"/>
    <w:rsid w:val="004552EA"/>
    <w:rsid w:val="00455F60"/>
    <w:rsid w:val="0045690A"/>
    <w:rsid w:val="00457515"/>
    <w:rsid w:val="00457CFE"/>
    <w:rsid w:val="0046008E"/>
    <w:rsid w:val="0046057E"/>
    <w:rsid w:val="00460A3F"/>
    <w:rsid w:val="00460AAA"/>
    <w:rsid w:val="00460BA8"/>
    <w:rsid w:val="0046134D"/>
    <w:rsid w:val="00461A44"/>
    <w:rsid w:val="00461C21"/>
    <w:rsid w:val="00461F25"/>
    <w:rsid w:val="00462041"/>
    <w:rsid w:val="00462533"/>
    <w:rsid w:val="00462CAF"/>
    <w:rsid w:val="00462D26"/>
    <w:rsid w:val="00462D55"/>
    <w:rsid w:val="00463235"/>
    <w:rsid w:val="00463278"/>
    <w:rsid w:val="0046368B"/>
    <w:rsid w:val="00463774"/>
    <w:rsid w:val="0046385A"/>
    <w:rsid w:val="004639E2"/>
    <w:rsid w:val="00463F70"/>
    <w:rsid w:val="00464039"/>
    <w:rsid w:val="00464260"/>
    <w:rsid w:val="004643E5"/>
    <w:rsid w:val="004643F2"/>
    <w:rsid w:val="004645A3"/>
    <w:rsid w:val="00464CE5"/>
    <w:rsid w:val="00464EDA"/>
    <w:rsid w:val="004650FC"/>
    <w:rsid w:val="00465AD1"/>
    <w:rsid w:val="00465E54"/>
    <w:rsid w:val="004660D6"/>
    <w:rsid w:val="004667E7"/>
    <w:rsid w:val="00466876"/>
    <w:rsid w:val="004669B7"/>
    <w:rsid w:val="00466ADA"/>
    <w:rsid w:val="00466B55"/>
    <w:rsid w:val="00467074"/>
    <w:rsid w:val="0046737B"/>
    <w:rsid w:val="0046768F"/>
    <w:rsid w:val="0046784C"/>
    <w:rsid w:val="00467B55"/>
    <w:rsid w:val="00467D33"/>
    <w:rsid w:val="00467D89"/>
    <w:rsid w:val="004700EE"/>
    <w:rsid w:val="00470121"/>
    <w:rsid w:val="00470128"/>
    <w:rsid w:val="004702BB"/>
    <w:rsid w:val="0047065D"/>
    <w:rsid w:val="00470ADF"/>
    <w:rsid w:val="00470DCF"/>
    <w:rsid w:val="004713DD"/>
    <w:rsid w:val="004713E2"/>
    <w:rsid w:val="00471584"/>
    <w:rsid w:val="00471776"/>
    <w:rsid w:val="00471A3B"/>
    <w:rsid w:val="00471ABC"/>
    <w:rsid w:val="00471AE1"/>
    <w:rsid w:val="00471FE4"/>
    <w:rsid w:val="0047211D"/>
    <w:rsid w:val="00472155"/>
    <w:rsid w:val="004723AE"/>
    <w:rsid w:val="0047257B"/>
    <w:rsid w:val="00472994"/>
    <w:rsid w:val="00472EAD"/>
    <w:rsid w:val="004738C8"/>
    <w:rsid w:val="00473941"/>
    <w:rsid w:val="004739BA"/>
    <w:rsid w:val="004739C3"/>
    <w:rsid w:val="00473A0F"/>
    <w:rsid w:val="00473BC3"/>
    <w:rsid w:val="00473FFB"/>
    <w:rsid w:val="0047415C"/>
    <w:rsid w:val="004741AD"/>
    <w:rsid w:val="00474333"/>
    <w:rsid w:val="0047494B"/>
    <w:rsid w:val="004749A4"/>
    <w:rsid w:val="00474AA7"/>
    <w:rsid w:val="00474C0A"/>
    <w:rsid w:val="00474C57"/>
    <w:rsid w:val="0047517F"/>
    <w:rsid w:val="004759C7"/>
    <w:rsid w:val="00475C3A"/>
    <w:rsid w:val="00476245"/>
    <w:rsid w:val="00476837"/>
    <w:rsid w:val="00476AFA"/>
    <w:rsid w:val="00476ED5"/>
    <w:rsid w:val="00476F8F"/>
    <w:rsid w:val="00476FC3"/>
    <w:rsid w:val="004773C4"/>
    <w:rsid w:val="004776D1"/>
    <w:rsid w:val="00477A3C"/>
    <w:rsid w:val="00477A9B"/>
    <w:rsid w:val="00477F25"/>
    <w:rsid w:val="004804FF"/>
    <w:rsid w:val="00480A4C"/>
    <w:rsid w:val="00480BFE"/>
    <w:rsid w:val="00480CFA"/>
    <w:rsid w:val="00480D95"/>
    <w:rsid w:val="00480F02"/>
    <w:rsid w:val="00480F0C"/>
    <w:rsid w:val="004818CC"/>
    <w:rsid w:val="0048195E"/>
    <w:rsid w:val="00481ADA"/>
    <w:rsid w:val="00482515"/>
    <w:rsid w:val="004826D5"/>
    <w:rsid w:val="004827BA"/>
    <w:rsid w:val="00482A9B"/>
    <w:rsid w:val="00482AE4"/>
    <w:rsid w:val="00482EA7"/>
    <w:rsid w:val="00483035"/>
    <w:rsid w:val="004837BF"/>
    <w:rsid w:val="004837F3"/>
    <w:rsid w:val="004839D6"/>
    <w:rsid w:val="0048440E"/>
    <w:rsid w:val="00484752"/>
    <w:rsid w:val="004847A3"/>
    <w:rsid w:val="00485228"/>
    <w:rsid w:val="00485657"/>
    <w:rsid w:val="00485940"/>
    <w:rsid w:val="00486127"/>
    <w:rsid w:val="004865F6"/>
    <w:rsid w:val="004867C5"/>
    <w:rsid w:val="004868FB"/>
    <w:rsid w:val="00486AAC"/>
    <w:rsid w:val="00486C95"/>
    <w:rsid w:val="004871DC"/>
    <w:rsid w:val="004877C2"/>
    <w:rsid w:val="0048781D"/>
    <w:rsid w:val="004904B9"/>
    <w:rsid w:val="004905C9"/>
    <w:rsid w:val="00490810"/>
    <w:rsid w:val="00490970"/>
    <w:rsid w:val="00490C17"/>
    <w:rsid w:val="00490DE9"/>
    <w:rsid w:val="0049148B"/>
    <w:rsid w:val="00491EDC"/>
    <w:rsid w:val="00491EF2"/>
    <w:rsid w:val="004926B2"/>
    <w:rsid w:val="0049270D"/>
    <w:rsid w:val="004927B0"/>
    <w:rsid w:val="004928A2"/>
    <w:rsid w:val="004928E1"/>
    <w:rsid w:val="00492B77"/>
    <w:rsid w:val="00492D33"/>
    <w:rsid w:val="00492D8D"/>
    <w:rsid w:val="00492DFB"/>
    <w:rsid w:val="0049363F"/>
    <w:rsid w:val="0049387D"/>
    <w:rsid w:val="00493D67"/>
    <w:rsid w:val="00494622"/>
    <w:rsid w:val="00494F82"/>
    <w:rsid w:val="00495392"/>
    <w:rsid w:val="00495F6A"/>
    <w:rsid w:val="0049634B"/>
    <w:rsid w:val="00496465"/>
    <w:rsid w:val="00496662"/>
    <w:rsid w:val="00496E66"/>
    <w:rsid w:val="004972C5"/>
    <w:rsid w:val="004977FA"/>
    <w:rsid w:val="00497C43"/>
    <w:rsid w:val="00497C57"/>
    <w:rsid w:val="004A01E7"/>
    <w:rsid w:val="004A02F3"/>
    <w:rsid w:val="004A0581"/>
    <w:rsid w:val="004A0AB2"/>
    <w:rsid w:val="004A1034"/>
    <w:rsid w:val="004A11EF"/>
    <w:rsid w:val="004A1431"/>
    <w:rsid w:val="004A1438"/>
    <w:rsid w:val="004A1BC8"/>
    <w:rsid w:val="004A1EDE"/>
    <w:rsid w:val="004A2413"/>
    <w:rsid w:val="004A2484"/>
    <w:rsid w:val="004A27AB"/>
    <w:rsid w:val="004A2B78"/>
    <w:rsid w:val="004A2BF3"/>
    <w:rsid w:val="004A2D3E"/>
    <w:rsid w:val="004A2F92"/>
    <w:rsid w:val="004A3061"/>
    <w:rsid w:val="004A34FC"/>
    <w:rsid w:val="004A363D"/>
    <w:rsid w:val="004A378E"/>
    <w:rsid w:val="004A37A6"/>
    <w:rsid w:val="004A3C84"/>
    <w:rsid w:val="004A3D85"/>
    <w:rsid w:val="004A3DFF"/>
    <w:rsid w:val="004A3ECD"/>
    <w:rsid w:val="004A3F07"/>
    <w:rsid w:val="004A416B"/>
    <w:rsid w:val="004A444D"/>
    <w:rsid w:val="004A459A"/>
    <w:rsid w:val="004A45D8"/>
    <w:rsid w:val="004A469A"/>
    <w:rsid w:val="004A4B86"/>
    <w:rsid w:val="004A4D74"/>
    <w:rsid w:val="004A4D90"/>
    <w:rsid w:val="004A4DCB"/>
    <w:rsid w:val="004A4E6A"/>
    <w:rsid w:val="004A4FC0"/>
    <w:rsid w:val="004A53CD"/>
    <w:rsid w:val="004A5882"/>
    <w:rsid w:val="004A5A85"/>
    <w:rsid w:val="004A6410"/>
    <w:rsid w:val="004A6476"/>
    <w:rsid w:val="004A65FD"/>
    <w:rsid w:val="004A6941"/>
    <w:rsid w:val="004A6D87"/>
    <w:rsid w:val="004A71D1"/>
    <w:rsid w:val="004A72EF"/>
    <w:rsid w:val="004A754F"/>
    <w:rsid w:val="004A76CA"/>
    <w:rsid w:val="004A797E"/>
    <w:rsid w:val="004A7C5B"/>
    <w:rsid w:val="004A7CE0"/>
    <w:rsid w:val="004B038B"/>
    <w:rsid w:val="004B03D8"/>
    <w:rsid w:val="004B05D0"/>
    <w:rsid w:val="004B0951"/>
    <w:rsid w:val="004B0C8E"/>
    <w:rsid w:val="004B1590"/>
    <w:rsid w:val="004B1845"/>
    <w:rsid w:val="004B1852"/>
    <w:rsid w:val="004B1989"/>
    <w:rsid w:val="004B1CD2"/>
    <w:rsid w:val="004B1D18"/>
    <w:rsid w:val="004B1DFE"/>
    <w:rsid w:val="004B2348"/>
    <w:rsid w:val="004B2906"/>
    <w:rsid w:val="004B2C47"/>
    <w:rsid w:val="004B2E01"/>
    <w:rsid w:val="004B2E98"/>
    <w:rsid w:val="004B2FEC"/>
    <w:rsid w:val="004B4624"/>
    <w:rsid w:val="004B4B7F"/>
    <w:rsid w:val="004B4BE4"/>
    <w:rsid w:val="004B4DB3"/>
    <w:rsid w:val="004B4E4E"/>
    <w:rsid w:val="004B52CC"/>
    <w:rsid w:val="004B54C6"/>
    <w:rsid w:val="004B5640"/>
    <w:rsid w:val="004B5768"/>
    <w:rsid w:val="004B5AB9"/>
    <w:rsid w:val="004B6084"/>
    <w:rsid w:val="004B6452"/>
    <w:rsid w:val="004B6630"/>
    <w:rsid w:val="004B6A3E"/>
    <w:rsid w:val="004B6A76"/>
    <w:rsid w:val="004B6F92"/>
    <w:rsid w:val="004B7072"/>
    <w:rsid w:val="004B76F7"/>
    <w:rsid w:val="004B7771"/>
    <w:rsid w:val="004BCF29"/>
    <w:rsid w:val="004C0206"/>
    <w:rsid w:val="004C03A4"/>
    <w:rsid w:val="004C03CC"/>
    <w:rsid w:val="004C03D0"/>
    <w:rsid w:val="004C0873"/>
    <w:rsid w:val="004C0D09"/>
    <w:rsid w:val="004C166A"/>
    <w:rsid w:val="004C175B"/>
    <w:rsid w:val="004C1994"/>
    <w:rsid w:val="004C1BD7"/>
    <w:rsid w:val="004C1BF2"/>
    <w:rsid w:val="004C21C6"/>
    <w:rsid w:val="004C2268"/>
    <w:rsid w:val="004C239C"/>
    <w:rsid w:val="004C28FC"/>
    <w:rsid w:val="004C31FE"/>
    <w:rsid w:val="004C334B"/>
    <w:rsid w:val="004C3AB5"/>
    <w:rsid w:val="004C4DA0"/>
    <w:rsid w:val="004C4ECC"/>
    <w:rsid w:val="004C513D"/>
    <w:rsid w:val="004C524C"/>
    <w:rsid w:val="004C52D2"/>
    <w:rsid w:val="004C5401"/>
    <w:rsid w:val="004C55B9"/>
    <w:rsid w:val="004C5DF8"/>
    <w:rsid w:val="004C5EDD"/>
    <w:rsid w:val="004C5FFA"/>
    <w:rsid w:val="004C602C"/>
    <w:rsid w:val="004C628F"/>
    <w:rsid w:val="004C691D"/>
    <w:rsid w:val="004C6A61"/>
    <w:rsid w:val="004C6B57"/>
    <w:rsid w:val="004C6C00"/>
    <w:rsid w:val="004C6C07"/>
    <w:rsid w:val="004C6C97"/>
    <w:rsid w:val="004C6E77"/>
    <w:rsid w:val="004C6EFF"/>
    <w:rsid w:val="004C70AF"/>
    <w:rsid w:val="004C73EE"/>
    <w:rsid w:val="004C7753"/>
    <w:rsid w:val="004C7E15"/>
    <w:rsid w:val="004C7EC6"/>
    <w:rsid w:val="004D00F1"/>
    <w:rsid w:val="004D077C"/>
    <w:rsid w:val="004D0B65"/>
    <w:rsid w:val="004D0CFC"/>
    <w:rsid w:val="004D1183"/>
    <w:rsid w:val="004D1277"/>
    <w:rsid w:val="004D1431"/>
    <w:rsid w:val="004D146F"/>
    <w:rsid w:val="004D19FA"/>
    <w:rsid w:val="004D1E80"/>
    <w:rsid w:val="004D1F37"/>
    <w:rsid w:val="004D220F"/>
    <w:rsid w:val="004D2B34"/>
    <w:rsid w:val="004D2CD1"/>
    <w:rsid w:val="004D2E5B"/>
    <w:rsid w:val="004D2FFC"/>
    <w:rsid w:val="004D3436"/>
    <w:rsid w:val="004D365C"/>
    <w:rsid w:val="004D36A6"/>
    <w:rsid w:val="004D37AC"/>
    <w:rsid w:val="004D45A7"/>
    <w:rsid w:val="004D4602"/>
    <w:rsid w:val="004D492A"/>
    <w:rsid w:val="004D4C7B"/>
    <w:rsid w:val="004D4E8A"/>
    <w:rsid w:val="004D4FF6"/>
    <w:rsid w:val="004D5008"/>
    <w:rsid w:val="004D5ADD"/>
    <w:rsid w:val="004D5AFB"/>
    <w:rsid w:val="004D5B22"/>
    <w:rsid w:val="004D5BCC"/>
    <w:rsid w:val="004D5DB7"/>
    <w:rsid w:val="004D5DF8"/>
    <w:rsid w:val="004D5F97"/>
    <w:rsid w:val="004D61DA"/>
    <w:rsid w:val="004D62BF"/>
    <w:rsid w:val="004D64F9"/>
    <w:rsid w:val="004D6D94"/>
    <w:rsid w:val="004D715B"/>
    <w:rsid w:val="004D7629"/>
    <w:rsid w:val="004D7691"/>
    <w:rsid w:val="004D7DE9"/>
    <w:rsid w:val="004E0120"/>
    <w:rsid w:val="004E0155"/>
    <w:rsid w:val="004E046C"/>
    <w:rsid w:val="004E0487"/>
    <w:rsid w:val="004E0501"/>
    <w:rsid w:val="004E05DB"/>
    <w:rsid w:val="004E07BC"/>
    <w:rsid w:val="004E07FB"/>
    <w:rsid w:val="004E0CC3"/>
    <w:rsid w:val="004E0EE6"/>
    <w:rsid w:val="004E17C6"/>
    <w:rsid w:val="004E1C7A"/>
    <w:rsid w:val="004E1EE9"/>
    <w:rsid w:val="004E1F8F"/>
    <w:rsid w:val="004E1FD9"/>
    <w:rsid w:val="004E2404"/>
    <w:rsid w:val="004E240F"/>
    <w:rsid w:val="004E24AF"/>
    <w:rsid w:val="004E24C0"/>
    <w:rsid w:val="004E2590"/>
    <w:rsid w:val="004E2748"/>
    <w:rsid w:val="004E2A13"/>
    <w:rsid w:val="004E2D88"/>
    <w:rsid w:val="004E2EE0"/>
    <w:rsid w:val="004E2EF1"/>
    <w:rsid w:val="004E3555"/>
    <w:rsid w:val="004E35E3"/>
    <w:rsid w:val="004E43DD"/>
    <w:rsid w:val="004E46FD"/>
    <w:rsid w:val="004E48B0"/>
    <w:rsid w:val="004E48EE"/>
    <w:rsid w:val="004E4D00"/>
    <w:rsid w:val="004E5089"/>
    <w:rsid w:val="004E5317"/>
    <w:rsid w:val="004E5665"/>
    <w:rsid w:val="004E569F"/>
    <w:rsid w:val="004E5AD3"/>
    <w:rsid w:val="004E5F2A"/>
    <w:rsid w:val="004E630D"/>
    <w:rsid w:val="004E6424"/>
    <w:rsid w:val="004E692D"/>
    <w:rsid w:val="004E6AF1"/>
    <w:rsid w:val="004E7230"/>
    <w:rsid w:val="004E7291"/>
    <w:rsid w:val="004E766C"/>
    <w:rsid w:val="004E7797"/>
    <w:rsid w:val="004E79C9"/>
    <w:rsid w:val="004E7D87"/>
    <w:rsid w:val="004E7E46"/>
    <w:rsid w:val="004F00FC"/>
    <w:rsid w:val="004F0239"/>
    <w:rsid w:val="004F0ACA"/>
    <w:rsid w:val="004F18CE"/>
    <w:rsid w:val="004F1B91"/>
    <w:rsid w:val="004F1D3C"/>
    <w:rsid w:val="004F22B2"/>
    <w:rsid w:val="004F24B9"/>
    <w:rsid w:val="004F2505"/>
    <w:rsid w:val="004F2553"/>
    <w:rsid w:val="004F2581"/>
    <w:rsid w:val="004F2657"/>
    <w:rsid w:val="004F27F1"/>
    <w:rsid w:val="004F28EF"/>
    <w:rsid w:val="004F2F44"/>
    <w:rsid w:val="004F302C"/>
    <w:rsid w:val="004F306A"/>
    <w:rsid w:val="004F355D"/>
    <w:rsid w:val="004F38F6"/>
    <w:rsid w:val="004F3C95"/>
    <w:rsid w:val="004F4158"/>
    <w:rsid w:val="004F4254"/>
    <w:rsid w:val="004F4AF1"/>
    <w:rsid w:val="004F4CB3"/>
    <w:rsid w:val="004F4E47"/>
    <w:rsid w:val="004F4F6C"/>
    <w:rsid w:val="004F50A7"/>
    <w:rsid w:val="004F5715"/>
    <w:rsid w:val="004F5750"/>
    <w:rsid w:val="004F5763"/>
    <w:rsid w:val="004F589C"/>
    <w:rsid w:val="004F59AC"/>
    <w:rsid w:val="004F59F6"/>
    <w:rsid w:val="004F5B95"/>
    <w:rsid w:val="004F5D26"/>
    <w:rsid w:val="004F607F"/>
    <w:rsid w:val="004F671B"/>
    <w:rsid w:val="004F6740"/>
    <w:rsid w:val="004F6A74"/>
    <w:rsid w:val="004F6BB2"/>
    <w:rsid w:val="004F727E"/>
    <w:rsid w:val="004F72CA"/>
    <w:rsid w:val="004F741B"/>
    <w:rsid w:val="004F758A"/>
    <w:rsid w:val="004F7ABE"/>
    <w:rsid w:val="004F7E9B"/>
    <w:rsid w:val="00500229"/>
    <w:rsid w:val="00500CC4"/>
    <w:rsid w:val="00500D73"/>
    <w:rsid w:val="00500E6C"/>
    <w:rsid w:val="00501408"/>
    <w:rsid w:val="00501554"/>
    <w:rsid w:val="00501692"/>
    <w:rsid w:val="00501BE0"/>
    <w:rsid w:val="0050229C"/>
    <w:rsid w:val="00502761"/>
    <w:rsid w:val="00502AFE"/>
    <w:rsid w:val="00502E64"/>
    <w:rsid w:val="00502FB0"/>
    <w:rsid w:val="00502FE6"/>
    <w:rsid w:val="0050305C"/>
    <w:rsid w:val="00503AD7"/>
    <w:rsid w:val="00503E89"/>
    <w:rsid w:val="005043CE"/>
    <w:rsid w:val="00504A27"/>
    <w:rsid w:val="00504CD9"/>
    <w:rsid w:val="00504E0C"/>
    <w:rsid w:val="00504E13"/>
    <w:rsid w:val="00505159"/>
    <w:rsid w:val="0050527D"/>
    <w:rsid w:val="0050549F"/>
    <w:rsid w:val="005054E8"/>
    <w:rsid w:val="00505ACA"/>
    <w:rsid w:val="005064DC"/>
    <w:rsid w:val="005068BD"/>
    <w:rsid w:val="00506AF6"/>
    <w:rsid w:val="00506D31"/>
    <w:rsid w:val="00507013"/>
    <w:rsid w:val="00507C36"/>
    <w:rsid w:val="0051040F"/>
    <w:rsid w:val="005109D4"/>
    <w:rsid w:val="00510C52"/>
    <w:rsid w:val="00510DCC"/>
    <w:rsid w:val="00511B16"/>
    <w:rsid w:val="0051230A"/>
    <w:rsid w:val="0051244D"/>
    <w:rsid w:val="00512D5A"/>
    <w:rsid w:val="00512EB7"/>
    <w:rsid w:val="00512EBC"/>
    <w:rsid w:val="00512EC4"/>
    <w:rsid w:val="0051333E"/>
    <w:rsid w:val="00513390"/>
    <w:rsid w:val="00513468"/>
    <w:rsid w:val="00513B40"/>
    <w:rsid w:val="00513C2B"/>
    <w:rsid w:val="00514175"/>
    <w:rsid w:val="00514204"/>
    <w:rsid w:val="0051435D"/>
    <w:rsid w:val="005146BB"/>
    <w:rsid w:val="005147D2"/>
    <w:rsid w:val="00514A7B"/>
    <w:rsid w:val="00514CD7"/>
    <w:rsid w:val="00514DC6"/>
    <w:rsid w:val="00514EF3"/>
    <w:rsid w:val="00515277"/>
    <w:rsid w:val="00515A81"/>
    <w:rsid w:val="00516087"/>
    <w:rsid w:val="005161FF"/>
    <w:rsid w:val="00516339"/>
    <w:rsid w:val="00516341"/>
    <w:rsid w:val="005167EC"/>
    <w:rsid w:val="00516ABE"/>
    <w:rsid w:val="00516D83"/>
    <w:rsid w:val="005170DA"/>
    <w:rsid w:val="00517331"/>
    <w:rsid w:val="0051779C"/>
    <w:rsid w:val="00517BA6"/>
    <w:rsid w:val="005202B0"/>
    <w:rsid w:val="00520390"/>
    <w:rsid w:val="00520706"/>
    <w:rsid w:val="0052089C"/>
    <w:rsid w:val="00520D6A"/>
    <w:rsid w:val="00521988"/>
    <w:rsid w:val="00521F22"/>
    <w:rsid w:val="00522128"/>
    <w:rsid w:val="00522DB6"/>
    <w:rsid w:val="00522EF4"/>
    <w:rsid w:val="005234F0"/>
    <w:rsid w:val="0052363E"/>
    <w:rsid w:val="00523CF2"/>
    <w:rsid w:val="0052415D"/>
    <w:rsid w:val="005244C5"/>
    <w:rsid w:val="00524517"/>
    <w:rsid w:val="00524798"/>
    <w:rsid w:val="0052485F"/>
    <w:rsid w:val="00524AD9"/>
    <w:rsid w:val="00525301"/>
    <w:rsid w:val="00525B01"/>
    <w:rsid w:val="0052604B"/>
    <w:rsid w:val="005260B4"/>
    <w:rsid w:val="00526119"/>
    <w:rsid w:val="005261E4"/>
    <w:rsid w:val="005264A7"/>
    <w:rsid w:val="005265D0"/>
    <w:rsid w:val="005267C9"/>
    <w:rsid w:val="005267E4"/>
    <w:rsid w:val="00526A91"/>
    <w:rsid w:val="00526B0E"/>
    <w:rsid w:val="00526D66"/>
    <w:rsid w:val="00526DD6"/>
    <w:rsid w:val="00526E67"/>
    <w:rsid w:val="005272CA"/>
    <w:rsid w:val="00527550"/>
    <w:rsid w:val="0052792D"/>
    <w:rsid w:val="00530048"/>
    <w:rsid w:val="00530561"/>
    <w:rsid w:val="00530D36"/>
    <w:rsid w:val="00530F3B"/>
    <w:rsid w:val="0053176D"/>
    <w:rsid w:val="00531824"/>
    <w:rsid w:val="0053191C"/>
    <w:rsid w:val="00531957"/>
    <w:rsid w:val="005319B2"/>
    <w:rsid w:val="00531B8C"/>
    <w:rsid w:val="00531D31"/>
    <w:rsid w:val="00531D6B"/>
    <w:rsid w:val="00531D71"/>
    <w:rsid w:val="00531E50"/>
    <w:rsid w:val="00531F45"/>
    <w:rsid w:val="00532138"/>
    <w:rsid w:val="00532258"/>
    <w:rsid w:val="00532402"/>
    <w:rsid w:val="00532C74"/>
    <w:rsid w:val="00532C87"/>
    <w:rsid w:val="0053314D"/>
    <w:rsid w:val="0053319E"/>
    <w:rsid w:val="005331F2"/>
    <w:rsid w:val="00533239"/>
    <w:rsid w:val="00533246"/>
    <w:rsid w:val="00533525"/>
    <w:rsid w:val="00533727"/>
    <w:rsid w:val="00533A64"/>
    <w:rsid w:val="00533F39"/>
    <w:rsid w:val="00533FB9"/>
    <w:rsid w:val="005343B4"/>
    <w:rsid w:val="00534614"/>
    <w:rsid w:val="005346D8"/>
    <w:rsid w:val="00534E2E"/>
    <w:rsid w:val="00534F0C"/>
    <w:rsid w:val="00535133"/>
    <w:rsid w:val="005355DC"/>
    <w:rsid w:val="00535A76"/>
    <w:rsid w:val="00535CCC"/>
    <w:rsid w:val="00535FAE"/>
    <w:rsid w:val="005363BC"/>
    <w:rsid w:val="005368FD"/>
    <w:rsid w:val="005371CF"/>
    <w:rsid w:val="00537892"/>
    <w:rsid w:val="00537BFB"/>
    <w:rsid w:val="005402B5"/>
    <w:rsid w:val="0054057B"/>
    <w:rsid w:val="005405E2"/>
    <w:rsid w:val="0054064C"/>
    <w:rsid w:val="005408CA"/>
    <w:rsid w:val="00540A75"/>
    <w:rsid w:val="00540AB4"/>
    <w:rsid w:val="00540D38"/>
    <w:rsid w:val="00541128"/>
    <w:rsid w:val="005411B7"/>
    <w:rsid w:val="005413D7"/>
    <w:rsid w:val="00541402"/>
    <w:rsid w:val="00541496"/>
    <w:rsid w:val="00541851"/>
    <w:rsid w:val="00541C1B"/>
    <w:rsid w:val="00541D78"/>
    <w:rsid w:val="00541F3E"/>
    <w:rsid w:val="0054230E"/>
    <w:rsid w:val="00542BBA"/>
    <w:rsid w:val="00542DFD"/>
    <w:rsid w:val="005431DE"/>
    <w:rsid w:val="005433F8"/>
    <w:rsid w:val="00543859"/>
    <w:rsid w:val="00544091"/>
    <w:rsid w:val="00544552"/>
    <w:rsid w:val="0054506D"/>
    <w:rsid w:val="00545130"/>
    <w:rsid w:val="00545EC6"/>
    <w:rsid w:val="0054669F"/>
    <w:rsid w:val="00546801"/>
    <w:rsid w:val="00546B36"/>
    <w:rsid w:val="0054718E"/>
    <w:rsid w:val="00547415"/>
    <w:rsid w:val="005474ED"/>
    <w:rsid w:val="005477A4"/>
    <w:rsid w:val="00547A94"/>
    <w:rsid w:val="00547ECA"/>
    <w:rsid w:val="0055049A"/>
    <w:rsid w:val="00550E8D"/>
    <w:rsid w:val="00551034"/>
    <w:rsid w:val="00551783"/>
    <w:rsid w:val="00551E13"/>
    <w:rsid w:val="0055241D"/>
    <w:rsid w:val="0055280E"/>
    <w:rsid w:val="0055286A"/>
    <w:rsid w:val="00552A75"/>
    <w:rsid w:val="00552AEB"/>
    <w:rsid w:val="00552BA5"/>
    <w:rsid w:val="00552FD0"/>
    <w:rsid w:val="00553385"/>
    <w:rsid w:val="005534B4"/>
    <w:rsid w:val="005534C3"/>
    <w:rsid w:val="005535AC"/>
    <w:rsid w:val="00553866"/>
    <w:rsid w:val="00553C31"/>
    <w:rsid w:val="00553C42"/>
    <w:rsid w:val="00554097"/>
    <w:rsid w:val="005542DB"/>
    <w:rsid w:val="00554409"/>
    <w:rsid w:val="0055508B"/>
    <w:rsid w:val="005551D8"/>
    <w:rsid w:val="00555374"/>
    <w:rsid w:val="00555745"/>
    <w:rsid w:val="00555767"/>
    <w:rsid w:val="00555BDE"/>
    <w:rsid w:val="00556518"/>
    <w:rsid w:val="0055651C"/>
    <w:rsid w:val="00556E37"/>
    <w:rsid w:val="005571A1"/>
    <w:rsid w:val="00557461"/>
    <w:rsid w:val="00557D4F"/>
    <w:rsid w:val="00557D5D"/>
    <w:rsid w:val="005600FF"/>
    <w:rsid w:val="00560445"/>
    <w:rsid w:val="0056099A"/>
    <w:rsid w:val="005609E4"/>
    <w:rsid w:val="0056122E"/>
    <w:rsid w:val="00561329"/>
    <w:rsid w:val="0056161C"/>
    <w:rsid w:val="00562A76"/>
    <w:rsid w:val="0056302A"/>
    <w:rsid w:val="00563102"/>
    <w:rsid w:val="0056316C"/>
    <w:rsid w:val="0056319C"/>
    <w:rsid w:val="005631CF"/>
    <w:rsid w:val="00563352"/>
    <w:rsid w:val="0056484E"/>
    <w:rsid w:val="00564DFE"/>
    <w:rsid w:val="00564FA4"/>
    <w:rsid w:val="00565298"/>
    <w:rsid w:val="00565459"/>
    <w:rsid w:val="005655F2"/>
    <w:rsid w:val="00565999"/>
    <w:rsid w:val="00565D92"/>
    <w:rsid w:val="00566338"/>
    <w:rsid w:val="00566E87"/>
    <w:rsid w:val="0056758C"/>
    <w:rsid w:val="00567636"/>
    <w:rsid w:val="00567728"/>
    <w:rsid w:val="00567D8A"/>
    <w:rsid w:val="0057001F"/>
    <w:rsid w:val="00570231"/>
    <w:rsid w:val="00570252"/>
    <w:rsid w:val="005702F4"/>
    <w:rsid w:val="0057046B"/>
    <w:rsid w:val="00570507"/>
    <w:rsid w:val="00571064"/>
    <w:rsid w:val="005714B7"/>
    <w:rsid w:val="00571D37"/>
    <w:rsid w:val="00571FA2"/>
    <w:rsid w:val="00572315"/>
    <w:rsid w:val="00572386"/>
    <w:rsid w:val="0057275E"/>
    <w:rsid w:val="00572A7D"/>
    <w:rsid w:val="00572BCF"/>
    <w:rsid w:val="005730B4"/>
    <w:rsid w:val="0057348C"/>
    <w:rsid w:val="0057378B"/>
    <w:rsid w:val="00573A4D"/>
    <w:rsid w:val="00573A6D"/>
    <w:rsid w:val="00573BDF"/>
    <w:rsid w:val="00573E68"/>
    <w:rsid w:val="0057445F"/>
    <w:rsid w:val="00574583"/>
    <w:rsid w:val="005746A1"/>
    <w:rsid w:val="00574BCF"/>
    <w:rsid w:val="005750E9"/>
    <w:rsid w:val="00576053"/>
    <w:rsid w:val="0057617D"/>
    <w:rsid w:val="005764CD"/>
    <w:rsid w:val="00576E30"/>
    <w:rsid w:val="00576F5A"/>
    <w:rsid w:val="00577037"/>
    <w:rsid w:val="0057703E"/>
    <w:rsid w:val="005770DC"/>
    <w:rsid w:val="0057731B"/>
    <w:rsid w:val="005773C9"/>
    <w:rsid w:val="00577724"/>
    <w:rsid w:val="00577A69"/>
    <w:rsid w:val="00577ABD"/>
    <w:rsid w:val="00577C4D"/>
    <w:rsid w:val="00577CAF"/>
    <w:rsid w:val="00577CEB"/>
    <w:rsid w:val="00580532"/>
    <w:rsid w:val="00580BB0"/>
    <w:rsid w:val="0058130C"/>
    <w:rsid w:val="005816C8"/>
    <w:rsid w:val="00581932"/>
    <w:rsid w:val="005819D8"/>
    <w:rsid w:val="00581DDC"/>
    <w:rsid w:val="00581F44"/>
    <w:rsid w:val="00582691"/>
    <w:rsid w:val="00582A46"/>
    <w:rsid w:val="00582B52"/>
    <w:rsid w:val="00582C6B"/>
    <w:rsid w:val="00582D8D"/>
    <w:rsid w:val="00583002"/>
    <w:rsid w:val="0058338D"/>
    <w:rsid w:val="005834AB"/>
    <w:rsid w:val="0058398C"/>
    <w:rsid w:val="00583D7B"/>
    <w:rsid w:val="00584123"/>
    <w:rsid w:val="005841CB"/>
    <w:rsid w:val="005842AE"/>
    <w:rsid w:val="00584492"/>
    <w:rsid w:val="005848E6"/>
    <w:rsid w:val="005849DF"/>
    <w:rsid w:val="00584A75"/>
    <w:rsid w:val="00584CA3"/>
    <w:rsid w:val="0058545C"/>
    <w:rsid w:val="005856D0"/>
    <w:rsid w:val="005856E2"/>
    <w:rsid w:val="00585866"/>
    <w:rsid w:val="005859E5"/>
    <w:rsid w:val="00586091"/>
    <w:rsid w:val="0058612F"/>
    <w:rsid w:val="00586419"/>
    <w:rsid w:val="00586809"/>
    <w:rsid w:val="00586F57"/>
    <w:rsid w:val="005870CA"/>
    <w:rsid w:val="00587127"/>
    <w:rsid w:val="005873A1"/>
    <w:rsid w:val="005873BB"/>
    <w:rsid w:val="005873CB"/>
    <w:rsid w:val="00590246"/>
    <w:rsid w:val="005902D1"/>
    <w:rsid w:val="005903BB"/>
    <w:rsid w:val="005903F9"/>
    <w:rsid w:val="0059044D"/>
    <w:rsid w:val="005909A0"/>
    <w:rsid w:val="00590D8D"/>
    <w:rsid w:val="00591604"/>
    <w:rsid w:val="005916F1"/>
    <w:rsid w:val="00591B7B"/>
    <w:rsid w:val="00591CC1"/>
    <w:rsid w:val="0059215C"/>
    <w:rsid w:val="00592194"/>
    <w:rsid w:val="005924B6"/>
    <w:rsid w:val="005925EF"/>
    <w:rsid w:val="00592946"/>
    <w:rsid w:val="00592AC3"/>
    <w:rsid w:val="00592DAA"/>
    <w:rsid w:val="0059302D"/>
    <w:rsid w:val="005930CE"/>
    <w:rsid w:val="0059310D"/>
    <w:rsid w:val="00593579"/>
    <w:rsid w:val="00593626"/>
    <w:rsid w:val="0059369C"/>
    <w:rsid w:val="00593893"/>
    <w:rsid w:val="00593ADE"/>
    <w:rsid w:val="00593B72"/>
    <w:rsid w:val="00593C2E"/>
    <w:rsid w:val="00593E82"/>
    <w:rsid w:val="00593EAA"/>
    <w:rsid w:val="00593FB7"/>
    <w:rsid w:val="00594167"/>
    <w:rsid w:val="005946A1"/>
    <w:rsid w:val="005949B8"/>
    <w:rsid w:val="00594A33"/>
    <w:rsid w:val="00594B88"/>
    <w:rsid w:val="00594D82"/>
    <w:rsid w:val="005955C0"/>
    <w:rsid w:val="00595F87"/>
    <w:rsid w:val="005961B7"/>
    <w:rsid w:val="005963BB"/>
    <w:rsid w:val="0059645C"/>
    <w:rsid w:val="00596599"/>
    <w:rsid w:val="00596995"/>
    <w:rsid w:val="005969FA"/>
    <w:rsid w:val="00596D37"/>
    <w:rsid w:val="00596D3B"/>
    <w:rsid w:val="00596DFB"/>
    <w:rsid w:val="005970A6"/>
    <w:rsid w:val="00597395"/>
    <w:rsid w:val="00597522"/>
    <w:rsid w:val="005976C6"/>
    <w:rsid w:val="005978D3"/>
    <w:rsid w:val="00597AB4"/>
    <w:rsid w:val="005A0059"/>
    <w:rsid w:val="005A06B5"/>
    <w:rsid w:val="005A074E"/>
    <w:rsid w:val="005A0BED"/>
    <w:rsid w:val="005A0DC1"/>
    <w:rsid w:val="005A0ED2"/>
    <w:rsid w:val="005A1041"/>
    <w:rsid w:val="005A1045"/>
    <w:rsid w:val="005A12B6"/>
    <w:rsid w:val="005A15D2"/>
    <w:rsid w:val="005A18D7"/>
    <w:rsid w:val="005A1BC0"/>
    <w:rsid w:val="005A1C92"/>
    <w:rsid w:val="005A2088"/>
    <w:rsid w:val="005A2653"/>
    <w:rsid w:val="005A2815"/>
    <w:rsid w:val="005A2CCB"/>
    <w:rsid w:val="005A2FA0"/>
    <w:rsid w:val="005A3173"/>
    <w:rsid w:val="005A31D4"/>
    <w:rsid w:val="005A3202"/>
    <w:rsid w:val="005A3223"/>
    <w:rsid w:val="005A3333"/>
    <w:rsid w:val="005A33B9"/>
    <w:rsid w:val="005A35E1"/>
    <w:rsid w:val="005A3A78"/>
    <w:rsid w:val="005A3B44"/>
    <w:rsid w:val="005A3D08"/>
    <w:rsid w:val="005A3D90"/>
    <w:rsid w:val="005A3DA3"/>
    <w:rsid w:val="005A3DAD"/>
    <w:rsid w:val="005A3F2A"/>
    <w:rsid w:val="005A42AD"/>
    <w:rsid w:val="005A4354"/>
    <w:rsid w:val="005A4608"/>
    <w:rsid w:val="005A49F2"/>
    <w:rsid w:val="005A4BE5"/>
    <w:rsid w:val="005A4F54"/>
    <w:rsid w:val="005A4F5D"/>
    <w:rsid w:val="005A52C4"/>
    <w:rsid w:val="005A63A1"/>
    <w:rsid w:val="005A6474"/>
    <w:rsid w:val="005A67A7"/>
    <w:rsid w:val="005A68A6"/>
    <w:rsid w:val="005A6B5D"/>
    <w:rsid w:val="005A6D1D"/>
    <w:rsid w:val="005A6EE7"/>
    <w:rsid w:val="005A7227"/>
    <w:rsid w:val="005A76BF"/>
    <w:rsid w:val="005A78F3"/>
    <w:rsid w:val="005A79C9"/>
    <w:rsid w:val="005A79D3"/>
    <w:rsid w:val="005A7EB2"/>
    <w:rsid w:val="005B00A4"/>
    <w:rsid w:val="005B012D"/>
    <w:rsid w:val="005B0486"/>
    <w:rsid w:val="005B0579"/>
    <w:rsid w:val="005B0937"/>
    <w:rsid w:val="005B0A8B"/>
    <w:rsid w:val="005B0B97"/>
    <w:rsid w:val="005B0CB8"/>
    <w:rsid w:val="005B1032"/>
    <w:rsid w:val="005B1473"/>
    <w:rsid w:val="005B2034"/>
    <w:rsid w:val="005B2104"/>
    <w:rsid w:val="005B22DA"/>
    <w:rsid w:val="005B24B5"/>
    <w:rsid w:val="005B2729"/>
    <w:rsid w:val="005B27E3"/>
    <w:rsid w:val="005B312A"/>
    <w:rsid w:val="005B335E"/>
    <w:rsid w:val="005B35FE"/>
    <w:rsid w:val="005B36FA"/>
    <w:rsid w:val="005B38C7"/>
    <w:rsid w:val="005B3FB1"/>
    <w:rsid w:val="005B4494"/>
    <w:rsid w:val="005B478A"/>
    <w:rsid w:val="005B47AD"/>
    <w:rsid w:val="005B5030"/>
    <w:rsid w:val="005B5764"/>
    <w:rsid w:val="005B5A6F"/>
    <w:rsid w:val="005B641D"/>
    <w:rsid w:val="005B6E71"/>
    <w:rsid w:val="005B7A5D"/>
    <w:rsid w:val="005B7A9B"/>
    <w:rsid w:val="005B7C11"/>
    <w:rsid w:val="005B7D63"/>
    <w:rsid w:val="005C00C0"/>
    <w:rsid w:val="005C0577"/>
    <w:rsid w:val="005C120A"/>
    <w:rsid w:val="005C1615"/>
    <w:rsid w:val="005C183C"/>
    <w:rsid w:val="005C1CEF"/>
    <w:rsid w:val="005C1D74"/>
    <w:rsid w:val="005C246B"/>
    <w:rsid w:val="005C2A68"/>
    <w:rsid w:val="005C2E78"/>
    <w:rsid w:val="005C2F9E"/>
    <w:rsid w:val="005C30C7"/>
    <w:rsid w:val="005C3287"/>
    <w:rsid w:val="005C34D3"/>
    <w:rsid w:val="005C3BA8"/>
    <w:rsid w:val="005C43F3"/>
    <w:rsid w:val="005C46B7"/>
    <w:rsid w:val="005C4855"/>
    <w:rsid w:val="005C48A7"/>
    <w:rsid w:val="005C4E04"/>
    <w:rsid w:val="005C4E81"/>
    <w:rsid w:val="005C4F73"/>
    <w:rsid w:val="005C5349"/>
    <w:rsid w:val="005C5772"/>
    <w:rsid w:val="005C592A"/>
    <w:rsid w:val="005C641A"/>
    <w:rsid w:val="005C6523"/>
    <w:rsid w:val="005C671A"/>
    <w:rsid w:val="005C6B07"/>
    <w:rsid w:val="005C6D4D"/>
    <w:rsid w:val="005C6D76"/>
    <w:rsid w:val="005C7182"/>
    <w:rsid w:val="005C75BF"/>
    <w:rsid w:val="005C7BF0"/>
    <w:rsid w:val="005D000A"/>
    <w:rsid w:val="005D03AB"/>
    <w:rsid w:val="005D1F99"/>
    <w:rsid w:val="005D203D"/>
    <w:rsid w:val="005D2075"/>
    <w:rsid w:val="005D211A"/>
    <w:rsid w:val="005D237D"/>
    <w:rsid w:val="005D255D"/>
    <w:rsid w:val="005D28F3"/>
    <w:rsid w:val="005D2E17"/>
    <w:rsid w:val="005D31B4"/>
    <w:rsid w:val="005D367F"/>
    <w:rsid w:val="005D396E"/>
    <w:rsid w:val="005D3BD7"/>
    <w:rsid w:val="005D401D"/>
    <w:rsid w:val="005D4179"/>
    <w:rsid w:val="005D4D73"/>
    <w:rsid w:val="005D5017"/>
    <w:rsid w:val="005D5245"/>
    <w:rsid w:val="005D5708"/>
    <w:rsid w:val="005D572A"/>
    <w:rsid w:val="005D5B11"/>
    <w:rsid w:val="005D5C92"/>
    <w:rsid w:val="005D5FE5"/>
    <w:rsid w:val="005D63FA"/>
    <w:rsid w:val="005D6401"/>
    <w:rsid w:val="005D643D"/>
    <w:rsid w:val="005D698D"/>
    <w:rsid w:val="005D6AA9"/>
    <w:rsid w:val="005D6CF2"/>
    <w:rsid w:val="005D73C7"/>
    <w:rsid w:val="005D7762"/>
    <w:rsid w:val="005D7875"/>
    <w:rsid w:val="005E0050"/>
    <w:rsid w:val="005E04D4"/>
    <w:rsid w:val="005E068D"/>
    <w:rsid w:val="005E0922"/>
    <w:rsid w:val="005E0BDE"/>
    <w:rsid w:val="005E0C2D"/>
    <w:rsid w:val="005E0D82"/>
    <w:rsid w:val="005E0F59"/>
    <w:rsid w:val="005E12F7"/>
    <w:rsid w:val="005E1333"/>
    <w:rsid w:val="005E194B"/>
    <w:rsid w:val="005E19F7"/>
    <w:rsid w:val="005E29D8"/>
    <w:rsid w:val="005E2B3E"/>
    <w:rsid w:val="005E2C95"/>
    <w:rsid w:val="005E2F61"/>
    <w:rsid w:val="005E3136"/>
    <w:rsid w:val="005E3375"/>
    <w:rsid w:val="005E354B"/>
    <w:rsid w:val="005E35A9"/>
    <w:rsid w:val="005E366B"/>
    <w:rsid w:val="005E3B30"/>
    <w:rsid w:val="005E3CDA"/>
    <w:rsid w:val="005E42F2"/>
    <w:rsid w:val="005E43B8"/>
    <w:rsid w:val="005E4513"/>
    <w:rsid w:val="005E492B"/>
    <w:rsid w:val="005E4BDA"/>
    <w:rsid w:val="005E4C8C"/>
    <w:rsid w:val="005E4E38"/>
    <w:rsid w:val="005E507D"/>
    <w:rsid w:val="005E515E"/>
    <w:rsid w:val="005E5232"/>
    <w:rsid w:val="005E5413"/>
    <w:rsid w:val="005E54CD"/>
    <w:rsid w:val="005E5786"/>
    <w:rsid w:val="005E5A10"/>
    <w:rsid w:val="005E5E11"/>
    <w:rsid w:val="005E5EFB"/>
    <w:rsid w:val="005E6079"/>
    <w:rsid w:val="005E635B"/>
    <w:rsid w:val="005E6411"/>
    <w:rsid w:val="005E6C9E"/>
    <w:rsid w:val="005E7100"/>
    <w:rsid w:val="005E7B38"/>
    <w:rsid w:val="005F051F"/>
    <w:rsid w:val="005F07F5"/>
    <w:rsid w:val="005F0AD0"/>
    <w:rsid w:val="005F0B7A"/>
    <w:rsid w:val="005F0C3F"/>
    <w:rsid w:val="005F0F92"/>
    <w:rsid w:val="005F11F7"/>
    <w:rsid w:val="005F12D7"/>
    <w:rsid w:val="005F1605"/>
    <w:rsid w:val="005F187F"/>
    <w:rsid w:val="005F1995"/>
    <w:rsid w:val="005F1DB5"/>
    <w:rsid w:val="005F1E74"/>
    <w:rsid w:val="005F1F68"/>
    <w:rsid w:val="005F2121"/>
    <w:rsid w:val="005F212E"/>
    <w:rsid w:val="005F24F2"/>
    <w:rsid w:val="005F2582"/>
    <w:rsid w:val="005F25B0"/>
    <w:rsid w:val="005F27AE"/>
    <w:rsid w:val="005F2810"/>
    <w:rsid w:val="005F2C11"/>
    <w:rsid w:val="005F2EFA"/>
    <w:rsid w:val="005F3175"/>
    <w:rsid w:val="005F3B24"/>
    <w:rsid w:val="005F3BC8"/>
    <w:rsid w:val="005F4ADD"/>
    <w:rsid w:val="005F4F47"/>
    <w:rsid w:val="005F561B"/>
    <w:rsid w:val="005F594A"/>
    <w:rsid w:val="005F5C85"/>
    <w:rsid w:val="005F65DB"/>
    <w:rsid w:val="005F6612"/>
    <w:rsid w:val="005F6701"/>
    <w:rsid w:val="005F692E"/>
    <w:rsid w:val="005F6BD5"/>
    <w:rsid w:val="005F6CC9"/>
    <w:rsid w:val="005F6FFE"/>
    <w:rsid w:val="005F70FF"/>
    <w:rsid w:val="005F7255"/>
    <w:rsid w:val="005F751E"/>
    <w:rsid w:val="005F7670"/>
    <w:rsid w:val="005F7C44"/>
    <w:rsid w:val="005F7C78"/>
    <w:rsid w:val="005F7DA7"/>
    <w:rsid w:val="00600445"/>
    <w:rsid w:val="0060056E"/>
    <w:rsid w:val="00600A18"/>
    <w:rsid w:val="00600EF0"/>
    <w:rsid w:val="00600F32"/>
    <w:rsid w:val="00601467"/>
    <w:rsid w:val="00601477"/>
    <w:rsid w:val="006014C8"/>
    <w:rsid w:val="00601A91"/>
    <w:rsid w:val="00601AC7"/>
    <w:rsid w:val="00601E49"/>
    <w:rsid w:val="00602063"/>
    <w:rsid w:val="00602BA3"/>
    <w:rsid w:val="00602CF0"/>
    <w:rsid w:val="00603587"/>
    <w:rsid w:val="00603595"/>
    <w:rsid w:val="00603834"/>
    <w:rsid w:val="00603C18"/>
    <w:rsid w:val="00603C87"/>
    <w:rsid w:val="00604112"/>
    <w:rsid w:val="00604437"/>
    <w:rsid w:val="00604BEC"/>
    <w:rsid w:val="00604DEF"/>
    <w:rsid w:val="00604F94"/>
    <w:rsid w:val="00605164"/>
    <w:rsid w:val="0060570F"/>
    <w:rsid w:val="00605B63"/>
    <w:rsid w:val="00605C21"/>
    <w:rsid w:val="00605CCD"/>
    <w:rsid w:val="00605DD8"/>
    <w:rsid w:val="00605F9A"/>
    <w:rsid w:val="00606367"/>
    <w:rsid w:val="00606407"/>
    <w:rsid w:val="00606442"/>
    <w:rsid w:val="00606743"/>
    <w:rsid w:val="006068AB"/>
    <w:rsid w:val="00606A7B"/>
    <w:rsid w:val="00606B96"/>
    <w:rsid w:val="00606CA1"/>
    <w:rsid w:val="00606EED"/>
    <w:rsid w:val="00607773"/>
    <w:rsid w:val="00607C60"/>
    <w:rsid w:val="00607DDB"/>
    <w:rsid w:val="00610469"/>
    <w:rsid w:val="006108CA"/>
    <w:rsid w:val="00610AF0"/>
    <w:rsid w:val="0061100F"/>
    <w:rsid w:val="00611954"/>
    <w:rsid w:val="00611C38"/>
    <w:rsid w:val="0061217B"/>
    <w:rsid w:val="00612706"/>
    <w:rsid w:val="00612715"/>
    <w:rsid w:val="0061289E"/>
    <w:rsid w:val="006128D5"/>
    <w:rsid w:val="006128DC"/>
    <w:rsid w:val="00612A22"/>
    <w:rsid w:val="00612A95"/>
    <w:rsid w:val="00612D71"/>
    <w:rsid w:val="00612E34"/>
    <w:rsid w:val="0061359F"/>
    <w:rsid w:val="00614159"/>
    <w:rsid w:val="00614BC3"/>
    <w:rsid w:val="00615311"/>
    <w:rsid w:val="006158A3"/>
    <w:rsid w:val="00615D93"/>
    <w:rsid w:val="00615F5A"/>
    <w:rsid w:val="00616086"/>
    <w:rsid w:val="00616707"/>
    <w:rsid w:val="006167D9"/>
    <w:rsid w:val="00616938"/>
    <w:rsid w:val="0061694D"/>
    <w:rsid w:val="00616C5F"/>
    <w:rsid w:val="00616DAC"/>
    <w:rsid w:val="00616E58"/>
    <w:rsid w:val="00616E6C"/>
    <w:rsid w:val="006174A4"/>
    <w:rsid w:val="00617725"/>
    <w:rsid w:val="00617C00"/>
    <w:rsid w:val="006200EF"/>
    <w:rsid w:val="006201E8"/>
    <w:rsid w:val="00620612"/>
    <w:rsid w:val="006209B1"/>
    <w:rsid w:val="00620F55"/>
    <w:rsid w:val="0062117A"/>
    <w:rsid w:val="006212ED"/>
    <w:rsid w:val="00621825"/>
    <w:rsid w:val="00621D8F"/>
    <w:rsid w:val="00621D93"/>
    <w:rsid w:val="00621EE9"/>
    <w:rsid w:val="0062225B"/>
    <w:rsid w:val="006224D8"/>
    <w:rsid w:val="00622573"/>
    <w:rsid w:val="0062265F"/>
    <w:rsid w:val="006227EC"/>
    <w:rsid w:val="006228A5"/>
    <w:rsid w:val="006229F4"/>
    <w:rsid w:val="006230C3"/>
    <w:rsid w:val="0062316C"/>
    <w:rsid w:val="0062316F"/>
    <w:rsid w:val="0062322F"/>
    <w:rsid w:val="00623279"/>
    <w:rsid w:val="00623673"/>
    <w:rsid w:val="006239C6"/>
    <w:rsid w:val="00623B13"/>
    <w:rsid w:val="00623F84"/>
    <w:rsid w:val="00624054"/>
    <w:rsid w:val="00624574"/>
    <w:rsid w:val="006246F4"/>
    <w:rsid w:val="00624771"/>
    <w:rsid w:val="00624839"/>
    <w:rsid w:val="00624ADD"/>
    <w:rsid w:val="006256B9"/>
    <w:rsid w:val="006257B8"/>
    <w:rsid w:val="00625B6D"/>
    <w:rsid w:val="006263BF"/>
    <w:rsid w:val="00626A41"/>
    <w:rsid w:val="00626C75"/>
    <w:rsid w:val="00626E9A"/>
    <w:rsid w:val="00626F7D"/>
    <w:rsid w:val="006271E4"/>
    <w:rsid w:val="00627265"/>
    <w:rsid w:val="006272DD"/>
    <w:rsid w:val="0062748A"/>
    <w:rsid w:val="006274B2"/>
    <w:rsid w:val="00627CD7"/>
    <w:rsid w:val="00627DB8"/>
    <w:rsid w:val="00630541"/>
    <w:rsid w:val="00630546"/>
    <w:rsid w:val="006306D8"/>
    <w:rsid w:val="00630942"/>
    <w:rsid w:val="006309C8"/>
    <w:rsid w:val="00630A2C"/>
    <w:rsid w:val="00630B56"/>
    <w:rsid w:val="006310E6"/>
    <w:rsid w:val="006311F6"/>
    <w:rsid w:val="00631510"/>
    <w:rsid w:val="00631774"/>
    <w:rsid w:val="00632180"/>
    <w:rsid w:val="006322FF"/>
    <w:rsid w:val="00632C34"/>
    <w:rsid w:val="00632C64"/>
    <w:rsid w:val="00632C74"/>
    <w:rsid w:val="00632DAE"/>
    <w:rsid w:val="00632F90"/>
    <w:rsid w:val="006333A4"/>
    <w:rsid w:val="006334D7"/>
    <w:rsid w:val="00634043"/>
    <w:rsid w:val="00634442"/>
    <w:rsid w:val="0063475B"/>
    <w:rsid w:val="0063478E"/>
    <w:rsid w:val="00634841"/>
    <w:rsid w:val="00634A75"/>
    <w:rsid w:val="00634C49"/>
    <w:rsid w:val="00635095"/>
    <w:rsid w:val="00635402"/>
    <w:rsid w:val="006355A6"/>
    <w:rsid w:val="00635607"/>
    <w:rsid w:val="00635A10"/>
    <w:rsid w:val="00635A4C"/>
    <w:rsid w:val="00636457"/>
    <w:rsid w:val="006364B8"/>
    <w:rsid w:val="0063682E"/>
    <w:rsid w:val="00636B52"/>
    <w:rsid w:val="00636BE4"/>
    <w:rsid w:val="00636D93"/>
    <w:rsid w:val="00636FF9"/>
    <w:rsid w:val="006373FC"/>
    <w:rsid w:val="00637E5E"/>
    <w:rsid w:val="00640088"/>
    <w:rsid w:val="006405B8"/>
    <w:rsid w:val="0064084E"/>
    <w:rsid w:val="00640D16"/>
    <w:rsid w:val="00640D6E"/>
    <w:rsid w:val="00640F49"/>
    <w:rsid w:val="00641197"/>
    <w:rsid w:val="006411CC"/>
    <w:rsid w:val="00641AA9"/>
    <w:rsid w:val="00642672"/>
    <w:rsid w:val="006426D4"/>
    <w:rsid w:val="00642B68"/>
    <w:rsid w:val="00642DA8"/>
    <w:rsid w:val="006431BF"/>
    <w:rsid w:val="00643247"/>
    <w:rsid w:val="006436CD"/>
    <w:rsid w:val="00644019"/>
    <w:rsid w:val="0064405A"/>
    <w:rsid w:val="0064499A"/>
    <w:rsid w:val="00644D50"/>
    <w:rsid w:val="00644DDA"/>
    <w:rsid w:val="00645039"/>
    <w:rsid w:val="0064533B"/>
    <w:rsid w:val="006453C9"/>
    <w:rsid w:val="006463A8"/>
    <w:rsid w:val="0064648F"/>
    <w:rsid w:val="006464BB"/>
    <w:rsid w:val="00646BFD"/>
    <w:rsid w:val="006470E6"/>
    <w:rsid w:val="0064725F"/>
    <w:rsid w:val="00647345"/>
    <w:rsid w:val="0064751A"/>
    <w:rsid w:val="00647935"/>
    <w:rsid w:val="00647983"/>
    <w:rsid w:val="00647B24"/>
    <w:rsid w:val="0065030B"/>
    <w:rsid w:val="00650809"/>
    <w:rsid w:val="00650976"/>
    <w:rsid w:val="00651169"/>
    <w:rsid w:val="006511C0"/>
    <w:rsid w:val="006514DC"/>
    <w:rsid w:val="006517C1"/>
    <w:rsid w:val="0065185C"/>
    <w:rsid w:val="00651972"/>
    <w:rsid w:val="006519E7"/>
    <w:rsid w:val="00651AEE"/>
    <w:rsid w:val="00652196"/>
    <w:rsid w:val="00652286"/>
    <w:rsid w:val="0065276D"/>
    <w:rsid w:val="0065277E"/>
    <w:rsid w:val="006529A3"/>
    <w:rsid w:val="006532CE"/>
    <w:rsid w:val="006536C8"/>
    <w:rsid w:val="00653D69"/>
    <w:rsid w:val="00653E96"/>
    <w:rsid w:val="00654100"/>
    <w:rsid w:val="006544FF"/>
    <w:rsid w:val="00654650"/>
    <w:rsid w:val="00654AFA"/>
    <w:rsid w:val="00654C1F"/>
    <w:rsid w:val="00654C6D"/>
    <w:rsid w:val="00655218"/>
    <w:rsid w:val="006552E6"/>
    <w:rsid w:val="0065557B"/>
    <w:rsid w:val="00655794"/>
    <w:rsid w:val="00655D5D"/>
    <w:rsid w:val="00655DE8"/>
    <w:rsid w:val="0065620C"/>
    <w:rsid w:val="0065652E"/>
    <w:rsid w:val="006565BD"/>
    <w:rsid w:val="006567AE"/>
    <w:rsid w:val="00656F2F"/>
    <w:rsid w:val="00657303"/>
    <w:rsid w:val="00657440"/>
    <w:rsid w:val="00657475"/>
    <w:rsid w:val="006574C4"/>
    <w:rsid w:val="006575E7"/>
    <w:rsid w:val="00657C08"/>
    <w:rsid w:val="00657C63"/>
    <w:rsid w:val="00657F30"/>
    <w:rsid w:val="006608C7"/>
    <w:rsid w:val="00660FBF"/>
    <w:rsid w:val="006612A3"/>
    <w:rsid w:val="0066132A"/>
    <w:rsid w:val="006613F2"/>
    <w:rsid w:val="006614C6"/>
    <w:rsid w:val="0066158C"/>
    <w:rsid w:val="00661639"/>
    <w:rsid w:val="0066165C"/>
    <w:rsid w:val="00661B10"/>
    <w:rsid w:val="00661CBC"/>
    <w:rsid w:val="0066240C"/>
    <w:rsid w:val="006625B9"/>
    <w:rsid w:val="00662B85"/>
    <w:rsid w:val="00662C8D"/>
    <w:rsid w:val="00662F22"/>
    <w:rsid w:val="0066335B"/>
    <w:rsid w:val="00663417"/>
    <w:rsid w:val="006635E3"/>
    <w:rsid w:val="0066396D"/>
    <w:rsid w:val="00663EE9"/>
    <w:rsid w:val="00664165"/>
    <w:rsid w:val="00664223"/>
    <w:rsid w:val="006643A0"/>
    <w:rsid w:val="006645C0"/>
    <w:rsid w:val="00664987"/>
    <w:rsid w:val="00665290"/>
    <w:rsid w:val="006652F3"/>
    <w:rsid w:val="00665310"/>
    <w:rsid w:val="0066548E"/>
    <w:rsid w:val="006659CB"/>
    <w:rsid w:val="00665ABB"/>
    <w:rsid w:val="0066601E"/>
    <w:rsid w:val="006660E4"/>
    <w:rsid w:val="006667B6"/>
    <w:rsid w:val="006670B3"/>
    <w:rsid w:val="006670BE"/>
    <w:rsid w:val="006679AE"/>
    <w:rsid w:val="006679ED"/>
    <w:rsid w:val="00667AA8"/>
    <w:rsid w:val="00667AF9"/>
    <w:rsid w:val="00667E99"/>
    <w:rsid w:val="00670039"/>
    <w:rsid w:val="006703D9"/>
    <w:rsid w:val="00670A76"/>
    <w:rsid w:val="00670E18"/>
    <w:rsid w:val="006711AA"/>
    <w:rsid w:val="00671643"/>
    <w:rsid w:val="00671B1D"/>
    <w:rsid w:val="006721DB"/>
    <w:rsid w:val="00672B57"/>
    <w:rsid w:val="00672D0A"/>
    <w:rsid w:val="006733D2"/>
    <w:rsid w:val="0067354B"/>
    <w:rsid w:val="00673DDF"/>
    <w:rsid w:val="00673F1F"/>
    <w:rsid w:val="0067400A"/>
    <w:rsid w:val="0067408C"/>
    <w:rsid w:val="0067417C"/>
    <w:rsid w:val="00674CE0"/>
    <w:rsid w:val="006750B1"/>
    <w:rsid w:val="0067539D"/>
    <w:rsid w:val="0067561B"/>
    <w:rsid w:val="00675622"/>
    <w:rsid w:val="006757C9"/>
    <w:rsid w:val="00675BEE"/>
    <w:rsid w:val="00675DEB"/>
    <w:rsid w:val="00675FEB"/>
    <w:rsid w:val="0067613C"/>
    <w:rsid w:val="006761C8"/>
    <w:rsid w:val="00676500"/>
    <w:rsid w:val="00676AC3"/>
    <w:rsid w:val="00676B66"/>
    <w:rsid w:val="00676F4D"/>
    <w:rsid w:val="0067706C"/>
    <w:rsid w:val="0067747D"/>
    <w:rsid w:val="00677985"/>
    <w:rsid w:val="00677B51"/>
    <w:rsid w:val="00677C1A"/>
    <w:rsid w:val="00680342"/>
    <w:rsid w:val="0068046E"/>
    <w:rsid w:val="00681643"/>
    <w:rsid w:val="0068166F"/>
    <w:rsid w:val="006818D5"/>
    <w:rsid w:val="00681968"/>
    <w:rsid w:val="00681CA4"/>
    <w:rsid w:val="0068221A"/>
    <w:rsid w:val="00682424"/>
    <w:rsid w:val="00683636"/>
    <w:rsid w:val="0068398E"/>
    <w:rsid w:val="00683B1C"/>
    <w:rsid w:val="00683F3F"/>
    <w:rsid w:val="00684481"/>
    <w:rsid w:val="006847A6"/>
    <w:rsid w:val="00685636"/>
    <w:rsid w:val="00685E17"/>
    <w:rsid w:val="00685EF5"/>
    <w:rsid w:val="00685FC9"/>
    <w:rsid w:val="00686559"/>
    <w:rsid w:val="00686CBC"/>
    <w:rsid w:val="00686F75"/>
    <w:rsid w:val="006874CD"/>
    <w:rsid w:val="00687744"/>
    <w:rsid w:val="00687903"/>
    <w:rsid w:val="006879C6"/>
    <w:rsid w:val="00687C1E"/>
    <w:rsid w:val="00687F2C"/>
    <w:rsid w:val="0069016C"/>
    <w:rsid w:val="0069039D"/>
    <w:rsid w:val="006906DB"/>
    <w:rsid w:val="006909BC"/>
    <w:rsid w:val="00690EB6"/>
    <w:rsid w:val="00691900"/>
    <w:rsid w:val="006919D3"/>
    <w:rsid w:val="00691A2C"/>
    <w:rsid w:val="00691A91"/>
    <w:rsid w:val="00691E6C"/>
    <w:rsid w:val="00692035"/>
    <w:rsid w:val="006921C1"/>
    <w:rsid w:val="00692211"/>
    <w:rsid w:val="006928A9"/>
    <w:rsid w:val="0069298A"/>
    <w:rsid w:val="00693282"/>
    <w:rsid w:val="00693425"/>
    <w:rsid w:val="0069342D"/>
    <w:rsid w:val="006934D6"/>
    <w:rsid w:val="0069366E"/>
    <w:rsid w:val="0069391E"/>
    <w:rsid w:val="00693AC5"/>
    <w:rsid w:val="00693CAA"/>
    <w:rsid w:val="00693DFB"/>
    <w:rsid w:val="006940F6"/>
    <w:rsid w:val="00694236"/>
    <w:rsid w:val="0069485D"/>
    <w:rsid w:val="006949A4"/>
    <w:rsid w:val="00694D91"/>
    <w:rsid w:val="00694DE3"/>
    <w:rsid w:val="00694FD5"/>
    <w:rsid w:val="0069501D"/>
    <w:rsid w:val="006955E8"/>
    <w:rsid w:val="00695C8A"/>
    <w:rsid w:val="00695DC7"/>
    <w:rsid w:val="00696129"/>
    <w:rsid w:val="00696449"/>
    <w:rsid w:val="00696901"/>
    <w:rsid w:val="00696967"/>
    <w:rsid w:val="00696A0E"/>
    <w:rsid w:val="00696CB6"/>
    <w:rsid w:val="00697755"/>
    <w:rsid w:val="00697947"/>
    <w:rsid w:val="00697B08"/>
    <w:rsid w:val="00697CF2"/>
    <w:rsid w:val="00697D98"/>
    <w:rsid w:val="006A025E"/>
    <w:rsid w:val="006A03B5"/>
    <w:rsid w:val="006A0558"/>
    <w:rsid w:val="006A0AC3"/>
    <w:rsid w:val="006A12A5"/>
    <w:rsid w:val="006A12FD"/>
    <w:rsid w:val="006A1B2D"/>
    <w:rsid w:val="006A1CD8"/>
    <w:rsid w:val="006A1DCD"/>
    <w:rsid w:val="006A1E5A"/>
    <w:rsid w:val="006A1F5E"/>
    <w:rsid w:val="006A207D"/>
    <w:rsid w:val="006A225D"/>
    <w:rsid w:val="006A23E1"/>
    <w:rsid w:val="006A2515"/>
    <w:rsid w:val="006A2BD1"/>
    <w:rsid w:val="006A2E3C"/>
    <w:rsid w:val="006A3B4A"/>
    <w:rsid w:val="006A3BB1"/>
    <w:rsid w:val="006A3C5C"/>
    <w:rsid w:val="006A3D5A"/>
    <w:rsid w:val="006A40B5"/>
    <w:rsid w:val="006A40D7"/>
    <w:rsid w:val="006A45B9"/>
    <w:rsid w:val="006A46DB"/>
    <w:rsid w:val="006A477E"/>
    <w:rsid w:val="006A4911"/>
    <w:rsid w:val="006A4A64"/>
    <w:rsid w:val="006A4BEE"/>
    <w:rsid w:val="006A572D"/>
    <w:rsid w:val="006A57F8"/>
    <w:rsid w:val="006A5962"/>
    <w:rsid w:val="006A5C00"/>
    <w:rsid w:val="006A5E20"/>
    <w:rsid w:val="006A5EEA"/>
    <w:rsid w:val="006A5F10"/>
    <w:rsid w:val="006A6DC5"/>
    <w:rsid w:val="006A6EBE"/>
    <w:rsid w:val="006A70F4"/>
    <w:rsid w:val="006A7261"/>
    <w:rsid w:val="006A753A"/>
    <w:rsid w:val="006A7923"/>
    <w:rsid w:val="006A7B32"/>
    <w:rsid w:val="006A7B77"/>
    <w:rsid w:val="006A7FDD"/>
    <w:rsid w:val="006B00BE"/>
    <w:rsid w:val="006B032D"/>
    <w:rsid w:val="006B0D94"/>
    <w:rsid w:val="006B11F7"/>
    <w:rsid w:val="006B1276"/>
    <w:rsid w:val="006B1342"/>
    <w:rsid w:val="006B16B3"/>
    <w:rsid w:val="006B16B6"/>
    <w:rsid w:val="006B1C0B"/>
    <w:rsid w:val="006B1EA1"/>
    <w:rsid w:val="006B23B9"/>
    <w:rsid w:val="006B2B52"/>
    <w:rsid w:val="006B2D98"/>
    <w:rsid w:val="006B3E9A"/>
    <w:rsid w:val="006B3FC6"/>
    <w:rsid w:val="006B417F"/>
    <w:rsid w:val="006B45C8"/>
    <w:rsid w:val="006B485D"/>
    <w:rsid w:val="006B48BF"/>
    <w:rsid w:val="006B4B77"/>
    <w:rsid w:val="006B4C1B"/>
    <w:rsid w:val="006B5350"/>
    <w:rsid w:val="006B59AA"/>
    <w:rsid w:val="006B5E07"/>
    <w:rsid w:val="006B627A"/>
    <w:rsid w:val="006B66C2"/>
    <w:rsid w:val="006B68C8"/>
    <w:rsid w:val="006B6DCD"/>
    <w:rsid w:val="006B727E"/>
    <w:rsid w:val="006B73D0"/>
    <w:rsid w:val="006B74BD"/>
    <w:rsid w:val="006B753F"/>
    <w:rsid w:val="006B7DDA"/>
    <w:rsid w:val="006C0141"/>
    <w:rsid w:val="006C014E"/>
    <w:rsid w:val="006C01CE"/>
    <w:rsid w:val="006C0418"/>
    <w:rsid w:val="006C047D"/>
    <w:rsid w:val="006C06F5"/>
    <w:rsid w:val="006C0C45"/>
    <w:rsid w:val="006C118F"/>
    <w:rsid w:val="006C1FCC"/>
    <w:rsid w:val="006C1FD9"/>
    <w:rsid w:val="006C20FF"/>
    <w:rsid w:val="006C2806"/>
    <w:rsid w:val="006C2ADD"/>
    <w:rsid w:val="006C2F09"/>
    <w:rsid w:val="006C2F5D"/>
    <w:rsid w:val="006C334C"/>
    <w:rsid w:val="006C38FC"/>
    <w:rsid w:val="006C39C0"/>
    <w:rsid w:val="006C3AA5"/>
    <w:rsid w:val="006C3C15"/>
    <w:rsid w:val="006C46D9"/>
    <w:rsid w:val="006C4B45"/>
    <w:rsid w:val="006C4BCD"/>
    <w:rsid w:val="006C4D70"/>
    <w:rsid w:val="006C51C4"/>
    <w:rsid w:val="006C53C1"/>
    <w:rsid w:val="006C542F"/>
    <w:rsid w:val="006C5AAC"/>
    <w:rsid w:val="006C5B0A"/>
    <w:rsid w:val="006C5BBD"/>
    <w:rsid w:val="006C5F92"/>
    <w:rsid w:val="006C626C"/>
    <w:rsid w:val="006C6744"/>
    <w:rsid w:val="006C6C10"/>
    <w:rsid w:val="006C7015"/>
    <w:rsid w:val="006C708E"/>
    <w:rsid w:val="006C72E6"/>
    <w:rsid w:val="006D005E"/>
    <w:rsid w:val="006D064C"/>
    <w:rsid w:val="006D080F"/>
    <w:rsid w:val="006D091F"/>
    <w:rsid w:val="006D14E7"/>
    <w:rsid w:val="006D2022"/>
    <w:rsid w:val="006D2750"/>
    <w:rsid w:val="006D284C"/>
    <w:rsid w:val="006D2E46"/>
    <w:rsid w:val="006D3531"/>
    <w:rsid w:val="006D388B"/>
    <w:rsid w:val="006D3CF7"/>
    <w:rsid w:val="006D3FB0"/>
    <w:rsid w:val="006D401B"/>
    <w:rsid w:val="006D4320"/>
    <w:rsid w:val="006D4444"/>
    <w:rsid w:val="006D4576"/>
    <w:rsid w:val="006D45FC"/>
    <w:rsid w:val="006D46C1"/>
    <w:rsid w:val="006D4AB3"/>
    <w:rsid w:val="006D4B6C"/>
    <w:rsid w:val="006D4B7B"/>
    <w:rsid w:val="006D5107"/>
    <w:rsid w:val="006D5178"/>
    <w:rsid w:val="006D51D1"/>
    <w:rsid w:val="006D522B"/>
    <w:rsid w:val="006D54D7"/>
    <w:rsid w:val="006D58F9"/>
    <w:rsid w:val="006D5A98"/>
    <w:rsid w:val="006D5FAF"/>
    <w:rsid w:val="006D62A7"/>
    <w:rsid w:val="006D6493"/>
    <w:rsid w:val="006D65CE"/>
    <w:rsid w:val="006D668E"/>
    <w:rsid w:val="006D6A15"/>
    <w:rsid w:val="006D6DC3"/>
    <w:rsid w:val="006D6EC7"/>
    <w:rsid w:val="006D7B05"/>
    <w:rsid w:val="006D7C8E"/>
    <w:rsid w:val="006D7E45"/>
    <w:rsid w:val="006D7F80"/>
    <w:rsid w:val="006E0BBC"/>
    <w:rsid w:val="006E1143"/>
    <w:rsid w:val="006E122E"/>
    <w:rsid w:val="006E1368"/>
    <w:rsid w:val="006E1383"/>
    <w:rsid w:val="006E199E"/>
    <w:rsid w:val="006E1ACD"/>
    <w:rsid w:val="006E1BCD"/>
    <w:rsid w:val="006E1D54"/>
    <w:rsid w:val="006E1E44"/>
    <w:rsid w:val="006E2367"/>
    <w:rsid w:val="006E238E"/>
    <w:rsid w:val="006E260F"/>
    <w:rsid w:val="006E26EB"/>
    <w:rsid w:val="006E2732"/>
    <w:rsid w:val="006E2856"/>
    <w:rsid w:val="006E2994"/>
    <w:rsid w:val="006E2E3E"/>
    <w:rsid w:val="006E30DF"/>
    <w:rsid w:val="006E3B93"/>
    <w:rsid w:val="006E3C19"/>
    <w:rsid w:val="006E3EF4"/>
    <w:rsid w:val="006E410B"/>
    <w:rsid w:val="006E41EB"/>
    <w:rsid w:val="006E461F"/>
    <w:rsid w:val="006E4C60"/>
    <w:rsid w:val="006E4D64"/>
    <w:rsid w:val="006E512B"/>
    <w:rsid w:val="006E54CE"/>
    <w:rsid w:val="006E55ED"/>
    <w:rsid w:val="006E5758"/>
    <w:rsid w:val="006E58BB"/>
    <w:rsid w:val="006E59CD"/>
    <w:rsid w:val="006E5A3D"/>
    <w:rsid w:val="006E5BAE"/>
    <w:rsid w:val="006E5D72"/>
    <w:rsid w:val="006E6E06"/>
    <w:rsid w:val="006E72AE"/>
    <w:rsid w:val="006E73E1"/>
    <w:rsid w:val="006E7699"/>
    <w:rsid w:val="006E7AB5"/>
    <w:rsid w:val="006F00ED"/>
    <w:rsid w:val="006F026F"/>
    <w:rsid w:val="006F0543"/>
    <w:rsid w:val="006F0787"/>
    <w:rsid w:val="006F0A71"/>
    <w:rsid w:val="006F106C"/>
    <w:rsid w:val="006F1AD2"/>
    <w:rsid w:val="006F1C6B"/>
    <w:rsid w:val="006F1D81"/>
    <w:rsid w:val="006F2465"/>
    <w:rsid w:val="006F2976"/>
    <w:rsid w:val="006F2E1A"/>
    <w:rsid w:val="006F2EA5"/>
    <w:rsid w:val="006F2ECE"/>
    <w:rsid w:val="006F2F63"/>
    <w:rsid w:val="006F3528"/>
    <w:rsid w:val="006F3907"/>
    <w:rsid w:val="006F3DED"/>
    <w:rsid w:val="006F3E91"/>
    <w:rsid w:val="006F3F2F"/>
    <w:rsid w:val="006F40C2"/>
    <w:rsid w:val="006F4425"/>
    <w:rsid w:val="006F44C9"/>
    <w:rsid w:val="006F4BC7"/>
    <w:rsid w:val="006F4EAF"/>
    <w:rsid w:val="006F5125"/>
    <w:rsid w:val="006F518D"/>
    <w:rsid w:val="006F531B"/>
    <w:rsid w:val="006F536C"/>
    <w:rsid w:val="006F585C"/>
    <w:rsid w:val="006F60FE"/>
    <w:rsid w:val="006F617B"/>
    <w:rsid w:val="006F62E7"/>
    <w:rsid w:val="006F64C2"/>
    <w:rsid w:val="006F66A1"/>
    <w:rsid w:val="006F699D"/>
    <w:rsid w:val="006F6A7A"/>
    <w:rsid w:val="006F6D41"/>
    <w:rsid w:val="006F6F45"/>
    <w:rsid w:val="006F730C"/>
    <w:rsid w:val="006F733D"/>
    <w:rsid w:val="006F7926"/>
    <w:rsid w:val="006F7C61"/>
    <w:rsid w:val="006F7C6B"/>
    <w:rsid w:val="00700047"/>
    <w:rsid w:val="0070043F"/>
    <w:rsid w:val="00700765"/>
    <w:rsid w:val="007009D6"/>
    <w:rsid w:val="00700E85"/>
    <w:rsid w:val="00701344"/>
    <w:rsid w:val="00701634"/>
    <w:rsid w:val="00701ADD"/>
    <w:rsid w:val="00701DE3"/>
    <w:rsid w:val="0070211E"/>
    <w:rsid w:val="00702959"/>
    <w:rsid w:val="00702B6F"/>
    <w:rsid w:val="00702F4D"/>
    <w:rsid w:val="007030B4"/>
    <w:rsid w:val="00703892"/>
    <w:rsid w:val="00703B52"/>
    <w:rsid w:val="00703B86"/>
    <w:rsid w:val="00703DCB"/>
    <w:rsid w:val="00704069"/>
    <w:rsid w:val="00704ACB"/>
    <w:rsid w:val="00704E98"/>
    <w:rsid w:val="007051BB"/>
    <w:rsid w:val="0070579F"/>
    <w:rsid w:val="007058E7"/>
    <w:rsid w:val="00706557"/>
    <w:rsid w:val="00706A2F"/>
    <w:rsid w:val="00706EEE"/>
    <w:rsid w:val="0070718E"/>
    <w:rsid w:val="007071A0"/>
    <w:rsid w:val="007072C9"/>
    <w:rsid w:val="00707A6B"/>
    <w:rsid w:val="00707E52"/>
    <w:rsid w:val="00710259"/>
    <w:rsid w:val="0071031F"/>
    <w:rsid w:val="00710737"/>
    <w:rsid w:val="0071078F"/>
    <w:rsid w:val="00710F60"/>
    <w:rsid w:val="0071129C"/>
    <w:rsid w:val="00711512"/>
    <w:rsid w:val="00711555"/>
    <w:rsid w:val="007115A1"/>
    <w:rsid w:val="007115C3"/>
    <w:rsid w:val="00711805"/>
    <w:rsid w:val="00711F6B"/>
    <w:rsid w:val="00712323"/>
    <w:rsid w:val="00712463"/>
    <w:rsid w:val="00712472"/>
    <w:rsid w:val="007128AE"/>
    <w:rsid w:val="0071340B"/>
    <w:rsid w:val="0071374B"/>
    <w:rsid w:val="00713B64"/>
    <w:rsid w:val="00713C50"/>
    <w:rsid w:val="00713E2C"/>
    <w:rsid w:val="0071400A"/>
    <w:rsid w:val="00714127"/>
    <w:rsid w:val="00714195"/>
    <w:rsid w:val="00714288"/>
    <w:rsid w:val="0071436D"/>
    <w:rsid w:val="00714378"/>
    <w:rsid w:val="00714531"/>
    <w:rsid w:val="0071463F"/>
    <w:rsid w:val="007146E9"/>
    <w:rsid w:val="007149EA"/>
    <w:rsid w:val="00714C3D"/>
    <w:rsid w:val="00714D8B"/>
    <w:rsid w:val="0071508D"/>
    <w:rsid w:val="00715105"/>
    <w:rsid w:val="007152DB"/>
    <w:rsid w:val="00715BBB"/>
    <w:rsid w:val="0071622F"/>
    <w:rsid w:val="00716808"/>
    <w:rsid w:val="00716C3B"/>
    <w:rsid w:val="007174BB"/>
    <w:rsid w:val="007174EA"/>
    <w:rsid w:val="007179C2"/>
    <w:rsid w:val="00717B49"/>
    <w:rsid w:val="00717DC9"/>
    <w:rsid w:val="007200A9"/>
    <w:rsid w:val="0072025D"/>
    <w:rsid w:val="007202FF"/>
    <w:rsid w:val="00720774"/>
    <w:rsid w:val="00720863"/>
    <w:rsid w:val="007209BE"/>
    <w:rsid w:val="007209D6"/>
    <w:rsid w:val="0072104D"/>
    <w:rsid w:val="0072143F"/>
    <w:rsid w:val="00721BF7"/>
    <w:rsid w:val="007221A9"/>
    <w:rsid w:val="007226C1"/>
    <w:rsid w:val="007226CD"/>
    <w:rsid w:val="00723010"/>
    <w:rsid w:val="007230FF"/>
    <w:rsid w:val="00723328"/>
    <w:rsid w:val="0072354A"/>
    <w:rsid w:val="0072356E"/>
    <w:rsid w:val="007237DE"/>
    <w:rsid w:val="00723AB6"/>
    <w:rsid w:val="00723D24"/>
    <w:rsid w:val="00723D7A"/>
    <w:rsid w:val="00723DDA"/>
    <w:rsid w:val="00723ECA"/>
    <w:rsid w:val="00724146"/>
    <w:rsid w:val="007243C1"/>
    <w:rsid w:val="00724A49"/>
    <w:rsid w:val="00724F36"/>
    <w:rsid w:val="0072502E"/>
    <w:rsid w:val="007251D9"/>
    <w:rsid w:val="0072528E"/>
    <w:rsid w:val="007254AE"/>
    <w:rsid w:val="007257DB"/>
    <w:rsid w:val="00726646"/>
    <w:rsid w:val="007275F4"/>
    <w:rsid w:val="00727680"/>
    <w:rsid w:val="00727701"/>
    <w:rsid w:val="007304A5"/>
    <w:rsid w:val="007304CD"/>
    <w:rsid w:val="00730644"/>
    <w:rsid w:val="00730696"/>
    <w:rsid w:val="007306FE"/>
    <w:rsid w:val="0073093B"/>
    <w:rsid w:val="0073137C"/>
    <w:rsid w:val="007313B8"/>
    <w:rsid w:val="00731C25"/>
    <w:rsid w:val="007321A5"/>
    <w:rsid w:val="00732281"/>
    <w:rsid w:val="0073249A"/>
    <w:rsid w:val="00732655"/>
    <w:rsid w:val="00732A6E"/>
    <w:rsid w:val="00732C00"/>
    <w:rsid w:val="00732CAA"/>
    <w:rsid w:val="007338F3"/>
    <w:rsid w:val="0073403B"/>
    <w:rsid w:val="007340B9"/>
    <w:rsid w:val="007341E5"/>
    <w:rsid w:val="0073431D"/>
    <w:rsid w:val="0073432F"/>
    <w:rsid w:val="0073515C"/>
    <w:rsid w:val="007353D3"/>
    <w:rsid w:val="00735AFB"/>
    <w:rsid w:val="00735C64"/>
    <w:rsid w:val="00735D5D"/>
    <w:rsid w:val="00736113"/>
    <w:rsid w:val="0073672B"/>
    <w:rsid w:val="00736BDF"/>
    <w:rsid w:val="00736C92"/>
    <w:rsid w:val="0073736F"/>
    <w:rsid w:val="00737A00"/>
    <w:rsid w:val="00737B67"/>
    <w:rsid w:val="00737D7C"/>
    <w:rsid w:val="00740089"/>
    <w:rsid w:val="0074027A"/>
    <w:rsid w:val="00740661"/>
    <w:rsid w:val="007406FB"/>
    <w:rsid w:val="00740B53"/>
    <w:rsid w:val="00740C37"/>
    <w:rsid w:val="0074156B"/>
    <w:rsid w:val="00741619"/>
    <w:rsid w:val="007416AC"/>
    <w:rsid w:val="00741901"/>
    <w:rsid w:val="00742885"/>
    <w:rsid w:val="007429C5"/>
    <w:rsid w:val="00742A6D"/>
    <w:rsid w:val="00742B60"/>
    <w:rsid w:val="00742F43"/>
    <w:rsid w:val="00742F6A"/>
    <w:rsid w:val="00742FEF"/>
    <w:rsid w:val="00743412"/>
    <w:rsid w:val="0074356C"/>
    <w:rsid w:val="00743B47"/>
    <w:rsid w:val="00743BF7"/>
    <w:rsid w:val="00743D82"/>
    <w:rsid w:val="00743DF9"/>
    <w:rsid w:val="00743E02"/>
    <w:rsid w:val="00744403"/>
    <w:rsid w:val="00744EF8"/>
    <w:rsid w:val="00745172"/>
    <w:rsid w:val="007456E6"/>
    <w:rsid w:val="007457CD"/>
    <w:rsid w:val="00745DA7"/>
    <w:rsid w:val="00746030"/>
    <w:rsid w:val="00746056"/>
    <w:rsid w:val="007464EA"/>
    <w:rsid w:val="007468C0"/>
    <w:rsid w:val="00746904"/>
    <w:rsid w:val="00747092"/>
    <w:rsid w:val="007472BE"/>
    <w:rsid w:val="007473CE"/>
    <w:rsid w:val="007473F0"/>
    <w:rsid w:val="007475C7"/>
    <w:rsid w:val="00747666"/>
    <w:rsid w:val="0074766D"/>
    <w:rsid w:val="00747785"/>
    <w:rsid w:val="007477FB"/>
    <w:rsid w:val="007477FF"/>
    <w:rsid w:val="0074792B"/>
    <w:rsid w:val="00747B31"/>
    <w:rsid w:val="00747D51"/>
    <w:rsid w:val="00747EDC"/>
    <w:rsid w:val="00750338"/>
    <w:rsid w:val="0075037B"/>
    <w:rsid w:val="007505E1"/>
    <w:rsid w:val="00750849"/>
    <w:rsid w:val="00750BC9"/>
    <w:rsid w:val="00750CA0"/>
    <w:rsid w:val="00750CE3"/>
    <w:rsid w:val="00751048"/>
    <w:rsid w:val="00751CCD"/>
    <w:rsid w:val="00751F5F"/>
    <w:rsid w:val="00751F7E"/>
    <w:rsid w:val="00752065"/>
    <w:rsid w:val="007523BC"/>
    <w:rsid w:val="007526E6"/>
    <w:rsid w:val="0075285E"/>
    <w:rsid w:val="0075326F"/>
    <w:rsid w:val="0075343F"/>
    <w:rsid w:val="00753ED6"/>
    <w:rsid w:val="0075423F"/>
    <w:rsid w:val="0075445C"/>
    <w:rsid w:val="00754B57"/>
    <w:rsid w:val="00754C18"/>
    <w:rsid w:val="00754C9A"/>
    <w:rsid w:val="00754DF9"/>
    <w:rsid w:val="00754E59"/>
    <w:rsid w:val="00754E86"/>
    <w:rsid w:val="00755185"/>
    <w:rsid w:val="007551BA"/>
    <w:rsid w:val="007551FA"/>
    <w:rsid w:val="0075540E"/>
    <w:rsid w:val="007555E8"/>
    <w:rsid w:val="00755C5E"/>
    <w:rsid w:val="00755CC5"/>
    <w:rsid w:val="00756059"/>
    <w:rsid w:val="00756061"/>
    <w:rsid w:val="007561B7"/>
    <w:rsid w:val="007565EF"/>
    <w:rsid w:val="00756973"/>
    <w:rsid w:val="007573F1"/>
    <w:rsid w:val="007575FC"/>
    <w:rsid w:val="007577C3"/>
    <w:rsid w:val="00757B42"/>
    <w:rsid w:val="00760034"/>
    <w:rsid w:val="0076081E"/>
    <w:rsid w:val="00760A7A"/>
    <w:rsid w:val="00761E86"/>
    <w:rsid w:val="00761FDD"/>
    <w:rsid w:val="007622A9"/>
    <w:rsid w:val="00762862"/>
    <w:rsid w:val="007629D3"/>
    <w:rsid w:val="00763265"/>
    <w:rsid w:val="00763384"/>
    <w:rsid w:val="00763706"/>
    <w:rsid w:val="00763890"/>
    <w:rsid w:val="00763F15"/>
    <w:rsid w:val="0076420C"/>
    <w:rsid w:val="007643F6"/>
    <w:rsid w:val="00764678"/>
    <w:rsid w:val="007646EA"/>
    <w:rsid w:val="00764B69"/>
    <w:rsid w:val="00764C8C"/>
    <w:rsid w:val="00764FF0"/>
    <w:rsid w:val="007650C9"/>
    <w:rsid w:val="007655E0"/>
    <w:rsid w:val="007663A8"/>
    <w:rsid w:val="00766549"/>
    <w:rsid w:val="00766895"/>
    <w:rsid w:val="00766B69"/>
    <w:rsid w:val="00766DF3"/>
    <w:rsid w:val="00767108"/>
    <w:rsid w:val="007675AC"/>
    <w:rsid w:val="00767B17"/>
    <w:rsid w:val="0077000F"/>
    <w:rsid w:val="007700D2"/>
    <w:rsid w:val="0077051D"/>
    <w:rsid w:val="00770537"/>
    <w:rsid w:val="00770BCF"/>
    <w:rsid w:val="0077136D"/>
    <w:rsid w:val="007713B7"/>
    <w:rsid w:val="0077165A"/>
    <w:rsid w:val="0077178F"/>
    <w:rsid w:val="00771D07"/>
    <w:rsid w:val="00771FE4"/>
    <w:rsid w:val="0077252D"/>
    <w:rsid w:val="00772568"/>
    <w:rsid w:val="00772649"/>
    <w:rsid w:val="007729D8"/>
    <w:rsid w:val="00772EFB"/>
    <w:rsid w:val="00772F5D"/>
    <w:rsid w:val="00772FC9"/>
    <w:rsid w:val="00773569"/>
    <w:rsid w:val="00773BE3"/>
    <w:rsid w:val="007743DD"/>
    <w:rsid w:val="00774704"/>
    <w:rsid w:val="00774CE9"/>
    <w:rsid w:val="00774D1C"/>
    <w:rsid w:val="00774E2C"/>
    <w:rsid w:val="00774F2F"/>
    <w:rsid w:val="0077503C"/>
    <w:rsid w:val="0077518D"/>
    <w:rsid w:val="007753C2"/>
    <w:rsid w:val="00775565"/>
    <w:rsid w:val="00775E22"/>
    <w:rsid w:val="00775EFB"/>
    <w:rsid w:val="00776068"/>
    <w:rsid w:val="0077696F"/>
    <w:rsid w:val="00776A5F"/>
    <w:rsid w:val="00776C1B"/>
    <w:rsid w:val="00776CDE"/>
    <w:rsid w:val="007777D4"/>
    <w:rsid w:val="0077793A"/>
    <w:rsid w:val="00777E14"/>
    <w:rsid w:val="00780067"/>
    <w:rsid w:val="007804A2"/>
    <w:rsid w:val="00780A08"/>
    <w:rsid w:val="00780CDA"/>
    <w:rsid w:val="00780D2F"/>
    <w:rsid w:val="00780F35"/>
    <w:rsid w:val="007813AA"/>
    <w:rsid w:val="00781B42"/>
    <w:rsid w:val="00781B5F"/>
    <w:rsid w:val="00781B87"/>
    <w:rsid w:val="007821C4"/>
    <w:rsid w:val="007826DB"/>
    <w:rsid w:val="00782770"/>
    <w:rsid w:val="00782F2E"/>
    <w:rsid w:val="007831EF"/>
    <w:rsid w:val="007833B0"/>
    <w:rsid w:val="007833D4"/>
    <w:rsid w:val="00783602"/>
    <w:rsid w:val="00783739"/>
    <w:rsid w:val="007838B8"/>
    <w:rsid w:val="00783AB4"/>
    <w:rsid w:val="00783D01"/>
    <w:rsid w:val="00783D8A"/>
    <w:rsid w:val="00783F6C"/>
    <w:rsid w:val="00784396"/>
    <w:rsid w:val="00784E55"/>
    <w:rsid w:val="00784EA2"/>
    <w:rsid w:val="00785058"/>
    <w:rsid w:val="00785380"/>
    <w:rsid w:val="00785754"/>
    <w:rsid w:val="00785779"/>
    <w:rsid w:val="0078586B"/>
    <w:rsid w:val="00785F96"/>
    <w:rsid w:val="00786BE4"/>
    <w:rsid w:val="00786BED"/>
    <w:rsid w:val="00786C66"/>
    <w:rsid w:val="0078736F"/>
    <w:rsid w:val="00787660"/>
    <w:rsid w:val="00787B99"/>
    <w:rsid w:val="00787F7A"/>
    <w:rsid w:val="00787FD8"/>
    <w:rsid w:val="00790235"/>
    <w:rsid w:val="007905D6"/>
    <w:rsid w:val="007905F5"/>
    <w:rsid w:val="007908C1"/>
    <w:rsid w:val="00791480"/>
    <w:rsid w:val="007915BA"/>
    <w:rsid w:val="00791844"/>
    <w:rsid w:val="00791D44"/>
    <w:rsid w:val="00791EE7"/>
    <w:rsid w:val="00791F6E"/>
    <w:rsid w:val="00792191"/>
    <w:rsid w:val="00792331"/>
    <w:rsid w:val="00792475"/>
    <w:rsid w:val="0079250E"/>
    <w:rsid w:val="00792520"/>
    <w:rsid w:val="00792B76"/>
    <w:rsid w:val="007932EA"/>
    <w:rsid w:val="0079347D"/>
    <w:rsid w:val="00793737"/>
    <w:rsid w:val="00793AF4"/>
    <w:rsid w:val="00793CE9"/>
    <w:rsid w:val="00793CF4"/>
    <w:rsid w:val="00793F71"/>
    <w:rsid w:val="00794427"/>
    <w:rsid w:val="007945D2"/>
    <w:rsid w:val="0079467F"/>
    <w:rsid w:val="007946D1"/>
    <w:rsid w:val="007946FA"/>
    <w:rsid w:val="00794EDB"/>
    <w:rsid w:val="0079511A"/>
    <w:rsid w:val="0079558B"/>
    <w:rsid w:val="007956E2"/>
    <w:rsid w:val="00796654"/>
    <w:rsid w:val="00796667"/>
    <w:rsid w:val="0079678D"/>
    <w:rsid w:val="00796793"/>
    <w:rsid w:val="00796D9F"/>
    <w:rsid w:val="00797068"/>
    <w:rsid w:val="0079739E"/>
    <w:rsid w:val="007979BD"/>
    <w:rsid w:val="00797BD3"/>
    <w:rsid w:val="00797F74"/>
    <w:rsid w:val="007A075D"/>
    <w:rsid w:val="007A0C3A"/>
    <w:rsid w:val="007A116D"/>
    <w:rsid w:val="007A12B5"/>
    <w:rsid w:val="007A149D"/>
    <w:rsid w:val="007A172F"/>
    <w:rsid w:val="007A19AB"/>
    <w:rsid w:val="007A1E31"/>
    <w:rsid w:val="007A1FF8"/>
    <w:rsid w:val="007A2B60"/>
    <w:rsid w:val="007A2C76"/>
    <w:rsid w:val="007A2E1E"/>
    <w:rsid w:val="007A3915"/>
    <w:rsid w:val="007A398C"/>
    <w:rsid w:val="007A3D8E"/>
    <w:rsid w:val="007A45DB"/>
    <w:rsid w:val="007A46CE"/>
    <w:rsid w:val="007A47AF"/>
    <w:rsid w:val="007A495E"/>
    <w:rsid w:val="007A511E"/>
    <w:rsid w:val="007A5191"/>
    <w:rsid w:val="007A53F2"/>
    <w:rsid w:val="007A55C4"/>
    <w:rsid w:val="007A57D8"/>
    <w:rsid w:val="007A58B1"/>
    <w:rsid w:val="007A5C88"/>
    <w:rsid w:val="007A64AB"/>
    <w:rsid w:val="007A6561"/>
    <w:rsid w:val="007A679A"/>
    <w:rsid w:val="007A6A2F"/>
    <w:rsid w:val="007A6E57"/>
    <w:rsid w:val="007A7AFE"/>
    <w:rsid w:val="007A7ECC"/>
    <w:rsid w:val="007A7F89"/>
    <w:rsid w:val="007B024E"/>
    <w:rsid w:val="007B0752"/>
    <w:rsid w:val="007B1041"/>
    <w:rsid w:val="007B1123"/>
    <w:rsid w:val="007B163B"/>
    <w:rsid w:val="007B2441"/>
    <w:rsid w:val="007B245A"/>
    <w:rsid w:val="007B250C"/>
    <w:rsid w:val="007B27D2"/>
    <w:rsid w:val="007B2998"/>
    <w:rsid w:val="007B3BAF"/>
    <w:rsid w:val="007B3DDC"/>
    <w:rsid w:val="007B4266"/>
    <w:rsid w:val="007B4563"/>
    <w:rsid w:val="007B5010"/>
    <w:rsid w:val="007B51D5"/>
    <w:rsid w:val="007B54A2"/>
    <w:rsid w:val="007B5B14"/>
    <w:rsid w:val="007B5F95"/>
    <w:rsid w:val="007B5FC0"/>
    <w:rsid w:val="007B62A0"/>
    <w:rsid w:val="007B66FD"/>
    <w:rsid w:val="007B6AAC"/>
    <w:rsid w:val="007B6E69"/>
    <w:rsid w:val="007B6F29"/>
    <w:rsid w:val="007B7219"/>
    <w:rsid w:val="007B72A6"/>
    <w:rsid w:val="007B747B"/>
    <w:rsid w:val="007B785F"/>
    <w:rsid w:val="007B79F8"/>
    <w:rsid w:val="007B7DC3"/>
    <w:rsid w:val="007C06D2"/>
    <w:rsid w:val="007C08E0"/>
    <w:rsid w:val="007C08E5"/>
    <w:rsid w:val="007C0E97"/>
    <w:rsid w:val="007C0E9E"/>
    <w:rsid w:val="007C0F57"/>
    <w:rsid w:val="007C10E3"/>
    <w:rsid w:val="007C17BC"/>
    <w:rsid w:val="007C1919"/>
    <w:rsid w:val="007C1A23"/>
    <w:rsid w:val="007C1D5B"/>
    <w:rsid w:val="007C1E9D"/>
    <w:rsid w:val="007C1ECB"/>
    <w:rsid w:val="007C1EE4"/>
    <w:rsid w:val="007C1EF0"/>
    <w:rsid w:val="007C1F69"/>
    <w:rsid w:val="007C216C"/>
    <w:rsid w:val="007C2774"/>
    <w:rsid w:val="007C2795"/>
    <w:rsid w:val="007C2953"/>
    <w:rsid w:val="007C29D1"/>
    <w:rsid w:val="007C2E11"/>
    <w:rsid w:val="007C2F4B"/>
    <w:rsid w:val="007C328B"/>
    <w:rsid w:val="007C3466"/>
    <w:rsid w:val="007C399A"/>
    <w:rsid w:val="007C39FD"/>
    <w:rsid w:val="007C3BB8"/>
    <w:rsid w:val="007C40B6"/>
    <w:rsid w:val="007C466F"/>
    <w:rsid w:val="007C4847"/>
    <w:rsid w:val="007C497E"/>
    <w:rsid w:val="007C4BCF"/>
    <w:rsid w:val="007C525B"/>
    <w:rsid w:val="007C530F"/>
    <w:rsid w:val="007C5488"/>
    <w:rsid w:val="007C5975"/>
    <w:rsid w:val="007C5AF4"/>
    <w:rsid w:val="007C5CC8"/>
    <w:rsid w:val="007C6396"/>
    <w:rsid w:val="007C64A1"/>
    <w:rsid w:val="007C64C1"/>
    <w:rsid w:val="007C65D8"/>
    <w:rsid w:val="007C6619"/>
    <w:rsid w:val="007C6AAB"/>
    <w:rsid w:val="007C71CD"/>
    <w:rsid w:val="007C729F"/>
    <w:rsid w:val="007C72AD"/>
    <w:rsid w:val="007C75F4"/>
    <w:rsid w:val="007C7B7D"/>
    <w:rsid w:val="007D0194"/>
    <w:rsid w:val="007D0235"/>
    <w:rsid w:val="007D0483"/>
    <w:rsid w:val="007D06D6"/>
    <w:rsid w:val="007D0DB1"/>
    <w:rsid w:val="007D1026"/>
    <w:rsid w:val="007D1954"/>
    <w:rsid w:val="007D1A6F"/>
    <w:rsid w:val="007D1C39"/>
    <w:rsid w:val="007D1EC1"/>
    <w:rsid w:val="007D1F19"/>
    <w:rsid w:val="007D1F9A"/>
    <w:rsid w:val="007D241F"/>
    <w:rsid w:val="007D25FC"/>
    <w:rsid w:val="007D29A6"/>
    <w:rsid w:val="007D2AE9"/>
    <w:rsid w:val="007D2F6B"/>
    <w:rsid w:val="007D3531"/>
    <w:rsid w:val="007D36F9"/>
    <w:rsid w:val="007D3C87"/>
    <w:rsid w:val="007D40EA"/>
    <w:rsid w:val="007D4392"/>
    <w:rsid w:val="007D4ABC"/>
    <w:rsid w:val="007D4C2C"/>
    <w:rsid w:val="007D4CDD"/>
    <w:rsid w:val="007D4CF8"/>
    <w:rsid w:val="007D4F9C"/>
    <w:rsid w:val="007D503D"/>
    <w:rsid w:val="007D55D6"/>
    <w:rsid w:val="007D5801"/>
    <w:rsid w:val="007D59E7"/>
    <w:rsid w:val="007D5C9A"/>
    <w:rsid w:val="007D5F2A"/>
    <w:rsid w:val="007D61DF"/>
    <w:rsid w:val="007D70C9"/>
    <w:rsid w:val="007D7774"/>
    <w:rsid w:val="007D7AC7"/>
    <w:rsid w:val="007D7D0A"/>
    <w:rsid w:val="007E015D"/>
    <w:rsid w:val="007E04BD"/>
    <w:rsid w:val="007E063D"/>
    <w:rsid w:val="007E07AC"/>
    <w:rsid w:val="007E0EB8"/>
    <w:rsid w:val="007E0F93"/>
    <w:rsid w:val="007E1014"/>
    <w:rsid w:val="007E12F8"/>
    <w:rsid w:val="007E136C"/>
    <w:rsid w:val="007E14EB"/>
    <w:rsid w:val="007E163A"/>
    <w:rsid w:val="007E1673"/>
    <w:rsid w:val="007E17BB"/>
    <w:rsid w:val="007E1971"/>
    <w:rsid w:val="007E1D28"/>
    <w:rsid w:val="007E24D7"/>
    <w:rsid w:val="007E26DD"/>
    <w:rsid w:val="007E2B81"/>
    <w:rsid w:val="007E2EFE"/>
    <w:rsid w:val="007E3193"/>
    <w:rsid w:val="007E3ACB"/>
    <w:rsid w:val="007E3B76"/>
    <w:rsid w:val="007E3DCF"/>
    <w:rsid w:val="007E42A5"/>
    <w:rsid w:val="007E4564"/>
    <w:rsid w:val="007E486C"/>
    <w:rsid w:val="007E490F"/>
    <w:rsid w:val="007E4C42"/>
    <w:rsid w:val="007E532E"/>
    <w:rsid w:val="007E56BD"/>
    <w:rsid w:val="007E5A72"/>
    <w:rsid w:val="007E5C83"/>
    <w:rsid w:val="007E5CD2"/>
    <w:rsid w:val="007E6082"/>
    <w:rsid w:val="007E64CC"/>
    <w:rsid w:val="007E6533"/>
    <w:rsid w:val="007E6BA5"/>
    <w:rsid w:val="007E6F99"/>
    <w:rsid w:val="007E7176"/>
    <w:rsid w:val="007E724C"/>
    <w:rsid w:val="007E7280"/>
    <w:rsid w:val="007E73A7"/>
    <w:rsid w:val="007E7486"/>
    <w:rsid w:val="007E75B6"/>
    <w:rsid w:val="007E75D2"/>
    <w:rsid w:val="007E7721"/>
    <w:rsid w:val="007E7CFA"/>
    <w:rsid w:val="007F0021"/>
    <w:rsid w:val="007F0090"/>
    <w:rsid w:val="007F0649"/>
    <w:rsid w:val="007F0B29"/>
    <w:rsid w:val="007F0CD1"/>
    <w:rsid w:val="007F1007"/>
    <w:rsid w:val="007F152C"/>
    <w:rsid w:val="007F1739"/>
    <w:rsid w:val="007F1A57"/>
    <w:rsid w:val="007F25AF"/>
    <w:rsid w:val="007F2641"/>
    <w:rsid w:val="007F3B72"/>
    <w:rsid w:val="007F3C6F"/>
    <w:rsid w:val="007F4235"/>
    <w:rsid w:val="007F423B"/>
    <w:rsid w:val="007F46EE"/>
    <w:rsid w:val="007F490C"/>
    <w:rsid w:val="007F49B3"/>
    <w:rsid w:val="007F49C0"/>
    <w:rsid w:val="007F4DC0"/>
    <w:rsid w:val="007F502D"/>
    <w:rsid w:val="007F5374"/>
    <w:rsid w:val="007F5571"/>
    <w:rsid w:val="007F589C"/>
    <w:rsid w:val="007F5B39"/>
    <w:rsid w:val="007F64EA"/>
    <w:rsid w:val="007F6676"/>
    <w:rsid w:val="007F6AF5"/>
    <w:rsid w:val="007F73B3"/>
    <w:rsid w:val="007F7421"/>
    <w:rsid w:val="007F745D"/>
    <w:rsid w:val="007F7950"/>
    <w:rsid w:val="007F7C36"/>
    <w:rsid w:val="007F7F45"/>
    <w:rsid w:val="0080001F"/>
    <w:rsid w:val="00800A6B"/>
    <w:rsid w:val="00800A8A"/>
    <w:rsid w:val="00801202"/>
    <w:rsid w:val="00801958"/>
    <w:rsid w:val="008019F2"/>
    <w:rsid w:val="00801B60"/>
    <w:rsid w:val="00801FFD"/>
    <w:rsid w:val="008023F4"/>
    <w:rsid w:val="008028E3"/>
    <w:rsid w:val="0080344A"/>
    <w:rsid w:val="0080369E"/>
    <w:rsid w:val="00803F62"/>
    <w:rsid w:val="00803F92"/>
    <w:rsid w:val="00804208"/>
    <w:rsid w:val="00804250"/>
    <w:rsid w:val="00804260"/>
    <w:rsid w:val="008042F6"/>
    <w:rsid w:val="00804444"/>
    <w:rsid w:val="00804A57"/>
    <w:rsid w:val="00804AA0"/>
    <w:rsid w:val="00804FA1"/>
    <w:rsid w:val="0080517C"/>
    <w:rsid w:val="008051DB"/>
    <w:rsid w:val="0080533D"/>
    <w:rsid w:val="008055AF"/>
    <w:rsid w:val="008057CD"/>
    <w:rsid w:val="00805C99"/>
    <w:rsid w:val="00805D62"/>
    <w:rsid w:val="00806303"/>
    <w:rsid w:val="008066B8"/>
    <w:rsid w:val="00806741"/>
    <w:rsid w:val="00806796"/>
    <w:rsid w:val="008068EC"/>
    <w:rsid w:val="00806CE4"/>
    <w:rsid w:val="00807331"/>
    <w:rsid w:val="00807369"/>
    <w:rsid w:val="00807492"/>
    <w:rsid w:val="008076FB"/>
    <w:rsid w:val="0080773E"/>
    <w:rsid w:val="00807E10"/>
    <w:rsid w:val="00810048"/>
    <w:rsid w:val="00810167"/>
    <w:rsid w:val="008104D0"/>
    <w:rsid w:val="00810850"/>
    <w:rsid w:val="0081092B"/>
    <w:rsid w:val="00810E6F"/>
    <w:rsid w:val="00811194"/>
    <w:rsid w:val="00811AA2"/>
    <w:rsid w:val="00811CC0"/>
    <w:rsid w:val="00811F90"/>
    <w:rsid w:val="0081218E"/>
    <w:rsid w:val="008124D5"/>
    <w:rsid w:val="00812669"/>
    <w:rsid w:val="008128DE"/>
    <w:rsid w:val="00812C06"/>
    <w:rsid w:val="00812CAE"/>
    <w:rsid w:val="008135A6"/>
    <w:rsid w:val="00813657"/>
    <w:rsid w:val="00813CF2"/>
    <w:rsid w:val="00813EA7"/>
    <w:rsid w:val="0081405E"/>
    <w:rsid w:val="00814276"/>
    <w:rsid w:val="00814963"/>
    <w:rsid w:val="008150E6"/>
    <w:rsid w:val="008151D6"/>
    <w:rsid w:val="00815E79"/>
    <w:rsid w:val="00816322"/>
    <w:rsid w:val="008164FD"/>
    <w:rsid w:val="00816737"/>
    <w:rsid w:val="00816831"/>
    <w:rsid w:val="0081687F"/>
    <w:rsid w:val="00816B8D"/>
    <w:rsid w:val="00816FB6"/>
    <w:rsid w:val="0081707F"/>
    <w:rsid w:val="008171DE"/>
    <w:rsid w:val="00817850"/>
    <w:rsid w:val="00817878"/>
    <w:rsid w:val="0081787A"/>
    <w:rsid w:val="00817B9D"/>
    <w:rsid w:val="00820112"/>
    <w:rsid w:val="008204FE"/>
    <w:rsid w:val="008205D2"/>
    <w:rsid w:val="00820803"/>
    <w:rsid w:val="00820E44"/>
    <w:rsid w:val="00821188"/>
    <w:rsid w:val="008214D1"/>
    <w:rsid w:val="00821527"/>
    <w:rsid w:val="00821D74"/>
    <w:rsid w:val="00822074"/>
    <w:rsid w:val="00822162"/>
    <w:rsid w:val="008221C5"/>
    <w:rsid w:val="008225CE"/>
    <w:rsid w:val="00822696"/>
    <w:rsid w:val="008228DA"/>
    <w:rsid w:val="00822957"/>
    <w:rsid w:val="008230F4"/>
    <w:rsid w:val="008233F9"/>
    <w:rsid w:val="00823BA1"/>
    <w:rsid w:val="00823F2A"/>
    <w:rsid w:val="0082406D"/>
    <w:rsid w:val="00824096"/>
    <w:rsid w:val="008241E2"/>
    <w:rsid w:val="00824438"/>
    <w:rsid w:val="0082451F"/>
    <w:rsid w:val="00824552"/>
    <w:rsid w:val="008248EF"/>
    <w:rsid w:val="00824BBA"/>
    <w:rsid w:val="00824BD6"/>
    <w:rsid w:val="00824D6E"/>
    <w:rsid w:val="0082507D"/>
    <w:rsid w:val="008250B8"/>
    <w:rsid w:val="008250D8"/>
    <w:rsid w:val="0082522D"/>
    <w:rsid w:val="00825314"/>
    <w:rsid w:val="008258F1"/>
    <w:rsid w:val="00825A6C"/>
    <w:rsid w:val="00825BCF"/>
    <w:rsid w:val="0082617E"/>
    <w:rsid w:val="008263E4"/>
    <w:rsid w:val="008264AC"/>
    <w:rsid w:val="008268BB"/>
    <w:rsid w:val="00826F6D"/>
    <w:rsid w:val="00827097"/>
    <w:rsid w:val="00827465"/>
    <w:rsid w:val="00827DC4"/>
    <w:rsid w:val="00827E97"/>
    <w:rsid w:val="00830117"/>
    <w:rsid w:val="00830429"/>
    <w:rsid w:val="008306F3"/>
    <w:rsid w:val="00830E40"/>
    <w:rsid w:val="00831621"/>
    <w:rsid w:val="008318DB"/>
    <w:rsid w:val="00831A1F"/>
    <w:rsid w:val="00831AEC"/>
    <w:rsid w:val="00831B85"/>
    <w:rsid w:val="00831B88"/>
    <w:rsid w:val="00831D1A"/>
    <w:rsid w:val="008320F2"/>
    <w:rsid w:val="0083269C"/>
    <w:rsid w:val="008328A3"/>
    <w:rsid w:val="00832CBD"/>
    <w:rsid w:val="00832D9A"/>
    <w:rsid w:val="00833D85"/>
    <w:rsid w:val="00834C34"/>
    <w:rsid w:val="00834C61"/>
    <w:rsid w:val="00834FE9"/>
    <w:rsid w:val="008354BE"/>
    <w:rsid w:val="00835577"/>
    <w:rsid w:val="00835C62"/>
    <w:rsid w:val="00835FB1"/>
    <w:rsid w:val="00836657"/>
    <w:rsid w:val="00836692"/>
    <w:rsid w:val="0083684A"/>
    <w:rsid w:val="008368A1"/>
    <w:rsid w:val="008368A7"/>
    <w:rsid w:val="00836D83"/>
    <w:rsid w:val="0083704C"/>
    <w:rsid w:val="00837093"/>
    <w:rsid w:val="008372E4"/>
    <w:rsid w:val="0083743C"/>
    <w:rsid w:val="00837A48"/>
    <w:rsid w:val="00837B7F"/>
    <w:rsid w:val="00837CDC"/>
    <w:rsid w:val="00837DD9"/>
    <w:rsid w:val="00837DFA"/>
    <w:rsid w:val="00837F3E"/>
    <w:rsid w:val="00840945"/>
    <w:rsid w:val="00840951"/>
    <w:rsid w:val="00840E11"/>
    <w:rsid w:val="00840EF7"/>
    <w:rsid w:val="00841321"/>
    <w:rsid w:val="00841DC2"/>
    <w:rsid w:val="00841F97"/>
    <w:rsid w:val="00842E34"/>
    <w:rsid w:val="008432CE"/>
    <w:rsid w:val="008438E5"/>
    <w:rsid w:val="00843D10"/>
    <w:rsid w:val="00843E23"/>
    <w:rsid w:val="008449F6"/>
    <w:rsid w:val="00844C0A"/>
    <w:rsid w:val="008454E9"/>
    <w:rsid w:val="00845529"/>
    <w:rsid w:val="00845981"/>
    <w:rsid w:val="00846056"/>
    <w:rsid w:val="0084681F"/>
    <w:rsid w:val="00846F7A"/>
    <w:rsid w:val="00847957"/>
    <w:rsid w:val="00847D08"/>
    <w:rsid w:val="00847EC0"/>
    <w:rsid w:val="0085000E"/>
    <w:rsid w:val="008508A7"/>
    <w:rsid w:val="00850B79"/>
    <w:rsid w:val="00850BCC"/>
    <w:rsid w:val="00850BF7"/>
    <w:rsid w:val="00850C70"/>
    <w:rsid w:val="00851291"/>
    <w:rsid w:val="00851B92"/>
    <w:rsid w:val="00851F89"/>
    <w:rsid w:val="00852475"/>
    <w:rsid w:val="0085256F"/>
    <w:rsid w:val="0085285F"/>
    <w:rsid w:val="008530B5"/>
    <w:rsid w:val="008536B7"/>
    <w:rsid w:val="008537FA"/>
    <w:rsid w:val="00853BE4"/>
    <w:rsid w:val="008541B7"/>
    <w:rsid w:val="00854506"/>
    <w:rsid w:val="00854804"/>
    <w:rsid w:val="00854840"/>
    <w:rsid w:val="008549F0"/>
    <w:rsid w:val="00854A0A"/>
    <w:rsid w:val="00854A5A"/>
    <w:rsid w:val="00854B85"/>
    <w:rsid w:val="00854DC3"/>
    <w:rsid w:val="00854F3D"/>
    <w:rsid w:val="00855226"/>
    <w:rsid w:val="0085567A"/>
    <w:rsid w:val="00855FD6"/>
    <w:rsid w:val="00856CA1"/>
    <w:rsid w:val="00856CA3"/>
    <w:rsid w:val="00856DDD"/>
    <w:rsid w:val="00856E96"/>
    <w:rsid w:val="00857185"/>
    <w:rsid w:val="00857310"/>
    <w:rsid w:val="00857423"/>
    <w:rsid w:val="00857446"/>
    <w:rsid w:val="00857B2F"/>
    <w:rsid w:val="00857D35"/>
    <w:rsid w:val="00857F8D"/>
    <w:rsid w:val="0086004F"/>
    <w:rsid w:val="00860233"/>
    <w:rsid w:val="0086026F"/>
    <w:rsid w:val="0086061E"/>
    <w:rsid w:val="0086075D"/>
    <w:rsid w:val="0086090D"/>
    <w:rsid w:val="008609A0"/>
    <w:rsid w:val="008609E4"/>
    <w:rsid w:val="00860A3D"/>
    <w:rsid w:val="00860A60"/>
    <w:rsid w:val="00860EDC"/>
    <w:rsid w:val="00860F63"/>
    <w:rsid w:val="00861A62"/>
    <w:rsid w:val="008622A9"/>
    <w:rsid w:val="00862642"/>
    <w:rsid w:val="0086278E"/>
    <w:rsid w:val="00862913"/>
    <w:rsid w:val="00862A51"/>
    <w:rsid w:val="00862DAB"/>
    <w:rsid w:val="0086397C"/>
    <w:rsid w:val="00863E68"/>
    <w:rsid w:val="008641C5"/>
    <w:rsid w:val="0086441E"/>
    <w:rsid w:val="008647B5"/>
    <w:rsid w:val="00864A11"/>
    <w:rsid w:val="008650C1"/>
    <w:rsid w:val="00865D8A"/>
    <w:rsid w:val="00865EE7"/>
    <w:rsid w:val="00866172"/>
    <w:rsid w:val="00866369"/>
    <w:rsid w:val="00866725"/>
    <w:rsid w:val="00866863"/>
    <w:rsid w:val="00866DCD"/>
    <w:rsid w:val="00866E48"/>
    <w:rsid w:val="00866F46"/>
    <w:rsid w:val="00867369"/>
    <w:rsid w:val="008674C0"/>
    <w:rsid w:val="0086783D"/>
    <w:rsid w:val="00867ACB"/>
    <w:rsid w:val="00867CE5"/>
    <w:rsid w:val="00867D64"/>
    <w:rsid w:val="00867D85"/>
    <w:rsid w:val="008705CC"/>
    <w:rsid w:val="008712E7"/>
    <w:rsid w:val="00871726"/>
    <w:rsid w:val="0087187B"/>
    <w:rsid w:val="00871F2A"/>
    <w:rsid w:val="00871FFB"/>
    <w:rsid w:val="00872173"/>
    <w:rsid w:val="008721AE"/>
    <w:rsid w:val="008729C9"/>
    <w:rsid w:val="00872A5F"/>
    <w:rsid w:val="00872BCC"/>
    <w:rsid w:val="00872C03"/>
    <w:rsid w:val="00872DF2"/>
    <w:rsid w:val="00872E8F"/>
    <w:rsid w:val="008730EC"/>
    <w:rsid w:val="00873166"/>
    <w:rsid w:val="00873273"/>
    <w:rsid w:val="0087343E"/>
    <w:rsid w:val="0087355D"/>
    <w:rsid w:val="00873594"/>
    <w:rsid w:val="0087386D"/>
    <w:rsid w:val="008738AA"/>
    <w:rsid w:val="00873988"/>
    <w:rsid w:val="008749B1"/>
    <w:rsid w:val="008749F0"/>
    <w:rsid w:val="00875570"/>
    <w:rsid w:val="00875696"/>
    <w:rsid w:val="00875A29"/>
    <w:rsid w:val="00875DCB"/>
    <w:rsid w:val="00875E0E"/>
    <w:rsid w:val="00875F2B"/>
    <w:rsid w:val="00876919"/>
    <w:rsid w:val="00876CE2"/>
    <w:rsid w:val="00876FBF"/>
    <w:rsid w:val="00876FCF"/>
    <w:rsid w:val="008770B6"/>
    <w:rsid w:val="00877211"/>
    <w:rsid w:val="0087755A"/>
    <w:rsid w:val="00877717"/>
    <w:rsid w:val="00877C45"/>
    <w:rsid w:val="00877FE5"/>
    <w:rsid w:val="0088013D"/>
    <w:rsid w:val="008806C4"/>
    <w:rsid w:val="00881295"/>
    <w:rsid w:val="008813CE"/>
    <w:rsid w:val="00881725"/>
    <w:rsid w:val="00881C08"/>
    <w:rsid w:val="00881CDA"/>
    <w:rsid w:val="00881FDA"/>
    <w:rsid w:val="00882085"/>
    <w:rsid w:val="00882133"/>
    <w:rsid w:val="00882197"/>
    <w:rsid w:val="00882328"/>
    <w:rsid w:val="008825C1"/>
    <w:rsid w:val="008828AF"/>
    <w:rsid w:val="00882CD2"/>
    <w:rsid w:val="00882E9E"/>
    <w:rsid w:val="00883188"/>
    <w:rsid w:val="00883200"/>
    <w:rsid w:val="00883371"/>
    <w:rsid w:val="00883BF6"/>
    <w:rsid w:val="00883CF8"/>
    <w:rsid w:val="00883CFE"/>
    <w:rsid w:val="008843BC"/>
    <w:rsid w:val="0088441F"/>
    <w:rsid w:val="00884977"/>
    <w:rsid w:val="00884A0C"/>
    <w:rsid w:val="00884F04"/>
    <w:rsid w:val="00884FD4"/>
    <w:rsid w:val="008853C9"/>
    <w:rsid w:val="008857DD"/>
    <w:rsid w:val="00885A01"/>
    <w:rsid w:val="00885C29"/>
    <w:rsid w:val="00885D31"/>
    <w:rsid w:val="00886462"/>
    <w:rsid w:val="00886650"/>
    <w:rsid w:val="00886739"/>
    <w:rsid w:val="00886ACA"/>
    <w:rsid w:val="00886B01"/>
    <w:rsid w:val="00886E57"/>
    <w:rsid w:val="00886E95"/>
    <w:rsid w:val="00887235"/>
    <w:rsid w:val="008873B1"/>
    <w:rsid w:val="008876E7"/>
    <w:rsid w:val="008879A2"/>
    <w:rsid w:val="00887FEA"/>
    <w:rsid w:val="008901A8"/>
    <w:rsid w:val="0089031E"/>
    <w:rsid w:val="008906A0"/>
    <w:rsid w:val="0089089C"/>
    <w:rsid w:val="00890A13"/>
    <w:rsid w:val="00890B06"/>
    <w:rsid w:val="0089109A"/>
    <w:rsid w:val="008910A3"/>
    <w:rsid w:val="00891121"/>
    <w:rsid w:val="008911D1"/>
    <w:rsid w:val="00891451"/>
    <w:rsid w:val="008915EE"/>
    <w:rsid w:val="00891B52"/>
    <w:rsid w:val="008920AA"/>
    <w:rsid w:val="0089210F"/>
    <w:rsid w:val="00892128"/>
    <w:rsid w:val="008922E2"/>
    <w:rsid w:val="00892A27"/>
    <w:rsid w:val="00892A57"/>
    <w:rsid w:val="00892C9D"/>
    <w:rsid w:val="0089346A"/>
    <w:rsid w:val="00893D5C"/>
    <w:rsid w:val="0089460B"/>
    <w:rsid w:val="00894697"/>
    <w:rsid w:val="0089501E"/>
    <w:rsid w:val="0089528A"/>
    <w:rsid w:val="00895382"/>
    <w:rsid w:val="00895D86"/>
    <w:rsid w:val="00895E9B"/>
    <w:rsid w:val="00896220"/>
    <w:rsid w:val="008962F8"/>
    <w:rsid w:val="008967E5"/>
    <w:rsid w:val="008969D9"/>
    <w:rsid w:val="00896A83"/>
    <w:rsid w:val="00897756"/>
    <w:rsid w:val="00897997"/>
    <w:rsid w:val="00897D58"/>
    <w:rsid w:val="00897F22"/>
    <w:rsid w:val="008A0015"/>
    <w:rsid w:val="008A0B39"/>
    <w:rsid w:val="008A13D0"/>
    <w:rsid w:val="008A156A"/>
    <w:rsid w:val="008A1666"/>
    <w:rsid w:val="008A171F"/>
    <w:rsid w:val="008A17A3"/>
    <w:rsid w:val="008A1956"/>
    <w:rsid w:val="008A1D77"/>
    <w:rsid w:val="008A1E85"/>
    <w:rsid w:val="008A2118"/>
    <w:rsid w:val="008A220E"/>
    <w:rsid w:val="008A2419"/>
    <w:rsid w:val="008A299F"/>
    <w:rsid w:val="008A31CA"/>
    <w:rsid w:val="008A3800"/>
    <w:rsid w:val="008A3823"/>
    <w:rsid w:val="008A41F8"/>
    <w:rsid w:val="008A4937"/>
    <w:rsid w:val="008A4EB6"/>
    <w:rsid w:val="008A50F1"/>
    <w:rsid w:val="008A58C6"/>
    <w:rsid w:val="008A591D"/>
    <w:rsid w:val="008A59D9"/>
    <w:rsid w:val="008A5B0D"/>
    <w:rsid w:val="008A5B8A"/>
    <w:rsid w:val="008A5E6E"/>
    <w:rsid w:val="008A6334"/>
    <w:rsid w:val="008A643E"/>
    <w:rsid w:val="008A65D2"/>
    <w:rsid w:val="008A6819"/>
    <w:rsid w:val="008A6DBB"/>
    <w:rsid w:val="008A6E16"/>
    <w:rsid w:val="008A7135"/>
    <w:rsid w:val="008A73DC"/>
    <w:rsid w:val="008A7483"/>
    <w:rsid w:val="008A754F"/>
    <w:rsid w:val="008A75BD"/>
    <w:rsid w:val="008A786C"/>
    <w:rsid w:val="008A7B02"/>
    <w:rsid w:val="008A7B99"/>
    <w:rsid w:val="008A7C38"/>
    <w:rsid w:val="008A7D45"/>
    <w:rsid w:val="008B0053"/>
    <w:rsid w:val="008B0058"/>
    <w:rsid w:val="008B007A"/>
    <w:rsid w:val="008B040A"/>
    <w:rsid w:val="008B06B0"/>
    <w:rsid w:val="008B0B6E"/>
    <w:rsid w:val="008B0C61"/>
    <w:rsid w:val="008B0EBA"/>
    <w:rsid w:val="008B12BA"/>
    <w:rsid w:val="008B13C8"/>
    <w:rsid w:val="008B18FB"/>
    <w:rsid w:val="008B1985"/>
    <w:rsid w:val="008B1AF8"/>
    <w:rsid w:val="008B1F3A"/>
    <w:rsid w:val="008B1FC9"/>
    <w:rsid w:val="008B2A74"/>
    <w:rsid w:val="008B2BBA"/>
    <w:rsid w:val="008B2D66"/>
    <w:rsid w:val="008B2EC0"/>
    <w:rsid w:val="008B3080"/>
    <w:rsid w:val="008B30EC"/>
    <w:rsid w:val="008B3846"/>
    <w:rsid w:val="008B3E9C"/>
    <w:rsid w:val="008B4114"/>
    <w:rsid w:val="008B4325"/>
    <w:rsid w:val="008B4A70"/>
    <w:rsid w:val="008B4A9E"/>
    <w:rsid w:val="008B52C9"/>
    <w:rsid w:val="008B5E79"/>
    <w:rsid w:val="008B5FF1"/>
    <w:rsid w:val="008B6952"/>
    <w:rsid w:val="008B6CD4"/>
    <w:rsid w:val="008B6DCF"/>
    <w:rsid w:val="008B737F"/>
    <w:rsid w:val="008B752C"/>
    <w:rsid w:val="008B7C0D"/>
    <w:rsid w:val="008B7CC6"/>
    <w:rsid w:val="008B7F43"/>
    <w:rsid w:val="008B7FF6"/>
    <w:rsid w:val="008C00E6"/>
    <w:rsid w:val="008C028B"/>
    <w:rsid w:val="008C0833"/>
    <w:rsid w:val="008C1502"/>
    <w:rsid w:val="008C1F48"/>
    <w:rsid w:val="008C2094"/>
    <w:rsid w:val="008C26D3"/>
    <w:rsid w:val="008C2B59"/>
    <w:rsid w:val="008C3028"/>
    <w:rsid w:val="008C327C"/>
    <w:rsid w:val="008C3631"/>
    <w:rsid w:val="008C38C0"/>
    <w:rsid w:val="008C3B56"/>
    <w:rsid w:val="008C3C8D"/>
    <w:rsid w:val="008C4022"/>
    <w:rsid w:val="008C4141"/>
    <w:rsid w:val="008C42EC"/>
    <w:rsid w:val="008C4318"/>
    <w:rsid w:val="008C47B9"/>
    <w:rsid w:val="008C48D9"/>
    <w:rsid w:val="008C48EE"/>
    <w:rsid w:val="008C4913"/>
    <w:rsid w:val="008C4D49"/>
    <w:rsid w:val="008C4ED7"/>
    <w:rsid w:val="008C5035"/>
    <w:rsid w:val="008C535A"/>
    <w:rsid w:val="008C5405"/>
    <w:rsid w:val="008C55E3"/>
    <w:rsid w:val="008C5B0C"/>
    <w:rsid w:val="008C616C"/>
    <w:rsid w:val="008C64EE"/>
    <w:rsid w:val="008C6646"/>
    <w:rsid w:val="008C68BF"/>
    <w:rsid w:val="008C7EAC"/>
    <w:rsid w:val="008D014F"/>
    <w:rsid w:val="008D0290"/>
    <w:rsid w:val="008D0531"/>
    <w:rsid w:val="008D0866"/>
    <w:rsid w:val="008D0945"/>
    <w:rsid w:val="008D0A7D"/>
    <w:rsid w:val="008D0BF3"/>
    <w:rsid w:val="008D0D20"/>
    <w:rsid w:val="008D1409"/>
    <w:rsid w:val="008D15CC"/>
    <w:rsid w:val="008D1729"/>
    <w:rsid w:val="008D196A"/>
    <w:rsid w:val="008D19E9"/>
    <w:rsid w:val="008D1AE4"/>
    <w:rsid w:val="008D1B5C"/>
    <w:rsid w:val="008D1E9F"/>
    <w:rsid w:val="008D2160"/>
    <w:rsid w:val="008D2179"/>
    <w:rsid w:val="008D221A"/>
    <w:rsid w:val="008D2403"/>
    <w:rsid w:val="008D2D6C"/>
    <w:rsid w:val="008D312B"/>
    <w:rsid w:val="008D3202"/>
    <w:rsid w:val="008D3C82"/>
    <w:rsid w:val="008D3F36"/>
    <w:rsid w:val="008D43FF"/>
    <w:rsid w:val="008D447E"/>
    <w:rsid w:val="008D44C2"/>
    <w:rsid w:val="008D5828"/>
    <w:rsid w:val="008D58CD"/>
    <w:rsid w:val="008D6235"/>
    <w:rsid w:val="008D64FA"/>
    <w:rsid w:val="008D6A0F"/>
    <w:rsid w:val="008D6A40"/>
    <w:rsid w:val="008D6ACF"/>
    <w:rsid w:val="008D6C6A"/>
    <w:rsid w:val="008D6CF6"/>
    <w:rsid w:val="008D7349"/>
    <w:rsid w:val="008D76B4"/>
    <w:rsid w:val="008D794F"/>
    <w:rsid w:val="008D7A41"/>
    <w:rsid w:val="008D7C16"/>
    <w:rsid w:val="008E0065"/>
    <w:rsid w:val="008E039B"/>
    <w:rsid w:val="008E06F5"/>
    <w:rsid w:val="008E148B"/>
    <w:rsid w:val="008E197B"/>
    <w:rsid w:val="008E1B39"/>
    <w:rsid w:val="008E1C12"/>
    <w:rsid w:val="008E1F59"/>
    <w:rsid w:val="008E2964"/>
    <w:rsid w:val="008E298D"/>
    <w:rsid w:val="008E2C72"/>
    <w:rsid w:val="008E2C82"/>
    <w:rsid w:val="008E3438"/>
    <w:rsid w:val="008E3680"/>
    <w:rsid w:val="008E37FC"/>
    <w:rsid w:val="008E38E2"/>
    <w:rsid w:val="008E3F02"/>
    <w:rsid w:val="008E43F5"/>
    <w:rsid w:val="008E468C"/>
    <w:rsid w:val="008E4C9A"/>
    <w:rsid w:val="008E4D9F"/>
    <w:rsid w:val="008E4F87"/>
    <w:rsid w:val="008E5870"/>
    <w:rsid w:val="008E592A"/>
    <w:rsid w:val="008E5AE2"/>
    <w:rsid w:val="008E5CDC"/>
    <w:rsid w:val="008E67CF"/>
    <w:rsid w:val="008E6ADB"/>
    <w:rsid w:val="008E6FAE"/>
    <w:rsid w:val="008E70E7"/>
    <w:rsid w:val="008E75CD"/>
    <w:rsid w:val="008E77E4"/>
    <w:rsid w:val="008E780D"/>
    <w:rsid w:val="008E78DB"/>
    <w:rsid w:val="008E7978"/>
    <w:rsid w:val="008E7C3D"/>
    <w:rsid w:val="008E7ED4"/>
    <w:rsid w:val="008F01F6"/>
    <w:rsid w:val="008F0213"/>
    <w:rsid w:val="008F0238"/>
    <w:rsid w:val="008F07ED"/>
    <w:rsid w:val="008F107F"/>
    <w:rsid w:val="008F1167"/>
    <w:rsid w:val="008F11CC"/>
    <w:rsid w:val="008F11F8"/>
    <w:rsid w:val="008F1434"/>
    <w:rsid w:val="008F14A0"/>
    <w:rsid w:val="008F1786"/>
    <w:rsid w:val="008F1A2A"/>
    <w:rsid w:val="008F1A6F"/>
    <w:rsid w:val="008F1CC1"/>
    <w:rsid w:val="008F2588"/>
    <w:rsid w:val="008F2643"/>
    <w:rsid w:val="008F2B3E"/>
    <w:rsid w:val="008F2BB9"/>
    <w:rsid w:val="008F2F3E"/>
    <w:rsid w:val="008F2F72"/>
    <w:rsid w:val="008F3315"/>
    <w:rsid w:val="008F33F0"/>
    <w:rsid w:val="008F3412"/>
    <w:rsid w:val="008F3493"/>
    <w:rsid w:val="008F35EA"/>
    <w:rsid w:val="008F388D"/>
    <w:rsid w:val="008F3D6A"/>
    <w:rsid w:val="008F3E2B"/>
    <w:rsid w:val="008F4AD5"/>
    <w:rsid w:val="008F54C3"/>
    <w:rsid w:val="008F572F"/>
    <w:rsid w:val="008F576B"/>
    <w:rsid w:val="008F5A3A"/>
    <w:rsid w:val="008F5B65"/>
    <w:rsid w:val="008F5EC6"/>
    <w:rsid w:val="008F5EF5"/>
    <w:rsid w:val="008F5F8C"/>
    <w:rsid w:val="008F622A"/>
    <w:rsid w:val="008F6CCF"/>
    <w:rsid w:val="008F6EAE"/>
    <w:rsid w:val="008F7355"/>
    <w:rsid w:val="008F758C"/>
    <w:rsid w:val="008F766C"/>
    <w:rsid w:val="008F7863"/>
    <w:rsid w:val="008F7C54"/>
    <w:rsid w:val="0090008B"/>
    <w:rsid w:val="00900307"/>
    <w:rsid w:val="00900985"/>
    <w:rsid w:val="00900BC3"/>
    <w:rsid w:val="00900CD2"/>
    <w:rsid w:val="009015D4"/>
    <w:rsid w:val="00901645"/>
    <w:rsid w:val="00901A9F"/>
    <w:rsid w:val="00902113"/>
    <w:rsid w:val="009023DC"/>
    <w:rsid w:val="0090273D"/>
    <w:rsid w:val="009027C5"/>
    <w:rsid w:val="009029D3"/>
    <w:rsid w:val="00902EBF"/>
    <w:rsid w:val="00902F0A"/>
    <w:rsid w:val="00902FCB"/>
    <w:rsid w:val="0090327F"/>
    <w:rsid w:val="0090359D"/>
    <w:rsid w:val="00903729"/>
    <w:rsid w:val="00903AA1"/>
    <w:rsid w:val="00903B5C"/>
    <w:rsid w:val="00904413"/>
    <w:rsid w:val="0090468F"/>
    <w:rsid w:val="0090492A"/>
    <w:rsid w:val="00904B67"/>
    <w:rsid w:val="0090545E"/>
    <w:rsid w:val="009055AB"/>
    <w:rsid w:val="0090567D"/>
    <w:rsid w:val="00905803"/>
    <w:rsid w:val="00905A78"/>
    <w:rsid w:val="00905E82"/>
    <w:rsid w:val="00906497"/>
    <w:rsid w:val="009067B7"/>
    <w:rsid w:val="009068E8"/>
    <w:rsid w:val="00906CC5"/>
    <w:rsid w:val="00906E32"/>
    <w:rsid w:val="00906E7A"/>
    <w:rsid w:val="00906E7F"/>
    <w:rsid w:val="0090775A"/>
    <w:rsid w:val="009078BD"/>
    <w:rsid w:val="009078D9"/>
    <w:rsid w:val="00907B9C"/>
    <w:rsid w:val="00907DFD"/>
    <w:rsid w:val="009103D4"/>
    <w:rsid w:val="00910C80"/>
    <w:rsid w:val="00910C81"/>
    <w:rsid w:val="00911827"/>
    <w:rsid w:val="00911890"/>
    <w:rsid w:val="00911A51"/>
    <w:rsid w:val="00911C50"/>
    <w:rsid w:val="009120D2"/>
    <w:rsid w:val="0091213E"/>
    <w:rsid w:val="00912852"/>
    <w:rsid w:val="00912AC0"/>
    <w:rsid w:val="0091304A"/>
    <w:rsid w:val="0091304D"/>
    <w:rsid w:val="009130C4"/>
    <w:rsid w:val="009131DA"/>
    <w:rsid w:val="0091361B"/>
    <w:rsid w:val="0091364F"/>
    <w:rsid w:val="00913849"/>
    <w:rsid w:val="009139C8"/>
    <w:rsid w:val="00913C99"/>
    <w:rsid w:val="00913DC6"/>
    <w:rsid w:val="009140DC"/>
    <w:rsid w:val="00914538"/>
    <w:rsid w:val="00914603"/>
    <w:rsid w:val="009151B9"/>
    <w:rsid w:val="009154BA"/>
    <w:rsid w:val="009157FA"/>
    <w:rsid w:val="009159CA"/>
    <w:rsid w:val="00915E26"/>
    <w:rsid w:val="00915F43"/>
    <w:rsid w:val="009167D9"/>
    <w:rsid w:val="00916966"/>
    <w:rsid w:val="00916C1C"/>
    <w:rsid w:val="00916E13"/>
    <w:rsid w:val="00916F73"/>
    <w:rsid w:val="00916FC9"/>
    <w:rsid w:val="009176F0"/>
    <w:rsid w:val="009179D7"/>
    <w:rsid w:val="00917D69"/>
    <w:rsid w:val="00917EC5"/>
    <w:rsid w:val="00920014"/>
    <w:rsid w:val="00920172"/>
    <w:rsid w:val="0092070D"/>
    <w:rsid w:val="00920772"/>
    <w:rsid w:val="009208BE"/>
    <w:rsid w:val="00920B6D"/>
    <w:rsid w:val="00920C4D"/>
    <w:rsid w:val="00920D6C"/>
    <w:rsid w:val="0092157B"/>
    <w:rsid w:val="00921581"/>
    <w:rsid w:val="009215C2"/>
    <w:rsid w:val="00921D89"/>
    <w:rsid w:val="009220FF"/>
    <w:rsid w:val="009227C2"/>
    <w:rsid w:val="009227DC"/>
    <w:rsid w:val="00922A10"/>
    <w:rsid w:val="00922B3E"/>
    <w:rsid w:val="00922BCC"/>
    <w:rsid w:val="00923024"/>
    <w:rsid w:val="009233AB"/>
    <w:rsid w:val="00923711"/>
    <w:rsid w:val="00923788"/>
    <w:rsid w:val="0092382F"/>
    <w:rsid w:val="00923A57"/>
    <w:rsid w:val="00923F18"/>
    <w:rsid w:val="00924DFC"/>
    <w:rsid w:val="0092535C"/>
    <w:rsid w:val="00925594"/>
    <w:rsid w:val="0092560B"/>
    <w:rsid w:val="00925C7F"/>
    <w:rsid w:val="009263FE"/>
    <w:rsid w:val="00926560"/>
    <w:rsid w:val="009267A0"/>
    <w:rsid w:val="00926899"/>
    <w:rsid w:val="00926B15"/>
    <w:rsid w:val="00926B99"/>
    <w:rsid w:val="00926F44"/>
    <w:rsid w:val="00926FDE"/>
    <w:rsid w:val="009270B8"/>
    <w:rsid w:val="009277F7"/>
    <w:rsid w:val="0092781F"/>
    <w:rsid w:val="009278BD"/>
    <w:rsid w:val="00927FAE"/>
    <w:rsid w:val="00930291"/>
    <w:rsid w:val="009308A8"/>
    <w:rsid w:val="009308C2"/>
    <w:rsid w:val="00930937"/>
    <w:rsid w:val="00930DBC"/>
    <w:rsid w:val="00930F4A"/>
    <w:rsid w:val="0093141C"/>
    <w:rsid w:val="00931AA5"/>
    <w:rsid w:val="00931C94"/>
    <w:rsid w:val="00931CCE"/>
    <w:rsid w:val="00931D60"/>
    <w:rsid w:val="00932013"/>
    <w:rsid w:val="009322F7"/>
    <w:rsid w:val="009324A6"/>
    <w:rsid w:val="00933B7D"/>
    <w:rsid w:val="00933E6C"/>
    <w:rsid w:val="009340B8"/>
    <w:rsid w:val="009340FD"/>
    <w:rsid w:val="00934376"/>
    <w:rsid w:val="00934CFC"/>
    <w:rsid w:val="00935A6E"/>
    <w:rsid w:val="00935ACA"/>
    <w:rsid w:val="00935CAC"/>
    <w:rsid w:val="00935E29"/>
    <w:rsid w:val="00935F39"/>
    <w:rsid w:val="009363B0"/>
    <w:rsid w:val="009368AE"/>
    <w:rsid w:val="00936CC9"/>
    <w:rsid w:val="00937958"/>
    <w:rsid w:val="0094008D"/>
    <w:rsid w:val="009406E5"/>
    <w:rsid w:val="00940B75"/>
    <w:rsid w:val="00941001"/>
    <w:rsid w:val="009413DD"/>
    <w:rsid w:val="00941602"/>
    <w:rsid w:val="00941737"/>
    <w:rsid w:val="00941B70"/>
    <w:rsid w:val="009420FF"/>
    <w:rsid w:val="00942160"/>
    <w:rsid w:val="0094228C"/>
    <w:rsid w:val="0094234C"/>
    <w:rsid w:val="00942B04"/>
    <w:rsid w:val="00942DAA"/>
    <w:rsid w:val="0094326C"/>
    <w:rsid w:val="00943496"/>
    <w:rsid w:val="00943CAA"/>
    <w:rsid w:val="00944821"/>
    <w:rsid w:val="009448AE"/>
    <w:rsid w:val="00944AAC"/>
    <w:rsid w:val="0094508E"/>
    <w:rsid w:val="00945318"/>
    <w:rsid w:val="009453B8"/>
    <w:rsid w:val="00945439"/>
    <w:rsid w:val="00945B47"/>
    <w:rsid w:val="00946004"/>
    <w:rsid w:val="00946672"/>
    <w:rsid w:val="00946769"/>
    <w:rsid w:val="00946845"/>
    <w:rsid w:val="0094684E"/>
    <w:rsid w:val="00946921"/>
    <w:rsid w:val="0094695E"/>
    <w:rsid w:val="009469F2"/>
    <w:rsid w:val="00946D4D"/>
    <w:rsid w:val="00946D90"/>
    <w:rsid w:val="00946E20"/>
    <w:rsid w:val="00947191"/>
    <w:rsid w:val="00947343"/>
    <w:rsid w:val="00950355"/>
    <w:rsid w:val="00950C94"/>
    <w:rsid w:val="00950D47"/>
    <w:rsid w:val="00950D4A"/>
    <w:rsid w:val="0095146F"/>
    <w:rsid w:val="009518BC"/>
    <w:rsid w:val="00951A29"/>
    <w:rsid w:val="00951A4C"/>
    <w:rsid w:val="00951F2D"/>
    <w:rsid w:val="0095256C"/>
    <w:rsid w:val="009526C7"/>
    <w:rsid w:val="009527AF"/>
    <w:rsid w:val="009527E0"/>
    <w:rsid w:val="00952839"/>
    <w:rsid w:val="00952937"/>
    <w:rsid w:val="009530FB"/>
    <w:rsid w:val="00953250"/>
    <w:rsid w:val="0095344C"/>
    <w:rsid w:val="00953484"/>
    <w:rsid w:val="009534C7"/>
    <w:rsid w:val="00953675"/>
    <w:rsid w:val="009536CC"/>
    <w:rsid w:val="00953815"/>
    <w:rsid w:val="0095393B"/>
    <w:rsid w:val="00953DA9"/>
    <w:rsid w:val="00953FD3"/>
    <w:rsid w:val="0095463B"/>
    <w:rsid w:val="00954675"/>
    <w:rsid w:val="00954C40"/>
    <w:rsid w:val="00955022"/>
    <w:rsid w:val="0095563D"/>
    <w:rsid w:val="009559ED"/>
    <w:rsid w:val="00955E33"/>
    <w:rsid w:val="0095631B"/>
    <w:rsid w:val="009563B8"/>
    <w:rsid w:val="00956937"/>
    <w:rsid w:val="00957005"/>
    <w:rsid w:val="00957636"/>
    <w:rsid w:val="00957944"/>
    <w:rsid w:val="00957C9C"/>
    <w:rsid w:val="00957DDA"/>
    <w:rsid w:val="00957F22"/>
    <w:rsid w:val="0096019A"/>
    <w:rsid w:val="009602C5"/>
    <w:rsid w:val="0096076C"/>
    <w:rsid w:val="0096103A"/>
    <w:rsid w:val="00961309"/>
    <w:rsid w:val="00962223"/>
    <w:rsid w:val="009623D1"/>
    <w:rsid w:val="0096252B"/>
    <w:rsid w:val="0096264B"/>
    <w:rsid w:val="0096273C"/>
    <w:rsid w:val="009627C2"/>
    <w:rsid w:val="00962CC1"/>
    <w:rsid w:val="00963318"/>
    <w:rsid w:val="0096335D"/>
    <w:rsid w:val="00963375"/>
    <w:rsid w:val="00963562"/>
    <w:rsid w:val="009640E4"/>
    <w:rsid w:val="009644D9"/>
    <w:rsid w:val="00964748"/>
    <w:rsid w:val="00964833"/>
    <w:rsid w:val="00964A9F"/>
    <w:rsid w:val="00964D5B"/>
    <w:rsid w:val="009653FB"/>
    <w:rsid w:val="009659C6"/>
    <w:rsid w:val="00965C56"/>
    <w:rsid w:val="0096613C"/>
    <w:rsid w:val="0096630F"/>
    <w:rsid w:val="0096675F"/>
    <w:rsid w:val="00966BE6"/>
    <w:rsid w:val="00966CEA"/>
    <w:rsid w:val="00966D0D"/>
    <w:rsid w:val="00966D59"/>
    <w:rsid w:val="009672C1"/>
    <w:rsid w:val="00967732"/>
    <w:rsid w:val="00967783"/>
    <w:rsid w:val="0096783C"/>
    <w:rsid w:val="00967B6E"/>
    <w:rsid w:val="00970023"/>
    <w:rsid w:val="00970C02"/>
    <w:rsid w:val="00970D3A"/>
    <w:rsid w:val="0097129F"/>
    <w:rsid w:val="00971359"/>
    <w:rsid w:val="00971522"/>
    <w:rsid w:val="0097158C"/>
    <w:rsid w:val="00971960"/>
    <w:rsid w:val="00971B0B"/>
    <w:rsid w:val="00971DDC"/>
    <w:rsid w:val="00971ED4"/>
    <w:rsid w:val="00972073"/>
    <w:rsid w:val="009722B3"/>
    <w:rsid w:val="0097276D"/>
    <w:rsid w:val="009729BA"/>
    <w:rsid w:val="00972FA6"/>
    <w:rsid w:val="00973186"/>
    <w:rsid w:val="009734E9"/>
    <w:rsid w:val="00973B9F"/>
    <w:rsid w:val="00973E24"/>
    <w:rsid w:val="00973E6A"/>
    <w:rsid w:val="00973E6C"/>
    <w:rsid w:val="0097430B"/>
    <w:rsid w:val="00974A0A"/>
    <w:rsid w:val="00974C21"/>
    <w:rsid w:val="00974CAF"/>
    <w:rsid w:val="00974D07"/>
    <w:rsid w:val="00974D5F"/>
    <w:rsid w:val="00975062"/>
    <w:rsid w:val="0097506E"/>
    <w:rsid w:val="009751D0"/>
    <w:rsid w:val="00975764"/>
    <w:rsid w:val="00975948"/>
    <w:rsid w:val="00975DAC"/>
    <w:rsid w:val="00975F82"/>
    <w:rsid w:val="00975FDD"/>
    <w:rsid w:val="00976265"/>
    <w:rsid w:val="00976895"/>
    <w:rsid w:val="00976E42"/>
    <w:rsid w:val="00977150"/>
    <w:rsid w:val="009772E3"/>
    <w:rsid w:val="009772FD"/>
    <w:rsid w:val="00977472"/>
    <w:rsid w:val="00977491"/>
    <w:rsid w:val="00977A7B"/>
    <w:rsid w:val="00977BF3"/>
    <w:rsid w:val="00977DF4"/>
    <w:rsid w:val="00977E34"/>
    <w:rsid w:val="00980376"/>
    <w:rsid w:val="009803E4"/>
    <w:rsid w:val="009803ED"/>
    <w:rsid w:val="009808B6"/>
    <w:rsid w:val="00980B0E"/>
    <w:rsid w:val="00980C06"/>
    <w:rsid w:val="00980DEA"/>
    <w:rsid w:val="00980E37"/>
    <w:rsid w:val="00980F28"/>
    <w:rsid w:val="00981316"/>
    <w:rsid w:val="00981488"/>
    <w:rsid w:val="00982B39"/>
    <w:rsid w:val="009836A3"/>
    <w:rsid w:val="00983723"/>
    <w:rsid w:val="00983770"/>
    <w:rsid w:val="0098396B"/>
    <w:rsid w:val="00983A4A"/>
    <w:rsid w:val="00983C7B"/>
    <w:rsid w:val="00983EB0"/>
    <w:rsid w:val="00984691"/>
    <w:rsid w:val="00984A72"/>
    <w:rsid w:val="00984C58"/>
    <w:rsid w:val="00984DCE"/>
    <w:rsid w:val="00985186"/>
    <w:rsid w:val="009851C1"/>
    <w:rsid w:val="009855A8"/>
    <w:rsid w:val="0098587D"/>
    <w:rsid w:val="00985CBE"/>
    <w:rsid w:val="00985D10"/>
    <w:rsid w:val="00985D1A"/>
    <w:rsid w:val="00985DB2"/>
    <w:rsid w:val="0098643B"/>
    <w:rsid w:val="009872BB"/>
    <w:rsid w:val="0098748D"/>
    <w:rsid w:val="00987560"/>
    <w:rsid w:val="00987673"/>
    <w:rsid w:val="009878AD"/>
    <w:rsid w:val="00987D06"/>
    <w:rsid w:val="00987D1B"/>
    <w:rsid w:val="00987E66"/>
    <w:rsid w:val="00987F25"/>
    <w:rsid w:val="009900BE"/>
    <w:rsid w:val="009902F6"/>
    <w:rsid w:val="009904B2"/>
    <w:rsid w:val="0099051C"/>
    <w:rsid w:val="00990671"/>
    <w:rsid w:val="00990C99"/>
    <w:rsid w:val="00990CF8"/>
    <w:rsid w:val="00990DC1"/>
    <w:rsid w:val="00990E06"/>
    <w:rsid w:val="00990E2F"/>
    <w:rsid w:val="009911D8"/>
    <w:rsid w:val="00991256"/>
    <w:rsid w:val="009913F4"/>
    <w:rsid w:val="00991402"/>
    <w:rsid w:val="009915FA"/>
    <w:rsid w:val="00991698"/>
    <w:rsid w:val="00991782"/>
    <w:rsid w:val="00991CC0"/>
    <w:rsid w:val="00991DFD"/>
    <w:rsid w:val="009924CD"/>
    <w:rsid w:val="00992733"/>
    <w:rsid w:val="00992B46"/>
    <w:rsid w:val="00992E50"/>
    <w:rsid w:val="00992EFE"/>
    <w:rsid w:val="00993495"/>
    <w:rsid w:val="009937F7"/>
    <w:rsid w:val="00993ACB"/>
    <w:rsid w:val="00993DEB"/>
    <w:rsid w:val="00994089"/>
    <w:rsid w:val="00994300"/>
    <w:rsid w:val="0099465B"/>
    <w:rsid w:val="009946EF"/>
    <w:rsid w:val="00994D66"/>
    <w:rsid w:val="0099511B"/>
    <w:rsid w:val="009951A1"/>
    <w:rsid w:val="009958CD"/>
    <w:rsid w:val="00995C35"/>
    <w:rsid w:val="00995E45"/>
    <w:rsid w:val="00995EFB"/>
    <w:rsid w:val="00996416"/>
    <w:rsid w:val="009965C4"/>
    <w:rsid w:val="009966A8"/>
    <w:rsid w:val="009966F0"/>
    <w:rsid w:val="00996C1A"/>
    <w:rsid w:val="00996C65"/>
    <w:rsid w:val="00996EAD"/>
    <w:rsid w:val="00996F70"/>
    <w:rsid w:val="00996FBC"/>
    <w:rsid w:val="00996FE1"/>
    <w:rsid w:val="009976D1"/>
    <w:rsid w:val="00997785"/>
    <w:rsid w:val="00997A44"/>
    <w:rsid w:val="00997B26"/>
    <w:rsid w:val="009A057C"/>
    <w:rsid w:val="009A066A"/>
    <w:rsid w:val="009A0957"/>
    <w:rsid w:val="009A0A3E"/>
    <w:rsid w:val="009A0B98"/>
    <w:rsid w:val="009A0CDD"/>
    <w:rsid w:val="009A0E49"/>
    <w:rsid w:val="009A12F6"/>
    <w:rsid w:val="009A1328"/>
    <w:rsid w:val="009A14F1"/>
    <w:rsid w:val="009A18BE"/>
    <w:rsid w:val="009A1CBE"/>
    <w:rsid w:val="009A2056"/>
    <w:rsid w:val="009A2571"/>
    <w:rsid w:val="009A2741"/>
    <w:rsid w:val="009A2B21"/>
    <w:rsid w:val="009A2C18"/>
    <w:rsid w:val="009A2C45"/>
    <w:rsid w:val="009A2CA0"/>
    <w:rsid w:val="009A2DE6"/>
    <w:rsid w:val="009A2E47"/>
    <w:rsid w:val="009A2EEE"/>
    <w:rsid w:val="009A313D"/>
    <w:rsid w:val="009A3168"/>
    <w:rsid w:val="009A326A"/>
    <w:rsid w:val="009A34C3"/>
    <w:rsid w:val="009A3A27"/>
    <w:rsid w:val="009A3D7D"/>
    <w:rsid w:val="009A4621"/>
    <w:rsid w:val="009A463A"/>
    <w:rsid w:val="009A4A92"/>
    <w:rsid w:val="009A4BDF"/>
    <w:rsid w:val="009A5050"/>
    <w:rsid w:val="009A54E8"/>
    <w:rsid w:val="009A58F5"/>
    <w:rsid w:val="009A59A8"/>
    <w:rsid w:val="009A5A06"/>
    <w:rsid w:val="009A5B0E"/>
    <w:rsid w:val="009A5BC4"/>
    <w:rsid w:val="009A5D04"/>
    <w:rsid w:val="009A6128"/>
    <w:rsid w:val="009A61CA"/>
    <w:rsid w:val="009A622F"/>
    <w:rsid w:val="009A69A7"/>
    <w:rsid w:val="009A6AF2"/>
    <w:rsid w:val="009A6DF6"/>
    <w:rsid w:val="009A6F32"/>
    <w:rsid w:val="009A70BA"/>
    <w:rsid w:val="009A724B"/>
    <w:rsid w:val="009A784F"/>
    <w:rsid w:val="009A793F"/>
    <w:rsid w:val="009A7A12"/>
    <w:rsid w:val="009B0016"/>
    <w:rsid w:val="009B0062"/>
    <w:rsid w:val="009B0C64"/>
    <w:rsid w:val="009B0F67"/>
    <w:rsid w:val="009B12A2"/>
    <w:rsid w:val="009B208A"/>
    <w:rsid w:val="009B24D5"/>
    <w:rsid w:val="009B2756"/>
    <w:rsid w:val="009B29DB"/>
    <w:rsid w:val="009B31F7"/>
    <w:rsid w:val="009B382C"/>
    <w:rsid w:val="009B3D56"/>
    <w:rsid w:val="009B3F8C"/>
    <w:rsid w:val="009B3FD9"/>
    <w:rsid w:val="009B4380"/>
    <w:rsid w:val="009B43A8"/>
    <w:rsid w:val="009B4812"/>
    <w:rsid w:val="009B4851"/>
    <w:rsid w:val="009B533B"/>
    <w:rsid w:val="009B533C"/>
    <w:rsid w:val="009B546B"/>
    <w:rsid w:val="009B55AF"/>
    <w:rsid w:val="009B571F"/>
    <w:rsid w:val="009B5963"/>
    <w:rsid w:val="009B5D28"/>
    <w:rsid w:val="009B72C5"/>
    <w:rsid w:val="009B736B"/>
    <w:rsid w:val="009B7906"/>
    <w:rsid w:val="009B7914"/>
    <w:rsid w:val="009B7994"/>
    <w:rsid w:val="009B7C47"/>
    <w:rsid w:val="009C00A0"/>
    <w:rsid w:val="009C011B"/>
    <w:rsid w:val="009C01CB"/>
    <w:rsid w:val="009C02EB"/>
    <w:rsid w:val="009C037A"/>
    <w:rsid w:val="009C067B"/>
    <w:rsid w:val="009C0B39"/>
    <w:rsid w:val="009C0B60"/>
    <w:rsid w:val="009C0C36"/>
    <w:rsid w:val="009C0C58"/>
    <w:rsid w:val="009C0D3A"/>
    <w:rsid w:val="009C1164"/>
    <w:rsid w:val="009C1646"/>
    <w:rsid w:val="009C18A8"/>
    <w:rsid w:val="009C1B6E"/>
    <w:rsid w:val="009C1EC3"/>
    <w:rsid w:val="009C2201"/>
    <w:rsid w:val="009C26AA"/>
    <w:rsid w:val="009C2DC8"/>
    <w:rsid w:val="009C326B"/>
    <w:rsid w:val="009C32E4"/>
    <w:rsid w:val="009C3413"/>
    <w:rsid w:val="009C34D2"/>
    <w:rsid w:val="009C3589"/>
    <w:rsid w:val="009C3650"/>
    <w:rsid w:val="009C3A4E"/>
    <w:rsid w:val="009C3A70"/>
    <w:rsid w:val="009C3B67"/>
    <w:rsid w:val="009C3EE6"/>
    <w:rsid w:val="009C4FAA"/>
    <w:rsid w:val="009C5061"/>
    <w:rsid w:val="009C552D"/>
    <w:rsid w:val="009C5609"/>
    <w:rsid w:val="009C560B"/>
    <w:rsid w:val="009C5AD7"/>
    <w:rsid w:val="009C6018"/>
    <w:rsid w:val="009C60E1"/>
    <w:rsid w:val="009C6784"/>
    <w:rsid w:val="009C67C5"/>
    <w:rsid w:val="009C69AC"/>
    <w:rsid w:val="009C6D39"/>
    <w:rsid w:val="009C6D63"/>
    <w:rsid w:val="009C6EAF"/>
    <w:rsid w:val="009C703C"/>
    <w:rsid w:val="009C720C"/>
    <w:rsid w:val="009C7722"/>
    <w:rsid w:val="009C7B98"/>
    <w:rsid w:val="009C7BBD"/>
    <w:rsid w:val="009C7C0E"/>
    <w:rsid w:val="009D011A"/>
    <w:rsid w:val="009D03DC"/>
    <w:rsid w:val="009D0712"/>
    <w:rsid w:val="009D0C29"/>
    <w:rsid w:val="009D0EB8"/>
    <w:rsid w:val="009D0FA2"/>
    <w:rsid w:val="009D122E"/>
    <w:rsid w:val="009D1B1E"/>
    <w:rsid w:val="009D1F3F"/>
    <w:rsid w:val="009D206E"/>
    <w:rsid w:val="009D2291"/>
    <w:rsid w:val="009D2C9B"/>
    <w:rsid w:val="009D2D00"/>
    <w:rsid w:val="009D35A7"/>
    <w:rsid w:val="009D3CAA"/>
    <w:rsid w:val="009D3FB7"/>
    <w:rsid w:val="009D40CE"/>
    <w:rsid w:val="009D4111"/>
    <w:rsid w:val="009D4114"/>
    <w:rsid w:val="009D4C1D"/>
    <w:rsid w:val="009D5032"/>
    <w:rsid w:val="009D507A"/>
    <w:rsid w:val="009D548C"/>
    <w:rsid w:val="009D5ED1"/>
    <w:rsid w:val="009D5F2C"/>
    <w:rsid w:val="009D5FFB"/>
    <w:rsid w:val="009D5FFD"/>
    <w:rsid w:val="009D6532"/>
    <w:rsid w:val="009D6A18"/>
    <w:rsid w:val="009D6A40"/>
    <w:rsid w:val="009D71FD"/>
    <w:rsid w:val="009D740C"/>
    <w:rsid w:val="009D77EF"/>
    <w:rsid w:val="009D7C17"/>
    <w:rsid w:val="009D7F79"/>
    <w:rsid w:val="009E01C7"/>
    <w:rsid w:val="009E0516"/>
    <w:rsid w:val="009E061A"/>
    <w:rsid w:val="009E06D9"/>
    <w:rsid w:val="009E06F0"/>
    <w:rsid w:val="009E0755"/>
    <w:rsid w:val="009E082C"/>
    <w:rsid w:val="009E0A9B"/>
    <w:rsid w:val="009E0A9C"/>
    <w:rsid w:val="009E0ACB"/>
    <w:rsid w:val="009E0B91"/>
    <w:rsid w:val="009E0DF9"/>
    <w:rsid w:val="009E10AD"/>
    <w:rsid w:val="009E10DA"/>
    <w:rsid w:val="009E1249"/>
    <w:rsid w:val="009E135A"/>
    <w:rsid w:val="009E1670"/>
    <w:rsid w:val="009E18F3"/>
    <w:rsid w:val="009E1B1F"/>
    <w:rsid w:val="009E1C53"/>
    <w:rsid w:val="009E21C6"/>
    <w:rsid w:val="009E2303"/>
    <w:rsid w:val="009E2588"/>
    <w:rsid w:val="009E2BC4"/>
    <w:rsid w:val="009E2DE7"/>
    <w:rsid w:val="009E2E8E"/>
    <w:rsid w:val="009E30A8"/>
    <w:rsid w:val="009E3399"/>
    <w:rsid w:val="009E366E"/>
    <w:rsid w:val="009E40E1"/>
    <w:rsid w:val="009E4664"/>
    <w:rsid w:val="009E4AE1"/>
    <w:rsid w:val="009E5045"/>
    <w:rsid w:val="009E52E2"/>
    <w:rsid w:val="009E590E"/>
    <w:rsid w:val="009E5A4D"/>
    <w:rsid w:val="009E5CAF"/>
    <w:rsid w:val="009E6670"/>
    <w:rsid w:val="009E6A4E"/>
    <w:rsid w:val="009E6BD5"/>
    <w:rsid w:val="009E7A75"/>
    <w:rsid w:val="009E7C88"/>
    <w:rsid w:val="009E7F56"/>
    <w:rsid w:val="009F05B9"/>
    <w:rsid w:val="009F06E8"/>
    <w:rsid w:val="009F0E8A"/>
    <w:rsid w:val="009F0EFA"/>
    <w:rsid w:val="009F12EA"/>
    <w:rsid w:val="009F1433"/>
    <w:rsid w:val="009F1CF0"/>
    <w:rsid w:val="009F23F9"/>
    <w:rsid w:val="009F23FE"/>
    <w:rsid w:val="009F250B"/>
    <w:rsid w:val="009F2B27"/>
    <w:rsid w:val="009F2B9F"/>
    <w:rsid w:val="009F3233"/>
    <w:rsid w:val="009F3577"/>
    <w:rsid w:val="009F3EDC"/>
    <w:rsid w:val="009F419F"/>
    <w:rsid w:val="009F4CEC"/>
    <w:rsid w:val="009F4E46"/>
    <w:rsid w:val="009F4ED2"/>
    <w:rsid w:val="009F4EEE"/>
    <w:rsid w:val="009F5211"/>
    <w:rsid w:val="009F52BA"/>
    <w:rsid w:val="009F5304"/>
    <w:rsid w:val="009F539A"/>
    <w:rsid w:val="009F5939"/>
    <w:rsid w:val="009F5B65"/>
    <w:rsid w:val="009F5BCD"/>
    <w:rsid w:val="009F5E97"/>
    <w:rsid w:val="009F5F2E"/>
    <w:rsid w:val="009F5FB4"/>
    <w:rsid w:val="009F63FE"/>
    <w:rsid w:val="009F677D"/>
    <w:rsid w:val="009F6CA6"/>
    <w:rsid w:val="009F778C"/>
    <w:rsid w:val="009F77E3"/>
    <w:rsid w:val="009F78B3"/>
    <w:rsid w:val="009F79BD"/>
    <w:rsid w:val="009F7DFA"/>
    <w:rsid w:val="00A001D2"/>
    <w:rsid w:val="00A0057D"/>
    <w:rsid w:val="00A0068B"/>
    <w:rsid w:val="00A006C9"/>
    <w:rsid w:val="00A008CD"/>
    <w:rsid w:val="00A00FCD"/>
    <w:rsid w:val="00A01266"/>
    <w:rsid w:val="00A01432"/>
    <w:rsid w:val="00A015A1"/>
    <w:rsid w:val="00A0162D"/>
    <w:rsid w:val="00A0167A"/>
    <w:rsid w:val="00A0175B"/>
    <w:rsid w:val="00A01980"/>
    <w:rsid w:val="00A01B12"/>
    <w:rsid w:val="00A01D9C"/>
    <w:rsid w:val="00A0252F"/>
    <w:rsid w:val="00A02863"/>
    <w:rsid w:val="00A028A7"/>
    <w:rsid w:val="00A02996"/>
    <w:rsid w:val="00A029AF"/>
    <w:rsid w:val="00A02B50"/>
    <w:rsid w:val="00A02F28"/>
    <w:rsid w:val="00A03060"/>
    <w:rsid w:val="00A03299"/>
    <w:rsid w:val="00A0463D"/>
    <w:rsid w:val="00A0488D"/>
    <w:rsid w:val="00A05DED"/>
    <w:rsid w:val="00A05E2A"/>
    <w:rsid w:val="00A0612D"/>
    <w:rsid w:val="00A06225"/>
    <w:rsid w:val="00A0637C"/>
    <w:rsid w:val="00A066E6"/>
    <w:rsid w:val="00A06AF5"/>
    <w:rsid w:val="00A06AFC"/>
    <w:rsid w:val="00A06CDF"/>
    <w:rsid w:val="00A07755"/>
    <w:rsid w:val="00A0795A"/>
    <w:rsid w:val="00A079D4"/>
    <w:rsid w:val="00A07A2F"/>
    <w:rsid w:val="00A07E7D"/>
    <w:rsid w:val="00A10152"/>
    <w:rsid w:val="00A10594"/>
    <w:rsid w:val="00A10905"/>
    <w:rsid w:val="00A1090D"/>
    <w:rsid w:val="00A10C20"/>
    <w:rsid w:val="00A10CB7"/>
    <w:rsid w:val="00A10CF9"/>
    <w:rsid w:val="00A110D1"/>
    <w:rsid w:val="00A118CA"/>
    <w:rsid w:val="00A11A84"/>
    <w:rsid w:val="00A11BFE"/>
    <w:rsid w:val="00A11E7D"/>
    <w:rsid w:val="00A124D6"/>
    <w:rsid w:val="00A12587"/>
    <w:rsid w:val="00A12875"/>
    <w:rsid w:val="00A128E6"/>
    <w:rsid w:val="00A12EEA"/>
    <w:rsid w:val="00A1306F"/>
    <w:rsid w:val="00A143E3"/>
    <w:rsid w:val="00A144D3"/>
    <w:rsid w:val="00A14502"/>
    <w:rsid w:val="00A14786"/>
    <w:rsid w:val="00A14B98"/>
    <w:rsid w:val="00A152D2"/>
    <w:rsid w:val="00A158AD"/>
    <w:rsid w:val="00A15C0A"/>
    <w:rsid w:val="00A15CE5"/>
    <w:rsid w:val="00A168DB"/>
    <w:rsid w:val="00A16959"/>
    <w:rsid w:val="00A176C4"/>
    <w:rsid w:val="00A17A50"/>
    <w:rsid w:val="00A17EA7"/>
    <w:rsid w:val="00A200AB"/>
    <w:rsid w:val="00A20112"/>
    <w:rsid w:val="00A202BE"/>
    <w:rsid w:val="00A2038B"/>
    <w:rsid w:val="00A20477"/>
    <w:rsid w:val="00A205F4"/>
    <w:rsid w:val="00A20E16"/>
    <w:rsid w:val="00A20F92"/>
    <w:rsid w:val="00A2117C"/>
    <w:rsid w:val="00A21275"/>
    <w:rsid w:val="00A21CB2"/>
    <w:rsid w:val="00A21D7D"/>
    <w:rsid w:val="00A22114"/>
    <w:rsid w:val="00A22AC3"/>
    <w:rsid w:val="00A22CC5"/>
    <w:rsid w:val="00A233E3"/>
    <w:rsid w:val="00A2351E"/>
    <w:rsid w:val="00A23526"/>
    <w:rsid w:val="00A236B2"/>
    <w:rsid w:val="00A23789"/>
    <w:rsid w:val="00A23F3F"/>
    <w:rsid w:val="00A24067"/>
    <w:rsid w:val="00A24596"/>
    <w:rsid w:val="00A24A4B"/>
    <w:rsid w:val="00A24B3D"/>
    <w:rsid w:val="00A25142"/>
    <w:rsid w:val="00A25BCA"/>
    <w:rsid w:val="00A2621D"/>
    <w:rsid w:val="00A262DB"/>
    <w:rsid w:val="00A2639A"/>
    <w:rsid w:val="00A264F3"/>
    <w:rsid w:val="00A266BF"/>
    <w:rsid w:val="00A268F3"/>
    <w:rsid w:val="00A26F32"/>
    <w:rsid w:val="00A26FE8"/>
    <w:rsid w:val="00A2744D"/>
    <w:rsid w:val="00A27515"/>
    <w:rsid w:val="00A279A4"/>
    <w:rsid w:val="00A27BAC"/>
    <w:rsid w:val="00A27C5B"/>
    <w:rsid w:val="00A306F6"/>
    <w:rsid w:val="00A30D16"/>
    <w:rsid w:val="00A32268"/>
    <w:rsid w:val="00A32DB6"/>
    <w:rsid w:val="00A330D0"/>
    <w:rsid w:val="00A3361F"/>
    <w:rsid w:val="00A33A9E"/>
    <w:rsid w:val="00A33BDB"/>
    <w:rsid w:val="00A33C61"/>
    <w:rsid w:val="00A33D96"/>
    <w:rsid w:val="00A33EB7"/>
    <w:rsid w:val="00A34218"/>
    <w:rsid w:val="00A343CE"/>
    <w:rsid w:val="00A34A73"/>
    <w:rsid w:val="00A34CA3"/>
    <w:rsid w:val="00A34E6C"/>
    <w:rsid w:val="00A34FD0"/>
    <w:rsid w:val="00A352A3"/>
    <w:rsid w:val="00A352E1"/>
    <w:rsid w:val="00A355D8"/>
    <w:rsid w:val="00A35646"/>
    <w:rsid w:val="00A35A3A"/>
    <w:rsid w:val="00A35D46"/>
    <w:rsid w:val="00A361E8"/>
    <w:rsid w:val="00A361EA"/>
    <w:rsid w:val="00A36313"/>
    <w:rsid w:val="00A36398"/>
    <w:rsid w:val="00A363EB"/>
    <w:rsid w:val="00A3647B"/>
    <w:rsid w:val="00A36650"/>
    <w:rsid w:val="00A368FC"/>
    <w:rsid w:val="00A36CC1"/>
    <w:rsid w:val="00A370E7"/>
    <w:rsid w:val="00A377B3"/>
    <w:rsid w:val="00A37C8D"/>
    <w:rsid w:val="00A37CFA"/>
    <w:rsid w:val="00A37E9E"/>
    <w:rsid w:val="00A4020E"/>
    <w:rsid w:val="00A40493"/>
    <w:rsid w:val="00A4060B"/>
    <w:rsid w:val="00A408E8"/>
    <w:rsid w:val="00A40A3F"/>
    <w:rsid w:val="00A40B03"/>
    <w:rsid w:val="00A40FB5"/>
    <w:rsid w:val="00A41314"/>
    <w:rsid w:val="00A417A1"/>
    <w:rsid w:val="00A418A1"/>
    <w:rsid w:val="00A41B30"/>
    <w:rsid w:val="00A41F9B"/>
    <w:rsid w:val="00A42412"/>
    <w:rsid w:val="00A42826"/>
    <w:rsid w:val="00A429B3"/>
    <w:rsid w:val="00A42C8E"/>
    <w:rsid w:val="00A42D05"/>
    <w:rsid w:val="00A42D3B"/>
    <w:rsid w:val="00A42E37"/>
    <w:rsid w:val="00A42EDA"/>
    <w:rsid w:val="00A43BA7"/>
    <w:rsid w:val="00A43FEB"/>
    <w:rsid w:val="00A44017"/>
    <w:rsid w:val="00A44EC1"/>
    <w:rsid w:val="00A4504A"/>
    <w:rsid w:val="00A45098"/>
    <w:rsid w:val="00A452C6"/>
    <w:rsid w:val="00A457F1"/>
    <w:rsid w:val="00A45C83"/>
    <w:rsid w:val="00A466FF"/>
    <w:rsid w:val="00A4671F"/>
    <w:rsid w:val="00A46BA5"/>
    <w:rsid w:val="00A4717E"/>
    <w:rsid w:val="00A471EB"/>
    <w:rsid w:val="00A4796C"/>
    <w:rsid w:val="00A47B1E"/>
    <w:rsid w:val="00A47FCC"/>
    <w:rsid w:val="00A50054"/>
    <w:rsid w:val="00A506A3"/>
    <w:rsid w:val="00A50823"/>
    <w:rsid w:val="00A508F3"/>
    <w:rsid w:val="00A50B6D"/>
    <w:rsid w:val="00A510E4"/>
    <w:rsid w:val="00A515A3"/>
    <w:rsid w:val="00A519EB"/>
    <w:rsid w:val="00A51D96"/>
    <w:rsid w:val="00A51EF1"/>
    <w:rsid w:val="00A51F8C"/>
    <w:rsid w:val="00A526F7"/>
    <w:rsid w:val="00A5273B"/>
    <w:rsid w:val="00A52A21"/>
    <w:rsid w:val="00A52C20"/>
    <w:rsid w:val="00A536F2"/>
    <w:rsid w:val="00A53974"/>
    <w:rsid w:val="00A53A9D"/>
    <w:rsid w:val="00A541A8"/>
    <w:rsid w:val="00A54390"/>
    <w:rsid w:val="00A543CD"/>
    <w:rsid w:val="00A54CE7"/>
    <w:rsid w:val="00A54D21"/>
    <w:rsid w:val="00A54E0B"/>
    <w:rsid w:val="00A555A0"/>
    <w:rsid w:val="00A55995"/>
    <w:rsid w:val="00A55FEE"/>
    <w:rsid w:val="00A56304"/>
    <w:rsid w:val="00A569CB"/>
    <w:rsid w:val="00A56B5E"/>
    <w:rsid w:val="00A56C71"/>
    <w:rsid w:val="00A56C89"/>
    <w:rsid w:val="00A56F8C"/>
    <w:rsid w:val="00A572F3"/>
    <w:rsid w:val="00A57422"/>
    <w:rsid w:val="00A574D8"/>
    <w:rsid w:val="00A57754"/>
    <w:rsid w:val="00A57786"/>
    <w:rsid w:val="00A579D0"/>
    <w:rsid w:val="00A605B3"/>
    <w:rsid w:val="00A60661"/>
    <w:rsid w:val="00A606B9"/>
    <w:rsid w:val="00A60953"/>
    <w:rsid w:val="00A6138F"/>
    <w:rsid w:val="00A61842"/>
    <w:rsid w:val="00A61920"/>
    <w:rsid w:val="00A61B8E"/>
    <w:rsid w:val="00A61F28"/>
    <w:rsid w:val="00A62028"/>
    <w:rsid w:val="00A621AA"/>
    <w:rsid w:val="00A621EC"/>
    <w:rsid w:val="00A624FB"/>
    <w:rsid w:val="00A6260E"/>
    <w:rsid w:val="00A626B1"/>
    <w:rsid w:val="00A62C1A"/>
    <w:rsid w:val="00A63CA2"/>
    <w:rsid w:val="00A64088"/>
    <w:rsid w:val="00A6426D"/>
    <w:rsid w:val="00A6439B"/>
    <w:rsid w:val="00A64877"/>
    <w:rsid w:val="00A64CF7"/>
    <w:rsid w:val="00A64D6A"/>
    <w:rsid w:val="00A64EA7"/>
    <w:rsid w:val="00A64FDB"/>
    <w:rsid w:val="00A65248"/>
    <w:rsid w:val="00A652B3"/>
    <w:rsid w:val="00A66259"/>
    <w:rsid w:val="00A66364"/>
    <w:rsid w:val="00A665C1"/>
    <w:rsid w:val="00A666B9"/>
    <w:rsid w:val="00A66F11"/>
    <w:rsid w:val="00A67080"/>
    <w:rsid w:val="00A673A4"/>
    <w:rsid w:val="00A6740C"/>
    <w:rsid w:val="00A6742D"/>
    <w:rsid w:val="00A67466"/>
    <w:rsid w:val="00A67882"/>
    <w:rsid w:val="00A678C8"/>
    <w:rsid w:val="00A67B95"/>
    <w:rsid w:val="00A7001A"/>
    <w:rsid w:val="00A701F6"/>
    <w:rsid w:val="00A7020A"/>
    <w:rsid w:val="00A70622"/>
    <w:rsid w:val="00A70977"/>
    <w:rsid w:val="00A709CC"/>
    <w:rsid w:val="00A70A44"/>
    <w:rsid w:val="00A70BE0"/>
    <w:rsid w:val="00A70CF8"/>
    <w:rsid w:val="00A70D58"/>
    <w:rsid w:val="00A70ED4"/>
    <w:rsid w:val="00A714D8"/>
    <w:rsid w:val="00A717B2"/>
    <w:rsid w:val="00A71B83"/>
    <w:rsid w:val="00A71F17"/>
    <w:rsid w:val="00A723F0"/>
    <w:rsid w:val="00A728C6"/>
    <w:rsid w:val="00A7295C"/>
    <w:rsid w:val="00A72ECA"/>
    <w:rsid w:val="00A7322A"/>
    <w:rsid w:val="00A73487"/>
    <w:rsid w:val="00A7369F"/>
    <w:rsid w:val="00A7375C"/>
    <w:rsid w:val="00A73B96"/>
    <w:rsid w:val="00A74195"/>
    <w:rsid w:val="00A7426B"/>
    <w:rsid w:val="00A744F9"/>
    <w:rsid w:val="00A74602"/>
    <w:rsid w:val="00A7490D"/>
    <w:rsid w:val="00A74FC6"/>
    <w:rsid w:val="00A752E6"/>
    <w:rsid w:val="00A753A1"/>
    <w:rsid w:val="00A7552D"/>
    <w:rsid w:val="00A757AC"/>
    <w:rsid w:val="00A75866"/>
    <w:rsid w:val="00A759CF"/>
    <w:rsid w:val="00A76051"/>
    <w:rsid w:val="00A76739"/>
    <w:rsid w:val="00A769BD"/>
    <w:rsid w:val="00A76E48"/>
    <w:rsid w:val="00A76F3C"/>
    <w:rsid w:val="00A76F82"/>
    <w:rsid w:val="00A7759E"/>
    <w:rsid w:val="00A77613"/>
    <w:rsid w:val="00A77860"/>
    <w:rsid w:val="00A77B87"/>
    <w:rsid w:val="00A77E01"/>
    <w:rsid w:val="00A80041"/>
    <w:rsid w:val="00A80086"/>
    <w:rsid w:val="00A801AD"/>
    <w:rsid w:val="00A80BD0"/>
    <w:rsid w:val="00A81107"/>
    <w:rsid w:val="00A81851"/>
    <w:rsid w:val="00A81B0A"/>
    <w:rsid w:val="00A81D14"/>
    <w:rsid w:val="00A81D44"/>
    <w:rsid w:val="00A82CAE"/>
    <w:rsid w:val="00A82D3E"/>
    <w:rsid w:val="00A82ED3"/>
    <w:rsid w:val="00A8335D"/>
    <w:rsid w:val="00A8371E"/>
    <w:rsid w:val="00A8390C"/>
    <w:rsid w:val="00A83F0D"/>
    <w:rsid w:val="00A840AB"/>
    <w:rsid w:val="00A841C8"/>
    <w:rsid w:val="00A842E0"/>
    <w:rsid w:val="00A84693"/>
    <w:rsid w:val="00A849AB"/>
    <w:rsid w:val="00A84E7B"/>
    <w:rsid w:val="00A84F98"/>
    <w:rsid w:val="00A855E2"/>
    <w:rsid w:val="00A85D87"/>
    <w:rsid w:val="00A8668C"/>
    <w:rsid w:val="00A86833"/>
    <w:rsid w:val="00A86AE0"/>
    <w:rsid w:val="00A86DE9"/>
    <w:rsid w:val="00A86E74"/>
    <w:rsid w:val="00A86E88"/>
    <w:rsid w:val="00A86F8D"/>
    <w:rsid w:val="00A871EE"/>
    <w:rsid w:val="00A8731D"/>
    <w:rsid w:val="00A874F7"/>
    <w:rsid w:val="00A8793B"/>
    <w:rsid w:val="00A87E16"/>
    <w:rsid w:val="00A90213"/>
    <w:rsid w:val="00A90817"/>
    <w:rsid w:val="00A9094F"/>
    <w:rsid w:val="00A90F76"/>
    <w:rsid w:val="00A912B0"/>
    <w:rsid w:val="00A91362"/>
    <w:rsid w:val="00A91460"/>
    <w:rsid w:val="00A9151C"/>
    <w:rsid w:val="00A918FC"/>
    <w:rsid w:val="00A919C6"/>
    <w:rsid w:val="00A924A5"/>
    <w:rsid w:val="00A92780"/>
    <w:rsid w:val="00A928BD"/>
    <w:rsid w:val="00A92D61"/>
    <w:rsid w:val="00A92FD3"/>
    <w:rsid w:val="00A936B6"/>
    <w:rsid w:val="00A93B14"/>
    <w:rsid w:val="00A944B1"/>
    <w:rsid w:val="00A948FF"/>
    <w:rsid w:val="00A94E4C"/>
    <w:rsid w:val="00A94ED9"/>
    <w:rsid w:val="00A953F0"/>
    <w:rsid w:val="00A95450"/>
    <w:rsid w:val="00A958B6"/>
    <w:rsid w:val="00A95925"/>
    <w:rsid w:val="00A95BFB"/>
    <w:rsid w:val="00A95E37"/>
    <w:rsid w:val="00A96081"/>
    <w:rsid w:val="00A9625B"/>
    <w:rsid w:val="00A962C7"/>
    <w:rsid w:val="00A96413"/>
    <w:rsid w:val="00A96419"/>
    <w:rsid w:val="00A96EA0"/>
    <w:rsid w:val="00A97604"/>
    <w:rsid w:val="00A9782F"/>
    <w:rsid w:val="00A97DB4"/>
    <w:rsid w:val="00A97DE9"/>
    <w:rsid w:val="00A97E2C"/>
    <w:rsid w:val="00AA0176"/>
    <w:rsid w:val="00AA0384"/>
    <w:rsid w:val="00AA084C"/>
    <w:rsid w:val="00AA11D4"/>
    <w:rsid w:val="00AA127E"/>
    <w:rsid w:val="00AA12CD"/>
    <w:rsid w:val="00AA1AE7"/>
    <w:rsid w:val="00AA1BE9"/>
    <w:rsid w:val="00AA2350"/>
    <w:rsid w:val="00AA24E9"/>
    <w:rsid w:val="00AA25F4"/>
    <w:rsid w:val="00AA26AA"/>
    <w:rsid w:val="00AA27E8"/>
    <w:rsid w:val="00AA3825"/>
    <w:rsid w:val="00AA3F79"/>
    <w:rsid w:val="00AA46FF"/>
    <w:rsid w:val="00AA4C18"/>
    <w:rsid w:val="00AA4D1C"/>
    <w:rsid w:val="00AA4D6F"/>
    <w:rsid w:val="00AA4F17"/>
    <w:rsid w:val="00AA52FD"/>
    <w:rsid w:val="00AA5378"/>
    <w:rsid w:val="00AA5741"/>
    <w:rsid w:val="00AA5B59"/>
    <w:rsid w:val="00AA5D40"/>
    <w:rsid w:val="00AA5FF4"/>
    <w:rsid w:val="00AA6015"/>
    <w:rsid w:val="00AA6346"/>
    <w:rsid w:val="00AA634C"/>
    <w:rsid w:val="00AA66B8"/>
    <w:rsid w:val="00AA7006"/>
    <w:rsid w:val="00AA70DD"/>
    <w:rsid w:val="00AA70E6"/>
    <w:rsid w:val="00AA7440"/>
    <w:rsid w:val="00AA774D"/>
    <w:rsid w:val="00AA7929"/>
    <w:rsid w:val="00AA7A42"/>
    <w:rsid w:val="00AA7B64"/>
    <w:rsid w:val="00AA7F96"/>
    <w:rsid w:val="00AA7FC7"/>
    <w:rsid w:val="00AB02F4"/>
    <w:rsid w:val="00AB037E"/>
    <w:rsid w:val="00AB0804"/>
    <w:rsid w:val="00AB0E1E"/>
    <w:rsid w:val="00AB1540"/>
    <w:rsid w:val="00AB1588"/>
    <w:rsid w:val="00AB1D2C"/>
    <w:rsid w:val="00AB2262"/>
    <w:rsid w:val="00AB22C4"/>
    <w:rsid w:val="00AB25BF"/>
    <w:rsid w:val="00AB3138"/>
    <w:rsid w:val="00AB3472"/>
    <w:rsid w:val="00AB40B0"/>
    <w:rsid w:val="00AB4684"/>
    <w:rsid w:val="00AB4EB4"/>
    <w:rsid w:val="00AB4F2C"/>
    <w:rsid w:val="00AB52CB"/>
    <w:rsid w:val="00AB541E"/>
    <w:rsid w:val="00AB569F"/>
    <w:rsid w:val="00AB5856"/>
    <w:rsid w:val="00AB5EEB"/>
    <w:rsid w:val="00AB6301"/>
    <w:rsid w:val="00AB64C0"/>
    <w:rsid w:val="00AB6A80"/>
    <w:rsid w:val="00AB723F"/>
    <w:rsid w:val="00AB7258"/>
    <w:rsid w:val="00AB753F"/>
    <w:rsid w:val="00AB7543"/>
    <w:rsid w:val="00AB7859"/>
    <w:rsid w:val="00AB7AF8"/>
    <w:rsid w:val="00AB7E03"/>
    <w:rsid w:val="00AC0606"/>
    <w:rsid w:val="00AC081D"/>
    <w:rsid w:val="00AC0C6F"/>
    <w:rsid w:val="00AC0DCE"/>
    <w:rsid w:val="00AC1266"/>
    <w:rsid w:val="00AC155B"/>
    <w:rsid w:val="00AC16A7"/>
    <w:rsid w:val="00AC193C"/>
    <w:rsid w:val="00AC205D"/>
    <w:rsid w:val="00AC275A"/>
    <w:rsid w:val="00AC2A18"/>
    <w:rsid w:val="00AC2A67"/>
    <w:rsid w:val="00AC2B35"/>
    <w:rsid w:val="00AC2D32"/>
    <w:rsid w:val="00AC2E9F"/>
    <w:rsid w:val="00AC30C1"/>
    <w:rsid w:val="00AC30DC"/>
    <w:rsid w:val="00AC3286"/>
    <w:rsid w:val="00AC3497"/>
    <w:rsid w:val="00AC34C2"/>
    <w:rsid w:val="00AC3587"/>
    <w:rsid w:val="00AC3901"/>
    <w:rsid w:val="00AC3964"/>
    <w:rsid w:val="00AC406F"/>
    <w:rsid w:val="00AC4284"/>
    <w:rsid w:val="00AC4423"/>
    <w:rsid w:val="00AC461B"/>
    <w:rsid w:val="00AC469C"/>
    <w:rsid w:val="00AC49CF"/>
    <w:rsid w:val="00AC4C24"/>
    <w:rsid w:val="00AC4CD4"/>
    <w:rsid w:val="00AC4DE5"/>
    <w:rsid w:val="00AC4E19"/>
    <w:rsid w:val="00AC4F6E"/>
    <w:rsid w:val="00AC5206"/>
    <w:rsid w:val="00AC5367"/>
    <w:rsid w:val="00AC5633"/>
    <w:rsid w:val="00AC57B5"/>
    <w:rsid w:val="00AC5804"/>
    <w:rsid w:val="00AC5952"/>
    <w:rsid w:val="00AC5AA4"/>
    <w:rsid w:val="00AC684F"/>
    <w:rsid w:val="00AC6929"/>
    <w:rsid w:val="00AC6B25"/>
    <w:rsid w:val="00AC6B69"/>
    <w:rsid w:val="00AC6F8C"/>
    <w:rsid w:val="00AC7587"/>
    <w:rsid w:val="00AC78C3"/>
    <w:rsid w:val="00AC7D95"/>
    <w:rsid w:val="00AC7EE3"/>
    <w:rsid w:val="00AD001A"/>
    <w:rsid w:val="00AD02EC"/>
    <w:rsid w:val="00AD0803"/>
    <w:rsid w:val="00AD095B"/>
    <w:rsid w:val="00AD14C2"/>
    <w:rsid w:val="00AD169A"/>
    <w:rsid w:val="00AD1796"/>
    <w:rsid w:val="00AD17A1"/>
    <w:rsid w:val="00AD216A"/>
    <w:rsid w:val="00AD2BF2"/>
    <w:rsid w:val="00AD3106"/>
    <w:rsid w:val="00AD374F"/>
    <w:rsid w:val="00AD3FA8"/>
    <w:rsid w:val="00AD40F1"/>
    <w:rsid w:val="00AD4322"/>
    <w:rsid w:val="00AD435F"/>
    <w:rsid w:val="00AD438C"/>
    <w:rsid w:val="00AD4640"/>
    <w:rsid w:val="00AD4726"/>
    <w:rsid w:val="00AD4872"/>
    <w:rsid w:val="00AD4FCF"/>
    <w:rsid w:val="00AD5155"/>
    <w:rsid w:val="00AD5230"/>
    <w:rsid w:val="00AD52DB"/>
    <w:rsid w:val="00AD5369"/>
    <w:rsid w:val="00AD5A3F"/>
    <w:rsid w:val="00AD5B43"/>
    <w:rsid w:val="00AD651D"/>
    <w:rsid w:val="00AD6719"/>
    <w:rsid w:val="00AD69E9"/>
    <w:rsid w:val="00AD6DF8"/>
    <w:rsid w:val="00AD704A"/>
    <w:rsid w:val="00AD704B"/>
    <w:rsid w:val="00AD72AB"/>
    <w:rsid w:val="00AD72B1"/>
    <w:rsid w:val="00AD7383"/>
    <w:rsid w:val="00AE0479"/>
    <w:rsid w:val="00AE05EB"/>
    <w:rsid w:val="00AE0E5E"/>
    <w:rsid w:val="00AE11A5"/>
    <w:rsid w:val="00AE13E2"/>
    <w:rsid w:val="00AE1AA0"/>
    <w:rsid w:val="00AE22D3"/>
    <w:rsid w:val="00AE2768"/>
    <w:rsid w:val="00AE2C6C"/>
    <w:rsid w:val="00AE31F2"/>
    <w:rsid w:val="00AE32D8"/>
    <w:rsid w:val="00AE32F5"/>
    <w:rsid w:val="00AE332D"/>
    <w:rsid w:val="00AE33FF"/>
    <w:rsid w:val="00AE3A83"/>
    <w:rsid w:val="00AE3E8E"/>
    <w:rsid w:val="00AE448C"/>
    <w:rsid w:val="00AE4E47"/>
    <w:rsid w:val="00AE4F6B"/>
    <w:rsid w:val="00AE54A3"/>
    <w:rsid w:val="00AE54ED"/>
    <w:rsid w:val="00AE5627"/>
    <w:rsid w:val="00AE574A"/>
    <w:rsid w:val="00AE585B"/>
    <w:rsid w:val="00AE5881"/>
    <w:rsid w:val="00AE5987"/>
    <w:rsid w:val="00AE5A49"/>
    <w:rsid w:val="00AE677C"/>
    <w:rsid w:val="00AE6A01"/>
    <w:rsid w:val="00AE77EF"/>
    <w:rsid w:val="00AE783B"/>
    <w:rsid w:val="00AE79F2"/>
    <w:rsid w:val="00AE7DF2"/>
    <w:rsid w:val="00AF002B"/>
    <w:rsid w:val="00AF03E6"/>
    <w:rsid w:val="00AF0412"/>
    <w:rsid w:val="00AF05F9"/>
    <w:rsid w:val="00AF11D8"/>
    <w:rsid w:val="00AF18DC"/>
    <w:rsid w:val="00AF1B8F"/>
    <w:rsid w:val="00AF1C97"/>
    <w:rsid w:val="00AF1DAB"/>
    <w:rsid w:val="00AF21E8"/>
    <w:rsid w:val="00AF2477"/>
    <w:rsid w:val="00AF29DE"/>
    <w:rsid w:val="00AF2C19"/>
    <w:rsid w:val="00AF2E85"/>
    <w:rsid w:val="00AF2EDA"/>
    <w:rsid w:val="00AF3EA2"/>
    <w:rsid w:val="00AF42A4"/>
    <w:rsid w:val="00AF42FF"/>
    <w:rsid w:val="00AF493C"/>
    <w:rsid w:val="00AF49E6"/>
    <w:rsid w:val="00AF4F3D"/>
    <w:rsid w:val="00AF51CF"/>
    <w:rsid w:val="00AF5433"/>
    <w:rsid w:val="00AF5641"/>
    <w:rsid w:val="00AF5867"/>
    <w:rsid w:val="00AF62DF"/>
    <w:rsid w:val="00AF6367"/>
    <w:rsid w:val="00AF650E"/>
    <w:rsid w:val="00AF654D"/>
    <w:rsid w:val="00AF6730"/>
    <w:rsid w:val="00AF68CC"/>
    <w:rsid w:val="00AF68CD"/>
    <w:rsid w:val="00AF6DEA"/>
    <w:rsid w:val="00AF6E1A"/>
    <w:rsid w:val="00AF6E4E"/>
    <w:rsid w:val="00AF701C"/>
    <w:rsid w:val="00AF706F"/>
    <w:rsid w:val="00AF70A7"/>
    <w:rsid w:val="00AF70D7"/>
    <w:rsid w:val="00AF758E"/>
    <w:rsid w:val="00AF7A06"/>
    <w:rsid w:val="00B00037"/>
    <w:rsid w:val="00B00086"/>
    <w:rsid w:val="00B00264"/>
    <w:rsid w:val="00B00B8B"/>
    <w:rsid w:val="00B00CD0"/>
    <w:rsid w:val="00B00DD9"/>
    <w:rsid w:val="00B00E7F"/>
    <w:rsid w:val="00B01141"/>
    <w:rsid w:val="00B01344"/>
    <w:rsid w:val="00B01918"/>
    <w:rsid w:val="00B01DCA"/>
    <w:rsid w:val="00B01FF4"/>
    <w:rsid w:val="00B028D3"/>
    <w:rsid w:val="00B02F93"/>
    <w:rsid w:val="00B0326D"/>
    <w:rsid w:val="00B03586"/>
    <w:rsid w:val="00B0362E"/>
    <w:rsid w:val="00B0380C"/>
    <w:rsid w:val="00B0404D"/>
    <w:rsid w:val="00B04105"/>
    <w:rsid w:val="00B04CD6"/>
    <w:rsid w:val="00B058D2"/>
    <w:rsid w:val="00B06037"/>
    <w:rsid w:val="00B06478"/>
    <w:rsid w:val="00B066F5"/>
    <w:rsid w:val="00B072E9"/>
    <w:rsid w:val="00B07533"/>
    <w:rsid w:val="00B07CFB"/>
    <w:rsid w:val="00B07F62"/>
    <w:rsid w:val="00B1059E"/>
    <w:rsid w:val="00B105AD"/>
    <w:rsid w:val="00B10768"/>
    <w:rsid w:val="00B10A1C"/>
    <w:rsid w:val="00B10B4B"/>
    <w:rsid w:val="00B10BB6"/>
    <w:rsid w:val="00B1135B"/>
    <w:rsid w:val="00B1141D"/>
    <w:rsid w:val="00B11A1C"/>
    <w:rsid w:val="00B1202D"/>
    <w:rsid w:val="00B12298"/>
    <w:rsid w:val="00B1295A"/>
    <w:rsid w:val="00B12F4D"/>
    <w:rsid w:val="00B13400"/>
    <w:rsid w:val="00B13A78"/>
    <w:rsid w:val="00B13AD1"/>
    <w:rsid w:val="00B14036"/>
    <w:rsid w:val="00B1428E"/>
    <w:rsid w:val="00B14743"/>
    <w:rsid w:val="00B149BA"/>
    <w:rsid w:val="00B14A36"/>
    <w:rsid w:val="00B158DC"/>
    <w:rsid w:val="00B15A8C"/>
    <w:rsid w:val="00B15BBA"/>
    <w:rsid w:val="00B15F76"/>
    <w:rsid w:val="00B16273"/>
    <w:rsid w:val="00B164B4"/>
    <w:rsid w:val="00B16766"/>
    <w:rsid w:val="00B1698E"/>
    <w:rsid w:val="00B16F4A"/>
    <w:rsid w:val="00B170A5"/>
    <w:rsid w:val="00B1725F"/>
    <w:rsid w:val="00B1732E"/>
    <w:rsid w:val="00B1750F"/>
    <w:rsid w:val="00B176C8"/>
    <w:rsid w:val="00B17B2B"/>
    <w:rsid w:val="00B17D4C"/>
    <w:rsid w:val="00B17EE5"/>
    <w:rsid w:val="00B205AA"/>
    <w:rsid w:val="00B20E96"/>
    <w:rsid w:val="00B2100A"/>
    <w:rsid w:val="00B21264"/>
    <w:rsid w:val="00B21A91"/>
    <w:rsid w:val="00B21C36"/>
    <w:rsid w:val="00B21CB3"/>
    <w:rsid w:val="00B21CDC"/>
    <w:rsid w:val="00B21D4D"/>
    <w:rsid w:val="00B21D5E"/>
    <w:rsid w:val="00B21F62"/>
    <w:rsid w:val="00B22745"/>
    <w:rsid w:val="00B227D3"/>
    <w:rsid w:val="00B22870"/>
    <w:rsid w:val="00B228FA"/>
    <w:rsid w:val="00B22BCB"/>
    <w:rsid w:val="00B22E84"/>
    <w:rsid w:val="00B22F83"/>
    <w:rsid w:val="00B23359"/>
    <w:rsid w:val="00B233AD"/>
    <w:rsid w:val="00B233BC"/>
    <w:rsid w:val="00B2348C"/>
    <w:rsid w:val="00B23642"/>
    <w:rsid w:val="00B23E25"/>
    <w:rsid w:val="00B23EF7"/>
    <w:rsid w:val="00B24279"/>
    <w:rsid w:val="00B24503"/>
    <w:rsid w:val="00B24526"/>
    <w:rsid w:val="00B248E5"/>
    <w:rsid w:val="00B249B2"/>
    <w:rsid w:val="00B24FDE"/>
    <w:rsid w:val="00B250CC"/>
    <w:rsid w:val="00B25F75"/>
    <w:rsid w:val="00B2609C"/>
    <w:rsid w:val="00B26B3F"/>
    <w:rsid w:val="00B26F35"/>
    <w:rsid w:val="00B2723F"/>
    <w:rsid w:val="00B2778F"/>
    <w:rsid w:val="00B30444"/>
    <w:rsid w:val="00B30B7E"/>
    <w:rsid w:val="00B30CBE"/>
    <w:rsid w:val="00B30CE6"/>
    <w:rsid w:val="00B31131"/>
    <w:rsid w:val="00B31221"/>
    <w:rsid w:val="00B31228"/>
    <w:rsid w:val="00B31F94"/>
    <w:rsid w:val="00B32745"/>
    <w:rsid w:val="00B327E2"/>
    <w:rsid w:val="00B3284C"/>
    <w:rsid w:val="00B32B3F"/>
    <w:rsid w:val="00B3309D"/>
    <w:rsid w:val="00B332B9"/>
    <w:rsid w:val="00B3350C"/>
    <w:rsid w:val="00B33635"/>
    <w:rsid w:val="00B33712"/>
    <w:rsid w:val="00B3373B"/>
    <w:rsid w:val="00B338EE"/>
    <w:rsid w:val="00B33DE0"/>
    <w:rsid w:val="00B341D6"/>
    <w:rsid w:val="00B34320"/>
    <w:rsid w:val="00B34373"/>
    <w:rsid w:val="00B34469"/>
    <w:rsid w:val="00B348A1"/>
    <w:rsid w:val="00B348D6"/>
    <w:rsid w:val="00B34A78"/>
    <w:rsid w:val="00B34D8E"/>
    <w:rsid w:val="00B34FE5"/>
    <w:rsid w:val="00B3524A"/>
    <w:rsid w:val="00B3548B"/>
    <w:rsid w:val="00B35AFE"/>
    <w:rsid w:val="00B35BEB"/>
    <w:rsid w:val="00B3612A"/>
    <w:rsid w:val="00B368A4"/>
    <w:rsid w:val="00B369E1"/>
    <w:rsid w:val="00B36B93"/>
    <w:rsid w:val="00B36C7E"/>
    <w:rsid w:val="00B3713C"/>
    <w:rsid w:val="00B3719E"/>
    <w:rsid w:val="00B374DF"/>
    <w:rsid w:val="00B378B0"/>
    <w:rsid w:val="00B37A23"/>
    <w:rsid w:val="00B37CF8"/>
    <w:rsid w:val="00B37D76"/>
    <w:rsid w:val="00B37E61"/>
    <w:rsid w:val="00B37F23"/>
    <w:rsid w:val="00B400FA"/>
    <w:rsid w:val="00B40279"/>
    <w:rsid w:val="00B40315"/>
    <w:rsid w:val="00B4085D"/>
    <w:rsid w:val="00B40C89"/>
    <w:rsid w:val="00B40E57"/>
    <w:rsid w:val="00B40E79"/>
    <w:rsid w:val="00B40FF4"/>
    <w:rsid w:val="00B412C9"/>
    <w:rsid w:val="00B414FD"/>
    <w:rsid w:val="00B415D8"/>
    <w:rsid w:val="00B416EA"/>
    <w:rsid w:val="00B41C57"/>
    <w:rsid w:val="00B41E0E"/>
    <w:rsid w:val="00B42474"/>
    <w:rsid w:val="00B4284A"/>
    <w:rsid w:val="00B42AF4"/>
    <w:rsid w:val="00B42E28"/>
    <w:rsid w:val="00B43077"/>
    <w:rsid w:val="00B43656"/>
    <w:rsid w:val="00B437BA"/>
    <w:rsid w:val="00B43B74"/>
    <w:rsid w:val="00B43D1F"/>
    <w:rsid w:val="00B43DD7"/>
    <w:rsid w:val="00B43E90"/>
    <w:rsid w:val="00B43F9D"/>
    <w:rsid w:val="00B44131"/>
    <w:rsid w:val="00B44308"/>
    <w:rsid w:val="00B4474E"/>
    <w:rsid w:val="00B44B53"/>
    <w:rsid w:val="00B45086"/>
    <w:rsid w:val="00B452CD"/>
    <w:rsid w:val="00B45722"/>
    <w:rsid w:val="00B45E02"/>
    <w:rsid w:val="00B460F4"/>
    <w:rsid w:val="00B46108"/>
    <w:rsid w:val="00B462B0"/>
    <w:rsid w:val="00B46772"/>
    <w:rsid w:val="00B467DC"/>
    <w:rsid w:val="00B46C37"/>
    <w:rsid w:val="00B477B9"/>
    <w:rsid w:val="00B47A88"/>
    <w:rsid w:val="00B47D01"/>
    <w:rsid w:val="00B47D0A"/>
    <w:rsid w:val="00B47FB8"/>
    <w:rsid w:val="00B506C5"/>
    <w:rsid w:val="00B512AD"/>
    <w:rsid w:val="00B5160D"/>
    <w:rsid w:val="00B51773"/>
    <w:rsid w:val="00B51A19"/>
    <w:rsid w:val="00B51E09"/>
    <w:rsid w:val="00B521B4"/>
    <w:rsid w:val="00B52303"/>
    <w:rsid w:val="00B52969"/>
    <w:rsid w:val="00B533D6"/>
    <w:rsid w:val="00B53696"/>
    <w:rsid w:val="00B5392A"/>
    <w:rsid w:val="00B539EF"/>
    <w:rsid w:val="00B53A4A"/>
    <w:rsid w:val="00B53BDC"/>
    <w:rsid w:val="00B54392"/>
    <w:rsid w:val="00B54788"/>
    <w:rsid w:val="00B549DD"/>
    <w:rsid w:val="00B54E36"/>
    <w:rsid w:val="00B54FB1"/>
    <w:rsid w:val="00B55928"/>
    <w:rsid w:val="00B55CB0"/>
    <w:rsid w:val="00B56118"/>
    <w:rsid w:val="00B56519"/>
    <w:rsid w:val="00B566E1"/>
    <w:rsid w:val="00B567E4"/>
    <w:rsid w:val="00B569D7"/>
    <w:rsid w:val="00B569DC"/>
    <w:rsid w:val="00B56A97"/>
    <w:rsid w:val="00B56AE0"/>
    <w:rsid w:val="00B56AFB"/>
    <w:rsid w:val="00B56E77"/>
    <w:rsid w:val="00B56FD6"/>
    <w:rsid w:val="00B570EC"/>
    <w:rsid w:val="00B572BE"/>
    <w:rsid w:val="00B57373"/>
    <w:rsid w:val="00B5753B"/>
    <w:rsid w:val="00B578E9"/>
    <w:rsid w:val="00B57C4E"/>
    <w:rsid w:val="00B60004"/>
    <w:rsid w:val="00B602F6"/>
    <w:rsid w:val="00B60528"/>
    <w:rsid w:val="00B60E1D"/>
    <w:rsid w:val="00B60ED3"/>
    <w:rsid w:val="00B6106B"/>
    <w:rsid w:val="00B61933"/>
    <w:rsid w:val="00B6194F"/>
    <w:rsid w:val="00B61E86"/>
    <w:rsid w:val="00B61F0D"/>
    <w:rsid w:val="00B62060"/>
    <w:rsid w:val="00B6250E"/>
    <w:rsid w:val="00B62A5A"/>
    <w:rsid w:val="00B62B89"/>
    <w:rsid w:val="00B62CDD"/>
    <w:rsid w:val="00B62EC1"/>
    <w:rsid w:val="00B63251"/>
    <w:rsid w:val="00B632EF"/>
    <w:rsid w:val="00B633AE"/>
    <w:rsid w:val="00B634AA"/>
    <w:rsid w:val="00B63A44"/>
    <w:rsid w:val="00B63F52"/>
    <w:rsid w:val="00B641DA"/>
    <w:rsid w:val="00B6432D"/>
    <w:rsid w:val="00B64A96"/>
    <w:rsid w:val="00B64CF2"/>
    <w:rsid w:val="00B64E51"/>
    <w:rsid w:val="00B64FCA"/>
    <w:rsid w:val="00B6533B"/>
    <w:rsid w:val="00B655F8"/>
    <w:rsid w:val="00B65B18"/>
    <w:rsid w:val="00B66B94"/>
    <w:rsid w:val="00B66BFE"/>
    <w:rsid w:val="00B66EE5"/>
    <w:rsid w:val="00B67519"/>
    <w:rsid w:val="00B67736"/>
    <w:rsid w:val="00B6773F"/>
    <w:rsid w:val="00B67CF2"/>
    <w:rsid w:val="00B70008"/>
    <w:rsid w:val="00B7000A"/>
    <w:rsid w:val="00B7022C"/>
    <w:rsid w:val="00B70542"/>
    <w:rsid w:val="00B70735"/>
    <w:rsid w:val="00B70A67"/>
    <w:rsid w:val="00B70B35"/>
    <w:rsid w:val="00B70DB4"/>
    <w:rsid w:val="00B70EB3"/>
    <w:rsid w:val="00B71086"/>
    <w:rsid w:val="00B715E7"/>
    <w:rsid w:val="00B71A42"/>
    <w:rsid w:val="00B71AEF"/>
    <w:rsid w:val="00B71BA7"/>
    <w:rsid w:val="00B71BE6"/>
    <w:rsid w:val="00B71CC0"/>
    <w:rsid w:val="00B7205E"/>
    <w:rsid w:val="00B72906"/>
    <w:rsid w:val="00B72996"/>
    <w:rsid w:val="00B729BC"/>
    <w:rsid w:val="00B7325B"/>
    <w:rsid w:val="00B74191"/>
    <w:rsid w:val="00B74418"/>
    <w:rsid w:val="00B7460A"/>
    <w:rsid w:val="00B749AA"/>
    <w:rsid w:val="00B74A44"/>
    <w:rsid w:val="00B74F48"/>
    <w:rsid w:val="00B7525E"/>
    <w:rsid w:val="00B75280"/>
    <w:rsid w:val="00B75405"/>
    <w:rsid w:val="00B75433"/>
    <w:rsid w:val="00B754E6"/>
    <w:rsid w:val="00B755D5"/>
    <w:rsid w:val="00B7577B"/>
    <w:rsid w:val="00B75797"/>
    <w:rsid w:val="00B75829"/>
    <w:rsid w:val="00B75976"/>
    <w:rsid w:val="00B75980"/>
    <w:rsid w:val="00B75AA7"/>
    <w:rsid w:val="00B75F70"/>
    <w:rsid w:val="00B760FB"/>
    <w:rsid w:val="00B7637C"/>
    <w:rsid w:val="00B76765"/>
    <w:rsid w:val="00B767AB"/>
    <w:rsid w:val="00B76CB9"/>
    <w:rsid w:val="00B77483"/>
    <w:rsid w:val="00B776B0"/>
    <w:rsid w:val="00B7778A"/>
    <w:rsid w:val="00B77D51"/>
    <w:rsid w:val="00B801BA"/>
    <w:rsid w:val="00B8099C"/>
    <w:rsid w:val="00B809FD"/>
    <w:rsid w:val="00B80D45"/>
    <w:rsid w:val="00B80D50"/>
    <w:rsid w:val="00B80EAD"/>
    <w:rsid w:val="00B8102D"/>
    <w:rsid w:val="00B81225"/>
    <w:rsid w:val="00B812D6"/>
    <w:rsid w:val="00B816EF"/>
    <w:rsid w:val="00B821FD"/>
    <w:rsid w:val="00B82412"/>
    <w:rsid w:val="00B824CE"/>
    <w:rsid w:val="00B82700"/>
    <w:rsid w:val="00B82776"/>
    <w:rsid w:val="00B82912"/>
    <w:rsid w:val="00B83744"/>
    <w:rsid w:val="00B846E6"/>
    <w:rsid w:val="00B84B53"/>
    <w:rsid w:val="00B84D5C"/>
    <w:rsid w:val="00B84F22"/>
    <w:rsid w:val="00B857FF"/>
    <w:rsid w:val="00B85818"/>
    <w:rsid w:val="00B85AF6"/>
    <w:rsid w:val="00B85E04"/>
    <w:rsid w:val="00B85E5D"/>
    <w:rsid w:val="00B85F9D"/>
    <w:rsid w:val="00B863D3"/>
    <w:rsid w:val="00B8679E"/>
    <w:rsid w:val="00B867DD"/>
    <w:rsid w:val="00B86972"/>
    <w:rsid w:val="00B87559"/>
    <w:rsid w:val="00B878A3"/>
    <w:rsid w:val="00B87A08"/>
    <w:rsid w:val="00B87F8B"/>
    <w:rsid w:val="00B90412"/>
    <w:rsid w:val="00B904A8"/>
    <w:rsid w:val="00B907C9"/>
    <w:rsid w:val="00B9096F"/>
    <w:rsid w:val="00B910F2"/>
    <w:rsid w:val="00B91C4C"/>
    <w:rsid w:val="00B91D32"/>
    <w:rsid w:val="00B92285"/>
    <w:rsid w:val="00B925FE"/>
    <w:rsid w:val="00B926E3"/>
    <w:rsid w:val="00B92E46"/>
    <w:rsid w:val="00B92EC1"/>
    <w:rsid w:val="00B93337"/>
    <w:rsid w:val="00B933A7"/>
    <w:rsid w:val="00B93646"/>
    <w:rsid w:val="00B93F19"/>
    <w:rsid w:val="00B941ED"/>
    <w:rsid w:val="00B9444C"/>
    <w:rsid w:val="00B946EC"/>
    <w:rsid w:val="00B94ADE"/>
    <w:rsid w:val="00B94BFE"/>
    <w:rsid w:val="00B94C33"/>
    <w:rsid w:val="00B94D58"/>
    <w:rsid w:val="00B95021"/>
    <w:rsid w:val="00B95061"/>
    <w:rsid w:val="00B954F7"/>
    <w:rsid w:val="00B956BB"/>
    <w:rsid w:val="00B956ED"/>
    <w:rsid w:val="00B959E4"/>
    <w:rsid w:val="00B96296"/>
    <w:rsid w:val="00B96795"/>
    <w:rsid w:val="00B96B65"/>
    <w:rsid w:val="00B96BCF"/>
    <w:rsid w:val="00B96CCA"/>
    <w:rsid w:val="00B96F76"/>
    <w:rsid w:val="00B9728B"/>
    <w:rsid w:val="00B97315"/>
    <w:rsid w:val="00B9762A"/>
    <w:rsid w:val="00B97836"/>
    <w:rsid w:val="00B97F51"/>
    <w:rsid w:val="00BA004A"/>
    <w:rsid w:val="00BA073F"/>
    <w:rsid w:val="00BA07E2"/>
    <w:rsid w:val="00BA0A83"/>
    <w:rsid w:val="00BA1128"/>
    <w:rsid w:val="00BA1476"/>
    <w:rsid w:val="00BA18A6"/>
    <w:rsid w:val="00BA196C"/>
    <w:rsid w:val="00BA1F54"/>
    <w:rsid w:val="00BA2B3B"/>
    <w:rsid w:val="00BA2B51"/>
    <w:rsid w:val="00BA2C30"/>
    <w:rsid w:val="00BA2DA8"/>
    <w:rsid w:val="00BA2ECE"/>
    <w:rsid w:val="00BA307A"/>
    <w:rsid w:val="00BA30BC"/>
    <w:rsid w:val="00BA3151"/>
    <w:rsid w:val="00BA347C"/>
    <w:rsid w:val="00BA3762"/>
    <w:rsid w:val="00BA3A36"/>
    <w:rsid w:val="00BA3C87"/>
    <w:rsid w:val="00BA3F9B"/>
    <w:rsid w:val="00BA4247"/>
    <w:rsid w:val="00BA4327"/>
    <w:rsid w:val="00BA4515"/>
    <w:rsid w:val="00BA4A57"/>
    <w:rsid w:val="00BA4A63"/>
    <w:rsid w:val="00BA4B01"/>
    <w:rsid w:val="00BA4C79"/>
    <w:rsid w:val="00BA4D84"/>
    <w:rsid w:val="00BA4E2C"/>
    <w:rsid w:val="00BA5111"/>
    <w:rsid w:val="00BA5145"/>
    <w:rsid w:val="00BA5733"/>
    <w:rsid w:val="00BA57C9"/>
    <w:rsid w:val="00BA58AE"/>
    <w:rsid w:val="00BA6255"/>
    <w:rsid w:val="00BA6325"/>
    <w:rsid w:val="00BA657E"/>
    <w:rsid w:val="00BA671F"/>
    <w:rsid w:val="00BA69BA"/>
    <w:rsid w:val="00BA6DAF"/>
    <w:rsid w:val="00BA72BD"/>
    <w:rsid w:val="00BA76EB"/>
    <w:rsid w:val="00BA7937"/>
    <w:rsid w:val="00BA7BF3"/>
    <w:rsid w:val="00BB06C4"/>
    <w:rsid w:val="00BB0A7B"/>
    <w:rsid w:val="00BB11E3"/>
    <w:rsid w:val="00BB127E"/>
    <w:rsid w:val="00BB12B0"/>
    <w:rsid w:val="00BB1ADD"/>
    <w:rsid w:val="00BB2134"/>
    <w:rsid w:val="00BB226C"/>
    <w:rsid w:val="00BB259C"/>
    <w:rsid w:val="00BB298A"/>
    <w:rsid w:val="00BB2BB5"/>
    <w:rsid w:val="00BB2C34"/>
    <w:rsid w:val="00BB2EDF"/>
    <w:rsid w:val="00BB301A"/>
    <w:rsid w:val="00BB32AF"/>
    <w:rsid w:val="00BB3306"/>
    <w:rsid w:val="00BB3469"/>
    <w:rsid w:val="00BB3C67"/>
    <w:rsid w:val="00BB3D2B"/>
    <w:rsid w:val="00BB42B2"/>
    <w:rsid w:val="00BB42BD"/>
    <w:rsid w:val="00BB42D1"/>
    <w:rsid w:val="00BB4373"/>
    <w:rsid w:val="00BB4834"/>
    <w:rsid w:val="00BB4CB7"/>
    <w:rsid w:val="00BB51C7"/>
    <w:rsid w:val="00BB5C49"/>
    <w:rsid w:val="00BB5C81"/>
    <w:rsid w:val="00BB5C9F"/>
    <w:rsid w:val="00BB5DEA"/>
    <w:rsid w:val="00BB5FB4"/>
    <w:rsid w:val="00BB620B"/>
    <w:rsid w:val="00BB6240"/>
    <w:rsid w:val="00BB6285"/>
    <w:rsid w:val="00BB69C8"/>
    <w:rsid w:val="00BB69F5"/>
    <w:rsid w:val="00BB6E48"/>
    <w:rsid w:val="00BB7811"/>
    <w:rsid w:val="00BB7C0F"/>
    <w:rsid w:val="00BB7EC3"/>
    <w:rsid w:val="00BB7FBB"/>
    <w:rsid w:val="00BC04A2"/>
    <w:rsid w:val="00BC04B1"/>
    <w:rsid w:val="00BC071B"/>
    <w:rsid w:val="00BC0749"/>
    <w:rsid w:val="00BC07B7"/>
    <w:rsid w:val="00BC0850"/>
    <w:rsid w:val="00BC176D"/>
    <w:rsid w:val="00BC18F7"/>
    <w:rsid w:val="00BC2000"/>
    <w:rsid w:val="00BC22F5"/>
    <w:rsid w:val="00BC260C"/>
    <w:rsid w:val="00BC3059"/>
    <w:rsid w:val="00BC3085"/>
    <w:rsid w:val="00BC3357"/>
    <w:rsid w:val="00BC3F93"/>
    <w:rsid w:val="00BC470E"/>
    <w:rsid w:val="00BC4B9A"/>
    <w:rsid w:val="00BC4EA1"/>
    <w:rsid w:val="00BC4FCD"/>
    <w:rsid w:val="00BC54ED"/>
    <w:rsid w:val="00BC5675"/>
    <w:rsid w:val="00BC6008"/>
    <w:rsid w:val="00BC6A37"/>
    <w:rsid w:val="00BC6C64"/>
    <w:rsid w:val="00BC6CD0"/>
    <w:rsid w:val="00BC6D68"/>
    <w:rsid w:val="00BC7126"/>
    <w:rsid w:val="00BC71A0"/>
    <w:rsid w:val="00BC7793"/>
    <w:rsid w:val="00BC79B2"/>
    <w:rsid w:val="00BC7EFD"/>
    <w:rsid w:val="00BD00C7"/>
    <w:rsid w:val="00BD00D1"/>
    <w:rsid w:val="00BD02C3"/>
    <w:rsid w:val="00BD0893"/>
    <w:rsid w:val="00BD08E7"/>
    <w:rsid w:val="00BD094D"/>
    <w:rsid w:val="00BD0FBD"/>
    <w:rsid w:val="00BD118E"/>
    <w:rsid w:val="00BD1C58"/>
    <w:rsid w:val="00BD21F1"/>
    <w:rsid w:val="00BD259C"/>
    <w:rsid w:val="00BD2615"/>
    <w:rsid w:val="00BD27A8"/>
    <w:rsid w:val="00BD2BAA"/>
    <w:rsid w:val="00BD3096"/>
    <w:rsid w:val="00BD3119"/>
    <w:rsid w:val="00BD331A"/>
    <w:rsid w:val="00BD35C9"/>
    <w:rsid w:val="00BD371D"/>
    <w:rsid w:val="00BD376F"/>
    <w:rsid w:val="00BD3C38"/>
    <w:rsid w:val="00BD3D6D"/>
    <w:rsid w:val="00BD4D90"/>
    <w:rsid w:val="00BD529E"/>
    <w:rsid w:val="00BD52BB"/>
    <w:rsid w:val="00BD6007"/>
    <w:rsid w:val="00BD60A5"/>
    <w:rsid w:val="00BD63A0"/>
    <w:rsid w:val="00BD63D5"/>
    <w:rsid w:val="00BD690A"/>
    <w:rsid w:val="00BD7478"/>
    <w:rsid w:val="00BD7483"/>
    <w:rsid w:val="00BD77C6"/>
    <w:rsid w:val="00BD784C"/>
    <w:rsid w:val="00BD7DD8"/>
    <w:rsid w:val="00BD7E7E"/>
    <w:rsid w:val="00BE0043"/>
    <w:rsid w:val="00BE020A"/>
    <w:rsid w:val="00BE02E3"/>
    <w:rsid w:val="00BE0398"/>
    <w:rsid w:val="00BE049E"/>
    <w:rsid w:val="00BE063C"/>
    <w:rsid w:val="00BE0A9D"/>
    <w:rsid w:val="00BE0BFE"/>
    <w:rsid w:val="00BE0F11"/>
    <w:rsid w:val="00BE0FF2"/>
    <w:rsid w:val="00BE13DF"/>
    <w:rsid w:val="00BE1A83"/>
    <w:rsid w:val="00BE1ED4"/>
    <w:rsid w:val="00BE1EF0"/>
    <w:rsid w:val="00BE1F6C"/>
    <w:rsid w:val="00BE228F"/>
    <w:rsid w:val="00BE22C3"/>
    <w:rsid w:val="00BE25D7"/>
    <w:rsid w:val="00BE264D"/>
    <w:rsid w:val="00BE317C"/>
    <w:rsid w:val="00BE32A8"/>
    <w:rsid w:val="00BE32D9"/>
    <w:rsid w:val="00BE3648"/>
    <w:rsid w:val="00BE3755"/>
    <w:rsid w:val="00BE3AF4"/>
    <w:rsid w:val="00BE3BBD"/>
    <w:rsid w:val="00BE3FF6"/>
    <w:rsid w:val="00BE419A"/>
    <w:rsid w:val="00BE47D2"/>
    <w:rsid w:val="00BE48A3"/>
    <w:rsid w:val="00BE507D"/>
    <w:rsid w:val="00BE518D"/>
    <w:rsid w:val="00BE59A9"/>
    <w:rsid w:val="00BE61CD"/>
    <w:rsid w:val="00BE6621"/>
    <w:rsid w:val="00BE667B"/>
    <w:rsid w:val="00BE67D3"/>
    <w:rsid w:val="00BE709A"/>
    <w:rsid w:val="00BE7281"/>
    <w:rsid w:val="00BE7773"/>
    <w:rsid w:val="00BE7D27"/>
    <w:rsid w:val="00BF01C4"/>
    <w:rsid w:val="00BF092C"/>
    <w:rsid w:val="00BF0AC0"/>
    <w:rsid w:val="00BF0DEC"/>
    <w:rsid w:val="00BF13A1"/>
    <w:rsid w:val="00BF162C"/>
    <w:rsid w:val="00BF181E"/>
    <w:rsid w:val="00BF21D1"/>
    <w:rsid w:val="00BF22CE"/>
    <w:rsid w:val="00BF27A0"/>
    <w:rsid w:val="00BF28C1"/>
    <w:rsid w:val="00BF29CC"/>
    <w:rsid w:val="00BF2B5E"/>
    <w:rsid w:val="00BF2C06"/>
    <w:rsid w:val="00BF32D4"/>
    <w:rsid w:val="00BF3769"/>
    <w:rsid w:val="00BF3775"/>
    <w:rsid w:val="00BF39A9"/>
    <w:rsid w:val="00BF3AB2"/>
    <w:rsid w:val="00BF3D37"/>
    <w:rsid w:val="00BF3E19"/>
    <w:rsid w:val="00BF409D"/>
    <w:rsid w:val="00BF40E6"/>
    <w:rsid w:val="00BF42AB"/>
    <w:rsid w:val="00BF4615"/>
    <w:rsid w:val="00BF4CB6"/>
    <w:rsid w:val="00BF51E1"/>
    <w:rsid w:val="00BF52EB"/>
    <w:rsid w:val="00BF55DE"/>
    <w:rsid w:val="00BF5907"/>
    <w:rsid w:val="00BF5D23"/>
    <w:rsid w:val="00BF62EC"/>
    <w:rsid w:val="00BF6536"/>
    <w:rsid w:val="00BF6556"/>
    <w:rsid w:val="00BF6CBD"/>
    <w:rsid w:val="00BF6CE4"/>
    <w:rsid w:val="00BF6D83"/>
    <w:rsid w:val="00BF6DC9"/>
    <w:rsid w:val="00BF704F"/>
    <w:rsid w:val="00BF7787"/>
    <w:rsid w:val="00BF7AF7"/>
    <w:rsid w:val="00C004AE"/>
    <w:rsid w:val="00C00676"/>
    <w:rsid w:val="00C00842"/>
    <w:rsid w:val="00C00D6A"/>
    <w:rsid w:val="00C00DA7"/>
    <w:rsid w:val="00C00DCD"/>
    <w:rsid w:val="00C013ED"/>
    <w:rsid w:val="00C0157A"/>
    <w:rsid w:val="00C018F0"/>
    <w:rsid w:val="00C0195C"/>
    <w:rsid w:val="00C0198B"/>
    <w:rsid w:val="00C02328"/>
    <w:rsid w:val="00C027F5"/>
    <w:rsid w:val="00C02961"/>
    <w:rsid w:val="00C02AF7"/>
    <w:rsid w:val="00C030CB"/>
    <w:rsid w:val="00C03311"/>
    <w:rsid w:val="00C034E6"/>
    <w:rsid w:val="00C034FB"/>
    <w:rsid w:val="00C0362B"/>
    <w:rsid w:val="00C03CCC"/>
    <w:rsid w:val="00C03E68"/>
    <w:rsid w:val="00C040C0"/>
    <w:rsid w:val="00C042F9"/>
    <w:rsid w:val="00C04517"/>
    <w:rsid w:val="00C0458A"/>
    <w:rsid w:val="00C049E6"/>
    <w:rsid w:val="00C04CDE"/>
    <w:rsid w:val="00C05051"/>
    <w:rsid w:val="00C0508A"/>
    <w:rsid w:val="00C0517C"/>
    <w:rsid w:val="00C051FF"/>
    <w:rsid w:val="00C052D0"/>
    <w:rsid w:val="00C053F5"/>
    <w:rsid w:val="00C054E7"/>
    <w:rsid w:val="00C0559D"/>
    <w:rsid w:val="00C059D5"/>
    <w:rsid w:val="00C05B02"/>
    <w:rsid w:val="00C05B44"/>
    <w:rsid w:val="00C05B63"/>
    <w:rsid w:val="00C05E78"/>
    <w:rsid w:val="00C05F8E"/>
    <w:rsid w:val="00C064E2"/>
    <w:rsid w:val="00C068A6"/>
    <w:rsid w:val="00C06D8B"/>
    <w:rsid w:val="00C06F57"/>
    <w:rsid w:val="00C0705C"/>
    <w:rsid w:val="00C074DD"/>
    <w:rsid w:val="00C0777C"/>
    <w:rsid w:val="00C07A47"/>
    <w:rsid w:val="00C07C4E"/>
    <w:rsid w:val="00C07F33"/>
    <w:rsid w:val="00C105D7"/>
    <w:rsid w:val="00C1107F"/>
    <w:rsid w:val="00C11703"/>
    <w:rsid w:val="00C11B70"/>
    <w:rsid w:val="00C11DEA"/>
    <w:rsid w:val="00C122E1"/>
    <w:rsid w:val="00C12382"/>
    <w:rsid w:val="00C12768"/>
    <w:rsid w:val="00C12B08"/>
    <w:rsid w:val="00C12D70"/>
    <w:rsid w:val="00C13311"/>
    <w:rsid w:val="00C134BE"/>
    <w:rsid w:val="00C139F3"/>
    <w:rsid w:val="00C13C56"/>
    <w:rsid w:val="00C144B9"/>
    <w:rsid w:val="00C1478B"/>
    <w:rsid w:val="00C14A4E"/>
    <w:rsid w:val="00C1559B"/>
    <w:rsid w:val="00C158D6"/>
    <w:rsid w:val="00C159D7"/>
    <w:rsid w:val="00C15F56"/>
    <w:rsid w:val="00C16095"/>
    <w:rsid w:val="00C1639D"/>
    <w:rsid w:val="00C163B0"/>
    <w:rsid w:val="00C16724"/>
    <w:rsid w:val="00C1679B"/>
    <w:rsid w:val="00C16D21"/>
    <w:rsid w:val="00C16EBE"/>
    <w:rsid w:val="00C172C2"/>
    <w:rsid w:val="00C1789B"/>
    <w:rsid w:val="00C179AD"/>
    <w:rsid w:val="00C17A57"/>
    <w:rsid w:val="00C17B52"/>
    <w:rsid w:val="00C2078A"/>
    <w:rsid w:val="00C20FCC"/>
    <w:rsid w:val="00C214AE"/>
    <w:rsid w:val="00C2156D"/>
    <w:rsid w:val="00C21724"/>
    <w:rsid w:val="00C21B09"/>
    <w:rsid w:val="00C21F5C"/>
    <w:rsid w:val="00C2239A"/>
    <w:rsid w:val="00C2258F"/>
    <w:rsid w:val="00C22634"/>
    <w:rsid w:val="00C22702"/>
    <w:rsid w:val="00C22DC7"/>
    <w:rsid w:val="00C2311A"/>
    <w:rsid w:val="00C23330"/>
    <w:rsid w:val="00C233B7"/>
    <w:rsid w:val="00C234F7"/>
    <w:rsid w:val="00C2356C"/>
    <w:rsid w:val="00C23D31"/>
    <w:rsid w:val="00C23E3C"/>
    <w:rsid w:val="00C23EEE"/>
    <w:rsid w:val="00C241E5"/>
    <w:rsid w:val="00C24D36"/>
    <w:rsid w:val="00C2570F"/>
    <w:rsid w:val="00C25938"/>
    <w:rsid w:val="00C25962"/>
    <w:rsid w:val="00C25965"/>
    <w:rsid w:val="00C25C18"/>
    <w:rsid w:val="00C25EFF"/>
    <w:rsid w:val="00C26045"/>
    <w:rsid w:val="00C2635C"/>
    <w:rsid w:val="00C265B1"/>
    <w:rsid w:val="00C2673A"/>
    <w:rsid w:val="00C268FE"/>
    <w:rsid w:val="00C26AC5"/>
    <w:rsid w:val="00C27044"/>
    <w:rsid w:val="00C277F0"/>
    <w:rsid w:val="00C27806"/>
    <w:rsid w:val="00C278CD"/>
    <w:rsid w:val="00C27B58"/>
    <w:rsid w:val="00C27C1C"/>
    <w:rsid w:val="00C27E37"/>
    <w:rsid w:val="00C27F52"/>
    <w:rsid w:val="00C3015F"/>
    <w:rsid w:val="00C30701"/>
    <w:rsid w:val="00C31293"/>
    <w:rsid w:val="00C312B2"/>
    <w:rsid w:val="00C312D9"/>
    <w:rsid w:val="00C31588"/>
    <w:rsid w:val="00C3166C"/>
    <w:rsid w:val="00C317C4"/>
    <w:rsid w:val="00C317D3"/>
    <w:rsid w:val="00C319AC"/>
    <w:rsid w:val="00C320A5"/>
    <w:rsid w:val="00C3210C"/>
    <w:rsid w:val="00C324DA"/>
    <w:rsid w:val="00C3256D"/>
    <w:rsid w:val="00C32ACA"/>
    <w:rsid w:val="00C3300B"/>
    <w:rsid w:val="00C33186"/>
    <w:rsid w:val="00C3387B"/>
    <w:rsid w:val="00C339B3"/>
    <w:rsid w:val="00C33A20"/>
    <w:rsid w:val="00C341DD"/>
    <w:rsid w:val="00C347D7"/>
    <w:rsid w:val="00C34D76"/>
    <w:rsid w:val="00C35029"/>
    <w:rsid w:val="00C3538D"/>
    <w:rsid w:val="00C35483"/>
    <w:rsid w:val="00C35502"/>
    <w:rsid w:val="00C35579"/>
    <w:rsid w:val="00C35688"/>
    <w:rsid w:val="00C35893"/>
    <w:rsid w:val="00C35996"/>
    <w:rsid w:val="00C35BCD"/>
    <w:rsid w:val="00C35C46"/>
    <w:rsid w:val="00C35E65"/>
    <w:rsid w:val="00C35FD2"/>
    <w:rsid w:val="00C36284"/>
    <w:rsid w:val="00C36395"/>
    <w:rsid w:val="00C36491"/>
    <w:rsid w:val="00C367D4"/>
    <w:rsid w:val="00C36A6F"/>
    <w:rsid w:val="00C372D0"/>
    <w:rsid w:val="00C372D9"/>
    <w:rsid w:val="00C37BAF"/>
    <w:rsid w:val="00C405A2"/>
    <w:rsid w:val="00C40756"/>
    <w:rsid w:val="00C407BE"/>
    <w:rsid w:val="00C40DCD"/>
    <w:rsid w:val="00C4150F"/>
    <w:rsid w:val="00C41A7E"/>
    <w:rsid w:val="00C41C91"/>
    <w:rsid w:val="00C41FDC"/>
    <w:rsid w:val="00C422A0"/>
    <w:rsid w:val="00C425BC"/>
    <w:rsid w:val="00C426BF"/>
    <w:rsid w:val="00C427DE"/>
    <w:rsid w:val="00C42BCD"/>
    <w:rsid w:val="00C42BD8"/>
    <w:rsid w:val="00C432C9"/>
    <w:rsid w:val="00C44034"/>
    <w:rsid w:val="00C4444A"/>
    <w:rsid w:val="00C4485F"/>
    <w:rsid w:val="00C44A70"/>
    <w:rsid w:val="00C44DED"/>
    <w:rsid w:val="00C4534D"/>
    <w:rsid w:val="00C45533"/>
    <w:rsid w:val="00C455DF"/>
    <w:rsid w:val="00C4577A"/>
    <w:rsid w:val="00C459DB"/>
    <w:rsid w:val="00C45F19"/>
    <w:rsid w:val="00C460C9"/>
    <w:rsid w:val="00C46C13"/>
    <w:rsid w:val="00C46C81"/>
    <w:rsid w:val="00C47089"/>
    <w:rsid w:val="00C4747E"/>
    <w:rsid w:val="00C478E4"/>
    <w:rsid w:val="00C47C16"/>
    <w:rsid w:val="00C50107"/>
    <w:rsid w:val="00C505E5"/>
    <w:rsid w:val="00C505F8"/>
    <w:rsid w:val="00C50905"/>
    <w:rsid w:val="00C50B9D"/>
    <w:rsid w:val="00C51279"/>
    <w:rsid w:val="00C5151E"/>
    <w:rsid w:val="00C5187C"/>
    <w:rsid w:val="00C52086"/>
    <w:rsid w:val="00C52256"/>
    <w:rsid w:val="00C5274D"/>
    <w:rsid w:val="00C5290A"/>
    <w:rsid w:val="00C52A8D"/>
    <w:rsid w:val="00C52B11"/>
    <w:rsid w:val="00C52B90"/>
    <w:rsid w:val="00C52E55"/>
    <w:rsid w:val="00C530FB"/>
    <w:rsid w:val="00C53137"/>
    <w:rsid w:val="00C53155"/>
    <w:rsid w:val="00C5342C"/>
    <w:rsid w:val="00C53524"/>
    <w:rsid w:val="00C53817"/>
    <w:rsid w:val="00C53B2B"/>
    <w:rsid w:val="00C53C52"/>
    <w:rsid w:val="00C541B1"/>
    <w:rsid w:val="00C546A7"/>
    <w:rsid w:val="00C547F5"/>
    <w:rsid w:val="00C54C5F"/>
    <w:rsid w:val="00C54D8B"/>
    <w:rsid w:val="00C5539B"/>
    <w:rsid w:val="00C554DB"/>
    <w:rsid w:val="00C55E57"/>
    <w:rsid w:val="00C55EEA"/>
    <w:rsid w:val="00C56AF0"/>
    <w:rsid w:val="00C56D78"/>
    <w:rsid w:val="00C57446"/>
    <w:rsid w:val="00C57465"/>
    <w:rsid w:val="00C57563"/>
    <w:rsid w:val="00C57930"/>
    <w:rsid w:val="00C60272"/>
    <w:rsid w:val="00C603D4"/>
    <w:rsid w:val="00C60512"/>
    <w:rsid w:val="00C606A5"/>
    <w:rsid w:val="00C60D1A"/>
    <w:rsid w:val="00C61500"/>
    <w:rsid w:val="00C616A6"/>
    <w:rsid w:val="00C61C40"/>
    <w:rsid w:val="00C61DC8"/>
    <w:rsid w:val="00C61F56"/>
    <w:rsid w:val="00C623F0"/>
    <w:rsid w:val="00C62446"/>
    <w:rsid w:val="00C6256A"/>
    <w:rsid w:val="00C6286D"/>
    <w:rsid w:val="00C62ED5"/>
    <w:rsid w:val="00C62F40"/>
    <w:rsid w:val="00C63618"/>
    <w:rsid w:val="00C63F1A"/>
    <w:rsid w:val="00C63FDA"/>
    <w:rsid w:val="00C64008"/>
    <w:rsid w:val="00C640A2"/>
    <w:rsid w:val="00C640EF"/>
    <w:rsid w:val="00C642C0"/>
    <w:rsid w:val="00C64652"/>
    <w:rsid w:val="00C64B9B"/>
    <w:rsid w:val="00C64C08"/>
    <w:rsid w:val="00C64C34"/>
    <w:rsid w:val="00C64EBC"/>
    <w:rsid w:val="00C658AD"/>
    <w:rsid w:val="00C65A6C"/>
    <w:rsid w:val="00C661FD"/>
    <w:rsid w:val="00C6628A"/>
    <w:rsid w:val="00C664D2"/>
    <w:rsid w:val="00C66991"/>
    <w:rsid w:val="00C67382"/>
    <w:rsid w:val="00C677E1"/>
    <w:rsid w:val="00C67E5D"/>
    <w:rsid w:val="00C7018F"/>
    <w:rsid w:val="00C7028C"/>
    <w:rsid w:val="00C7063E"/>
    <w:rsid w:val="00C70BDB"/>
    <w:rsid w:val="00C70E6E"/>
    <w:rsid w:val="00C71036"/>
    <w:rsid w:val="00C710E2"/>
    <w:rsid w:val="00C71253"/>
    <w:rsid w:val="00C71BF9"/>
    <w:rsid w:val="00C71C3F"/>
    <w:rsid w:val="00C723F7"/>
    <w:rsid w:val="00C72A84"/>
    <w:rsid w:val="00C72E5D"/>
    <w:rsid w:val="00C735D5"/>
    <w:rsid w:val="00C7409E"/>
    <w:rsid w:val="00C742DB"/>
    <w:rsid w:val="00C747EC"/>
    <w:rsid w:val="00C74D6D"/>
    <w:rsid w:val="00C752F1"/>
    <w:rsid w:val="00C75310"/>
    <w:rsid w:val="00C754B5"/>
    <w:rsid w:val="00C754D1"/>
    <w:rsid w:val="00C75714"/>
    <w:rsid w:val="00C75E3C"/>
    <w:rsid w:val="00C75E6F"/>
    <w:rsid w:val="00C7600C"/>
    <w:rsid w:val="00C7605E"/>
    <w:rsid w:val="00C76192"/>
    <w:rsid w:val="00C7621A"/>
    <w:rsid w:val="00C762A2"/>
    <w:rsid w:val="00C7631A"/>
    <w:rsid w:val="00C76370"/>
    <w:rsid w:val="00C76681"/>
    <w:rsid w:val="00C7681C"/>
    <w:rsid w:val="00C76832"/>
    <w:rsid w:val="00C76833"/>
    <w:rsid w:val="00C76E76"/>
    <w:rsid w:val="00C7719E"/>
    <w:rsid w:val="00C771E9"/>
    <w:rsid w:val="00C77850"/>
    <w:rsid w:val="00C77891"/>
    <w:rsid w:val="00C77A7D"/>
    <w:rsid w:val="00C77B1F"/>
    <w:rsid w:val="00C77B74"/>
    <w:rsid w:val="00C8056D"/>
    <w:rsid w:val="00C807D0"/>
    <w:rsid w:val="00C8085E"/>
    <w:rsid w:val="00C80863"/>
    <w:rsid w:val="00C80CA9"/>
    <w:rsid w:val="00C80E41"/>
    <w:rsid w:val="00C81181"/>
    <w:rsid w:val="00C811F8"/>
    <w:rsid w:val="00C82062"/>
    <w:rsid w:val="00C825C1"/>
    <w:rsid w:val="00C829A9"/>
    <w:rsid w:val="00C82D23"/>
    <w:rsid w:val="00C83016"/>
    <w:rsid w:val="00C8364A"/>
    <w:rsid w:val="00C836C0"/>
    <w:rsid w:val="00C842AE"/>
    <w:rsid w:val="00C848EB"/>
    <w:rsid w:val="00C84A30"/>
    <w:rsid w:val="00C84F8E"/>
    <w:rsid w:val="00C85001"/>
    <w:rsid w:val="00C857B1"/>
    <w:rsid w:val="00C858E7"/>
    <w:rsid w:val="00C85B6A"/>
    <w:rsid w:val="00C86331"/>
    <w:rsid w:val="00C8635A"/>
    <w:rsid w:val="00C86776"/>
    <w:rsid w:val="00C86D0F"/>
    <w:rsid w:val="00C86DB4"/>
    <w:rsid w:val="00C86F4E"/>
    <w:rsid w:val="00C871AA"/>
    <w:rsid w:val="00C8720F"/>
    <w:rsid w:val="00C87949"/>
    <w:rsid w:val="00C8799D"/>
    <w:rsid w:val="00C87B80"/>
    <w:rsid w:val="00C9017F"/>
    <w:rsid w:val="00C901EC"/>
    <w:rsid w:val="00C90330"/>
    <w:rsid w:val="00C90503"/>
    <w:rsid w:val="00C90FA5"/>
    <w:rsid w:val="00C91011"/>
    <w:rsid w:val="00C91449"/>
    <w:rsid w:val="00C91DFE"/>
    <w:rsid w:val="00C92280"/>
    <w:rsid w:val="00C92BDF"/>
    <w:rsid w:val="00C92D10"/>
    <w:rsid w:val="00C92F79"/>
    <w:rsid w:val="00C931A2"/>
    <w:rsid w:val="00C937A1"/>
    <w:rsid w:val="00C93B38"/>
    <w:rsid w:val="00C93CF6"/>
    <w:rsid w:val="00C93FDA"/>
    <w:rsid w:val="00C94AAA"/>
    <w:rsid w:val="00C94BEF"/>
    <w:rsid w:val="00C94C8D"/>
    <w:rsid w:val="00C94D66"/>
    <w:rsid w:val="00C95018"/>
    <w:rsid w:val="00C95200"/>
    <w:rsid w:val="00C95487"/>
    <w:rsid w:val="00C954E0"/>
    <w:rsid w:val="00C955DB"/>
    <w:rsid w:val="00C958F0"/>
    <w:rsid w:val="00C95B4E"/>
    <w:rsid w:val="00C96B16"/>
    <w:rsid w:val="00C96EC0"/>
    <w:rsid w:val="00C97556"/>
    <w:rsid w:val="00C97C0D"/>
    <w:rsid w:val="00C97ED1"/>
    <w:rsid w:val="00CA040A"/>
    <w:rsid w:val="00CA041A"/>
    <w:rsid w:val="00CA0511"/>
    <w:rsid w:val="00CA06F9"/>
    <w:rsid w:val="00CA0B33"/>
    <w:rsid w:val="00CA0C13"/>
    <w:rsid w:val="00CA13BC"/>
    <w:rsid w:val="00CA14BB"/>
    <w:rsid w:val="00CA19E9"/>
    <w:rsid w:val="00CA1DDB"/>
    <w:rsid w:val="00CA230C"/>
    <w:rsid w:val="00CA237D"/>
    <w:rsid w:val="00CA2C0C"/>
    <w:rsid w:val="00CA36F3"/>
    <w:rsid w:val="00CA3731"/>
    <w:rsid w:val="00CA3961"/>
    <w:rsid w:val="00CA3CFE"/>
    <w:rsid w:val="00CA3DE6"/>
    <w:rsid w:val="00CA3F52"/>
    <w:rsid w:val="00CA4223"/>
    <w:rsid w:val="00CA48D9"/>
    <w:rsid w:val="00CA4D1E"/>
    <w:rsid w:val="00CA4DB0"/>
    <w:rsid w:val="00CA59C1"/>
    <w:rsid w:val="00CA6028"/>
    <w:rsid w:val="00CA65C0"/>
    <w:rsid w:val="00CA6713"/>
    <w:rsid w:val="00CA68C3"/>
    <w:rsid w:val="00CA6F65"/>
    <w:rsid w:val="00CA7446"/>
    <w:rsid w:val="00CA748A"/>
    <w:rsid w:val="00CA75FD"/>
    <w:rsid w:val="00CA7D5B"/>
    <w:rsid w:val="00CB0246"/>
    <w:rsid w:val="00CB050F"/>
    <w:rsid w:val="00CB0583"/>
    <w:rsid w:val="00CB0865"/>
    <w:rsid w:val="00CB0B17"/>
    <w:rsid w:val="00CB0E1B"/>
    <w:rsid w:val="00CB0E45"/>
    <w:rsid w:val="00CB0EAC"/>
    <w:rsid w:val="00CB0EB8"/>
    <w:rsid w:val="00CB1193"/>
    <w:rsid w:val="00CB17D6"/>
    <w:rsid w:val="00CB17E1"/>
    <w:rsid w:val="00CB1827"/>
    <w:rsid w:val="00CB194D"/>
    <w:rsid w:val="00CB1981"/>
    <w:rsid w:val="00CB1FD3"/>
    <w:rsid w:val="00CB219D"/>
    <w:rsid w:val="00CB21C8"/>
    <w:rsid w:val="00CB2442"/>
    <w:rsid w:val="00CB24AD"/>
    <w:rsid w:val="00CB289B"/>
    <w:rsid w:val="00CB2948"/>
    <w:rsid w:val="00CB2CBC"/>
    <w:rsid w:val="00CB30F0"/>
    <w:rsid w:val="00CB358A"/>
    <w:rsid w:val="00CB3636"/>
    <w:rsid w:val="00CB3A9E"/>
    <w:rsid w:val="00CB3E71"/>
    <w:rsid w:val="00CB4037"/>
    <w:rsid w:val="00CB4767"/>
    <w:rsid w:val="00CB479D"/>
    <w:rsid w:val="00CB493D"/>
    <w:rsid w:val="00CB4CD2"/>
    <w:rsid w:val="00CB585E"/>
    <w:rsid w:val="00CB58AC"/>
    <w:rsid w:val="00CB5EC1"/>
    <w:rsid w:val="00CB65BE"/>
    <w:rsid w:val="00CB67F5"/>
    <w:rsid w:val="00CB69B8"/>
    <w:rsid w:val="00CB6CD8"/>
    <w:rsid w:val="00CB71E6"/>
    <w:rsid w:val="00CB753B"/>
    <w:rsid w:val="00CB758F"/>
    <w:rsid w:val="00CB7665"/>
    <w:rsid w:val="00CB7828"/>
    <w:rsid w:val="00CB7CD7"/>
    <w:rsid w:val="00CB7E75"/>
    <w:rsid w:val="00CC0150"/>
    <w:rsid w:val="00CC02F8"/>
    <w:rsid w:val="00CC049E"/>
    <w:rsid w:val="00CC05EC"/>
    <w:rsid w:val="00CC0616"/>
    <w:rsid w:val="00CC08E9"/>
    <w:rsid w:val="00CC0E39"/>
    <w:rsid w:val="00CC1626"/>
    <w:rsid w:val="00CC167C"/>
    <w:rsid w:val="00CC18FA"/>
    <w:rsid w:val="00CC1AB8"/>
    <w:rsid w:val="00CC1E59"/>
    <w:rsid w:val="00CC21D5"/>
    <w:rsid w:val="00CC2224"/>
    <w:rsid w:val="00CC2668"/>
    <w:rsid w:val="00CC2AC0"/>
    <w:rsid w:val="00CC2D93"/>
    <w:rsid w:val="00CC2F6D"/>
    <w:rsid w:val="00CC32CF"/>
    <w:rsid w:val="00CC39BB"/>
    <w:rsid w:val="00CC3B97"/>
    <w:rsid w:val="00CC3D7F"/>
    <w:rsid w:val="00CC3FA4"/>
    <w:rsid w:val="00CC4037"/>
    <w:rsid w:val="00CC4544"/>
    <w:rsid w:val="00CC4574"/>
    <w:rsid w:val="00CC473E"/>
    <w:rsid w:val="00CC4794"/>
    <w:rsid w:val="00CC485C"/>
    <w:rsid w:val="00CC4B4C"/>
    <w:rsid w:val="00CC4EEC"/>
    <w:rsid w:val="00CC5549"/>
    <w:rsid w:val="00CC56AB"/>
    <w:rsid w:val="00CC57B2"/>
    <w:rsid w:val="00CC5E8B"/>
    <w:rsid w:val="00CC69C1"/>
    <w:rsid w:val="00CC69DE"/>
    <w:rsid w:val="00CC78A9"/>
    <w:rsid w:val="00CC7EA3"/>
    <w:rsid w:val="00CD0660"/>
    <w:rsid w:val="00CD0702"/>
    <w:rsid w:val="00CD0B4C"/>
    <w:rsid w:val="00CD0D07"/>
    <w:rsid w:val="00CD0DC7"/>
    <w:rsid w:val="00CD13CF"/>
    <w:rsid w:val="00CD14D9"/>
    <w:rsid w:val="00CD14EB"/>
    <w:rsid w:val="00CD160A"/>
    <w:rsid w:val="00CD1C94"/>
    <w:rsid w:val="00CD1D52"/>
    <w:rsid w:val="00CD1F30"/>
    <w:rsid w:val="00CD2D9B"/>
    <w:rsid w:val="00CD31C4"/>
    <w:rsid w:val="00CD34CE"/>
    <w:rsid w:val="00CD3516"/>
    <w:rsid w:val="00CD3684"/>
    <w:rsid w:val="00CD38CC"/>
    <w:rsid w:val="00CD3C25"/>
    <w:rsid w:val="00CD416C"/>
    <w:rsid w:val="00CD4A8C"/>
    <w:rsid w:val="00CD4AD9"/>
    <w:rsid w:val="00CD545B"/>
    <w:rsid w:val="00CD59E3"/>
    <w:rsid w:val="00CD60F0"/>
    <w:rsid w:val="00CD6257"/>
    <w:rsid w:val="00CD6424"/>
    <w:rsid w:val="00CD673E"/>
    <w:rsid w:val="00CD68D4"/>
    <w:rsid w:val="00CD6C1C"/>
    <w:rsid w:val="00CD6D48"/>
    <w:rsid w:val="00CD6DA9"/>
    <w:rsid w:val="00CD7919"/>
    <w:rsid w:val="00CD7B0F"/>
    <w:rsid w:val="00CD7C0B"/>
    <w:rsid w:val="00CD7C9E"/>
    <w:rsid w:val="00CD7D63"/>
    <w:rsid w:val="00CE03F1"/>
    <w:rsid w:val="00CE10C4"/>
    <w:rsid w:val="00CE13BA"/>
    <w:rsid w:val="00CE1D2F"/>
    <w:rsid w:val="00CE222C"/>
    <w:rsid w:val="00CE2343"/>
    <w:rsid w:val="00CE2604"/>
    <w:rsid w:val="00CE27B5"/>
    <w:rsid w:val="00CE2958"/>
    <w:rsid w:val="00CE2B00"/>
    <w:rsid w:val="00CE2B8A"/>
    <w:rsid w:val="00CE2BDF"/>
    <w:rsid w:val="00CE322C"/>
    <w:rsid w:val="00CE3ADC"/>
    <w:rsid w:val="00CE3BF9"/>
    <w:rsid w:val="00CE3EFF"/>
    <w:rsid w:val="00CE3FE2"/>
    <w:rsid w:val="00CE4355"/>
    <w:rsid w:val="00CE4F1F"/>
    <w:rsid w:val="00CE502A"/>
    <w:rsid w:val="00CE57BA"/>
    <w:rsid w:val="00CE597E"/>
    <w:rsid w:val="00CE59BF"/>
    <w:rsid w:val="00CE5A39"/>
    <w:rsid w:val="00CE5D66"/>
    <w:rsid w:val="00CE6299"/>
    <w:rsid w:val="00CE6682"/>
    <w:rsid w:val="00CE66C9"/>
    <w:rsid w:val="00CE67E5"/>
    <w:rsid w:val="00CE68EC"/>
    <w:rsid w:val="00CE6BF5"/>
    <w:rsid w:val="00CE6D24"/>
    <w:rsid w:val="00CE6DAF"/>
    <w:rsid w:val="00CE6FA7"/>
    <w:rsid w:val="00CE7D81"/>
    <w:rsid w:val="00CF0FAC"/>
    <w:rsid w:val="00CF1080"/>
    <w:rsid w:val="00CF1662"/>
    <w:rsid w:val="00CF1AEF"/>
    <w:rsid w:val="00CF1C7F"/>
    <w:rsid w:val="00CF236C"/>
    <w:rsid w:val="00CF26C5"/>
    <w:rsid w:val="00CF3027"/>
    <w:rsid w:val="00CF31A3"/>
    <w:rsid w:val="00CF37E9"/>
    <w:rsid w:val="00CF410A"/>
    <w:rsid w:val="00CF4158"/>
    <w:rsid w:val="00CF4165"/>
    <w:rsid w:val="00CF427C"/>
    <w:rsid w:val="00CF437E"/>
    <w:rsid w:val="00CF4414"/>
    <w:rsid w:val="00CF4434"/>
    <w:rsid w:val="00CF44A2"/>
    <w:rsid w:val="00CF44BE"/>
    <w:rsid w:val="00CF47B8"/>
    <w:rsid w:val="00CF4EF9"/>
    <w:rsid w:val="00CF502B"/>
    <w:rsid w:val="00CF510E"/>
    <w:rsid w:val="00CF51A0"/>
    <w:rsid w:val="00CF581F"/>
    <w:rsid w:val="00CF5D61"/>
    <w:rsid w:val="00CF6123"/>
    <w:rsid w:val="00CF7528"/>
    <w:rsid w:val="00CF753D"/>
    <w:rsid w:val="00CF76E1"/>
    <w:rsid w:val="00CF7803"/>
    <w:rsid w:val="00CF7883"/>
    <w:rsid w:val="00CF7DF3"/>
    <w:rsid w:val="00CF7FDE"/>
    <w:rsid w:val="00D001D4"/>
    <w:rsid w:val="00D003D8"/>
    <w:rsid w:val="00D00432"/>
    <w:rsid w:val="00D004B3"/>
    <w:rsid w:val="00D006C7"/>
    <w:rsid w:val="00D0075D"/>
    <w:rsid w:val="00D007D7"/>
    <w:rsid w:val="00D012AF"/>
    <w:rsid w:val="00D01572"/>
    <w:rsid w:val="00D01666"/>
    <w:rsid w:val="00D01B68"/>
    <w:rsid w:val="00D020EF"/>
    <w:rsid w:val="00D02150"/>
    <w:rsid w:val="00D02778"/>
    <w:rsid w:val="00D02ADA"/>
    <w:rsid w:val="00D02C92"/>
    <w:rsid w:val="00D0321E"/>
    <w:rsid w:val="00D03D62"/>
    <w:rsid w:val="00D03DDF"/>
    <w:rsid w:val="00D03EA8"/>
    <w:rsid w:val="00D0420D"/>
    <w:rsid w:val="00D048DA"/>
    <w:rsid w:val="00D048DB"/>
    <w:rsid w:val="00D04B90"/>
    <w:rsid w:val="00D04E0C"/>
    <w:rsid w:val="00D04EF6"/>
    <w:rsid w:val="00D04F8D"/>
    <w:rsid w:val="00D05457"/>
    <w:rsid w:val="00D05475"/>
    <w:rsid w:val="00D05786"/>
    <w:rsid w:val="00D05E6A"/>
    <w:rsid w:val="00D05F7E"/>
    <w:rsid w:val="00D061BC"/>
    <w:rsid w:val="00D065D5"/>
    <w:rsid w:val="00D066EA"/>
    <w:rsid w:val="00D069EB"/>
    <w:rsid w:val="00D073DE"/>
    <w:rsid w:val="00D0750E"/>
    <w:rsid w:val="00D07A8A"/>
    <w:rsid w:val="00D10088"/>
    <w:rsid w:val="00D10422"/>
    <w:rsid w:val="00D10716"/>
    <w:rsid w:val="00D1083B"/>
    <w:rsid w:val="00D10A6B"/>
    <w:rsid w:val="00D10B3F"/>
    <w:rsid w:val="00D10E31"/>
    <w:rsid w:val="00D11199"/>
    <w:rsid w:val="00D113EB"/>
    <w:rsid w:val="00D11636"/>
    <w:rsid w:val="00D11FD6"/>
    <w:rsid w:val="00D12A15"/>
    <w:rsid w:val="00D12D40"/>
    <w:rsid w:val="00D13566"/>
    <w:rsid w:val="00D13F72"/>
    <w:rsid w:val="00D14072"/>
    <w:rsid w:val="00D14120"/>
    <w:rsid w:val="00D143C1"/>
    <w:rsid w:val="00D1455A"/>
    <w:rsid w:val="00D14573"/>
    <w:rsid w:val="00D146CA"/>
    <w:rsid w:val="00D14A70"/>
    <w:rsid w:val="00D14D61"/>
    <w:rsid w:val="00D14DD5"/>
    <w:rsid w:val="00D14EAA"/>
    <w:rsid w:val="00D14EAC"/>
    <w:rsid w:val="00D14F42"/>
    <w:rsid w:val="00D15118"/>
    <w:rsid w:val="00D15344"/>
    <w:rsid w:val="00D153BB"/>
    <w:rsid w:val="00D156B8"/>
    <w:rsid w:val="00D15710"/>
    <w:rsid w:val="00D15881"/>
    <w:rsid w:val="00D15D51"/>
    <w:rsid w:val="00D16171"/>
    <w:rsid w:val="00D161D1"/>
    <w:rsid w:val="00D165AD"/>
    <w:rsid w:val="00D165CA"/>
    <w:rsid w:val="00D16987"/>
    <w:rsid w:val="00D16CB1"/>
    <w:rsid w:val="00D16DD7"/>
    <w:rsid w:val="00D1759B"/>
    <w:rsid w:val="00D17715"/>
    <w:rsid w:val="00D1776D"/>
    <w:rsid w:val="00D178F8"/>
    <w:rsid w:val="00D179E1"/>
    <w:rsid w:val="00D17DCD"/>
    <w:rsid w:val="00D20076"/>
    <w:rsid w:val="00D205B4"/>
    <w:rsid w:val="00D207C6"/>
    <w:rsid w:val="00D207EA"/>
    <w:rsid w:val="00D20D10"/>
    <w:rsid w:val="00D211FB"/>
    <w:rsid w:val="00D21321"/>
    <w:rsid w:val="00D218E6"/>
    <w:rsid w:val="00D22093"/>
    <w:rsid w:val="00D22277"/>
    <w:rsid w:val="00D22A6D"/>
    <w:rsid w:val="00D22DC8"/>
    <w:rsid w:val="00D232F8"/>
    <w:rsid w:val="00D2383C"/>
    <w:rsid w:val="00D23ABC"/>
    <w:rsid w:val="00D23DBD"/>
    <w:rsid w:val="00D23DEB"/>
    <w:rsid w:val="00D23EB5"/>
    <w:rsid w:val="00D242AE"/>
    <w:rsid w:val="00D244B2"/>
    <w:rsid w:val="00D24559"/>
    <w:rsid w:val="00D24709"/>
    <w:rsid w:val="00D24783"/>
    <w:rsid w:val="00D24884"/>
    <w:rsid w:val="00D249B1"/>
    <w:rsid w:val="00D24B5E"/>
    <w:rsid w:val="00D24D7A"/>
    <w:rsid w:val="00D2507E"/>
    <w:rsid w:val="00D253F6"/>
    <w:rsid w:val="00D260CC"/>
    <w:rsid w:val="00D2615E"/>
    <w:rsid w:val="00D26333"/>
    <w:rsid w:val="00D26D6A"/>
    <w:rsid w:val="00D271CD"/>
    <w:rsid w:val="00D27373"/>
    <w:rsid w:val="00D27381"/>
    <w:rsid w:val="00D2783E"/>
    <w:rsid w:val="00D27861"/>
    <w:rsid w:val="00D27A10"/>
    <w:rsid w:val="00D27D55"/>
    <w:rsid w:val="00D27E6A"/>
    <w:rsid w:val="00D27EFE"/>
    <w:rsid w:val="00D30106"/>
    <w:rsid w:val="00D30658"/>
    <w:rsid w:val="00D31150"/>
    <w:rsid w:val="00D3138B"/>
    <w:rsid w:val="00D314AE"/>
    <w:rsid w:val="00D31D3F"/>
    <w:rsid w:val="00D31E21"/>
    <w:rsid w:val="00D31FCE"/>
    <w:rsid w:val="00D327D0"/>
    <w:rsid w:val="00D3280C"/>
    <w:rsid w:val="00D32BC0"/>
    <w:rsid w:val="00D32C59"/>
    <w:rsid w:val="00D33210"/>
    <w:rsid w:val="00D3321A"/>
    <w:rsid w:val="00D33243"/>
    <w:rsid w:val="00D33D0E"/>
    <w:rsid w:val="00D33FF0"/>
    <w:rsid w:val="00D3406A"/>
    <w:rsid w:val="00D3479F"/>
    <w:rsid w:val="00D34CE9"/>
    <w:rsid w:val="00D34D24"/>
    <w:rsid w:val="00D34DD8"/>
    <w:rsid w:val="00D350FD"/>
    <w:rsid w:val="00D35411"/>
    <w:rsid w:val="00D35A45"/>
    <w:rsid w:val="00D35E09"/>
    <w:rsid w:val="00D36140"/>
    <w:rsid w:val="00D362FF"/>
    <w:rsid w:val="00D36515"/>
    <w:rsid w:val="00D367D2"/>
    <w:rsid w:val="00D36B8F"/>
    <w:rsid w:val="00D36BEA"/>
    <w:rsid w:val="00D37091"/>
    <w:rsid w:val="00D37187"/>
    <w:rsid w:val="00D374D4"/>
    <w:rsid w:val="00D37838"/>
    <w:rsid w:val="00D37BB9"/>
    <w:rsid w:val="00D4035E"/>
    <w:rsid w:val="00D40B11"/>
    <w:rsid w:val="00D40C0F"/>
    <w:rsid w:val="00D40D2F"/>
    <w:rsid w:val="00D40EB5"/>
    <w:rsid w:val="00D41B53"/>
    <w:rsid w:val="00D41CA8"/>
    <w:rsid w:val="00D4200D"/>
    <w:rsid w:val="00D422D7"/>
    <w:rsid w:val="00D425A0"/>
    <w:rsid w:val="00D426D7"/>
    <w:rsid w:val="00D42864"/>
    <w:rsid w:val="00D429EC"/>
    <w:rsid w:val="00D42AD5"/>
    <w:rsid w:val="00D431C1"/>
    <w:rsid w:val="00D43720"/>
    <w:rsid w:val="00D43911"/>
    <w:rsid w:val="00D43C05"/>
    <w:rsid w:val="00D43D15"/>
    <w:rsid w:val="00D44052"/>
    <w:rsid w:val="00D441F1"/>
    <w:rsid w:val="00D44277"/>
    <w:rsid w:val="00D44530"/>
    <w:rsid w:val="00D44B54"/>
    <w:rsid w:val="00D45026"/>
    <w:rsid w:val="00D456CA"/>
    <w:rsid w:val="00D4572C"/>
    <w:rsid w:val="00D4686A"/>
    <w:rsid w:val="00D469B2"/>
    <w:rsid w:val="00D46A57"/>
    <w:rsid w:val="00D46F8C"/>
    <w:rsid w:val="00D474C2"/>
    <w:rsid w:val="00D47D45"/>
    <w:rsid w:val="00D5017A"/>
    <w:rsid w:val="00D501A7"/>
    <w:rsid w:val="00D50640"/>
    <w:rsid w:val="00D50649"/>
    <w:rsid w:val="00D50925"/>
    <w:rsid w:val="00D512FA"/>
    <w:rsid w:val="00D51A76"/>
    <w:rsid w:val="00D5203F"/>
    <w:rsid w:val="00D5219C"/>
    <w:rsid w:val="00D521A4"/>
    <w:rsid w:val="00D52417"/>
    <w:rsid w:val="00D526FF"/>
    <w:rsid w:val="00D52B24"/>
    <w:rsid w:val="00D52EAA"/>
    <w:rsid w:val="00D52ECF"/>
    <w:rsid w:val="00D52EF0"/>
    <w:rsid w:val="00D53064"/>
    <w:rsid w:val="00D5334A"/>
    <w:rsid w:val="00D5343B"/>
    <w:rsid w:val="00D53577"/>
    <w:rsid w:val="00D53731"/>
    <w:rsid w:val="00D5380A"/>
    <w:rsid w:val="00D53F0C"/>
    <w:rsid w:val="00D53F72"/>
    <w:rsid w:val="00D5411A"/>
    <w:rsid w:val="00D5429B"/>
    <w:rsid w:val="00D546A5"/>
    <w:rsid w:val="00D54B09"/>
    <w:rsid w:val="00D54C58"/>
    <w:rsid w:val="00D55404"/>
    <w:rsid w:val="00D5546D"/>
    <w:rsid w:val="00D5554E"/>
    <w:rsid w:val="00D555F0"/>
    <w:rsid w:val="00D55D3D"/>
    <w:rsid w:val="00D55D5F"/>
    <w:rsid w:val="00D55E5C"/>
    <w:rsid w:val="00D55EF7"/>
    <w:rsid w:val="00D55F8E"/>
    <w:rsid w:val="00D56359"/>
    <w:rsid w:val="00D57112"/>
    <w:rsid w:val="00D57898"/>
    <w:rsid w:val="00D578A0"/>
    <w:rsid w:val="00D57C5E"/>
    <w:rsid w:val="00D60291"/>
    <w:rsid w:val="00D6030A"/>
    <w:rsid w:val="00D60C20"/>
    <w:rsid w:val="00D60D6E"/>
    <w:rsid w:val="00D610F0"/>
    <w:rsid w:val="00D612BD"/>
    <w:rsid w:val="00D613A4"/>
    <w:rsid w:val="00D61C08"/>
    <w:rsid w:val="00D62005"/>
    <w:rsid w:val="00D62290"/>
    <w:rsid w:val="00D6243E"/>
    <w:rsid w:val="00D6249F"/>
    <w:rsid w:val="00D62ABB"/>
    <w:rsid w:val="00D62D07"/>
    <w:rsid w:val="00D62D7C"/>
    <w:rsid w:val="00D63539"/>
    <w:rsid w:val="00D636C4"/>
    <w:rsid w:val="00D63EAE"/>
    <w:rsid w:val="00D63F0F"/>
    <w:rsid w:val="00D640F2"/>
    <w:rsid w:val="00D6454B"/>
    <w:rsid w:val="00D64969"/>
    <w:rsid w:val="00D64B0A"/>
    <w:rsid w:val="00D64F45"/>
    <w:rsid w:val="00D65278"/>
    <w:rsid w:val="00D65367"/>
    <w:rsid w:val="00D65404"/>
    <w:rsid w:val="00D654D5"/>
    <w:rsid w:val="00D65618"/>
    <w:rsid w:val="00D65658"/>
    <w:rsid w:val="00D65736"/>
    <w:rsid w:val="00D658AF"/>
    <w:rsid w:val="00D65B9A"/>
    <w:rsid w:val="00D665C1"/>
    <w:rsid w:val="00D66813"/>
    <w:rsid w:val="00D6692B"/>
    <w:rsid w:val="00D670C6"/>
    <w:rsid w:val="00D678E4"/>
    <w:rsid w:val="00D67EB2"/>
    <w:rsid w:val="00D70349"/>
    <w:rsid w:val="00D705BC"/>
    <w:rsid w:val="00D70CFC"/>
    <w:rsid w:val="00D70F61"/>
    <w:rsid w:val="00D71362"/>
    <w:rsid w:val="00D71D2E"/>
    <w:rsid w:val="00D71F43"/>
    <w:rsid w:val="00D71F49"/>
    <w:rsid w:val="00D725FD"/>
    <w:rsid w:val="00D72B02"/>
    <w:rsid w:val="00D72B6F"/>
    <w:rsid w:val="00D72D48"/>
    <w:rsid w:val="00D73020"/>
    <w:rsid w:val="00D731BF"/>
    <w:rsid w:val="00D73A8D"/>
    <w:rsid w:val="00D741EB"/>
    <w:rsid w:val="00D7475B"/>
    <w:rsid w:val="00D747FA"/>
    <w:rsid w:val="00D7492A"/>
    <w:rsid w:val="00D74A70"/>
    <w:rsid w:val="00D74CEA"/>
    <w:rsid w:val="00D750E1"/>
    <w:rsid w:val="00D751EA"/>
    <w:rsid w:val="00D753F0"/>
    <w:rsid w:val="00D75979"/>
    <w:rsid w:val="00D759F0"/>
    <w:rsid w:val="00D7652A"/>
    <w:rsid w:val="00D7679C"/>
    <w:rsid w:val="00D76CA0"/>
    <w:rsid w:val="00D770D8"/>
    <w:rsid w:val="00D77464"/>
    <w:rsid w:val="00D77C58"/>
    <w:rsid w:val="00D80094"/>
    <w:rsid w:val="00D8011A"/>
    <w:rsid w:val="00D81260"/>
    <w:rsid w:val="00D81503"/>
    <w:rsid w:val="00D817A9"/>
    <w:rsid w:val="00D819B4"/>
    <w:rsid w:val="00D81E53"/>
    <w:rsid w:val="00D820F3"/>
    <w:rsid w:val="00D82173"/>
    <w:rsid w:val="00D824AE"/>
    <w:rsid w:val="00D82ADA"/>
    <w:rsid w:val="00D82B30"/>
    <w:rsid w:val="00D82C53"/>
    <w:rsid w:val="00D82E3C"/>
    <w:rsid w:val="00D83017"/>
    <w:rsid w:val="00D83414"/>
    <w:rsid w:val="00D835A6"/>
    <w:rsid w:val="00D83605"/>
    <w:rsid w:val="00D836ED"/>
    <w:rsid w:val="00D83772"/>
    <w:rsid w:val="00D837FC"/>
    <w:rsid w:val="00D83B27"/>
    <w:rsid w:val="00D84098"/>
    <w:rsid w:val="00D840A9"/>
    <w:rsid w:val="00D84182"/>
    <w:rsid w:val="00D8447F"/>
    <w:rsid w:val="00D84934"/>
    <w:rsid w:val="00D84CE4"/>
    <w:rsid w:val="00D84E5C"/>
    <w:rsid w:val="00D8584B"/>
    <w:rsid w:val="00D85C07"/>
    <w:rsid w:val="00D86047"/>
    <w:rsid w:val="00D8622C"/>
    <w:rsid w:val="00D8623B"/>
    <w:rsid w:val="00D863BD"/>
    <w:rsid w:val="00D864B2"/>
    <w:rsid w:val="00D8665F"/>
    <w:rsid w:val="00D866EB"/>
    <w:rsid w:val="00D86C52"/>
    <w:rsid w:val="00D86F6B"/>
    <w:rsid w:val="00D875B1"/>
    <w:rsid w:val="00D875E0"/>
    <w:rsid w:val="00D87A8B"/>
    <w:rsid w:val="00D87D1A"/>
    <w:rsid w:val="00D87D64"/>
    <w:rsid w:val="00D90548"/>
    <w:rsid w:val="00D9059E"/>
    <w:rsid w:val="00D906DA"/>
    <w:rsid w:val="00D9076F"/>
    <w:rsid w:val="00D908D9"/>
    <w:rsid w:val="00D90BB2"/>
    <w:rsid w:val="00D9106C"/>
    <w:rsid w:val="00D91271"/>
    <w:rsid w:val="00D91484"/>
    <w:rsid w:val="00D914D9"/>
    <w:rsid w:val="00D919F5"/>
    <w:rsid w:val="00D92305"/>
    <w:rsid w:val="00D92738"/>
    <w:rsid w:val="00D9291F"/>
    <w:rsid w:val="00D92A02"/>
    <w:rsid w:val="00D93119"/>
    <w:rsid w:val="00D9357E"/>
    <w:rsid w:val="00D93CC6"/>
    <w:rsid w:val="00D93EA5"/>
    <w:rsid w:val="00D941AA"/>
    <w:rsid w:val="00D945F6"/>
    <w:rsid w:val="00D9490C"/>
    <w:rsid w:val="00D94B1C"/>
    <w:rsid w:val="00D94F03"/>
    <w:rsid w:val="00D95161"/>
    <w:rsid w:val="00D954D4"/>
    <w:rsid w:val="00D9551B"/>
    <w:rsid w:val="00D9557F"/>
    <w:rsid w:val="00D95723"/>
    <w:rsid w:val="00D9580F"/>
    <w:rsid w:val="00D959AD"/>
    <w:rsid w:val="00D95A87"/>
    <w:rsid w:val="00D95C23"/>
    <w:rsid w:val="00D95D1F"/>
    <w:rsid w:val="00D95D6C"/>
    <w:rsid w:val="00D95EDE"/>
    <w:rsid w:val="00D96292"/>
    <w:rsid w:val="00D96479"/>
    <w:rsid w:val="00D96778"/>
    <w:rsid w:val="00D9679F"/>
    <w:rsid w:val="00D96D24"/>
    <w:rsid w:val="00D96F05"/>
    <w:rsid w:val="00D9700F"/>
    <w:rsid w:val="00D97169"/>
    <w:rsid w:val="00D9720C"/>
    <w:rsid w:val="00D973B6"/>
    <w:rsid w:val="00D97BBF"/>
    <w:rsid w:val="00DA0005"/>
    <w:rsid w:val="00DA029A"/>
    <w:rsid w:val="00DA030D"/>
    <w:rsid w:val="00DA052C"/>
    <w:rsid w:val="00DA0A82"/>
    <w:rsid w:val="00DA0D14"/>
    <w:rsid w:val="00DA1214"/>
    <w:rsid w:val="00DA1997"/>
    <w:rsid w:val="00DA1FC9"/>
    <w:rsid w:val="00DA21C5"/>
    <w:rsid w:val="00DA2395"/>
    <w:rsid w:val="00DA2755"/>
    <w:rsid w:val="00DA2CB5"/>
    <w:rsid w:val="00DA2DAD"/>
    <w:rsid w:val="00DA2FF1"/>
    <w:rsid w:val="00DA30F1"/>
    <w:rsid w:val="00DA32AE"/>
    <w:rsid w:val="00DA358F"/>
    <w:rsid w:val="00DA35B0"/>
    <w:rsid w:val="00DA383E"/>
    <w:rsid w:val="00DA4436"/>
    <w:rsid w:val="00DA4450"/>
    <w:rsid w:val="00DA4620"/>
    <w:rsid w:val="00DA4815"/>
    <w:rsid w:val="00DA4B93"/>
    <w:rsid w:val="00DA4BAC"/>
    <w:rsid w:val="00DA4F85"/>
    <w:rsid w:val="00DA5003"/>
    <w:rsid w:val="00DA5466"/>
    <w:rsid w:val="00DA5630"/>
    <w:rsid w:val="00DA567A"/>
    <w:rsid w:val="00DA5CE7"/>
    <w:rsid w:val="00DA5CF2"/>
    <w:rsid w:val="00DA5FB4"/>
    <w:rsid w:val="00DA662E"/>
    <w:rsid w:val="00DA709F"/>
    <w:rsid w:val="00DA713E"/>
    <w:rsid w:val="00DA722E"/>
    <w:rsid w:val="00DA767A"/>
    <w:rsid w:val="00DA76BF"/>
    <w:rsid w:val="00DA7834"/>
    <w:rsid w:val="00DA792A"/>
    <w:rsid w:val="00DA7998"/>
    <w:rsid w:val="00DA7BAA"/>
    <w:rsid w:val="00DA7D41"/>
    <w:rsid w:val="00DB0019"/>
    <w:rsid w:val="00DB0151"/>
    <w:rsid w:val="00DB0160"/>
    <w:rsid w:val="00DB0206"/>
    <w:rsid w:val="00DB038F"/>
    <w:rsid w:val="00DB03A3"/>
    <w:rsid w:val="00DB041B"/>
    <w:rsid w:val="00DB04D7"/>
    <w:rsid w:val="00DB0B98"/>
    <w:rsid w:val="00DB0BAA"/>
    <w:rsid w:val="00DB0C13"/>
    <w:rsid w:val="00DB0CF3"/>
    <w:rsid w:val="00DB15E2"/>
    <w:rsid w:val="00DB212A"/>
    <w:rsid w:val="00DB2220"/>
    <w:rsid w:val="00DB2C11"/>
    <w:rsid w:val="00DB3037"/>
    <w:rsid w:val="00DB3573"/>
    <w:rsid w:val="00DB3A31"/>
    <w:rsid w:val="00DB3B69"/>
    <w:rsid w:val="00DB3E5F"/>
    <w:rsid w:val="00DB402D"/>
    <w:rsid w:val="00DB4478"/>
    <w:rsid w:val="00DB474A"/>
    <w:rsid w:val="00DB50E1"/>
    <w:rsid w:val="00DB538A"/>
    <w:rsid w:val="00DB53DE"/>
    <w:rsid w:val="00DB5425"/>
    <w:rsid w:val="00DB581C"/>
    <w:rsid w:val="00DB6100"/>
    <w:rsid w:val="00DB65D8"/>
    <w:rsid w:val="00DB69F3"/>
    <w:rsid w:val="00DB6AC2"/>
    <w:rsid w:val="00DB6D09"/>
    <w:rsid w:val="00DB72F7"/>
    <w:rsid w:val="00DB73E2"/>
    <w:rsid w:val="00DB76A6"/>
    <w:rsid w:val="00DB7AA8"/>
    <w:rsid w:val="00DC00DF"/>
    <w:rsid w:val="00DC0406"/>
    <w:rsid w:val="00DC0566"/>
    <w:rsid w:val="00DC05E1"/>
    <w:rsid w:val="00DC064F"/>
    <w:rsid w:val="00DC0811"/>
    <w:rsid w:val="00DC0D66"/>
    <w:rsid w:val="00DC10C5"/>
    <w:rsid w:val="00DC1161"/>
    <w:rsid w:val="00DC1379"/>
    <w:rsid w:val="00DC1499"/>
    <w:rsid w:val="00DC16CF"/>
    <w:rsid w:val="00DC1A2A"/>
    <w:rsid w:val="00DC1A52"/>
    <w:rsid w:val="00DC297E"/>
    <w:rsid w:val="00DC2C3E"/>
    <w:rsid w:val="00DC2E72"/>
    <w:rsid w:val="00DC3137"/>
    <w:rsid w:val="00DC3164"/>
    <w:rsid w:val="00DC348C"/>
    <w:rsid w:val="00DC3A71"/>
    <w:rsid w:val="00DC3BBF"/>
    <w:rsid w:val="00DC3D53"/>
    <w:rsid w:val="00DC3E8F"/>
    <w:rsid w:val="00DC3EC7"/>
    <w:rsid w:val="00DC41B4"/>
    <w:rsid w:val="00DC46D5"/>
    <w:rsid w:val="00DC471E"/>
    <w:rsid w:val="00DC4880"/>
    <w:rsid w:val="00DC492B"/>
    <w:rsid w:val="00DC4F38"/>
    <w:rsid w:val="00DC5156"/>
    <w:rsid w:val="00DC521D"/>
    <w:rsid w:val="00DC5414"/>
    <w:rsid w:val="00DC581F"/>
    <w:rsid w:val="00DC5925"/>
    <w:rsid w:val="00DC5C45"/>
    <w:rsid w:val="00DC5DC2"/>
    <w:rsid w:val="00DC5E2A"/>
    <w:rsid w:val="00DC5E90"/>
    <w:rsid w:val="00DC6089"/>
    <w:rsid w:val="00DC6094"/>
    <w:rsid w:val="00DC6233"/>
    <w:rsid w:val="00DC6EC3"/>
    <w:rsid w:val="00DC717C"/>
    <w:rsid w:val="00DC732A"/>
    <w:rsid w:val="00DC77D8"/>
    <w:rsid w:val="00DC78DD"/>
    <w:rsid w:val="00DC7D0E"/>
    <w:rsid w:val="00DC7D55"/>
    <w:rsid w:val="00DD04D7"/>
    <w:rsid w:val="00DD0893"/>
    <w:rsid w:val="00DD0AEB"/>
    <w:rsid w:val="00DD0BE9"/>
    <w:rsid w:val="00DD0CFA"/>
    <w:rsid w:val="00DD11CC"/>
    <w:rsid w:val="00DD1300"/>
    <w:rsid w:val="00DD1366"/>
    <w:rsid w:val="00DD18C1"/>
    <w:rsid w:val="00DD1C83"/>
    <w:rsid w:val="00DD22A8"/>
    <w:rsid w:val="00DD2561"/>
    <w:rsid w:val="00DD2618"/>
    <w:rsid w:val="00DD26F9"/>
    <w:rsid w:val="00DD275D"/>
    <w:rsid w:val="00DD3238"/>
    <w:rsid w:val="00DD350E"/>
    <w:rsid w:val="00DD39C5"/>
    <w:rsid w:val="00DD3C85"/>
    <w:rsid w:val="00DD3E43"/>
    <w:rsid w:val="00DD3E51"/>
    <w:rsid w:val="00DD3F79"/>
    <w:rsid w:val="00DD3F91"/>
    <w:rsid w:val="00DD418D"/>
    <w:rsid w:val="00DD422F"/>
    <w:rsid w:val="00DD42AB"/>
    <w:rsid w:val="00DD4443"/>
    <w:rsid w:val="00DD4B6B"/>
    <w:rsid w:val="00DD4FCD"/>
    <w:rsid w:val="00DD5186"/>
    <w:rsid w:val="00DD524D"/>
    <w:rsid w:val="00DD54CC"/>
    <w:rsid w:val="00DD5610"/>
    <w:rsid w:val="00DD5B70"/>
    <w:rsid w:val="00DD5CF1"/>
    <w:rsid w:val="00DD64C6"/>
    <w:rsid w:val="00DD69B5"/>
    <w:rsid w:val="00DD6B9B"/>
    <w:rsid w:val="00DD6B9E"/>
    <w:rsid w:val="00DD6B9F"/>
    <w:rsid w:val="00DD6CC4"/>
    <w:rsid w:val="00DD6F02"/>
    <w:rsid w:val="00DD7180"/>
    <w:rsid w:val="00DD74AD"/>
    <w:rsid w:val="00DD7659"/>
    <w:rsid w:val="00DD765A"/>
    <w:rsid w:val="00DE03E4"/>
    <w:rsid w:val="00DE06AF"/>
    <w:rsid w:val="00DE0AAD"/>
    <w:rsid w:val="00DE1575"/>
    <w:rsid w:val="00DE1FC8"/>
    <w:rsid w:val="00DE2366"/>
    <w:rsid w:val="00DE275D"/>
    <w:rsid w:val="00DE2DA9"/>
    <w:rsid w:val="00DE2EF1"/>
    <w:rsid w:val="00DE34CD"/>
    <w:rsid w:val="00DE3862"/>
    <w:rsid w:val="00DE3E31"/>
    <w:rsid w:val="00DE3ED8"/>
    <w:rsid w:val="00DE4B87"/>
    <w:rsid w:val="00DE4F4E"/>
    <w:rsid w:val="00DE511D"/>
    <w:rsid w:val="00DE522E"/>
    <w:rsid w:val="00DE577E"/>
    <w:rsid w:val="00DE58F0"/>
    <w:rsid w:val="00DE5E53"/>
    <w:rsid w:val="00DE664A"/>
    <w:rsid w:val="00DE66E8"/>
    <w:rsid w:val="00DE67F3"/>
    <w:rsid w:val="00DE6B50"/>
    <w:rsid w:val="00DE6BB1"/>
    <w:rsid w:val="00DE6D27"/>
    <w:rsid w:val="00DE7491"/>
    <w:rsid w:val="00DE766B"/>
    <w:rsid w:val="00DE76EA"/>
    <w:rsid w:val="00DE78CA"/>
    <w:rsid w:val="00DE7AAC"/>
    <w:rsid w:val="00DE7BF8"/>
    <w:rsid w:val="00DE7D66"/>
    <w:rsid w:val="00DE7E13"/>
    <w:rsid w:val="00DF006D"/>
    <w:rsid w:val="00DF01F8"/>
    <w:rsid w:val="00DF021D"/>
    <w:rsid w:val="00DF0671"/>
    <w:rsid w:val="00DF06AB"/>
    <w:rsid w:val="00DF0716"/>
    <w:rsid w:val="00DF1096"/>
    <w:rsid w:val="00DF128B"/>
    <w:rsid w:val="00DF1376"/>
    <w:rsid w:val="00DF14EE"/>
    <w:rsid w:val="00DF1629"/>
    <w:rsid w:val="00DF200C"/>
    <w:rsid w:val="00DF217D"/>
    <w:rsid w:val="00DF26A7"/>
    <w:rsid w:val="00DF29F6"/>
    <w:rsid w:val="00DF3008"/>
    <w:rsid w:val="00DF3277"/>
    <w:rsid w:val="00DF32C1"/>
    <w:rsid w:val="00DF409E"/>
    <w:rsid w:val="00DF4324"/>
    <w:rsid w:val="00DF47CE"/>
    <w:rsid w:val="00DF4C04"/>
    <w:rsid w:val="00DF4EB8"/>
    <w:rsid w:val="00DF503F"/>
    <w:rsid w:val="00DF5888"/>
    <w:rsid w:val="00DF5A70"/>
    <w:rsid w:val="00DF5F58"/>
    <w:rsid w:val="00DF60EF"/>
    <w:rsid w:val="00DF6705"/>
    <w:rsid w:val="00DF6A31"/>
    <w:rsid w:val="00DF6F28"/>
    <w:rsid w:val="00DF7407"/>
    <w:rsid w:val="00DF7430"/>
    <w:rsid w:val="00DF77A1"/>
    <w:rsid w:val="00DF7908"/>
    <w:rsid w:val="00DF7919"/>
    <w:rsid w:val="00DF7959"/>
    <w:rsid w:val="00E00100"/>
    <w:rsid w:val="00E00727"/>
    <w:rsid w:val="00E00ED0"/>
    <w:rsid w:val="00E00F03"/>
    <w:rsid w:val="00E010E2"/>
    <w:rsid w:val="00E01134"/>
    <w:rsid w:val="00E012E8"/>
    <w:rsid w:val="00E0165A"/>
    <w:rsid w:val="00E01D08"/>
    <w:rsid w:val="00E01DD6"/>
    <w:rsid w:val="00E01EDD"/>
    <w:rsid w:val="00E0207E"/>
    <w:rsid w:val="00E0208E"/>
    <w:rsid w:val="00E0219A"/>
    <w:rsid w:val="00E0242B"/>
    <w:rsid w:val="00E0278F"/>
    <w:rsid w:val="00E028C0"/>
    <w:rsid w:val="00E02AE6"/>
    <w:rsid w:val="00E02D6B"/>
    <w:rsid w:val="00E0326C"/>
    <w:rsid w:val="00E034A1"/>
    <w:rsid w:val="00E037A3"/>
    <w:rsid w:val="00E03912"/>
    <w:rsid w:val="00E03BCA"/>
    <w:rsid w:val="00E03C7E"/>
    <w:rsid w:val="00E03DC8"/>
    <w:rsid w:val="00E04148"/>
    <w:rsid w:val="00E041E5"/>
    <w:rsid w:val="00E04748"/>
    <w:rsid w:val="00E04A6D"/>
    <w:rsid w:val="00E04C43"/>
    <w:rsid w:val="00E04CB8"/>
    <w:rsid w:val="00E0552D"/>
    <w:rsid w:val="00E055FC"/>
    <w:rsid w:val="00E05933"/>
    <w:rsid w:val="00E05D9D"/>
    <w:rsid w:val="00E0609C"/>
    <w:rsid w:val="00E060AF"/>
    <w:rsid w:val="00E0620D"/>
    <w:rsid w:val="00E0649F"/>
    <w:rsid w:val="00E06753"/>
    <w:rsid w:val="00E0696A"/>
    <w:rsid w:val="00E06FED"/>
    <w:rsid w:val="00E071D6"/>
    <w:rsid w:val="00E07417"/>
    <w:rsid w:val="00E07438"/>
    <w:rsid w:val="00E074DF"/>
    <w:rsid w:val="00E078D9"/>
    <w:rsid w:val="00E07CFD"/>
    <w:rsid w:val="00E10293"/>
    <w:rsid w:val="00E103A0"/>
    <w:rsid w:val="00E1043F"/>
    <w:rsid w:val="00E1081F"/>
    <w:rsid w:val="00E10C87"/>
    <w:rsid w:val="00E11129"/>
    <w:rsid w:val="00E112BE"/>
    <w:rsid w:val="00E1157E"/>
    <w:rsid w:val="00E118CF"/>
    <w:rsid w:val="00E119F2"/>
    <w:rsid w:val="00E11DAA"/>
    <w:rsid w:val="00E11F44"/>
    <w:rsid w:val="00E1246E"/>
    <w:rsid w:val="00E128B8"/>
    <w:rsid w:val="00E12917"/>
    <w:rsid w:val="00E12ADC"/>
    <w:rsid w:val="00E12CC5"/>
    <w:rsid w:val="00E12F39"/>
    <w:rsid w:val="00E12F9E"/>
    <w:rsid w:val="00E131F6"/>
    <w:rsid w:val="00E139EB"/>
    <w:rsid w:val="00E13A19"/>
    <w:rsid w:val="00E13A38"/>
    <w:rsid w:val="00E13E60"/>
    <w:rsid w:val="00E13EE0"/>
    <w:rsid w:val="00E142B0"/>
    <w:rsid w:val="00E14564"/>
    <w:rsid w:val="00E14853"/>
    <w:rsid w:val="00E15200"/>
    <w:rsid w:val="00E15429"/>
    <w:rsid w:val="00E15627"/>
    <w:rsid w:val="00E1569C"/>
    <w:rsid w:val="00E159A9"/>
    <w:rsid w:val="00E15AA8"/>
    <w:rsid w:val="00E15C07"/>
    <w:rsid w:val="00E16067"/>
    <w:rsid w:val="00E1621F"/>
    <w:rsid w:val="00E164B3"/>
    <w:rsid w:val="00E164F4"/>
    <w:rsid w:val="00E166A5"/>
    <w:rsid w:val="00E16910"/>
    <w:rsid w:val="00E169E1"/>
    <w:rsid w:val="00E16BE4"/>
    <w:rsid w:val="00E16C85"/>
    <w:rsid w:val="00E16E23"/>
    <w:rsid w:val="00E17127"/>
    <w:rsid w:val="00E17B4B"/>
    <w:rsid w:val="00E17B54"/>
    <w:rsid w:val="00E200B4"/>
    <w:rsid w:val="00E20126"/>
    <w:rsid w:val="00E2036B"/>
    <w:rsid w:val="00E20706"/>
    <w:rsid w:val="00E209F9"/>
    <w:rsid w:val="00E20AAD"/>
    <w:rsid w:val="00E20F4B"/>
    <w:rsid w:val="00E20F75"/>
    <w:rsid w:val="00E21102"/>
    <w:rsid w:val="00E21164"/>
    <w:rsid w:val="00E211F5"/>
    <w:rsid w:val="00E2123B"/>
    <w:rsid w:val="00E21355"/>
    <w:rsid w:val="00E213BF"/>
    <w:rsid w:val="00E21553"/>
    <w:rsid w:val="00E21671"/>
    <w:rsid w:val="00E21E60"/>
    <w:rsid w:val="00E21F72"/>
    <w:rsid w:val="00E2232C"/>
    <w:rsid w:val="00E22342"/>
    <w:rsid w:val="00E223A4"/>
    <w:rsid w:val="00E22A4B"/>
    <w:rsid w:val="00E22A99"/>
    <w:rsid w:val="00E22EB1"/>
    <w:rsid w:val="00E230BD"/>
    <w:rsid w:val="00E232A9"/>
    <w:rsid w:val="00E239E2"/>
    <w:rsid w:val="00E23E78"/>
    <w:rsid w:val="00E23F90"/>
    <w:rsid w:val="00E24438"/>
    <w:rsid w:val="00E2459B"/>
    <w:rsid w:val="00E2484E"/>
    <w:rsid w:val="00E248A5"/>
    <w:rsid w:val="00E24E09"/>
    <w:rsid w:val="00E2502A"/>
    <w:rsid w:val="00E252C8"/>
    <w:rsid w:val="00E25E6C"/>
    <w:rsid w:val="00E25F8F"/>
    <w:rsid w:val="00E2610E"/>
    <w:rsid w:val="00E262BF"/>
    <w:rsid w:val="00E26810"/>
    <w:rsid w:val="00E26966"/>
    <w:rsid w:val="00E26ABA"/>
    <w:rsid w:val="00E26F38"/>
    <w:rsid w:val="00E26FED"/>
    <w:rsid w:val="00E270C4"/>
    <w:rsid w:val="00E27234"/>
    <w:rsid w:val="00E27507"/>
    <w:rsid w:val="00E27547"/>
    <w:rsid w:val="00E2761B"/>
    <w:rsid w:val="00E27680"/>
    <w:rsid w:val="00E27A9E"/>
    <w:rsid w:val="00E27DCD"/>
    <w:rsid w:val="00E27DE2"/>
    <w:rsid w:val="00E3036A"/>
    <w:rsid w:val="00E3037F"/>
    <w:rsid w:val="00E304C2"/>
    <w:rsid w:val="00E306D6"/>
    <w:rsid w:val="00E30889"/>
    <w:rsid w:val="00E310F8"/>
    <w:rsid w:val="00E311E3"/>
    <w:rsid w:val="00E31242"/>
    <w:rsid w:val="00E318EC"/>
    <w:rsid w:val="00E31B3C"/>
    <w:rsid w:val="00E31D6B"/>
    <w:rsid w:val="00E31DEF"/>
    <w:rsid w:val="00E31E37"/>
    <w:rsid w:val="00E325AB"/>
    <w:rsid w:val="00E32DA6"/>
    <w:rsid w:val="00E32E3B"/>
    <w:rsid w:val="00E32F6B"/>
    <w:rsid w:val="00E3331C"/>
    <w:rsid w:val="00E3345F"/>
    <w:rsid w:val="00E33743"/>
    <w:rsid w:val="00E33B6D"/>
    <w:rsid w:val="00E34201"/>
    <w:rsid w:val="00E3456E"/>
    <w:rsid w:val="00E3495C"/>
    <w:rsid w:val="00E34992"/>
    <w:rsid w:val="00E34F71"/>
    <w:rsid w:val="00E35438"/>
    <w:rsid w:val="00E3569B"/>
    <w:rsid w:val="00E35B7A"/>
    <w:rsid w:val="00E36A6F"/>
    <w:rsid w:val="00E36C47"/>
    <w:rsid w:val="00E36D8A"/>
    <w:rsid w:val="00E36E27"/>
    <w:rsid w:val="00E36F87"/>
    <w:rsid w:val="00E37027"/>
    <w:rsid w:val="00E371A7"/>
    <w:rsid w:val="00E371B0"/>
    <w:rsid w:val="00E37857"/>
    <w:rsid w:val="00E405CC"/>
    <w:rsid w:val="00E407D2"/>
    <w:rsid w:val="00E40958"/>
    <w:rsid w:val="00E40E44"/>
    <w:rsid w:val="00E413D9"/>
    <w:rsid w:val="00E413E1"/>
    <w:rsid w:val="00E41C1E"/>
    <w:rsid w:val="00E42307"/>
    <w:rsid w:val="00E427B1"/>
    <w:rsid w:val="00E427F3"/>
    <w:rsid w:val="00E42BDB"/>
    <w:rsid w:val="00E42D6D"/>
    <w:rsid w:val="00E43180"/>
    <w:rsid w:val="00E43637"/>
    <w:rsid w:val="00E43CD1"/>
    <w:rsid w:val="00E443AD"/>
    <w:rsid w:val="00E445AB"/>
    <w:rsid w:val="00E44874"/>
    <w:rsid w:val="00E44952"/>
    <w:rsid w:val="00E44B32"/>
    <w:rsid w:val="00E44E14"/>
    <w:rsid w:val="00E44E44"/>
    <w:rsid w:val="00E4505B"/>
    <w:rsid w:val="00E4508E"/>
    <w:rsid w:val="00E45194"/>
    <w:rsid w:val="00E45482"/>
    <w:rsid w:val="00E4551B"/>
    <w:rsid w:val="00E457DD"/>
    <w:rsid w:val="00E459D0"/>
    <w:rsid w:val="00E46020"/>
    <w:rsid w:val="00E46457"/>
    <w:rsid w:val="00E46858"/>
    <w:rsid w:val="00E469FD"/>
    <w:rsid w:val="00E46CB1"/>
    <w:rsid w:val="00E46DBC"/>
    <w:rsid w:val="00E470A2"/>
    <w:rsid w:val="00E472A0"/>
    <w:rsid w:val="00E479A7"/>
    <w:rsid w:val="00E501EF"/>
    <w:rsid w:val="00E50204"/>
    <w:rsid w:val="00E5050C"/>
    <w:rsid w:val="00E506BE"/>
    <w:rsid w:val="00E50887"/>
    <w:rsid w:val="00E50BEF"/>
    <w:rsid w:val="00E50F18"/>
    <w:rsid w:val="00E5102C"/>
    <w:rsid w:val="00E510B2"/>
    <w:rsid w:val="00E510E7"/>
    <w:rsid w:val="00E51712"/>
    <w:rsid w:val="00E51F98"/>
    <w:rsid w:val="00E52490"/>
    <w:rsid w:val="00E524A9"/>
    <w:rsid w:val="00E52530"/>
    <w:rsid w:val="00E5289C"/>
    <w:rsid w:val="00E52AC5"/>
    <w:rsid w:val="00E52E1F"/>
    <w:rsid w:val="00E5302E"/>
    <w:rsid w:val="00E531A7"/>
    <w:rsid w:val="00E535C4"/>
    <w:rsid w:val="00E538E7"/>
    <w:rsid w:val="00E53932"/>
    <w:rsid w:val="00E53D3A"/>
    <w:rsid w:val="00E53D8A"/>
    <w:rsid w:val="00E53E37"/>
    <w:rsid w:val="00E53F1A"/>
    <w:rsid w:val="00E54089"/>
    <w:rsid w:val="00E54138"/>
    <w:rsid w:val="00E54296"/>
    <w:rsid w:val="00E54389"/>
    <w:rsid w:val="00E545E0"/>
    <w:rsid w:val="00E54698"/>
    <w:rsid w:val="00E549FA"/>
    <w:rsid w:val="00E54CD7"/>
    <w:rsid w:val="00E54D98"/>
    <w:rsid w:val="00E55324"/>
    <w:rsid w:val="00E553B8"/>
    <w:rsid w:val="00E55911"/>
    <w:rsid w:val="00E55EE3"/>
    <w:rsid w:val="00E56519"/>
    <w:rsid w:val="00E5651A"/>
    <w:rsid w:val="00E56852"/>
    <w:rsid w:val="00E56DA8"/>
    <w:rsid w:val="00E5726D"/>
    <w:rsid w:val="00E572E3"/>
    <w:rsid w:val="00E57397"/>
    <w:rsid w:val="00E576FA"/>
    <w:rsid w:val="00E57815"/>
    <w:rsid w:val="00E57CB0"/>
    <w:rsid w:val="00E57DB5"/>
    <w:rsid w:val="00E57EEB"/>
    <w:rsid w:val="00E604E0"/>
    <w:rsid w:val="00E6093E"/>
    <w:rsid w:val="00E60D15"/>
    <w:rsid w:val="00E61348"/>
    <w:rsid w:val="00E61572"/>
    <w:rsid w:val="00E6168F"/>
    <w:rsid w:val="00E619E3"/>
    <w:rsid w:val="00E61DF0"/>
    <w:rsid w:val="00E61FCE"/>
    <w:rsid w:val="00E6240D"/>
    <w:rsid w:val="00E62BFB"/>
    <w:rsid w:val="00E62D94"/>
    <w:rsid w:val="00E62ECC"/>
    <w:rsid w:val="00E6304C"/>
    <w:rsid w:val="00E6308A"/>
    <w:rsid w:val="00E63133"/>
    <w:rsid w:val="00E63289"/>
    <w:rsid w:val="00E633E4"/>
    <w:rsid w:val="00E634E4"/>
    <w:rsid w:val="00E63662"/>
    <w:rsid w:val="00E63921"/>
    <w:rsid w:val="00E6401F"/>
    <w:rsid w:val="00E64050"/>
    <w:rsid w:val="00E642C7"/>
    <w:rsid w:val="00E64469"/>
    <w:rsid w:val="00E64534"/>
    <w:rsid w:val="00E648B5"/>
    <w:rsid w:val="00E64D46"/>
    <w:rsid w:val="00E64DB7"/>
    <w:rsid w:val="00E64DCE"/>
    <w:rsid w:val="00E64E03"/>
    <w:rsid w:val="00E64F37"/>
    <w:rsid w:val="00E65087"/>
    <w:rsid w:val="00E65091"/>
    <w:rsid w:val="00E650BC"/>
    <w:rsid w:val="00E65381"/>
    <w:rsid w:val="00E65393"/>
    <w:rsid w:val="00E65E14"/>
    <w:rsid w:val="00E65E54"/>
    <w:rsid w:val="00E661C7"/>
    <w:rsid w:val="00E66527"/>
    <w:rsid w:val="00E66679"/>
    <w:rsid w:val="00E66C89"/>
    <w:rsid w:val="00E6719E"/>
    <w:rsid w:val="00E673AD"/>
    <w:rsid w:val="00E676BF"/>
    <w:rsid w:val="00E6770E"/>
    <w:rsid w:val="00E67873"/>
    <w:rsid w:val="00E67D8F"/>
    <w:rsid w:val="00E67F86"/>
    <w:rsid w:val="00E70448"/>
    <w:rsid w:val="00E704A0"/>
    <w:rsid w:val="00E70996"/>
    <w:rsid w:val="00E70D99"/>
    <w:rsid w:val="00E71257"/>
    <w:rsid w:val="00E7202D"/>
    <w:rsid w:val="00E72138"/>
    <w:rsid w:val="00E721B3"/>
    <w:rsid w:val="00E721EA"/>
    <w:rsid w:val="00E72727"/>
    <w:rsid w:val="00E728ED"/>
    <w:rsid w:val="00E72C70"/>
    <w:rsid w:val="00E732C4"/>
    <w:rsid w:val="00E7340A"/>
    <w:rsid w:val="00E73CAC"/>
    <w:rsid w:val="00E744B4"/>
    <w:rsid w:val="00E748C2"/>
    <w:rsid w:val="00E74E24"/>
    <w:rsid w:val="00E74E41"/>
    <w:rsid w:val="00E750A9"/>
    <w:rsid w:val="00E75151"/>
    <w:rsid w:val="00E751CE"/>
    <w:rsid w:val="00E759EC"/>
    <w:rsid w:val="00E768B3"/>
    <w:rsid w:val="00E76C90"/>
    <w:rsid w:val="00E77119"/>
    <w:rsid w:val="00E77709"/>
    <w:rsid w:val="00E7798E"/>
    <w:rsid w:val="00E77AC6"/>
    <w:rsid w:val="00E80155"/>
    <w:rsid w:val="00E80262"/>
    <w:rsid w:val="00E8044A"/>
    <w:rsid w:val="00E8134B"/>
    <w:rsid w:val="00E81633"/>
    <w:rsid w:val="00E81D4E"/>
    <w:rsid w:val="00E81E0D"/>
    <w:rsid w:val="00E81F28"/>
    <w:rsid w:val="00E81F8E"/>
    <w:rsid w:val="00E82089"/>
    <w:rsid w:val="00E82164"/>
    <w:rsid w:val="00E8288C"/>
    <w:rsid w:val="00E82940"/>
    <w:rsid w:val="00E82F0A"/>
    <w:rsid w:val="00E833DD"/>
    <w:rsid w:val="00E83B3B"/>
    <w:rsid w:val="00E84656"/>
    <w:rsid w:val="00E84683"/>
    <w:rsid w:val="00E84850"/>
    <w:rsid w:val="00E848C0"/>
    <w:rsid w:val="00E84BB8"/>
    <w:rsid w:val="00E84F89"/>
    <w:rsid w:val="00E85B42"/>
    <w:rsid w:val="00E85F3E"/>
    <w:rsid w:val="00E86062"/>
    <w:rsid w:val="00E8608E"/>
    <w:rsid w:val="00E860B6"/>
    <w:rsid w:val="00E86BFA"/>
    <w:rsid w:val="00E86C91"/>
    <w:rsid w:val="00E86E10"/>
    <w:rsid w:val="00E86F92"/>
    <w:rsid w:val="00E87662"/>
    <w:rsid w:val="00E87F17"/>
    <w:rsid w:val="00E900C4"/>
    <w:rsid w:val="00E90148"/>
    <w:rsid w:val="00E9073E"/>
    <w:rsid w:val="00E908D2"/>
    <w:rsid w:val="00E91164"/>
    <w:rsid w:val="00E91305"/>
    <w:rsid w:val="00E91B96"/>
    <w:rsid w:val="00E91E13"/>
    <w:rsid w:val="00E91F10"/>
    <w:rsid w:val="00E92182"/>
    <w:rsid w:val="00E923C8"/>
    <w:rsid w:val="00E92ED3"/>
    <w:rsid w:val="00E92F2E"/>
    <w:rsid w:val="00E931AE"/>
    <w:rsid w:val="00E933CD"/>
    <w:rsid w:val="00E93458"/>
    <w:rsid w:val="00E935DA"/>
    <w:rsid w:val="00E93D1E"/>
    <w:rsid w:val="00E93FE4"/>
    <w:rsid w:val="00E9415A"/>
    <w:rsid w:val="00E941A1"/>
    <w:rsid w:val="00E94227"/>
    <w:rsid w:val="00E944C8"/>
    <w:rsid w:val="00E946C7"/>
    <w:rsid w:val="00E94C92"/>
    <w:rsid w:val="00E94E98"/>
    <w:rsid w:val="00E952B4"/>
    <w:rsid w:val="00E95559"/>
    <w:rsid w:val="00E959E5"/>
    <w:rsid w:val="00E95CE3"/>
    <w:rsid w:val="00E95F9A"/>
    <w:rsid w:val="00E9605B"/>
    <w:rsid w:val="00E96773"/>
    <w:rsid w:val="00E96B33"/>
    <w:rsid w:val="00E96E99"/>
    <w:rsid w:val="00E97608"/>
    <w:rsid w:val="00E9774A"/>
    <w:rsid w:val="00E97B71"/>
    <w:rsid w:val="00E97C19"/>
    <w:rsid w:val="00E97C4C"/>
    <w:rsid w:val="00EA0356"/>
    <w:rsid w:val="00EA0479"/>
    <w:rsid w:val="00EA0856"/>
    <w:rsid w:val="00EA0961"/>
    <w:rsid w:val="00EA0A19"/>
    <w:rsid w:val="00EA0B1E"/>
    <w:rsid w:val="00EA0D95"/>
    <w:rsid w:val="00EA1C00"/>
    <w:rsid w:val="00EA1C5F"/>
    <w:rsid w:val="00EA1D71"/>
    <w:rsid w:val="00EA1DC4"/>
    <w:rsid w:val="00EA1E75"/>
    <w:rsid w:val="00EA203E"/>
    <w:rsid w:val="00EA2208"/>
    <w:rsid w:val="00EA252F"/>
    <w:rsid w:val="00EA2583"/>
    <w:rsid w:val="00EA2593"/>
    <w:rsid w:val="00EA2825"/>
    <w:rsid w:val="00EA28C7"/>
    <w:rsid w:val="00EA2947"/>
    <w:rsid w:val="00EA2A02"/>
    <w:rsid w:val="00EA2FBD"/>
    <w:rsid w:val="00EA35EB"/>
    <w:rsid w:val="00EA37E2"/>
    <w:rsid w:val="00EA3813"/>
    <w:rsid w:val="00EA3EF2"/>
    <w:rsid w:val="00EA4551"/>
    <w:rsid w:val="00EA4941"/>
    <w:rsid w:val="00EA4DFE"/>
    <w:rsid w:val="00EA5027"/>
    <w:rsid w:val="00EA50BF"/>
    <w:rsid w:val="00EA57E3"/>
    <w:rsid w:val="00EA5A03"/>
    <w:rsid w:val="00EA5F99"/>
    <w:rsid w:val="00EA621E"/>
    <w:rsid w:val="00EA64C2"/>
    <w:rsid w:val="00EA6518"/>
    <w:rsid w:val="00EA6BE7"/>
    <w:rsid w:val="00EA71A2"/>
    <w:rsid w:val="00EA742B"/>
    <w:rsid w:val="00EA7466"/>
    <w:rsid w:val="00EA7B38"/>
    <w:rsid w:val="00EA7EDE"/>
    <w:rsid w:val="00EA7F88"/>
    <w:rsid w:val="00EB0171"/>
    <w:rsid w:val="00EB04CB"/>
    <w:rsid w:val="00EB07A5"/>
    <w:rsid w:val="00EB0B63"/>
    <w:rsid w:val="00EB0CC5"/>
    <w:rsid w:val="00EB0EB5"/>
    <w:rsid w:val="00EB11A5"/>
    <w:rsid w:val="00EB1359"/>
    <w:rsid w:val="00EB1542"/>
    <w:rsid w:val="00EB183F"/>
    <w:rsid w:val="00EB18CF"/>
    <w:rsid w:val="00EB1936"/>
    <w:rsid w:val="00EB1BB4"/>
    <w:rsid w:val="00EB1D33"/>
    <w:rsid w:val="00EB1EF4"/>
    <w:rsid w:val="00EB21CD"/>
    <w:rsid w:val="00EB2702"/>
    <w:rsid w:val="00EB2974"/>
    <w:rsid w:val="00EB2A1A"/>
    <w:rsid w:val="00EB2DA6"/>
    <w:rsid w:val="00EB2F58"/>
    <w:rsid w:val="00EB3264"/>
    <w:rsid w:val="00EB3545"/>
    <w:rsid w:val="00EB3679"/>
    <w:rsid w:val="00EB37BE"/>
    <w:rsid w:val="00EB3843"/>
    <w:rsid w:val="00EB39CF"/>
    <w:rsid w:val="00EB3B75"/>
    <w:rsid w:val="00EB3F2B"/>
    <w:rsid w:val="00EB425F"/>
    <w:rsid w:val="00EB4AD4"/>
    <w:rsid w:val="00EB4BAE"/>
    <w:rsid w:val="00EB4E80"/>
    <w:rsid w:val="00EB4F87"/>
    <w:rsid w:val="00EB5088"/>
    <w:rsid w:val="00EB5453"/>
    <w:rsid w:val="00EB5843"/>
    <w:rsid w:val="00EB589F"/>
    <w:rsid w:val="00EB5922"/>
    <w:rsid w:val="00EB6001"/>
    <w:rsid w:val="00EB6187"/>
    <w:rsid w:val="00EB6B76"/>
    <w:rsid w:val="00EB6EC9"/>
    <w:rsid w:val="00EB6FBB"/>
    <w:rsid w:val="00EB71DD"/>
    <w:rsid w:val="00EB7210"/>
    <w:rsid w:val="00EB728E"/>
    <w:rsid w:val="00EB730B"/>
    <w:rsid w:val="00EB7399"/>
    <w:rsid w:val="00EB776F"/>
    <w:rsid w:val="00EB7B3D"/>
    <w:rsid w:val="00EB7D04"/>
    <w:rsid w:val="00EC0154"/>
    <w:rsid w:val="00EC0322"/>
    <w:rsid w:val="00EC0472"/>
    <w:rsid w:val="00EC0693"/>
    <w:rsid w:val="00EC0F70"/>
    <w:rsid w:val="00EC1161"/>
    <w:rsid w:val="00EC1352"/>
    <w:rsid w:val="00EC13D4"/>
    <w:rsid w:val="00EC1452"/>
    <w:rsid w:val="00EC15E1"/>
    <w:rsid w:val="00EC16E4"/>
    <w:rsid w:val="00EC17AC"/>
    <w:rsid w:val="00EC1931"/>
    <w:rsid w:val="00EC1C11"/>
    <w:rsid w:val="00EC1D55"/>
    <w:rsid w:val="00EC1E11"/>
    <w:rsid w:val="00EC23EF"/>
    <w:rsid w:val="00EC253E"/>
    <w:rsid w:val="00EC2651"/>
    <w:rsid w:val="00EC2726"/>
    <w:rsid w:val="00EC2A82"/>
    <w:rsid w:val="00EC2EA1"/>
    <w:rsid w:val="00EC30EE"/>
    <w:rsid w:val="00EC30FD"/>
    <w:rsid w:val="00EC3214"/>
    <w:rsid w:val="00EC3228"/>
    <w:rsid w:val="00EC37DC"/>
    <w:rsid w:val="00EC3B08"/>
    <w:rsid w:val="00EC3B1B"/>
    <w:rsid w:val="00EC3C55"/>
    <w:rsid w:val="00EC3FD2"/>
    <w:rsid w:val="00EC46D1"/>
    <w:rsid w:val="00EC476D"/>
    <w:rsid w:val="00EC4C5A"/>
    <w:rsid w:val="00EC5199"/>
    <w:rsid w:val="00EC575E"/>
    <w:rsid w:val="00EC580A"/>
    <w:rsid w:val="00EC5BB6"/>
    <w:rsid w:val="00EC5CE7"/>
    <w:rsid w:val="00EC5DA7"/>
    <w:rsid w:val="00EC6349"/>
    <w:rsid w:val="00EC681C"/>
    <w:rsid w:val="00EC6D5B"/>
    <w:rsid w:val="00EC6E8C"/>
    <w:rsid w:val="00EC740E"/>
    <w:rsid w:val="00EC77F0"/>
    <w:rsid w:val="00EC7B87"/>
    <w:rsid w:val="00ED0407"/>
    <w:rsid w:val="00ED0756"/>
    <w:rsid w:val="00ED0985"/>
    <w:rsid w:val="00ED0A63"/>
    <w:rsid w:val="00ED10A5"/>
    <w:rsid w:val="00ED11F3"/>
    <w:rsid w:val="00ED1644"/>
    <w:rsid w:val="00ED171A"/>
    <w:rsid w:val="00ED1A11"/>
    <w:rsid w:val="00ED1B6D"/>
    <w:rsid w:val="00ED1BB4"/>
    <w:rsid w:val="00ED1D56"/>
    <w:rsid w:val="00ED254E"/>
    <w:rsid w:val="00ED2593"/>
    <w:rsid w:val="00ED2736"/>
    <w:rsid w:val="00ED287D"/>
    <w:rsid w:val="00ED2B9B"/>
    <w:rsid w:val="00ED2BDA"/>
    <w:rsid w:val="00ED35A7"/>
    <w:rsid w:val="00ED3709"/>
    <w:rsid w:val="00ED3881"/>
    <w:rsid w:val="00ED39E1"/>
    <w:rsid w:val="00ED4057"/>
    <w:rsid w:val="00ED432F"/>
    <w:rsid w:val="00ED44B8"/>
    <w:rsid w:val="00ED49FB"/>
    <w:rsid w:val="00ED506E"/>
    <w:rsid w:val="00ED5252"/>
    <w:rsid w:val="00ED538E"/>
    <w:rsid w:val="00ED5653"/>
    <w:rsid w:val="00ED57F5"/>
    <w:rsid w:val="00ED5C25"/>
    <w:rsid w:val="00ED65AF"/>
    <w:rsid w:val="00ED667A"/>
    <w:rsid w:val="00ED68BF"/>
    <w:rsid w:val="00ED69C1"/>
    <w:rsid w:val="00ED6E34"/>
    <w:rsid w:val="00ED71F8"/>
    <w:rsid w:val="00ED72AC"/>
    <w:rsid w:val="00ED783C"/>
    <w:rsid w:val="00ED7864"/>
    <w:rsid w:val="00ED7871"/>
    <w:rsid w:val="00ED7B46"/>
    <w:rsid w:val="00ED7D55"/>
    <w:rsid w:val="00ED7D9C"/>
    <w:rsid w:val="00EE00A7"/>
    <w:rsid w:val="00EE05AF"/>
    <w:rsid w:val="00EE08F5"/>
    <w:rsid w:val="00EE108E"/>
    <w:rsid w:val="00EE1320"/>
    <w:rsid w:val="00EE14DF"/>
    <w:rsid w:val="00EE1511"/>
    <w:rsid w:val="00EE169C"/>
    <w:rsid w:val="00EE210C"/>
    <w:rsid w:val="00EE2288"/>
    <w:rsid w:val="00EE2540"/>
    <w:rsid w:val="00EE27D2"/>
    <w:rsid w:val="00EE286B"/>
    <w:rsid w:val="00EE2E17"/>
    <w:rsid w:val="00EE2F77"/>
    <w:rsid w:val="00EE3158"/>
    <w:rsid w:val="00EE31A2"/>
    <w:rsid w:val="00EE32BE"/>
    <w:rsid w:val="00EE4049"/>
    <w:rsid w:val="00EE429F"/>
    <w:rsid w:val="00EE42B5"/>
    <w:rsid w:val="00EE4329"/>
    <w:rsid w:val="00EE4340"/>
    <w:rsid w:val="00EE47B9"/>
    <w:rsid w:val="00EE4811"/>
    <w:rsid w:val="00EE4C8E"/>
    <w:rsid w:val="00EE5C36"/>
    <w:rsid w:val="00EE5F6E"/>
    <w:rsid w:val="00EE5FDF"/>
    <w:rsid w:val="00EE6135"/>
    <w:rsid w:val="00EE6203"/>
    <w:rsid w:val="00EE6725"/>
    <w:rsid w:val="00EE68EB"/>
    <w:rsid w:val="00EE709C"/>
    <w:rsid w:val="00EE720A"/>
    <w:rsid w:val="00EE7314"/>
    <w:rsid w:val="00EE743E"/>
    <w:rsid w:val="00EE7642"/>
    <w:rsid w:val="00EE7871"/>
    <w:rsid w:val="00EE7917"/>
    <w:rsid w:val="00EE7F59"/>
    <w:rsid w:val="00EF0069"/>
    <w:rsid w:val="00EF034A"/>
    <w:rsid w:val="00EF039B"/>
    <w:rsid w:val="00EF09EA"/>
    <w:rsid w:val="00EF1120"/>
    <w:rsid w:val="00EF14FC"/>
    <w:rsid w:val="00EF1562"/>
    <w:rsid w:val="00EF168A"/>
    <w:rsid w:val="00EF184C"/>
    <w:rsid w:val="00EF1B76"/>
    <w:rsid w:val="00EF1C53"/>
    <w:rsid w:val="00EF208B"/>
    <w:rsid w:val="00EF2222"/>
    <w:rsid w:val="00EF229C"/>
    <w:rsid w:val="00EF23C6"/>
    <w:rsid w:val="00EF2652"/>
    <w:rsid w:val="00EF2A5F"/>
    <w:rsid w:val="00EF36A9"/>
    <w:rsid w:val="00EF3990"/>
    <w:rsid w:val="00EF3B2B"/>
    <w:rsid w:val="00EF3C52"/>
    <w:rsid w:val="00EF3DCC"/>
    <w:rsid w:val="00EF44A0"/>
    <w:rsid w:val="00EF4580"/>
    <w:rsid w:val="00EF4815"/>
    <w:rsid w:val="00EF4FED"/>
    <w:rsid w:val="00EF5163"/>
    <w:rsid w:val="00EF57E8"/>
    <w:rsid w:val="00EF589B"/>
    <w:rsid w:val="00EF5A2A"/>
    <w:rsid w:val="00EF5ACC"/>
    <w:rsid w:val="00EF5B81"/>
    <w:rsid w:val="00EF5CAF"/>
    <w:rsid w:val="00EF5F45"/>
    <w:rsid w:val="00EF640E"/>
    <w:rsid w:val="00EF668A"/>
    <w:rsid w:val="00EF6843"/>
    <w:rsid w:val="00EF68F4"/>
    <w:rsid w:val="00EF6941"/>
    <w:rsid w:val="00EF6953"/>
    <w:rsid w:val="00EF69A0"/>
    <w:rsid w:val="00EF6FB3"/>
    <w:rsid w:val="00EF7091"/>
    <w:rsid w:val="00EF72CC"/>
    <w:rsid w:val="00EF736A"/>
    <w:rsid w:val="00EF73D1"/>
    <w:rsid w:val="00EF74AC"/>
    <w:rsid w:val="00EF75B7"/>
    <w:rsid w:val="00EF7701"/>
    <w:rsid w:val="00EF77DD"/>
    <w:rsid w:val="00EF78A9"/>
    <w:rsid w:val="00EF7A19"/>
    <w:rsid w:val="00EF7D5E"/>
    <w:rsid w:val="00F0068B"/>
    <w:rsid w:val="00F007C6"/>
    <w:rsid w:val="00F0099E"/>
    <w:rsid w:val="00F009D8"/>
    <w:rsid w:val="00F00C00"/>
    <w:rsid w:val="00F00E1F"/>
    <w:rsid w:val="00F01209"/>
    <w:rsid w:val="00F0172E"/>
    <w:rsid w:val="00F01A04"/>
    <w:rsid w:val="00F01E3C"/>
    <w:rsid w:val="00F02514"/>
    <w:rsid w:val="00F025E3"/>
    <w:rsid w:val="00F02626"/>
    <w:rsid w:val="00F02CA2"/>
    <w:rsid w:val="00F02E10"/>
    <w:rsid w:val="00F02E9E"/>
    <w:rsid w:val="00F02F8C"/>
    <w:rsid w:val="00F0330D"/>
    <w:rsid w:val="00F037BC"/>
    <w:rsid w:val="00F039AF"/>
    <w:rsid w:val="00F03A6F"/>
    <w:rsid w:val="00F03AD9"/>
    <w:rsid w:val="00F03B08"/>
    <w:rsid w:val="00F03B32"/>
    <w:rsid w:val="00F03EEC"/>
    <w:rsid w:val="00F0448A"/>
    <w:rsid w:val="00F049F3"/>
    <w:rsid w:val="00F049F5"/>
    <w:rsid w:val="00F04BC2"/>
    <w:rsid w:val="00F050BD"/>
    <w:rsid w:val="00F051E2"/>
    <w:rsid w:val="00F051F2"/>
    <w:rsid w:val="00F055CE"/>
    <w:rsid w:val="00F055E5"/>
    <w:rsid w:val="00F05657"/>
    <w:rsid w:val="00F05AB0"/>
    <w:rsid w:val="00F05EDF"/>
    <w:rsid w:val="00F05FF4"/>
    <w:rsid w:val="00F06532"/>
    <w:rsid w:val="00F0655A"/>
    <w:rsid w:val="00F06ABF"/>
    <w:rsid w:val="00F06C4B"/>
    <w:rsid w:val="00F06E0D"/>
    <w:rsid w:val="00F06E7E"/>
    <w:rsid w:val="00F07105"/>
    <w:rsid w:val="00F071A3"/>
    <w:rsid w:val="00F073D0"/>
    <w:rsid w:val="00F079F2"/>
    <w:rsid w:val="00F07BC8"/>
    <w:rsid w:val="00F07E47"/>
    <w:rsid w:val="00F10083"/>
    <w:rsid w:val="00F102EB"/>
    <w:rsid w:val="00F104A2"/>
    <w:rsid w:val="00F10615"/>
    <w:rsid w:val="00F10DF5"/>
    <w:rsid w:val="00F10F11"/>
    <w:rsid w:val="00F10F4E"/>
    <w:rsid w:val="00F111FA"/>
    <w:rsid w:val="00F114EF"/>
    <w:rsid w:val="00F115EB"/>
    <w:rsid w:val="00F11D69"/>
    <w:rsid w:val="00F11D99"/>
    <w:rsid w:val="00F11F09"/>
    <w:rsid w:val="00F12549"/>
    <w:rsid w:val="00F126AC"/>
    <w:rsid w:val="00F12C74"/>
    <w:rsid w:val="00F13214"/>
    <w:rsid w:val="00F133F5"/>
    <w:rsid w:val="00F135FF"/>
    <w:rsid w:val="00F136AC"/>
    <w:rsid w:val="00F136C5"/>
    <w:rsid w:val="00F13BBD"/>
    <w:rsid w:val="00F13DF6"/>
    <w:rsid w:val="00F14120"/>
    <w:rsid w:val="00F1415C"/>
    <w:rsid w:val="00F14165"/>
    <w:rsid w:val="00F1486F"/>
    <w:rsid w:val="00F149BD"/>
    <w:rsid w:val="00F14A85"/>
    <w:rsid w:val="00F14B36"/>
    <w:rsid w:val="00F14B83"/>
    <w:rsid w:val="00F1520C"/>
    <w:rsid w:val="00F15572"/>
    <w:rsid w:val="00F1559A"/>
    <w:rsid w:val="00F158DE"/>
    <w:rsid w:val="00F16420"/>
    <w:rsid w:val="00F1642F"/>
    <w:rsid w:val="00F164E6"/>
    <w:rsid w:val="00F165F9"/>
    <w:rsid w:val="00F1721B"/>
    <w:rsid w:val="00F1796A"/>
    <w:rsid w:val="00F17B6A"/>
    <w:rsid w:val="00F17E12"/>
    <w:rsid w:val="00F17ED6"/>
    <w:rsid w:val="00F20344"/>
    <w:rsid w:val="00F20676"/>
    <w:rsid w:val="00F209A3"/>
    <w:rsid w:val="00F209E2"/>
    <w:rsid w:val="00F20B2B"/>
    <w:rsid w:val="00F2110C"/>
    <w:rsid w:val="00F21298"/>
    <w:rsid w:val="00F22127"/>
    <w:rsid w:val="00F2258C"/>
    <w:rsid w:val="00F226A1"/>
    <w:rsid w:val="00F226F7"/>
    <w:rsid w:val="00F22893"/>
    <w:rsid w:val="00F22911"/>
    <w:rsid w:val="00F22A14"/>
    <w:rsid w:val="00F22C08"/>
    <w:rsid w:val="00F22C14"/>
    <w:rsid w:val="00F237D5"/>
    <w:rsid w:val="00F2398F"/>
    <w:rsid w:val="00F23A9C"/>
    <w:rsid w:val="00F23AF6"/>
    <w:rsid w:val="00F23C09"/>
    <w:rsid w:val="00F23CC5"/>
    <w:rsid w:val="00F23D9D"/>
    <w:rsid w:val="00F23EB9"/>
    <w:rsid w:val="00F23F4C"/>
    <w:rsid w:val="00F24673"/>
    <w:rsid w:val="00F24C66"/>
    <w:rsid w:val="00F24C8E"/>
    <w:rsid w:val="00F25338"/>
    <w:rsid w:val="00F2542A"/>
    <w:rsid w:val="00F2552E"/>
    <w:rsid w:val="00F25578"/>
    <w:rsid w:val="00F2568F"/>
    <w:rsid w:val="00F256AB"/>
    <w:rsid w:val="00F25707"/>
    <w:rsid w:val="00F2571C"/>
    <w:rsid w:val="00F257E0"/>
    <w:rsid w:val="00F258E5"/>
    <w:rsid w:val="00F25B9C"/>
    <w:rsid w:val="00F25BC0"/>
    <w:rsid w:val="00F26428"/>
    <w:rsid w:val="00F264CF"/>
    <w:rsid w:val="00F2675A"/>
    <w:rsid w:val="00F26B44"/>
    <w:rsid w:val="00F26C68"/>
    <w:rsid w:val="00F26CC6"/>
    <w:rsid w:val="00F26D80"/>
    <w:rsid w:val="00F271AF"/>
    <w:rsid w:val="00F275C0"/>
    <w:rsid w:val="00F277ED"/>
    <w:rsid w:val="00F300BC"/>
    <w:rsid w:val="00F3022F"/>
    <w:rsid w:val="00F30506"/>
    <w:rsid w:val="00F305FA"/>
    <w:rsid w:val="00F30A60"/>
    <w:rsid w:val="00F30B17"/>
    <w:rsid w:val="00F30EED"/>
    <w:rsid w:val="00F30F1F"/>
    <w:rsid w:val="00F31121"/>
    <w:rsid w:val="00F31275"/>
    <w:rsid w:val="00F3199D"/>
    <w:rsid w:val="00F3263C"/>
    <w:rsid w:val="00F3293D"/>
    <w:rsid w:val="00F32B49"/>
    <w:rsid w:val="00F3334E"/>
    <w:rsid w:val="00F33C2D"/>
    <w:rsid w:val="00F33C99"/>
    <w:rsid w:val="00F33CCC"/>
    <w:rsid w:val="00F344A7"/>
    <w:rsid w:val="00F34C84"/>
    <w:rsid w:val="00F3573A"/>
    <w:rsid w:val="00F35780"/>
    <w:rsid w:val="00F3590E"/>
    <w:rsid w:val="00F359D8"/>
    <w:rsid w:val="00F35C1B"/>
    <w:rsid w:val="00F35E1C"/>
    <w:rsid w:val="00F36435"/>
    <w:rsid w:val="00F3668A"/>
    <w:rsid w:val="00F369DE"/>
    <w:rsid w:val="00F36A3C"/>
    <w:rsid w:val="00F36BCB"/>
    <w:rsid w:val="00F36CCB"/>
    <w:rsid w:val="00F36FAB"/>
    <w:rsid w:val="00F37102"/>
    <w:rsid w:val="00F374E5"/>
    <w:rsid w:val="00F37556"/>
    <w:rsid w:val="00F3757F"/>
    <w:rsid w:val="00F3792B"/>
    <w:rsid w:val="00F379AF"/>
    <w:rsid w:val="00F37B35"/>
    <w:rsid w:val="00F37B93"/>
    <w:rsid w:val="00F37BAD"/>
    <w:rsid w:val="00F37ECA"/>
    <w:rsid w:val="00F37FF9"/>
    <w:rsid w:val="00F40168"/>
    <w:rsid w:val="00F402E8"/>
    <w:rsid w:val="00F4038D"/>
    <w:rsid w:val="00F40A1C"/>
    <w:rsid w:val="00F40AF2"/>
    <w:rsid w:val="00F40CE9"/>
    <w:rsid w:val="00F4124F"/>
    <w:rsid w:val="00F41AC2"/>
    <w:rsid w:val="00F41F4C"/>
    <w:rsid w:val="00F42072"/>
    <w:rsid w:val="00F421E5"/>
    <w:rsid w:val="00F42285"/>
    <w:rsid w:val="00F42971"/>
    <w:rsid w:val="00F4336A"/>
    <w:rsid w:val="00F433E5"/>
    <w:rsid w:val="00F438D5"/>
    <w:rsid w:val="00F43925"/>
    <w:rsid w:val="00F43AF2"/>
    <w:rsid w:val="00F443A0"/>
    <w:rsid w:val="00F4451D"/>
    <w:rsid w:val="00F4491D"/>
    <w:rsid w:val="00F44FE8"/>
    <w:rsid w:val="00F45216"/>
    <w:rsid w:val="00F45390"/>
    <w:rsid w:val="00F45638"/>
    <w:rsid w:val="00F458AF"/>
    <w:rsid w:val="00F45C7E"/>
    <w:rsid w:val="00F45E6E"/>
    <w:rsid w:val="00F46024"/>
    <w:rsid w:val="00F46677"/>
    <w:rsid w:val="00F46778"/>
    <w:rsid w:val="00F46A92"/>
    <w:rsid w:val="00F46C64"/>
    <w:rsid w:val="00F46F7F"/>
    <w:rsid w:val="00F4726A"/>
    <w:rsid w:val="00F47AAD"/>
    <w:rsid w:val="00F47C82"/>
    <w:rsid w:val="00F47CC6"/>
    <w:rsid w:val="00F47CE7"/>
    <w:rsid w:val="00F5007E"/>
    <w:rsid w:val="00F5015C"/>
    <w:rsid w:val="00F50372"/>
    <w:rsid w:val="00F504B2"/>
    <w:rsid w:val="00F505E6"/>
    <w:rsid w:val="00F50853"/>
    <w:rsid w:val="00F508F6"/>
    <w:rsid w:val="00F50DC0"/>
    <w:rsid w:val="00F50EC4"/>
    <w:rsid w:val="00F5120F"/>
    <w:rsid w:val="00F514D1"/>
    <w:rsid w:val="00F52021"/>
    <w:rsid w:val="00F5205D"/>
    <w:rsid w:val="00F5218F"/>
    <w:rsid w:val="00F52232"/>
    <w:rsid w:val="00F524EE"/>
    <w:rsid w:val="00F5274A"/>
    <w:rsid w:val="00F527B1"/>
    <w:rsid w:val="00F52AB8"/>
    <w:rsid w:val="00F52DC2"/>
    <w:rsid w:val="00F52DE9"/>
    <w:rsid w:val="00F53627"/>
    <w:rsid w:val="00F537F4"/>
    <w:rsid w:val="00F53E4D"/>
    <w:rsid w:val="00F53FA1"/>
    <w:rsid w:val="00F540F9"/>
    <w:rsid w:val="00F54AF9"/>
    <w:rsid w:val="00F54E85"/>
    <w:rsid w:val="00F550CF"/>
    <w:rsid w:val="00F5521D"/>
    <w:rsid w:val="00F553D2"/>
    <w:rsid w:val="00F554C2"/>
    <w:rsid w:val="00F55557"/>
    <w:rsid w:val="00F55859"/>
    <w:rsid w:val="00F55D84"/>
    <w:rsid w:val="00F55DDD"/>
    <w:rsid w:val="00F56777"/>
    <w:rsid w:val="00F56A2D"/>
    <w:rsid w:val="00F57928"/>
    <w:rsid w:val="00F579D5"/>
    <w:rsid w:val="00F57A6D"/>
    <w:rsid w:val="00F57E9C"/>
    <w:rsid w:val="00F6008C"/>
    <w:rsid w:val="00F60260"/>
    <w:rsid w:val="00F602A1"/>
    <w:rsid w:val="00F6044B"/>
    <w:rsid w:val="00F60667"/>
    <w:rsid w:val="00F61DA8"/>
    <w:rsid w:val="00F61E7B"/>
    <w:rsid w:val="00F620AB"/>
    <w:rsid w:val="00F621DB"/>
    <w:rsid w:val="00F6247E"/>
    <w:rsid w:val="00F62A26"/>
    <w:rsid w:val="00F62C07"/>
    <w:rsid w:val="00F62E2B"/>
    <w:rsid w:val="00F62F19"/>
    <w:rsid w:val="00F6384D"/>
    <w:rsid w:val="00F63854"/>
    <w:rsid w:val="00F638CC"/>
    <w:rsid w:val="00F63AED"/>
    <w:rsid w:val="00F64181"/>
    <w:rsid w:val="00F64487"/>
    <w:rsid w:val="00F64C9E"/>
    <w:rsid w:val="00F64CC1"/>
    <w:rsid w:val="00F64D1F"/>
    <w:rsid w:val="00F64DE2"/>
    <w:rsid w:val="00F64FC8"/>
    <w:rsid w:val="00F65421"/>
    <w:rsid w:val="00F65BAF"/>
    <w:rsid w:val="00F65BE2"/>
    <w:rsid w:val="00F65C82"/>
    <w:rsid w:val="00F65F31"/>
    <w:rsid w:val="00F661F2"/>
    <w:rsid w:val="00F66300"/>
    <w:rsid w:val="00F66CD8"/>
    <w:rsid w:val="00F66EA6"/>
    <w:rsid w:val="00F67653"/>
    <w:rsid w:val="00F67742"/>
    <w:rsid w:val="00F67B25"/>
    <w:rsid w:val="00F70344"/>
    <w:rsid w:val="00F707AC"/>
    <w:rsid w:val="00F707B5"/>
    <w:rsid w:val="00F708B1"/>
    <w:rsid w:val="00F711AB"/>
    <w:rsid w:val="00F71248"/>
    <w:rsid w:val="00F713D5"/>
    <w:rsid w:val="00F714BD"/>
    <w:rsid w:val="00F71757"/>
    <w:rsid w:val="00F717A1"/>
    <w:rsid w:val="00F71A50"/>
    <w:rsid w:val="00F71E61"/>
    <w:rsid w:val="00F72067"/>
    <w:rsid w:val="00F720A5"/>
    <w:rsid w:val="00F7210D"/>
    <w:rsid w:val="00F72317"/>
    <w:rsid w:val="00F725F5"/>
    <w:rsid w:val="00F7273F"/>
    <w:rsid w:val="00F72D0B"/>
    <w:rsid w:val="00F73745"/>
    <w:rsid w:val="00F73A84"/>
    <w:rsid w:val="00F73AA2"/>
    <w:rsid w:val="00F73DC1"/>
    <w:rsid w:val="00F740C5"/>
    <w:rsid w:val="00F74347"/>
    <w:rsid w:val="00F7449E"/>
    <w:rsid w:val="00F744B7"/>
    <w:rsid w:val="00F74724"/>
    <w:rsid w:val="00F7496F"/>
    <w:rsid w:val="00F74A80"/>
    <w:rsid w:val="00F750C1"/>
    <w:rsid w:val="00F751E4"/>
    <w:rsid w:val="00F75BB8"/>
    <w:rsid w:val="00F75C10"/>
    <w:rsid w:val="00F75E17"/>
    <w:rsid w:val="00F75E38"/>
    <w:rsid w:val="00F75F0D"/>
    <w:rsid w:val="00F7616A"/>
    <w:rsid w:val="00F7650B"/>
    <w:rsid w:val="00F765B2"/>
    <w:rsid w:val="00F766E1"/>
    <w:rsid w:val="00F76718"/>
    <w:rsid w:val="00F76C15"/>
    <w:rsid w:val="00F76C62"/>
    <w:rsid w:val="00F77310"/>
    <w:rsid w:val="00F77312"/>
    <w:rsid w:val="00F77313"/>
    <w:rsid w:val="00F77358"/>
    <w:rsid w:val="00F775E9"/>
    <w:rsid w:val="00F77714"/>
    <w:rsid w:val="00F77A5D"/>
    <w:rsid w:val="00F8025A"/>
    <w:rsid w:val="00F80475"/>
    <w:rsid w:val="00F80778"/>
    <w:rsid w:val="00F80AD7"/>
    <w:rsid w:val="00F80B75"/>
    <w:rsid w:val="00F80DFB"/>
    <w:rsid w:val="00F80E6E"/>
    <w:rsid w:val="00F81390"/>
    <w:rsid w:val="00F8164D"/>
    <w:rsid w:val="00F818FD"/>
    <w:rsid w:val="00F81AEF"/>
    <w:rsid w:val="00F81EB8"/>
    <w:rsid w:val="00F81F7A"/>
    <w:rsid w:val="00F8247A"/>
    <w:rsid w:val="00F82560"/>
    <w:rsid w:val="00F82820"/>
    <w:rsid w:val="00F82940"/>
    <w:rsid w:val="00F82C23"/>
    <w:rsid w:val="00F82CCA"/>
    <w:rsid w:val="00F82E5C"/>
    <w:rsid w:val="00F83291"/>
    <w:rsid w:val="00F834F3"/>
    <w:rsid w:val="00F83B40"/>
    <w:rsid w:val="00F83E86"/>
    <w:rsid w:val="00F83F58"/>
    <w:rsid w:val="00F84612"/>
    <w:rsid w:val="00F848AA"/>
    <w:rsid w:val="00F84956"/>
    <w:rsid w:val="00F84E44"/>
    <w:rsid w:val="00F85206"/>
    <w:rsid w:val="00F8539E"/>
    <w:rsid w:val="00F85895"/>
    <w:rsid w:val="00F85999"/>
    <w:rsid w:val="00F85AF3"/>
    <w:rsid w:val="00F85B4A"/>
    <w:rsid w:val="00F8604A"/>
    <w:rsid w:val="00F86276"/>
    <w:rsid w:val="00F8661D"/>
    <w:rsid w:val="00F866CB"/>
    <w:rsid w:val="00F867E2"/>
    <w:rsid w:val="00F86A82"/>
    <w:rsid w:val="00F86C11"/>
    <w:rsid w:val="00F86FDC"/>
    <w:rsid w:val="00F876FE"/>
    <w:rsid w:val="00F8792A"/>
    <w:rsid w:val="00F87C7A"/>
    <w:rsid w:val="00F87CEA"/>
    <w:rsid w:val="00F87E01"/>
    <w:rsid w:val="00F9043F"/>
    <w:rsid w:val="00F9046D"/>
    <w:rsid w:val="00F90833"/>
    <w:rsid w:val="00F909A3"/>
    <w:rsid w:val="00F90D0F"/>
    <w:rsid w:val="00F91111"/>
    <w:rsid w:val="00F91455"/>
    <w:rsid w:val="00F91758"/>
    <w:rsid w:val="00F91858"/>
    <w:rsid w:val="00F91B31"/>
    <w:rsid w:val="00F92307"/>
    <w:rsid w:val="00F92412"/>
    <w:rsid w:val="00F9247B"/>
    <w:rsid w:val="00F92578"/>
    <w:rsid w:val="00F9265D"/>
    <w:rsid w:val="00F92C4F"/>
    <w:rsid w:val="00F931A3"/>
    <w:rsid w:val="00F93432"/>
    <w:rsid w:val="00F93794"/>
    <w:rsid w:val="00F940A3"/>
    <w:rsid w:val="00F94184"/>
    <w:rsid w:val="00F94403"/>
    <w:rsid w:val="00F944E2"/>
    <w:rsid w:val="00F946F4"/>
    <w:rsid w:val="00F949FE"/>
    <w:rsid w:val="00F94B23"/>
    <w:rsid w:val="00F95063"/>
    <w:rsid w:val="00F9540D"/>
    <w:rsid w:val="00F956AC"/>
    <w:rsid w:val="00F9589A"/>
    <w:rsid w:val="00F9629A"/>
    <w:rsid w:val="00F96979"/>
    <w:rsid w:val="00F96DF6"/>
    <w:rsid w:val="00F96E89"/>
    <w:rsid w:val="00F976B0"/>
    <w:rsid w:val="00F97998"/>
    <w:rsid w:val="00F97A2D"/>
    <w:rsid w:val="00F97B7E"/>
    <w:rsid w:val="00F97D77"/>
    <w:rsid w:val="00F97D7F"/>
    <w:rsid w:val="00F97EFC"/>
    <w:rsid w:val="00F97FC2"/>
    <w:rsid w:val="00FA0128"/>
    <w:rsid w:val="00FA0563"/>
    <w:rsid w:val="00FA08D0"/>
    <w:rsid w:val="00FA08D8"/>
    <w:rsid w:val="00FA0956"/>
    <w:rsid w:val="00FA0A7F"/>
    <w:rsid w:val="00FA0B04"/>
    <w:rsid w:val="00FA0C7C"/>
    <w:rsid w:val="00FA0EDE"/>
    <w:rsid w:val="00FA128F"/>
    <w:rsid w:val="00FA18DE"/>
    <w:rsid w:val="00FA19CB"/>
    <w:rsid w:val="00FA1BAA"/>
    <w:rsid w:val="00FA1BDD"/>
    <w:rsid w:val="00FA1D35"/>
    <w:rsid w:val="00FA1DD3"/>
    <w:rsid w:val="00FA1FCD"/>
    <w:rsid w:val="00FA2750"/>
    <w:rsid w:val="00FA2C21"/>
    <w:rsid w:val="00FA2F41"/>
    <w:rsid w:val="00FA305C"/>
    <w:rsid w:val="00FA3404"/>
    <w:rsid w:val="00FA382B"/>
    <w:rsid w:val="00FA3E1B"/>
    <w:rsid w:val="00FA40FF"/>
    <w:rsid w:val="00FA4273"/>
    <w:rsid w:val="00FA43F4"/>
    <w:rsid w:val="00FA462E"/>
    <w:rsid w:val="00FA46E9"/>
    <w:rsid w:val="00FA4BA9"/>
    <w:rsid w:val="00FA4BE1"/>
    <w:rsid w:val="00FA4DD5"/>
    <w:rsid w:val="00FA5188"/>
    <w:rsid w:val="00FA547E"/>
    <w:rsid w:val="00FA5883"/>
    <w:rsid w:val="00FA5D80"/>
    <w:rsid w:val="00FA6055"/>
    <w:rsid w:val="00FA6446"/>
    <w:rsid w:val="00FA66D3"/>
    <w:rsid w:val="00FA6EA6"/>
    <w:rsid w:val="00FA6ED7"/>
    <w:rsid w:val="00FA72D4"/>
    <w:rsid w:val="00FA72F1"/>
    <w:rsid w:val="00FA7371"/>
    <w:rsid w:val="00FA7545"/>
    <w:rsid w:val="00FA772E"/>
    <w:rsid w:val="00FA7A9B"/>
    <w:rsid w:val="00FA7D97"/>
    <w:rsid w:val="00FA7E16"/>
    <w:rsid w:val="00FB0141"/>
    <w:rsid w:val="00FB0B39"/>
    <w:rsid w:val="00FB0C00"/>
    <w:rsid w:val="00FB0CFD"/>
    <w:rsid w:val="00FB0D72"/>
    <w:rsid w:val="00FB136E"/>
    <w:rsid w:val="00FB139B"/>
    <w:rsid w:val="00FB16E0"/>
    <w:rsid w:val="00FB1D1B"/>
    <w:rsid w:val="00FB2129"/>
    <w:rsid w:val="00FB2C00"/>
    <w:rsid w:val="00FB30BC"/>
    <w:rsid w:val="00FB322F"/>
    <w:rsid w:val="00FB3351"/>
    <w:rsid w:val="00FB3532"/>
    <w:rsid w:val="00FB3A67"/>
    <w:rsid w:val="00FB3E17"/>
    <w:rsid w:val="00FB3E20"/>
    <w:rsid w:val="00FB3EA6"/>
    <w:rsid w:val="00FB442F"/>
    <w:rsid w:val="00FB4896"/>
    <w:rsid w:val="00FB5554"/>
    <w:rsid w:val="00FB5951"/>
    <w:rsid w:val="00FB5A40"/>
    <w:rsid w:val="00FB5A55"/>
    <w:rsid w:val="00FB5AC6"/>
    <w:rsid w:val="00FB6050"/>
    <w:rsid w:val="00FB62EF"/>
    <w:rsid w:val="00FB6334"/>
    <w:rsid w:val="00FB6927"/>
    <w:rsid w:val="00FB6941"/>
    <w:rsid w:val="00FB6D12"/>
    <w:rsid w:val="00FB709D"/>
    <w:rsid w:val="00FB7485"/>
    <w:rsid w:val="00FB7496"/>
    <w:rsid w:val="00FB790B"/>
    <w:rsid w:val="00FB7B1A"/>
    <w:rsid w:val="00FB7E95"/>
    <w:rsid w:val="00FC0111"/>
    <w:rsid w:val="00FC015D"/>
    <w:rsid w:val="00FC017C"/>
    <w:rsid w:val="00FC0310"/>
    <w:rsid w:val="00FC0315"/>
    <w:rsid w:val="00FC0471"/>
    <w:rsid w:val="00FC07E6"/>
    <w:rsid w:val="00FC0AD2"/>
    <w:rsid w:val="00FC0DEC"/>
    <w:rsid w:val="00FC0F9D"/>
    <w:rsid w:val="00FC0FA2"/>
    <w:rsid w:val="00FC118C"/>
    <w:rsid w:val="00FC130B"/>
    <w:rsid w:val="00FC1369"/>
    <w:rsid w:val="00FC15AD"/>
    <w:rsid w:val="00FC1929"/>
    <w:rsid w:val="00FC2F59"/>
    <w:rsid w:val="00FC345C"/>
    <w:rsid w:val="00FC3B3A"/>
    <w:rsid w:val="00FC4219"/>
    <w:rsid w:val="00FC47FA"/>
    <w:rsid w:val="00FC4C05"/>
    <w:rsid w:val="00FC513E"/>
    <w:rsid w:val="00FC5232"/>
    <w:rsid w:val="00FC58C3"/>
    <w:rsid w:val="00FC5B46"/>
    <w:rsid w:val="00FC5CBB"/>
    <w:rsid w:val="00FC6050"/>
    <w:rsid w:val="00FC67B6"/>
    <w:rsid w:val="00FC6890"/>
    <w:rsid w:val="00FC6A5E"/>
    <w:rsid w:val="00FC6C06"/>
    <w:rsid w:val="00FC6CE3"/>
    <w:rsid w:val="00FC6D12"/>
    <w:rsid w:val="00FC6DDD"/>
    <w:rsid w:val="00FC6DF4"/>
    <w:rsid w:val="00FC7864"/>
    <w:rsid w:val="00FC7A17"/>
    <w:rsid w:val="00FC7BA7"/>
    <w:rsid w:val="00FD0114"/>
    <w:rsid w:val="00FD02BD"/>
    <w:rsid w:val="00FD05E8"/>
    <w:rsid w:val="00FD0687"/>
    <w:rsid w:val="00FD0960"/>
    <w:rsid w:val="00FD13AF"/>
    <w:rsid w:val="00FD188A"/>
    <w:rsid w:val="00FD1C03"/>
    <w:rsid w:val="00FD1D4F"/>
    <w:rsid w:val="00FD1D60"/>
    <w:rsid w:val="00FD2317"/>
    <w:rsid w:val="00FD24BF"/>
    <w:rsid w:val="00FD2683"/>
    <w:rsid w:val="00FD26E1"/>
    <w:rsid w:val="00FD2AF7"/>
    <w:rsid w:val="00FD2CB0"/>
    <w:rsid w:val="00FD2D64"/>
    <w:rsid w:val="00FD3410"/>
    <w:rsid w:val="00FD3B11"/>
    <w:rsid w:val="00FD3B6E"/>
    <w:rsid w:val="00FD3C2F"/>
    <w:rsid w:val="00FD4075"/>
    <w:rsid w:val="00FD4140"/>
    <w:rsid w:val="00FD41DC"/>
    <w:rsid w:val="00FD4297"/>
    <w:rsid w:val="00FD46BD"/>
    <w:rsid w:val="00FD4C19"/>
    <w:rsid w:val="00FD4D12"/>
    <w:rsid w:val="00FD52C3"/>
    <w:rsid w:val="00FD57A9"/>
    <w:rsid w:val="00FD57EB"/>
    <w:rsid w:val="00FD5BC5"/>
    <w:rsid w:val="00FD6763"/>
    <w:rsid w:val="00FD6B2D"/>
    <w:rsid w:val="00FD6D8E"/>
    <w:rsid w:val="00FD72D2"/>
    <w:rsid w:val="00FE022D"/>
    <w:rsid w:val="00FE062B"/>
    <w:rsid w:val="00FE0663"/>
    <w:rsid w:val="00FE0BC9"/>
    <w:rsid w:val="00FE0D90"/>
    <w:rsid w:val="00FE0E94"/>
    <w:rsid w:val="00FE17E6"/>
    <w:rsid w:val="00FE184C"/>
    <w:rsid w:val="00FE1A48"/>
    <w:rsid w:val="00FE1AC0"/>
    <w:rsid w:val="00FE1F2F"/>
    <w:rsid w:val="00FE230B"/>
    <w:rsid w:val="00FE27B7"/>
    <w:rsid w:val="00FE2A1C"/>
    <w:rsid w:val="00FE2C46"/>
    <w:rsid w:val="00FE2FD2"/>
    <w:rsid w:val="00FE3059"/>
    <w:rsid w:val="00FE369C"/>
    <w:rsid w:val="00FE36E6"/>
    <w:rsid w:val="00FE388C"/>
    <w:rsid w:val="00FE3CD9"/>
    <w:rsid w:val="00FE3DD2"/>
    <w:rsid w:val="00FE4483"/>
    <w:rsid w:val="00FE48A1"/>
    <w:rsid w:val="00FE48D6"/>
    <w:rsid w:val="00FE4B3A"/>
    <w:rsid w:val="00FE52FE"/>
    <w:rsid w:val="00FE564A"/>
    <w:rsid w:val="00FE5658"/>
    <w:rsid w:val="00FE5678"/>
    <w:rsid w:val="00FE589A"/>
    <w:rsid w:val="00FE5BA9"/>
    <w:rsid w:val="00FE5C11"/>
    <w:rsid w:val="00FE5C7D"/>
    <w:rsid w:val="00FE6613"/>
    <w:rsid w:val="00FE676C"/>
    <w:rsid w:val="00FE6A5B"/>
    <w:rsid w:val="00FE7100"/>
    <w:rsid w:val="00FE7635"/>
    <w:rsid w:val="00FE7778"/>
    <w:rsid w:val="00FE7C1C"/>
    <w:rsid w:val="00FF00BD"/>
    <w:rsid w:val="00FF01B5"/>
    <w:rsid w:val="00FF0303"/>
    <w:rsid w:val="00FF067C"/>
    <w:rsid w:val="00FF0B13"/>
    <w:rsid w:val="00FF0B66"/>
    <w:rsid w:val="00FF10A8"/>
    <w:rsid w:val="00FF140D"/>
    <w:rsid w:val="00FF1427"/>
    <w:rsid w:val="00FF1439"/>
    <w:rsid w:val="00FF1672"/>
    <w:rsid w:val="00FF18FB"/>
    <w:rsid w:val="00FF19EF"/>
    <w:rsid w:val="00FF1ED4"/>
    <w:rsid w:val="00FF25FD"/>
    <w:rsid w:val="00FF2801"/>
    <w:rsid w:val="00FF29E3"/>
    <w:rsid w:val="00FF2A44"/>
    <w:rsid w:val="00FF2D80"/>
    <w:rsid w:val="00FF2E84"/>
    <w:rsid w:val="00FF2EDB"/>
    <w:rsid w:val="00FF2FB7"/>
    <w:rsid w:val="00FF3507"/>
    <w:rsid w:val="00FF36F9"/>
    <w:rsid w:val="00FF37CA"/>
    <w:rsid w:val="00FF4129"/>
    <w:rsid w:val="00FF4147"/>
    <w:rsid w:val="00FF478E"/>
    <w:rsid w:val="00FF4842"/>
    <w:rsid w:val="00FF489A"/>
    <w:rsid w:val="00FF4A97"/>
    <w:rsid w:val="00FF4C90"/>
    <w:rsid w:val="00FF4DA6"/>
    <w:rsid w:val="00FF4E1D"/>
    <w:rsid w:val="00FF4EA5"/>
    <w:rsid w:val="00FF4EED"/>
    <w:rsid w:val="00FF52F4"/>
    <w:rsid w:val="00FF54DF"/>
    <w:rsid w:val="00FF5B4D"/>
    <w:rsid w:val="00FF5F30"/>
    <w:rsid w:val="00FF604F"/>
    <w:rsid w:val="00FF61EC"/>
    <w:rsid w:val="00FF6786"/>
    <w:rsid w:val="00FF69EB"/>
    <w:rsid w:val="00FF6D01"/>
    <w:rsid w:val="00FF6D04"/>
    <w:rsid w:val="00FF728F"/>
    <w:rsid w:val="00FF76EB"/>
    <w:rsid w:val="00FF7745"/>
    <w:rsid w:val="00FF799B"/>
    <w:rsid w:val="00FF7CFE"/>
    <w:rsid w:val="00FF7D86"/>
    <w:rsid w:val="00FF7FEE"/>
    <w:rsid w:val="012A7082"/>
    <w:rsid w:val="0143FC8B"/>
    <w:rsid w:val="01472274"/>
    <w:rsid w:val="019BD647"/>
    <w:rsid w:val="01BAC867"/>
    <w:rsid w:val="0254441C"/>
    <w:rsid w:val="02AAE6C7"/>
    <w:rsid w:val="02E816C3"/>
    <w:rsid w:val="032394EB"/>
    <w:rsid w:val="033B2F40"/>
    <w:rsid w:val="041432FB"/>
    <w:rsid w:val="0437B5A4"/>
    <w:rsid w:val="04A12F4E"/>
    <w:rsid w:val="04DBE9EA"/>
    <w:rsid w:val="05182518"/>
    <w:rsid w:val="051D99F9"/>
    <w:rsid w:val="0571CFA5"/>
    <w:rsid w:val="05B612E3"/>
    <w:rsid w:val="060228ED"/>
    <w:rsid w:val="0605216C"/>
    <w:rsid w:val="060E35F2"/>
    <w:rsid w:val="06343C27"/>
    <w:rsid w:val="063EE9F7"/>
    <w:rsid w:val="069F379E"/>
    <w:rsid w:val="0707755F"/>
    <w:rsid w:val="072DC048"/>
    <w:rsid w:val="076CEE75"/>
    <w:rsid w:val="08185FB9"/>
    <w:rsid w:val="082A09EB"/>
    <w:rsid w:val="089BC592"/>
    <w:rsid w:val="09059F9E"/>
    <w:rsid w:val="097CA71B"/>
    <w:rsid w:val="0A084A0B"/>
    <w:rsid w:val="0A0C7AE1"/>
    <w:rsid w:val="0A663D94"/>
    <w:rsid w:val="0A70CD2F"/>
    <w:rsid w:val="0B1BF5E7"/>
    <w:rsid w:val="0B20BC18"/>
    <w:rsid w:val="0CF130DF"/>
    <w:rsid w:val="0CFE1DFD"/>
    <w:rsid w:val="0D4FC7CF"/>
    <w:rsid w:val="0DC4E36E"/>
    <w:rsid w:val="0E5E506F"/>
    <w:rsid w:val="0ECF2B86"/>
    <w:rsid w:val="0EDBF900"/>
    <w:rsid w:val="0F3E647A"/>
    <w:rsid w:val="0F5CF529"/>
    <w:rsid w:val="0FC31246"/>
    <w:rsid w:val="10065AE7"/>
    <w:rsid w:val="1023E0F9"/>
    <w:rsid w:val="10A5C274"/>
    <w:rsid w:val="10E25F85"/>
    <w:rsid w:val="116885D9"/>
    <w:rsid w:val="1272477B"/>
    <w:rsid w:val="12B95C68"/>
    <w:rsid w:val="146BA774"/>
    <w:rsid w:val="14F07869"/>
    <w:rsid w:val="14F3FEF8"/>
    <w:rsid w:val="15107A79"/>
    <w:rsid w:val="15390A23"/>
    <w:rsid w:val="1559BAC6"/>
    <w:rsid w:val="155F715C"/>
    <w:rsid w:val="162998A6"/>
    <w:rsid w:val="1649E289"/>
    <w:rsid w:val="1658C43C"/>
    <w:rsid w:val="16C88B15"/>
    <w:rsid w:val="1762C1FF"/>
    <w:rsid w:val="178B142C"/>
    <w:rsid w:val="17B0A918"/>
    <w:rsid w:val="17FD5F39"/>
    <w:rsid w:val="18657CF4"/>
    <w:rsid w:val="189C1447"/>
    <w:rsid w:val="19890FA6"/>
    <w:rsid w:val="19B44400"/>
    <w:rsid w:val="19B4BA90"/>
    <w:rsid w:val="19C4DC9E"/>
    <w:rsid w:val="19F2311B"/>
    <w:rsid w:val="19F7AA11"/>
    <w:rsid w:val="1A0D3C6A"/>
    <w:rsid w:val="1A2D1BE7"/>
    <w:rsid w:val="1A8A0C43"/>
    <w:rsid w:val="1B0BFFE7"/>
    <w:rsid w:val="1B4DABE9"/>
    <w:rsid w:val="1C845493"/>
    <w:rsid w:val="1D4E7C25"/>
    <w:rsid w:val="1D6033D6"/>
    <w:rsid w:val="1D75D14B"/>
    <w:rsid w:val="1DDBDA0D"/>
    <w:rsid w:val="1DE3AF11"/>
    <w:rsid w:val="1E382E8C"/>
    <w:rsid w:val="1E4C9F2D"/>
    <w:rsid w:val="1E7C3888"/>
    <w:rsid w:val="1E938E64"/>
    <w:rsid w:val="1EAFF635"/>
    <w:rsid w:val="1F3EECBD"/>
    <w:rsid w:val="1F9F7ECE"/>
    <w:rsid w:val="1FB6E350"/>
    <w:rsid w:val="1FC7A660"/>
    <w:rsid w:val="1FF3162D"/>
    <w:rsid w:val="2009EB8A"/>
    <w:rsid w:val="2015FB50"/>
    <w:rsid w:val="20EEC287"/>
    <w:rsid w:val="210F5AF1"/>
    <w:rsid w:val="212CBC64"/>
    <w:rsid w:val="221AB160"/>
    <w:rsid w:val="231C3354"/>
    <w:rsid w:val="238CC620"/>
    <w:rsid w:val="239E94AD"/>
    <w:rsid w:val="244B8CF8"/>
    <w:rsid w:val="24BA0DAC"/>
    <w:rsid w:val="24C0A041"/>
    <w:rsid w:val="24CA5046"/>
    <w:rsid w:val="24F49182"/>
    <w:rsid w:val="254C76E4"/>
    <w:rsid w:val="2655558A"/>
    <w:rsid w:val="26615FE7"/>
    <w:rsid w:val="2678B15D"/>
    <w:rsid w:val="26F636D3"/>
    <w:rsid w:val="26F6F44A"/>
    <w:rsid w:val="27394882"/>
    <w:rsid w:val="273ED10B"/>
    <w:rsid w:val="27D2350D"/>
    <w:rsid w:val="27D90FEA"/>
    <w:rsid w:val="28B27485"/>
    <w:rsid w:val="29365BD7"/>
    <w:rsid w:val="2940B97C"/>
    <w:rsid w:val="29882150"/>
    <w:rsid w:val="29E0E709"/>
    <w:rsid w:val="2AA490C3"/>
    <w:rsid w:val="2AB480AD"/>
    <w:rsid w:val="2B1F1668"/>
    <w:rsid w:val="2B3AE4BC"/>
    <w:rsid w:val="2B8D5B09"/>
    <w:rsid w:val="2C4C1D68"/>
    <w:rsid w:val="2C7C3DFB"/>
    <w:rsid w:val="2C7D55F0"/>
    <w:rsid w:val="2D470254"/>
    <w:rsid w:val="2DECC312"/>
    <w:rsid w:val="2E15BBF6"/>
    <w:rsid w:val="2E4579D6"/>
    <w:rsid w:val="2E925376"/>
    <w:rsid w:val="2ED6399F"/>
    <w:rsid w:val="2EF0545B"/>
    <w:rsid w:val="2FC04138"/>
    <w:rsid w:val="2FC97F8A"/>
    <w:rsid w:val="300EDF22"/>
    <w:rsid w:val="3079EB0D"/>
    <w:rsid w:val="307D714D"/>
    <w:rsid w:val="3093AC95"/>
    <w:rsid w:val="30E8B387"/>
    <w:rsid w:val="31C1265F"/>
    <w:rsid w:val="31D0445E"/>
    <w:rsid w:val="31D53ADC"/>
    <w:rsid w:val="32166FD5"/>
    <w:rsid w:val="321F658F"/>
    <w:rsid w:val="32C8F59A"/>
    <w:rsid w:val="32FFC29C"/>
    <w:rsid w:val="3320F36F"/>
    <w:rsid w:val="3342F1C1"/>
    <w:rsid w:val="33F642EE"/>
    <w:rsid w:val="340D0A3D"/>
    <w:rsid w:val="343A4F58"/>
    <w:rsid w:val="34E7EA92"/>
    <w:rsid w:val="350B1825"/>
    <w:rsid w:val="360CF566"/>
    <w:rsid w:val="363425FC"/>
    <w:rsid w:val="373C25F4"/>
    <w:rsid w:val="373C6128"/>
    <w:rsid w:val="37C1F8E8"/>
    <w:rsid w:val="37F45AA1"/>
    <w:rsid w:val="3805C0E7"/>
    <w:rsid w:val="380A6E0D"/>
    <w:rsid w:val="38168071"/>
    <w:rsid w:val="382A5763"/>
    <w:rsid w:val="392DEDA7"/>
    <w:rsid w:val="393376D2"/>
    <w:rsid w:val="3953BC0B"/>
    <w:rsid w:val="395463D1"/>
    <w:rsid w:val="398863F1"/>
    <w:rsid w:val="39CFC6A0"/>
    <w:rsid w:val="3A20C143"/>
    <w:rsid w:val="3A4C135D"/>
    <w:rsid w:val="3A6967FF"/>
    <w:rsid w:val="3B7C4BE4"/>
    <w:rsid w:val="3BA095AD"/>
    <w:rsid w:val="3C691D21"/>
    <w:rsid w:val="3D74011C"/>
    <w:rsid w:val="3EDC23CB"/>
    <w:rsid w:val="3F596FCB"/>
    <w:rsid w:val="40747928"/>
    <w:rsid w:val="40771079"/>
    <w:rsid w:val="40930EF5"/>
    <w:rsid w:val="409D6759"/>
    <w:rsid w:val="4110CDB4"/>
    <w:rsid w:val="415709C0"/>
    <w:rsid w:val="42691D0F"/>
    <w:rsid w:val="4372D6C2"/>
    <w:rsid w:val="443448FB"/>
    <w:rsid w:val="44505BFC"/>
    <w:rsid w:val="4495A389"/>
    <w:rsid w:val="4497F931"/>
    <w:rsid w:val="449D7FC9"/>
    <w:rsid w:val="450F5A46"/>
    <w:rsid w:val="456C4AA2"/>
    <w:rsid w:val="457E2624"/>
    <w:rsid w:val="4641A0D0"/>
    <w:rsid w:val="46E48021"/>
    <w:rsid w:val="479CD9A0"/>
    <w:rsid w:val="483DA525"/>
    <w:rsid w:val="4849626C"/>
    <w:rsid w:val="485E655B"/>
    <w:rsid w:val="4873567A"/>
    <w:rsid w:val="48F582C0"/>
    <w:rsid w:val="493F58CF"/>
    <w:rsid w:val="495D9BBE"/>
    <w:rsid w:val="49B7B512"/>
    <w:rsid w:val="4A536DF1"/>
    <w:rsid w:val="4AC55787"/>
    <w:rsid w:val="4AE86C22"/>
    <w:rsid w:val="4B3CA27C"/>
    <w:rsid w:val="4C10E78C"/>
    <w:rsid w:val="4C8B405E"/>
    <w:rsid w:val="4CA4C4CD"/>
    <w:rsid w:val="4CA8BA21"/>
    <w:rsid w:val="4D21EA56"/>
    <w:rsid w:val="4DA14906"/>
    <w:rsid w:val="4DBE0408"/>
    <w:rsid w:val="4DC5BF68"/>
    <w:rsid w:val="4DD74500"/>
    <w:rsid w:val="4E6D1AE6"/>
    <w:rsid w:val="4E7A1659"/>
    <w:rsid w:val="4EE3854C"/>
    <w:rsid w:val="4F28A562"/>
    <w:rsid w:val="4F96CAD0"/>
    <w:rsid w:val="4FB68C0E"/>
    <w:rsid w:val="4FD3B017"/>
    <w:rsid w:val="5057B658"/>
    <w:rsid w:val="506EDF9D"/>
    <w:rsid w:val="50F1C25A"/>
    <w:rsid w:val="517C50E5"/>
    <w:rsid w:val="51A107A9"/>
    <w:rsid w:val="521C1C44"/>
    <w:rsid w:val="52A6BEA4"/>
    <w:rsid w:val="53044900"/>
    <w:rsid w:val="53229BC9"/>
    <w:rsid w:val="53B39A2E"/>
    <w:rsid w:val="543D2CC9"/>
    <w:rsid w:val="548ADC32"/>
    <w:rsid w:val="54C17BA2"/>
    <w:rsid w:val="553311EF"/>
    <w:rsid w:val="55ACD1A0"/>
    <w:rsid w:val="5676DE40"/>
    <w:rsid w:val="56AFA43F"/>
    <w:rsid w:val="583BC3B9"/>
    <w:rsid w:val="5843B6B6"/>
    <w:rsid w:val="58963761"/>
    <w:rsid w:val="58CD3D8D"/>
    <w:rsid w:val="59185BFB"/>
    <w:rsid w:val="593F501C"/>
    <w:rsid w:val="5A05D725"/>
    <w:rsid w:val="5A12FCE1"/>
    <w:rsid w:val="5A4BA4D7"/>
    <w:rsid w:val="5ADD90BE"/>
    <w:rsid w:val="5B1E38D7"/>
    <w:rsid w:val="5B9D8C93"/>
    <w:rsid w:val="5CB076C8"/>
    <w:rsid w:val="5CCCD72A"/>
    <w:rsid w:val="5D5832E9"/>
    <w:rsid w:val="5D80A09E"/>
    <w:rsid w:val="5DC1C88E"/>
    <w:rsid w:val="5DF2A876"/>
    <w:rsid w:val="5E905D4B"/>
    <w:rsid w:val="5EACEEBD"/>
    <w:rsid w:val="5EBDDC85"/>
    <w:rsid w:val="5F8C18FC"/>
    <w:rsid w:val="5F91B09F"/>
    <w:rsid w:val="5FF8B6FA"/>
    <w:rsid w:val="600E03FD"/>
    <w:rsid w:val="60FB6B6F"/>
    <w:rsid w:val="6172F8A6"/>
    <w:rsid w:val="6195E231"/>
    <w:rsid w:val="61A2ADC5"/>
    <w:rsid w:val="6238D218"/>
    <w:rsid w:val="628CB478"/>
    <w:rsid w:val="62996794"/>
    <w:rsid w:val="6299877E"/>
    <w:rsid w:val="62AD93BA"/>
    <w:rsid w:val="63555756"/>
    <w:rsid w:val="644E444D"/>
    <w:rsid w:val="6495E4BF"/>
    <w:rsid w:val="65573E26"/>
    <w:rsid w:val="65AD35BA"/>
    <w:rsid w:val="65C2D45A"/>
    <w:rsid w:val="65DEB01E"/>
    <w:rsid w:val="6657D135"/>
    <w:rsid w:val="6689C454"/>
    <w:rsid w:val="66D9E62A"/>
    <w:rsid w:val="66E8E023"/>
    <w:rsid w:val="6728F4B3"/>
    <w:rsid w:val="673BE400"/>
    <w:rsid w:val="6749D51E"/>
    <w:rsid w:val="67B6BAF7"/>
    <w:rsid w:val="680AFA51"/>
    <w:rsid w:val="68E0347C"/>
    <w:rsid w:val="6956685D"/>
    <w:rsid w:val="699B3EBB"/>
    <w:rsid w:val="69A7D5B7"/>
    <w:rsid w:val="69A972E5"/>
    <w:rsid w:val="69DD5406"/>
    <w:rsid w:val="6A2AAF49"/>
    <w:rsid w:val="6B94A513"/>
    <w:rsid w:val="6BAD574D"/>
    <w:rsid w:val="6BDECAA9"/>
    <w:rsid w:val="6C6A109B"/>
    <w:rsid w:val="6CA77350"/>
    <w:rsid w:val="6CD0AAD9"/>
    <w:rsid w:val="6D97B882"/>
    <w:rsid w:val="6E07ACCF"/>
    <w:rsid w:val="6EB5B871"/>
    <w:rsid w:val="6F216C02"/>
    <w:rsid w:val="6FBEE2DD"/>
    <w:rsid w:val="70971A32"/>
    <w:rsid w:val="709A626A"/>
    <w:rsid w:val="70CA14F5"/>
    <w:rsid w:val="716D6D8F"/>
    <w:rsid w:val="72C366AB"/>
    <w:rsid w:val="72EF8238"/>
    <w:rsid w:val="731BA24E"/>
    <w:rsid w:val="733BB6A7"/>
    <w:rsid w:val="734C6CCC"/>
    <w:rsid w:val="73549A9D"/>
    <w:rsid w:val="73876FE3"/>
    <w:rsid w:val="73A850F0"/>
    <w:rsid w:val="73B6CC01"/>
    <w:rsid w:val="73C929CD"/>
    <w:rsid w:val="73DC77C6"/>
    <w:rsid w:val="73E7CF48"/>
    <w:rsid w:val="74DACD4B"/>
    <w:rsid w:val="754D9E96"/>
    <w:rsid w:val="75B5D97D"/>
    <w:rsid w:val="75B99C62"/>
    <w:rsid w:val="75B9CE48"/>
    <w:rsid w:val="75E8CAFC"/>
    <w:rsid w:val="764DA178"/>
    <w:rsid w:val="77558B27"/>
    <w:rsid w:val="7766735B"/>
    <w:rsid w:val="77B642A1"/>
    <w:rsid w:val="78063D85"/>
    <w:rsid w:val="78168F3E"/>
    <w:rsid w:val="78E271BD"/>
    <w:rsid w:val="78E93C4E"/>
    <w:rsid w:val="79B6AA45"/>
    <w:rsid w:val="79E941EA"/>
    <w:rsid w:val="7A3AD54A"/>
    <w:rsid w:val="7A3DE86F"/>
    <w:rsid w:val="7AD6838E"/>
    <w:rsid w:val="7B180F93"/>
    <w:rsid w:val="7B1B6DA9"/>
    <w:rsid w:val="7B349606"/>
    <w:rsid w:val="7BFBA2DB"/>
    <w:rsid w:val="7C63B7C1"/>
    <w:rsid w:val="7C73E7A8"/>
    <w:rsid w:val="7C7878ED"/>
    <w:rsid w:val="7CDEBC17"/>
    <w:rsid w:val="7CF68370"/>
    <w:rsid w:val="7D61AEBC"/>
    <w:rsid w:val="7D98DA3E"/>
    <w:rsid w:val="7DAC400C"/>
    <w:rsid w:val="7DF69FE5"/>
    <w:rsid w:val="7E303FD3"/>
    <w:rsid w:val="7E3EF267"/>
    <w:rsid w:val="7E77EEEF"/>
    <w:rsid w:val="7E784689"/>
    <w:rsid w:val="7E9A54A9"/>
    <w:rsid w:val="7EF214F3"/>
    <w:rsid w:val="7F146304"/>
    <w:rsid w:val="7F47C472"/>
    <w:rsid w:val="7F587D80"/>
    <w:rsid w:val="7FA82C29"/>
    <w:rsid w:val="7FB0FDD1"/>
    <w:rsid w:val="7FBEA55A"/>
    <w:rsid w:val="7FC15486"/>
    <w:rsid w:val="7FDD96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67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37167E"/>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37167E"/>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Bullet"/>
    <w:link w:val="ListParagraphChar"/>
    <w:uiPriority w:val="72"/>
    <w:qFormat/>
    <w:rsid w:val="0037167E"/>
    <w:pPr>
      <w:numPr>
        <w:numId w:val="5"/>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qFormat/>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qFormat/>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72"/>
    <w:qFormat/>
    <w:rsid w:val="0037167E"/>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37167E"/>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37167E"/>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MA caption,!"/>
    <w:basedOn w:val="Normal"/>
    <w:next w:val="Normal"/>
    <w:link w:val="CaptionChar"/>
    <w:uiPriority w:val="1"/>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37167E"/>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37167E"/>
    <w:pPr>
      <w:keepNext/>
    </w:pPr>
    <w:rPr>
      <w:rFonts w:ascii="Arial Narrow" w:eastAsiaTheme="majorEastAsia" w:hAnsi="Arial Narrow"/>
      <w:b/>
      <w:szCs w:val="24"/>
      <w:lang w:val="en-US"/>
    </w:rPr>
  </w:style>
  <w:style w:type="paragraph" w:customStyle="1" w:styleId="2-SectionHeading">
    <w:name w:val="2-Section Heading"/>
    <w:next w:val="3-BodyText"/>
    <w:qFormat/>
    <w:rsid w:val="00B2348C"/>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37167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37167E"/>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7167E"/>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7167E"/>
    <w:rPr>
      <w:rFonts w:ascii="Arial Narrow" w:eastAsiaTheme="majorEastAsia" w:hAnsi="Arial Narrow" w:cstheme="majorBidi"/>
      <w:b/>
      <w:bCs/>
      <w:szCs w:val="24"/>
    </w:rPr>
  </w:style>
  <w:style w:type="paragraph" w:customStyle="1" w:styleId="3-BodyText">
    <w:name w:val="3-Body Text"/>
    <w:link w:val="3-BodyTextChar"/>
    <w:qFormat/>
    <w:rsid w:val="0037167E"/>
    <w:pPr>
      <w:numPr>
        <w:ilvl w:val="1"/>
        <w:numId w:val="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37167E"/>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37167E"/>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37167E"/>
    <w:rPr>
      <w:rFonts w:ascii="Calibri" w:hAnsi="Calibri" w:cs="Arial"/>
      <w:b/>
      <w:sz w:val="24"/>
      <w:szCs w:val="24"/>
    </w:rPr>
  </w:style>
  <w:style w:type="paragraph" w:customStyle="1" w:styleId="TableFigureFooter">
    <w:name w:val="Table/Figure Footer"/>
    <w:basedOn w:val="Normal"/>
    <w:next w:val="3-BodyText"/>
    <w:link w:val="TableFigureFooterChar"/>
    <w:qFormat/>
    <w:rsid w:val="0037167E"/>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37167E"/>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37167E"/>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37167E"/>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37167E"/>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37167E"/>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basedOn w:val="Normal"/>
    <w:link w:val="PBACTableTextChar"/>
    <w:rsid w:val="00917EC5"/>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917EC5"/>
    <w:rPr>
      <w:rFonts w:ascii="Arial Narrow" w:hAnsi="Arial Narrow"/>
      <w:lang w:eastAsia="en-US"/>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Char"/>
    <w:link w:val="Caption"/>
    <w:uiPriority w:val="1"/>
    <w:rsid w:val="00AE783B"/>
    <w:rPr>
      <w:rFonts w:ascii="Arial Narrow" w:hAnsi="Arial Narrow"/>
      <w:b/>
      <w:iCs/>
      <w:color w:val="000000" w:themeColor="text1"/>
      <w:szCs w:val="18"/>
    </w:rPr>
  </w:style>
  <w:style w:type="character" w:customStyle="1" w:styleId="A11">
    <w:name w:val="A11"/>
    <w:uiPriority w:val="99"/>
    <w:rsid w:val="00287B42"/>
    <w:rPr>
      <w:rFonts w:cs="OTNEJMQuadraat"/>
      <w:color w:val="211D1E"/>
      <w:sz w:val="11"/>
      <w:szCs w:val="11"/>
    </w:rPr>
  </w:style>
  <w:style w:type="paragraph" w:styleId="FootnoteText">
    <w:name w:val="footnote text"/>
    <w:basedOn w:val="Normal"/>
    <w:link w:val="FootnoteTextChar"/>
    <w:semiHidden/>
    <w:unhideWhenUsed/>
    <w:rsid w:val="008F1CC1"/>
    <w:rPr>
      <w:sz w:val="20"/>
      <w:szCs w:val="20"/>
    </w:rPr>
  </w:style>
  <w:style w:type="character" w:customStyle="1" w:styleId="FootnoteTextChar">
    <w:name w:val="Footnote Text Char"/>
    <w:basedOn w:val="DefaultParagraphFont"/>
    <w:link w:val="FootnoteText"/>
    <w:semiHidden/>
    <w:rsid w:val="008F1CC1"/>
    <w:rPr>
      <w:rFonts w:ascii="Calibri" w:hAnsi="Calibri"/>
    </w:rPr>
  </w:style>
  <w:style w:type="character" w:styleId="FootnoteReference">
    <w:name w:val="footnote reference"/>
    <w:basedOn w:val="DefaultParagraphFont"/>
    <w:semiHidden/>
    <w:unhideWhenUsed/>
    <w:rsid w:val="008F1CC1"/>
    <w:rPr>
      <w:vertAlign w:val="superscript"/>
    </w:rPr>
  </w:style>
  <w:style w:type="character" w:styleId="Emphasis">
    <w:name w:val="Emphasis"/>
    <w:basedOn w:val="DefaultParagraphFont"/>
    <w:uiPriority w:val="20"/>
    <w:rsid w:val="00A42D3B"/>
    <w:rPr>
      <w:i/>
      <w:iCs/>
    </w:rPr>
  </w:style>
  <w:style w:type="paragraph" w:customStyle="1" w:styleId="BodyContent">
    <w:name w:val="*Body Content"/>
    <w:link w:val="BodyContentChar"/>
    <w:rsid w:val="00F102EB"/>
    <w:pPr>
      <w:spacing w:before="120" w:after="120" w:line="276" w:lineRule="auto"/>
      <w:jc w:val="both"/>
    </w:pPr>
    <w:rPr>
      <w:rFonts w:ascii="Trebuchet MS" w:eastAsiaTheme="minorHAnsi" w:hAnsi="Trebuchet MS" w:cstheme="minorBidi"/>
      <w:color w:val="000000" w:themeColor="text1"/>
      <w:sz w:val="22"/>
      <w:szCs w:val="22"/>
      <w:lang w:val="en-GB" w:eastAsia="en-US"/>
    </w:rPr>
  </w:style>
  <w:style w:type="character" w:customStyle="1" w:styleId="BodyContentChar">
    <w:name w:val="*Body Content Char"/>
    <w:basedOn w:val="DefaultParagraphFont"/>
    <w:link w:val="BodyContent"/>
    <w:rsid w:val="00F102EB"/>
    <w:rPr>
      <w:rFonts w:ascii="Trebuchet MS" w:eastAsiaTheme="minorHAnsi" w:hAnsi="Trebuchet MS" w:cstheme="minorBidi"/>
      <w:color w:val="000000" w:themeColor="text1"/>
      <w:sz w:val="22"/>
      <w:szCs w:val="22"/>
      <w:lang w:val="en-GB" w:eastAsia="en-US"/>
    </w:rPr>
  </w:style>
  <w:style w:type="table" w:styleId="TableGridLight">
    <w:name w:val="Grid Table Light"/>
    <w:basedOn w:val="TableNormal"/>
    <w:uiPriority w:val="40"/>
    <w:rsid w:val="003512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3">
    <w:name w:val="List Number 3"/>
    <w:basedOn w:val="Normal"/>
    <w:uiPriority w:val="99"/>
    <w:unhideWhenUsed/>
    <w:qFormat/>
    <w:rsid w:val="00C1559B"/>
    <w:pPr>
      <w:spacing w:after="120" w:line="204" w:lineRule="auto"/>
      <w:ind w:left="1077" w:hanging="357"/>
      <w:jc w:val="left"/>
    </w:pPr>
    <w:rPr>
      <w:rFonts w:ascii="Verdana" w:eastAsia="Verdana" w:hAnsi="Verdana" w:cs="Verdana"/>
      <w:sz w:val="18"/>
      <w:szCs w:val="18"/>
    </w:rPr>
  </w:style>
  <w:style w:type="character" w:styleId="Mention">
    <w:name w:val="Mention"/>
    <w:basedOn w:val="DefaultParagraphFont"/>
    <w:uiPriority w:val="99"/>
    <w:unhideWhenUsed/>
    <w:rsid w:val="00766549"/>
    <w:rPr>
      <w:color w:val="2B579A"/>
      <w:shd w:val="clear" w:color="auto" w:fill="E1DFDD"/>
    </w:rPr>
  </w:style>
  <w:style w:type="paragraph" w:customStyle="1" w:styleId="3-SubsectionHeading">
    <w:name w:val="3-Subsection Heading"/>
    <w:basedOn w:val="Heading2"/>
    <w:next w:val="Normal"/>
    <w:link w:val="3-SubsectionHeadingChar"/>
    <w:qFormat/>
    <w:rsid w:val="005A06B5"/>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5A06B5"/>
    <w:rPr>
      <w:rFonts w:asciiTheme="minorHAnsi" w:eastAsiaTheme="majorEastAsia" w:hAnsiTheme="minorHAnsi" w:cstheme="majorBidi"/>
      <w:b/>
      <w:i/>
      <w:spacing w:val="5"/>
      <w:kern w:val="28"/>
      <w:sz w:val="28"/>
      <w:szCs w:val="36"/>
      <w:lang w:eastAsia="en-US"/>
    </w:rPr>
  </w:style>
  <w:style w:type="paragraph" w:styleId="NormalWeb">
    <w:name w:val="Normal (Web)"/>
    <w:basedOn w:val="Normal"/>
    <w:uiPriority w:val="99"/>
    <w:semiHidden/>
    <w:unhideWhenUsed/>
    <w:rsid w:val="00C3387B"/>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5759645">
      <w:bodyDiv w:val="1"/>
      <w:marLeft w:val="0"/>
      <w:marRight w:val="0"/>
      <w:marTop w:val="0"/>
      <w:marBottom w:val="0"/>
      <w:divBdr>
        <w:top w:val="none" w:sz="0" w:space="0" w:color="auto"/>
        <w:left w:val="none" w:sz="0" w:space="0" w:color="auto"/>
        <w:bottom w:val="none" w:sz="0" w:space="0" w:color="auto"/>
        <w:right w:val="none" w:sz="0" w:space="0" w:color="auto"/>
      </w:divBdr>
    </w:div>
    <w:div w:id="20853985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8345600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2625367">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4441485">
      <w:bodyDiv w:val="1"/>
      <w:marLeft w:val="0"/>
      <w:marRight w:val="0"/>
      <w:marTop w:val="0"/>
      <w:marBottom w:val="0"/>
      <w:divBdr>
        <w:top w:val="none" w:sz="0" w:space="0" w:color="auto"/>
        <w:left w:val="none" w:sz="0" w:space="0" w:color="auto"/>
        <w:bottom w:val="none" w:sz="0" w:space="0" w:color="auto"/>
        <w:right w:val="none" w:sz="0" w:space="0" w:color="auto"/>
      </w:divBdr>
    </w:div>
    <w:div w:id="581373353">
      <w:bodyDiv w:val="1"/>
      <w:marLeft w:val="0"/>
      <w:marRight w:val="0"/>
      <w:marTop w:val="0"/>
      <w:marBottom w:val="0"/>
      <w:divBdr>
        <w:top w:val="none" w:sz="0" w:space="0" w:color="auto"/>
        <w:left w:val="none" w:sz="0" w:space="0" w:color="auto"/>
        <w:bottom w:val="none" w:sz="0" w:space="0" w:color="auto"/>
        <w:right w:val="none" w:sz="0" w:space="0" w:color="auto"/>
      </w:divBdr>
    </w:div>
    <w:div w:id="60885879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718230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1620723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7424112">
      <w:bodyDiv w:val="1"/>
      <w:marLeft w:val="0"/>
      <w:marRight w:val="0"/>
      <w:marTop w:val="0"/>
      <w:marBottom w:val="0"/>
      <w:divBdr>
        <w:top w:val="none" w:sz="0" w:space="0" w:color="auto"/>
        <w:left w:val="none" w:sz="0" w:space="0" w:color="auto"/>
        <w:bottom w:val="none" w:sz="0" w:space="0" w:color="auto"/>
        <w:right w:val="none" w:sz="0" w:space="0" w:color="auto"/>
      </w:divBdr>
    </w:div>
    <w:div w:id="128106277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9455890">
      <w:bodyDiv w:val="1"/>
      <w:marLeft w:val="0"/>
      <w:marRight w:val="0"/>
      <w:marTop w:val="0"/>
      <w:marBottom w:val="0"/>
      <w:divBdr>
        <w:top w:val="none" w:sz="0" w:space="0" w:color="auto"/>
        <w:left w:val="none" w:sz="0" w:space="0" w:color="auto"/>
        <w:bottom w:val="none" w:sz="0" w:space="0" w:color="auto"/>
        <w:right w:val="none" w:sz="0" w:space="0" w:color="auto"/>
      </w:divBdr>
    </w:div>
    <w:div w:id="1390609490">
      <w:bodyDiv w:val="1"/>
      <w:marLeft w:val="0"/>
      <w:marRight w:val="0"/>
      <w:marTop w:val="0"/>
      <w:marBottom w:val="0"/>
      <w:divBdr>
        <w:top w:val="none" w:sz="0" w:space="0" w:color="auto"/>
        <w:left w:val="none" w:sz="0" w:space="0" w:color="auto"/>
        <w:bottom w:val="none" w:sz="0" w:space="0" w:color="auto"/>
        <w:right w:val="none" w:sz="0" w:space="0" w:color="auto"/>
      </w:divBdr>
    </w:div>
    <w:div w:id="143211964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8697987">
      <w:bodyDiv w:val="1"/>
      <w:marLeft w:val="0"/>
      <w:marRight w:val="0"/>
      <w:marTop w:val="0"/>
      <w:marBottom w:val="0"/>
      <w:divBdr>
        <w:top w:val="none" w:sz="0" w:space="0" w:color="auto"/>
        <w:left w:val="none" w:sz="0" w:space="0" w:color="auto"/>
        <w:bottom w:val="none" w:sz="0" w:space="0" w:color="auto"/>
        <w:right w:val="none" w:sz="0" w:space="0" w:color="auto"/>
      </w:divBdr>
    </w:div>
    <w:div w:id="1713798089">
      <w:bodyDiv w:val="1"/>
      <w:marLeft w:val="0"/>
      <w:marRight w:val="0"/>
      <w:marTop w:val="0"/>
      <w:marBottom w:val="0"/>
      <w:divBdr>
        <w:top w:val="none" w:sz="0" w:space="0" w:color="auto"/>
        <w:left w:val="none" w:sz="0" w:space="0" w:color="auto"/>
        <w:bottom w:val="none" w:sz="0" w:space="0" w:color="auto"/>
        <w:right w:val="none" w:sz="0" w:space="0" w:color="auto"/>
      </w:divBdr>
    </w:div>
    <w:div w:id="1723286726">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13714535">
      <w:bodyDiv w:val="1"/>
      <w:marLeft w:val="0"/>
      <w:marRight w:val="0"/>
      <w:marTop w:val="0"/>
      <w:marBottom w:val="0"/>
      <w:divBdr>
        <w:top w:val="none" w:sz="0" w:space="0" w:color="auto"/>
        <w:left w:val="none" w:sz="0" w:space="0" w:color="auto"/>
        <w:bottom w:val="none" w:sz="0" w:space="0" w:color="auto"/>
        <w:right w:val="none" w:sz="0" w:space="0" w:color="auto"/>
      </w:divBdr>
    </w:div>
    <w:div w:id="185456271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5306097">
      <w:bodyDiv w:val="1"/>
      <w:marLeft w:val="0"/>
      <w:marRight w:val="0"/>
      <w:marTop w:val="0"/>
      <w:marBottom w:val="0"/>
      <w:divBdr>
        <w:top w:val="none" w:sz="0" w:space="0" w:color="auto"/>
        <w:left w:val="none" w:sz="0" w:space="0" w:color="auto"/>
        <w:bottom w:val="none" w:sz="0" w:space="0" w:color="auto"/>
        <w:right w:val="none" w:sz="0" w:space="0" w:color="auto"/>
      </w:divBdr>
    </w:div>
    <w:div w:id="1965498001">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431544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54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hw.gov.au/getmedia/2bea39d6-4cb9-4fa7-815d-3bb56a795bb5/CDiA-2024-Book-1a-Cancer-incidence-age-standardised-rates-5-year-age-groups.xls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502B-C81E-4C0C-8AD0-59DFF2209D19}">
  <ds:schemaRefs>
    <ds:schemaRef ds:uri="http://schemas.microsoft.com/sharepoint/v3/contenttype/forms"/>
  </ds:schemaRefs>
</ds:datastoreItem>
</file>

<file path=customXml/itemProps2.xml><?xml version="1.0" encoding="utf-8"?>
<ds:datastoreItem xmlns:ds="http://schemas.openxmlformats.org/officeDocument/2006/customXml" ds:itemID="{D44DA22D-50C1-4B06-BD6E-B170FD51CB88}"/>
</file>

<file path=customXml/itemProps3.xml><?xml version="1.0" encoding="utf-8"?>
<ds:datastoreItem xmlns:ds="http://schemas.openxmlformats.org/officeDocument/2006/customXml" ds:itemID="{805BF7C2-8D23-4961-924A-A4EF107442B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12420</Words>
  <Characters>68000</Characters>
  <Application>Microsoft Office Word</Application>
  <DocSecurity>0</DocSecurity>
  <Lines>2120</Lines>
  <Paragraphs>1149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79665</CharactersWithSpaces>
  <SharedDoc>false</SharedDoc>
  <HLinks>
    <vt:vector size="24" baseType="variant">
      <vt:variant>
        <vt:i4>2555956</vt:i4>
      </vt:variant>
      <vt:variant>
        <vt:i4>60</vt:i4>
      </vt:variant>
      <vt:variant>
        <vt:i4>0</vt:i4>
      </vt:variant>
      <vt:variant>
        <vt:i4>5</vt:i4>
      </vt:variant>
      <vt:variant>
        <vt:lpwstr>https://www.aihw.gov.au/getmedia/2bea39d6-4cb9-4fa7-815d-3bb56a795bb5/CDiA-2024-Book-1a-Cancer-incidence-age-standardised-rates-5-year-age-groups.xlsx</vt:lpwstr>
      </vt:variant>
      <vt:variant>
        <vt:lpwstr/>
      </vt:variant>
      <vt:variant>
        <vt:i4>8126591</vt:i4>
      </vt:variant>
      <vt:variant>
        <vt:i4>6</vt:i4>
      </vt:variant>
      <vt:variant>
        <vt:i4>0</vt:i4>
      </vt:variant>
      <vt:variant>
        <vt:i4>5</vt:i4>
      </vt:variant>
      <vt:variant>
        <vt:lpwstr>https://www.pbs.gov.au/industry/listing/elements/pbac-meetings/psd/2021-03/files/nivolumab-plus-ipilimumab-psd-mar-2021.pdf</vt:lpwstr>
      </vt:variant>
      <vt:variant>
        <vt:lpwstr/>
      </vt:variant>
      <vt:variant>
        <vt:i4>6488121</vt:i4>
      </vt:variant>
      <vt:variant>
        <vt:i4>3</vt:i4>
      </vt:variant>
      <vt:variant>
        <vt:i4>0</vt:i4>
      </vt:variant>
      <vt:variant>
        <vt:i4>5</vt:i4>
      </vt:variant>
      <vt:variant>
        <vt:lpwstr>https://www.oncopedia.wiki/contributions/history-of-rare-cancers</vt:lpwstr>
      </vt:variant>
      <vt:variant>
        <vt:lpwstr>:~:text=Amongst%20rare%20cancers%2C%20some%20are,than%200.2%20per%20100.000%2Fyear</vt:lpwstr>
      </vt:variant>
      <vt:variant>
        <vt:i4>5832776</vt:i4>
      </vt:variant>
      <vt:variant>
        <vt:i4>0</vt:i4>
      </vt:variant>
      <vt:variant>
        <vt:i4>0</vt:i4>
      </vt:variant>
      <vt:variant>
        <vt:i4>5</vt:i4>
      </vt:variant>
      <vt:variant>
        <vt:lpwstr>https://www.canceraustralia.gov.au/news/rare-and-less-common-cancers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2025-10-15T12:33:00Z</dcterms:created>
  <dcterms:modified xsi:type="dcterms:W3CDTF">2025-10-28T00:48:00Z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vt:lpwstr>
  </property>
  <property fmtid="{D5CDD505-2E9C-101B-9397-08002B2CF9AE}" pid="7" name="MSIP_Label_7cd3e8b9-ffed-43a8-b7f4-cc2fa0382d36_ActionId">
    <vt:lpwstr>9e3756da-6a55-4c8d-9be8-c21c63ad12d0</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ClassificationContentMarkingHeaderFontProps">
    <vt:lpwstr>#ff0000,12,Calibri</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35be063,1d884a03,213f33de</vt:lpwstr>
  </property>
  <property fmtid="{D5CDD505-2E9C-101B-9397-08002B2CF9AE}" pid="15" name="MSIP_Label_7cd3e8b9-ffed-43a8-b7f4-cc2fa0382d36_Enabled">
    <vt:lpwstr>true</vt:lpwstr>
  </property>
  <property fmtid="{D5CDD505-2E9C-101B-9397-08002B2CF9AE}" pid="16" name="ClassificationContentMarkingHeaderShapeIds">
    <vt:lpwstr>e19ee1c,cacad86,6b3bcee1</vt:lpwstr>
  </property>
  <property fmtid="{D5CDD505-2E9C-101B-9397-08002B2CF9AE}" pid="17" name="ClassificationContentMarkingFooterFontProps">
    <vt:lpwstr>#ff0000,12,Calibri</vt:lpwstr>
  </property>
  <property fmtid="{D5CDD505-2E9C-101B-9397-08002B2CF9AE}" pid="18" name="MSIP_Label_7cd3e8b9-ffed-43a8-b7f4-cc2fa0382d36_SetDate">
    <vt:lpwstr>2025-09-15T02:54:23Z</vt:lpwstr>
  </property>
</Properties>
</file>