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98FA" w14:textId="44E12515" w:rsidR="00FC676C" w:rsidRPr="00BD2844" w:rsidRDefault="00CF5E59" w:rsidP="00A55DC9">
      <w:pPr>
        <w:pStyle w:val="1-MainHeading"/>
        <w:spacing w:before="0" w:after="0"/>
      </w:pPr>
      <w:bookmarkStart w:id="0" w:name="_Toc107927616"/>
      <w:bookmarkStart w:id="1" w:name="_Toc195866316"/>
      <w:bookmarkStart w:id="2" w:name="_Toc198716648"/>
      <w:r w:rsidRPr="00BD2844">
        <w:t>6.05</w:t>
      </w:r>
      <w:r w:rsidR="00FC676C" w:rsidRPr="00BD2844">
        <w:tab/>
      </w:r>
      <w:bookmarkEnd w:id="0"/>
      <w:r w:rsidR="00FC676C" w:rsidRPr="00BD2844">
        <w:t>NIVOLUMAB</w:t>
      </w:r>
      <w:bookmarkStart w:id="3" w:name="_Toc195866317"/>
      <w:bookmarkEnd w:id="1"/>
      <w:r w:rsidR="00A55DC9" w:rsidRPr="00BD2844">
        <w:br/>
      </w:r>
      <w:r w:rsidR="00FC676C" w:rsidRPr="00BD2844">
        <w:t>Injection concentrate for I.V. infusion 40 mg in 4 mL</w:t>
      </w:r>
      <w:bookmarkStart w:id="4" w:name="_Toc195866318"/>
      <w:bookmarkEnd w:id="3"/>
      <w:r w:rsidR="00A55DC9" w:rsidRPr="00BD2844">
        <w:br/>
      </w:r>
      <w:r w:rsidR="00FC676C" w:rsidRPr="00BD2844">
        <w:t>Injection concentrate for I.V. infusion 100 mg in 10 mL</w:t>
      </w:r>
      <w:bookmarkStart w:id="5" w:name="_Toc195866319"/>
      <w:bookmarkEnd w:id="4"/>
      <w:r w:rsidR="00A55DC9" w:rsidRPr="00BD2844">
        <w:br/>
      </w:r>
      <w:r w:rsidR="00FC676C" w:rsidRPr="00BD2844">
        <w:t>Opdivo®</w:t>
      </w:r>
      <w:bookmarkStart w:id="6" w:name="_Toc195866320"/>
      <w:bookmarkEnd w:id="5"/>
      <w:r w:rsidR="00A55DC9" w:rsidRPr="00BD2844">
        <w:br/>
      </w:r>
      <w:r w:rsidR="00FC676C" w:rsidRPr="00BD2844">
        <w:t>IPILIMUMAB</w:t>
      </w:r>
      <w:bookmarkStart w:id="7" w:name="_Toc195866321"/>
      <w:bookmarkEnd w:id="6"/>
      <w:r w:rsidR="00A55DC9" w:rsidRPr="00BD2844">
        <w:br/>
      </w:r>
      <w:r w:rsidR="00FC676C" w:rsidRPr="00BD2844">
        <w:t>Injection concentrate for I.V. infusion 50 mg in 10 mL</w:t>
      </w:r>
      <w:bookmarkStart w:id="8" w:name="_Toc195866322"/>
      <w:bookmarkEnd w:id="7"/>
      <w:r w:rsidR="00A55DC9" w:rsidRPr="00BD2844">
        <w:br/>
      </w:r>
      <w:r w:rsidR="00FC676C" w:rsidRPr="00BD2844">
        <w:t>Yervoy®</w:t>
      </w:r>
      <w:bookmarkStart w:id="9" w:name="_Toc195866323"/>
      <w:bookmarkEnd w:id="8"/>
      <w:r w:rsidR="00A55DC9" w:rsidRPr="00BD2844">
        <w:br/>
      </w:r>
      <w:r w:rsidR="00FC676C" w:rsidRPr="00BD2844">
        <w:t>Bristol-Myers Squibb</w:t>
      </w:r>
      <w:bookmarkEnd w:id="9"/>
      <w:r w:rsidR="006308A3" w:rsidRPr="00BD2844">
        <w:t xml:space="preserve"> Australia Pty Ltd</w:t>
      </w:r>
      <w:bookmarkEnd w:id="2"/>
    </w:p>
    <w:p w14:paraId="32D266A1" w14:textId="77777777" w:rsidR="00FC676C" w:rsidRPr="00BD2844" w:rsidRDefault="00FC676C" w:rsidP="00FC676C">
      <w:pPr>
        <w:pStyle w:val="2-SectionHeading"/>
      </w:pPr>
      <w:bookmarkStart w:id="10" w:name="_Toc195866325"/>
      <w:bookmarkStart w:id="11" w:name="_Toc198716650"/>
      <w:r w:rsidRPr="00BD2844">
        <w:t>Purpose of submission</w:t>
      </w:r>
      <w:bookmarkEnd w:id="10"/>
      <w:bookmarkEnd w:id="11"/>
    </w:p>
    <w:p w14:paraId="4CB808B4" w14:textId="64E000D0" w:rsidR="00FC676C" w:rsidRPr="00BD2844" w:rsidRDefault="00FC676C" w:rsidP="00FC676C">
      <w:pPr>
        <w:pStyle w:val="3-BodyText"/>
      </w:pPr>
      <w:r w:rsidRPr="00BD2844">
        <w:t xml:space="preserve">The Category 2 submission requested a Section 100 (Efficient Funding of Chemotherapy program), Authority Required (Streamlined) Pharmaceutical Benefits Scheme (PBS) listing for nivolumab in combination with ipilimumab (NIVO+IPI) for the first-line treatment of patients with advanced (unresectable) Barcelona Clinic Liver Cancer (BCLC) Stage A, Stage B or Stage C hepatocellular carcinoma (HCC). </w:t>
      </w:r>
    </w:p>
    <w:p w14:paraId="4B32AF8A" w14:textId="3770BCE8" w:rsidR="00FC676C" w:rsidRPr="00BD2844" w:rsidRDefault="00FC676C" w:rsidP="00FC676C">
      <w:pPr>
        <w:pStyle w:val="3-BodyText"/>
        <w:widowControl w:val="0"/>
        <w:autoSpaceDE w:val="0"/>
        <w:autoSpaceDN w:val="0"/>
      </w:pPr>
      <w:r w:rsidRPr="00BD2844">
        <w:t xml:space="preserve">Listing was requested </w:t>
      </w:r>
      <w:proofErr w:type="gramStart"/>
      <w:r w:rsidRPr="00BD2844">
        <w:t>on the basis of</w:t>
      </w:r>
      <w:proofErr w:type="gramEnd"/>
      <w:r w:rsidRPr="00BD2844">
        <w:t xml:space="preserve"> a cost-minimisation approach (CMA) using an unmatched, unadjusted anchored indirect treatment comparison (ITC) versus atezolizumab plus bevacizumab (ATEZO+BEV) as the primary comparator. </w:t>
      </w:r>
      <w:r w:rsidR="00AB442B">
        <w:t xml:space="preserve">The </w:t>
      </w:r>
      <w:r w:rsidR="00202330" w:rsidRPr="00BD2844">
        <w:t xml:space="preserve">Single </w:t>
      </w:r>
      <w:r w:rsidR="00170C24" w:rsidRPr="00BD2844">
        <w:t>Tremelimumab Regular Interval Durvalumab</w:t>
      </w:r>
      <w:r w:rsidRPr="00BD2844">
        <w:t xml:space="preserve"> (STRIDE) </w:t>
      </w:r>
      <w:r w:rsidR="00AB442B">
        <w:t>treatment regimen</w:t>
      </w:r>
      <w:r w:rsidR="00144041">
        <w:t xml:space="preserve"> </w:t>
      </w:r>
      <w:r w:rsidRPr="00BD2844">
        <w:t xml:space="preserve">was identified as a potential near market comparator; a secondary ITC comparing NIVO+IPI with STRIDE was also included in the submission. Key components of the submission are summarised in </w:t>
      </w:r>
      <w:r w:rsidRPr="00BD2844">
        <w:fldChar w:fldCharType="begin"/>
      </w:r>
      <w:r w:rsidRPr="00BD2844">
        <w:instrText xml:space="preserve"> REF _Ref195515512 \h </w:instrText>
      </w:r>
      <w:r w:rsidRPr="00BD2844">
        <w:fldChar w:fldCharType="separate"/>
      </w:r>
      <w:r w:rsidR="008C7D22" w:rsidRPr="00BD2844">
        <w:t xml:space="preserve">Table </w:t>
      </w:r>
      <w:r w:rsidR="008C7D22">
        <w:rPr>
          <w:noProof/>
        </w:rPr>
        <w:t>1</w:t>
      </w:r>
      <w:r w:rsidRPr="00BD2844">
        <w:fldChar w:fldCharType="end"/>
      </w:r>
      <w:r w:rsidRPr="00BD2844">
        <w:t>.</w:t>
      </w:r>
    </w:p>
    <w:p w14:paraId="72852C47" w14:textId="0E7F70DB" w:rsidR="00FC676C" w:rsidRPr="00BD2844" w:rsidRDefault="00FC676C" w:rsidP="00FC676C">
      <w:pPr>
        <w:pStyle w:val="Caption"/>
      </w:pPr>
      <w:bookmarkStart w:id="12" w:name="_Ref195515512"/>
      <w:r w:rsidRPr="00BD2844">
        <w:t xml:space="preserve">Table </w:t>
      </w:r>
      <w:r w:rsidR="002878AB">
        <w:fldChar w:fldCharType="begin"/>
      </w:r>
      <w:r w:rsidR="002878AB">
        <w:instrText xml:space="preserve"> SEQ Table \* ARABIC </w:instrText>
      </w:r>
      <w:r w:rsidR="002878AB">
        <w:fldChar w:fldCharType="separate"/>
      </w:r>
      <w:r w:rsidR="008C7D22">
        <w:rPr>
          <w:noProof/>
        </w:rPr>
        <w:t>1</w:t>
      </w:r>
      <w:r w:rsidR="002878AB">
        <w:fldChar w:fldCharType="end"/>
      </w:r>
      <w:bookmarkEnd w:id="12"/>
      <w:r w:rsidRPr="00BD2844">
        <w:t>: Key components of the clinical issue addressed by the submission</w:t>
      </w:r>
    </w:p>
    <w:tbl>
      <w:tblPr>
        <w:tblStyle w:val="TableGrid"/>
        <w:tblW w:w="0" w:type="auto"/>
        <w:tblLook w:val="04A0" w:firstRow="1" w:lastRow="0" w:firstColumn="1" w:lastColumn="0" w:noHBand="0" w:noVBand="1"/>
        <w:tblCaption w:val="Table 1: Key components of the clinical issue addressed by the submission"/>
      </w:tblPr>
      <w:tblGrid>
        <w:gridCol w:w="1388"/>
        <w:gridCol w:w="7629"/>
      </w:tblGrid>
      <w:tr w:rsidR="00FC676C" w:rsidRPr="00BD2844" w14:paraId="70F3893F" w14:textId="77777777">
        <w:tc>
          <w:tcPr>
            <w:tcW w:w="1388" w:type="dxa"/>
          </w:tcPr>
          <w:p w14:paraId="7A009640" w14:textId="77777777" w:rsidR="00FC676C" w:rsidRPr="00BD2844" w:rsidRDefault="00FC676C">
            <w:pPr>
              <w:pStyle w:val="Tabletext"/>
              <w:keepNext/>
              <w:keepLines/>
              <w:rPr>
                <w:b/>
              </w:rPr>
            </w:pPr>
            <w:r w:rsidRPr="00BD2844">
              <w:rPr>
                <w:b/>
              </w:rPr>
              <w:t>Component</w:t>
            </w:r>
          </w:p>
        </w:tc>
        <w:tc>
          <w:tcPr>
            <w:tcW w:w="7629" w:type="dxa"/>
          </w:tcPr>
          <w:p w14:paraId="03911C33" w14:textId="77777777" w:rsidR="00FC676C" w:rsidRPr="00BD2844" w:rsidRDefault="00FC676C">
            <w:pPr>
              <w:pStyle w:val="Tabletext"/>
              <w:keepNext/>
              <w:keepLines/>
              <w:rPr>
                <w:b/>
              </w:rPr>
            </w:pPr>
            <w:r w:rsidRPr="00BD2844">
              <w:rPr>
                <w:b/>
              </w:rPr>
              <w:t>Description</w:t>
            </w:r>
          </w:p>
        </w:tc>
      </w:tr>
      <w:tr w:rsidR="00FC676C" w:rsidRPr="00BD2844" w14:paraId="09C085D1" w14:textId="77777777">
        <w:tc>
          <w:tcPr>
            <w:tcW w:w="1388" w:type="dxa"/>
          </w:tcPr>
          <w:p w14:paraId="49E522FB" w14:textId="77777777" w:rsidR="00FC676C" w:rsidRPr="00BD2844" w:rsidRDefault="00FC676C">
            <w:pPr>
              <w:pStyle w:val="Tabletext"/>
              <w:keepNext/>
              <w:keepLines/>
            </w:pPr>
            <w:r w:rsidRPr="00BD2844">
              <w:t>Population</w:t>
            </w:r>
          </w:p>
        </w:tc>
        <w:tc>
          <w:tcPr>
            <w:tcW w:w="7629" w:type="dxa"/>
          </w:tcPr>
          <w:p w14:paraId="767BE301" w14:textId="77777777" w:rsidR="00FC676C" w:rsidRPr="00BD2844" w:rsidRDefault="00FC676C">
            <w:pPr>
              <w:pStyle w:val="Tabletext"/>
              <w:keepNext/>
              <w:keepLines/>
            </w:pPr>
            <w:r w:rsidRPr="00BD2844">
              <w:t>Patients with advanced (unresectable) BCLC stage A, B or C HCC who have not received prior systemic treatment</w:t>
            </w:r>
          </w:p>
        </w:tc>
      </w:tr>
      <w:tr w:rsidR="00FC676C" w:rsidRPr="00BD2844" w14:paraId="739A1AEF" w14:textId="77777777">
        <w:tc>
          <w:tcPr>
            <w:tcW w:w="1388" w:type="dxa"/>
          </w:tcPr>
          <w:p w14:paraId="39DA5E7F" w14:textId="77777777" w:rsidR="00FC676C" w:rsidRPr="00BD2844" w:rsidRDefault="00FC676C">
            <w:pPr>
              <w:pStyle w:val="Tabletext"/>
              <w:keepNext/>
              <w:keepLines/>
            </w:pPr>
            <w:r w:rsidRPr="00BD2844">
              <w:t>Intervention</w:t>
            </w:r>
          </w:p>
        </w:tc>
        <w:tc>
          <w:tcPr>
            <w:tcW w:w="7629" w:type="dxa"/>
          </w:tcPr>
          <w:p w14:paraId="0967F120" w14:textId="77777777" w:rsidR="00FC676C" w:rsidRPr="00BD2844" w:rsidRDefault="00FC676C">
            <w:pPr>
              <w:pStyle w:val="Tabletext"/>
              <w:keepNext/>
              <w:keepLines/>
            </w:pPr>
            <w:r w:rsidRPr="00BD2844">
              <w:t xml:space="preserve">Nivolumab plus ipilimumab (NIVO+IPI) </w:t>
            </w:r>
          </w:p>
        </w:tc>
      </w:tr>
      <w:tr w:rsidR="00FC676C" w:rsidRPr="00BD2844" w14:paraId="1CA018DC" w14:textId="77777777">
        <w:tc>
          <w:tcPr>
            <w:tcW w:w="1388" w:type="dxa"/>
          </w:tcPr>
          <w:p w14:paraId="7A083982" w14:textId="77777777" w:rsidR="00FC676C" w:rsidRPr="00BD2844" w:rsidRDefault="00FC676C">
            <w:pPr>
              <w:pStyle w:val="Tabletext"/>
              <w:keepNext/>
              <w:keepLines/>
            </w:pPr>
            <w:r w:rsidRPr="00BD2844">
              <w:t>Comparators</w:t>
            </w:r>
          </w:p>
        </w:tc>
        <w:tc>
          <w:tcPr>
            <w:tcW w:w="7629" w:type="dxa"/>
          </w:tcPr>
          <w:p w14:paraId="289325A4" w14:textId="77777777" w:rsidR="00FC676C" w:rsidRPr="00BD2844" w:rsidRDefault="00FC676C">
            <w:pPr>
              <w:pStyle w:val="Tabletext"/>
              <w:keepNext/>
              <w:keepLines/>
            </w:pPr>
            <w:r w:rsidRPr="00BD2844">
              <w:t>Atezolizumab plus bevacizumab (ATEZO+BEV)</w:t>
            </w:r>
          </w:p>
          <w:p w14:paraId="3017D055" w14:textId="77777777" w:rsidR="00FC676C" w:rsidRPr="00BD2844" w:rsidRDefault="00FC676C">
            <w:pPr>
              <w:pStyle w:val="Tabletext"/>
              <w:keepNext/>
              <w:keepLines/>
            </w:pPr>
            <w:r w:rsidRPr="00BD2844">
              <w:t xml:space="preserve">Durvalumab plus </w:t>
            </w:r>
            <w:proofErr w:type="spellStart"/>
            <w:r w:rsidRPr="00BD2844">
              <w:t>tremelimumab</w:t>
            </w:r>
            <w:proofErr w:type="spellEnd"/>
            <w:r w:rsidRPr="00BD2844">
              <w:t xml:space="preserve"> (STRIDE) </w:t>
            </w:r>
          </w:p>
        </w:tc>
      </w:tr>
      <w:tr w:rsidR="00FC676C" w:rsidRPr="00BD2844" w14:paraId="2B0FC7AF" w14:textId="77777777">
        <w:tc>
          <w:tcPr>
            <w:tcW w:w="1388" w:type="dxa"/>
          </w:tcPr>
          <w:p w14:paraId="44E66A71" w14:textId="77777777" w:rsidR="00FC676C" w:rsidRPr="00BD2844" w:rsidRDefault="00FC676C">
            <w:pPr>
              <w:pStyle w:val="Tabletext"/>
              <w:keepNext/>
              <w:keepLines/>
            </w:pPr>
            <w:r w:rsidRPr="00BD2844">
              <w:t>Outcomes</w:t>
            </w:r>
          </w:p>
        </w:tc>
        <w:tc>
          <w:tcPr>
            <w:tcW w:w="7629" w:type="dxa"/>
          </w:tcPr>
          <w:p w14:paraId="568E4592" w14:textId="77777777" w:rsidR="00FC676C" w:rsidRPr="00BD2844" w:rsidRDefault="00FC676C">
            <w:pPr>
              <w:pStyle w:val="Tabletext"/>
              <w:keepNext/>
              <w:keepLines/>
            </w:pPr>
            <w:r w:rsidRPr="00BD2844">
              <w:t xml:space="preserve">Overall survival; progression free survival; objective response rate, duration of response. </w:t>
            </w:r>
          </w:p>
        </w:tc>
      </w:tr>
      <w:tr w:rsidR="00FC676C" w:rsidRPr="00BD2844" w14:paraId="34B22BBA" w14:textId="77777777">
        <w:tc>
          <w:tcPr>
            <w:tcW w:w="1388" w:type="dxa"/>
          </w:tcPr>
          <w:p w14:paraId="176C4FA8" w14:textId="77777777" w:rsidR="00FC676C" w:rsidRPr="00BD2844" w:rsidRDefault="00FC676C">
            <w:pPr>
              <w:pStyle w:val="Tabletext"/>
              <w:keepNext/>
              <w:keepLines/>
            </w:pPr>
            <w:r w:rsidRPr="00BD2844">
              <w:t>Clinical claim</w:t>
            </w:r>
          </w:p>
        </w:tc>
        <w:tc>
          <w:tcPr>
            <w:tcW w:w="7629" w:type="dxa"/>
          </w:tcPr>
          <w:p w14:paraId="313893A8" w14:textId="77777777" w:rsidR="00FC676C" w:rsidRPr="00BD2844" w:rsidRDefault="00FC676C">
            <w:pPr>
              <w:pStyle w:val="Tabletext"/>
              <w:keepNext/>
              <w:keepLines/>
            </w:pPr>
            <w:r w:rsidRPr="00BD2844">
              <w:t>NIVO+IPI has non-inferior efficacy, and non-inferior but different safety compared to ATEZO+BEV</w:t>
            </w:r>
          </w:p>
          <w:p w14:paraId="628573A3" w14:textId="77777777" w:rsidR="00FC676C" w:rsidRPr="00BD2844" w:rsidRDefault="00FC676C">
            <w:pPr>
              <w:pStyle w:val="Tabletext"/>
              <w:keepNext/>
              <w:keepLines/>
            </w:pPr>
            <w:r w:rsidRPr="00BD2844">
              <w:t>NIVO+IPI has non-inferior efficacy, and non-inferior but different safety compared to STRIDE</w:t>
            </w:r>
          </w:p>
        </w:tc>
      </w:tr>
    </w:tbl>
    <w:p w14:paraId="32444D8C" w14:textId="77777777" w:rsidR="00FC676C" w:rsidRPr="00BD2844" w:rsidRDefault="00FC676C" w:rsidP="00FC676C">
      <w:pPr>
        <w:pStyle w:val="TableFigureFooter"/>
      </w:pPr>
      <w:r w:rsidRPr="00BD2844">
        <w:t>Source: Table 1, p16 of the submission.</w:t>
      </w:r>
      <w:r w:rsidRPr="00BD2844">
        <w:br/>
        <w:t>ATEZO+BEV = atezolizumab plus bevacizumab; BCLC = Barcelona Clinic Liver Cancer; HCC = hepatocellular carcinoma; NIVO+IPI = nivolumab plus ipilimumab; STRIDE = Single Tremelimumab Regular Interval Durvalumab.</w:t>
      </w:r>
    </w:p>
    <w:p w14:paraId="015FB893" w14:textId="77777777" w:rsidR="00FC676C" w:rsidRPr="00BD2844" w:rsidRDefault="00FC676C" w:rsidP="00FC676C">
      <w:pPr>
        <w:pStyle w:val="2-SectionHeading"/>
      </w:pPr>
      <w:bookmarkStart w:id="13" w:name="_Toc195866326"/>
      <w:bookmarkStart w:id="14" w:name="_Toc198716651"/>
      <w:r w:rsidRPr="00BD2844">
        <w:t>Background</w:t>
      </w:r>
      <w:bookmarkEnd w:id="13"/>
      <w:bookmarkEnd w:id="14"/>
    </w:p>
    <w:p w14:paraId="5038822B" w14:textId="77777777" w:rsidR="00FC676C" w:rsidRPr="00BD2844" w:rsidRDefault="00FC676C" w:rsidP="00FC676C">
      <w:pPr>
        <w:pStyle w:val="4-SubsectionHeading"/>
      </w:pPr>
      <w:bookmarkStart w:id="15" w:name="_Toc22897638"/>
      <w:bookmarkStart w:id="16" w:name="_Toc195866327"/>
      <w:bookmarkStart w:id="17" w:name="_Toc198716652"/>
      <w:r w:rsidRPr="00BD2844">
        <w:t>Registration status</w:t>
      </w:r>
      <w:bookmarkEnd w:id="15"/>
      <w:bookmarkEnd w:id="16"/>
      <w:bookmarkEnd w:id="17"/>
    </w:p>
    <w:p w14:paraId="22E69041" w14:textId="6A4062F0" w:rsidR="00FC676C" w:rsidRPr="00AC20B4" w:rsidRDefault="005D1DAD" w:rsidP="00FC676C">
      <w:pPr>
        <w:pStyle w:val="3-BodyText"/>
      </w:pPr>
      <w:r w:rsidRPr="00F91542">
        <w:rPr>
          <w:rFonts w:cstheme="minorHAnsi"/>
          <w:b/>
          <w:bCs/>
        </w:rPr>
        <w:t>TGA status at time of PBAC consideration</w:t>
      </w:r>
      <w:r>
        <w:rPr>
          <w:rFonts w:cstheme="minorHAnsi"/>
          <w:b/>
          <w:bCs/>
        </w:rPr>
        <w:t xml:space="preserve">: </w:t>
      </w:r>
      <w:r w:rsidRPr="005D1DAD">
        <w:rPr>
          <w:rFonts w:cstheme="minorHAnsi"/>
        </w:rPr>
        <w:t>Not registered.</w:t>
      </w:r>
      <w:r w:rsidRPr="00BD2844">
        <w:t xml:space="preserve"> </w:t>
      </w:r>
      <w:r w:rsidR="00FC676C" w:rsidRPr="00BD2844">
        <w:t xml:space="preserve">The submission for NIVO+IPI for unresectable HCC was made under the Therapeutic Goods </w:t>
      </w:r>
      <w:r w:rsidR="00FC676C" w:rsidRPr="00BD2844">
        <w:lastRenderedPageBreak/>
        <w:t>Administration (TGA)/ Pharmaceutical Benefits Advisory Committee (PBAC) Parallel Process</w:t>
      </w:r>
      <w:r w:rsidR="00FC676C" w:rsidRPr="00AC20B4">
        <w:t xml:space="preserve">. </w:t>
      </w:r>
      <w:r w:rsidR="00461E48" w:rsidRPr="00AC20B4">
        <w:t>A</w:t>
      </w:r>
      <w:r w:rsidR="00B50934" w:rsidRPr="00AC20B4">
        <w:t xml:space="preserve"> </w:t>
      </w:r>
      <w:r w:rsidR="001E703F" w:rsidRPr="00AC20B4">
        <w:t xml:space="preserve">TGA </w:t>
      </w:r>
      <w:r w:rsidR="00FC676C" w:rsidRPr="00AC20B4">
        <w:t xml:space="preserve">Delegate’s overview </w:t>
      </w:r>
      <w:r w:rsidR="001E703F" w:rsidRPr="00AC20B4">
        <w:t xml:space="preserve">was provided </w:t>
      </w:r>
      <w:r w:rsidR="00B50934" w:rsidRPr="00AC20B4">
        <w:t>on 17 June 2025</w:t>
      </w:r>
      <w:r w:rsidR="00C73510" w:rsidRPr="00AC20B4">
        <w:t xml:space="preserve">. The Delegate noted there were no </w:t>
      </w:r>
      <w:r w:rsidR="00DB07EA" w:rsidRPr="00AC20B4">
        <w:t>outstanding issues to address</w:t>
      </w:r>
      <w:r w:rsidR="001E351D" w:rsidRPr="00AC20B4">
        <w:t>. T</w:t>
      </w:r>
      <w:r w:rsidR="00FC676C" w:rsidRPr="00AC20B4">
        <w:t xml:space="preserve">he Delegate’s decision is expected in September 2025. </w:t>
      </w:r>
    </w:p>
    <w:p w14:paraId="5125E555" w14:textId="330D6BAB" w:rsidR="00504F2F" w:rsidRPr="00AC20B4" w:rsidRDefault="00FC676C" w:rsidP="001A42B0">
      <w:pPr>
        <w:pStyle w:val="3-BodyText"/>
      </w:pPr>
      <w:r w:rsidRPr="00AC20B4">
        <w:t xml:space="preserve">The </w:t>
      </w:r>
      <w:r w:rsidR="00375F3B" w:rsidRPr="00AC20B4">
        <w:t xml:space="preserve">TGA </w:t>
      </w:r>
      <w:r w:rsidR="00B50934" w:rsidRPr="00AC20B4">
        <w:t>Delegate</w:t>
      </w:r>
      <w:r w:rsidR="00375F3B" w:rsidRPr="00AC20B4">
        <w:t xml:space="preserve"> proposed to </w:t>
      </w:r>
      <w:r w:rsidR="00894C3D" w:rsidRPr="00AC20B4">
        <w:t xml:space="preserve">approve </w:t>
      </w:r>
      <w:r w:rsidR="00407C14" w:rsidRPr="00AC20B4">
        <w:t xml:space="preserve">registration of </w:t>
      </w:r>
      <w:r w:rsidR="00894C3D" w:rsidRPr="00AC20B4">
        <w:t>the products for the following indications</w:t>
      </w:r>
      <w:r w:rsidR="00EF0756" w:rsidRPr="00AC20B4">
        <w:t>:</w:t>
      </w:r>
    </w:p>
    <w:p w14:paraId="74A3FD58" w14:textId="6F7999F1" w:rsidR="00504F2F" w:rsidRPr="00AC20B4" w:rsidRDefault="00504F2F" w:rsidP="00E5538F">
      <w:pPr>
        <w:pStyle w:val="ListParagraph"/>
        <w:keepNext/>
        <w:numPr>
          <w:ilvl w:val="1"/>
          <w:numId w:val="13"/>
        </w:numPr>
      </w:pPr>
      <w:r w:rsidRPr="00AC20B4">
        <w:t>O</w:t>
      </w:r>
      <w:r w:rsidR="00FC676C" w:rsidRPr="00AC20B4">
        <w:t xml:space="preserve">PDIVO (NIVO), in combination with ipilimumab, is indicated for the </w:t>
      </w:r>
      <w:r w:rsidR="003730FB" w:rsidRPr="00AC20B4">
        <w:t>first</w:t>
      </w:r>
      <w:r w:rsidR="00CE0070" w:rsidRPr="00AC20B4">
        <w:t>-</w:t>
      </w:r>
      <w:r w:rsidR="003730FB" w:rsidRPr="00AC20B4">
        <w:t xml:space="preserve">line </w:t>
      </w:r>
      <w:r w:rsidR="00FC676C" w:rsidRPr="00AC20B4">
        <w:t xml:space="preserve">treatment of </w:t>
      </w:r>
      <w:r w:rsidR="003730FB" w:rsidRPr="00AC20B4">
        <w:t xml:space="preserve">adult </w:t>
      </w:r>
      <w:r w:rsidR="00FC676C" w:rsidRPr="00AC20B4">
        <w:t>patients with unresectable</w:t>
      </w:r>
      <w:r w:rsidR="00CE0070" w:rsidRPr="00AC20B4">
        <w:t xml:space="preserve"> or metastatic</w:t>
      </w:r>
      <w:r w:rsidR="00FC676C" w:rsidRPr="00AC20B4">
        <w:t xml:space="preserve"> hepatocellular carcinoma</w:t>
      </w:r>
      <w:r w:rsidR="009D3D65" w:rsidRPr="00AC20B4">
        <w:t>.</w:t>
      </w:r>
    </w:p>
    <w:p w14:paraId="0238CA62" w14:textId="105744E8" w:rsidR="00FC676C" w:rsidRPr="00AC20B4" w:rsidRDefault="001300C7" w:rsidP="00E5538F">
      <w:pPr>
        <w:pStyle w:val="ListParagraph"/>
        <w:keepNext/>
        <w:numPr>
          <w:ilvl w:val="1"/>
          <w:numId w:val="13"/>
        </w:numPr>
      </w:pPr>
      <w:r w:rsidRPr="00AC20B4">
        <w:t>YERVOY (IPI), in combination with nivolumab, is indicated for the first-line treatment of adult patients with unresectable or metastatic hepatocellular carcinoma</w:t>
      </w:r>
      <w:r w:rsidR="00FC676C" w:rsidRPr="00AC20B4">
        <w:t>.</w:t>
      </w:r>
      <w:r w:rsidR="00E03ACA" w:rsidRPr="00AC20B4">
        <w:t xml:space="preserve"> </w:t>
      </w:r>
    </w:p>
    <w:p w14:paraId="57B8D0FD" w14:textId="3419CC58" w:rsidR="00FC676C" w:rsidRPr="00AC20B4" w:rsidRDefault="00D92254" w:rsidP="00FC676C">
      <w:pPr>
        <w:pStyle w:val="3-BodyText"/>
      </w:pPr>
      <w:r>
        <w:t>At the time of PBAC consideration, t</w:t>
      </w:r>
      <w:r w:rsidR="00FC676C" w:rsidRPr="00AC20B4">
        <w:t xml:space="preserve">he </w:t>
      </w:r>
      <w:r w:rsidR="00604204" w:rsidRPr="00AC20B4">
        <w:t>Food and Drug Administration (</w:t>
      </w:r>
      <w:r w:rsidR="00FC676C" w:rsidRPr="00AC20B4">
        <w:t>FDA</w:t>
      </w:r>
      <w:r w:rsidR="00604204" w:rsidRPr="00AC20B4">
        <w:t>) and European Medicines Agency (EMA)</w:t>
      </w:r>
      <w:r w:rsidR="00FC676C" w:rsidRPr="00AC20B4">
        <w:t xml:space="preserve"> granted approval </w:t>
      </w:r>
      <w:r w:rsidR="001C278B" w:rsidRPr="00AC20B4">
        <w:t xml:space="preserve">to extend the therapeutic indications for NIVO and IPI </w:t>
      </w:r>
      <w:r w:rsidR="00534E43" w:rsidRPr="00AC20B4">
        <w:t xml:space="preserve">for this </w:t>
      </w:r>
      <w:r w:rsidR="00A7025B" w:rsidRPr="00AC20B4">
        <w:t xml:space="preserve">indication. </w:t>
      </w:r>
      <w:r w:rsidR="00FC676C" w:rsidRPr="00AC20B4">
        <w:t xml:space="preserve">A regulatory submission to Health Canada </w:t>
      </w:r>
      <w:r w:rsidR="002A01F5">
        <w:t>was</w:t>
      </w:r>
      <w:r w:rsidR="00FC676C" w:rsidRPr="00AC20B4">
        <w:t xml:space="preserve"> under evaluation for NIVO for HCC, with a separate submission for IPI planned. </w:t>
      </w:r>
      <w:bookmarkStart w:id="18" w:name="_Toc22897639"/>
    </w:p>
    <w:p w14:paraId="68366D60" w14:textId="77777777" w:rsidR="00FC676C" w:rsidRPr="00BD2844" w:rsidRDefault="00FC676C" w:rsidP="00FC676C">
      <w:pPr>
        <w:pStyle w:val="4-SubsectionHeading"/>
      </w:pPr>
      <w:bookmarkStart w:id="19" w:name="_Toc195866328"/>
      <w:bookmarkStart w:id="20" w:name="_Toc198716653"/>
      <w:r w:rsidRPr="00BD2844">
        <w:t>Previous PBAC consideration</w:t>
      </w:r>
      <w:bookmarkEnd w:id="18"/>
      <w:bookmarkEnd w:id="19"/>
      <w:bookmarkEnd w:id="20"/>
    </w:p>
    <w:p w14:paraId="0B0EE933" w14:textId="77777777" w:rsidR="00FC676C" w:rsidRPr="00BD2844" w:rsidRDefault="00FC676C" w:rsidP="00FC676C">
      <w:pPr>
        <w:pStyle w:val="3-BodyText"/>
      </w:pPr>
      <w:r w:rsidRPr="00BD2844">
        <w:t xml:space="preserve">The PBAC has not previously considered NIVO+IPI for this indication. </w:t>
      </w:r>
    </w:p>
    <w:p w14:paraId="1D67B227" w14:textId="07C35D03" w:rsidR="001F5A86" w:rsidRPr="00BD2844" w:rsidRDefault="001F5A86" w:rsidP="00D812C1">
      <w:pPr>
        <w:pStyle w:val="3-BodyText"/>
        <w:keepNext/>
      </w:pPr>
      <w:r w:rsidRPr="00BD2844">
        <w:t>NIVO in combination with IPI is currently PBS listed for the following indications:</w:t>
      </w:r>
    </w:p>
    <w:p w14:paraId="2E2A406F" w14:textId="77777777" w:rsidR="001F5A86" w:rsidRPr="00BD2844" w:rsidRDefault="001F5A86" w:rsidP="00E5538F">
      <w:pPr>
        <w:pStyle w:val="ListParagraph"/>
        <w:keepNext/>
        <w:numPr>
          <w:ilvl w:val="1"/>
          <w:numId w:val="13"/>
        </w:numPr>
      </w:pPr>
      <w:r w:rsidRPr="00BD2844">
        <w:t xml:space="preserve">Stage IV clear cell variant renal cell carcinoma </w:t>
      </w:r>
    </w:p>
    <w:p w14:paraId="25F6B9FE" w14:textId="77777777" w:rsidR="001F5A86" w:rsidRPr="00BD2844" w:rsidRDefault="001F5A86" w:rsidP="00E5538F">
      <w:pPr>
        <w:pStyle w:val="ListParagraph"/>
        <w:keepNext/>
        <w:numPr>
          <w:ilvl w:val="1"/>
          <w:numId w:val="13"/>
        </w:numPr>
      </w:pPr>
      <w:r w:rsidRPr="00BD2844">
        <w:t xml:space="preserve">Stage IV (metastatic) non-small cell lung cancer </w:t>
      </w:r>
    </w:p>
    <w:p w14:paraId="79BA0DAF" w14:textId="75702E06" w:rsidR="0034261A" w:rsidRPr="00BD2844" w:rsidRDefault="001F5A86" w:rsidP="00E5538F">
      <w:pPr>
        <w:pStyle w:val="ListParagraph"/>
        <w:numPr>
          <w:ilvl w:val="1"/>
          <w:numId w:val="13"/>
        </w:numPr>
      </w:pPr>
      <w:r w:rsidRPr="00BD2844">
        <w:t xml:space="preserve">Unresectable malignant mesothelioma </w:t>
      </w:r>
    </w:p>
    <w:p w14:paraId="5346C26F" w14:textId="56C54986" w:rsidR="006B47BE" w:rsidRDefault="005C006D" w:rsidP="006B47BE">
      <w:pPr>
        <w:pStyle w:val="3-BodyText"/>
      </w:pPr>
      <w:r w:rsidRPr="00BD2844">
        <w:t xml:space="preserve">The PBAC </w:t>
      </w:r>
      <w:r w:rsidR="00D02470">
        <w:t xml:space="preserve">recommended </w:t>
      </w:r>
      <w:r w:rsidR="0065091A" w:rsidRPr="00BD2844">
        <w:t xml:space="preserve">ATEZO+BEV (atezolizumab </w:t>
      </w:r>
      <w:r w:rsidR="00D17BC7">
        <w:t>Public Summary Document (</w:t>
      </w:r>
      <w:r w:rsidR="0065091A" w:rsidRPr="00BD2844">
        <w:t>PSD</w:t>
      </w:r>
      <w:r w:rsidR="00D17BC7">
        <w:t>)</w:t>
      </w:r>
      <w:r w:rsidR="0065091A" w:rsidRPr="00BD2844">
        <w:t xml:space="preserve">, July 2020 PBAC meeting) </w:t>
      </w:r>
      <w:r w:rsidR="0065091A">
        <w:t xml:space="preserve">and </w:t>
      </w:r>
      <w:r w:rsidR="00556165" w:rsidRPr="00BD2844">
        <w:t xml:space="preserve">STRIDE </w:t>
      </w:r>
      <w:r w:rsidR="004D2971">
        <w:t xml:space="preserve">(durvalumab </w:t>
      </w:r>
      <w:r w:rsidR="000C19F9">
        <w:t>plus</w:t>
      </w:r>
      <w:r w:rsidR="00534C66">
        <w:t xml:space="preserve"> </w:t>
      </w:r>
      <w:proofErr w:type="spellStart"/>
      <w:r w:rsidR="00534C66">
        <w:t>tremelimumab</w:t>
      </w:r>
      <w:proofErr w:type="spellEnd"/>
      <w:r w:rsidR="00534C66">
        <w:t xml:space="preserve">, web outcome, May 2025 PBAC meeting) </w:t>
      </w:r>
      <w:r w:rsidR="00556165" w:rsidRPr="00BD2844">
        <w:t xml:space="preserve">for the first-line treatment of patients with advanced (unresectable) BCLC Stage B or Stage C HCC. Systemic treatment for BCLC Stage A patients has not previously been considered by the PBAC. </w:t>
      </w:r>
      <w:bookmarkStart w:id="21" w:name="_Hlk76375324"/>
    </w:p>
    <w:p w14:paraId="7E4F0020" w14:textId="77777777" w:rsidR="00FC676C" w:rsidRPr="00BD2844" w:rsidRDefault="00FC676C" w:rsidP="00653379">
      <w:pPr>
        <w:pStyle w:val="2-SectionHeading"/>
        <w:keepLines/>
      </w:pPr>
      <w:bookmarkStart w:id="22" w:name="_Toc195866329"/>
      <w:bookmarkStart w:id="23" w:name="_Toc198716654"/>
      <w:bookmarkEnd w:id="21"/>
      <w:r w:rsidRPr="00BD2844">
        <w:t>Requested listing</w:t>
      </w:r>
      <w:bookmarkEnd w:id="22"/>
      <w:bookmarkEnd w:id="23"/>
    </w:p>
    <w:p w14:paraId="1FA3470A" w14:textId="0AB90D4C" w:rsidR="00BB2E6B" w:rsidRDefault="00702D1A" w:rsidP="00702D1A">
      <w:pPr>
        <w:pStyle w:val="3-BodyText"/>
        <w:spacing w:after="120"/>
      </w:pPr>
      <w:r w:rsidRPr="00702D1A">
        <w:t>Suggestions and additions proposed by the Secretariat are added in italics and suggested deletions are crossed out with strikethrough</w:t>
      </w:r>
      <w:r>
        <w:t>.</w:t>
      </w:r>
    </w:p>
    <w:p w14:paraId="783FD3C1" w14:textId="77777777" w:rsidR="00BB2E6B" w:rsidRDefault="00BB2E6B">
      <w:pPr>
        <w:jc w:val="left"/>
        <w:rPr>
          <w:rFonts w:asciiTheme="minorHAnsi" w:eastAsiaTheme="minorHAnsi" w:hAnsiTheme="minorHAnsi" w:cstheme="minorBidi"/>
          <w:szCs w:val="22"/>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Nivolumab - treatment phase - induction therapy"/>
      </w:tblPr>
      <w:tblGrid>
        <w:gridCol w:w="563"/>
        <w:gridCol w:w="709"/>
        <w:gridCol w:w="705"/>
        <w:gridCol w:w="1419"/>
        <w:gridCol w:w="3118"/>
        <w:gridCol w:w="1277"/>
        <w:gridCol w:w="1226"/>
      </w:tblGrid>
      <w:tr w:rsidR="00E825CF" w:rsidRPr="00BD2844" w14:paraId="7348DF68" w14:textId="77777777" w:rsidTr="0060195C">
        <w:trPr>
          <w:cantSplit/>
          <w:trHeight w:val="20"/>
        </w:trPr>
        <w:tc>
          <w:tcPr>
            <w:tcW w:w="1096" w:type="pct"/>
            <w:gridSpan w:val="3"/>
            <w:vAlign w:val="center"/>
          </w:tcPr>
          <w:p w14:paraId="13B329B0" w14:textId="77777777" w:rsidR="00E825CF" w:rsidRPr="00BD2844" w:rsidRDefault="00E825CF" w:rsidP="00397897">
            <w:pPr>
              <w:rPr>
                <w:rFonts w:ascii="Arial Narrow" w:hAnsi="Arial Narrow"/>
                <w:b/>
                <w:bCs/>
                <w:sz w:val="20"/>
                <w:szCs w:val="20"/>
              </w:rPr>
            </w:pPr>
            <w:r w:rsidRPr="00BD2844">
              <w:rPr>
                <w:rFonts w:ascii="Arial Narrow" w:hAnsi="Arial Narrow"/>
                <w:b/>
                <w:bCs/>
                <w:sz w:val="20"/>
                <w:szCs w:val="20"/>
              </w:rPr>
              <w:lastRenderedPageBreak/>
              <w:t>MEDICINAL PRODUCT</w:t>
            </w:r>
          </w:p>
          <w:p w14:paraId="5B52F32B" w14:textId="77777777" w:rsidR="00E825CF" w:rsidRPr="00BD2844" w:rsidRDefault="00E825CF" w:rsidP="00397897">
            <w:pPr>
              <w:rPr>
                <w:rFonts w:ascii="Arial Narrow" w:hAnsi="Arial Narrow"/>
                <w:b/>
                <w:sz w:val="20"/>
                <w:szCs w:val="20"/>
              </w:rPr>
            </w:pPr>
            <w:r w:rsidRPr="00BD2844">
              <w:rPr>
                <w:rFonts w:ascii="Arial Narrow" w:hAnsi="Arial Narrow"/>
                <w:b/>
                <w:sz w:val="20"/>
                <w:szCs w:val="20"/>
              </w:rPr>
              <w:t>Form</w:t>
            </w:r>
          </w:p>
        </w:tc>
        <w:tc>
          <w:tcPr>
            <w:tcW w:w="787" w:type="pct"/>
            <w:vAlign w:val="center"/>
          </w:tcPr>
          <w:p w14:paraId="69ED70D3" w14:textId="77777777" w:rsidR="00E825CF" w:rsidRPr="00BD2844" w:rsidRDefault="00E825CF" w:rsidP="00397897">
            <w:pPr>
              <w:jc w:val="center"/>
              <w:rPr>
                <w:rFonts w:ascii="Arial Narrow" w:hAnsi="Arial Narrow"/>
                <w:b/>
                <w:sz w:val="20"/>
                <w:szCs w:val="20"/>
              </w:rPr>
            </w:pPr>
            <w:r w:rsidRPr="00BD2844">
              <w:rPr>
                <w:rFonts w:ascii="Arial Narrow" w:hAnsi="Arial Narrow"/>
                <w:b/>
                <w:sz w:val="20"/>
                <w:szCs w:val="20"/>
              </w:rPr>
              <w:t>PBS item code</w:t>
            </w:r>
          </w:p>
        </w:tc>
        <w:tc>
          <w:tcPr>
            <w:tcW w:w="1729" w:type="pct"/>
            <w:vAlign w:val="center"/>
          </w:tcPr>
          <w:p w14:paraId="1847953C" w14:textId="167D8FC1" w:rsidR="00E825CF" w:rsidRPr="00BD2844" w:rsidRDefault="00A80F63" w:rsidP="00397897">
            <w:pPr>
              <w:jc w:val="center"/>
              <w:rPr>
                <w:rFonts w:ascii="Arial Narrow" w:hAnsi="Arial Narrow"/>
                <w:b/>
                <w:sz w:val="20"/>
                <w:szCs w:val="20"/>
              </w:rPr>
            </w:pPr>
            <w:r w:rsidRPr="00A80F63">
              <w:rPr>
                <w:rFonts w:ascii="Arial Narrow" w:hAnsi="Arial Narrow"/>
                <w:b/>
                <w:sz w:val="20"/>
                <w:szCs w:val="20"/>
              </w:rPr>
              <w:t>Dispensed Price Max</w:t>
            </w:r>
            <w:r w:rsidR="00723C3C">
              <w:rPr>
                <w:rFonts w:ascii="Arial Narrow" w:hAnsi="Arial Narrow"/>
                <w:b/>
                <w:sz w:val="20"/>
                <w:szCs w:val="20"/>
              </w:rPr>
              <w:t>.</w:t>
            </w:r>
            <w:r w:rsidRPr="00A80F63">
              <w:rPr>
                <w:rFonts w:ascii="Arial Narrow" w:hAnsi="Arial Narrow"/>
                <w:b/>
                <w:sz w:val="20"/>
                <w:szCs w:val="20"/>
              </w:rPr>
              <w:t xml:space="preserve"> Am</w:t>
            </w:r>
            <w:r w:rsidR="002A2772">
              <w:rPr>
                <w:rFonts w:ascii="Arial Narrow" w:hAnsi="Arial Narrow"/>
                <w:b/>
                <w:sz w:val="20"/>
                <w:szCs w:val="20"/>
              </w:rPr>
              <w:t>ount</w:t>
            </w:r>
          </w:p>
        </w:tc>
        <w:tc>
          <w:tcPr>
            <w:tcW w:w="708" w:type="pct"/>
            <w:vAlign w:val="center"/>
          </w:tcPr>
          <w:p w14:paraId="0D34E5C2" w14:textId="77777777" w:rsidR="00E825CF" w:rsidRPr="00BD2844" w:rsidRDefault="00E825CF" w:rsidP="00397897">
            <w:pPr>
              <w:jc w:val="center"/>
              <w:rPr>
                <w:rFonts w:ascii="Arial Narrow" w:hAnsi="Arial Narrow"/>
                <w:b/>
                <w:sz w:val="20"/>
                <w:szCs w:val="20"/>
              </w:rPr>
            </w:pPr>
            <w:r w:rsidRPr="00BD2844">
              <w:rPr>
                <w:rFonts w:ascii="Arial Narrow" w:hAnsi="Arial Narrow"/>
                <w:b/>
                <w:sz w:val="20"/>
                <w:szCs w:val="20"/>
              </w:rPr>
              <w:t>Max. Amount</w:t>
            </w:r>
          </w:p>
        </w:tc>
        <w:tc>
          <w:tcPr>
            <w:tcW w:w="680" w:type="pct"/>
            <w:vAlign w:val="center"/>
          </w:tcPr>
          <w:p w14:paraId="415EF77A" w14:textId="77777777" w:rsidR="00E825CF" w:rsidRPr="00BD2844" w:rsidRDefault="00E825CF" w:rsidP="00397897">
            <w:pPr>
              <w:jc w:val="center"/>
              <w:rPr>
                <w:rFonts w:ascii="Arial Narrow" w:hAnsi="Arial Narrow"/>
                <w:b/>
                <w:sz w:val="20"/>
                <w:szCs w:val="20"/>
              </w:rPr>
            </w:pPr>
            <w:r w:rsidRPr="00BD2844">
              <w:rPr>
                <w:rFonts w:ascii="Arial Narrow" w:hAnsi="Arial Narrow"/>
                <w:b/>
                <w:sz w:val="20"/>
                <w:szCs w:val="20"/>
              </w:rPr>
              <w:t>№.of Rpts</w:t>
            </w:r>
          </w:p>
        </w:tc>
      </w:tr>
      <w:tr w:rsidR="00E825CF" w:rsidRPr="00BD2844" w14:paraId="205D75E3" w14:textId="77777777" w:rsidTr="0060195C">
        <w:trPr>
          <w:cantSplit/>
          <w:trHeight w:val="20"/>
        </w:trPr>
        <w:tc>
          <w:tcPr>
            <w:tcW w:w="1096" w:type="pct"/>
            <w:gridSpan w:val="3"/>
            <w:vAlign w:val="center"/>
          </w:tcPr>
          <w:p w14:paraId="4DAF7BB0" w14:textId="77777777" w:rsidR="00E825CF" w:rsidRPr="00BD2844" w:rsidRDefault="00E825CF" w:rsidP="00397897">
            <w:pPr>
              <w:rPr>
                <w:rFonts w:ascii="Arial Narrow" w:hAnsi="Arial Narrow"/>
                <w:sz w:val="20"/>
                <w:szCs w:val="20"/>
              </w:rPr>
            </w:pPr>
            <w:r w:rsidRPr="00BD2844">
              <w:rPr>
                <w:rFonts w:ascii="Arial Narrow" w:hAnsi="Arial Narrow"/>
                <w:sz w:val="20"/>
                <w:szCs w:val="20"/>
              </w:rPr>
              <w:t>Nivolumab Injection</w:t>
            </w:r>
          </w:p>
        </w:tc>
        <w:tc>
          <w:tcPr>
            <w:tcW w:w="787" w:type="pct"/>
            <w:vAlign w:val="center"/>
          </w:tcPr>
          <w:p w14:paraId="68677204" w14:textId="77777777" w:rsidR="00E825CF" w:rsidRPr="006F76D2" w:rsidRDefault="00E825CF" w:rsidP="00397897">
            <w:pPr>
              <w:jc w:val="center"/>
              <w:rPr>
                <w:rFonts w:ascii="Arial Narrow" w:hAnsi="Arial Narrow"/>
                <w:sz w:val="20"/>
                <w:szCs w:val="20"/>
              </w:rPr>
            </w:pPr>
            <w:r w:rsidRPr="006F76D2">
              <w:rPr>
                <w:rFonts w:ascii="Arial Narrow" w:hAnsi="Arial Narrow"/>
                <w:sz w:val="20"/>
                <w:szCs w:val="20"/>
              </w:rPr>
              <w:t>NEW (HB)</w:t>
            </w:r>
          </w:p>
          <w:p w14:paraId="38A84B8C" w14:textId="638DF20C" w:rsidR="00E825CF" w:rsidRPr="006F76D2" w:rsidRDefault="00E825CF" w:rsidP="00397897">
            <w:pPr>
              <w:jc w:val="center"/>
              <w:rPr>
                <w:rFonts w:ascii="Arial Narrow" w:hAnsi="Arial Narrow"/>
                <w:sz w:val="20"/>
                <w:szCs w:val="20"/>
              </w:rPr>
            </w:pPr>
            <w:r w:rsidRPr="006F76D2">
              <w:rPr>
                <w:rFonts w:ascii="Arial Narrow" w:hAnsi="Arial Narrow"/>
                <w:sz w:val="20"/>
                <w:szCs w:val="20"/>
              </w:rPr>
              <w:t>NEW (HS)</w:t>
            </w:r>
          </w:p>
        </w:tc>
        <w:tc>
          <w:tcPr>
            <w:tcW w:w="1729" w:type="pct"/>
            <w:vAlign w:val="center"/>
          </w:tcPr>
          <w:p w14:paraId="6D2E1F75" w14:textId="77777777" w:rsidR="000859BA" w:rsidRPr="006F76D2" w:rsidRDefault="000859BA" w:rsidP="000859BA">
            <w:pPr>
              <w:jc w:val="center"/>
              <w:rPr>
                <w:rFonts w:ascii="Arial Narrow" w:hAnsi="Arial Narrow"/>
                <w:sz w:val="20"/>
                <w:szCs w:val="20"/>
              </w:rPr>
            </w:pPr>
            <w:r w:rsidRPr="006F76D2">
              <w:rPr>
                <w:rFonts w:ascii="Arial Narrow" w:hAnsi="Arial Narrow"/>
                <w:sz w:val="20"/>
                <w:szCs w:val="20"/>
              </w:rPr>
              <w:t>$2,535.34 [Published, Private Hospital]</w:t>
            </w:r>
          </w:p>
          <w:p w14:paraId="1D79CB56" w14:textId="77777777" w:rsidR="000859BA" w:rsidRPr="006F76D2" w:rsidRDefault="000859BA" w:rsidP="000859BA">
            <w:pPr>
              <w:jc w:val="center"/>
              <w:rPr>
                <w:rFonts w:ascii="Arial Narrow" w:hAnsi="Arial Narrow"/>
                <w:sz w:val="20"/>
                <w:szCs w:val="20"/>
              </w:rPr>
            </w:pPr>
            <w:r w:rsidRPr="006F76D2">
              <w:rPr>
                <w:rFonts w:ascii="Arial Narrow" w:hAnsi="Arial Narrow"/>
                <w:sz w:val="20"/>
                <w:szCs w:val="20"/>
              </w:rPr>
              <w:t>$2,457.52 [Published, Public Hospital]</w:t>
            </w:r>
          </w:p>
          <w:p w14:paraId="647A5138" w14:textId="77777777" w:rsidR="000859BA" w:rsidRPr="006F76D2" w:rsidRDefault="000859BA" w:rsidP="000859BA">
            <w:pPr>
              <w:jc w:val="center"/>
              <w:rPr>
                <w:rFonts w:ascii="Arial Narrow" w:hAnsi="Arial Narrow"/>
                <w:sz w:val="20"/>
                <w:szCs w:val="20"/>
              </w:rPr>
            </w:pPr>
          </w:p>
          <w:p w14:paraId="438ACD46" w14:textId="6F3BF970" w:rsidR="000859BA" w:rsidRPr="00404908" w:rsidRDefault="000859BA" w:rsidP="000859BA">
            <w:pPr>
              <w:jc w:val="center"/>
              <w:rPr>
                <w:rFonts w:ascii="Arial Narrow" w:hAnsi="Arial Narrow"/>
                <w:sz w:val="20"/>
                <w:szCs w:val="20"/>
              </w:rPr>
            </w:pPr>
            <w:r w:rsidRPr="00404908">
              <w:rPr>
                <w:rFonts w:ascii="Arial Narrow" w:hAnsi="Arial Narrow"/>
                <w:sz w:val="20"/>
                <w:szCs w:val="20"/>
              </w:rPr>
              <w:t>$</w:t>
            </w:r>
            <w:r w:rsidR="006614D1" w:rsidRPr="006614D1">
              <w:rPr>
                <w:rFonts w:ascii="Arial Narrow" w:hAnsi="Arial Narrow"/>
                <w:color w:val="000000"/>
                <w:spacing w:val="30"/>
                <w:sz w:val="20"/>
                <w:szCs w:val="20"/>
                <w:shd w:val="solid" w:color="000000" w:fill="000000"/>
                <w:fitText w:val="551" w:id="-623632128"/>
                <w14:textFill>
                  <w14:solidFill>
                    <w14:srgbClr w14:val="000000">
                      <w14:alpha w14:val="100000"/>
                    </w14:srgbClr>
                  </w14:solidFill>
                </w14:textFill>
              </w:rPr>
              <w:t>|||||||</w:t>
            </w:r>
            <w:r w:rsidR="006614D1" w:rsidRPr="006614D1">
              <w:rPr>
                <w:rFonts w:ascii="Arial Narrow" w:hAnsi="Arial Narrow"/>
                <w:color w:val="000000"/>
                <w:spacing w:val="1"/>
                <w:sz w:val="20"/>
                <w:szCs w:val="20"/>
                <w:shd w:val="solid" w:color="000000" w:fill="000000"/>
                <w:fitText w:val="551" w:id="-623632128"/>
                <w14:textFill>
                  <w14:solidFill>
                    <w14:srgbClr w14:val="000000">
                      <w14:alpha w14:val="100000"/>
                    </w14:srgbClr>
                  </w14:solidFill>
                </w14:textFill>
              </w:rPr>
              <w:t>|</w:t>
            </w:r>
            <w:r w:rsidR="006614D1">
              <w:rPr>
                <w:rFonts w:ascii="Arial Narrow" w:hAnsi="Arial Narrow"/>
                <w:sz w:val="20"/>
                <w:szCs w:val="20"/>
              </w:rPr>
              <w:t xml:space="preserve"> </w:t>
            </w:r>
            <w:r w:rsidRPr="00404908">
              <w:rPr>
                <w:rFonts w:ascii="Arial Narrow" w:hAnsi="Arial Narrow"/>
                <w:sz w:val="20"/>
                <w:szCs w:val="20"/>
                <w:vertAlign w:val="superscript"/>
              </w:rPr>
              <w:t>a</w:t>
            </w:r>
            <w:r w:rsidRPr="00404908">
              <w:rPr>
                <w:rFonts w:ascii="Arial Narrow" w:hAnsi="Arial Narrow"/>
                <w:sz w:val="20"/>
                <w:szCs w:val="20"/>
              </w:rPr>
              <w:t xml:space="preserve"> [Effective, Private Hospital]</w:t>
            </w:r>
          </w:p>
          <w:p w14:paraId="1B1DFB7D" w14:textId="2D0AEB25" w:rsidR="00E825CF" w:rsidRPr="006F76D2" w:rsidRDefault="000859BA" w:rsidP="000859BA">
            <w:pPr>
              <w:jc w:val="center"/>
              <w:rPr>
                <w:rFonts w:ascii="Arial Narrow" w:hAnsi="Arial Narrow"/>
                <w:sz w:val="20"/>
                <w:szCs w:val="20"/>
              </w:rPr>
            </w:pPr>
            <w:r w:rsidRPr="00404908">
              <w:rPr>
                <w:rFonts w:ascii="Arial Narrow" w:hAnsi="Arial Narrow"/>
                <w:sz w:val="20"/>
                <w:szCs w:val="20"/>
              </w:rPr>
              <w:t>$</w:t>
            </w:r>
            <w:r w:rsidR="00517A29" w:rsidRPr="00517A29">
              <w:rPr>
                <w:rFonts w:ascii="Arial Narrow" w:hAnsi="Arial Narrow"/>
                <w:color w:val="000000"/>
                <w:spacing w:val="56"/>
                <w:sz w:val="20"/>
                <w:szCs w:val="20"/>
                <w:shd w:val="solid" w:color="000000" w:fill="000000"/>
                <w:fitText w:val="538" w:id="-623631616"/>
                <w14:textFill>
                  <w14:solidFill>
                    <w14:srgbClr w14:val="000000">
                      <w14:alpha w14:val="100000"/>
                    </w14:srgbClr>
                  </w14:solidFill>
                </w14:textFill>
              </w:rPr>
              <w:t>|||||</w:t>
            </w:r>
            <w:r w:rsidR="00517A29" w:rsidRPr="00517A29">
              <w:rPr>
                <w:rFonts w:ascii="Arial Narrow" w:hAnsi="Arial Narrow"/>
                <w:color w:val="000000"/>
                <w:spacing w:val="3"/>
                <w:sz w:val="20"/>
                <w:szCs w:val="20"/>
                <w:shd w:val="solid" w:color="000000" w:fill="000000"/>
                <w:fitText w:val="538" w:id="-623631616"/>
                <w14:textFill>
                  <w14:solidFill>
                    <w14:srgbClr w14:val="000000">
                      <w14:alpha w14:val="100000"/>
                    </w14:srgbClr>
                  </w14:solidFill>
                </w14:textFill>
              </w:rPr>
              <w:t>|</w:t>
            </w:r>
            <w:r w:rsidR="00517A29">
              <w:rPr>
                <w:rFonts w:ascii="Arial Narrow" w:hAnsi="Arial Narrow"/>
                <w:sz w:val="20"/>
                <w:szCs w:val="20"/>
              </w:rPr>
              <w:t xml:space="preserve"> </w:t>
            </w:r>
            <w:r w:rsidRPr="006F76D2">
              <w:rPr>
                <w:rFonts w:ascii="Arial Narrow" w:hAnsi="Arial Narrow"/>
                <w:sz w:val="20"/>
                <w:szCs w:val="20"/>
                <w:vertAlign w:val="superscript"/>
              </w:rPr>
              <w:t>a</w:t>
            </w:r>
            <w:r w:rsidRPr="006F76D2">
              <w:rPr>
                <w:rFonts w:ascii="Arial Narrow" w:hAnsi="Arial Narrow"/>
                <w:sz w:val="20"/>
                <w:szCs w:val="20"/>
              </w:rPr>
              <w:t xml:space="preserve"> [Effective, Public Hospital]</w:t>
            </w:r>
          </w:p>
        </w:tc>
        <w:tc>
          <w:tcPr>
            <w:tcW w:w="708" w:type="pct"/>
            <w:vAlign w:val="center"/>
          </w:tcPr>
          <w:p w14:paraId="6845993D" w14:textId="77777777" w:rsidR="00E825CF" w:rsidRPr="00BD2844" w:rsidRDefault="00E825CF" w:rsidP="00397897">
            <w:pPr>
              <w:jc w:val="center"/>
              <w:rPr>
                <w:rFonts w:ascii="Arial Narrow" w:hAnsi="Arial Narrow"/>
                <w:sz w:val="20"/>
                <w:szCs w:val="20"/>
              </w:rPr>
            </w:pPr>
            <w:r w:rsidRPr="00BD2844">
              <w:rPr>
                <w:rFonts w:ascii="Arial Narrow" w:hAnsi="Arial Narrow"/>
                <w:sz w:val="20"/>
                <w:szCs w:val="20"/>
              </w:rPr>
              <w:t>120mg</w:t>
            </w:r>
          </w:p>
        </w:tc>
        <w:tc>
          <w:tcPr>
            <w:tcW w:w="680" w:type="pct"/>
            <w:vAlign w:val="center"/>
          </w:tcPr>
          <w:p w14:paraId="5114A727" w14:textId="77777777" w:rsidR="00E825CF" w:rsidRPr="00BD2844" w:rsidRDefault="00E825CF" w:rsidP="00397897">
            <w:pPr>
              <w:jc w:val="center"/>
              <w:rPr>
                <w:rFonts w:ascii="Arial Narrow" w:hAnsi="Arial Narrow"/>
                <w:sz w:val="20"/>
                <w:szCs w:val="20"/>
              </w:rPr>
            </w:pPr>
            <w:r w:rsidRPr="00BD2844">
              <w:rPr>
                <w:rFonts w:ascii="Arial Narrow" w:hAnsi="Arial Narrow"/>
                <w:sz w:val="20"/>
                <w:szCs w:val="20"/>
              </w:rPr>
              <w:t>3</w:t>
            </w:r>
          </w:p>
        </w:tc>
      </w:tr>
      <w:tr w:rsidR="00702931" w:rsidRPr="00BD2844" w14:paraId="1E9C6126" w14:textId="77777777" w:rsidTr="001A42B0">
        <w:trPr>
          <w:cantSplit/>
          <w:trHeight w:val="20"/>
        </w:trPr>
        <w:tc>
          <w:tcPr>
            <w:tcW w:w="5000" w:type="pct"/>
            <w:gridSpan w:val="7"/>
            <w:vAlign w:val="center"/>
          </w:tcPr>
          <w:p w14:paraId="3C803C76" w14:textId="77777777" w:rsidR="00702931" w:rsidRPr="00BD2844" w:rsidRDefault="00702931" w:rsidP="00397897">
            <w:pPr>
              <w:rPr>
                <w:rFonts w:ascii="Arial Narrow" w:hAnsi="Arial Narrow"/>
                <w:b/>
                <w:sz w:val="20"/>
                <w:szCs w:val="20"/>
              </w:rPr>
            </w:pPr>
            <w:r w:rsidRPr="00BD2844">
              <w:rPr>
                <w:rFonts w:ascii="Arial Narrow" w:hAnsi="Arial Narrow"/>
                <w:b/>
                <w:sz w:val="20"/>
                <w:szCs w:val="20"/>
              </w:rPr>
              <w:t xml:space="preserve">Available brands </w:t>
            </w:r>
          </w:p>
        </w:tc>
      </w:tr>
      <w:tr w:rsidR="00702931" w:rsidRPr="00BD2844" w14:paraId="02134CE0" w14:textId="77777777" w:rsidTr="001A42B0">
        <w:trPr>
          <w:cantSplit/>
          <w:trHeight w:val="20"/>
        </w:trPr>
        <w:tc>
          <w:tcPr>
            <w:tcW w:w="5000" w:type="pct"/>
            <w:gridSpan w:val="7"/>
            <w:vAlign w:val="center"/>
          </w:tcPr>
          <w:p w14:paraId="70479FF4"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OPDIVO</w:t>
            </w:r>
          </w:p>
          <w:p w14:paraId="06D059D7"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(Nivolumab 40 mg/4 mL injection, 4 mL vial)</w:t>
            </w:r>
          </w:p>
        </w:tc>
      </w:tr>
      <w:tr w:rsidR="00702931" w:rsidRPr="00BD2844" w14:paraId="3EB45EC4" w14:textId="77777777" w:rsidTr="001A42B0">
        <w:trPr>
          <w:cantSplit/>
          <w:trHeight w:val="20"/>
        </w:trPr>
        <w:tc>
          <w:tcPr>
            <w:tcW w:w="5000" w:type="pct"/>
            <w:gridSpan w:val="7"/>
            <w:vAlign w:val="center"/>
          </w:tcPr>
          <w:p w14:paraId="3978D098"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OPDIVO</w:t>
            </w:r>
          </w:p>
          <w:p w14:paraId="6AE718EE"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(Nivolumab 100 mg/10 mL injection, 10 mL vial)</w:t>
            </w:r>
          </w:p>
        </w:tc>
      </w:tr>
      <w:tr w:rsidR="00702931" w:rsidRPr="00BD2844" w14:paraId="46D8E3E8" w14:textId="77777777" w:rsidTr="001A42B0">
        <w:trPr>
          <w:cantSplit/>
          <w:trHeight w:val="20"/>
        </w:trPr>
        <w:tc>
          <w:tcPr>
            <w:tcW w:w="5000" w:type="pct"/>
            <w:gridSpan w:val="7"/>
            <w:vAlign w:val="center"/>
          </w:tcPr>
          <w:p w14:paraId="28A46C3B" w14:textId="77777777" w:rsidR="00702931" w:rsidRPr="00BD2844" w:rsidRDefault="00702931" w:rsidP="00397897">
            <w:pPr>
              <w:rPr>
                <w:rFonts w:ascii="Arial Narrow" w:hAnsi="Arial Narrow"/>
                <w:sz w:val="20"/>
                <w:szCs w:val="20"/>
              </w:rPr>
            </w:pPr>
          </w:p>
        </w:tc>
      </w:tr>
      <w:tr w:rsidR="00702931" w:rsidRPr="00BD2844" w14:paraId="2A2BD281" w14:textId="77777777" w:rsidTr="001A42B0">
        <w:trPr>
          <w:cantSplit/>
          <w:trHeight w:val="20"/>
        </w:trPr>
        <w:tc>
          <w:tcPr>
            <w:tcW w:w="5000" w:type="pct"/>
            <w:gridSpan w:val="7"/>
            <w:vAlign w:val="center"/>
          </w:tcPr>
          <w:p w14:paraId="09AC1845" w14:textId="77777777" w:rsidR="00702931" w:rsidRPr="00BD2844" w:rsidRDefault="00702931" w:rsidP="00397897">
            <w:pPr>
              <w:rPr>
                <w:rFonts w:ascii="Arial Narrow" w:hAnsi="Arial Narrow"/>
                <w:color w:val="FF0000"/>
                <w:sz w:val="20"/>
                <w:szCs w:val="20"/>
              </w:rPr>
            </w:pPr>
            <w:r w:rsidRPr="00BD2844">
              <w:rPr>
                <w:rFonts w:ascii="Arial Narrow" w:hAnsi="Arial Narrow"/>
                <w:b/>
                <w:sz w:val="20"/>
                <w:szCs w:val="20"/>
              </w:rPr>
              <w:t>Restriction Summary NEW1 / Treatment of Concept: NEW1A</w:t>
            </w:r>
          </w:p>
        </w:tc>
      </w:tr>
      <w:tr w:rsidR="00702931" w:rsidRPr="00BD2844" w14:paraId="74145BA7"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6E37649E" w14:textId="77777777" w:rsidR="00702931" w:rsidRPr="00BD2844" w:rsidRDefault="00702931" w:rsidP="00397897">
            <w:pPr>
              <w:jc w:val="center"/>
              <w:rPr>
                <w:rFonts w:ascii="Arial Narrow" w:hAnsi="Arial Narrow"/>
                <w:b/>
                <w:sz w:val="20"/>
                <w:szCs w:val="20"/>
              </w:rPr>
            </w:pPr>
            <w:r w:rsidRPr="00BD2844">
              <w:rPr>
                <w:rFonts w:ascii="Arial Narrow" w:hAnsi="Arial Narrow"/>
                <w:b/>
                <w:sz w:val="20"/>
                <w:szCs w:val="20"/>
              </w:rPr>
              <w:t xml:space="preserve">Concept ID </w:t>
            </w:r>
            <w:r w:rsidRPr="00BD2844">
              <w:rPr>
                <w:rFonts w:ascii="Arial Narrow" w:hAnsi="Arial Narrow"/>
                <w:sz w:val="20"/>
                <w:szCs w:val="20"/>
              </w:rPr>
              <w:t>(for internal Dept. use)</w:t>
            </w:r>
          </w:p>
        </w:tc>
        <w:tc>
          <w:tcPr>
            <w:tcW w:w="4295" w:type="pct"/>
            <w:gridSpan w:val="5"/>
          </w:tcPr>
          <w:p w14:paraId="5E1C05B8" w14:textId="77777777" w:rsidR="00702931" w:rsidRPr="00BD2844" w:rsidRDefault="00702931" w:rsidP="00397897">
            <w:pPr>
              <w:rPr>
                <w:rFonts w:ascii="Arial Narrow" w:hAnsi="Arial Narrow"/>
                <w:sz w:val="20"/>
                <w:szCs w:val="20"/>
              </w:rPr>
            </w:pPr>
            <w:r w:rsidRPr="00BD2844">
              <w:rPr>
                <w:rFonts w:ascii="Arial Narrow" w:hAnsi="Arial Narrow"/>
                <w:b/>
                <w:sz w:val="20"/>
                <w:szCs w:val="20"/>
              </w:rPr>
              <w:t xml:space="preserve">Category / Program: </w:t>
            </w:r>
            <w:r w:rsidRPr="00BD2844">
              <w:rPr>
                <w:rFonts w:ascii="Arial Narrow" w:hAnsi="Arial Narrow"/>
                <w:sz w:val="20"/>
                <w:szCs w:val="20"/>
              </w:rPr>
              <w:t>Section 100 – Efficient Funding of Chemotherapy Public/Private hospitals</w:t>
            </w:r>
          </w:p>
        </w:tc>
      </w:tr>
      <w:tr w:rsidR="00702931" w:rsidRPr="00BD2844" w14:paraId="1D4338DE"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4C0D0084" w14:textId="77777777" w:rsidR="00702931" w:rsidRPr="00BD2844" w:rsidRDefault="00702931" w:rsidP="00397897">
            <w:pPr>
              <w:rPr>
                <w:rFonts w:ascii="Arial Narrow" w:hAnsi="Arial Narrow"/>
                <w:sz w:val="20"/>
                <w:szCs w:val="20"/>
              </w:rPr>
            </w:pPr>
          </w:p>
        </w:tc>
        <w:tc>
          <w:tcPr>
            <w:tcW w:w="4295" w:type="pct"/>
            <w:gridSpan w:val="5"/>
          </w:tcPr>
          <w:p w14:paraId="29D9A2B1" w14:textId="77777777" w:rsidR="00702931" w:rsidRPr="00BD2844" w:rsidRDefault="00702931" w:rsidP="00397897">
            <w:pPr>
              <w:rPr>
                <w:rFonts w:ascii="Arial Narrow" w:hAnsi="Arial Narrow"/>
                <w:b/>
                <w:sz w:val="20"/>
                <w:szCs w:val="20"/>
              </w:rPr>
            </w:pPr>
            <w:r w:rsidRPr="00BD2844">
              <w:rPr>
                <w:rFonts w:ascii="Arial Narrow" w:hAnsi="Arial Narrow"/>
                <w:b/>
                <w:sz w:val="20"/>
                <w:szCs w:val="20"/>
              </w:rPr>
              <w:t xml:space="preserve">Prescriber type: </w:t>
            </w:r>
            <w:r w:rsidRPr="00BD2844">
              <w:rPr>
                <w:rFonts w:ascii="Arial Narrow" w:hAnsi="Arial Narrow"/>
                <w:sz w:val="20"/>
                <w:szCs w:val="20"/>
              </w:rPr>
              <w:fldChar w:fldCharType="begin">
                <w:ffData>
                  <w:name w:val=""/>
                  <w:enabled/>
                  <w:calcOnExit w:val="0"/>
                  <w:checkBox>
                    <w:sizeAuto/>
                    <w:default w:val="1"/>
                  </w:checkBox>
                </w:ffData>
              </w:fldChar>
            </w:r>
            <w:r w:rsidRPr="00BD2844">
              <w:rPr>
                <w:rFonts w:ascii="Arial Narrow" w:hAnsi="Arial Narrow"/>
                <w:sz w:val="20"/>
                <w:szCs w:val="20"/>
              </w:rPr>
              <w:instrText xml:space="preserve"> FORMCHECKBOX </w:instrText>
            </w:r>
            <w:r w:rsidRPr="00BD2844">
              <w:rPr>
                <w:rFonts w:ascii="Arial Narrow" w:hAnsi="Arial Narrow"/>
                <w:sz w:val="20"/>
                <w:szCs w:val="20"/>
              </w:rPr>
            </w:r>
            <w:r w:rsidRPr="00BD2844">
              <w:rPr>
                <w:rFonts w:ascii="Arial Narrow" w:hAnsi="Arial Narrow"/>
                <w:sz w:val="20"/>
                <w:szCs w:val="20"/>
              </w:rPr>
              <w:fldChar w:fldCharType="separate"/>
            </w:r>
            <w:r w:rsidRPr="00BD2844">
              <w:rPr>
                <w:rFonts w:ascii="Arial Narrow" w:hAnsi="Arial Narrow"/>
                <w:sz w:val="20"/>
                <w:szCs w:val="20"/>
              </w:rPr>
              <w:fldChar w:fldCharType="end"/>
            </w:r>
            <w:r w:rsidRPr="00BD2844">
              <w:rPr>
                <w:rFonts w:ascii="Arial Narrow" w:hAnsi="Arial Narrow"/>
                <w:sz w:val="20"/>
                <w:szCs w:val="20"/>
              </w:rPr>
              <w:t>Medical Practitioners</w:t>
            </w:r>
          </w:p>
        </w:tc>
      </w:tr>
      <w:tr w:rsidR="00702931" w:rsidRPr="00BD2844" w14:paraId="51842ADB"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36E96AF3" w14:textId="77777777" w:rsidR="00702931" w:rsidRPr="00BD2844" w:rsidRDefault="00702931" w:rsidP="00397897">
            <w:pPr>
              <w:rPr>
                <w:rFonts w:ascii="Arial Narrow" w:hAnsi="Arial Narrow"/>
                <w:sz w:val="20"/>
                <w:szCs w:val="20"/>
              </w:rPr>
            </w:pPr>
          </w:p>
        </w:tc>
        <w:tc>
          <w:tcPr>
            <w:tcW w:w="4295" w:type="pct"/>
            <w:gridSpan w:val="5"/>
          </w:tcPr>
          <w:p w14:paraId="33B8BF00" w14:textId="77777777" w:rsidR="00702931" w:rsidRPr="00BD2844" w:rsidRDefault="00702931" w:rsidP="00397897">
            <w:pPr>
              <w:rPr>
                <w:rFonts w:ascii="Arial Narrow" w:eastAsia="Calibri" w:hAnsi="Arial Narrow"/>
                <w:sz w:val="20"/>
                <w:szCs w:val="20"/>
              </w:rPr>
            </w:pPr>
            <w:r w:rsidRPr="00BD2844">
              <w:rPr>
                <w:rFonts w:ascii="Arial Narrow" w:hAnsi="Arial Narrow"/>
                <w:b/>
                <w:sz w:val="20"/>
                <w:szCs w:val="20"/>
              </w:rPr>
              <w:t xml:space="preserve">Restriction type:  </w:t>
            </w:r>
            <w:r w:rsidRPr="00BD2844">
              <w:rPr>
                <w:rFonts w:ascii="Arial Narrow" w:eastAsia="Calibri" w:hAnsi="Arial Narrow"/>
                <w:sz w:val="20"/>
                <w:szCs w:val="20"/>
              </w:rPr>
              <w:fldChar w:fldCharType="begin">
                <w:ffData>
                  <w:name w:val=""/>
                  <w:enabled/>
                  <w:calcOnExit w:val="0"/>
                  <w:checkBox>
                    <w:sizeAuto/>
                    <w:default w:val="1"/>
                  </w:checkBox>
                </w:ffData>
              </w:fldChar>
            </w:r>
            <w:r w:rsidRPr="00BD2844">
              <w:rPr>
                <w:rFonts w:ascii="Arial Narrow" w:eastAsia="Calibri" w:hAnsi="Arial Narrow"/>
                <w:sz w:val="20"/>
                <w:szCs w:val="20"/>
              </w:rPr>
              <w:instrText xml:space="preserve"> FORMCHECKBOX </w:instrText>
            </w:r>
            <w:r w:rsidRPr="00BD2844">
              <w:rPr>
                <w:rFonts w:ascii="Arial Narrow" w:eastAsia="Calibri" w:hAnsi="Arial Narrow"/>
                <w:sz w:val="20"/>
                <w:szCs w:val="20"/>
              </w:rPr>
            </w:r>
            <w:r w:rsidRPr="00BD2844">
              <w:rPr>
                <w:rFonts w:ascii="Arial Narrow" w:eastAsia="Calibri" w:hAnsi="Arial Narrow"/>
                <w:sz w:val="20"/>
                <w:szCs w:val="20"/>
              </w:rPr>
              <w:fldChar w:fldCharType="separate"/>
            </w:r>
            <w:r w:rsidRPr="00BD2844">
              <w:rPr>
                <w:rFonts w:ascii="Arial Narrow" w:eastAsia="Calibri" w:hAnsi="Arial Narrow"/>
                <w:sz w:val="20"/>
                <w:szCs w:val="20"/>
              </w:rPr>
              <w:fldChar w:fldCharType="end"/>
            </w:r>
            <w:r w:rsidRPr="00BD2844">
              <w:rPr>
                <w:rFonts w:ascii="Arial Narrow" w:eastAsia="Calibri" w:hAnsi="Arial Narrow"/>
                <w:sz w:val="20"/>
                <w:szCs w:val="20"/>
              </w:rPr>
              <w:t>Authority Required (STREAMLINED) [NEW]</w:t>
            </w:r>
            <w:r w:rsidRPr="00BD2844">
              <w:rPr>
                <w:rFonts w:ascii="Arial Narrow" w:eastAsia="Calibri" w:hAnsi="Arial Narrow"/>
                <w:color w:val="FF0000"/>
                <w:sz w:val="20"/>
                <w:szCs w:val="20"/>
              </w:rPr>
              <w:t xml:space="preserve"> </w:t>
            </w:r>
          </w:p>
        </w:tc>
      </w:tr>
      <w:tr w:rsidR="00702931" w:rsidRPr="00BD2844" w14:paraId="595A92AA" w14:textId="77777777" w:rsidTr="0060195C">
        <w:tblPrEx>
          <w:tblCellMar>
            <w:top w:w="15" w:type="dxa"/>
            <w:bottom w:w="15" w:type="dxa"/>
          </w:tblCellMar>
          <w:tblLook w:val="04A0" w:firstRow="1" w:lastRow="0" w:firstColumn="1" w:lastColumn="0" w:noHBand="0" w:noVBand="1"/>
        </w:tblPrEx>
        <w:trPr>
          <w:trHeight w:val="20"/>
        </w:trPr>
        <w:tc>
          <w:tcPr>
            <w:tcW w:w="312" w:type="pct"/>
            <w:vMerge w:val="restart"/>
            <w:textDirection w:val="btLr"/>
            <w:vAlign w:val="center"/>
          </w:tcPr>
          <w:p w14:paraId="566CF4D1" w14:textId="77777777" w:rsidR="00702931" w:rsidRPr="00BD2844" w:rsidRDefault="00702931" w:rsidP="00397897">
            <w:pPr>
              <w:jc w:val="center"/>
              <w:rPr>
                <w:rFonts w:ascii="Arial Narrow" w:hAnsi="Arial Narrow"/>
                <w:color w:val="333333"/>
                <w:sz w:val="12"/>
                <w:szCs w:val="12"/>
              </w:rPr>
            </w:pPr>
            <w:r w:rsidRPr="00BD2844">
              <w:rPr>
                <w:rFonts w:ascii="Arial Narrow" w:hAnsi="Arial Narrow"/>
                <w:i/>
                <w:color w:val="333333"/>
                <w:sz w:val="12"/>
                <w:szCs w:val="12"/>
              </w:rPr>
              <w:t>Prescribing</w:t>
            </w:r>
            <w:r w:rsidRPr="00BD2844">
              <w:rPr>
                <w:rFonts w:ascii="Arial Narrow" w:hAnsi="Arial Narrow"/>
                <w:color w:val="333333"/>
                <w:sz w:val="12"/>
                <w:szCs w:val="12"/>
              </w:rPr>
              <w:t xml:space="preserve"> rule level</w:t>
            </w:r>
          </w:p>
        </w:tc>
        <w:tc>
          <w:tcPr>
            <w:tcW w:w="393" w:type="pct"/>
            <w:vAlign w:val="center"/>
          </w:tcPr>
          <w:p w14:paraId="2CF8C6ED" w14:textId="477ACA4F" w:rsidR="00702931" w:rsidRPr="00BD2844" w:rsidRDefault="00702931" w:rsidP="00397897">
            <w:pPr>
              <w:ind w:hanging="35"/>
              <w:jc w:val="center"/>
              <w:rPr>
                <w:rFonts w:ascii="Arial Narrow" w:hAnsi="Arial Narrow"/>
                <w:bCs/>
                <w:sz w:val="20"/>
                <w:szCs w:val="20"/>
              </w:rPr>
            </w:pPr>
          </w:p>
        </w:tc>
        <w:tc>
          <w:tcPr>
            <w:tcW w:w="4295" w:type="pct"/>
            <w:gridSpan w:val="5"/>
            <w:vAlign w:val="center"/>
          </w:tcPr>
          <w:p w14:paraId="5EF43322" w14:textId="77777777" w:rsidR="00702931" w:rsidRPr="00BD2844" w:rsidRDefault="00702931" w:rsidP="00397897">
            <w:pPr>
              <w:rPr>
                <w:rFonts w:ascii="Arial Narrow" w:hAnsi="Arial Narrow"/>
                <w:b/>
                <w:bCs/>
                <w:i/>
                <w:iCs/>
                <w:sz w:val="20"/>
                <w:szCs w:val="20"/>
              </w:rPr>
            </w:pPr>
            <w:r w:rsidRPr="00BD2844">
              <w:rPr>
                <w:rFonts w:ascii="Arial Narrow" w:hAnsi="Arial Narrow"/>
                <w:b/>
                <w:bCs/>
                <w:i/>
                <w:iCs/>
                <w:sz w:val="20"/>
                <w:szCs w:val="20"/>
              </w:rPr>
              <w:t xml:space="preserve">Administrative Advice: </w:t>
            </w:r>
            <w:r w:rsidRPr="00BD2844">
              <w:rPr>
                <w:rFonts w:ascii="Arial Narrow" w:hAnsi="Arial Narrow"/>
                <w:bCs/>
                <w:i/>
                <w:iCs/>
                <w:sz w:val="20"/>
                <w:szCs w:val="20"/>
              </w:rPr>
              <w:t>No increase in the maximum number of repeats may be authorised.</w:t>
            </w:r>
          </w:p>
        </w:tc>
      </w:tr>
      <w:tr w:rsidR="00702931" w:rsidRPr="00BD2844" w14:paraId="1E32172A" w14:textId="77777777" w:rsidTr="0060195C">
        <w:tblPrEx>
          <w:tblCellMar>
            <w:top w:w="15" w:type="dxa"/>
            <w:bottom w:w="15" w:type="dxa"/>
          </w:tblCellMar>
          <w:tblLook w:val="04A0" w:firstRow="1" w:lastRow="0" w:firstColumn="1" w:lastColumn="0" w:noHBand="0" w:noVBand="1"/>
        </w:tblPrEx>
        <w:trPr>
          <w:trHeight w:val="39"/>
        </w:trPr>
        <w:tc>
          <w:tcPr>
            <w:tcW w:w="312" w:type="pct"/>
            <w:vMerge/>
            <w:vAlign w:val="center"/>
          </w:tcPr>
          <w:p w14:paraId="02B97282" w14:textId="77777777" w:rsidR="00702931" w:rsidRPr="00BD2844" w:rsidRDefault="00702931" w:rsidP="00397897">
            <w:pPr>
              <w:jc w:val="center"/>
              <w:rPr>
                <w:rFonts w:ascii="Arial Narrow" w:hAnsi="Arial Narrow"/>
                <w:color w:val="333333"/>
                <w:sz w:val="20"/>
                <w:szCs w:val="20"/>
              </w:rPr>
            </w:pPr>
          </w:p>
        </w:tc>
        <w:tc>
          <w:tcPr>
            <w:tcW w:w="393" w:type="pct"/>
            <w:vAlign w:val="center"/>
          </w:tcPr>
          <w:p w14:paraId="1F6A842D" w14:textId="4CB02619" w:rsidR="00702931" w:rsidRPr="00BD2844" w:rsidRDefault="00702931" w:rsidP="00397897">
            <w:pPr>
              <w:ind w:hanging="35"/>
              <w:jc w:val="center"/>
              <w:rPr>
                <w:rFonts w:ascii="Arial Narrow" w:hAnsi="Arial Narrow"/>
                <w:sz w:val="20"/>
                <w:szCs w:val="20"/>
              </w:rPr>
            </w:pPr>
          </w:p>
        </w:tc>
        <w:tc>
          <w:tcPr>
            <w:tcW w:w="4295" w:type="pct"/>
            <w:gridSpan w:val="5"/>
            <w:vAlign w:val="center"/>
          </w:tcPr>
          <w:p w14:paraId="545D6680" w14:textId="77777777" w:rsidR="00702931" w:rsidRPr="00BD2844" w:rsidRDefault="00702931" w:rsidP="00397897">
            <w:pPr>
              <w:rPr>
                <w:rFonts w:ascii="Arial Narrow" w:hAnsi="Arial Narrow"/>
                <w:b/>
                <w:bCs/>
                <w:i/>
                <w:iCs/>
                <w:sz w:val="20"/>
                <w:szCs w:val="20"/>
              </w:rPr>
            </w:pPr>
            <w:r w:rsidRPr="00BD2844">
              <w:rPr>
                <w:rFonts w:ascii="Arial Narrow" w:hAnsi="Arial Narrow"/>
                <w:b/>
                <w:bCs/>
                <w:i/>
                <w:iCs/>
                <w:sz w:val="20"/>
                <w:szCs w:val="20"/>
              </w:rPr>
              <w:t xml:space="preserve">Administrative Advice: </w:t>
            </w:r>
            <w:r w:rsidRPr="00BD2844">
              <w:rPr>
                <w:rFonts w:ascii="Arial Narrow" w:hAnsi="Arial Narrow"/>
                <w:bCs/>
                <w:i/>
                <w:iCs/>
                <w:sz w:val="20"/>
                <w:szCs w:val="20"/>
              </w:rPr>
              <w:t>Special Pricing Arrangements apply.</w:t>
            </w:r>
          </w:p>
        </w:tc>
      </w:tr>
      <w:tr w:rsidR="00702931" w:rsidRPr="00BD2844" w14:paraId="30981589"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02AF77DC" w14:textId="77777777" w:rsidR="00702931" w:rsidRPr="00BD2844" w:rsidRDefault="00702931" w:rsidP="00397897">
            <w:pPr>
              <w:jc w:val="center"/>
              <w:rPr>
                <w:rFonts w:ascii="Arial Narrow" w:hAnsi="Arial Narrow"/>
                <w:color w:val="333333"/>
                <w:sz w:val="20"/>
                <w:szCs w:val="20"/>
              </w:rPr>
            </w:pPr>
            <w:r w:rsidRPr="00BD2844">
              <w:rPr>
                <w:rFonts w:ascii="Arial Narrow" w:hAnsi="Arial Narrow"/>
                <w:color w:val="333333"/>
                <w:sz w:val="20"/>
                <w:szCs w:val="20"/>
              </w:rPr>
              <w:t>New I</w:t>
            </w:r>
          </w:p>
        </w:tc>
        <w:tc>
          <w:tcPr>
            <w:tcW w:w="4295" w:type="pct"/>
            <w:gridSpan w:val="5"/>
            <w:vAlign w:val="center"/>
            <w:hideMark/>
          </w:tcPr>
          <w:p w14:paraId="2095DEFB" w14:textId="77777777" w:rsidR="00702931" w:rsidRPr="00BD2844" w:rsidRDefault="00702931" w:rsidP="00397897">
            <w:pPr>
              <w:rPr>
                <w:rFonts w:ascii="Arial Narrow" w:hAnsi="Arial Narrow"/>
                <w:color w:val="333333"/>
                <w:sz w:val="20"/>
                <w:szCs w:val="20"/>
              </w:rPr>
            </w:pPr>
            <w:r w:rsidRPr="00BD2844">
              <w:rPr>
                <w:rFonts w:ascii="Arial Narrow" w:hAnsi="Arial Narrow"/>
                <w:b/>
                <w:bCs/>
                <w:color w:val="333333"/>
                <w:sz w:val="20"/>
                <w:szCs w:val="20"/>
              </w:rPr>
              <w:t>Indication:</w:t>
            </w:r>
            <w:r w:rsidRPr="00BD2844">
              <w:rPr>
                <w:rFonts w:ascii="Arial Narrow" w:hAnsi="Arial Narrow"/>
                <w:color w:val="333333"/>
                <w:sz w:val="20"/>
                <w:szCs w:val="20"/>
              </w:rPr>
              <w:t xml:space="preserve"> Advanced (unresectable) Barcelona Clinic Liver Cancer Stage A, Stage B or Stage C hepatocellular carcinoma</w:t>
            </w:r>
          </w:p>
        </w:tc>
      </w:tr>
      <w:tr w:rsidR="00702931" w:rsidRPr="00BD2844" w14:paraId="486624E0"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557EE4C9" w14:textId="77777777" w:rsidR="00702931" w:rsidRPr="00BD2844" w:rsidRDefault="00702931" w:rsidP="00397897">
            <w:pPr>
              <w:jc w:val="center"/>
              <w:rPr>
                <w:rFonts w:ascii="Arial Narrow" w:hAnsi="Arial Narrow"/>
                <w:color w:val="333333"/>
                <w:sz w:val="20"/>
                <w:szCs w:val="20"/>
              </w:rPr>
            </w:pPr>
          </w:p>
        </w:tc>
        <w:tc>
          <w:tcPr>
            <w:tcW w:w="4295" w:type="pct"/>
            <w:gridSpan w:val="5"/>
            <w:vAlign w:val="center"/>
            <w:hideMark/>
          </w:tcPr>
          <w:p w14:paraId="001BDFD2" w14:textId="77777777" w:rsidR="00702931" w:rsidRPr="00BD2844" w:rsidRDefault="00702931" w:rsidP="00397897">
            <w:pPr>
              <w:rPr>
                <w:rFonts w:ascii="Arial Narrow" w:hAnsi="Arial Narrow"/>
                <w:i/>
                <w:iCs/>
                <w:color w:val="FF0000"/>
                <w:sz w:val="20"/>
                <w:szCs w:val="20"/>
              </w:rPr>
            </w:pPr>
            <w:r w:rsidRPr="00BD2844">
              <w:rPr>
                <w:rFonts w:ascii="Arial Narrow" w:hAnsi="Arial Narrow"/>
                <w:b/>
                <w:bCs/>
                <w:color w:val="333333"/>
                <w:sz w:val="20"/>
                <w:szCs w:val="20"/>
              </w:rPr>
              <w:t>Treatment Phase:</w:t>
            </w:r>
            <w:r w:rsidRPr="00BD2844">
              <w:rPr>
                <w:rFonts w:ascii="Arial Narrow" w:hAnsi="Arial Narrow"/>
                <w:color w:val="FF0000"/>
                <w:sz w:val="20"/>
                <w:szCs w:val="20"/>
              </w:rPr>
              <w:t xml:space="preserve"> </w:t>
            </w:r>
            <w:r w:rsidRPr="00BD2844">
              <w:rPr>
                <w:rFonts w:ascii="Arial Narrow" w:hAnsi="Arial Narrow"/>
                <w:sz w:val="20"/>
                <w:szCs w:val="20"/>
              </w:rPr>
              <w:t xml:space="preserve">Induction therapy </w:t>
            </w:r>
          </w:p>
        </w:tc>
      </w:tr>
      <w:tr w:rsidR="00702931" w:rsidRPr="00BD2844" w14:paraId="1F0FD1D6"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11A177F3" w14:textId="1CB25F0E" w:rsidR="00702931" w:rsidRPr="00BD2844" w:rsidRDefault="00702931" w:rsidP="00397897">
            <w:pPr>
              <w:jc w:val="center"/>
              <w:rPr>
                <w:rFonts w:ascii="Arial Narrow" w:hAnsi="Arial Narrow"/>
                <w:sz w:val="20"/>
                <w:szCs w:val="20"/>
              </w:rPr>
            </w:pPr>
          </w:p>
        </w:tc>
        <w:tc>
          <w:tcPr>
            <w:tcW w:w="4295" w:type="pct"/>
            <w:gridSpan w:val="5"/>
            <w:vAlign w:val="center"/>
            <w:hideMark/>
          </w:tcPr>
          <w:p w14:paraId="7A836D94" w14:textId="77777777" w:rsidR="00702931" w:rsidRPr="00BD2844" w:rsidRDefault="00702931" w:rsidP="00397897">
            <w:pPr>
              <w:rPr>
                <w:rFonts w:ascii="Arial Narrow" w:hAnsi="Arial Narrow"/>
                <w:sz w:val="20"/>
                <w:szCs w:val="20"/>
              </w:rPr>
            </w:pPr>
            <w:r w:rsidRPr="00BD2844">
              <w:rPr>
                <w:rFonts w:ascii="Arial Narrow" w:hAnsi="Arial Narrow"/>
                <w:b/>
                <w:bCs/>
                <w:sz w:val="20"/>
                <w:szCs w:val="20"/>
              </w:rPr>
              <w:t xml:space="preserve">Clinical criteria: </w:t>
            </w:r>
            <w:r w:rsidRPr="00BD2844">
              <w:rPr>
                <w:rFonts w:ascii="Arial Narrow" w:hAnsi="Arial Narrow"/>
                <w:bCs/>
                <w:sz w:val="20"/>
                <w:szCs w:val="20"/>
              </w:rPr>
              <w:t>Patient must have a WHO performance status of 0 or 1</w:t>
            </w:r>
          </w:p>
        </w:tc>
      </w:tr>
      <w:tr w:rsidR="00702931" w:rsidRPr="00BD2844" w14:paraId="418F4BD8"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CF1B704"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2006D7BE"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AND</w:t>
            </w:r>
          </w:p>
        </w:tc>
      </w:tr>
      <w:tr w:rsidR="00702931" w:rsidRPr="00BD2844" w14:paraId="3B9FCCDC"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15D83AC"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6B912E08"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Clinical criteria:</w:t>
            </w:r>
          </w:p>
        </w:tc>
      </w:tr>
      <w:tr w:rsidR="00702931" w:rsidRPr="00BD2844" w14:paraId="61A960A2"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C82F9BF" w14:textId="01F56AFD" w:rsidR="00702931" w:rsidRPr="00BD2844" w:rsidRDefault="00702931" w:rsidP="00397897">
            <w:pPr>
              <w:jc w:val="center"/>
              <w:rPr>
                <w:rFonts w:ascii="Arial Narrow" w:hAnsi="Arial Narrow"/>
                <w:sz w:val="20"/>
                <w:szCs w:val="20"/>
              </w:rPr>
            </w:pPr>
          </w:p>
        </w:tc>
        <w:tc>
          <w:tcPr>
            <w:tcW w:w="4295" w:type="pct"/>
            <w:gridSpan w:val="5"/>
            <w:vAlign w:val="center"/>
          </w:tcPr>
          <w:p w14:paraId="47B40ED2" w14:textId="77777777" w:rsidR="00702931" w:rsidRPr="00BD2844" w:rsidRDefault="00702931" w:rsidP="00397897">
            <w:pPr>
              <w:rPr>
                <w:rFonts w:ascii="Arial Narrow" w:hAnsi="Arial Narrow"/>
                <w:i/>
                <w:iCs/>
                <w:sz w:val="20"/>
                <w:szCs w:val="20"/>
              </w:rPr>
            </w:pPr>
            <w:r w:rsidRPr="00BD2844">
              <w:rPr>
                <w:rFonts w:ascii="Arial Narrow" w:hAnsi="Arial Narrow"/>
                <w:sz w:val="20"/>
                <w:szCs w:val="20"/>
              </w:rPr>
              <w:t xml:space="preserve">Patient must not be suitable for curative surgical </w:t>
            </w:r>
            <w:r w:rsidRPr="00BD2844">
              <w:rPr>
                <w:rFonts w:ascii="Arial Narrow" w:hAnsi="Arial Narrow"/>
                <w:i/>
                <w:iCs/>
                <w:sz w:val="20"/>
                <w:szCs w:val="20"/>
              </w:rPr>
              <w:t xml:space="preserve">therapies </w:t>
            </w:r>
            <w:r w:rsidRPr="00BD2844">
              <w:rPr>
                <w:rFonts w:ascii="Arial Narrow" w:hAnsi="Arial Narrow"/>
                <w:strike/>
                <w:sz w:val="20"/>
                <w:szCs w:val="20"/>
              </w:rPr>
              <w:t>and/or locoregional therapies</w:t>
            </w:r>
            <w:r w:rsidRPr="00BD2844">
              <w:rPr>
                <w:rFonts w:ascii="Arial Narrow" w:hAnsi="Arial Narrow"/>
                <w:sz w:val="20"/>
                <w:szCs w:val="20"/>
              </w:rPr>
              <w:t xml:space="preserve"> </w:t>
            </w:r>
            <w:r w:rsidRPr="00BD2844">
              <w:rPr>
                <w:rFonts w:ascii="Arial Narrow" w:hAnsi="Arial Narrow"/>
                <w:i/>
                <w:iCs/>
                <w:sz w:val="20"/>
                <w:szCs w:val="20"/>
              </w:rPr>
              <w:t>OR</w:t>
            </w:r>
          </w:p>
        </w:tc>
      </w:tr>
      <w:tr w:rsidR="00702931" w:rsidRPr="00BD2844" w14:paraId="2D39B7F8"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9ED1898" w14:textId="3F1629A7" w:rsidR="00702931" w:rsidRPr="00BD2844" w:rsidRDefault="00702931" w:rsidP="00397897">
            <w:pPr>
              <w:jc w:val="center"/>
              <w:rPr>
                <w:rFonts w:ascii="Arial Narrow" w:hAnsi="Arial Narrow"/>
                <w:sz w:val="20"/>
                <w:szCs w:val="20"/>
              </w:rPr>
            </w:pPr>
          </w:p>
        </w:tc>
        <w:tc>
          <w:tcPr>
            <w:tcW w:w="4295" w:type="pct"/>
            <w:gridSpan w:val="5"/>
            <w:vAlign w:val="center"/>
          </w:tcPr>
          <w:p w14:paraId="57D54EB7" w14:textId="77777777" w:rsidR="00702931" w:rsidRPr="00BD2844" w:rsidRDefault="00702931" w:rsidP="00397897">
            <w:pPr>
              <w:rPr>
                <w:rFonts w:ascii="Arial Narrow" w:hAnsi="Arial Narrow"/>
                <w:i/>
                <w:iCs/>
                <w:sz w:val="20"/>
                <w:szCs w:val="20"/>
              </w:rPr>
            </w:pPr>
            <w:r w:rsidRPr="00BD2844">
              <w:rPr>
                <w:rFonts w:ascii="Arial Narrow" w:hAnsi="Arial Narrow"/>
                <w:i/>
                <w:iCs/>
                <w:sz w:val="20"/>
                <w:szCs w:val="20"/>
              </w:rPr>
              <w:t>Patient must not be suitable for locoregional therapies</w:t>
            </w:r>
          </w:p>
        </w:tc>
      </w:tr>
      <w:tr w:rsidR="00702931" w:rsidRPr="00BD2844" w14:paraId="2B02F406"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A5377BE"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0F2574EA"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AND</w:t>
            </w:r>
          </w:p>
        </w:tc>
      </w:tr>
      <w:tr w:rsidR="00702931" w:rsidRPr="00BD2844" w14:paraId="5CF8E53F"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B585ACE"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77A05564"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Clinical criteria:</w:t>
            </w:r>
          </w:p>
        </w:tc>
      </w:tr>
      <w:tr w:rsidR="00702931" w:rsidRPr="00BD2844" w14:paraId="3B74E7EC"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37F8EE8" w14:textId="5048B8EC" w:rsidR="00702931" w:rsidRPr="00BD2844" w:rsidRDefault="00702931" w:rsidP="00397897">
            <w:pPr>
              <w:jc w:val="center"/>
              <w:rPr>
                <w:rFonts w:ascii="Arial Narrow" w:hAnsi="Arial Narrow"/>
                <w:sz w:val="20"/>
                <w:szCs w:val="20"/>
              </w:rPr>
            </w:pPr>
          </w:p>
        </w:tc>
        <w:tc>
          <w:tcPr>
            <w:tcW w:w="4295" w:type="pct"/>
            <w:gridSpan w:val="5"/>
            <w:vAlign w:val="center"/>
          </w:tcPr>
          <w:p w14:paraId="5F9A3F22"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Patient must have Child Pugh class A</w:t>
            </w:r>
          </w:p>
        </w:tc>
      </w:tr>
      <w:tr w:rsidR="00702931" w:rsidRPr="00BD2844" w14:paraId="01ED0041"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EF22A25"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7B478602"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AND</w:t>
            </w:r>
          </w:p>
        </w:tc>
      </w:tr>
      <w:tr w:rsidR="00702931" w:rsidRPr="00BD2844" w14:paraId="44B93B81"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C2F6519"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414665B9"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Clinical criteria:</w:t>
            </w:r>
          </w:p>
        </w:tc>
      </w:tr>
      <w:tr w:rsidR="00702931" w:rsidRPr="00BD2844" w14:paraId="18DD38B9"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12CA0C7" w14:textId="10EB0AA2" w:rsidR="00702931" w:rsidRPr="00BD2844" w:rsidRDefault="00702931" w:rsidP="00397897">
            <w:pPr>
              <w:jc w:val="center"/>
              <w:rPr>
                <w:rFonts w:ascii="Arial Narrow" w:hAnsi="Arial Narrow"/>
                <w:sz w:val="20"/>
                <w:szCs w:val="20"/>
              </w:rPr>
            </w:pPr>
          </w:p>
        </w:tc>
        <w:tc>
          <w:tcPr>
            <w:tcW w:w="4295" w:type="pct"/>
            <w:gridSpan w:val="5"/>
            <w:vAlign w:val="center"/>
          </w:tcPr>
          <w:p w14:paraId="7820AEC2"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The condition must be untreated with systemic therapy; OR</w:t>
            </w:r>
          </w:p>
        </w:tc>
      </w:tr>
      <w:tr w:rsidR="00702931" w:rsidRPr="00BD2844" w14:paraId="60BFAFBD"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9D5C893" w14:textId="2403949D" w:rsidR="00702931" w:rsidRPr="00BD2844" w:rsidRDefault="00702931" w:rsidP="00397897">
            <w:pPr>
              <w:jc w:val="center"/>
              <w:rPr>
                <w:rFonts w:ascii="Arial Narrow" w:hAnsi="Arial Narrow"/>
                <w:i/>
                <w:iCs/>
                <w:sz w:val="20"/>
                <w:szCs w:val="20"/>
              </w:rPr>
            </w:pPr>
          </w:p>
        </w:tc>
        <w:tc>
          <w:tcPr>
            <w:tcW w:w="4295" w:type="pct"/>
            <w:gridSpan w:val="5"/>
            <w:vAlign w:val="center"/>
          </w:tcPr>
          <w:p w14:paraId="197CB886"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 xml:space="preserve">Patient must have developed intolerance </w:t>
            </w:r>
            <w:r w:rsidRPr="00BD2844">
              <w:rPr>
                <w:rFonts w:ascii="Arial Narrow" w:hAnsi="Arial Narrow"/>
                <w:i/>
                <w:iCs/>
                <w:sz w:val="20"/>
                <w:szCs w:val="20"/>
              </w:rPr>
              <w:t>to</w:t>
            </w:r>
            <w:r w:rsidRPr="00BD2844">
              <w:rPr>
                <w:rFonts w:ascii="Arial Narrow" w:hAnsi="Arial Narrow"/>
                <w:sz w:val="20"/>
                <w:szCs w:val="20"/>
              </w:rPr>
              <w:t xml:space="preserve"> </w:t>
            </w:r>
            <w:r w:rsidRPr="00BD2844">
              <w:rPr>
                <w:rFonts w:ascii="Arial Narrow" w:hAnsi="Arial Narrow"/>
                <w:strike/>
                <w:sz w:val="20"/>
                <w:szCs w:val="20"/>
              </w:rPr>
              <w:t>of a severity necessitating permanent treatment</w:t>
            </w:r>
            <w:r w:rsidRPr="00BD2844">
              <w:rPr>
                <w:rFonts w:ascii="Arial Narrow" w:hAnsi="Arial Narrow"/>
                <w:sz w:val="20"/>
                <w:szCs w:val="20"/>
              </w:rPr>
              <w:t xml:space="preserve"> </w:t>
            </w:r>
            <w:r w:rsidRPr="00BD2844">
              <w:rPr>
                <w:rFonts w:ascii="Arial Narrow" w:hAnsi="Arial Narrow"/>
                <w:strike/>
                <w:sz w:val="20"/>
                <w:szCs w:val="20"/>
              </w:rPr>
              <w:t>withdrawal to any of the following: (i)</w:t>
            </w:r>
            <w:r w:rsidRPr="00BD2844">
              <w:rPr>
                <w:rFonts w:ascii="Arial Narrow" w:hAnsi="Arial Narrow"/>
                <w:sz w:val="20"/>
                <w:szCs w:val="20"/>
              </w:rPr>
              <w:t xml:space="preserve"> a vascular endothelial growth factor (VEGF) tyrosine kinase inhibitor (TKI)</w:t>
            </w:r>
            <w:r w:rsidRPr="00BD2844">
              <w:rPr>
                <w:rFonts w:ascii="Arial Narrow" w:hAnsi="Arial Narrow"/>
                <w:strike/>
                <w:sz w:val="20"/>
                <w:szCs w:val="20"/>
              </w:rPr>
              <w:t>, (ii) atezolizumab/bevacizumab combination therapy</w:t>
            </w:r>
            <w:r w:rsidRPr="00BD2844">
              <w:rPr>
                <w:rFonts w:ascii="Arial Narrow" w:hAnsi="Arial Narrow"/>
                <w:sz w:val="20"/>
                <w:szCs w:val="20"/>
              </w:rPr>
              <w:t xml:space="preserve"> </w:t>
            </w:r>
            <w:r w:rsidRPr="00BD2844">
              <w:rPr>
                <w:rFonts w:ascii="Arial Narrow" w:hAnsi="Arial Narrow"/>
                <w:i/>
                <w:iCs/>
                <w:sz w:val="20"/>
                <w:szCs w:val="20"/>
              </w:rPr>
              <w:t>of a severity necessitating permanent treatment withdrawal</w:t>
            </w:r>
            <w:r w:rsidRPr="00BD2844">
              <w:rPr>
                <w:rFonts w:ascii="Arial Narrow" w:hAnsi="Arial Narrow"/>
                <w:sz w:val="20"/>
                <w:szCs w:val="20"/>
              </w:rPr>
              <w:t>.</w:t>
            </w:r>
          </w:p>
        </w:tc>
      </w:tr>
      <w:tr w:rsidR="00702931" w:rsidRPr="00BD2844" w14:paraId="7E03C68E"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4C5D54E"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2494DD8A"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Treatment criteria:</w:t>
            </w:r>
          </w:p>
        </w:tc>
      </w:tr>
      <w:tr w:rsidR="00702931" w:rsidRPr="00BD2844" w14:paraId="66512C39"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1E5241A" w14:textId="38690182" w:rsidR="00702931" w:rsidRPr="00BD2844" w:rsidRDefault="00702931" w:rsidP="00397897">
            <w:pPr>
              <w:jc w:val="center"/>
              <w:rPr>
                <w:rFonts w:ascii="Arial Narrow" w:hAnsi="Arial Narrow"/>
                <w:sz w:val="20"/>
                <w:szCs w:val="20"/>
              </w:rPr>
            </w:pPr>
          </w:p>
        </w:tc>
        <w:tc>
          <w:tcPr>
            <w:tcW w:w="4295" w:type="pct"/>
            <w:gridSpan w:val="5"/>
            <w:vAlign w:val="center"/>
          </w:tcPr>
          <w:p w14:paraId="7EA6F6A6" w14:textId="77777777" w:rsidR="00702931" w:rsidRPr="00BD2844" w:rsidRDefault="00702931" w:rsidP="00397897">
            <w:pPr>
              <w:rPr>
                <w:rFonts w:ascii="Arial Narrow" w:hAnsi="Arial Narrow"/>
                <w:color w:val="333333"/>
                <w:sz w:val="20"/>
                <w:szCs w:val="20"/>
              </w:rPr>
            </w:pPr>
            <w:r w:rsidRPr="00BD2844">
              <w:rPr>
                <w:rFonts w:ascii="Arial Narrow" w:hAnsi="Arial Narrow"/>
                <w:i/>
                <w:iCs/>
                <w:color w:val="333333"/>
                <w:sz w:val="20"/>
                <w:szCs w:val="20"/>
              </w:rPr>
              <w:t>Patient</w:t>
            </w:r>
            <w:r w:rsidRPr="00BD2844">
              <w:rPr>
                <w:rFonts w:ascii="Arial Narrow" w:hAnsi="Arial Narrow"/>
                <w:color w:val="333333"/>
                <w:sz w:val="20"/>
                <w:szCs w:val="20"/>
              </w:rPr>
              <w:t xml:space="preserve"> </w:t>
            </w:r>
            <w:r w:rsidRPr="00BD2844">
              <w:rPr>
                <w:rFonts w:ascii="Arial Narrow" w:hAnsi="Arial Narrow"/>
                <w:strike/>
                <w:color w:val="333333"/>
                <w:sz w:val="20"/>
                <w:szCs w:val="20"/>
              </w:rPr>
              <w:t>The treatment</w:t>
            </w:r>
            <w:r w:rsidRPr="00BD2844">
              <w:rPr>
                <w:rFonts w:ascii="Arial Narrow" w:hAnsi="Arial Narrow"/>
                <w:color w:val="333333"/>
                <w:sz w:val="20"/>
                <w:szCs w:val="20"/>
              </w:rPr>
              <w:t xml:space="preserve"> must </w:t>
            </w:r>
            <w:r w:rsidRPr="00BD2844">
              <w:rPr>
                <w:rFonts w:ascii="Arial Narrow" w:hAnsi="Arial Narrow"/>
                <w:i/>
                <w:iCs/>
                <w:color w:val="333333"/>
                <w:sz w:val="20"/>
                <w:szCs w:val="20"/>
              </w:rPr>
              <w:t>receive this</w:t>
            </w:r>
            <w:r w:rsidRPr="00BD2844">
              <w:rPr>
                <w:rFonts w:ascii="Arial Narrow" w:hAnsi="Arial Narrow"/>
                <w:color w:val="333333"/>
                <w:sz w:val="20"/>
                <w:szCs w:val="20"/>
              </w:rPr>
              <w:t xml:space="preserve"> drug in combination with PBS-subsidised treatment with ipilimumab as induction for this condition.</w:t>
            </w:r>
          </w:p>
        </w:tc>
      </w:tr>
      <w:tr w:rsidR="00702931" w:rsidRPr="00BD2844" w14:paraId="4C0DAEFF"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31A7287" w14:textId="2F6BB417" w:rsidR="00702931" w:rsidRPr="00BD2844" w:rsidRDefault="00702931" w:rsidP="00397897">
            <w:pPr>
              <w:jc w:val="center"/>
              <w:rPr>
                <w:rFonts w:ascii="Arial Narrow" w:hAnsi="Arial Narrow"/>
                <w:sz w:val="20"/>
                <w:szCs w:val="20"/>
              </w:rPr>
            </w:pPr>
          </w:p>
        </w:tc>
        <w:tc>
          <w:tcPr>
            <w:tcW w:w="4295" w:type="pct"/>
            <w:gridSpan w:val="5"/>
            <w:vAlign w:val="center"/>
          </w:tcPr>
          <w:p w14:paraId="38A88D7E" w14:textId="77777777" w:rsidR="00702931" w:rsidRPr="00BD2844" w:rsidRDefault="00702931" w:rsidP="00397897">
            <w:pPr>
              <w:rPr>
                <w:rFonts w:ascii="Arial Narrow" w:hAnsi="Arial Narrow"/>
                <w:b/>
                <w:bCs/>
                <w:color w:val="333333"/>
                <w:sz w:val="20"/>
                <w:szCs w:val="20"/>
              </w:rPr>
            </w:pPr>
            <w:r w:rsidRPr="00BD2844">
              <w:rPr>
                <w:rFonts w:ascii="Arial Narrow" w:hAnsi="Arial Narrow"/>
                <w:b/>
                <w:bCs/>
                <w:color w:val="333333"/>
                <w:sz w:val="20"/>
                <w:szCs w:val="20"/>
              </w:rPr>
              <w:t>Prescribing instructions:</w:t>
            </w:r>
          </w:p>
          <w:p w14:paraId="3548FC8E" w14:textId="77777777" w:rsidR="00702931" w:rsidRPr="00BD2844" w:rsidRDefault="00702931" w:rsidP="00397897">
            <w:pPr>
              <w:rPr>
                <w:rFonts w:ascii="Arial Narrow" w:hAnsi="Arial Narrow"/>
                <w:color w:val="333333"/>
                <w:sz w:val="20"/>
                <w:szCs w:val="20"/>
              </w:rPr>
            </w:pPr>
            <w:r w:rsidRPr="00BD2844">
              <w:rPr>
                <w:rFonts w:ascii="Arial Narrow" w:hAnsi="Arial Narrow"/>
                <w:color w:val="333333"/>
                <w:sz w:val="20"/>
                <w:szCs w:val="20"/>
              </w:rPr>
              <w:t>Induction treatment with nivolumab must not exceed a total of 4 doses at a maximum dose of 1 mg per kg every 3 weeks.</w:t>
            </w:r>
          </w:p>
        </w:tc>
      </w:tr>
      <w:tr w:rsidR="00702931" w:rsidRPr="00BD2844" w14:paraId="5F976A6F" w14:textId="77777777" w:rsidTr="0060195C">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3FF5D8E" w14:textId="51E8A45B" w:rsidR="00702931" w:rsidRPr="00BD2844" w:rsidRDefault="00702931" w:rsidP="00397897">
            <w:pPr>
              <w:jc w:val="center"/>
              <w:rPr>
                <w:rFonts w:ascii="Arial Narrow" w:hAnsi="Arial Narrow"/>
                <w:sz w:val="20"/>
                <w:szCs w:val="20"/>
              </w:rPr>
            </w:pPr>
          </w:p>
        </w:tc>
        <w:tc>
          <w:tcPr>
            <w:tcW w:w="4295" w:type="pct"/>
            <w:gridSpan w:val="5"/>
            <w:vAlign w:val="center"/>
          </w:tcPr>
          <w:p w14:paraId="36B4E029" w14:textId="77777777" w:rsidR="00702931" w:rsidRPr="00BD2844" w:rsidRDefault="00702931" w:rsidP="00397897">
            <w:pPr>
              <w:rPr>
                <w:rFonts w:ascii="Arial Narrow" w:hAnsi="Arial Narrow"/>
                <w:b/>
                <w:bCs/>
                <w:color w:val="333333"/>
                <w:sz w:val="20"/>
                <w:szCs w:val="20"/>
              </w:rPr>
            </w:pPr>
            <w:r w:rsidRPr="00BD2844">
              <w:rPr>
                <w:rFonts w:ascii="Arial Narrow" w:hAnsi="Arial Narrow"/>
                <w:b/>
                <w:bCs/>
                <w:color w:val="333333"/>
                <w:sz w:val="20"/>
                <w:szCs w:val="20"/>
              </w:rPr>
              <w:t>Prescribing instructions:</w:t>
            </w:r>
          </w:p>
          <w:p w14:paraId="54085AFC" w14:textId="77777777" w:rsidR="00702931" w:rsidRPr="00BD2844" w:rsidRDefault="00702931" w:rsidP="00397897">
            <w:pPr>
              <w:rPr>
                <w:rFonts w:ascii="Arial Narrow" w:hAnsi="Arial Narrow"/>
                <w:color w:val="333333"/>
                <w:sz w:val="20"/>
                <w:szCs w:val="20"/>
              </w:rPr>
            </w:pPr>
            <w:r w:rsidRPr="00BD2844">
              <w:rPr>
                <w:rFonts w:ascii="Arial Narrow" w:hAnsi="Arial Narrow"/>
                <w:color w:val="333333"/>
                <w:sz w:val="20"/>
                <w:szCs w:val="20"/>
              </w:rPr>
              <w:t>The patient's body weight must be documented in the patient's medical records at the time treatment is initiated.</w:t>
            </w:r>
          </w:p>
        </w:tc>
      </w:tr>
    </w:tbl>
    <w:p w14:paraId="2536D1D9" w14:textId="77777777" w:rsidR="0060195C" w:rsidRDefault="0060195C" w:rsidP="0060195C">
      <w:pPr>
        <w:pStyle w:val="FooterTableFigure"/>
        <w:keepNext/>
        <w:keepLines/>
      </w:pPr>
      <w:proofErr w:type="spellStart"/>
      <w:r w:rsidRPr="00BD2844">
        <w:rPr>
          <w:vertAlign w:val="superscript"/>
        </w:rPr>
        <w:t>a</w:t>
      </w:r>
      <w:proofErr w:type="spellEnd"/>
      <w:r w:rsidRPr="00BD2844">
        <w:t xml:space="preserve"> Effective prices are indicative as reported by the submission; based on the cost-minimised price calculated using an assumed effective price for atezolizumab.</w:t>
      </w:r>
    </w:p>
    <w:p w14:paraId="597F090D" w14:textId="3E8EC756" w:rsidR="00BB2E6B" w:rsidRDefault="00BB2E6B">
      <w:pPr>
        <w:jc w:val="left"/>
        <w:rPr>
          <w:rFonts w:ascii="Arial Narrow" w:hAnsi="Arial Narrow"/>
          <w:snapToGrid w:val="0"/>
          <w:sz w:val="18"/>
          <w:szCs w:val="22"/>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Nivolumab - treatment phase - maintenance therapy"/>
      </w:tblPr>
      <w:tblGrid>
        <w:gridCol w:w="562"/>
        <w:gridCol w:w="709"/>
        <w:gridCol w:w="709"/>
        <w:gridCol w:w="1558"/>
        <w:gridCol w:w="3120"/>
        <w:gridCol w:w="1275"/>
        <w:gridCol w:w="1084"/>
      </w:tblGrid>
      <w:tr w:rsidR="004F2228" w:rsidRPr="00BD2844" w14:paraId="289A46B4" w14:textId="77777777" w:rsidTr="00A35D1C">
        <w:trPr>
          <w:cantSplit/>
          <w:trHeight w:val="20"/>
        </w:trPr>
        <w:tc>
          <w:tcPr>
            <w:tcW w:w="1098" w:type="pct"/>
            <w:gridSpan w:val="3"/>
            <w:vAlign w:val="center"/>
          </w:tcPr>
          <w:p w14:paraId="235D39BC" w14:textId="77777777" w:rsidR="004F2228" w:rsidRPr="00BD2844" w:rsidRDefault="004F2228" w:rsidP="00397897">
            <w:pPr>
              <w:rPr>
                <w:rFonts w:ascii="Arial Narrow" w:hAnsi="Arial Narrow"/>
                <w:b/>
                <w:bCs/>
                <w:sz w:val="20"/>
                <w:szCs w:val="20"/>
              </w:rPr>
            </w:pPr>
            <w:r w:rsidRPr="00BD2844">
              <w:rPr>
                <w:rFonts w:ascii="Arial Narrow" w:hAnsi="Arial Narrow"/>
                <w:b/>
                <w:bCs/>
                <w:sz w:val="20"/>
                <w:szCs w:val="20"/>
              </w:rPr>
              <w:lastRenderedPageBreak/>
              <w:t>MEDICINAL PRODUCT</w:t>
            </w:r>
          </w:p>
          <w:p w14:paraId="4A7CA7BB" w14:textId="77777777" w:rsidR="004F2228" w:rsidRPr="00BD2844" w:rsidRDefault="004F2228" w:rsidP="00397897">
            <w:pPr>
              <w:rPr>
                <w:rFonts w:ascii="Arial Narrow" w:hAnsi="Arial Narrow"/>
                <w:b/>
                <w:sz w:val="20"/>
                <w:szCs w:val="20"/>
              </w:rPr>
            </w:pPr>
            <w:r w:rsidRPr="00BD2844">
              <w:rPr>
                <w:rFonts w:ascii="Arial Narrow" w:hAnsi="Arial Narrow"/>
                <w:b/>
                <w:sz w:val="20"/>
                <w:szCs w:val="20"/>
              </w:rPr>
              <w:t>Form</w:t>
            </w:r>
          </w:p>
        </w:tc>
        <w:tc>
          <w:tcPr>
            <w:tcW w:w="864" w:type="pct"/>
            <w:vAlign w:val="center"/>
          </w:tcPr>
          <w:p w14:paraId="0D1B6423" w14:textId="77777777" w:rsidR="004F2228" w:rsidRPr="00BD2844" w:rsidRDefault="004F2228" w:rsidP="00397897">
            <w:pPr>
              <w:jc w:val="center"/>
              <w:rPr>
                <w:rFonts w:ascii="Arial Narrow" w:hAnsi="Arial Narrow"/>
                <w:b/>
                <w:sz w:val="20"/>
                <w:szCs w:val="20"/>
              </w:rPr>
            </w:pPr>
            <w:r w:rsidRPr="00BD2844">
              <w:rPr>
                <w:rFonts w:ascii="Arial Narrow" w:hAnsi="Arial Narrow"/>
                <w:b/>
                <w:sz w:val="20"/>
                <w:szCs w:val="20"/>
              </w:rPr>
              <w:t>PBS item code</w:t>
            </w:r>
          </w:p>
        </w:tc>
        <w:tc>
          <w:tcPr>
            <w:tcW w:w="1730" w:type="pct"/>
            <w:vAlign w:val="center"/>
          </w:tcPr>
          <w:p w14:paraId="2B3B80E2" w14:textId="6A0091FD" w:rsidR="004F2228" w:rsidRPr="00BD2844" w:rsidRDefault="004F2228" w:rsidP="00397897">
            <w:pPr>
              <w:jc w:val="center"/>
              <w:rPr>
                <w:rFonts w:ascii="Arial Narrow" w:hAnsi="Arial Narrow"/>
                <w:b/>
                <w:sz w:val="20"/>
                <w:szCs w:val="20"/>
              </w:rPr>
            </w:pPr>
            <w:r w:rsidRPr="00A80F63">
              <w:rPr>
                <w:rFonts w:ascii="Arial Narrow" w:hAnsi="Arial Narrow"/>
                <w:b/>
                <w:sz w:val="20"/>
                <w:szCs w:val="20"/>
              </w:rPr>
              <w:t>Dispensed Price Max</w:t>
            </w:r>
            <w:r w:rsidR="00723C3C">
              <w:rPr>
                <w:rFonts w:ascii="Arial Narrow" w:hAnsi="Arial Narrow"/>
                <w:b/>
                <w:sz w:val="20"/>
                <w:szCs w:val="20"/>
              </w:rPr>
              <w:t>.</w:t>
            </w:r>
            <w:r w:rsidRPr="00A80F63">
              <w:rPr>
                <w:rFonts w:ascii="Arial Narrow" w:hAnsi="Arial Narrow"/>
                <w:b/>
                <w:sz w:val="20"/>
                <w:szCs w:val="20"/>
              </w:rPr>
              <w:t xml:space="preserve"> Am</w:t>
            </w:r>
            <w:r w:rsidR="002A2772">
              <w:rPr>
                <w:rFonts w:ascii="Arial Narrow" w:hAnsi="Arial Narrow"/>
                <w:b/>
                <w:sz w:val="20"/>
                <w:szCs w:val="20"/>
              </w:rPr>
              <w:t>ount</w:t>
            </w:r>
          </w:p>
        </w:tc>
        <w:tc>
          <w:tcPr>
            <w:tcW w:w="707" w:type="pct"/>
            <w:vAlign w:val="center"/>
          </w:tcPr>
          <w:p w14:paraId="24CC30AD" w14:textId="77777777" w:rsidR="004F2228" w:rsidRPr="00BD2844" w:rsidRDefault="004F2228" w:rsidP="00397897">
            <w:pPr>
              <w:jc w:val="center"/>
              <w:rPr>
                <w:rFonts w:ascii="Arial Narrow" w:hAnsi="Arial Narrow"/>
                <w:b/>
                <w:sz w:val="20"/>
                <w:szCs w:val="20"/>
              </w:rPr>
            </w:pPr>
            <w:r w:rsidRPr="00BD2844">
              <w:rPr>
                <w:rFonts w:ascii="Arial Narrow" w:hAnsi="Arial Narrow"/>
                <w:b/>
                <w:sz w:val="20"/>
                <w:szCs w:val="20"/>
              </w:rPr>
              <w:t>Max. Amount</w:t>
            </w:r>
          </w:p>
        </w:tc>
        <w:tc>
          <w:tcPr>
            <w:tcW w:w="601" w:type="pct"/>
            <w:vAlign w:val="center"/>
          </w:tcPr>
          <w:p w14:paraId="487416C4" w14:textId="77777777" w:rsidR="004F2228" w:rsidRPr="00BD2844" w:rsidRDefault="004F2228" w:rsidP="00397897">
            <w:pPr>
              <w:jc w:val="center"/>
              <w:rPr>
                <w:rFonts w:ascii="Arial Narrow" w:hAnsi="Arial Narrow"/>
                <w:b/>
                <w:sz w:val="20"/>
                <w:szCs w:val="20"/>
              </w:rPr>
            </w:pPr>
            <w:r w:rsidRPr="00BD2844">
              <w:rPr>
                <w:rFonts w:ascii="Arial Narrow" w:hAnsi="Arial Narrow"/>
                <w:b/>
                <w:sz w:val="20"/>
                <w:szCs w:val="20"/>
              </w:rPr>
              <w:t>№.of Rpts</w:t>
            </w:r>
          </w:p>
        </w:tc>
      </w:tr>
      <w:tr w:rsidR="004F2228" w:rsidRPr="00BD2844" w14:paraId="4843389A" w14:textId="77777777" w:rsidTr="00A35D1C">
        <w:trPr>
          <w:cantSplit/>
          <w:trHeight w:val="20"/>
        </w:trPr>
        <w:tc>
          <w:tcPr>
            <w:tcW w:w="1098" w:type="pct"/>
            <w:gridSpan w:val="3"/>
            <w:vAlign w:val="center"/>
          </w:tcPr>
          <w:p w14:paraId="419737A4" w14:textId="77777777" w:rsidR="004F2228" w:rsidRPr="00BD2844" w:rsidRDefault="004F2228" w:rsidP="00397897">
            <w:pPr>
              <w:rPr>
                <w:rFonts w:ascii="Arial Narrow" w:hAnsi="Arial Narrow"/>
                <w:sz w:val="20"/>
                <w:szCs w:val="20"/>
              </w:rPr>
            </w:pPr>
            <w:r w:rsidRPr="00BD2844">
              <w:rPr>
                <w:rFonts w:ascii="Arial Narrow" w:hAnsi="Arial Narrow"/>
                <w:sz w:val="20"/>
                <w:szCs w:val="20"/>
              </w:rPr>
              <w:t>Nivolumab Injection</w:t>
            </w:r>
          </w:p>
        </w:tc>
        <w:tc>
          <w:tcPr>
            <w:tcW w:w="864" w:type="pct"/>
            <w:vAlign w:val="center"/>
          </w:tcPr>
          <w:p w14:paraId="039BF437" w14:textId="77777777" w:rsidR="004F2228" w:rsidRDefault="004F2228" w:rsidP="00397897">
            <w:pPr>
              <w:jc w:val="center"/>
              <w:rPr>
                <w:rFonts w:ascii="Arial Narrow" w:hAnsi="Arial Narrow"/>
                <w:sz w:val="20"/>
                <w:szCs w:val="20"/>
              </w:rPr>
            </w:pPr>
            <w:r w:rsidRPr="00BD2844">
              <w:rPr>
                <w:rFonts w:ascii="Arial Narrow" w:hAnsi="Arial Narrow"/>
                <w:sz w:val="20"/>
                <w:szCs w:val="20"/>
              </w:rPr>
              <w:t>NEW (HB)</w:t>
            </w:r>
          </w:p>
          <w:p w14:paraId="77557DCD" w14:textId="10F49D67" w:rsidR="004F2228" w:rsidRPr="00BD2844" w:rsidRDefault="004F2228" w:rsidP="00397897">
            <w:pPr>
              <w:jc w:val="center"/>
              <w:rPr>
                <w:rFonts w:ascii="Arial Narrow" w:hAnsi="Arial Narrow"/>
                <w:sz w:val="20"/>
                <w:szCs w:val="20"/>
              </w:rPr>
            </w:pPr>
            <w:r w:rsidRPr="00BD2844">
              <w:rPr>
                <w:rFonts w:ascii="Arial Narrow" w:hAnsi="Arial Narrow"/>
                <w:sz w:val="20"/>
                <w:szCs w:val="20"/>
              </w:rPr>
              <w:t>NEW (HS)</w:t>
            </w:r>
          </w:p>
        </w:tc>
        <w:tc>
          <w:tcPr>
            <w:tcW w:w="1730" w:type="pct"/>
            <w:vAlign w:val="center"/>
          </w:tcPr>
          <w:p w14:paraId="21C91A38" w14:textId="77777777" w:rsidR="00A35D1C" w:rsidRPr="00D17BC7" w:rsidRDefault="00A35D1C" w:rsidP="00A35D1C">
            <w:pPr>
              <w:pStyle w:val="Tabletext"/>
              <w:keepNext/>
              <w:keepLines/>
              <w:widowControl w:val="0"/>
              <w:rPr>
                <w:bCs/>
              </w:rPr>
            </w:pPr>
            <w:r w:rsidRPr="00D17BC7">
              <w:rPr>
                <w:bCs/>
              </w:rPr>
              <w:t>$9,736.96 [Published, Private Hospital]</w:t>
            </w:r>
          </w:p>
          <w:p w14:paraId="3AFF9C7A" w14:textId="77777777" w:rsidR="00A35D1C" w:rsidRPr="00D17BC7" w:rsidRDefault="00A35D1C" w:rsidP="00A35D1C">
            <w:pPr>
              <w:pStyle w:val="Tabletext"/>
              <w:keepNext/>
              <w:keepLines/>
              <w:widowControl w:val="0"/>
              <w:rPr>
                <w:bCs/>
              </w:rPr>
            </w:pPr>
            <w:r w:rsidRPr="00D17BC7">
              <w:rPr>
                <w:bCs/>
              </w:rPr>
              <w:t>$9,559.69 [Published, Public Hospital]</w:t>
            </w:r>
          </w:p>
          <w:p w14:paraId="7B22CEC1" w14:textId="77777777" w:rsidR="00A35D1C" w:rsidRPr="00D17BC7" w:rsidRDefault="00A35D1C" w:rsidP="00A35D1C">
            <w:pPr>
              <w:pStyle w:val="Tabletext"/>
              <w:keepNext/>
              <w:keepLines/>
              <w:widowControl w:val="0"/>
              <w:rPr>
                <w:bCs/>
              </w:rPr>
            </w:pPr>
          </w:p>
          <w:p w14:paraId="0162CB89" w14:textId="4488077F" w:rsidR="00A35D1C" w:rsidRPr="00B4632B" w:rsidRDefault="00A35D1C" w:rsidP="00A35D1C">
            <w:pPr>
              <w:pStyle w:val="Tabletext"/>
              <w:keepNext/>
              <w:keepLines/>
              <w:widowControl w:val="0"/>
              <w:rPr>
                <w:bCs/>
                <w:szCs w:val="20"/>
              </w:rPr>
            </w:pPr>
            <w:r w:rsidRPr="00B4632B">
              <w:rPr>
                <w:bCs/>
                <w:szCs w:val="20"/>
              </w:rPr>
              <w:t>$</w:t>
            </w:r>
            <w:r w:rsidR="00D374F5" w:rsidRPr="00D374F5">
              <w:rPr>
                <w:bCs/>
                <w:color w:val="000000"/>
                <w:spacing w:val="56"/>
                <w:szCs w:val="20"/>
                <w:shd w:val="solid" w:color="000000" w:fill="000000"/>
                <w:fitText w:val="539" w:id="-623631360"/>
                <w14:textFill>
                  <w14:solidFill>
                    <w14:srgbClr w14:val="000000">
                      <w14:alpha w14:val="100000"/>
                    </w14:srgbClr>
                  </w14:solidFill>
                </w14:textFill>
              </w:rPr>
              <w:t>|||||</w:t>
            </w:r>
            <w:r w:rsidR="00D374F5" w:rsidRPr="00D374F5">
              <w:rPr>
                <w:bCs/>
                <w:color w:val="000000"/>
                <w:spacing w:val="4"/>
                <w:szCs w:val="20"/>
                <w:shd w:val="solid" w:color="000000" w:fill="000000"/>
                <w:fitText w:val="539" w:id="-623631360"/>
                <w14:textFill>
                  <w14:solidFill>
                    <w14:srgbClr w14:val="000000">
                      <w14:alpha w14:val="100000"/>
                    </w14:srgbClr>
                  </w14:solidFill>
                </w14:textFill>
              </w:rPr>
              <w:t>|</w:t>
            </w:r>
            <w:r w:rsidR="00D374F5">
              <w:rPr>
                <w:bCs/>
                <w:szCs w:val="20"/>
              </w:rPr>
              <w:t xml:space="preserve"> </w:t>
            </w:r>
            <w:r w:rsidRPr="00B4632B">
              <w:rPr>
                <w:bCs/>
                <w:szCs w:val="20"/>
                <w:vertAlign w:val="superscript"/>
              </w:rPr>
              <w:t xml:space="preserve">a </w:t>
            </w:r>
            <w:r w:rsidRPr="00B4632B">
              <w:rPr>
                <w:bCs/>
                <w:szCs w:val="20"/>
              </w:rPr>
              <w:t>[Effective, Private Hospital]</w:t>
            </w:r>
          </w:p>
          <w:p w14:paraId="2F8F6132" w14:textId="0135C171" w:rsidR="004F2228" w:rsidRPr="00D17BC7" w:rsidRDefault="00A35D1C" w:rsidP="00A35D1C">
            <w:pPr>
              <w:jc w:val="center"/>
              <w:rPr>
                <w:rFonts w:ascii="Arial Narrow" w:hAnsi="Arial Narrow"/>
                <w:sz w:val="20"/>
                <w:szCs w:val="20"/>
              </w:rPr>
            </w:pPr>
            <w:r w:rsidRPr="00B4632B">
              <w:rPr>
                <w:rFonts w:ascii="Arial Narrow" w:hAnsi="Arial Narrow"/>
                <w:bCs/>
                <w:sz w:val="20"/>
                <w:szCs w:val="20"/>
              </w:rPr>
              <w:t>$</w:t>
            </w:r>
            <w:r w:rsidR="00D374F5" w:rsidRPr="00D374F5">
              <w:rPr>
                <w:rFonts w:ascii="Arial Narrow" w:hAnsi="Arial Narrow"/>
                <w:bCs/>
                <w:color w:val="000000"/>
                <w:spacing w:val="30"/>
                <w:sz w:val="20"/>
                <w:szCs w:val="20"/>
                <w:shd w:val="solid" w:color="000000" w:fill="000000"/>
                <w:fitText w:val="551" w:id="-623631359"/>
                <w14:textFill>
                  <w14:solidFill>
                    <w14:srgbClr w14:val="000000">
                      <w14:alpha w14:val="100000"/>
                    </w14:srgbClr>
                  </w14:solidFill>
                </w14:textFill>
              </w:rPr>
              <w:t>|||||||</w:t>
            </w:r>
            <w:r w:rsidR="00D374F5" w:rsidRPr="00D374F5">
              <w:rPr>
                <w:rFonts w:ascii="Arial Narrow" w:hAnsi="Arial Narrow"/>
                <w:bCs/>
                <w:color w:val="000000"/>
                <w:spacing w:val="1"/>
                <w:sz w:val="20"/>
                <w:szCs w:val="20"/>
                <w:shd w:val="solid" w:color="000000" w:fill="000000"/>
                <w:fitText w:val="551" w:id="-623631359"/>
                <w14:textFill>
                  <w14:solidFill>
                    <w14:srgbClr w14:val="000000">
                      <w14:alpha w14:val="100000"/>
                    </w14:srgbClr>
                  </w14:solidFill>
                </w14:textFill>
              </w:rPr>
              <w:t>|</w:t>
            </w:r>
            <w:r w:rsidR="00D374F5">
              <w:rPr>
                <w:rFonts w:ascii="Arial Narrow" w:hAnsi="Arial Narrow"/>
                <w:bCs/>
                <w:sz w:val="20"/>
                <w:szCs w:val="20"/>
              </w:rPr>
              <w:t xml:space="preserve"> </w:t>
            </w:r>
            <w:r w:rsidRPr="00D17BC7">
              <w:rPr>
                <w:rFonts w:ascii="Arial Narrow" w:hAnsi="Arial Narrow"/>
                <w:bCs/>
                <w:sz w:val="20"/>
                <w:szCs w:val="20"/>
                <w:vertAlign w:val="superscript"/>
              </w:rPr>
              <w:t xml:space="preserve">a </w:t>
            </w:r>
            <w:r w:rsidRPr="00D17BC7">
              <w:rPr>
                <w:rFonts w:ascii="Arial Narrow" w:hAnsi="Arial Narrow"/>
                <w:sz w:val="20"/>
                <w:szCs w:val="20"/>
              </w:rPr>
              <w:t>[Effective, Public Hospital]</w:t>
            </w:r>
          </w:p>
        </w:tc>
        <w:tc>
          <w:tcPr>
            <w:tcW w:w="707" w:type="pct"/>
            <w:vAlign w:val="center"/>
          </w:tcPr>
          <w:p w14:paraId="2A907FCD" w14:textId="77777777" w:rsidR="004F2228" w:rsidRPr="00BD2844" w:rsidRDefault="004F2228" w:rsidP="00397897">
            <w:pPr>
              <w:jc w:val="center"/>
              <w:rPr>
                <w:rFonts w:ascii="Arial Narrow" w:hAnsi="Arial Narrow"/>
                <w:sz w:val="20"/>
                <w:szCs w:val="20"/>
              </w:rPr>
            </w:pPr>
            <w:r w:rsidRPr="00BD2844">
              <w:rPr>
                <w:rFonts w:ascii="Arial Narrow" w:hAnsi="Arial Narrow"/>
                <w:sz w:val="20"/>
                <w:szCs w:val="20"/>
              </w:rPr>
              <w:t>480mg</w:t>
            </w:r>
          </w:p>
        </w:tc>
        <w:tc>
          <w:tcPr>
            <w:tcW w:w="601" w:type="pct"/>
            <w:vAlign w:val="center"/>
          </w:tcPr>
          <w:p w14:paraId="04839DA3" w14:textId="77777777" w:rsidR="004F2228" w:rsidRPr="00BD2844" w:rsidRDefault="004F2228" w:rsidP="00397897">
            <w:pPr>
              <w:jc w:val="center"/>
              <w:rPr>
                <w:rFonts w:ascii="Arial Narrow" w:hAnsi="Arial Narrow"/>
                <w:i/>
                <w:iCs/>
                <w:sz w:val="20"/>
                <w:szCs w:val="20"/>
              </w:rPr>
            </w:pPr>
            <w:r w:rsidRPr="00BD2844">
              <w:rPr>
                <w:rFonts w:ascii="Arial Narrow" w:hAnsi="Arial Narrow"/>
                <w:strike/>
                <w:sz w:val="20"/>
                <w:szCs w:val="20"/>
              </w:rPr>
              <w:t>5</w:t>
            </w:r>
            <w:r w:rsidRPr="00BD2844">
              <w:rPr>
                <w:rFonts w:ascii="Arial Narrow" w:hAnsi="Arial Narrow"/>
                <w:i/>
                <w:iCs/>
                <w:sz w:val="20"/>
                <w:szCs w:val="20"/>
              </w:rPr>
              <w:t>11</w:t>
            </w:r>
          </w:p>
        </w:tc>
      </w:tr>
      <w:tr w:rsidR="00702931" w:rsidRPr="00BD2844" w14:paraId="71234616" w14:textId="77777777" w:rsidTr="001A42B0">
        <w:trPr>
          <w:cantSplit/>
          <w:trHeight w:val="20"/>
        </w:trPr>
        <w:tc>
          <w:tcPr>
            <w:tcW w:w="5000" w:type="pct"/>
            <w:gridSpan w:val="7"/>
            <w:vAlign w:val="center"/>
          </w:tcPr>
          <w:p w14:paraId="55DF433C" w14:textId="77777777" w:rsidR="00702931" w:rsidRPr="00D17BC7" w:rsidRDefault="00702931" w:rsidP="00397897">
            <w:pPr>
              <w:rPr>
                <w:rFonts w:ascii="Arial Narrow" w:hAnsi="Arial Narrow"/>
                <w:b/>
                <w:sz w:val="20"/>
                <w:szCs w:val="20"/>
              </w:rPr>
            </w:pPr>
            <w:r w:rsidRPr="00D17BC7">
              <w:rPr>
                <w:rFonts w:ascii="Arial Narrow" w:hAnsi="Arial Narrow"/>
                <w:b/>
                <w:sz w:val="20"/>
                <w:szCs w:val="20"/>
              </w:rPr>
              <w:t xml:space="preserve">Available brands </w:t>
            </w:r>
          </w:p>
        </w:tc>
      </w:tr>
      <w:tr w:rsidR="00702931" w:rsidRPr="00BD2844" w14:paraId="24F66C32" w14:textId="77777777" w:rsidTr="001A42B0">
        <w:trPr>
          <w:cantSplit/>
          <w:trHeight w:val="20"/>
        </w:trPr>
        <w:tc>
          <w:tcPr>
            <w:tcW w:w="5000" w:type="pct"/>
            <w:gridSpan w:val="7"/>
            <w:vAlign w:val="center"/>
          </w:tcPr>
          <w:p w14:paraId="7144AC68"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OPDIVO</w:t>
            </w:r>
          </w:p>
          <w:p w14:paraId="7296F9B4"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(Nivolumab 40 mg/4 mL injection, 4 mL vial)</w:t>
            </w:r>
          </w:p>
        </w:tc>
      </w:tr>
      <w:tr w:rsidR="00702931" w:rsidRPr="00BD2844" w14:paraId="616887F8" w14:textId="77777777" w:rsidTr="001A42B0">
        <w:trPr>
          <w:cantSplit/>
          <w:trHeight w:val="20"/>
        </w:trPr>
        <w:tc>
          <w:tcPr>
            <w:tcW w:w="5000" w:type="pct"/>
            <w:gridSpan w:val="7"/>
            <w:vAlign w:val="center"/>
          </w:tcPr>
          <w:p w14:paraId="1CA1931B"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OPDIVO</w:t>
            </w:r>
          </w:p>
          <w:p w14:paraId="7D953D95"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(Nivolumab 100 mg/10 mL injection, 10 mL vial)</w:t>
            </w:r>
          </w:p>
        </w:tc>
      </w:tr>
      <w:tr w:rsidR="00702931" w:rsidRPr="00BD2844" w14:paraId="4BE351F5" w14:textId="77777777" w:rsidTr="001A42B0">
        <w:trPr>
          <w:cantSplit/>
          <w:trHeight w:val="20"/>
        </w:trPr>
        <w:tc>
          <w:tcPr>
            <w:tcW w:w="5000" w:type="pct"/>
            <w:gridSpan w:val="7"/>
            <w:vAlign w:val="center"/>
          </w:tcPr>
          <w:p w14:paraId="02352544" w14:textId="77777777" w:rsidR="00702931" w:rsidRPr="00BD2844" w:rsidRDefault="00702931" w:rsidP="00397897">
            <w:pPr>
              <w:rPr>
                <w:rFonts w:ascii="Arial Narrow" w:hAnsi="Arial Narrow"/>
                <w:color w:val="FF0000"/>
                <w:sz w:val="20"/>
                <w:szCs w:val="20"/>
              </w:rPr>
            </w:pPr>
          </w:p>
        </w:tc>
      </w:tr>
      <w:tr w:rsidR="00702931" w:rsidRPr="00BD2844" w14:paraId="2EB3B1B2" w14:textId="77777777" w:rsidTr="001A42B0">
        <w:trPr>
          <w:cantSplit/>
          <w:trHeight w:val="20"/>
        </w:trPr>
        <w:tc>
          <w:tcPr>
            <w:tcW w:w="5000" w:type="pct"/>
            <w:gridSpan w:val="7"/>
            <w:vAlign w:val="center"/>
          </w:tcPr>
          <w:p w14:paraId="6ACBFCF2" w14:textId="77777777" w:rsidR="00702931" w:rsidRPr="00BD2844" w:rsidRDefault="00702931" w:rsidP="00397897">
            <w:pPr>
              <w:rPr>
                <w:rFonts w:ascii="Arial Narrow" w:hAnsi="Arial Narrow"/>
                <w:color w:val="FF0000"/>
                <w:sz w:val="20"/>
                <w:szCs w:val="20"/>
              </w:rPr>
            </w:pPr>
            <w:r w:rsidRPr="00BD2844">
              <w:rPr>
                <w:rFonts w:ascii="Arial Narrow" w:hAnsi="Arial Narrow"/>
                <w:b/>
                <w:sz w:val="20"/>
                <w:szCs w:val="20"/>
              </w:rPr>
              <w:t>Restriction Summary NEW2 / Treatment of Concept: NEW2A</w:t>
            </w:r>
          </w:p>
        </w:tc>
      </w:tr>
      <w:tr w:rsidR="00702931" w:rsidRPr="00BD2844" w14:paraId="5E40F3C1"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3EB4D527" w14:textId="77777777" w:rsidR="00702931" w:rsidRPr="00BD2844" w:rsidRDefault="00702931" w:rsidP="00397897">
            <w:pPr>
              <w:jc w:val="center"/>
              <w:rPr>
                <w:rFonts w:ascii="Arial Narrow" w:hAnsi="Arial Narrow"/>
                <w:b/>
                <w:sz w:val="20"/>
                <w:szCs w:val="20"/>
              </w:rPr>
            </w:pPr>
            <w:r w:rsidRPr="00BD2844">
              <w:rPr>
                <w:rFonts w:ascii="Arial Narrow" w:hAnsi="Arial Narrow"/>
                <w:b/>
                <w:sz w:val="20"/>
                <w:szCs w:val="20"/>
              </w:rPr>
              <w:t xml:space="preserve">Concept ID </w:t>
            </w:r>
            <w:r w:rsidRPr="00BD2844">
              <w:rPr>
                <w:rFonts w:ascii="Arial Narrow" w:hAnsi="Arial Narrow"/>
                <w:sz w:val="20"/>
                <w:szCs w:val="20"/>
              </w:rPr>
              <w:t>(for internal Dept. use)</w:t>
            </w:r>
          </w:p>
        </w:tc>
        <w:tc>
          <w:tcPr>
            <w:tcW w:w="4295" w:type="pct"/>
            <w:gridSpan w:val="5"/>
          </w:tcPr>
          <w:p w14:paraId="3A620AB1" w14:textId="77777777" w:rsidR="00702931" w:rsidRPr="00BD2844" w:rsidRDefault="00702931" w:rsidP="00397897">
            <w:pPr>
              <w:rPr>
                <w:rFonts w:ascii="Arial Narrow" w:hAnsi="Arial Narrow"/>
                <w:sz w:val="20"/>
                <w:szCs w:val="20"/>
              </w:rPr>
            </w:pPr>
            <w:r w:rsidRPr="00BD2844">
              <w:rPr>
                <w:rFonts w:ascii="Arial Narrow" w:hAnsi="Arial Narrow"/>
                <w:b/>
                <w:sz w:val="20"/>
                <w:szCs w:val="20"/>
              </w:rPr>
              <w:t xml:space="preserve">Category / Program: </w:t>
            </w:r>
            <w:r w:rsidRPr="00BD2844">
              <w:rPr>
                <w:rFonts w:ascii="Arial Narrow" w:hAnsi="Arial Narrow"/>
                <w:sz w:val="20"/>
                <w:szCs w:val="20"/>
              </w:rPr>
              <w:t>Section 100 – Efficient Funding of Chemotherapy Public/Private hospitals</w:t>
            </w:r>
          </w:p>
        </w:tc>
      </w:tr>
      <w:tr w:rsidR="00702931" w:rsidRPr="00BD2844" w14:paraId="718E3F72"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7CD40994" w14:textId="77777777" w:rsidR="00702931" w:rsidRPr="00BD2844" w:rsidRDefault="00702931" w:rsidP="00397897">
            <w:pPr>
              <w:rPr>
                <w:rFonts w:ascii="Arial Narrow" w:hAnsi="Arial Narrow"/>
                <w:sz w:val="20"/>
                <w:szCs w:val="20"/>
              </w:rPr>
            </w:pPr>
          </w:p>
        </w:tc>
        <w:tc>
          <w:tcPr>
            <w:tcW w:w="4295" w:type="pct"/>
            <w:gridSpan w:val="5"/>
          </w:tcPr>
          <w:p w14:paraId="6D806421" w14:textId="77777777" w:rsidR="00702931" w:rsidRPr="00BD2844" w:rsidRDefault="00702931" w:rsidP="00397897">
            <w:pPr>
              <w:rPr>
                <w:rFonts w:ascii="Arial Narrow" w:hAnsi="Arial Narrow"/>
                <w:b/>
                <w:sz w:val="20"/>
                <w:szCs w:val="20"/>
              </w:rPr>
            </w:pPr>
            <w:r w:rsidRPr="00BD2844">
              <w:rPr>
                <w:rFonts w:ascii="Arial Narrow" w:hAnsi="Arial Narrow"/>
                <w:b/>
                <w:sz w:val="20"/>
                <w:szCs w:val="20"/>
              </w:rPr>
              <w:t xml:space="preserve">Prescriber type: </w:t>
            </w:r>
            <w:r w:rsidRPr="00BD2844">
              <w:rPr>
                <w:rFonts w:ascii="Arial Narrow" w:hAnsi="Arial Narrow"/>
                <w:sz w:val="20"/>
                <w:szCs w:val="20"/>
              </w:rPr>
              <w:fldChar w:fldCharType="begin">
                <w:ffData>
                  <w:name w:val=""/>
                  <w:enabled/>
                  <w:calcOnExit w:val="0"/>
                  <w:checkBox>
                    <w:sizeAuto/>
                    <w:default w:val="1"/>
                  </w:checkBox>
                </w:ffData>
              </w:fldChar>
            </w:r>
            <w:r w:rsidRPr="00BD2844">
              <w:rPr>
                <w:rFonts w:ascii="Arial Narrow" w:hAnsi="Arial Narrow"/>
                <w:sz w:val="20"/>
                <w:szCs w:val="20"/>
              </w:rPr>
              <w:instrText xml:space="preserve"> FORMCHECKBOX </w:instrText>
            </w:r>
            <w:r w:rsidRPr="00BD2844">
              <w:rPr>
                <w:rFonts w:ascii="Arial Narrow" w:hAnsi="Arial Narrow"/>
                <w:sz w:val="20"/>
                <w:szCs w:val="20"/>
              </w:rPr>
            </w:r>
            <w:r w:rsidRPr="00BD2844">
              <w:rPr>
                <w:rFonts w:ascii="Arial Narrow" w:hAnsi="Arial Narrow"/>
                <w:sz w:val="20"/>
                <w:szCs w:val="20"/>
              </w:rPr>
              <w:fldChar w:fldCharType="separate"/>
            </w:r>
            <w:r w:rsidRPr="00BD2844">
              <w:rPr>
                <w:rFonts w:ascii="Arial Narrow" w:hAnsi="Arial Narrow"/>
                <w:sz w:val="20"/>
                <w:szCs w:val="20"/>
              </w:rPr>
              <w:fldChar w:fldCharType="end"/>
            </w:r>
            <w:r w:rsidRPr="00BD2844">
              <w:rPr>
                <w:rFonts w:ascii="Arial Narrow" w:hAnsi="Arial Narrow"/>
                <w:sz w:val="20"/>
                <w:szCs w:val="20"/>
              </w:rPr>
              <w:t>Medical Practitioners</w:t>
            </w:r>
          </w:p>
        </w:tc>
      </w:tr>
      <w:tr w:rsidR="00702931" w:rsidRPr="00BD2844" w14:paraId="20A2FA26"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7924E32F" w14:textId="77777777" w:rsidR="00702931" w:rsidRPr="00BD2844" w:rsidRDefault="00702931" w:rsidP="00397897">
            <w:pPr>
              <w:rPr>
                <w:rFonts w:ascii="Arial Narrow" w:hAnsi="Arial Narrow"/>
                <w:sz w:val="20"/>
                <w:szCs w:val="20"/>
              </w:rPr>
            </w:pPr>
          </w:p>
        </w:tc>
        <w:tc>
          <w:tcPr>
            <w:tcW w:w="4295" w:type="pct"/>
            <w:gridSpan w:val="5"/>
          </w:tcPr>
          <w:p w14:paraId="172C7C23" w14:textId="77777777" w:rsidR="00702931" w:rsidRPr="00BD2844" w:rsidRDefault="00702931" w:rsidP="00397897">
            <w:pPr>
              <w:rPr>
                <w:rFonts w:ascii="Arial Narrow" w:eastAsia="Calibri" w:hAnsi="Arial Narrow"/>
                <w:sz w:val="20"/>
                <w:szCs w:val="20"/>
              </w:rPr>
            </w:pPr>
            <w:r w:rsidRPr="00BD2844">
              <w:rPr>
                <w:rFonts w:ascii="Arial Narrow" w:hAnsi="Arial Narrow"/>
                <w:b/>
                <w:sz w:val="20"/>
                <w:szCs w:val="20"/>
              </w:rPr>
              <w:t xml:space="preserve">Restriction type:  </w:t>
            </w:r>
            <w:r w:rsidRPr="00BD2844">
              <w:rPr>
                <w:rFonts w:ascii="Arial Narrow" w:eastAsia="Calibri" w:hAnsi="Arial Narrow"/>
                <w:sz w:val="20"/>
                <w:szCs w:val="20"/>
              </w:rPr>
              <w:fldChar w:fldCharType="begin">
                <w:ffData>
                  <w:name w:val=""/>
                  <w:enabled/>
                  <w:calcOnExit w:val="0"/>
                  <w:checkBox>
                    <w:sizeAuto/>
                    <w:default w:val="1"/>
                  </w:checkBox>
                </w:ffData>
              </w:fldChar>
            </w:r>
            <w:r w:rsidRPr="00BD2844">
              <w:rPr>
                <w:rFonts w:ascii="Arial Narrow" w:eastAsia="Calibri" w:hAnsi="Arial Narrow"/>
                <w:sz w:val="20"/>
                <w:szCs w:val="20"/>
              </w:rPr>
              <w:instrText xml:space="preserve"> FORMCHECKBOX </w:instrText>
            </w:r>
            <w:r w:rsidRPr="00BD2844">
              <w:rPr>
                <w:rFonts w:ascii="Arial Narrow" w:eastAsia="Calibri" w:hAnsi="Arial Narrow"/>
                <w:sz w:val="20"/>
                <w:szCs w:val="20"/>
              </w:rPr>
            </w:r>
            <w:r w:rsidRPr="00BD2844">
              <w:rPr>
                <w:rFonts w:ascii="Arial Narrow" w:eastAsia="Calibri" w:hAnsi="Arial Narrow"/>
                <w:sz w:val="20"/>
                <w:szCs w:val="20"/>
              </w:rPr>
              <w:fldChar w:fldCharType="separate"/>
            </w:r>
            <w:r w:rsidRPr="00BD2844">
              <w:rPr>
                <w:rFonts w:ascii="Arial Narrow" w:eastAsia="Calibri" w:hAnsi="Arial Narrow"/>
                <w:sz w:val="20"/>
                <w:szCs w:val="20"/>
              </w:rPr>
              <w:fldChar w:fldCharType="end"/>
            </w:r>
            <w:r w:rsidRPr="00BD2844">
              <w:rPr>
                <w:rFonts w:ascii="Arial Narrow" w:eastAsia="Calibri" w:hAnsi="Arial Narrow"/>
                <w:sz w:val="20"/>
                <w:szCs w:val="20"/>
              </w:rPr>
              <w:t>Authority Required (STREAMLINED) [NEW]</w:t>
            </w:r>
            <w:r w:rsidRPr="00BD2844">
              <w:rPr>
                <w:rFonts w:ascii="Arial Narrow" w:eastAsia="Calibri" w:hAnsi="Arial Narrow"/>
                <w:color w:val="FF0000"/>
                <w:sz w:val="20"/>
                <w:szCs w:val="20"/>
              </w:rPr>
              <w:t xml:space="preserve"> </w:t>
            </w:r>
          </w:p>
        </w:tc>
      </w:tr>
      <w:tr w:rsidR="00702931" w:rsidRPr="00BD2844" w14:paraId="6A5E1DC6" w14:textId="77777777" w:rsidTr="001A42B0">
        <w:tblPrEx>
          <w:tblCellMar>
            <w:top w:w="15" w:type="dxa"/>
            <w:bottom w:w="15" w:type="dxa"/>
          </w:tblCellMar>
        </w:tblPrEx>
        <w:trPr>
          <w:trHeight w:val="20"/>
        </w:trPr>
        <w:tc>
          <w:tcPr>
            <w:tcW w:w="312" w:type="pct"/>
            <w:vMerge w:val="restart"/>
            <w:textDirection w:val="btLr"/>
            <w:vAlign w:val="center"/>
          </w:tcPr>
          <w:p w14:paraId="27633675" w14:textId="77777777" w:rsidR="00702931" w:rsidRPr="00BD2844" w:rsidRDefault="00702931" w:rsidP="00397897">
            <w:pPr>
              <w:jc w:val="center"/>
              <w:rPr>
                <w:rFonts w:ascii="Arial Narrow" w:hAnsi="Arial Narrow"/>
                <w:i/>
                <w:color w:val="333333"/>
                <w:sz w:val="16"/>
                <w:szCs w:val="16"/>
              </w:rPr>
            </w:pPr>
            <w:r w:rsidRPr="00BD2844">
              <w:rPr>
                <w:rFonts w:ascii="Arial Narrow" w:hAnsi="Arial Narrow"/>
                <w:i/>
                <w:color w:val="333333"/>
                <w:sz w:val="16"/>
                <w:szCs w:val="16"/>
              </w:rPr>
              <w:t>Prescribing rule level</w:t>
            </w:r>
          </w:p>
        </w:tc>
        <w:tc>
          <w:tcPr>
            <w:tcW w:w="393" w:type="pct"/>
            <w:vAlign w:val="center"/>
          </w:tcPr>
          <w:p w14:paraId="242CF841" w14:textId="64F61444" w:rsidR="00702931" w:rsidRPr="00BD2844" w:rsidRDefault="00702931" w:rsidP="00397897">
            <w:pPr>
              <w:ind w:hanging="35"/>
              <w:jc w:val="center"/>
              <w:rPr>
                <w:rFonts w:ascii="Arial Narrow" w:hAnsi="Arial Narrow"/>
                <w:bCs/>
                <w:sz w:val="20"/>
                <w:szCs w:val="20"/>
              </w:rPr>
            </w:pPr>
          </w:p>
        </w:tc>
        <w:tc>
          <w:tcPr>
            <w:tcW w:w="4295" w:type="pct"/>
            <w:gridSpan w:val="5"/>
            <w:vAlign w:val="center"/>
          </w:tcPr>
          <w:p w14:paraId="6C3C8F9B" w14:textId="77777777" w:rsidR="00702931" w:rsidRPr="00BD2844" w:rsidRDefault="00702931" w:rsidP="00397897">
            <w:pPr>
              <w:contextualSpacing/>
              <w:rPr>
                <w:rFonts w:ascii="Arial Narrow" w:hAnsi="Arial Narrow"/>
                <w:b/>
                <w:bCs/>
                <w:i/>
                <w:iCs/>
                <w:sz w:val="20"/>
                <w:szCs w:val="20"/>
              </w:rPr>
            </w:pPr>
            <w:r w:rsidRPr="00BD2844">
              <w:rPr>
                <w:rFonts w:ascii="Arial Narrow" w:hAnsi="Arial Narrow"/>
                <w:b/>
                <w:bCs/>
                <w:i/>
                <w:iCs/>
                <w:sz w:val="20"/>
                <w:szCs w:val="20"/>
              </w:rPr>
              <w:t xml:space="preserve">Administrative Advice: </w:t>
            </w:r>
            <w:r w:rsidRPr="00BD2844">
              <w:rPr>
                <w:rFonts w:ascii="Arial Narrow" w:hAnsi="Arial Narrow"/>
                <w:i/>
                <w:iCs/>
                <w:sz w:val="20"/>
                <w:szCs w:val="20"/>
              </w:rPr>
              <w:t>No increase in the maximum amount or number of units may be authorised.</w:t>
            </w:r>
          </w:p>
        </w:tc>
      </w:tr>
      <w:tr w:rsidR="00702931" w:rsidRPr="00BD2844" w14:paraId="28C2D070" w14:textId="77777777" w:rsidTr="001A42B0">
        <w:tblPrEx>
          <w:tblCellMar>
            <w:top w:w="15" w:type="dxa"/>
            <w:bottom w:w="15" w:type="dxa"/>
          </w:tblCellMar>
        </w:tblPrEx>
        <w:trPr>
          <w:trHeight w:val="20"/>
        </w:trPr>
        <w:tc>
          <w:tcPr>
            <w:tcW w:w="312" w:type="pct"/>
            <w:vMerge/>
            <w:textDirection w:val="btLr"/>
            <w:vAlign w:val="center"/>
          </w:tcPr>
          <w:p w14:paraId="37A9277F" w14:textId="77777777" w:rsidR="00702931" w:rsidRPr="00BD2844" w:rsidRDefault="00702931" w:rsidP="00397897">
            <w:pPr>
              <w:jc w:val="center"/>
              <w:rPr>
                <w:rFonts w:ascii="Arial Narrow" w:hAnsi="Arial Narrow"/>
                <w:i/>
                <w:iCs/>
                <w:color w:val="333333"/>
                <w:sz w:val="20"/>
                <w:szCs w:val="20"/>
              </w:rPr>
            </w:pPr>
          </w:p>
        </w:tc>
        <w:tc>
          <w:tcPr>
            <w:tcW w:w="393" w:type="pct"/>
            <w:vAlign w:val="center"/>
          </w:tcPr>
          <w:p w14:paraId="6F5D028F" w14:textId="4F747368" w:rsidR="00702931" w:rsidRPr="00BD2844" w:rsidRDefault="00702931" w:rsidP="00397897">
            <w:pPr>
              <w:ind w:hanging="35"/>
              <w:jc w:val="center"/>
              <w:rPr>
                <w:rFonts w:ascii="Arial Narrow" w:hAnsi="Arial Narrow"/>
                <w:i/>
                <w:iCs/>
                <w:sz w:val="20"/>
                <w:szCs w:val="20"/>
              </w:rPr>
            </w:pPr>
          </w:p>
        </w:tc>
        <w:tc>
          <w:tcPr>
            <w:tcW w:w="4295" w:type="pct"/>
            <w:gridSpan w:val="5"/>
            <w:vAlign w:val="center"/>
          </w:tcPr>
          <w:p w14:paraId="5E381678" w14:textId="77777777" w:rsidR="00702931" w:rsidRPr="00BD2844" w:rsidRDefault="00702931" w:rsidP="00397897">
            <w:pPr>
              <w:contextualSpacing/>
              <w:rPr>
                <w:rFonts w:ascii="Arial Narrow" w:hAnsi="Arial Narrow"/>
                <w:b/>
                <w:bCs/>
                <w:i/>
                <w:iCs/>
                <w:sz w:val="20"/>
                <w:szCs w:val="20"/>
              </w:rPr>
            </w:pPr>
            <w:r w:rsidRPr="00BD2844">
              <w:rPr>
                <w:rFonts w:ascii="Arial Narrow" w:hAnsi="Arial Narrow"/>
                <w:b/>
                <w:bCs/>
                <w:i/>
                <w:iCs/>
                <w:sz w:val="20"/>
                <w:szCs w:val="20"/>
              </w:rPr>
              <w:t xml:space="preserve">Administrative Advice: </w:t>
            </w:r>
            <w:r w:rsidRPr="00BD2844">
              <w:rPr>
                <w:rFonts w:ascii="Arial Narrow" w:hAnsi="Arial Narrow"/>
                <w:bCs/>
                <w:i/>
                <w:iCs/>
                <w:sz w:val="20"/>
                <w:szCs w:val="20"/>
              </w:rPr>
              <w:t>No increase in the maximum number of repeats may be authorised.</w:t>
            </w:r>
          </w:p>
        </w:tc>
      </w:tr>
      <w:tr w:rsidR="00702931" w:rsidRPr="00BD2844" w14:paraId="4EB2EE8F" w14:textId="77777777" w:rsidTr="001A42B0">
        <w:tblPrEx>
          <w:tblCellMar>
            <w:top w:w="15" w:type="dxa"/>
            <w:bottom w:w="15" w:type="dxa"/>
          </w:tblCellMar>
          <w:tblLook w:val="04A0" w:firstRow="1" w:lastRow="0" w:firstColumn="1" w:lastColumn="0" w:noHBand="0" w:noVBand="1"/>
        </w:tblPrEx>
        <w:trPr>
          <w:trHeight w:val="20"/>
        </w:trPr>
        <w:tc>
          <w:tcPr>
            <w:tcW w:w="312" w:type="pct"/>
            <w:vMerge/>
            <w:vAlign w:val="center"/>
          </w:tcPr>
          <w:p w14:paraId="54C3202B" w14:textId="77777777" w:rsidR="00702931" w:rsidRPr="00BD2844" w:rsidRDefault="00702931" w:rsidP="00397897">
            <w:pPr>
              <w:jc w:val="center"/>
              <w:rPr>
                <w:rFonts w:ascii="Arial Narrow" w:hAnsi="Arial Narrow"/>
                <w:color w:val="333333"/>
                <w:sz w:val="20"/>
                <w:szCs w:val="20"/>
              </w:rPr>
            </w:pPr>
          </w:p>
        </w:tc>
        <w:tc>
          <w:tcPr>
            <w:tcW w:w="393" w:type="pct"/>
            <w:vAlign w:val="center"/>
          </w:tcPr>
          <w:p w14:paraId="5CB5F666" w14:textId="417C3C8A" w:rsidR="00702931" w:rsidRPr="00BD2844" w:rsidRDefault="00702931" w:rsidP="00397897">
            <w:pPr>
              <w:ind w:hanging="35"/>
              <w:jc w:val="center"/>
              <w:rPr>
                <w:rFonts w:ascii="Arial Narrow" w:hAnsi="Arial Narrow"/>
                <w:sz w:val="20"/>
                <w:szCs w:val="20"/>
              </w:rPr>
            </w:pPr>
          </w:p>
        </w:tc>
        <w:tc>
          <w:tcPr>
            <w:tcW w:w="4295" w:type="pct"/>
            <w:gridSpan w:val="5"/>
            <w:vAlign w:val="center"/>
          </w:tcPr>
          <w:p w14:paraId="4BBA8CA8" w14:textId="77777777" w:rsidR="00702931" w:rsidRPr="00BD2844" w:rsidRDefault="00702931" w:rsidP="00397897">
            <w:pPr>
              <w:rPr>
                <w:rFonts w:ascii="Arial Narrow" w:hAnsi="Arial Narrow"/>
                <w:b/>
                <w:bCs/>
                <w:i/>
                <w:iCs/>
                <w:sz w:val="20"/>
                <w:szCs w:val="20"/>
              </w:rPr>
            </w:pPr>
            <w:r w:rsidRPr="00BD2844">
              <w:rPr>
                <w:rFonts w:ascii="Arial Narrow" w:hAnsi="Arial Narrow"/>
                <w:b/>
                <w:bCs/>
                <w:i/>
                <w:iCs/>
                <w:sz w:val="20"/>
                <w:szCs w:val="20"/>
              </w:rPr>
              <w:t xml:space="preserve">Administrative Advice: </w:t>
            </w:r>
            <w:r w:rsidRPr="00BD2844">
              <w:rPr>
                <w:rFonts w:ascii="Arial Narrow" w:hAnsi="Arial Narrow"/>
                <w:bCs/>
                <w:i/>
                <w:iCs/>
                <w:sz w:val="20"/>
                <w:szCs w:val="20"/>
              </w:rPr>
              <w:t>Special Pricing Arrangements apply.</w:t>
            </w:r>
          </w:p>
        </w:tc>
      </w:tr>
      <w:tr w:rsidR="00702931" w:rsidRPr="00BD2844" w14:paraId="1537C197"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4176C282" w14:textId="562B5937" w:rsidR="00702931" w:rsidRPr="00BD2844" w:rsidRDefault="00702931" w:rsidP="00397897">
            <w:pPr>
              <w:jc w:val="center"/>
              <w:rPr>
                <w:rFonts w:ascii="Arial Narrow" w:hAnsi="Arial Narrow"/>
                <w:color w:val="333333"/>
                <w:sz w:val="20"/>
                <w:szCs w:val="20"/>
              </w:rPr>
            </w:pPr>
          </w:p>
        </w:tc>
        <w:tc>
          <w:tcPr>
            <w:tcW w:w="4295" w:type="pct"/>
            <w:gridSpan w:val="5"/>
            <w:vAlign w:val="center"/>
            <w:hideMark/>
          </w:tcPr>
          <w:p w14:paraId="0410D7E9" w14:textId="77777777" w:rsidR="00702931" w:rsidRPr="00BD2844" w:rsidRDefault="00702931" w:rsidP="00397897">
            <w:pPr>
              <w:rPr>
                <w:rFonts w:ascii="Arial Narrow" w:hAnsi="Arial Narrow"/>
                <w:color w:val="333333"/>
                <w:sz w:val="20"/>
                <w:szCs w:val="20"/>
              </w:rPr>
            </w:pPr>
            <w:r w:rsidRPr="00BD2844">
              <w:rPr>
                <w:rFonts w:ascii="Arial Narrow" w:hAnsi="Arial Narrow"/>
                <w:b/>
                <w:bCs/>
                <w:color w:val="333333"/>
                <w:sz w:val="20"/>
                <w:szCs w:val="20"/>
              </w:rPr>
              <w:t>Indication:</w:t>
            </w:r>
            <w:r w:rsidRPr="00BD2844">
              <w:rPr>
                <w:rFonts w:ascii="Arial Narrow" w:hAnsi="Arial Narrow"/>
                <w:color w:val="333333"/>
                <w:sz w:val="20"/>
                <w:szCs w:val="20"/>
              </w:rPr>
              <w:t xml:space="preserve"> Advanced (unresectable) Barcelona Clinic Liver Cancer Stage A, Stage B or Stage C hepatocellular carcinoma</w:t>
            </w:r>
          </w:p>
        </w:tc>
      </w:tr>
      <w:tr w:rsidR="00702931" w:rsidRPr="00BD2844" w14:paraId="4620781E"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170A7D53" w14:textId="77777777" w:rsidR="00702931" w:rsidRPr="00BD2844" w:rsidRDefault="00702931" w:rsidP="00397897">
            <w:pPr>
              <w:jc w:val="center"/>
              <w:rPr>
                <w:rFonts w:ascii="Arial Narrow" w:hAnsi="Arial Narrow"/>
                <w:color w:val="333333"/>
                <w:sz w:val="20"/>
                <w:szCs w:val="20"/>
              </w:rPr>
            </w:pPr>
          </w:p>
        </w:tc>
        <w:tc>
          <w:tcPr>
            <w:tcW w:w="4295" w:type="pct"/>
            <w:gridSpan w:val="5"/>
            <w:vAlign w:val="center"/>
            <w:hideMark/>
          </w:tcPr>
          <w:p w14:paraId="087686DD" w14:textId="77777777" w:rsidR="00702931" w:rsidRPr="00BD2844" w:rsidRDefault="00702931" w:rsidP="00397897">
            <w:pPr>
              <w:rPr>
                <w:rFonts w:ascii="Arial Narrow" w:hAnsi="Arial Narrow"/>
                <w:color w:val="FF0000"/>
                <w:sz w:val="20"/>
                <w:szCs w:val="20"/>
              </w:rPr>
            </w:pPr>
            <w:r w:rsidRPr="00BD2844">
              <w:rPr>
                <w:rFonts w:ascii="Arial Narrow" w:hAnsi="Arial Narrow"/>
                <w:b/>
                <w:bCs/>
                <w:color w:val="333333"/>
                <w:sz w:val="20"/>
                <w:szCs w:val="20"/>
              </w:rPr>
              <w:t>Treatment Phase:</w:t>
            </w:r>
            <w:r w:rsidRPr="00BD2844">
              <w:rPr>
                <w:rFonts w:ascii="Arial Narrow" w:hAnsi="Arial Narrow"/>
                <w:color w:val="FF0000"/>
                <w:sz w:val="20"/>
                <w:szCs w:val="20"/>
              </w:rPr>
              <w:t xml:space="preserve"> </w:t>
            </w:r>
            <w:r w:rsidRPr="00BD2844">
              <w:rPr>
                <w:rFonts w:ascii="Arial Narrow" w:hAnsi="Arial Narrow"/>
                <w:sz w:val="20"/>
                <w:szCs w:val="20"/>
              </w:rPr>
              <w:t>Maintenance therapy</w:t>
            </w:r>
          </w:p>
        </w:tc>
      </w:tr>
      <w:tr w:rsidR="00702931" w:rsidRPr="00BD2844" w14:paraId="39F11DBA"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66ACFAB3" w14:textId="580A8013" w:rsidR="00702931" w:rsidRPr="00BD2844" w:rsidRDefault="00702931" w:rsidP="00397897">
            <w:pPr>
              <w:jc w:val="center"/>
              <w:rPr>
                <w:rFonts w:ascii="Arial Narrow" w:hAnsi="Arial Narrow"/>
                <w:sz w:val="20"/>
                <w:szCs w:val="20"/>
              </w:rPr>
            </w:pPr>
          </w:p>
        </w:tc>
        <w:tc>
          <w:tcPr>
            <w:tcW w:w="4295" w:type="pct"/>
            <w:gridSpan w:val="5"/>
            <w:vAlign w:val="center"/>
            <w:hideMark/>
          </w:tcPr>
          <w:p w14:paraId="151AA322" w14:textId="77777777" w:rsidR="00702931" w:rsidRPr="00BD2844" w:rsidRDefault="00702931" w:rsidP="00397897">
            <w:pPr>
              <w:rPr>
                <w:rFonts w:ascii="Arial Narrow" w:hAnsi="Arial Narrow"/>
                <w:sz w:val="20"/>
                <w:szCs w:val="20"/>
              </w:rPr>
            </w:pPr>
            <w:r w:rsidRPr="00BD2844">
              <w:rPr>
                <w:rFonts w:ascii="Arial Narrow" w:hAnsi="Arial Narrow"/>
                <w:b/>
                <w:bCs/>
                <w:sz w:val="20"/>
                <w:szCs w:val="20"/>
              </w:rPr>
              <w:t xml:space="preserve">Clinical criteria: </w:t>
            </w:r>
            <w:r w:rsidRPr="00BD2844">
              <w:rPr>
                <w:rFonts w:ascii="Arial Narrow" w:hAnsi="Arial Narrow"/>
                <w:bCs/>
                <w:sz w:val="20"/>
                <w:szCs w:val="20"/>
              </w:rPr>
              <w:t>Patient must have previously received up to a maximum of 4 doses of PBS-subsidised combined therapy with nivolumab and ipilimumab as induction for this condition,</w:t>
            </w:r>
          </w:p>
        </w:tc>
      </w:tr>
      <w:tr w:rsidR="00702931" w:rsidRPr="00BD2844" w14:paraId="26D86289"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20E4242"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2810C814"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AND</w:t>
            </w:r>
          </w:p>
        </w:tc>
      </w:tr>
      <w:tr w:rsidR="00702931" w:rsidRPr="00BD2844" w14:paraId="28E60667"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648EF3F"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470F16AF"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Clinical criteria:</w:t>
            </w:r>
          </w:p>
        </w:tc>
      </w:tr>
      <w:tr w:rsidR="00702931" w:rsidRPr="00BD2844" w14:paraId="4DD254DD"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B905431" w14:textId="25E044BA" w:rsidR="00702931" w:rsidRPr="00BD2844" w:rsidRDefault="00702931" w:rsidP="00397897">
            <w:pPr>
              <w:jc w:val="center"/>
              <w:rPr>
                <w:rFonts w:ascii="Arial Narrow" w:hAnsi="Arial Narrow"/>
                <w:sz w:val="20"/>
                <w:szCs w:val="20"/>
              </w:rPr>
            </w:pPr>
          </w:p>
        </w:tc>
        <w:tc>
          <w:tcPr>
            <w:tcW w:w="4295" w:type="pct"/>
            <w:gridSpan w:val="5"/>
            <w:vAlign w:val="center"/>
          </w:tcPr>
          <w:p w14:paraId="0AFAAD2D"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Patient must not have developed disease progression while being treated with this drug for this condition.</w:t>
            </w:r>
          </w:p>
        </w:tc>
      </w:tr>
      <w:tr w:rsidR="00702931" w:rsidRPr="00BD2844" w14:paraId="6F9884E4"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90E80FF"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5C7780E4" w14:textId="77777777" w:rsidR="00702931" w:rsidRPr="00BD2844" w:rsidRDefault="00702931" w:rsidP="00397897">
            <w:pPr>
              <w:rPr>
                <w:rFonts w:ascii="Arial Narrow" w:hAnsi="Arial Narrow"/>
                <w:b/>
                <w:bCs/>
                <w:i/>
                <w:iCs/>
                <w:sz w:val="20"/>
                <w:szCs w:val="20"/>
              </w:rPr>
            </w:pPr>
            <w:r w:rsidRPr="00BD2844">
              <w:rPr>
                <w:rFonts w:ascii="Arial Narrow" w:hAnsi="Arial Narrow"/>
                <w:b/>
                <w:bCs/>
                <w:i/>
                <w:iCs/>
                <w:sz w:val="20"/>
                <w:szCs w:val="20"/>
              </w:rPr>
              <w:t>AND</w:t>
            </w:r>
          </w:p>
        </w:tc>
      </w:tr>
      <w:tr w:rsidR="00702931" w:rsidRPr="00BD2844" w14:paraId="12A63B6C"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92F0568"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2BEF33E2" w14:textId="77777777" w:rsidR="00702931" w:rsidRPr="00BD2844" w:rsidRDefault="00702931" w:rsidP="00397897">
            <w:pPr>
              <w:rPr>
                <w:rFonts w:ascii="Arial Narrow" w:hAnsi="Arial Narrow"/>
                <w:sz w:val="20"/>
                <w:szCs w:val="20"/>
              </w:rPr>
            </w:pPr>
            <w:r w:rsidRPr="00BD2844">
              <w:rPr>
                <w:rFonts w:ascii="Arial Narrow" w:hAnsi="Arial Narrow"/>
                <w:b/>
                <w:bCs/>
                <w:strike/>
                <w:color w:val="333333"/>
                <w:sz w:val="20"/>
                <w:szCs w:val="20"/>
              </w:rPr>
              <w:t>Treatment</w:t>
            </w:r>
            <w:r w:rsidRPr="00BD2844">
              <w:rPr>
                <w:rFonts w:ascii="Arial Narrow" w:hAnsi="Arial Narrow"/>
                <w:b/>
                <w:bCs/>
                <w:color w:val="333333"/>
                <w:sz w:val="20"/>
                <w:szCs w:val="20"/>
              </w:rPr>
              <w:t xml:space="preserve"> </w:t>
            </w:r>
            <w:r w:rsidRPr="00BD2844">
              <w:rPr>
                <w:rFonts w:ascii="Arial Narrow" w:hAnsi="Arial Narrow"/>
                <w:b/>
                <w:bCs/>
                <w:i/>
                <w:iCs/>
                <w:color w:val="333333"/>
                <w:sz w:val="20"/>
                <w:szCs w:val="20"/>
              </w:rPr>
              <w:t xml:space="preserve">Clinical </w:t>
            </w:r>
            <w:r w:rsidRPr="00BD2844">
              <w:rPr>
                <w:rFonts w:ascii="Arial Narrow" w:hAnsi="Arial Narrow"/>
                <w:b/>
                <w:bCs/>
                <w:color w:val="333333"/>
                <w:sz w:val="20"/>
                <w:szCs w:val="20"/>
              </w:rPr>
              <w:t>criteria:</w:t>
            </w:r>
          </w:p>
        </w:tc>
      </w:tr>
      <w:tr w:rsidR="00702931" w:rsidRPr="00BD2844" w14:paraId="263904C7"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E425B4E" w14:textId="27B955A9" w:rsidR="00702931" w:rsidRPr="00BD2844" w:rsidRDefault="00702931" w:rsidP="00397897">
            <w:pPr>
              <w:jc w:val="center"/>
              <w:rPr>
                <w:rFonts w:ascii="Arial Narrow" w:hAnsi="Arial Narrow"/>
                <w:sz w:val="20"/>
                <w:szCs w:val="20"/>
              </w:rPr>
            </w:pPr>
          </w:p>
        </w:tc>
        <w:tc>
          <w:tcPr>
            <w:tcW w:w="4295" w:type="pct"/>
            <w:gridSpan w:val="5"/>
            <w:vAlign w:val="center"/>
          </w:tcPr>
          <w:p w14:paraId="22B5743D" w14:textId="77777777" w:rsidR="00702931" w:rsidRPr="00BD2844" w:rsidRDefault="00702931" w:rsidP="00397897">
            <w:pPr>
              <w:rPr>
                <w:rFonts w:ascii="Arial Narrow" w:hAnsi="Arial Narrow"/>
                <w:color w:val="333333"/>
                <w:sz w:val="20"/>
                <w:szCs w:val="20"/>
              </w:rPr>
            </w:pPr>
            <w:r w:rsidRPr="00BD2844">
              <w:rPr>
                <w:rFonts w:ascii="Arial Narrow" w:hAnsi="Arial Narrow"/>
                <w:color w:val="333333"/>
                <w:sz w:val="20"/>
                <w:szCs w:val="20"/>
              </w:rPr>
              <w:t xml:space="preserve">The treatment must be </w:t>
            </w:r>
            <w:r w:rsidRPr="00BD2844">
              <w:rPr>
                <w:rFonts w:ascii="Arial Narrow" w:hAnsi="Arial Narrow"/>
                <w:i/>
                <w:iCs/>
                <w:color w:val="333333"/>
                <w:sz w:val="20"/>
                <w:szCs w:val="20"/>
              </w:rPr>
              <w:t>the only systemic anti-cancer therapy</w:t>
            </w:r>
            <w:r w:rsidRPr="00BD2844">
              <w:rPr>
                <w:rFonts w:ascii="Arial Narrow" w:hAnsi="Arial Narrow"/>
                <w:color w:val="333333"/>
                <w:sz w:val="20"/>
                <w:szCs w:val="20"/>
              </w:rPr>
              <w:t xml:space="preserve"> </w:t>
            </w:r>
            <w:r w:rsidRPr="00BD2844">
              <w:rPr>
                <w:rFonts w:ascii="Arial Narrow" w:hAnsi="Arial Narrow"/>
                <w:strike/>
                <w:color w:val="333333"/>
                <w:sz w:val="20"/>
                <w:szCs w:val="20"/>
              </w:rPr>
              <w:t xml:space="preserve">as monotherapy </w:t>
            </w:r>
            <w:r w:rsidRPr="00BD2844">
              <w:rPr>
                <w:rFonts w:ascii="Arial Narrow" w:hAnsi="Arial Narrow"/>
                <w:color w:val="333333"/>
                <w:sz w:val="20"/>
                <w:szCs w:val="20"/>
              </w:rPr>
              <w:t>for this condition</w:t>
            </w:r>
          </w:p>
        </w:tc>
      </w:tr>
      <w:tr w:rsidR="00702931" w:rsidRPr="00BD2844" w14:paraId="3798B699"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4791E1B"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6584ED83" w14:textId="77777777" w:rsidR="00702931" w:rsidRPr="00BD2844" w:rsidRDefault="00702931" w:rsidP="00397897">
            <w:pPr>
              <w:rPr>
                <w:rFonts w:ascii="Arial Narrow" w:hAnsi="Arial Narrow"/>
                <w:color w:val="333333"/>
                <w:sz w:val="20"/>
                <w:szCs w:val="20"/>
              </w:rPr>
            </w:pPr>
            <w:r w:rsidRPr="00BD2844">
              <w:rPr>
                <w:rFonts w:ascii="Arial Narrow" w:hAnsi="Arial Narrow"/>
                <w:b/>
                <w:strike/>
                <w:color w:val="333333"/>
                <w:sz w:val="20"/>
                <w:szCs w:val="20"/>
              </w:rPr>
              <w:t>Prescribing instruction:</w:t>
            </w:r>
            <w:r w:rsidRPr="00BD2844">
              <w:rPr>
                <w:rFonts w:ascii="Arial Narrow" w:hAnsi="Arial Narrow"/>
                <w:b/>
                <w:bCs/>
                <w:color w:val="333333"/>
                <w:sz w:val="20"/>
                <w:szCs w:val="20"/>
              </w:rPr>
              <w:t xml:space="preserve"> </w:t>
            </w:r>
          </w:p>
        </w:tc>
      </w:tr>
      <w:tr w:rsidR="00702931" w:rsidRPr="00BD2844" w14:paraId="7EB6EE48"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8A1D6A8"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73B4EB61" w14:textId="77777777" w:rsidR="00702931" w:rsidRPr="00BD2844" w:rsidRDefault="00702931" w:rsidP="00397897">
            <w:pPr>
              <w:rPr>
                <w:rFonts w:ascii="Arial Narrow" w:hAnsi="Arial Narrow"/>
                <w:strike/>
                <w:color w:val="333333"/>
                <w:sz w:val="20"/>
                <w:szCs w:val="20"/>
              </w:rPr>
            </w:pPr>
            <w:r w:rsidRPr="00BD2844">
              <w:rPr>
                <w:rFonts w:ascii="Arial Narrow" w:hAnsi="Arial Narrow"/>
                <w:strike/>
                <w:color w:val="333333"/>
                <w:sz w:val="20"/>
                <w:szCs w:val="20"/>
              </w:rPr>
              <w:t>An increase in repeat prescriptions, up to a value of 11, may only be sought where the prescribed dosing is 240 mg administered fortnightly.</w:t>
            </w:r>
          </w:p>
        </w:tc>
      </w:tr>
      <w:tr w:rsidR="00702931" w:rsidRPr="00BD2844" w14:paraId="0604C763"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AE03EB6" w14:textId="77777777" w:rsidR="00702931" w:rsidRPr="00BD2844" w:rsidDel="00122C27" w:rsidRDefault="00702931" w:rsidP="00397897">
            <w:pPr>
              <w:jc w:val="center"/>
              <w:rPr>
                <w:rFonts w:ascii="Arial Narrow" w:hAnsi="Arial Narrow"/>
                <w:sz w:val="20"/>
                <w:szCs w:val="20"/>
              </w:rPr>
            </w:pPr>
          </w:p>
        </w:tc>
        <w:tc>
          <w:tcPr>
            <w:tcW w:w="4295" w:type="pct"/>
            <w:gridSpan w:val="5"/>
            <w:vAlign w:val="center"/>
          </w:tcPr>
          <w:p w14:paraId="17D29E04" w14:textId="77777777" w:rsidR="00702931" w:rsidRPr="00BD2844" w:rsidDel="005962C8" w:rsidRDefault="00702931" w:rsidP="00397897">
            <w:pPr>
              <w:rPr>
                <w:rFonts w:ascii="Arial Narrow" w:hAnsi="Arial Narrow"/>
                <w:i/>
                <w:iCs/>
                <w:color w:val="333333"/>
                <w:sz w:val="20"/>
                <w:szCs w:val="20"/>
              </w:rPr>
            </w:pPr>
            <w:r w:rsidRPr="00BD2844">
              <w:rPr>
                <w:rFonts w:ascii="Arial Narrow" w:hAnsi="Arial Narrow"/>
                <w:b/>
                <w:bCs/>
                <w:i/>
                <w:iCs/>
                <w:color w:val="333333"/>
                <w:sz w:val="20"/>
                <w:szCs w:val="20"/>
              </w:rPr>
              <w:t>Treatment criteria:</w:t>
            </w:r>
          </w:p>
        </w:tc>
      </w:tr>
      <w:tr w:rsidR="00702931" w:rsidRPr="00BD2844" w14:paraId="469A319B"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061E2D5" w14:textId="0C17EFD1" w:rsidR="00702931" w:rsidRPr="00BD2844" w:rsidDel="00122C27" w:rsidRDefault="00702931" w:rsidP="00397897">
            <w:pPr>
              <w:jc w:val="center"/>
              <w:rPr>
                <w:rFonts w:ascii="Arial Narrow" w:hAnsi="Arial Narrow"/>
                <w:sz w:val="20"/>
                <w:szCs w:val="20"/>
              </w:rPr>
            </w:pPr>
          </w:p>
        </w:tc>
        <w:tc>
          <w:tcPr>
            <w:tcW w:w="4295" w:type="pct"/>
            <w:gridSpan w:val="5"/>
            <w:vAlign w:val="center"/>
          </w:tcPr>
          <w:p w14:paraId="4647ABE4" w14:textId="77777777" w:rsidR="00702931" w:rsidRPr="00BD2844" w:rsidDel="005962C8" w:rsidRDefault="00702931" w:rsidP="00397897">
            <w:pPr>
              <w:rPr>
                <w:rFonts w:ascii="Arial Narrow" w:hAnsi="Arial Narrow"/>
                <w:i/>
                <w:iCs/>
                <w:color w:val="333333"/>
                <w:sz w:val="20"/>
                <w:szCs w:val="20"/>
              </w:rPr>
            </w:pPr>
            <w:r w:rsidRPr="00BD2844">
              <w:rPr>
                <w:rFonts w:ascii="Arial Narrow" w:hAnsi="Arial Narrow"/>
                <w:i/>
                <w:iCs/>
                <w:color w:val="333333"/>
                <w:sz w:val="20"/>
                <w:szCs w:val="20"/>
              </w:rPr>
              <w:t>Patient must be undergoing treatment with this drug administered once every 2 weeks - prescribe up to 11 repeat prescriptions; OR</w:t>
            </w:r>
          </w:p>
        </w:tc>
      </w:tr>
      <w:tr w:rsidR="00702931" w:rsidRPr="00BD2844" w14:paraId="274036AA"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46DDF20" w14:textId="0D57D9FA" w:rsidR="00702931" w:rsidRPr="00BD2844" w:rsidDel="00122C27" w:rsidRDefault="00702931" w:rsidP="00397897">
            <w:pPr>
              <w:jc w:val="center"/>
              <w:rPr>
                <w:rFonts w:ascii="Arial Narrow" w:hAnsi="Arial Narrow"/>
                <w:sz w:val="20"/>
                <w:szCs w:val="20"/>
              </w:rPr>
            </w:pPr>
          </w:p>
        </w:tc>
        <w:tc>
          <w:tcPr>
            <w:tcW w:w="4295" w:type="pct"/>
            <w:gridSpan w:val="5"/>
            <w:vAlign w:val="center"/>
          </w:tcPr>
          <w:p w14:paraId="2615A3F8" w14:textId="77777777" w:rsidR="00702931" w:rsidRPr="00BD2844" w:rsidDel="005962C8" w:rsidRDefault="00702931" w:rsidP="00397897">
            <w:pPr>
              <w:rPr>
                <w:rFonts w:ascii="Arial Narrow" w:hAnsi="Arial Narrow"/>
                <w:i/>
                <w:iCs/>
                <w:color w:val="333333"/>
                <w:sz w:val="20"/>
                <w:szCs w:val="20"/>
              </w:rPr>
            </w:pPr>
            <w:r w:rsidRPr="00BD2844">
              <w:rPr>
                <w:rFonts w:ascii="Arial Narrow" w:hAnsi="Arial Narrow"/>
                <w:i/>
                <w:iCs/>
                <w:color w:val="333333"/>
                <w:sz w:val="20"/>
                <w:szCs w:val="20"/>
              </w:rPr>
              <w:t>Patient must be undergoing treatment with this drug administered once every 4 weeks - prescribe up to 5 repeat prescriptions</w:t>
            </w:r>
          </w:p>
        </w:tc>
      </w:tr>
      <w:tr w:rsidR="00702931" w:rsidRPr="00BD2844" w14:paraId="53783EB6"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57DDBDE" w14:textId="77777777" w:rsidR="00702931" w:rsidRPr="00BD2844" w:rsidRDefault="00702931" w:rsidP="00397897">
            <w:pPr>
              <w:jc w:val="center"/>
              <w:rPr>
                <w:rFonts w:ascii="Arial Narrow" w:hAnsi="Arial Narrow"/>
                <w:i/>
                <w:iCs/>
                <w:color w:val="333333"/>
                <w:sz w:val="20"/>
                <w:szCs w:val="20"/>
              </w:rPr>
            </w:pPr>
          </w:p>
        </w:tc>
        <w:tc>
          <w:tcPr>
            <w:tcW w:w="4295" w:type="pct"/>
            <w:gridSpan w:val="5"/>
            <w:vAlign w:val="center"/>
          </w:tcPr>
          <w:p w14:paraId="2868B1C3" w14:textId="77777777" w:rsidR="00702931" w:rsidRPr="00BD2844" w:rsidRDefault="00702931" w:rsidP="00397897">
            <w:pPr>
              <w:rPr>
                <w:rFonts w:ascii="Arial Narrow" w:hAnsi="Arial Narrow"/>
                <w:b/>
                <w:bCs/>
                <w:i/>
                <w:iCs/>
                <w:color w:val="333333"/>
                <w:sz w:val="20"/>
                <w:szCs w:val="20"/>
              </w:rPr>
            </w:pPr>
            <w:r w:rsidRPr="00BD2844">
              <w:rPr>
                <w:rFonts w:ascii="Arial Narrow" w:hAnsi="Arial Narrow"/>
                <w:b/>
                <w:bCs/>
                <w:i/>
                <w:iCs/>
                <w:color w:val="333333"/>
                <w:sz w:val="20"/>
                <w:szCs w:val="20"/>
              </w:rPr>
              <w:t>AND</w:t>
            </w:r>
          </w:p>
        </w:tc>
      </w:tr>
      <w:tr w:rsidR="00702931" w:rsidRPr="00BD2844" w14:paraId="5B8730C8"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70AA0C9"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7DC72299" w14:textId="77777777" w:rsidR="00702931" w:rsidRPr="00BD2844" w:rsidRDefault="00702931" w:rsidP="00397897">
            <w:pPr>
              <w:rPr>
                <w:rFonts w:ascii="Arial Narrow" w:hAnsi="Arial Narrow"/>
                <w:b/>
                <w:bCs/>
                <w:color w:val="333333"/>
                <w:sz w:val="20"/>
                <w:szCs w:val="20"/>
              </w:rPr>
            </w:pPr>
            <w:r w:rsidRPr="00BD2844">
              <w:rPr>
                <w:rFonts w:ascii="Arial Narrow" w:hAnsi="Arial Narrow"/>
                <w:b/>
                <w:strike/>
                <w:color w:val="333333"/>
                <w:sz w:val="20"/>
                <w:szCs w:val="20"/>
              </w:rPr>
              <w:t>Prescribing instruction:</w:t>
            </w:r>
            <w:r w:rsidRPr="00BD2844">
              <w:rPr>
                <w:rFonts w:ascii="Arial Narrow" w:hAnsi="Arial Narrow"/>
                <w:b/>
                <w:bCs/>
                <w:color w:val="333333"/>
                <w:sz w:val="20"/>
                <w:szCs w:val="20"/>
              </w:rPr>
              <w:t xml:space="preserve"> </w:t>
            </w:r>
            <w:r w:rsidRPr="00BD2844">
              <w:rPr>
                <w:rFonts w:ascii="Arial Narrow" w:hAnsi="Arial Narrow"/>
                <w:b/>
                <w:bCs/>
                <w:i/>
                <w:iCs/>
                <w:color w:val="333333"/>
                <w:sz w:val="20"/>
                <w:szCs w:val="20"/>
              </w:rPr>
              <w:t>Treatment criteria:</w:t>
            </w:r>
          </w:p>
        </w:tc>
      </w:tr>
      <w:tr w:rsidR="00702931" w:rsidRPr="00BD2844" w14:paraId="720D7C6C"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C674364"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50915242" w14:textId="77777777" w:rsidR="00702931" w:rsidRPr="00BD2844" w:rsidRDefault="00702931" w:rsidP="00397897">
            <w:pPr>
              <w:rPr>
                <w:rFonts w:ascii="Arial Narrow" w:hAnsi="Arial Narrow"/>
                <w:i/>
                <w:iCs/>
                <w:color w:val="333333"/>
                <w:sz w:val="20"/>
                <w:szCs w:val="20"/>
              </w:rPr>
            </w:pPr>
            <w:r w:rsidRPr="00BD2844">
              <w:rPr>
                <w:rFonts w:ascii="Arial Narrow" w:hAnsi="Arial Narrow"/>
                <w:i/>
                <w:iCs/>
                <w:color w:val="333333"/>
                <w:sz w:val="20"/>
                <w:szCs w:val="20"/>
              </w:rPr>
              <w:t>Patient must not be undergoing continuing treatment beyond 24 cumulative months of nivolumab treatment from the first administered dose</w:t>
            </w:r>
          </w:p>
        </w:tc>
      </w:tr>
      <w:tr w:rsidR="00702931" w:rsidRPr="00BD2844" w14:paraId="6A854B9A"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A6B4242"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4FD99DBD" w14:textId="77777777" w:rsidR="00702931" w:rsidRPr="00BD2844" w:rsidRDefault="00702931" w:rsidP="00397897">
            <w:pPr>
              <w:rPr>
                <w:rFonts w:ascii="Arial Narrow" w:hAnsi="Arial Narrow"/>
                <w:b/>
                <w:bCs/>
                <w:i/>
                <w:iCs/>
                <w:color w:val="333333"/>
                <w:sz w:val="20"/>
                <w:szCs w:val="20"/>
              </w:rPr>
            </w:pPr>
            <w:r w:rsidRPr="00BD2844">
              <w:rPr>
                <w:rFonts w:ascii="Arial Narrow" w:hAnsi="Arial Narrow"/>
                <w:b/>
                <w:bCs/>
                <w:i/>
                <w:iCs/>
                <w:color w:val="333333"/>
                <w:sz w:val="20"/>
                <w:szCs w:val="20"/>
              </w:rPr>
              <w:t>Prescribing instruction:</w:t>
            </w:r>
          </w:p>
        </w:tc>
      </w:tr>
      <w:tr w:rsidR="00702931" w:rsidRPr="00BD2844" w14:paraId="6203B2EA"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6B23B06" w14:textId="7E52165F" w:rsidR="00702931" w:rsidRPr="00BD2844" w:rsidRDefault="00702931" w:rsidP="00397897">
            <w:pPr>
              <w:jc w:val="center"/>
              <w:rPr>
                <w:rFonts w:ascii="Arial Narrow" w:hAnsi="Arial Narrow"/>
                <w:i/>
                <w:iCs/>
                <w:sz w:val="20"/>
                <w:szCs w:val="20"/>
              </w:rPr>
            </w:pPr>
          </w:p>
        </w:tc>
        <w:tc>
          <w:tcPr>
            <w:tcW w:w="4295" w:type="pct"/>
            <w:gridSpan w:val="5"/>
            <w:vAlign w:val="center"/>
          </w:tcPr>
          <w:p w14:paraId="4E8F141E" w14:textId="77777777" w:rsidR="00702931" w:rsidRPr="00BD2844" w:rsidRDefault="00702931" w:rsidP="00397897">
            <w:pPr>
              <w:rPr>
                <w:rFonts w:ascii="Arial Narrow" w:hAnsi="Arial Narrow"/>
                <w:i/>
                <w:iCs/>
                <w:color w:val="333333"/>
                <w:sz w:val="20"/>
                <w:szCs w:val="20"/>
              </w:rPr>
            </w:pPr>
            <w:r w:rsidRPr="00BD2844">
              <w:rPr>
                <w:rFonts w:ascii="Arial Narrow" w:hAnsi="Arial Narrow"/>
                <w:i/>
                <w:iCs/>
                <w:color w:val="333333"/>
                <w:sz w:val="20"/>
                <w:szCs w:val="20"/>
              </w:rPr>
              <w:t>Patients must only receive a maximum of 240 mg every two weeks or 480 mg every four weeks under a weight based or flat dosing regimen.</w:t>
            </w:r>
          </w:p>
        </w:tc>
      </w:tr>
    </w:tbl>
    <w:p w14:paraId="27CB7F05" w14:textId="4E0A65D9" w:rsidR="00C14442" w:rsidRDefault="00C14442" w:rsidP="00A22C29">
      <w:pPr>
        <w:pStyle w:val="FooterTableFigure"/>
        <w:keepNext/>
        <w:keepLines/>
      </w:pPr>
      <w:proofErr w:type="spellStart"/>
      <w:r w:rsidRPr="00BD2844">
        <w:rPr>
          <w:vertAlign w:val="superscript"/>
        </w:rPr>
        <w:lastRenderedPageBreak/>
        <w:t>a</w:t>
      </w:r>
      <w:proofErr w:type="spellEnd"/>
      <w:r w:rsidRPr="00BD2844">
        <w:t xml:space="preserve"> Effective prices are indicative as reported by the submission; based on the cost-minimised price calculated using an assumed effective price for atezolizumab.</w:t>
      </w:r>
    </w:p>
    <w:p w14:paraId="047B2938" w14:textId="77777777" w:rsidR="00A22C29" w:rsidRPr="00C14442" w:rsidRDefault="00A22C29" w:rsidP="00A22C29">
      <w:pPr>
        <w:pStyle w:val="FooterTableFigure"/>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ipilimumab - treatment phase - induction therapy"/>
      </w:tblPr>
      <w:tblGrid>
        <w:gridCol w:w="562"/>
        <w:gridCol w:w="709"/>
        <w:gridCol w:w="709"/>
        <w:gridCol w:w="1417"/>
        <w:gridCol w:w="3261"/>
        <w:gridCol w:w="1275"/>
        <w:gridCol w:w="1084"/>
      </w:tblGrid>
      <w:tr w:rsidR="00C14442" w:rsidRPr="00BD2844" w14:paraId="1C441D69" w14:textId="77777777" w:rsidTr="00EE2572">
        <w:trPr>
          <w:cantSplit/>
          <w:trHeight w:val="20"/>
        </w:trPr>
        <w:tc>
          <w:tcPr>
            <w:tcW w:w="1098" w:type="pct"/>
            <w:gridSpan w:val="3"/>
            <w:vAlign w:val="center"/>
          </w:tcPr>
          <w:p w14:paraId="6EB6AF4F" w14:textId="77777777" w:rsidR="00C14442" w:rsidRPr="00BD2844" w:rsidRDefault="00C14442" w:rsidP="00397897">
            <w:pPr>
              <w:rPr>
                <w:rFonts w:ascii="Arial Narrow" w:hAnsi="Arial Narrow"/>
                <w:b/>
                <w:bCs/>
                <w:sz w:val="20"/>
                <w:szCs w:val="20"/>
              </w:rPr>
            </w:pPr>
            <w:r w:rsidRPr="00BD2844">
              <w:rPr>
                <w:rFonts w:ascii="Arial Narrow" w:hAnsi="Arial Narrow"/>
                <w:b/>
                <w:bCs/>
                <w:sz w:val="20"/>
                <w:szCs w:val="20"/>
              </w:rPr>
              <w:t>MEDICINAL PRODUCT</w:t>
            </w:r>
          </w:p>
          <w:p w14:paraId="71705538" w14:textId="77777777" w:rsidR="00C14442" w:rsidRPr="00BD2844" w:rsidRDefault="00C14442" w:rsidP="00397897">
            <w:pPr>
              <w:rPr>
                <w:rFonts w:ascii="Arial Narrow" w:hAnsi="Arial Narrow"/>
                <w:b/>
                <w:sz w:val="20"/>
                <w:szCs w:val="20"/>
              </w:rPr>
            </w:pPr>
            <w:r w:rsidRPr="00BD2844">
              <w:rPr>
                <w:rFonts w:ascii="Arial Narrow" w:hAnsi="Arial Narrow"/>
                <w:b/>
                <w:sz w:val="20"/>
                <w:szCs w:val="20"/>
              </w:rPr>
              <w:t>Form</w:t>
            </w:r>
          </w:p>
        </w:tc>
        <w:tc>
          <w:tcPr>
            <w:tcW w:w="786" w:type="pct"/>
            <w:vAlign w:val="center"/>
          </w:tcPr>
          <w:p w14:paraId="5AF7B07B" w14:textId="77777777" w:rsidR="00C14442" w:rsidRPr="00BD2844" w:rsidRDefault="00C14442" w:rsidP="00397897">
            <w:pPr>
              <w:jc w:val="center"/>
              <w:rPr>
                <w:rFonts w:ascii="Arial Narrow" w:hAnsi="Arial Narrow"/>
                <w:b/>
                <w:sz w:val="20"/>
                <w:szCs w:val="20"/>
              </w:rPr>
            </w:pPr>
            <w:r w:rsidRPr="00BD2844">
              <w:rPr>
                <w:rFonts w:ascii="Arial Narrow" w:hAnsi="Arial Narrow"/>
                <w:b/>
                <w:sz w:val="20"/>
                <w:szCs w:val="20"/>
              </w:rPr>
              <w:t>PBS item code</w:t>
            </w:r>
          </w:p>
        </w:tc>
        <w:tc>
          <w:tcPr>
            <w:tcW w:w="1808" w:type="pct"/>
            <w:vAlign w:val="center"/>
          </w:tcPr>
          <w:p w14:paraId="7D82385B" w14:textId="26C88EEE" w:rsidR="00C14442" w:rsidRPr="00BD2844" w:rsidRDefault="00723C3C" w:rsidP="00397897">
            <w:pPr>
              <w:jc w:val="center"/>
              <w:rPr>
                <w:rFonts w:ascii="Arial Narrow" w:hAnsi="Arial Narrow"/>
                <w:b/>
                <w:sz w:val="20"/>
                <w:szCs w:val="20"/>
              </w:rPr>
            </w:pPr>
            <w:r w:rsidRPr="00A80F63">
              <w:rPr>
                <w:rFonts w:ascii="Arial Narrow" w:hAnsi="Arial Narrow"/>
                <w:b/>
                <w:sz w:val="20"/>
                <w:szCs w:val="20"/>
              </w:rPr>
              <w:t>Dispensed Price Max</w:t>
            </w:r>
            <w:r>
              <w:rPr>
                <w:rFonts w:ascii="Arial Narrow" w:hAnsi="Arial Narrow"/>
                <w:b/>
                <w:sz w:val="20"/>
                <w:szCs w:val="20"/>
              </w:rPr>
              <w:t>.</w:t>
            </w:r>
            <w:r w:rsidRPr="00A80F63">
              <w:rPr>
                <w:rFonts w:ascii="Arial Narrow" w:hAnsi="Arial Narrow"/>
                <w:b/>
                <w:sz w:val="20"/>
                <w:szCs w:val="20"/>
              </w:rPr>
              <w:t xml:space="preserve"> Am</w:t>
            </w:r>
            <w:r>
              <w:rPr>
                <w:rFonts w:ascii="Arial Narrow" w:hAnsi="Arial Narrow"/>
                <w:b/>
                <w:sz w:val="20"/>
                <w:szCs w:val="20"/>
              </w:rPr>
              <w:t>ount</w:t>
            </w:r>
          </w:p>
        </w:tc>
        <w:tc>
          <w:tcPr>
            <w:tcW w:w="707" w:type="pct"/>
            <w:vAlign w:val="center"/>
          </w:tcPr>
          <w:p w14:paraId="07B8F45F" w14:textId="77777777" w:rsidR="00C14442" w:rsidRPr="00BD2844" w:rsidRDefault="00C14442" w:rsidP="00397897">
            <w:pPr>
              <w:jc w:val="center"/>
              <w:rPr>
                <w:rFonts w:ascii="Arial Narrow" w:hAnsi="Arial Narrow"/>
                <w:b/>
                <w:sz w:val="20"/>
                <w:szCs w:val="20"/>
              </w:rPr>
            </w:pPr>
            <w:r w:rsidRPr="00BD2844">
              <w:rPr>
                <w:rFonts w:ascii="Arial Narrow" w:hAnsi="Arial Narrow"/>
                <w:b/>
                <w:sz w:val="20"/>
                <w:szCs w:val="20"/>
              </w:rPr>
              <w:t>Max. Amount</w:t>
            </w:r>
          </w:p>
        </w:tc>
        <w:tc>
          <w:tcPr>
            <w:tcW w:w="601" w:type="pct"/>
            <w:vAlign w:val="center"/>
          </w:tcPr>
          <w:p w14:paraId="5D8396FC" w14:textId="77777777" w:rsidR="00C14442" w:rsidRPr="00BD2844" w:rsidRDefault="00C14442" w:rsidP="00397897">
            <w:pPr>
              <w:jc w:val="center"/>
              <w:rPr>
                <w:rFonts w:ascii="Arial Narrow" w:hAnsi="Arial Narrow"/>
                <w:b/>
                <w:sz w:val="20"/>
                <w:szCs w:val="20"/>
              </w:rPr>
            </w:pPr>
            <w:r w:rsidRPr="00BD2844">
              <w:rPr>
                <w:rFonts w:ascii="Arial Narrow" w:hAnsi="Arial Narrow"/>
                <w:b/>
                <w:sz w:val="20"/>
                <w:szCs w:val="20"/>
              </w:rPr>
              <w:t>№.of Rpts</w:t>
            </w:r>
          </w:p>
        </w:tc>
      </w:tr>
      <w:tr w:rsidR="00C14442" w:rsidRPr="00BD2844" w14:paraId="5E596915" w14:textId="77777777" w:rsidTr="00EE2572">
        <w:trPr>
          <w:cantSplit/>
          <w:trHeight w:val="20"/>
        </w:trPr>
        <w:tc>
          <w:tcPr>
            <w:tcW w:w="1098" w:type="pct"/>
            <w:gridSpan w:val="3"/>
            <w:vAlign w:val="center"/>
          </w:tcPr>
          <w:p w14:paraId="7C291324" w14:textId="77777777" w:rsidR="00C14442" w:rsidRPr="00BD2844" w:rsidRDefault="00C14442" w:rsidP="00397897">
            <w:pPr>
              <w:rPr>
                <w:rFonts w:ascii="Arial Narrow" w:hAnsi="Arial Narrow"/>
                <w:sz w:val="20"/>
                <w:szCs w:val="20"/>
              </w:rPr>
            </w:pPr>
            <w:r w:rsidRPr="00BD2844">
              <w:rPr>
                <w:rFonts w:ascii="Arial Narrow" w:hAnsi="Arial Narrow"/>
                <w:sz w:val="20"/>
                <w:szCs w:val="20"/>
              </w:rPr>
              <w:t>Ipilimumab Injection</w:t>
            </w:r>
          </w:p>
        </w:tc>
        <w:tc>
          <w:tcPr>
            <w:tcW w:w="786" w:type="pct"/>
            <w:vAlign w:val="center"/>
          </w:tcPr>
          <w:p w14:paraId="7434E90C" w14:textId="77777777" w:rsidR="00C14442" w:rsidRDefault="00C14442" w:rsidP="00397897">
            <w:pPr>
              <w:jc w:val="center"/>
              <w:rPr>
                <w:rFonts w:ascii="Arial Narrow" w:hAnsi="Arial Narrow"/>
                <w:sz w:val="20"/>
                <w:szCs w:val="20"/>
              </w:rPr>
            </w:pPr>
            <w:r w:rsidRPr="00BD2844">
              <w:rPr>
                <w:rFonts w:ascii="Arial Narrow" w:hAnsi="Arial Narrow"/>
                <w:sz w:val="20"/>
                <w:szCs w:val="20"/>
              </w:rPr>
              <w:t>NEW (HB)</w:t>
            </w:r>
          </w:p>
          <w:p w14:paraId="4FF6C868" w14:textId="2CDD6FEA" w:rsidR="00C14442" w:rsidRPr="00BD2844" w:rsidRDefault="00C14442" w:rsidP="00397897">
            <w:pPr>
              <w:jc w:val="center"/>
              <w:rPr>
                <w:rFonts w:ascii="Arial Narrow" w:hAnsi="Arial Narrow"/>
                <w:sz w:val="20"/>
                <w:szCs w:val="20"/>
              </w:rPr>
            </w:pPr>
            <w:r w:rsidRPr="00BD2844">
              <w:rPr>
                <w:rFonts w:ascii="Arial Narrow" w:hAnsi="Arial Narrow"/>
                <w:sz w:val="20"/>
                <w:szCs w:val="20"/>
              </w:rPr>
              <w:t>NEW (HS)</w:t>
            </w:r>
          </w:p>
        </w:tc>
        <w:tc>
          <w:tcPr>
            <w:tcW w:w="1808" w:type="pct"/>
            <w:vAlign w:val="center"/>
          </w:tcPr>
          <w:p w14:paraId="42E44FD7" w14:textId="77777777" w:rsidR="00EE2572" w:rsidRPr="00BC1090" w:rsidRDefault="00EE2572" w:rsidP="00EE2572">
            <w:pPr>
              <w:jc w:val="center"/>
              <w:rPr>
                <w:rFonts w:ascii="Arial Narrow" w:hAnsi="Arial Narrow"/>
                <w:sz w:val="20"/>
                <w:szCs w:val="20"/>
              </w:rPr>
            </w:pPr>
            <w:r w:rsidRPr="00BC1090">
              <w:rPr>
                <w:rFonts w:ascii="Arial Narrow" w:hAnsi="Arial Narrow"/>
                <w:sz w:val="20"/>
                <w:szCs w:val="20"/>
              </w:rPr>
              <w:t>$43,490.32 [Published, Private Hospital]</w:t>
            </w:r>
          </w:p>
          <w:p w14:paraId="4BD7BB94" w14:textId="77777777" w:rsidR="00EE2572" w:rsidRPr="00EE2572" w:rsidRDefault="00EE2572" w:rsidP="00EE2572">
            <w:pPr>
              <w:jc w:val="center"/>
              <w:rPr>
                <w:rFonts w:ascii="Arial Narrow" w:hAnsi="Arial Narrow"/>
                <w:sz w:val="20"/>
                <w:szCs w:val="20"/>
              </w:rPr>
            </w:pPr>
            <w:r w:rsidRPr="00BC1090">
              <w:rPr>
                <w:rFonts w:ascii="Arial Narrow" w:hAnsi="Arial Narrow"/>
                <w:sz w:val="20"/>
                <w:szCs w:val="20"/>
              </w:rPr>
              <w:t>$42,847.09 [Published</w:t>
            </w:r>
            <w:r w:rsidRPr="00EE2572">
              <w:rPr>
                <w:rFonts w:ascii="Arial Narrow" w:hAnsi="Arial Narrow"/>
                <w:sz w:val="20"/>
                <w:szCs w:val="20"/>
              </w:rPr>
              <w:t>, Public Hospital]</w:t>
            </w:r>
          </w:p>
          <w:p w14:paraId="2E43F9C1" w14:textId="77777777" w:rsidR="00EE2572" w:rsidRPr="00EE2572" w:rsidRDefault="00EE2572" w:rsidP="00EE2572">
            <w:pPr>
              <w:jc w:val="center"/>
              <w:rPr>
                <w:rFonts w:ascii="Arial Narrow" w:hAnsi="Arial Narrow"/>
                <w:sz w:val="20"/>
                <w:szCs w:val="20"/>
              </w:rPr>
            </w:pPr>
          </w:p>
          <w:p w14:paraId="00D1248E" w14:textId="6A561E6D" w:rsidR="00EE2572" w:rsidRPr="00EE2572" w:rsidRDefault="00EE2572" w:rsidP="00EE2572">
            <w:pPr>
              <w:jc w:val="center"/>
              <w:rPr>
                <w:rFonts w:ascii="Arial Narrow" w:hAnsi="Arial Narrow"/>
                <w:sz w:val="20"/>
                <w:szCs w:val="20"/>
              </w:rPr>
            </w:pPr>
            <w:r w:rsidRPr="00EE2572">
              <w:rPr>
                <w:rFonts w:ascii="Arial Narrow" w:hAnsi="Arial Narrow"/>
                <w:sz w:val="20"/>
                <w:szCs w:val="20"/>
              </w:rPr>
              <w:t>$</w:t>
            </w:r>
            <w:r w:rsidR="00206794" w:rsidRPr="00206794">
              <w:rPr>
                <w:rFonts w:ascii="Arial Narrow" w:hAnsi="Arial Narrow"/>
                <w:color w:val="000000"/>
                <w:spacing w:val="51"/>
                <w:sz w:val="20"/>
                <w:szCs w:val="20"/>
                <w:shd w:val="solid" w:color="000000" w:fill="000000"/>
                <w:fitText w:val="324" w:id="-629400320"/>
                <w14:textFill>
                  <w14:solidFill>
                    <w14:srgbClr w14:val="000000">
                      <w14:alpha w14:val="100000"/>
                    </w14:srgbClr>
                  </w14:solidFill>
                </w14:textFill>
              </w:rPr>
              <w:t>|||</w:t>
            </w:r>
            <w:r w:rsidR="00206794" w:rsidRPr="00206794">
              <w:rPr>
                <w:rFonts w:ascii="Arial Narrow" w:hAnsi="Arial Narrow"/>
                <w:color w:val="000000"/>
                <w:spacing w:val="1"/>
                <w:sz w:val="20"/>
                <w:szCs w:val="20"/>
                <w:shd w:val="solid" w:color="000000" w:fill="000000"/>
                <w:fitText w:val="324" w:id="-629400320"/>
                <w14:textFill>
                  <w14:solidFill>
                    <w14:srgbClr w14:val="000000">
                      <w14:alpha w14:val="100000"/>
                    </w14:srgbClr>
                  </w14:solidFill>
                </w14:textFill>
              </w:rPr>
              <w:t>|</w:t>
            </w:r>
            <w:r w:rsidRPr="00EE2572">
              <w:rPr>
                <w:rFonts w:ascii="Arial Narrow" w:hAnsi="Arial Narrow"/>
                <w:sz w:val="20"/>
                <w:szCs w:val="20"/>
              </w:rPr>
              <w:t xml:space="preserve"> </w:t>
            </w:r>
            <w:r w:rsidRPr="00EE2572">
              <w:rPr>
                <w:rFonts w:ascii="Arial Narrow" w:hAnsi="Arial Narrow"/>
                <w:sz w:val="20"/>
                <w:szCs w:val="20"/>
                <w:vertAlign w:val="superscript"/>
              </w:rPr>
              <w:t>a</w:t>
            </w:r>
            <w:r w:rsidRPr="00EE2572">
              <w:rPr>
                <w:rFonts w:ascii="Arial Narrow" w:hAnsi="Arial Narrow"/>
                <w:sz w:val="20"/>
                <w:szCs w:val="20"/>
              </w:rPr>
              <w:t xml:space="preserve"> [Effective, Private Hospital]</w:t>
            </w:r>
          </w:p>
          <w:p w14:paraId="288C9203" w14:textId="45C02BE8" w:rsidR="00C14442" w:rsidRPr="00BD2844" w:rsidRDefault="00EE2572" w:rsidP="00EE2572">
            <w:pPr>
              <w:jc w:val="center"/>
              <w:rPr>
                <w:rFonts w:ascii="Arial Narrow" w:hAnsi="Arial Narrow"/>
                <w:sz w:val="20"/>
                <w:szCs w:val="20"/>
              </w:rPr>
            </w:pPr>
            <w:r w:rsidRPr="00EE2572">
              <w:rPr>
                <w:rFonts w:ascii="Arial Narrow" w:hAnsi="Arial Narrow"/>
                <w:sz w:val="20"/>
                <w:szCs w:val="20"/>
              </w:rPr>
              <w:t>$</w:t>
            </w:r>
            <w:r w:rsidR="00206794" w:rsidRPr="00206794">
              <w:rPr>
                <w:rFonts w:ascii="Arial Narrow" w:hAnsi="Arial Narrow"/>
                <w:color w:val="000000"/>
                <w:spacing w:val="55"/>
                <w:sz w:val="20"/>
                <w:szCs w:val="20"/>
                <w:shd w:val="solid" w:color="000000" w:fill="000000"/>
                <w:fitText w:val="336" w:id="-629400319"/>
                <w14:textFill>
                  <w14:solidFill>
                    <w14:srgbClr w14:val="000000">
                      <w14:alpha w14:val="100000"/>
                    </w14:srgbClr>
                  </w14:solidFill>
                </w14:textFill>
              </w:rPr>
              <w:t>|||</w:t>
            </w:r>
            <w:r w:rsidR="00206794" w:rsidRPr="00206794">
              <w:rPr>
                <w:rFonts w:ascii="Arial Narrow" w:hAnsi="Arial Narrow"/>
                <w:color w:val="000000"/>
                <w:spacing w:val="1"/>
                <w:sz w:val="20"/>
                <w:szCs w:val="20"/>
                <w:shd w:val="solid" w:color="000000" w:fill="000000"/>
                <w:fitText w:val="336" w:id="-629400319"/>
                <w14:textFill>
                  <w14:solidFill>
                    <w14:srgbClr w14:val="000000">
                      <w14:alpha w14:val="100000"/>
                    </w14:srgbClr>
                  </w14:solidFill>
                </w14:textFill>
              </w:rPr>
              <w:t>|</w:t>
            </w:r>
            <w:r w:rsidRPr="00EE2572">
              <w:rPr>
                <w:rFonts w:ascii="Arial Narrow" w:hAnsi="Arial Narrow"/>
                <w:sz w:val="20"/>
                <w:szCs w:val="20"/>
              </w:rPr>
              <w:t xml:space="preserve"> </w:t>
            </w:r>
            <w:r w:rsidRPr="00EE2572">
              <w:rPr>
                <w:rFonts w:ascii="Arial Narrow" w:hAnsi="Arial Narrow"/>
                <w:sz w:val="20"/>
                <w:szCs w:val="20"/>
                <w:vertAlign w:val="superscript"/>
              </w:rPr>
              <w:t>a</w:t>
            </w:r>
            <w:r w:rsidRPr="00EE2572">
              <w:rPr>
                <w:rFonts w:ascii="Arial Narrow" w:hAnsi="Arial Narrow"/>
                <w:sz w:val="20"/>
                <w:szCs w:val="20"/>
              </w:rPr>
              <w:t xml:space="preserve"> [Effective, Public Hospital]</w:t>
            </w:r>
          </w:p>
        </w:tc>
        <w:tc>
          <w:tcPr>
            <w:tcW w:w="707" w:type="pct"/>
            <w:vAlign w:val="center"/>
          </w:tcPr>
          <w:p w14:paraId="33CA367C" w14:textId="77777777" w:rsidR="00C14442" w:rsidRPr="00BD2844" w:rsidRDefault="00C14442" w:rsidP="00397897">
            <w:pPr>
              <w:jc w:val="center"/>
              <w:rPr>
                <w:rFonts w:ascii="Arial Narrow" w:hAnsi="Arial Narrow"/>
                <w:sz w:val="20"/>
                <w:szCs w:val="20"/>
              </w:rPr>
            </w:pPr>
            <w:r w:rsidRPr="00BD2844">
              <w:rPr>
                <w:rFonts w:ascii="Arial Narrow" w:hAnsi="Arial Narrow"/>
                <w:sz w:val="20"/>
                <w:szCs w:val="20"/>
              </w:rPr>
              <w:t>360mg</w:t>
            </w:r>
          </w:p>
        </w:tc>
        <w:tc>
          <w:tcPr>
            <w:tcW w:w="601" w:type="pct"/>
            <w:vAlign w:val="center"/>
          </w:tcPr>
          <w:p w14:paraId="6F991221" w14:textId="77777777" w:rsidR="00C14442" w:rsidRPr="00BD2844" w:rsidRDefault="00C14442" w:rsidP="00397897">
            <w:pPr>
              <w:jc w:val="center"/>
              <w:rPr>
                <w:rFonts w:ascii="Arial Narrow" w:hAnsi="Arial Narrow"/>
                <w:sz w:val="20"/>
                <w:szCs w:val="20"/>
              </w:rPr>
            </w:pPr>
            <w:r w:rsidRPr="00BD2844">
              <w:rPr>
                <w:rFonts w:ascii="Arial Narrow" w:hAnsi="Arial Narrow"/>
                <w:sz w:val="20"/>
                <w:szCs w:val="20"/>
              </w:rPr>
              <w:t>3</w:t>
            </w:r>
          </w:p>
        </w:tc>
      </w:tr>
      <w:tr w:rsidR="00702931" w:rsidRPr="00BD2844" w14:paraId="4032C23A" w14:textId="77777777" w:rsidTr="001A42B0">
        <w:trPr>
          <w:cantSplit/>
          <w:trHeight w:val="20"/>
        </w:trPr>
        <w:tc>
          <w:tcPr>
            <w:tcW w:w="5000" w:type="pct"/>
            <w:gridSpan w:val="7"/>
            <w:vAlign w:val="center"/>
          </w:tcPr>
          <w:p w14:paraId="27213674" w14:textId="77777777" w:rsidR="00702931" w:rsidRPr="00BD2844" w:rsidRDefault="00702931" w:rsidP="00397897">
            <w:pPr>
              <w:rPr>
                <w:rFonts w:ascii="Arial Narrow" w:hAnsi="Arial Narrow"/>
                <w:b/>
                <w:sz w:val="20"/>
                <w:szCs w:val="20"/>
              </w:rPr>
            </w:pPr>
            <w:r w:rsidRPr="00BD2844">
              <w:rPr>
                <w:rFonts w:ascii="Arial Narrow" w:hAnsi="Arial Narrow"/>
                <w:b/>
                <w:sz w:val="20"/>
                <w:szCs w:val="20"/>
              </w:rPr>
              <w:t xml:space="preserve">Available brands </w:t>
            </w:r>
          </w:p>
        </w:tc>
      </w:tr>
      <w:tr w:rsidR="00702931" w:rsidRPr="00BD2844" w14:paraId="29D9453A" w14:textId="77777777" w:rsidTr="001A42B0">
        <w:trPr>
          <w:cantSplit/>
          <w:trHeight w:val="20"/>
        </w:trPr>
        <w:tc>
          <w:tcPr>
            <w:tcW w:w="5000" w:type="pct"/>
            <w:gridSpan w:val="7"/>
            <w:vAlign w:val="center"/>
          </w:tcPr>
          <w:p w14:paraId="76520CD9"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YERVOY</w:t>
            </w:r>
          </w:p>
          <w:p w14:paraId="44C3E29C"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(Ipilimumab 50 mg/10mL injection, 10 mL vial)</w:t>
            </w:r>
          </w:p>
        </w:tc>
      </w:tr>
      <w:tr w:rsidR="00702931" w:rsidRPr="00BD2844" w14:paraId="1C9B50CC" w14:textId="77777777" w:rsidTr="001A42B0">
        <w:trPr>
          <w:cantSplit/>
          <w:trHeight w:val="20"/>
        </w:trPr>
        <w:tc>
          <w:tcPr>
            <w:tcW w:w="5000" w:type="pct"/>
            <w:gridSpan w:val="7"/>
            <w:vAlign w:val="center"/>
          </w:tcPr>
          <w:p w14:paraId="0F4191A6"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YERVOY</w:t>
            </w:r>
          </w:p>
          <w:p w14:paraId="617D3D08"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(Ipilimumab 200 mg/40 mL injection, 40 mL vial)</w:t>
            </w:r>
          </w:p>
        </w:tc>
      </w:tr>
      <w:tr w:rsidR="00702931" w:rsidRPr="00BD2844" w14:paraId="382C155E" w14:textId="77777777" w:rsidTr="001A42B0">
        <w:trPr>
          <w:cantSplit/>
          <w:trHeight w:val="20"/>
        </w:trPr>
        <w:tc>
          <w:tcPr>
            <w:tcW w:w="5000" w:type="pct"/>
            <w:gridSpan w:val="7"/>
            <w:vAlign w:val="center"/>
          </w:tcPr>
          <w:p w14:paraId="0D776360" w14:textId="77777777" w:rsidR="00702931" w:rsidRPr="00BD2844" w:rsidRDefault="00702931" w:rsidP="00397897">
            <w:pPr>
              <w:rPr>
                <w:rFonts w:ascii="Arial Narrow" w:hAnsi="Arial Narrow"/>
                <w:sz w:val="20"/>
                <w:szCs w:val="20"/>
              </w:rPr>
            </w:pPr>
          </w:p>
        </w:tc>
      </w:tr>
      <w:tr w:rsidR="00702931" w:rsidRPr="00BD2844" w14:paraId="45DABCD7" w14:textId="77777777" w:rsidTr="001A42B0">
        <w:trPr>
          <w:cantSplit/>
          <w:trHeight w:val="20"/>
        </w:trPr>
        <w:tc>
          <w:tcPr>
            <w:tcW w:w="5000" w:type="pct"/>
            <w:gridSpan w:val="7"/>
            <w:vAlign w:val="center"/>
          </w:tcPr>
          <w:p w14:paraId="0E3C9988" w14:textId="77777777" w:rsidR="00702931" w:rsidRPr="00BD2844" w:rsidRDefault="00702931" w:rsidP="00397897">
            <w:pPr>
              <w:rPr>
                <w:rFonts w:ascii="Arial Narrow" w:hAnsi="Arial Narrow"/>
                <w:color w:val="FF0000"/>
                <w:sz w:val="20"/>
                <w:szCs w:val="20"/>
              </w:rPr>
            </w:pPr>
            <w:r w:rsidRPr="00BD2844">
              <w:rPr>
                <w:rFonts w:ascii="Arial Narrow" w:hAnsi="Arial Narrow"/>
                <w:b/>
                <w:sz w:val="20"/>
                <w:szCs w:val="20"/>
              </w:rPr>
              <w:t>Restriction Summary NEW3 / Treatment of Concept: NEW3A</w:t>
            </w:r>
          </w:p>
        </w:tc>
      </w:tr>
      <w:tr w:rsidR="00702931" w:rsidRPr="00BD2844" w14:paraId="67DC6076"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738B540D" w14:textId="77777777" w:rsidR="00702931" w:rsidRPr="00BD2844" w:rsidRDefault="00702931" w:rsidP="00397897">
            <w:pPr>
              <w:jc w:val="center"/>
              <w:rPr>
                <w:rFonts w:ascii="Arial Narrow" w:hAnsi="Arial Narrow"/>
                <w:b/>
                <w:sz w:val="20"/>
                <w:szCs w:val="20"/>
              </w:rPr>
            </w:pPr>
            <w:r w:rsidRPr="00BD2844">
              <w:rPr>
                <w:rFonts w:ascii="Arial Narrow" w:hAnsi="Arial Narrow"/>
                <w:b/>
                <w:sz w:val="20"/>
                <w:szCs w:val="20"/>
              </w:rPr>
              <w:t xml:space="preserve">Concept ID </w:t>
            </w:r>
            <w:r w:rsidRPr="00BD2844">
              <w:rPr>
                <w:rFonts w:ascii="Arial Narrow" w:hAnsi="Arial Narrow"/>
                <w:sz w:val="20"/>
                <w:szCs w:val="20"/>
              </w:rPr>
              <w:t>(for internal Dept. use)</w:t>
            </w:r>
          </w:p>
        </w:tc>
        <w:tc>
          <w:tcPr>
            <w:tcW w:w="4295" w:type="pct"/>
            <w:gridSpan w:val="5"/>
          </w:tcPr>
          <w:p w14:paraId="43246FA8" w14:textId="77777777" w:rsidR="00702931" w:rsidRPr="00BD2844" w:rsidRDefault="00702931" w:rsidP="00397897">
            <w:pPr>
              <w:rPr>
                <w:rFonts w:ascii="Arial Narrow" w:hAnsi="Arial Narrow"/>
                <w:sz w:val="20"/>
                <w:szCs w:val="20"/>
              </w:rPr>
            </w:pPr>
            <w:r w:rsidRPr="00BD2844">
              <w:rPr>
                <w:rFonts w:ascii="Arial Narrow" w:hAnsi="Arial Narrow"/>
                <w:b/>
                <w:sz w:val="20"/>
                <w:szCs w:val="20"/>
              </w:rPr>
              <w:t xml:space="preserve">Category / Program: </w:t>
            </w:r>
            <w:r w:rsidRPr="00BD2844">
              <w:rPr>
                <w:rFonts w:ascii="Arial Narrow" w:hAnsi="Arial Narrow"/>
                <w:sz w:val="20"/>
                <w:szCs w:val="20"/>
              </w:rPr>
              <w:t>Section 100 – Efficient Funding of Chemotherapy Public/Private hospitals</w:t>
            </w:r>
          </w:p>
        </w:tc>
      </w:tr>
      <w:tr w:rsidR="00702931" w:rsidRPr="00BD2844" w14:paraId="2CB9C6CD"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0C6D864E" w14:textId="77777777" w:rsidR="00702931" w:rsidRPr="00BD2844" w:rsidRDefault="00702931" w:rsidP="00397897">
            <w:pPr>
              <w:rPr>
                <w:rFonts w:ascii="Arial Narrow" w:hAnsi="Arial Narrow"/>
                <w:sz w:val="20"/>
                <w:szCs w:val="20"/>
              </w:rPr>
            </w:pPr>
          </w:p>
        </w:tc>
        <w:tc>
          <w:tcPr>
            <w:tcW w:w="4295" w:type="pct"/>
            <w:gridSpan w:val="5"/>
          </w:tcPr>
          <w:p w14:paraId="60C62657" w14:textId="77777777" w:rsidR="00702931" w:rsidRPr="00BD2844" w:rsidRDefault="00702931" w:rsidP="00397897">
            <w:pPr>
              <w:rPr>
                <w:rFonts w:ascii="Arial Narrow" w:hAnsi="Arial Narrow"/>
                <w:b/>
                <w:sz w:val="20"/>
                <w:szCs w:val="20"/>
              </w:rPr>
            </w:pPr>
            <w:r w:rsidRPr="00BD2844">
              <w:rPr>
                <w:rFonts w:ascii="Arial Narrow" w:hAnsi="Arial Narrow"/>
                <w:b/>
                <w:sz w:val="20"/>
                <w:szCs w:val="20"/>
              </w:rPr>
              <w:t xml:space="preserve">Prescriber type: </w:t>
            </w:r>
            <w:r w:rsidRPr="00BD2844">
              <w:rPr>
                <w:rFonts w:ascii="Arial Narrow" w:hAnsi="Arial Narrow"/>
                <w:sz w:val="20"/>
                <w:szCs w:val="20"/>
              </w:rPr>
              <w:fldChar w:fldCharType="begin">
                <w:ffData>
                  <w:name w:val=""/>
                  <w:enabled/>
                  <w:calcOnExit w:val="0"/>
                  <w:checkBox>
                    <w:sizeAuto/>
                    <w:default w:val="1"/>
                  </w:checkBox>
                </w:ffData>
              </w:fldChar>
            </w:r>
            <w:r w:rsidRPr="00BD2844">
              <w:rPr>
                <w:rFonts w:ascii="Arial Narrow" w:hAnsi="Arial Narrow"/>
                <w:sz w:val="20"/>
                <w:szCs w:val="20"/>
              </w:rPr>
              <w:instrText xml:space="preserve"> FORMCHECKBOX </w:instrText>
            </w:r>
            <w:r w:rsidRPr="00BD2844">
              <w:rPr>
                <w:rFonts w:ascii="Arial Narrow" w:hAnsi="Arial Narrow"/>
                <w:sz w:val="20"/>
                <w:szCs w:val="20"/>
              </w:rPr>
            </w:r>
            <w:r w:rsidRPr="00BD2844">
              <w:rPr>
                <w:rFonts w:ascii="Arial Narrow" w:hAnsi="Arial Narrow"/>
                <w:sz w:val="20"/>
                <w:szCs w:val="20"/>
              </w:rPr>
              <w:fldChar w:fldCharType="separate"/>
            </w:r>
            <w:r w:rsidRPr="00BD2844">
              <w:rPr>
                <w:rFonts w:ascii="Arial Narrow" w:hAnsi="Arial Narrow"/>
                <w:sz w:val="20"/>
                <w:szCs w:val="20"/>
              </w:rPr>
              <w:fldChar w:fldCharType="end"/>
            </w:r>
            <w:r w:rsidRPr="00BD2844">
              <w:rPr>
                <w:rFonts w:ascii="Arial Narrow" w:hAnsi="Arial Narrow"/>
                <w:sz w:val="20"/>
                <w:szCs w:val="20"/>
              </w:rPr>
              <w:t>Medical Practitioners</w:t>
            </w:r>
          </w:p>
        </w:tc>
      </w:tr>
      <w:tr w:rsidR="00702931" w:rsidRPr="00BD2844" w14:paraId="0D5A0CC5"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6E0C6F3A" w14:textId="77777777" w:rsidR="00702931" w:rsidRPr="00BD2844" w:rsidRDefault="00702931" w:rsidP="00397897">
            <w:pPr>
              <w:rPr>
                <w:rFonts w:ascii="Arial Narrow" w:hAnsi="Arial Narrow"/>
                <w:sz w:val="20"/>
                <w:szCs w:val="20"/>
              </w:rPr>
            </w:pPr>
          </w:p>
        </w:tc>
        <w:tc>
          <w:tcPr>
            <w:tcW w:w="4295" w:type="pct"/>
            <w:gridSpan w:val="5"/>
          </w:tcPr>
          <w:p w14:paraId="6E13EC38" w14:textId="77777777" w:rsidR="00702931" w:rsidRPr="00BD2844" w:rsidRDefault="00702931" w:rsidP="00397897">
            <w:pPr>
              <w:rPr>
                <w:rFonts w:ascii="Arial Narrow" w:eastAsia="Calibri" w:hAnsi="Arial Narrow"/>
                <w:sz w:val="20"/>
                <w:szCs w:val="20"/>
              </w:rPr>
            </w:pPr>
            <w:r w:rsidRPr="00BD2844">
              <w:rPr>
                <w:rFonts w:ascii="Arial Narrow" w:hAnsi="Arial Narrow"/>
                <w:b/>
                <w:sz w:val="20"/>
                <w:szCs w:val="20"/>
              </w:rPr>
              <w:t xml:space="preserve">Restriction type:  </w:t>
            </w:r>
            <w:r w:rsidRPr="00BD2844">
              <w:rPr>
                <w:rFonts w:ascii="Arial Narrow" w:eastAsia="Calibri" w:hAnsi="Arial Narrow"/>
                <w:sz w:val="20"/>
                <w:szCs w:val="20"/>
              </w:rPr>
              <w:fldChar w:fldCharType="begin">
                <w:ffData>
                  <w:name w:val=""/>
                  <w:enabled/>
                  <w:calcOnExit w:val="0"/>
                  <w:checkBox>
                    <w:sizeAuto/>
                    <w:default w:val="1"/>
                  </w:checkBox>
                </w:ffData>
              </w:fldChar>
            </w:r>
            <w:r w:rsidRPr="00BD2844">
              <w:rPr>
                <w:rFonts w:ascii="Arial Narrow" w:eastAsia="Calibri" w:hAnsi="Arial Narrow"/>
                <w:sz w:val="20"/>
                <w:szCs w:val="20"/>
              </w:rPr>
              <w:instrText xml:space="preserve"> FORMCHECKBOX </w:instrText>
            </w:r>
            <w:r w:rsidRPr="00BD2844">
              <w:rPr>
                <w:rFonts w:ascii="Arial Narrow" w:eastAsia="Calibri" w:hAnsi="Arial Narrow"/>
                <w:sz w:val="20"/>
                <w:szCs w:val="20"/>
              </w:rPr>
            </w:r>
            <w:r w:rsidRPr="00BD2844">
              <w:rPr>
                <w:rFonts w:ascii="Arial Narrow" w:eastAsia="Calibri" w:hAnsi="Arial Narrow"/>
                <w:sz w:val="20"/>
                <w:szCs w:val="20"/>
              </w:rPr>
              <w:fldChar w:fldCharType="separate"/>
            </w:r>
            <w:r w:rsidRPr="00BD2844">
              <w:rPr>
                <w:rFonts w:ascii="Arial Narrow" w:eastAsia="Calibri" w:hAnsi="Arial Narrow"/>
                <w:sz w:val="20"/>
                <w:szCs w:val="20"/>
              </w:rPr>
              <w:fldChar w:fldCharType="end"/>
            </w:r>
            <w:r w:rsidRPr="00BD2844">
              <w:rPr>
                <w:rFonts w:ascii="Arial Narrow" w:eastAsia="Calibri" w:hAnsi="Arial Narrow"/>
                <w:sz w:val="20"/>
                <w:szCs w:val="20"/>
              </w:rPr>
              <w:t>Authority Required (STREAMLINED) [NEW]</w:t>
            </w:r>
            <w:r w:rsidRPr="00BD2844">
              <w:rPr>
                <w:rFonts w:ascii="Arial Narrow" w:eastAsia="Calibri" w:hAnsi="Arial Narrow"/>
                <w:color w:val="FF0000"/>
                <w:sz w:val="20"/>
                <w:szCs w:val="20"/>
              </w:rPr>
              <w:t xml:space="preserve"> </w:t>
            </w:r>
          </w:p>
        </w:tc>
      </w:tr>
      <w:tr w:rsidR="00702931" w:rsidRPr="00BD2844" w14:paraId="6EEF6BC8" w14:textId="77777777" w:rsidTr="001A42B0">
        <w:tblPrEx>
          <w:tblCellMar>
            <w:top w:w="15" w:type="dxa"/>
            <w:bottom w:w="15" w:type="dxa"/>
          </w:tblCellMar>
          <w:tblLook w:val="04A0" w:firstRow="1" w:lastRow="0" w:firstColumn="1" w:lastColumn="0" w:noHBand="0" w:noVBand="1"/>
        </w:tblPrEx>
        <w:trPr>
          <w:trHeight w:val="20"/>
        </w:trPr>
        <w:tc>
          <w:tcPr>
            <w:tcW w:w="312" w:type="pct"/>
            <w:vMerge w:val="restart"/>
            <w:textDirection w:val="btLr"/>
            <w:vAlign w:val="center"/>
          </w:tcPr>
          <w:p w14:paraId="52A88EBF" w14:textId="77777777" w:rsidR="00702931" w:rsidRPr="00BD2844" w:rsidRDefault="00702931" w:rsidP="00397897">
            <w:pPr>
              <w:ind w:left="113" w:right="113"/>
              <w:jc w:val="center"/>
              <w:rPr>
                <w:rFonts w:ascii="Arial Narrow" w:hAnsi="Arial Narrow"/>
                <w:color w:val="333333"/>
                <w:sz w:val="12"/>
                <w:szCs w:val="12"/>
              </w:rPr>
            </w:pPr>
            <w:r w:rsidRPr="00BD2844">
              <w:rPr>
                <w:rFonts w:ascii="Arial Narrow" w:hAnsi="Arial Narrow"/>
                <w:i/>
                <w:color w:val="333333"/>
                <w:sz w:val="12"/>
                <w:szCs w:val="12"/>
              </w:rPr>
              <w:t>Prescribing rule</w:t>
            </w:r>
          </w:p>
        </w:tc>
        <w:tc>
          <w:tcPr>
            <w:tcW w:w="393" w:type="pct"/>
            <w:vAlign w:val="center"/>
          </w:tcPr>
          <w:p w14:paraId="27792388" w14:textId="2E313073" w:rsidR="00702931" w:rsidRPr="00BD2844" w:rsidRDefault="00702931" w:rsidP="00397897">
            <w:pPr>
              <w:ind w:hanging="35"/>
              <w:jc w:val="center"/>
              <w:rPr>
                <w:rFonts w:ascii="Arial Narrow" w:hAnsi="Arial Narrow"/>
                <w:i/>
                <w:iCs/>
                <w:sz w:val="20"/>
                <w:szCs w:val="20"/>
              </w:rPr>
            </w:pPr>
          </w:p>
        </w:tc>
        <w:tc>
          <w:tcPr>
            <w:tcW w:w="4295" w:type="pct"/>
            <w:gridSpan w:val="5"/>
            <w:vAlign w:val="center"/>
          </w:tcPr>
          <w:p w14:paraId="6D54F2B1" w14:textId="77777777" w:rsidR="00702931" w:rsidRPr="00BD2844" w:rsidRDefault="00702931" w:rsidP="00397897">
            <w:pPr>
              <w:rPr>
                <w:rFonts w:ascii="Arial Narrow" w:hAnsi="Arial Narrow"/>
                <w:b/>
                <w:bCs/>
                <w:i/>
                <w:iCs/>
                <w:sz w:val="20"/>
                <w:szCs w:val="20"/>
              </w:rPr>
            </w:pPr>
            <w:r w:rsidRPr="00BD2844">
              <w:rPr>
                <w:rFonts w:ascii="Arial Narrow" w:hAnsi="Arial Narrow"/>
                <w:b/>
                <w:bCs/>
                <w:i/>
                <w:iCs/>
                <w:sz w:val="20"/>
                <w:szCs w:val="20"/>
              </w:rPr>
              <w:t xml:space="preserve">Administrative Advice: </w:t>
            </w:r>
            <w:r w:rsidRPr="00BD2844">
              <w:rPr>
                <w:rFonts w:ascii="Arial Narrow" w:hAnsi="Arial Narrow"/>
                <w:bCs/>
                <w:i/>
                <w:iCs/>
                <w:sz w:val="20"/>
                <w:szCs w:val="20"/>
              </w:rPr>
              <w:t>No increase in the maximum number of repeats may be authorised.</w:t>
            </w:r>
          </w:p>
        </w:tc>
      </w:tr>
      <w:tr w:rsidR="00702931" w:rsidRPr="00BD2844" w14:paraId="3D675888" w14:textId="77777777" w:rsidTr="001A42B0">
        <w:tblPrEx>
          <w:tblCellMar>
            <w:top w:w="15" w:type="dxa"/>
            <w:bottom w:w="15" w:type="dxa"/>
          </w:tblCellMar>
          <w:tblLook w:val="04A0" w:firstRow="1" w:lastRow="0" w:firstColumn="1" w:lastColumn="0" w:noHBand="0" w:noVBand="1"/>
        </w:tblPrEx>
        <w:trPr>
          <w:trHeight w:val="20"/>
        </w:trPr>
        <w:tc>
          <w:tcPr>
            <w:tcW w:w="312" w:type="pct"/>
            <w:vMerge/>
            <w:vAlign w:val="center"/>
          </w:tcPr>
          <w:p w14:paraId="7206BEAE" w14:textId="77777777" w:rsidR="00702931" w:rsidRPr="00BD2844" w:rsidRDefault="00702931" w:rsidP="00397897">
            <w:pPr>
              <w:jc w:val="center"/>
              <w:rPr>
                <w:rFonts w:ascii="Arial Narrow" w:hAnsi="Arial Narrow"/>
                <w:color w:val="333333"/>
                <w:sz w:val="20"/>
                <w:szCs w:val="20"/>
              </w:rPr>
            </w:pPr>
          </w:p>
        </w:tc>
        <w:tc>
          <w:tcPr>
            <w:tcW w:w="393" w:type="pct"/>
            <w:vAlign w:val="center"/>
          </w:tcPr>
          <w:p w14:paraId="07CE1020" w14:textId="301C8205" w:rsidR="00702931" w:rsidRPr="00BD2844" w:rsidRDefault="00702931" w:rsidP="00397897">
            <w:pPr>
              <w:ind w:hanging="35"/>
              <w:jc w:val="center"/>
              <w:rPr>
                <w:rFonts w:ascii="Arial Narrow" w:hAnsi="Arial Narrow"/>
                <w:i/>
                <w:iCs/>
                <w:sz w:val="20"/>
                <w:szCs w:val="20"/>
              </w:rPr>
            </w:pPr>
          </w:p>
        </w:tc>
        <w:tc>
          <w:tcPr>
            <w:tcW w:w="4295" w:type="pct"/>
            <w:gridSpan w:val="5"/>
            <w:vAlign w:val="center"/>
          </w:tcPr>
          <w:p w14:paraId="074D594B" w14:textId="77777777" w:rsidR="00702931" w:rsidRPr="00BD2844" w:rsidRDefault="00702931" w:rsidP="00397897">
            <w:pPr>
              <w:rPr>
                <w:rFonts w:ascii="Arial Narrow" w:hAnsi="Arial Narrow"/>
                <w:b/>
                <w:bCs/>
                <w:i/>
                <w:iCs/>
                <w:sz w:val="20"/>
                <w:szCs w:val="20"/>
              </w:rPr>
            </w:pPr>
            <w:r w:rsidRPr="00BD2844">
              <w:rPr>
                <w:rFonts w:ascii="Arial Narrow" w:hAnsi="Arial Narrow"/>
                <w:b/>
                <w:bCs/>
                <w:i/>
                <w:iCs/>
                <w:sz w:val="20"/>
                <w:szCs w:val="20"/>
              </w:rPr>
              <w:t xml:space="preserve">Administrative Advice: </w:t>
            </w:r>
            <w:r w:rsidRPr="00BD2844">
              <w:rPr>
                <w:rFonts w:ascii="Arial Narrow" w:hAnsi="Arial Narrow"/>
                <w:bCs/>
                <w:i/>
                <w:iCs/>
                <w:sz w:val="20"/>
                <w:szCs w:val="20"/>
              </w:rPr>
              <w:t>Special Pricing Arrangements apply.</w:t>
            </w:r>
          </w:p>
        </w:tc>
      </w:tr>
      <w:tr w:rsidR="00702931" w:rsidRPr="00BD2844" w14:paraId="16F7C31C"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40BC1B6B" w14:textId="50B4D647" w:rsidR="00702931" w:rsidRPr="00BD2844" w:rsidRDefault="00702931" w:rsidP="00397897">
            <w:pPr>
              <w:jc w:val="center"/>
              <w:rPr>
                <w:rFonts w:ascii="Arial Narrow" w:hAnsi="Arial Narrow"/>
                <w:color w:val="333333"/>
                <w:sz w:val="20"/>
                <w:szCs w:val="20"/>
              </w:rPr>
            </w:pPr>
          </w:p>
        </w:tc>
        <w:tc>
          <w:tcPr>
            <w:tcW w:w="4295" w:type="pct"/>
            <w:gridSpan w:val="5"/>
            <w:vAlign w:val="center"/>
            <w:hideMark/>
          </w:tcPr>
          <w:p w14:paraId="0B74B2B0" w14:textId="77777777" w:rsidR="00702931" w:rsidRPr="00BD2844" w:rsidRDefault="00702931" w:rsidP="00397897">
            <w:pPr>
              <w:rPr>
                <w:rFonts w:ascii="Arial Narrow" w:hAnsi="Arial Narrow"/>
                <w:color w:val="333333"/>
                <w:sz w:val="20"/>
                <w:szCs w:val="20"/>
              </w:rPr>
            </w:pPr>
            <w:r w:rsidRPr="00BD2844">
              <w:rPr>
                <w:rFonts w:ascii="Arial Narrow" w:hAnsi="Arial Narrow"/>
                <w:b/>
                <w:bCs/>
                <w:color w:val="333333"/>
                <w:sz w:val="20"/>
                <w:szCs w:val="20"/>
              </w:rPr>
              <w:t>Indication:</w:t>
            </w:r>
            <w:r w:rsidRPr="00BD2844">
              <w:rPr>
                <w:rFonts w:ascii="Arial Narrow" w:hAnsi="Arial Narrow"/>
                <w:color w:val="333333"/>
                <w:sz w:val="20"/>
                <w:szCs w:val="20"/>
              </w:rPr>
              <w:t xml:space="preserve"> Advanced (unresectable) Barcelona Clinic Liver Cancer Stage A, Stage B or Stage C hepatocellular carcinoma</w:t>
            </w:r>
          </w:p>
        </w:tc>
      </w:tr>
      <w:tr w:rsidR="00702931" w:rsidRPr="00BD2844" w14:paraId="66048E14"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3A04D35A" w14:textId="77777777" w:rsidR="00702931" w:rsidRPr="00BD2844" w:rsidRDefault="00702931" w:rsidP="00397897">
            <w:pPr>
              <w:jc w:val="center"/>
              <w:rPr>
                <w:rFonts w:ascii="Arial Narrow" w:hAnsi="Arial Narrow"/>
                <w:color w:val="333333"/>
                <w:sz w:val="20"/>
                <w:szCs w:val="20"/>
              </w:rPr>
            </w:pPr>
          </w:p>
        </w:tc>
        <w:tc>
          <w:tcPr>
            <w:tcW w:w="4295" w:type="pct"/>
            <w:gridSpan w:val="5"/>
            <w:vAlign w:val="center"/>
            <w:hideMark/>
          </w:tcPr>
          <w:p w14:paraId="662CF6CA" w14:textId="77777777" w:rsidR="00702931" w:rsidRPr="00BD2844" w:rsidRDefault="00702931" w:rsidP="00397897">
            <w:pPr>
              <w:rPr>
                <w:rFonts w:ascii="Arial Narrow" w:hAnsi="Arial Narrow"/>
                <w:color w:val="FF0000"/>
                <w:sz w:val="20"/>
                <w:szCs w:val="20"/>
              </w:rPr>
            </w:pPr>
            <w:r w:rsidRPr="00BD2844">
              <w:rPr>
                <w:rFonts w:ascii="Arial Narrow" w:hAnsi="Arial Narrow"/>
                <w:b/>
                <w:bCs/>
                <w:color w:val="333333"/>
                <w:sz w:val="20"/>
                <w:szCs w:val="20"/>
              </w:rPr>
              <w:t>Treatment Phase:</w:t>
            </w:r>
            <w:r w:rsidRPr="00BD2844">
              <w:rPr>
                <w:rFonts w:ascii="Arial Narrow" w:hAnsi="Arial Narrow"/>
                <w:color w:val="FF0000"/>
                <w:sz w:val="20"/>
                <w:szCs w:val="20"/>
              </w:rPr>
              <w:t xml:space="preserve"> </w:t>
            </w:r>
            <w:r w:rsidRPr="00BD2844">
              <w:rPr>
                <w:rFonts w:ascii="Arial Narrow" w:hAnsi="Arial Narrow"/>
                <w:sz w:val="20"/>
                <w:szCs w:val="20"/>
              </w:rPr>
              <w:t>Induction therapy</w:t>
            </w:r>
          </w:p>
        </w:tc>
      </w:tr>
      <w:tr w:rsidR="00702931" w:rsidRPr="00BD2844" w14:paraId="1E25B357"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57CB8848" w14:textId="448D412D" w:rsidR="00702931" w:rsidRPr="00BD2844" w:rsidRDefault="00702931" w:rsidP="00397897">
            <w:pPr>
              <w:jc w:val="center"/>
              <w:rPr>
                <w:rFonts w:ascii="Arial Narrow" w:hAnsi="Arial Narrow"/>
                <w:sz w:val="20"/>
                <w:szCs w:val="20"/>
              </w:rPr>
            </w:pPr>
          </w:p>
        </w:tc>
        <w:tc>
          <w:tcPr>
            <w:tcW w:w="4295" w:type="pct"/>
            <w:gridSpan w:val="5"/>
            <w:vAlign w:val="center"/>
            <w:hideMark/>
          </w:tcPr>
          <w:p w14:paraId="36380507" w14:textId="77777777" w:rsidR="00702931" w:rsidRPr="00BD2844" w:rsidRDefault="00702931" w:rsidP="00397897">
            <w:pPr>
              <w:rPr>
                <w:rFonts w:ascii="Arial Narrow" w:hAnsi="Arial Narrow"/>
                <w:sz w:val="20"/>
                <w:szCs w:val="20"/>
              </w:rPr>
            </w:pPr>
            <w:r w:rsidRPr="00BD2844">
              <w:rPr>
                <w:rFonts w:ascii="Arial Narrow" w:hAnsi="Arial Narrow"/>
                <w:b/>
                <w:bCs/>
                <w:sz w:val="20"/>
                <w:szCs w:val="20"/>
              </w:rPr>
              <w:t xml:space="preserve">Clinical criteria: </w:t>
            </w:r>
            <w:r w:rsidRPr="00BD2844">
              <w:rPr>
                <w:rFonts w:ascii="Arial Narrow" w:hAnsi="Arial Narrow"/>
                <w:bCs/>
                <w:sz w:val="20"/>
                <w:szCs w:val="20"/>
              </w:rPr>
              <w:t>Patient must have a WHO performance status of 0 or 1</w:t>
            </w:r>
          </w:p>
        </w:tc>
      </w:tr>
      <w:tr w:rsidR="00702931" w:rsidRPr="00BD2844" w14:paraId="6FDB7590"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75DC342"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53188CB9"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AND</w:t>
            </w:r>
          </w:p>
        </w:tc>
      </w:tr>
      <w:tr w:rsidR="00702931" w:rsidRPr="00BD2844" w14:paraId="2A0DE859"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13A05C7"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39FC95DC"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Clinical criteria:</w:t>
            </w:r>
          </w:p>
        </w:tc>
      </w:tr>
      <w:tr w:rsidR="00702931" w:rsidRPr="00BD2844" w14:paraId="7E64C55F"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297667C" w14:textId="7A0A3DF3" w:rsidR="00702931" w:rsidRPr="00BD2844" w:rsidRDefault="00702931" w:rsidP="00397897">
            <w:pPr>
              <w:jc w:val="center"/>
              <w:rPr>
                <w:rFonts w:ascii="Arial Narrow" w:hAnsi="Arial Narrow"/>
                <w:sz w:val="20"/>
                <w:szCs w:val="20"/>
              </w:rPr>
            </w:pPr>
          </w:p>
        </w:tc>
        <w:tc>
          <w:tcPr>
            <w:tcW w:w="4295" w:type="pct"/>
            <w:gridSpan w:val="5"/>
            <w:vAlign w:val="center"/>
          </w:tcPr>
          <w:p w14:paraId="3543A02E" w14:textId="77777777" w:rsidR="00702931" w:rsidRPr="00BD2844" w:rsidRDefault="00702931" w:rsidP="00397897">
            <w:pPr>
              <w:rPr>
                <w:rFonts w:ascii="Arial Narrow" w:hAnsi="Arial Narrow"/>
                <w:i/>
                <w:iCs/>
                <w:sz w:val="20"/>
                <w:szCs w:val="20"/>
              </w:rPr>
            </w:pPr>
            <w:r w:rsidRPr="00BD2844">
              <w:rPr>
                <w:rFonts w:ascii="Arial Narrow" w:hAnsi="Arial Narrow"/>
                <w:sz w:val="20"/>
                <w:szCs w:val="20"/>
              </w:rPr>
              <w:t xml:space="preserve">Patient must not be suitable for curative surgical </w:t>
            </w:r>
            <w:r w:rsidRPr="00BD2844">
              <w:rPr>
                <w:rFonts w:ascii="Arial Narrow" w:hAnsi="Arial Narrow"/>
                <w:strike/>
                <w:sz w:val="20"/>
                <w:szCs w:val="20"/>
              </w:rPr>
              <w:t>and/or locoregional therapies</w:t>
            </w:r>
            <w:r w:rsidRPr="00BD2844">
              <w:rPr>
                <w:rFonts w:ascii="Arial Narrow" w:hAnsi="Arial Narrow"/>
                <w:sz w:val="20"/>
                <w:szCs w:val="20"/>
              </w:rPr>
              <w:t xml:space="preserve"> </w:t>
            </w:r>
            <w:r w:rsidRPr="00BD2844">
              <w:rPr>
                <w:rFonts w:ascii="Arial Narrow" w:hAnsi="Arial Narrow"/>
                <w:i/>
                <w:iCs/>
                <w:sz w:val="20"/>
                <w:szCs w:val="20"/>
              </w:rPr>
              <w:t>OR</w:t>
            </w:r>
          </w:p>
        </w:tc>
      </w:tr>
      <w:tr w:rsidR="00702931" w:rsidRPr="00BD2844" w14:paraId="5217380A"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AF4C458" w14:textId="75F794FA" w:rsidR="00702931" w:rsidRPr="00BD2844" w:rsidRDefault="00702931" w:rsidP="00397897">
            <w:pPr>
              <w:jc w:val="center"/>
              <w:rPr>
                <w:rFonts w:ascii="Arial Narrow" w:hAnsi="Arial Narrow"/>
                <w:sz w:val="20"/>
                <w:szCs w:val="20"/>
              </w:rPr>
            </w:pPr>
          </w:p>
        </w:tc>
        <w:tc>
          <w:tcPr>
            <w:tcW w:w="4295" w:type="pct"/>
            <w:gridSpan w:val="5"/>
            <w:vAlign w:val="center"/>
          </w:tcPr>
          <w:p w14:paraId="1B1D6778" w14:textId="77777777" w:rsidR="00702931" w:rsidRPr="00BD2844" w:rsidRDefault="00702931" w:rsidP="00397897">
            <w:pPr>
              <w:rPr>
                <w:rFonts w:ascii="Arial Narrow" w:hAnsi="Arial Narrow"/>
                <w:i/>
                <w:iCs/>
                <w:sz w:val="20"/>
                <w:szCs w:val="20"/>
              </w:rPr>
            </w:pPr>
            <w:r w:rsidRPr="00BD2844">
              <w:rPr>
                <w:rFonts w:ascii="Arial Narrow" w:hAnsi="Arial Narrow"/>
                <w:i/>
                <w:iCs/>
                <w:sz w:val="20"/>
                <w:szCs w:val="20"/>
              </w:rPr>
              <w:t>Patient must not be suitable for locoregional therapies</w:t>
            </w:r>
          </w:p>
        </w:tc>
      </w:tr>
      <w:tr w:rsidR="00702931" w:rsidRPr="00BD2844" w14:paraId="79121F0E"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FCDC27B"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73AAC345"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AND</w:t>
            </w:r>
          </w:p>
        </w:tc>
      </w:tr>
      <w:tr w:rsidR="00702931" w:rsidRPr="00BD2844" w14:paraId="290C51A9"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73E58FE"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3DE8DA52"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Clinical criteria:</w:t>
            </w:r>
          </w:p>
        </w:tc>
      </w:tr>
      <w:tr w:rsidR="00702931" w:rsidRPr="00BD2844" w14:paraId="37371500"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8A57A03" w14:textId="361B24D8" w:rsidR="00702931" w:rsidRPr="00BD2844" w:rsidRDefault="00702931" w:rsidP="00397897">
            <w:pPr>
              <w:jc w:val="center"/>
              <w:rPr>
                <w:rFonts w:ascii="Arial Narrow" w:hAnsi="Arial Narrow"/>
                <w:sz w:val="20"/>
                <w:szCs w:val="20"/>
              </w:rPr>
            </w:pPr>
          </w:p>
        </w:tc>
        <w:tc>
          <w:tcPr>
            <w:tcW w:w="4295" w:type="pct"/>
            <w:gridSpan w:val="5"/>
            <w:vAlign w:val="center"/>
          </w:tcPr>
          <w:p w14:paraId="5F46B914"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Patient must have Child Pugh class A,</w:t>
            </w:r>
          </w:p>
        </w:tc>
      </w:tr>
      <w:tr w:rsidR="00702931" w:rsidRPr="00BD2844" w14:paraId="00F36CC9"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72D6795"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03EB9D05"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AND</w:t>
            </w:r>
          </w:p>
        </w:tc>
      </w:tr>
      <w:tr w:rsidR="00702931" w:rsidRPr="00BD2844" w14:paraId="5F257298"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5A115B1"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5FC9E365" w14:textId="77777777" w:rsidR="00702931" w:rsidRPr="00BD2844" w:rsidRDefault="00702931" w:rsidP="00397897">
            <w:pPr>
              <w:rPr>
                <w:rFonts w:ascii="Arial Narrow" w:hAnsi="Arial Narrow"/>
                <w:sz w:val="20"/>
                <w:szCs w:val="20"/>
              </w:rPr>
            </w:pPr>
            <w:r w:rsidRPr="00BD2844">
              <w:rPr>
                <w:rFonts w:ascii="Arial Narrow" w:hAnsi="Arial Narrow"/>
                <w:b/>
                <w:bCs/>
                <w:color w:val="333333"/>
                <w:sz w:val="20"/>
                <w:szCs w:val="20"/>
              </w:rPr>
              <w:t>Clinical criteria:</w:t>
            </w:r>
          </w:p>
        </w:tc>
      </w:tr>
      <w:tr w:rsidR="00702931" w:rsidRPr="00BD2844" w14:paraId="5B2C07AA"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AAA0BBC" w14:textId="4A614D35" w:rsidR="00702931" w:rsidRPr="00BD2844" w:rsidRDefault="00702931" w:rsidP="00397897">
            <w:pPr>
              <w:jc w:val="center"/>
              <w:rPr>
                <w:rFonts w:ascii="Arial Narrow" w:hAnsi="Arial Narrow"/>
                <w:sz w:val="20"/>
                <w:szCs w:val="20"/>
              </w:rPr>
            </w:pPr>
          </w:p>
        </w:tc>
        <w:tc>
          <w:tcPr>
            <w:tcW w:w="4295" w:type="pct"/>
            <w:gridSpan w:val="5"/>
            <w:vAlign w:val="center"/>
          </w:tcPr>
          <w:p w14:paraId="2890EEF5"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The condition must be untreated with systemic therapy; OR</w:t>
            </w:r>
          </w:p>
        </w:tc>
      </w:tr>
      <w:tr w:rsidR="00702931" w:rsidRPr="00BD2844" w14:paraId="6BB1900C"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32EFCB8" w14:textId="11DBC2D3" w:rsidR="00702931" w:rsidRPr="00BD2844" w:rsidRDefault="00702931" w:rsidP="00397897">
            <w:pPr>
              <w:jc w:val="center"/>
              <w:rPr>
                <w:rFonts w:ascii="Arial Narrow" w:hAnsi="Arial Narrow"/>
                <w:i/>
                <w:iCs/>
                <w:sz w:val="20"/>
                <w:szCs w:val="20"/>
              </w:rPr>
            </w:pPr>
          </w:p>
        </w:tc>
        <w:tc>
          <w:tcPr>
            <w:tcW w:w="4295" w:type="pct"/>
            <w:gridSpan w:val="5"/>
            <w:vAlign w:val="center"/>
          </w:tcPr>
          <w:p w14:paraId="7CA1F143" w14:textId="77777777" w:rsidR="00702931" w:rsidRPr="00BD2844" w:rsidRDefault="00702931" w:rsidP="00397897">
            <w:pPr>
              <w:rPr>
                <w:rFonts w:ascii="Arial Narrow" w:hAnsi="Arial Narrow"/>
                <w:sz w:val="20"/>
                <w:szCs w:val="20"/>
              </w:rPr>
            </w:pPr>
            <w:r w:rsidRPr="00BD2844">
              <w:rPr>
                <w:rFonts w:ascii="Arial Narrow" w:hAnsi="Arial Narrow"/>
                <w:sz w:val="20"/>
                <w:szCs w:val="20"/>
              </w:rPr>
              <w:t xml:space="preserve">Patient must have developed intolerance </w:t>
            </w:r>
            <w:r w:rsidRPr="00BD2844">
              <w:rPr>
                <w:rFonts w:ascii="Arial Narrow" w:hAnsi="Arial Narrow"/>
                <w:i/>
                <w:iCs/>
                <w:sz w:val="20"/>
                <w:szCs w:val="20"/>
              </w:rPr>
              <w:t>to</w:t>
            </w:r>
            <w:r w:rsidRPr="00BD2844">
              <w:rPr>
                <w:rFonts w:ascii="Arial Narrow" w:hAnsi="Arial Narrow"/>
                <w:sz w:val="20"/>
                <w:szCs w:val="20"/>
              </w:rPr>
              <w:t xml:space="preserve"> </w:t>
            </w:r>
            <w:r w:rsidRPr="00BD2844">
              <w:rPr>
                <w:rFonts w:ascii="Arial Narrow" w:hAnsi="Arial Narrow"/>
                <w:strike/>
                <w:sz w:val="20"/>
                <w:szCs w:val="20"/>
              </w:rPr>
              <w:t>of a severity necessitating permanent treatment</w:t>
            </w:r>
            <w:r w:rsidRPr="00BD2844">
              <w:rPr>
                <w:rFonts w:ascii="Arial Narrow" w:hAnsi="Arial Narrow"/>
                <w:sz w:val="20"/>
                <w:szCs w:val="20"/>
              </w:rPr>
              <w:t xml:space="preserve"> </w:t>
            </w:r>
            <w:r w:rsidRPr="00BD2844">
              <w:rPr>
                <w:rFonts w:ascii="Arial Narrow" w:hAnsi="Arial Narrow"/>
                <w:strike/>
                <w:sz w:val="20"/>
                <w:szCs w:val="20"/>
              </w:rPr>
              <w:t>withdrawal to any of the following: (i)</w:t>
            </w:r>
            <w:r w:rsidRPr="00BD2844">
              <w:rPr>
                <w:rFonts w:ascii="Arial Narrow" w:hAnsi="Arial Narrow"/>
                <w:sz w:val="20"/>
                <w:szCs w:val="20"/>
              </w:rPr>
              <w:t xml:space="preserve"> a vascular endothelial growth factor (VEGF) tyrosine kinase inhibitor (TKI)</w:t>
            </w:r>
            <w:r w:rsidRPr="00BD2844">
              <w:rPr>
                <w:rFonts w:ascii="Arial Narrow" w:hAnsi="Arial Narrow"/>
                <w:strike/>
                <w:sz w:val="20"/>
                <w:szCs w:val="20"/>
              </w:rPr>
              <w:t>, (ii) atezolizumab/bevacizumab combination therapy</w:t>
            </w:r>
            <w:r w:rsidRPr="00BD2844">
              <w:rPr>
                <w:rFonts w:ascii="Arial Narrow" w:hAnsi="Arial Narrow"/>
                <w:sz w:val="20"/>
                <w:szCs w:val="20"/>
              </w:rPr>
              <w:t xml:space="preserve"> </w:t>
            </w:r>
            <w:r w:rsidRPr="00BD2844">
              <w:rPr>
                <w:rFonts w:ascii="Arial Narrow" w:hAnsi="Arial Narrow"/>
                <w:i/>
                <w:iCs/>
                <w:sz w:val="20"/>
                <w:szCs w:val="20"/>
              </w:rPr>
              <w:t>of a severity necessitating permanent treatment withdrawal</w:t>
            </w:r>
            <w:r w:rsidRPr="00BD2844">
              <w:rPr>
                <w:rFonts w:ascii="Arial Narrow" w:hAnsi="Arial Narrow"/>
                <w:sz w:val="20"/>
                <w:szCs w:val="20"/>
              </w:rPr>
              <w:t>.</w:t>
            </w:r>
          </w:p>
        </w:tc>
      </w:tr>
      <w:tr w:rsidR="00702931" w:rsidRPr="00BD2844" w14:paraId="3F14BECD"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5F00E2E"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355CAAE4" w14:textId="77777777" w:rsidR="00702931" w:rsidRPr="00BD2844" w:rsidRDefault="00702931" w:rsidP="00397897">
            <w:pPr>
              <w:rPr>
                <w:rFonts w:ascii="Arial Narrow" w:hAnsi="Arial Narrow"/>
                <w:b/>
                <w:bCs/>
                <w:i/>
                <w:iCs/>
                <w:sz w:val="20"/>
                <w:szCs w:val="20"/>
              </w:rPr>
            </w:pPr>
            <w:r w:rsidRPr="00BD2844">
              <w:rPr>
                <w:rFonts w:ascii="Arial Narrow" w:hAnsi="Arial Narrow"/>
                <w:b/>
                <w:bCs/>
                <w:i/>
                <w:iCs/>
                <w:sz w:val="20"/>
                <w:szCs w:val="20"/>
              </w:rPr>
              <w:t>AND</w:t>
            </w:r>
          </w:p>
        </w:tc>
      </w:tr>
      <w:tr w:rsidR="00702931" w:rsidRPr="00BD2844" w14:paraId="356ECFA7"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9E88D60"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0984599F" w14:textId="77777777" w:rsidR="00702931" w:rsidRPr="00BD2844" w:rsidRDefault="00702931" w:rsidP="00397897">
            <w:pPr>
              <w:rPr>
                <w:rFonts w:ascii="Arial Narrow" w:hAnsi="Arial Narrow"/>
                <w:sz w:val="20"/>
                <w:szCs w:val="20"/>
              </w:rPr>
            </w:pPr>
            <w:r w:rsidRPr="00BD2844">
              <w:rPr>
                <w:rFonts w:ascii="Arial Narrow" w:hAnsi="Arial Narrow"/>
                <w:b/>
                <w:bCs/>
                <w:strike/>
                <w:color w:val="333333"/>
                <w:sz w:val="20"/>
                <w:szCs w:val="20"/>
              </w:rPr>
              <w:t>Treatment</w:t>
            </w:r>
            <w:r w:rsidRPr="00BD2844">
              <w:rPr>
                <w:rFonts w:ascii="Arial Narrow" w:hAnsi="Arial Narrow"/>
                <w:b/>
                <w:bCs/>
                <w:color w:val="333333"/>
                <w:sz w:val="20"/>
                <w:szCs w:val="20"/>
              </w:rPr>
              <w:t xml:space="preserve"> </w:t>
            </w:r>
            <w:r w:rsidRPr="00BD2844">
              <w:rPr>
                <w:rFonts w:ascii="Arial Narrow" w:hAnsi="Arial Narrow"/>
                <w:b/>
                <w:bCs/>
                <w:i/>
                <w:iCs/>
                <w:color w:val="333333"/>
                <w:sz w:val="20"/>
                <w:szCs w:val="20"/>
              </w:rPr>
              <w:t xml:space="preserve">Clinical </w:t>
            </w:r>
            <w:r w:rsidRPr="00BD2844">
              <w:rPr>
                <w:rFonts w:ascii="Arial Narrow" w:hAnsi="Arial Narrow"/>
                <w:b/>
                <w:bCs/>
                <w:color w:val="333333"/>
                <w:sz w:val="20"/>
                <w:szCs w:val="20"/>
              </w:rPr>
              <w:t>criteria:</w:t>
            </w:r>
          </w:p>
        </w:tc>
      </w:tr>
      <w:tr w:rsidR="00702931" w:rsidRPr="00BD2844" w14:paraId="35998ECD"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720F78E" w14:textId="36CDC097" w:rsidR="00702931" w:rsidRPr="00BD2844" w:rsidRDefault="00702931" w:rsidP="00397897">
            <w:pPr>
              <w:jc w:val="center"/>
              <w:rPr>
                <w:rFonts w:ascii="Arial Narrow" w:hAnsi="Arial Narrow"/>
                <w:sz w:val="20"/>
                <w:szCs w:val="20"/>
              </w:rPr>
            </w:pPr>
          </w:p>
        </w:tc>
        <w:tc>
          <w:tcPr>
            <w:tcW w:w="4295" w:type="pct"/>
            <w:gridSpan w:val="5"/>
            <w:vAlign w:val="center"/>
          </w:tcPr>
          <w:p w14:paraId="46C60423" w14:textId="77777777" w:rsidR="00702931" w:rsidRPr="00BD2844" w:rsidRDefault="00702931" w:rsidP="00397897">
            <w:pPr>
              <w:rPr>
                <w:rFonts w:ascii="Arial Narrow" w:hAnsi="Arial Narrow"/>
                <w:color w:val="333333"/>
                <w:sz w:val="20"/>
                <w:szCs w:val="20"/>
              </w:rPr>
            </w:pPr>
            <w:r w:rsidRPr="00BD2844">
              <w:rPr>
                <w:rFonts w:ascii="Arial Narrow" w:hAnsi="Arial Narrow"/>
                <w:i/>
                <w:iCs/>
                <w:color w:val="333333"/>
                <w:sz w:val="20"/>
                <w:szCs w:val="20"/>
              </w:rPr>
              <w:t xml:space="preserve">Patient </w:t>
            </w:r>
            <w:r w:rsidRPr="00BD2844">
              <w:rPr>
                <w:rFonts w:ascii="Arial Narrow" w:hAnsi="Arial Narrow"/>
                <w:strike/>
                <w:color w:val="333333"/>
                <w:sz w:val="20"/>
                <w:szCs w:val="20"/>
              </w:rPr>
              <w:t>The treatment</w:t>
            </w:r>
            <w:r w:rsidRPr="00BD2844">
              <w:rPr>
                <w:rFonts w:ascii="Arial Narrow" w:hAnsi="Arial Narrow"/>
                <w:color w:val="333333"/>
                <w:sz w:val="20"/>
                <w:szCs w:val="20"/>
              </w:rPr>
              <w:t xml:space="preserve"> must </w:t>
            </w:r>
            <w:r w:rsidRPr="00BD2844">
              <w:rPr>
                <w:rFonts w:ascii="Arial Narrow" w:hAnsi="Arial Narrow"/>
                <w:i/>
                <w:iCs/>
                <w:color w:val="333333"/>
                <w:sz w:val="20"/>
                <w:szCs w:val="20"/>
              </w:rPr>
              <w:t>receive this drug</w:t>
            </w:r>
            <w:r w:rsidRPr="00BD2844">
              <w:rPr>
                <w:rFonts w:ascii="Arial Narrow" w:hAnsi="Arial Narrow"/>
                <w:color w:val="333333"/>
                <w:sz w:val="20"/>
                <w:szCs w:val="20"/>
              </w:rPr>
              <w:t xml:space="preserve"> </w:t>
            </w:r>
            <w:r w:rsidRPr="00BD2844">
              <w:rPr>
                <w:rFonts w:ascii="Arial Narrow" w:hAnsi="Arial Narrow"/>
                <w:strike/>
                <w:color w:val="333333"/>
                <w:sz w:val="20"/>
                <w:szCs w:val="20"/>
              </w:rPr>
              <w:t>be</w:t>
            </w:r>
            <w:r w:rsidRPr="00BD2844">
              <w:rPr>
                <w:rFonts w:ascii="Arial Narrow" w:hAnsi="Arial Narrow"/>
                <w:color w:val="333333"/>
                <w:sz w:val="20"/>
                <w:szCs w:val="20"/>
              </w:rPr>
              <w:t xml:space="preserve"> in combination with PBS-subsidised </w:t>
            </w:r>
            <w:r w:rsidRPr="00BD2844">
              <w:rPr>
                <w:rFonts w:ascii="Arial Narrow" w:hAnsi="Arial Narrow"/>
                <w:strike/>
                <w:color w:val="333333"/>
                <w:sz w:val="20"/>
                <w:szCs w:val="20"/>
              </w:rPr>
              <w:t>treatment with</w:t>
            </w:r>
            <w:r w:rsidRPr="00BD2844">
              <w:rPr>
                <w:rFonts w:ascii="Arial Narrow" w:hAnsi="Arial Narrow"/>
                <w:color w:val="333333"/>
                <w:sz w:val="20"/>
                <w:szCs w:val="20"/>
              </w:rPr>
              <w:t xml:space="preserve"> nivolumab as induction therapy for this condition.</w:t>
            </w:r>
          </w:p>
        </w:tc>
      </w:tr>
      <w:tr w:rsidR="00702931" w:rsidRPr="00BD2844" w14:paraId="3BF75075"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F083160"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585B2716" w14:textId="77777777" w:rsidR="00702931" w:rsidRPr="00BD2844" w:rsidRDefault="00702931" w:rsidP="00397897">
            <w:pPr>
              <w:rPr>
                <w:rFonts w:ascii="Arial Narrow" w:hAnsi="Arial Narrow"/>
                <w:b/>
                <w:bCs/>
                <w:color w:val="333333"/>
                <w:sz w:val="20"/>
                <w:szCs w:val="20"/>
              </w:rPr>
            </w:pPr>
            <w:r w:rsidRPr="00BD2844">
              <w:rPr>
                <w:rFonts w:ascii="Arial Narrow" w:hAnsi="Arial Narrow"/>
                <w:b/>
                <w:bCs/>
                <w:color w:val="333333"/>
                <w:sz w:val="20"/>
                <w:szCs w:val="20"/>
              </w:rPr>
              <w:t>Prescriber instruction:</w:t>
            </w:r>
          </w:p>
        </w:tc>
      </w:tr>
      <w:tr w:rsidR="00702931" w:rsidRPr="00BD2844" w14:paraId="4439A6BF"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9D66DB3" w14:textId="0E623394" w:rsidR="00702931" w:rsidRPr="00BD2844" w:rsidRDefault="00702931" w:rsidP="00397897">
            <w:pPr>
              <w:jc w:val="center"/>
              <w:rPr>
                <w:rFonts w:ascii="Arial Narrow" w:hAnsi="Arial Narrow"/>
                <w:sz w:val="20"/>
                <w:szCs w:val="20"/>
              </w:rPr>
            </w:pPr>
          </w:p>
        </w:tc>
        <w:tc>
          <w:tcPr>
            <w:tcW w:w="4295" w:type="pct"/>
            <w:gridSpan w:val="5"/>
            <w:vAlign w:val="center"/>
          </w:tcPr>
          <w:p w14:paraId="523B33A8" w14:textId="77777777" w:rsidR="00702931" w:rsidRPr="00BD2844" w:rsidRDefault="00702931" w:rsidP="00397897">
            <w:pPr>
              <w:rPr>
                <w:rFonts w:ascii="Arial Narrow" w:hAnsi="Arial Narrow"/>
                <w:color w:val="333333"/>
                <w:sz w:val="20"/>
                <w:szCs w:val="20"/>
              </w:rPr>
            </w:pPr>
            <w:r w:rsidRPr="00BD2844">
              <w:rPr>
                <w:rFonts w:ascii="Arial Narrow" w:hAnsi="Arial Narrow"/>
                <w:color w:val="333333"/>
                <w:sz w:val="20"/>
                <w:szCs w:val="20"/>
              </w:rPr>
              <w:t>Induction treatment with ipilimumab must not exceed a total of 4 doses at a maximum dose of 3 mg per kg every 3 weeks.</w:t>
            </w:r>
          </w:p>
        </w:tc>
      </w:tr>
      <w:tr w:rsidR="00702931" w:rsidRPr="00BD2844" w14:paraId="4BE83C59"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2BECABF" w14:textId="77777777" w:rsidR="00702931" w:rsidRPr="00BD2844" w:rsidRDefault="00702931" w:rsidP="00397897">
            <w:pPr>
              <w:jc w:val="center"/>
              <w:rPr>
                <w:rFonts w:ascii="Arial Narrow" w:hAnsi="Arial Narrow"/>
                <w:sz w:val="20"/>
                <w:szCs w:val="20"/>
              </w:rPr>
            </w:pPr>
          </w:p>
        </w:tc>
        <w:tc>
          <w:tcPr>
            <w:tcW w:w="4295" w:type="pct"/>
            <w:gridSpan w:val="5"/>
            <w:vAlign w:val="center"/>
          </w:tcPr>
          <w:p w14:paraId="1C74E7AB" w14:textId="77777777" w:rsidR="00702931" w:rsidRPr="00BD2844" w:rsidRDefault="00702931" w:rsidP="00397897">
            <w:pPr>
              <w:rPr>
                <w:rFonts w:ascii="Arial Narrow" w:hAnsi="Arial Narrow"/>
                <w:b/>
                <w:bCs/>
                <w:color w:val="333333"/>
                <w:sz w:val="20"/>
                <w:szCs w:val="20"/>
              </w:rPr>
            </w:pPr>
            <w:r w:rsidRPr="00BD2844">
              <w:rPr>
                <w:rFonts w:ascii="Arial Narrow" w:hAnsi="Arial Narrow"/>
                <w:b/>
                <w:bCs/>
                <w:color w:val="333333"/>
                <w:sz w:val="20"/>
                <w:szCs w:val="20"/>
              </w:rPr>
              <w:t>Prescriber instruction:</w:t>
            </w:r>
          </w:p>
        </w:tc>
      </w:tr>
      <w:tr w:rsidR="00702931" w:rsidRPr="00BD2844" w14:paraId="23C79682" w14:textId="77777777" w:rsidTr="001A42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7600923" w14:textId="68617C9F" w:rsidR="00702931" w:rsidRPr="00BD2844" w:rsidRDefault="00702931" w:rsidP="00397897">
            <w:pPr>
              <w:jc w:val="center"/>
              <w:rPr>
                <w:rFonts w:ascii="Arial Narrow" w:hAnsi="Arial Narrow"/>
                <w:sz w:val="20"/>
                <w:szCs w:val="20"/>
              </w:rPr>
            </w:pPr>
          </w:p>
        </w:tc>
        <w:tc>
          <w:tcPr>
            <w:tcW w:w="4295" w:type="pct"/>
            <w:gridSpan w:val="5"/>
            <w:vAlign w:val="center"/>
          </w:tcPr>
          <w:p w14:paraId="2A4B3F49" w14:textId="77777777" w:rsidR="00702931" w:rsidRPr="00BD2844" w:rsidRDefault="00702931" w:rsidP="00397897">
            <w:pPr>
              <w:rPr>
                <w:rFonts w:ascii="Arial Narrow" w:hAnsi="Arial Narrow"/>
                <w:color w:val="333333"/>
                <w:sz w:val="20"/>
                <w:szCs w:val="20"/>
              </w:rPr>
            </w:pPr>
            <w:r w:rsidRPr="00BD2844">
              <w:rPr>
                <w:rFonts w:ascii="Arial Narrow" w:hAnsi="Arial Narrow"/>
                <w:color w:val="333333"/>
                <w:sz w:val="20"/>
                <w:szCs w:val="20"/>
              </w:rPr>
              <w:t>The patient's body weight must be documented in the patient's medical records at the time treatment is initiated.</w:t>
            </w:r>
          </w:p>
        </w:tc>
      </w:tr>
    </w:tbl>
    <w:p w14:paraId="2EB9B2AB" w14:textId="02B58D35" w:rsidR="00EE2572" w:rsidRPr="00224A0D" w:rsidRDefault="00224A0D" w:rsidP="00224A0D">
      <w:pPr>
        <w:pStyle w:val="TableFigureFooter"/>
        <w:keepNext/>
        <w:rPr>
          <w:szCs w:val="18"/>
        </w:rPr>
      </w:pPr>
      <w:proofErr w:type="spellStart"/>
      <w:r w:rsidRPr="00BD2844">
        <w:rPr>
          <w:szCs w:val="18"/>
          <w:vertAlign w:val="superscript"/>
        </w:rPr>
        <w:lastRenderedPageBreak/>
        <w:t>a</w:t>
      </w:r>
      <w:proofErr w:type="spellEnd"/>
      <w:r w:rsidRPr="00BD2844">
        <w:rPr>
          <w:szCs w:val="18"/>
        </w:rPr>
        <w:t xml:space="preserve"> Effective prices are indicative as reported by the submission; based on the cost-minimised price calculated using an assumed effective price for atezolizumab.</w:t>
      </w:r>
    </w:p>
    <w:p w14:paraId="04DCE855" w14:textId="7B11AEE0" w:rsidR="00FC676C" w:rsidRPr="00BD2844" w:rsidRDefault="00FC676C" w:rsidP="00E62E8B">
      <w:pPr>
        <w:pStyle w:val="3-BodyText"/>
        <w:spacing w:before="120"/>
        <w:rPr>
          <w:color w:val="0066FF"/>
        </w:rPr>
      </w:pPr>
      <w:r w:rsidRPr="00BD2844">
        <w:t>The submission proposed a Special Pricing Arrangement (SPA)</w:t>
      </w:r>
      <w:r w:rsidR="00B229D6" w:rsidRPr="00BD2844">
        <w:t xml:space="preserve"> w</w:t>
      </w:r>
      <w:r w:rsidR="005F0E77" w:rsidRPr="00BD2844">
        <w:t>ith</w:t>
      </w:r>
      <w:r w:rsidR="00B229D6" w:rsidRPr="00BD2844">
        <w:t xml:space="preserve"> </w:t>
      </w:r>
      <w:r w:rsidR="005879DB" w:rsidRPr="00BD2844">
        <w:t>a</w:t>
      </w:r>
      <w:r w:rsidRPr="00BD2844">
        <w:t xml:space="preserve"> proposed effective EMP </w:t>
      </w:r>
      <w:r w:rsidR="005879DB" w:rsidRPr="00BD2844">
        <w:t>for</w:t>
      </w:r>
      <w:r w:rsidRPr="00BD2844">
        <w:t xml:space="preserve"> </w:t>
      </w:r>
      <w:r w:rsidRPr="00C14D46">
        <w:t xml:space="preserve">NIVO </w:t>
      </w:r>
      <w:r w:rsidR="00E20C72" w:rsidRPr="00C14D46">
        <w:t>of</w:t>
      </w:r>
      <w:r w:rsidRPr="00C14D46">
        <w:t xml:space="preserve"> $</w:t>
      </w:r>
      <w:r w:rsidR="00962F72" w:rsidRPr="00962F72">
        <w:rPr>
          <w:color w:val="000000"/>
          <w:w w:val="53"/>
          <w:shd w:val="solid" w:color="000000" w:fill="000000"/>
          <w:fitText w:val="531" w:id="-623630848"/>
          <w14:textFill>
            <w14:solidFill>
              <w14:srgbClr w14:val="000000">
                <w14:alpha w14:val="100000"/>
              </w14:srgbClr>
            </w14:solidFill>
          </w14:textFill>
        </w:rPr>
        <w:t>||||  ||||</w:t>
      </w:r>
      <w:r w:rsidR="00962F72">
        <w:t xml:space="preserve"> </w:t>
      </w:r>
      <w:r w:rsidRPr="00C14D46">
        <w:t>per 100 mg/10 mL mg vial and</w:t>
      </w:r>
      <w:r w:rsidR="00E20C72" w:rsidRPr="00C14D46">
        <w:t xml:space="preserve"> for</w:t>
      </w:r>
      <w:r w:rsidRPr="00C14D46">
        <w:t xml:space="preserve"> IPI </w:t>
      </w:r>
      <w:r w:rsidR="00E20C72" w:rsidRPr="00C14D46">
        <w:t>of</w:t>
      </w:r>
      <w:r w:rsidRPr="00C14D46">
        <w:t xml:space="preserve"> $</w:t>
      </w:r>
      <w:r w:rsidR="00912BF4" w:rsidRPr="00912BF4">
        <w:rPr>
          <w:color w:val="000000"/>
          <w:w w:val="58"/>
          <w:shd w:val="solid" w:color="000000" w:fill="000000"/>
          <w:fitText w:val="706" w:id="-623630847"/>
          <w14:textFill>
            <w14:solidFill>
              <w14:srgbClr w14:val="000000">
                <w14:alpha w14:val="100000"/>
              </w14:srgbClr>
            </w14:solidFill>
          </w14:textFill>
        </w:rPr>
        <w:t>|||||  |||||</w:t>
      </w:r>
      <w:r w:rsidR="00912BF4">
        <w:t xml:space="preserve"> </w:t>
      </w:r>
      <w:r w:rsidRPr="002000C7">
        <w:t>per 50 mg/10 mL vial. Effective prices are based on the cost-minimis</w:t>
      </w:r>
      <w:r w:rsidR="005E5FD9" w:rsidRPr="002000C7">
        <w:t>ation</w:t>
      </w:r>
      <w:r w:rsidR="009E4F5C" w:rsidRPr="002000C7">
        <w:t xml:space="preserve"> approach</w:t>
      </w:r>
      <w:r w:rsidRPr="00BD2844">
        <w:t xml:space="preserve"> using an assumed effective price for atezolizumab. </w:t>
      </w:r>
    </w:p>
    <w:p w14:paraId="29C9BFB3" w14:textId="016A8B98" w:rsidR="00FC676C" w:rsidRPr="00BD2844" w:rsidRDefault="00FC676C" w:rsidP="00FC676C">
      <w:pPr>
        <w:pStyle w:val="3-BodyText"/>
        <w:rPr>
          <w:i/>
          <w:iCs/>
        </w:rPr>
      </w:pPr>
      <w:r w:rsidRPr="00BD2844">
        <w:t>The proposed restriction for NIVO+IPI was for use in patients with BCLC Stage A, Stage B or Stage C HCC</w:t>
      </w:r>
      <w:r w:rsidRPr="00BD2844">
        <w:rPr>
          <w:color w:val="0066FF"/>
        </w:rPr>
        <w:t xml:space="preserve"> </w:t>
      </w:r>
      <w:r w:rsidRPr="00BD2844">
        <w:t>who are not suitable for curative surgical and/or locoregional therapies</w:t>
      </w:r>
      <w:r w:rsidRPr="00BD2844">
        <w:rPr>
          <w:i/>
          <w:iCs/>
        </w:rPr>
        <w:t xml:space="preserve">. </w:t>
      </w:r>
      <w:r w:rsidRPr="00BD2844">
        <w:t>This is broader than the restriction for</w:t>
      </w:r>
      <w:r w:rsidR="00D82D36" w:rsidRPr="00BD2844">
        <w:t xml:space="preserve"> </w:t>
      </w:r>
      <w:r w:rsidRPr="00BD2844">
        <w:t>ATEZO+BEV, which is for BCLC Stage B and C HCC patients only.</w:t>
      </w:r>
      <w:r w:rsidR="00BD2D1D">
        <w:t xml:space="preserve"> </w:t>
      </w:r>
    </w:p>
    <w:p w14:paraId="3BCC000F" w14:textId="09A8FCA3" w:rsidR="00FC676C" w:rsidRPr="00BD2844" w:rsidRDefault="00FC676C" w:rsidP="00FC676C">
      <w:pPr>
        <w:pStyle w:val="3-BodyText"/>
      </w:pPr>
      <w:r w:rsidRPr="00BD2844">
        <w:t>The proposed restriction include</w:t>
      </w:r>
      <w:r w:rsidR="00A04F30">
        <w:t>d</w:t>
      </w:r>
      <w:r w:rsidRPr="00BD2844">
        <w:t xml:space="preserve"> a deviation from the current PBS restriction for atezolizumab in that the wording ‘patients should be ineligible for TACE’ was changed to </w:t>
      </w:r>
      <w:r w:rsidR="00162227" w:rsidRPr="00BD2844">
        <w:t>‘</w:t>
      </w:r>
      <w:r w:rsidRPr="00BD2844">
        <w:t>the patient must not be suitable for curative surgical and/or locoregional therapies</w:t>
      </w:r>
      <w:r w:rsidR="00162227" w:rsidRPr="00BD2844">
        <w:t>’</w:t>
      </w:r>
      <w:r w:rsidRPr="00BD2844">
        <w:t>. The submission stated that this was to ensure that the requested Stage A population is limited to the small number of patients who have no other effective treatment options.</w:t>
      </w:r>
      <w:r w:rsidRPr="00BD2844">
        <w:rPr>
          <w:i/>
          <w:iCs/>
        </w:rPr>
        <w:t xml:space="preserve"> </w:t>
      </w:r>
      <w:r w:rsidRPr="00BD2844">
        <w:t>This was consistent with the eligibility criteria for the pivotal trial, CM-9DW.</w:t>
      </w:r>
    </w:p>
    <w:p w14:paraId="0F652026" w14:textId="3E9FF55A" w:rsidR="00F42162" w:rsidRPr="00BD2844" w:rsidRDefault="00FC676C" w:rsidP="00FC676C">
      <w:pPr>
        <w:pStyle w:val="3-BodyText"/>
        <w:rPr>
          <w:color w:val="0066FF"/>
        </w:rPr>
      </w:pPr>
      <w:r w:rsidRPr="00BD2844">
        <w:t>The proposed restriction included a provision for commencing NIVO+IPI treatment in patients who have developed intolerance to atezolizumab or a vascular endothelial growth factor (VEGF) inhibitor.</w:t>
      </w:r>
      <w:r w:rsidRPr="00BD2844">
        <w:rPr>
          <w:i/>
          <w:iCs/>
        </w:rPr>
        <w:t xml:space="preserve"> </w:t>
      </w:r>
      <w:r w:rsidRPr="00ED3BE9">
        <w:t>The</w:t>
      </w:r>
      <w:r w:rsidR="008D7918">
        <w:t xml:space="preserve"> Economic Sub-Committee</w:t>
      </w:r>
      <w:r w:rsidRPr="00ED3BE9">
        <w:t xml:space="preserve"> </w:t>
      </w:r>
      <w:r w:rsidR="008D7918">
        <w:t>(</w:t>
      </w:r>
      <w:r w:rsidR="0021607D" w:rsidRPr="00ED3BE9">
        <w:t>ESC</w:t>
      </w:r>
      <w:r w:rsidR="008D7918">
        <w:t>)</w:t>
      </w:r>
      <w:r w:rsidR="00AA0F1D" w:rsidRPr="00ED3BE9">
        <w:t xml:space="preserve"> </w:t>
      </w:r>
      <w:r w:rsidR="00C164E4" w:rsidRPr="00ED3BE9">
        <w:t>noted</w:t>
      </w:r>
      <w:r w:rsidR="00AA0F1D" w:rsidRPr="00ED3BE9">
        <w:t xml:space="preserve"> that this</w:t>
      </w:r>
      <w:r w:rsidR="00C164E4" w:rsidRPr="00ED3BE9">
        <w:t xml:space="preserve"> provision</w:t>
      </w:r>
      <w:r w:rsidR="00AA0F1D" w:rsidRPr="00ED3BE9">
        <w:t xml:space="preserve"> ma</w:t>
      </w:r>
      <w:r w:rsidR="00E96079" w:rsidRPr="00ED3BE9">
        <w:t xml:space="preserve">y allow sequential use of immunotherapy </w:t>
      </w:r>
      <w:r w:rsidR="00C164E4" w:rsidRPr="00ED3BE9">
        <w:t>and advised that this was not appropriate without evidence to support such use.</w:t>
      </w:r>
    </w:p>
    <w:p w14:paraId="395CA140" w14:textId="5364657D" w:rsidR="00FC676C" w:rsidRPr="006B47BE" w:rsidRDefault="00FC676C" w:rsidP="00FC676C">
      <w:pPr>
        <w:pStyle w:val="3-BodyText"/>
        <w:rPr>
          <w:color w:val="0066FF"/>
        </w:rPr>
      </w:pPr>
      <w:r w:rsidRPr="00BD2844">
        <w:rPr>
          <w:bCs/>
        </w:rPr>
        <w:t xml:space="preserve">The proposed criterion for continuing treatment with NIVO+IPI, ‘Patient must not have developed disease progression while being treated with this drug for this condition’ was not consistent with use in CM-9DW. In CM-9DW patients who progressed were allowed to continue treatment </w:t>
      </w:r>
      <w:r w:rsidRPr="00BD2844">
        <w:rPr>
          <w:lang w:eastAsia="zh-CN"/>
        </w:rPr>
        <w:t>if they were deemed to be continuing to derive clinical benefit</w:t>
      </w:r>
      <w:r w:rsidR="00772BE1" w:rsidRPr="00BD2844">
        <w:rPr>
          <w:lang w:eastAsia="zh-CN"/>
        </w:rPr>
        <w:t xml:space="preserve"> (see paragraph </w:t>
      </w:r>
      <w:r w:rsidRPr="00BD2844">
        <w:fldChar w:fldCharType="begin"/>
      </w:r>
      <w:r w:rsidRPr="00BD2844">
        <w:instrText xml:space="preserve"> REF _Ref195795176 \r \h </w:instrText>
      </w:r>
      <w:r w:rsidR="008D1DD6" w:rsidRPr="00BD2844">
        <w:instrText xml:space="preserve"> \* MERGEFORMAT </w:instrText>
      </w:r>
      <w:r w:rsidRPr="00BD2844">
        <w:fldChar w:fldCharType="separate"/>
      </w:r>
      <w:r w:rsidR="008C7D22">
        <w:t>6.12</w:t>
      </w:r>
      <w:r w:rsidRPr="00BD2844">
        <w:fldChar w:fldCharType="end"/>
      </w:r>
      <w:r w:rsidR="00772BE1" w:rsidRPr="00BD2844">
        <w:t>).</w:t>
      </w:r>
      <w:r w:rsidR="009613D8" w:rsidRPr="00BD2844">
        <w:t xml:space="preserve"> </w:t>
      </w:r>
    </w:p>
    <w:p w14:paraId="31A2E027" w14:textId="77777777" w:rsidR="00FC676C" w:rsidRPr="00BD2844" w:rsidRDefault="00FC676C" w:rsidP="00FC676C">
      <w:pPr>
        <w:pStyle w:val="2-SectionHeading"/>
      </w:pPr>
      <w:bookmarkStart w:id="24" w:name="_Toc195866330"/>
      <w:bookmarkStart w:id="25" w:name="_Toc198716655"/>
      <w:r w:rsidRPr="00BD2844" w:rsidDel="00195452">
        <w:t>Population and disease</w:t>
      </w:r>
      <w:bookmarkEnd w:id="24"/>
      <w:bookmarkEnd w:id="25"/>
    </w:p>
    <w:p w14:paraId="507E1215" w14:textId="6B137A28" w:rsidR="00FC676C" w:rsidRPr="00BD2844" w:rsidRDefault="00FC676C" w:rsidP="00FC676C">
      <w:pPr>
        <w:pStyle w:val="3-BodyText"/>
      </w:pPr>
      <w:r w:rsidRPr="00BD2844">
        <w:t>HCC is the most common primary liver cancer and a leading cause of cancer-related mortality globally. In Australia, the 5-year survival rate for HCC is approximately 18%, but for patients with advanced or metastatic disease, the estimated rate is below 5%.</w:t>
      </w:r>
      <w:r w:rsidRPr="00BD2844">
        <w:rPr>
          <w:rStyle w:val="FootnoteReference"/>
        </w:rPr>
        <w:footnoteReference w:id="2"/>
      </w:r>
      <w:r w:rsidRPr="00BD2844">
        <w:t xml:space="preserve"> The burden of HCC disproportionately impacts Aboriginal and Torres Strait Islander Australians, who have significantly higher incidence and mortality rates due to the disease. The median overall survival (OS) for patients with intermediate- (BCLC Stage B) and late-stage HCC (BCLC Stage C or D) is 26 to 30 months and 8 to 19 months, respectively.</w:t>
      </w:r>
      <w:r w:rsidRPr="00BD2844">
        <w:rPr>
          <w:rStyle w:val="FootnoteReference"/>
        </w:rPr>
        <w:footnoteReference w:id="3"/>
      </w:r>
      <w:r w:rsidR="000646E3" w:rsidRPr="00BD2844">
        <w:t xml:space="preserve"> </w:t>
      </w:r>
      <w:r w:rsidR="00D87A97" w:rsidRPr="00BD2844">
        <w:t xml:space="preserve">Whilst the median OS for Stage A patients is typically much longer </w:t>
      </w:r>
      <w:r w:rsidR="00472432" w:rsidRPr="00BD2844">
        <w:t xml:space="preserve">(&gt; 6 </w:t>
      </w:r>
      <w:r w:rsidR="00472432" w:rsidRPr="00BD2844">
        <w:lastRenderedPageBreak/>
        <w:t xml:space="preserve">years) </w:t>
      </w:r>
      <w:r w:rsidR="00D87A97" w:rsidRPr="00BD2844">
        <w:t>than what is seen in more advance</w:t>
      </w:r>
      <w:r w:rsidR="0034261A" w:rsidRPr="00BD2844">
        <w:t>d</w:t>
      </w:r>
      <w:r w:rsidR="00D87A97" w:rsidRPr="00BD2844">
        <w:t xml:space="preserve"> disease</w:t>
      </w:r>
      <w:r w:rsidR="0034261A" w:rsidRPr="00BD2844">
        <w:t>,</w:t>
      </w:r>
      <w:r w:rsidR="00D87A97" w:rsidRPr="00BD2844">
        <w:t xml:space="preserve"> patients who are deemed to have unresectable disease at Stage A </w:t>
      </w:r>
      <w:r w:rsidR="0034261A" w:rsidRPr="00BD2844">
        <w:t>have a</w:t>
      </w:r>
      <w:r w:rsidR="00D87A97" w:rsidRPr="00BD2844">
        <w:t xml:space="preserve"> much poorer prognosis.</w:t>
      </w:r>
    </w:p>
    <w:p w14:paraId="67F3CB9D" w14:textId="677ADB02" w:rsidR="00954F22" w:rsidRPr="00BD2844" w:rsidRDefault="00FC676C" w:rsidP="004B1E01">
      <w:pPr>
        <w:pStyle w:val="3-BodyText"/>
      </w:pPr>
      <w:bookmarkStart w:id="26" w:name="_Ref197088474"/>
      <w:r w:rsidRPr="00BD2844">
        <w:t xml:space="preserve">The target population was defined as patients with advanced (unresectable) BCLC Stage A, B or Stage C HCC who are not suitable for curative surgical and/or locoregional therapies and had not received prior systemic therapy. Whilst the PBAC have previously considered listings for these patients with BCLC Stage B and C disease (atezolizumab PSD, July 2020 PBAC meeting), it has not previously considered these patients with BCLC Stage A disease. </w:t>
      </w:r>
      <w:r w:rsidR="00105841" w:rsidRPr="00BD2844">
        <w:t xml:space="preserve"> The proportion of BCLC Stage A patients who have unresectable disease that is not suitable for locoregional therapies is likely to be low. Stage A patients constituted 6% of patients in CM-9DW. An Australian study reporting real world data (N=220) on treatment choice for BCLC Stage 0 and Stage A whose disease was unresectable, reported that only 0.5% (n=1) of patients received systemic therapy </w:t>
      </w:r>
      <w:r w:rsidR="00C0283F" w:rsidRPr="00BD2844">
        <w:t xml:space="preserve">with sorafenib </w:t>
      </w:r>
      <w:r w:rsidR="00105841" w:rsidRPr="00BD2844">
        <w:t>(SORA).</w:t>
      </w:r>
      <w:r w:rsidR="00105841" w:rsidRPr="00BD2844">
        <w:rPr>
          <w:rStyle w:val="FootnoteReference"/>
        </w:rPr>
        <w:footnoteReference w:id="4"/>
      </w:r>
      <w:bookmarkEnd w:id="26"/>
    </w:p>
    <w:p w14:paraId="34F477D6" w14:textId="41C04055" w:rsidR="007167D6" w:rsidRPr="00AC20B4" w:rsidRDefault="00A464B8" w:rsidP="004B1E01">
      <w:pPr>
        <w:pStyle w:val="3-BodyText"/>
      </w:pPr>
      <w:bookmarkStart w:id="27" w:name="_Ref205549619"/>
      <w:r w:rsidRPr="00AC20B4">
        <w:t>The P</w:t>
      </w:r>
      <w:r w:rsidR="0064549A" w:rsidRPr="00AC20B4">
        <w:t>re-</w:t>
      </w:r>
      <w:r w:rsidRPr="00AC20B4">
        <w:t>S</w:t>
      </w:r>
      <w:r w:rsidR="0064549A" w:rsidRPr="00AC20B4">
        <w:t>ub-</w:t>
      </w:r>
      <w:r w:rsidRPr="00AC20B4">
        <w:t>C</w:t>
      </w:r>
      <w:r w:rsidR="0064549A" w:rsidRPr="00AC20B4">
        <w:t xml:space="preserve">ommittee </w:t>
      </w:r>
      <w:r w:rsidRPr="00AC20B4">
        <w:t>R</w:t>
      </w:r>
      <w:r w:rsidR="0064549A" w:rsidRPr="00AC20B4">
        <w:t>esponse (PSCR)</w:t>
      </w:r>
      <w:r w:rsidRPr="00AC20B4">
        <w:t xml:space="preserve"> noted that </w:t>
      </w:r>
      <w:r w:rsidR="0056291A" w:rsidRPr="00AC20B4">
        <w:t xml:space="preserve">since lodgement of the submission, </w:t>
      </w:r>
      <w:r w:rsidR="00356BB5" w:rsidRPr="00AC20B4">
        <w:t>NIVO+IPI</w:t>
      </w:r>
      <w:r w:rsidR="001D09EB" w:rsidRPr="00AC20B4">
        <w:t xml:space="preserve"> had been </w:t>
      </w:r>
      <w:r w:rsidR="00CF5527">
        <w:t>included in recommendations</w:t>
      </w:r>
      <w:r w:rsidR="00CF5527" w:rsidRPr="00AC20B4">
        <w:t xml:space="preserve"> </w:t>
      </w:r>
      <w:r w:rsidR="001D09EB" w:rsidRPr="00AC20B4">
        <w:t xml:space="preserve">for the first-line treatment of advanced HCC in the </w:t>
      </w:r>
      <w:r w:rsidR="00D41CE4" w:rsidRPr="00AC20B4">
        <w:t xml:space="preserve">most recent </w:t>
      </w:r>
      <w:r w:rsidR="001D09EB" w:rsidRPr="00AC20B4">
        <w:t>National Comprehensive Cancer Network (NCCN)</w:t>
      </w:r>
      <w:r w:rsidR="00C82A06" w:rsidRPr="00AC20B4">
        <w:t xml:space="preserve"> </w:t>
      </w:r>
      <w:r w:rsidR="001D09EB" w:rsidRPr="00AC20B4">
        <w:t>and European Society for Medical Oncology (ESMO) guidelines.</w:t>
      </w:r>
      <w:r w:rsidR="00EF5DA2" w:rsidRPr="00AC20B4">
        <w:rPr>
          <w:rStyle w:val="FootnoteReference"/>
        </w:rPr>
        <w:footnoteReference w:id="5"/>
      </w:r>
      <w:r w:rsidR="00EF5DA2" w:rsidRPr="00AC20B4">
        <w:rPr>
          <w:vertAlign w:val="superscript"/>
        </w:rPr>
        <w:t>,</w:t>
      </w:r>
      <w:r w:rsidR="005826A3" w:rsidRPr="00AC20B4">
        <w:rPr>
          <w:rStyle w:val="FootnoteReference"/>
        </w:rPr>
        <w:footnoteReference w:id="6"/>
      </w:r>
      <w:r w:rsidR="0056291A" w:rsidRPr="00AC20B4">
        <w:rPr>
          <w:vertAlign w:val="superscript"/>
        </w:rPr>
        <w:t xml:space="preserve"> </w:t>
      </w:r>
      <w:r w:rsidR="00530A75" w:rsidRPr="00AC20B4">
        <w:t xml:space="preserve">The ESC noted </w:t>
      </w:r>
      <w:r w:rsidR="00E60870" w:rsidRPr="00AC20B4">
        <w:t xml:space="preserve">in the NCCN guidelines </w:t>
      </w:r>
      <w:r w:rsidR="00530A75" w:rsidRPr="00AC20B4">
        <w:t>that</w:t>
      </w:r>
      <w:r w:rsidR="00162367" w:rsidRPr="00AC20B4">
        <w:t xml:space="preserve"> ATEZO+BEV and </w:t>
      </w:r>
      <w:r w:rsidR="002E7892" w:rsidRPr="00AC20B4">
        <w:t>STRIDE were listed as ‘preferred regimens’ and</w:t>
      </w:r>
      <w:r w:rsidR="00530A75" w:rsidRPr="00AC20B4">
        <w:t xml:space="preserve"> </w:t>
      </w:r>
      <w:r w:rsidR="00404304" w:rsidRPr="00AC20B4">
        <w:t xml:space="preserve">NIVO+IPI was listed as an </w:t>
      </w:r>
      <w:r w:rsidR="002E7892" w:rsidRPr="00AC20B4">
        <w:t>‘o</w:t>
      </w:r>
      <w:r w:rsidR="007B1CD0" w:rsidRPr="00AC20B4">
        <w:t>ther recommended regimen</w:t>
      </w:r>
      <w:r w:rsidR="002E7892" w:rsidRPr="00AC20B4">
        <w:t xml:space="preserve">’. </w:t>
      </w:r>
      <w:r w:rsidR="00A135E4" w:rsidRPr="00AC20B4">
        <w:t xml:space="preserve">The ESC also </w:t>
      </w:r>
      <w:r w:rsidR="005E47D5" w:rsidRPr="00AC20B4">
        <w:t xml:space="preserve">noted </w:t>
      </w:r>
      <w:r w:rsidR="00E60870" w:rsidRPr="00AC20B4">
        <w:t xml:space="preserve">in the ESMO guidelines </w:t>
      </w:r>
      <w:r w:rsidR="005E47D5" w:rsidRPr="00AC20B4">
        <w:t>that ATEZO+BEV and STRID</w:t>
      </w:r>
      <w:r w:rsidR="00D76EC1" w:rsidRPr="00AC20B4">
        <w:t xml:space="preserve">E were both allocated an A grade recommendation whereas </w:t>
      </w:r>
      <w:r w:rsidR="005D2093" w:rsidRPr="00AC20B4">
        <w:t>NIVO+IPI was allocated a B grade recommendation.</w:t>
      </w:r>
      <w:bookmarkEnd w:id="27"/>
      <w:r w:rsidR="005D2093" w:rsidRPr="00AC20B4">
        <w:t xml:space="preserve"> </w:t>
      </w:r>
    </w:p>
    <w:p w14:paraId="03E09457" w14:textId="77777777" w:rsidR="00FC676C" w:rsidRDefault="00FC676C" w:rsidP="00FC676C">
      <w:pPr>
        <w:pStyle w:val="3-BodyText"/>
      </w:pPr>
      <w:r w:rsidRPr="00BD2844">
        <w:t>NIVO is a fully human immunoglobulin G4 monoclonal antibody which binds to the programmed death-1 receptor and blocks its interaction with the ligands PD-L1 and PD-L2. Binding of PD-L1 to PD-1 results in inhibition of T-cells, which prevents overactivity of the immune system and autoimmune phenomena. IPI is a recombinant, fully human monoclonal antibody that binds to the cytotoxic T lymphocyte-associated antigen 4 (CTLA-4). Binding of IPI to CTLA-4 results in blockage of the inhibitory signal and therefore enhances T-cell response to tumour antigens. Combined with NIVO, this results in enhanced T-cell function.</w:t>
      </w:r>
    </w:p>
    <w:p w14:paraId="59A775D7" w14:textId="77777777" w:rsidR="00FC676C" w:rsidRPr="00BD2844" w:rsidRDefault="00FC676C" w:rsidP="00FC676C">
      <w:pPr>
        <w:pStyle w:val="2-SectionHeading"/>
      </w:pPr>
      <w:bookmarkStart w:id="28" w:name="_Toc195866331"/>
      <w:bookmarkStart w:id="29" w:name="_Toc198716656"/>
      <w:r w:rsidRPr="00BD2844">
        <w:t>Comparator</w:t>
      </w:r>
      <w:bookmarkEnd w:id="28"/>
      <w:bookmarkEnd w:id="29"/>
    </w:p>
    <w:p w14:paraId="0860A7B4" w14:textId="42ECD70F" w:rsidR="00FC676C" w:rsidRPr="00BD2844" w:rsidRDefault="00FC676C" w:rsidP="00FC676C">
      <w:pPr>
        <w:pStyle w:val="3-BodyText"/>
      </w:pPr>
      <w:r w:rsidRPr="00BD2844">
        <w:t>The submission nominated ATEZO+BEV (a PD-L1 inhibitor + VEGF inhibitor) as the main comparator. The selection of the comparator was appropriate for patients with BCLC Stage B and C advanced HCC, but not appropriate for Stage A patients. ATEZO+BEV is recommended as the preferred option to treat first-line advanced HCC in the NCCN</w:t>
      </w:r>
      <w:r w:rsidR="00E272A1" w:rsidRPr="00BD2844">
        <w:t xml:space="preserve"> </w:t>
      </w:r>
      <w:r w:rsidR="00E272A1" w:rsidRPr="00BD2844">
        <w:lastRenderedPageBreak/>
        <w:t>(2024</w:t>
      </w:r>
      <w:r w:rsidRPr="00BD2844">
        <w:t>), American Society of Clinical Oncology (ASCO) and ESMO</w:t>
      </w:r>
      <w:r w:rsidR="007B20EF" w:rsidRPr="00BD2844">
        <w:t xml:space="preserve"> (202</w:t>
      </w:r>
      <w:r w:rsidR="00E3199D">
        <w:t>5</w:t>
      </w:r>
      <w:r w:rsidR="007B20EF" w:rsidRPr="00BD2844">
        <w:t>)</w:t>
      </w:r>
      <w:r w:rsidRPr="00BD2844">
        <w:t xml:space="preserve"> guidelines and is now standard of care in Australia</w:t>
      </w:r>
      <w:r w:rsidRPr="00BD2844">
        <w:rPr>
          <w:rStyle w:val="FootnoteReference"/>
        </w:rPr>
        <w:footnoteReference w:id="7"/>
      </w:r>
      <w:r w:rsidRPr="00BD2844">
        <w:rPr>
          <w:vertAlign w:val="superscript"/>
        </w:rPr>
        <w:t>,</w:t>
      </w:r>
      <w:r w:rsidRPr="00BD2844">
        <w:rPr>
          <w:rStyle w:val="FootnoteReference"/>
        </w:rPr>
        <w:footnoteReference w:id="8"/>
      </w:r>
      <w:r w:rsidRPr="00BD2844">
        <w:rPr>
          <w:vertAlign w:val="superscript"/>
        </w:rPr>
        <w:t>,</w:t>
      </w:r>
      <w:r w:rsidRPr="00BD2844">
        <w:rPr>
          <w:rStyle w:val="FootnoteReference"/>
        </w:rPr>
        <w:footnoteReference w:id="9"/>
      </w:r>
      <w:r w:rsidRPr="00BD2844">
        <w:t>. For BCLC Stage A patients whose disease is not suitable for curative surgical and/or locoregional therapies, systemic therapies are</w:t>
      </w:r>
      <w:r w:rsidRPr="00BD2844">
        <w:rPr>
          <w:i/>
          <w:iCs/>
        </w:rPr>
        <w:t xml:space="preserve"> </w:t>
      </w:r>
      <w:r w:rsidRPr="00BD2844">
        <w:t>recommended.</w:t>
      </w:r>
      <w:r w:rsidRPr="00BD2844">
        <w:rPr>
          <w:rStyle w:val="FootnoteReference"/>
        </w:rPr>
        <w:footnoteReference w:id="10"/>
      </w:r>
      <w:r w:rsidRPr="00BD2844">
        <w:t xml:space="preserve"> However, in Australia the systemic therapies, ATEZO+BEV, SORA and lenvatinib (LEN) are restricted to patients with BCLC Stage B and C patients only, meaning treatment options for these patients are limited</w:t>
      </w:r>
      <w:r w:rsidR="00273011" w:rsidRPr="00BD2844">
        <w:t xml:space="preserve"> (see paragraph </w:t>
      </w:r>
      <w:r w:rsidR="00273011" w:rsidRPr="00BD2844">
        <w:fldChar w:fldCharType="begin"/>
      </w:r>
      <w:r w:rsidR="00273011" w:rsidRPr="00BD2844">
        <w:instrText xml:space="preserve"> REF _Ref197088474 \r \h </w:instrText>
      </w:r>
      <w:r w:rsidR="008D1DD6" w:rsidRPr="00BD2844">
        <w:instrText xml:space="preserve"> \* MERGEFORMAT </w:instrText>
      </w:r>
      <w:r w:rsidR="00273011" w:rsidRPr="00BD2844">
        <w:fldChar w:fldCharType="separate"/>
      </w:r>
      <w:r w:rsidR="008C7D22">
        <w:t>4.2</w:t>
      </w:r>
      <w:r w:rsidR="00273011" w:rsidRPr="00BD2844">
        <w:fldChar w:fldCharType="end"/>
      </w:r>
      <w:r w:rsidR="00273011" w:rsidRPr="00BD2844">
        <w:t>)</w:t>
      </w:r>
      <w:r w:rsidRPr="00BD2844">
        <w:t xml:space="preserve">. </w:t>
      </w:r>
    </w:p>
    <w:p w14:paraId="7F0E5BC2" w14:textId="77777777" w:rsidR="00FC676C" w:rsidRPr="00BD2844" w:rsidRDefault="00FC676C" w:rsidP="00FC676C">
      <w:pPr>
        <w:pStyle w:val="3-BodyText"/>
      </w:pPr>
      <w:r w:rsidRPr="00BD2844">
        <w:t>Under the proposed restriction, patients who develop an intolerance to either a VEGF TKI or ATEZO+BEV may commence NIVO+IPI.</w:t>
      </w:r>
      <w:r w:rsidRPr="00BD2844">
        <w:rPr>
          <w:i/>
          <w:iCs/>
        </w:rPr>
        <w:t xml:space="preserve"> </w:t>
      </w:r>
      <w:r w:rsidRPr="00BD2844">
        <w:t xml:space="preserve">The submission did not provide evidence for efficacy and safety in this population. For this subgroup of patients, best supportive care is the most appropriate comparator. </w:t>
      </w:r>
    </w:p>
    <w:p w14:paraId="64E32A98" w14:textId="77777777" w:rsidR="00FC676C" w:rsidRPr="00BD2844" w:rsidRDefault="00FC676C" w:rsidP="00FC676C">
      <w:pPr>
        <w:pStyle w:val="3-BodyText"/>
        <w:rPr>
          <w:color w:val="0066FF"/>
        </w:rPr>
      </w:pPr>
      <w:bookmarkStart w:id="30" w:name="_Ref107305379"/>
      <w:r w:rsidRPr="00BD2844">
        <w:t xml:space="preserve">In the context of the cost-minimisation approach taken by the submission, a further consideration for PBAC is that, under Section 101(3B) of the </w:t>
      </w:r>
      <w:r w:rsidRPr="00BD2844">
        <w:rPr>
          <w:i/>
          <w:iCs/>
        </w:rPr>
        <w:t>National Health Act 1953</w:t>
      </w:r>
      <w:r w:rsidRPr="00BD2844">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30"/>
      <w:r w:rsidRPr="00BD2844">
        <w:t xml:space="preserve"> </w:t>
      </w:r>
    </w:p>
    <w:p w14:paraId="79E5F2A4" w14:textId="2BDE80D3" w:rsidR="00FC676C" w:rsidRDefault="00FC676C" w:rsidP="00FC676C">
      <w:pPr>
        <w:pStyle w:val="3-BodyText"/>
        <w:ind w:left="709" w:hanging="709"/>
      </w:pPr>
      <w:bookmarkStart w:id="31" w:name="_Hlk195354871"/>
      <w:r w:rsidRPr="00BD2844">
        <w:t xml:space="preserve">Durvalumab plus </w:t>
      </w:r>
      <w:proofErr w:type="spellStart"/>
      <w:r w:rsidRPr="00BD2844">
        <w:t>tremelimumab</w:t>
      </w:r>
      <w:proofErr w:type="spellEnd"/>
      <w:r w:rsidRPr="00BD2844">
        <w:t xml:space="preserve"> (a PD-L1 inhibitor + CTLA-4 inhibitor), STRIDE, </w:t>
      </w:r>
      <w:bookmarkEnd w:id="31"/>
      <w:r w:rsidRPr="00BD2844">
        <w:t xml:space="preserve">was nominated as a near market comparator. </w:t>
      </w:r>
      <w:r w:rsidRPr="00AC20B4">
        <w:t>T</w:t>
      </w:r>
      <w:r w:rsidR="00EF1E95" w:rsidRPr="00AC20B4">
        <w:t xml:space="preserve">he ESC </w:t>
      </w:r>
      <w:r w:rsidR="00922433" w:rsidRPr="00AC20B4">
        <w:t>considered</w:t>
      </w:r>
      <w:r w:rsidR="00EF1E95" w:rsidRPr="00AC20B4">
        <w:t xml:space="preserve"> that t</w:t>
      </w:r>
      <w:r w:rsidRPr="00AC20B4">
        <w:t>his was reasonable.</w:t>
      </w:r>
      <w:r w:rsidRPr="00BD2844">
        <w:t xml:space="preserve"> </w:t>
      </w:r>
    </w:p>
    <w:p w14:paraId="3158EC94" w14:textId="492A54A2" w:rsidR="006B47BE" w:rsidRPr="00BD2844" w:rsidRDefault="006B47BE" w:rsidP="006B47BE">
      <w:pPr>
        <w:pStyle w:val="3-BodyText"/>
        <w:numPr>
          <w:ilvl w:val="0"/>
          <w:numId w:val="0"/>
        </w:numPr>
        <w:ind w:left="709"/>
      </w:pPr>
      <w:r w:rsidRPr="006B47BE">
        <w:rPr>
          <w:i/>
          <w:iCs/>
        </w:rPr>
        <w:t>For more detail on PBAC’s view, see section 7 PBAC outcome.</w:t>
      </w:r>
    </w:p>
    <w:p w14:paraId="059A6D3A" w14:textId="77777777" w:rsidR="00FC676C" w:rsidRPr="00BD2844" w:rsidRDefault="00FC676C" w:rsidP="00FC676C">
      <w:pPr>
        <w:pStyle w:val="2-SectionHeading"/>
      </w:pPr>
      <w:bookmarkStart w:id="32" w:name="_Toc195866332"/>
      <w:bookmarkStart w:id="33" w:name="_Toc198716657"/>
      <w:bookmarkStart w:id="34" w:name="_Toc22897640"/>
      <w:r w:rsidRPr="00BD2844">
        <w:t>Consideration of the evidence</w:t>
      </w:r>
      <w:bookmarkEnd w:id="32"/>
      <w:bookmarkEnd w:id="33"/>
    </w:p>
    <w:p w14:paraId="7EC260CE" w14:textId="77777777" w:rsidR="00D3477A" w:rsidRPr="006E1229" w:rsidRDefault="00D3477A" w:rsidP="00D3477A">
      <w:pPr>
        <w:pStyle w:val="4-SubsectionHeading"/>
      </w:pPr>
      <w:bookmarkStart w:id="35" w:name="_Hlk76375935"/>
      <w:bookmarkStart w:id="36" w:name="_Toc195866333"/>
      <w:bookmarkStart w:id="37" w:name="_Toc198716658"/>
      <w:bookmarkStart w:id="38" w:name="_Hlk195530891"/>
      <w:r w:rsidRPr="006E1229">
        <w:t>Sponsor hearing</w:t>
      </w:r>
    </w:p>
    <w:p w14:paraId="7A0B72F7" w14:textId="24465775" w:rsidR="00483691" w:rsidRPr="00483691" w:rsidRDefault="00D3477A" w:rsidP="00483691">
      <w:pPr>
        <w:widowControl w:val="0"/>
        <w:numPr>
          <w:ilvl w:val="1"/>
          <w:numId w:val="4"/>
        </w:numPr>
        <w:spacing w:after="120"/>
      </w:pPr>
      <w:r w:rsidRPr="00F91542">
        <w:rPr>
          <w:rFonts w:cs="Calibri"/>
          <w:bCs/>
          <w:snapToGrid w:val="0"/>
        </w:rPr>
        <w:t>There was no hearing for this item.</w:t>
      </w:r>
    </w:p>
    <w:p w14:paraId="50677373" w14:textId="7A3C6569" w:rsidR="00D3477A" w:rsidRPr="006E1229" w:rsidRDefault="00D3477A" w:rsidP="00483691">
      <w:pPr>
        <w:pStyle w:val="4-SubsectionHeading"/>
      </w:pPr>
      <w:r w:rsidRPr="006E1229">
        <w:t>Consumer comments</w:t>
      </w:r>
    </w:p>
    <w:p w14:paraId="5579412C" w14:textId="0E064B16" w:rsidR="00314B97" w:rsidRPr="00FE3260" w:rsidRDefault="00D3477A" w:rsidP="001A42B0">
      <w:pPr>
        <w:pStyle w:val="3-BodyText"/>
        <w:rPr>
          <w:snapToGrid w:val="0"/>
        </w:rPr>
      </w:pPr>
      <w:bookmarkStart w:id="39" w:name="_Hlk76382618"/>
      <w:r w:rsidRPr="00FE3260">
        <w:rPr>
          <w:snapToGrid w:val="0"/>
        </w:rPr>
        <w:t>The PBAC noted and welcomed the input from organisations (</w:t>
      </w:r>
      <w:r w:rsidR="00035FFE" w:rsidRPr="00FE3260">
        <w:rPr>
          <w:snapToGrid w:val="0"/>
        </w:rPr>
        <w:t>4</w:t>
      </w:r>
      <w:r w:rsidRPr="00FE3260">
        <w:rPr>
          <w:snapToGrid w:val="0"/>
        </w:rPr>
        <w:t xml:space="preserve">) via the Consumer Comments facility on the PBS website. The PBAC noted the advice received from </w:t>
      </w:r>
      <w:r w:rsidR="00035FFE" w:rsidRPr="00FE3260">
        <w:rPr>
          <w:snapToGrid w:val="0"/>
        </w:rPr>
        <w:t xml:space="preserve">the Liver Foundation, </w:t>
      </w:r>
      <w:proofErr w:type="spellStart"/>
      <w:r w:rsidR="00E71E0B" w:rsidRPr="00FE3260">
        <w:rPr>
          <w:snapToGrid w:val="0"/>
        </w:rPr>
        <w:t>Pancare</w:t>
      </w:r>
      <w:proofErr w:type="spellEnd"/>
      <w:r w:rsidR="00E71E0B" w:rsidRPr="00FE3260">
        <w:rPr>
          <w:snapToGrid w:val="0"/>
        </w:rPr>
        <w:t xml:space="preserve"> Foundation and </w:t>
      </w:r>
      <w:r w:rsidR="00F84A1E" w:rsidRPr="00FE3260">
        <w:rPr>
          <w:snapToGrid w:val="0"/>
        </w:rPr>
        <w:t>Rare Cancers Australia</w:t>
      </w:r>
      <w:r w:rsidR="00AF13ED" w:rsidRPr="00FE3260">
        <w:rPr>
          <w:snapToGrid w:val="0"/>
        </w:rPr>
        <w:t xml:space="preserve"> </w:t>
      </w:r>
      <w:r w:rsidR="008E5604" w:rsidRPr="00FE3260">
        <w:rPr>
          <w:snapToGrid w:val="0"/>
        </w:rPr>
        <w:t xml:space="preserve">were supportive of listing </w:t>
      </w:r>
      <w:r w:rsidR="00065234">
        <w:rPr>
          <w:snapToGrid w:val="0"/>
        </w:rPr>
        <w:t>NIVO+IPI</w:t>
      </w:r>
      <w:r w:rsidR="008E5604" w:rsidRPr="00FE3260">
        <w:rPr>
          <w:snapToGrid w:val="0"/>
        </w:rPr>
        <w:t xml:space="preserve"> on the PBS for HCC</w:t>
      </w:r>
      <w:r w:rsidR="00F84A1E" w:rsidRPr="00FE3260">
        <w:rPr>
          <w:snapToGrid w:val="0"/>
        </w:rPr>
        <w:t>.</w:t>
      </w:r>
      <w:r w:rsidRPr="00FE3260">
        <w:rPr>
          <w:snapToGrid w:val="0"/>
        </w:rPr>
        <w:t xml:space="preserve"> </w:t>
      </w:r>
      <w:r w:rsidR="007D3DE3" w:rsidRPr="00FE3260">
        <w:rPr>
          <w:snapToGrid w:val="0"/>
        </w:rPr>
        <w:t xml:space="preserve">The inputs described that </w:t>
      </w:r>
      <w:r w:rsidR="005F505D" w:rsidRPr="00FE3260">
        <w:rPr>
          <w:snapToGrid w:val="0"/>
        </w:rPr>
        <w:t xml:space="preserve">HCC </w:t>
      </w:r>
      <w:r w:rsidR="007B68C0" w:rsidRPr="00FE3260">
        <w:rPr>
          <w:snapToGrid w:val="0"/>
        </w:rPr>
        <w:t xml:space="preserve">takes </w:t>
      </w:r>
      <w:r w:rsidR="00B96496" w:rsidRPr="00FE3260">
        <w:rPr>
          <w:snapToGrid w:val="0"/>
        </w:rPr>
        <w:t xml:space="preserve">a </w:t>
      </w:r>
      <w:r w:rsidR="007D3DE3" w:rsidRPr="00FE3260">
        <w:rPr>
          <w:snapToGrid w:val="0"/>
        </w:rPr>
        <w:t>physical and emotional toll</w:t>
      </w:r>
      <w:r w:rsidR="00B96496" w:rsidRPr="00FE3260">
        <w:rPr>
          <w:snapToGrid w:val="0"/>
        </w:rPr>
        <w:t xml:space="preserve"> </w:t>
      </w:r>
      <w:r w:rsidR="005554F5" w:rsidRPr="00FE3260">
        <w:rPr>
          <w:snapToGrid w:val="0"/>
        </w:rPr>
        <w:t xml:space="preserve">on patients </w:t>
      </w:r>
      <w:r w:rsidR="00B96496" w:rsidRPr="00FE3260">
        <w:rPr>
          <w:snapToGrid w:val="0"/>
        </w:rPr>
        <w:t xml:space="preserve">when dealing with the </w:t>
      </w:r>
      <w:r w:rsidR="007D3DE3" w:rsidRPr="00FE3260">
        <w:rPr>
          <w:snapToGrid w:val="0"/>
        </w:rPr>
        <w:t>treatment burden</w:t>
      </w:r>
      <w:r w:rsidR="00A04815" w:rsidRPr="00FE3260">
        <w:rPr>
          <w:snapToGrid w:val="0"/>
        </w:rPr>
        <w:t xml:space="preserve"> which includes the </w:t>
      </w:r>
      <w:r w:rsidR="007D3DE3" w:rsidRPr="00FE3260">
        <w:rPr>
          <w:snapToGrid w:val="0"/>
        </w:rPr>
        <w:t>side effects</w:t>
      </w:r>
      <w:r w:rsidR="007C188C" w:rsidRPr="00FE3260">
        <w:rPr>
          <w:snapToGrid w:val="0"/>
        </w:rPr>
        <w:t xml:space="preserve"> and </w:t>
      </w:r>
      <w:r w:rsidR="007D3DE3" w:rsidRPr="00FE3260">
        <w:rPr>
          <w:snapToGrid w:val="0"/>
        </w:rPr>
        <w:t xml:space="preserve">financial </w:t>
      </w:r>
      <w:r w:rsidR="007C188C" w:rsidRPr="00FE3260">
        <w:rPr>
          <w:snapToGrid w:val="0"/>
        </w:rPr>
        <w:t xml:space="preserve">implications of treatment. </w:t>
      </w:r>
      <w:r w:rsidR="00AC6032" w:rsidRPr="00FE3260">
        <w:rPr>
          <w:snapToGrid w:val="0"/>
        </w:rPr>
        <w:t>The inputs noted that c</w:t>
      </w:r>
      <w:r w:rsidR="00AC6032" w:rsidRPr="00FE3260">
        <w:rPr>
          <w:rFonts w:ascii="Calibri" w:eastAsia="Times New Roman" w:hAnsi="Calibri" w:cs="Arial"/>
          <w:bCs/>
          <w:snapToGrid w:val="0"/>
          <w:szCs w:val="24"/>
        </w:rPr>
        <w:t>arers are often left unsupported and overwhelmed, bearing emotional and financial burdens</w:t>
      </w:r>
      <w:r w:rsidR="003E2ABE" w:rsidRPr="00FE3260">
        <w:rPr>
          <w:rFonts w:ascii="Calibri" w:eastAsia="Times New Roman" w:hAnsi="Calibri" w:cs="Arial"/>
          <w:bCs/>
          <w:snapToGrid w:val="0"/>
          <w:szCs w:val="24"/>
        </w:rPr>
        <w:t xml:space="preserve"> as well</w:t>
      </w:r>
      <w:r w:rsidR="00AC6032" w:rsidRPr="00FE3260">
        <w:rPr>
          <w:rFonts w:ascii="Calibri" w:eastAsia="Times New Roman" w:hAnsi="Calibri" w:cs="Arial"/>
          <w:bCs/>
          <w:snapToGrid w:val="0"/>
          <w:szCs w:val="24"/>
        </w:rPr>
        <w:t xml:space="preserve">. </w:t>
      </w:r>
      <w:r w:rsidR="00370F6F" w:rsidRPr="00FE3260">
        <w:rPr>
          <w:snapToGrid w:val="0"/>
        </w:rPr>
        <w:t>The inputs noted that p</w:t>
      </w:r>
      <w:r w:rsidR="007C188C" w:rsidRPr="00FE3260">
        <w:rPr>
          <w:snapToGrid w:val="0"/>
        </w:rPr>
        <w:t xml:space="preserve">atients </w:t>
      </w:r>
      <w:r w:rsidR="003B7967" w:rsidRPr="00FE3260">
        <w:rPr>
          <w:snapToGrid w:val="0"/>
        </w:rPr>
        <w:t>who live rural</w:t>
      </w:r>
      <w:r w:rsidR="00FF1E36" w:rsidRPr="00FE3260">
        <w:rPr>
          <w:snapToGrid w:val="0"/>
        </w:rPr>
        <w:t>ly</w:t>
      </w:r>
      <w:r w:rsidR="003B7967" w:rsidRPr="00FE3260">
        <w:rPr>
          <w:snapToGrid w:val="0"/>
        </w:rPr>
        <w:t xml:space="preserve"> or </w:t>
      </w:r>
      <w:r w:rsidR="003B7967" w:rsidRPr="00FE3260">
        <w:rPr>
          <w:rFonts w:eastAsia="Times New Roman" w:cs="Arial"/>
          <w:bCs/>
          <w:snapToGrid w:val="0"/>
          <w:szCs w:val="24"/>
        </w:rPr>
        <w:t>regional</w:t>
      </w:r>
      <w:r w:rsidR="00FF1E36" w:rsidRPr="00FE3260">
        <w:rPr>
          <w:rFonts w:eastAsia="Times New Roman" w:cs="Arial"/>
          <w:bCs/>
          <w:snapToGrid w:val="0"/>
          <w:szCs w:val="24"/>
        </w:rPr>
        <w:t>ly</w:t>
      </w:r>
      <w:r w:rsidR="003B7967" w:rsidRPr="00FE3260">
        <w:rPr>
          <w:rFonts w:eastAsia="Times New Roman" w:cs="Arial"/>
          <w:bCs/>
          <w:snapToGrid w:val="0"/>
          <w:szCs w:val="24"/>
        </w:rPr>
        <w:t xml:space="preserve"> </w:t>
      </w:r>
      <w:r w:rsidR="00EC59EC" w:rsidRPr="00FE3260">
        <w:rPr>
          <w:snapToGrid w:val="0"/>
        </w:rPr>
        <w:t xml:space="preserve">have </w:t>
      </w:r>
      <w:r w:rsidR="00EC59EC" w:rsidRPr="00FE3260">
        <w:rPr>
          <w:snapToGrid w:val="0"/>
        </w:rPr>
        <w:lastRenderedPageBreak/>
        <w:t xml:space="preserve">found it </w:t>
      </w:r>
      <w:r w:rsidR="007E3F45" w:rsidRPr="00FE3260">
        <w:rPr>
          <w:rFonts w:eastAsia="Times New Roman" w:cs="Arial"/>
          <w:bCs/>
          <w:snapToGrid w:val="0"/>
          <w:szCs w:val="24"/>
        </w:rPr>
        <w:t xml:space="preserve">difficult </w:t>
      </w:r>
      <w:r w:rsidR="00EC59EC" w:rsidRPr="00FE3260">
        <w:rPr>
          <w:rFonts w:eastAsia="Times New Roman" w:cs="Arial"/>
          <w:bCs/>
          <w:snapToGrid w:val="0"/>
          <w:szCs w:val="24"/>
        </w:rPr>
        <w:t xml:space="preserve">to </w:t>
      </w:r>
      <w:r w:rsidR="007E3F45" w:rsidRPr="00FE3260">
        <w:rPr>
          <w:rFonts w:eastAsia="Times New Roman" w:cs="Arial"/>
          <w:bCs/>
          <w:snapToGrid w:val="0"/>
          <w:szCs w:val="24"/>
        </w:rPr>
        <w:t>access timely specialist referrals and imaging</w:t>
      </w:r>
      <w:r w:rsidR="003C188D" w:rsidRPr="00FE3260">
        <w:rPr>
          <w:bCs/>
          <w:snapToGrid w:val="0"/>
        </w:rPr>
        <w:t xml:space="preserve"> due to travel</w:t>
      </w:r>
      <w:r w:rsidR="007E3F45" w:rsidRPr="00FE3260">
        <w:rPr>
          <w:bCs/>
          <w:snapToGrid w:val="0"/>
        </w:rPr>
        <w:t xml:space="preserve">. </w:t>
      </w:r>
      <w:r w:rsidR="00B1778A" w:rsidRPr="00FE3260">
        <w:rPr>
          <w:snapToGrid w:val="0"/>
        </w:rPr>
        <w:t xml:space="preserve">The </w:t>
      </w:r>
      <w:r w:rsidR="00157BB2">
        <w:rPr>
          <w:snapToGrid w:val="0"/>
        </w:rPr>
        <w:t xml:space="preserve">input indicated the </w:t>
      </w:r>
      <w:r w:rsidR="00B76902">
        <w:rPr>
          <w:snapToGrid w:val="0"/>
        </w:rPr>
        <w:t xml:space="preserve">potential </w:t>
      </w:r>
      <w:r w:rsidR="00B1778A" w:rsidRPr="00FE3260">
        <w:rPr>
          <w:snapToGrid w:val="0"/>
        </w:rPr>
        <w:t xml:space="preserve">availability of </w:t>
      </w:r>
      <w:r w:rsidR="00311523">
        <w:rPr>
          <w:snapToGrid w:val="0"/>
        </w:rPr>
        <w:t>NIVO+IPI</w:t>
      </w:r>
      <w:r w:rsidR="00B1778A" w:rsidRPr="00FE3260">
        <w:rPr>
          <w:snapToGrid w:val="0"/>
        </w:rPr>
        <w:t xml:space="preserve"> offers new hope for patients and families. The inputs noted that like all treatments, there are a range of possible side effects</w:t>
      </w:r>
      <w:r w:rsidR="0089149D" w:rsidRPr="00FE3260">
        <w:rPr>
          <w:snapToGrid w:val="0"/>
        </w:rPr>
        <w:t xml:space="preserve"> with </w:t>
      </w:r>
      <w:r w:rsidR="00B76902">
        <w:rPr>
          <w:snapToGrid w:val="0"/>
        </w:rPr>
        <w:t>NIVO+IPI</w:t>
      </w:r>
      <w:r w:rsidR="00B1778A" w:rsidRPr="00FE3260">
        <w:rPr>
          <w:snapToGrid w:val="0"/>
        </w:rPr>
        <w:t xml:space="preserve">, however, </w:t>
      </w:r>
      <w:r w:rsidR="009616F2">
        <w:rPr>
          <w:snapToGrid w:val="0"/>
        </w:rPr>
        <w:t>the input indi</w:t>
      </w:r>
      <w:r w:rsidR="00BE2A43">
        <w:rPr>
          <w:snapToGrid w:val="0"/>
        </w:rPr>
        <w:t xml:space="preserve">cated that </w:t>
      </w:r>
      <w:r w:rsidR="00B1778A" w:rsidRPr="00FE3260">
        <w:rPr>
          <w:snapToGrid w:val="0"/>
        </w:rPr>
        <w:t xml:space="preserve">this is equally true for other treatments for HCC. </w:t>
      </w:r>
      <w:r w:rsidR="007B308F" w:rsidRPr="00FE3260">
        <w:rPr>
          <w:snapToGrid w:val="0"/>
        </w:rPr>
        <w:t xml:space="preserve">Side </w:t>
      </w:r>
      <w:r w:rsidR="0089149D" w:rsidRPr="00FE3260">
        <w:rPr>
          <w:snapToGrid w:val="0"/>
        </w:rPr>
        <w:t xml:space="preserve">effects </w:t>
      </w:r>
      <w:r w:rsidR="00B1778A" w:rsidRPr="00FE3260">
        <w:rPr>
          <w:snapToGrid w:val="0"/>
        </w:rPr>
        <w:t xml:space="preserve">may include muscle cramps, weight gain, feeling cold, dry skin, and hair changes. However, </w:t>
      </w:r>
      <w:r w:rsidR="00BE2A43">
        <w:rPr>
          <w:snapToGrid w:val="0"/>
        </w:rPr>
        <w:t>the input indicate</w:t>
      </w:r>
      <w:r w:rsidR="00E66CB4">
        <w:rPr>
          <w:snapToGrid w:val="0"/>
        </w:rPr>
        <w:t>d</w:t>
      </w:r>
      <w:r w:rsidR="00BE2A43">
        <w:rPr>
          <w:snapToGrid w:val="0"/>
        </w:rPr>
        <w:t xml:space="preserve"> that </w:t>
      </w:r>
      <w:r w:rsidR="00B1778A" w:rsidRPr="00FE3260">
        <w:rPr>
          <w:snapToGrid w:val="0"/>
        </w:rPr>
        <w:t>patients generally report that these side effects are manageable and do not outweigh the potential benefits of the treatment</w:t>
      </w:r>
      <w:r w:rsidR="003A4185" w:rsidRPr="00FE3260">
        <w:rPr>
          <w:bCs/>
          <w:snapToGrid w:val="0"/>
        </w:rPr>
        <w:t xml:space="preserve">. </w:t>
      </w:r>
    </w:p>
    <w:bookmarkEnd w:id="35"/>
    <w:bookmarkEnd w:id="39"/>
    <w:p w14:paraId="1EBD6724" w14:textId="437E5A96" w:rsidR="00D3477A" w:rsidRDefault="00D3477A" w:rsidP="008B0302">
      <w:pPr>
        <w:pStyle w:val="3-BodyText"/>
        <w:rPr>
          <w:snapToGrid w:val="0"/>
        </w:rPr>
      </w:pPr>
      <w:r w:rsidRPr="00A74363">
        <w:rPr>
          <w:snapToGrid w:val="0"/>
        </w:rPr>
        <w:t xml:space="preserve">The Medical Oncology Group of Australia (MOGA) expressed its strong support for the </w:t>
      </w:r>
      <w:r w:rsidR="003C43E0">
        <w:rPr>
          <w:snapToGrid w:val="0"/>
        </w:rPr>
        <w:t>NIVO+IPI</w:t>
      </w:r>
      <w:r w:rsidR="006E2DC3">
        <w:rPr>
          <w:snapToGrid w:val="0"/>
        </w:rPr>
        <w:t xml:space="preserve"> </w:t>
      </w:r>
      <w:r w:rsidRPr="00A74363">
        <w:rPr>
          <w:snapToGrid w:val="0"/>
        </w:rPr>
        <w:t xml:space="preserve">submission, categorising it as one of the therapies of “high priority for PBS listing” </w:t>
      </w:r>
      <w:proofErr w:type="gramStart"/>
      <w:r w:rsidRPr="00A74363">
        <w:rPr>
          <w:snapToGrid w:val="0"/>
        </w:rPr>
        <w:t>on the basis of</w:t>
      </w:r>
      <w:proofErr w:type="gramEnd"/>
      <w:r w:rsidRPr="00A74363">
        <w:rPr>
          <w:snapToGrid w:val="0"/>
        </w:rPr>
        <w:t xml:space="preserve"> the </w:t>
      </w:r>
      <w:r w:rsidR="006E2DC3" w:rsidRPr="0031797C">
        <w:rPr>
          <w:snapToGrid w:val="0"/>
        </w:rPr>
        <w:t>CheckMate-9DW</w:t>
      </w:r>
      <w:r w:rsidR="006E2DC3">
        <w:rPr>
          <w:snapToGrid w:val="0"/>
        </w:rPr>
        <w:t xml:space="preserve"> </w:t>
      </w:r>
      <w:r w:rsidRPr="00A74363">
        <w:rPr>
          <w:snapToGrid w:val="0"/>
        </w:rPr>
        <w:t xml:space="preserve">trial. The PBAC noted that the MOGA presented a European Society for Medical Oncology Magnitude of Clinical Benefit Scale (ESMO-MCBS) </w:t>
      </w:r>
      <w:r w:rsidR="00CC6357" w:rsidRPr="00525B39">
        <w:rPr>
          <w:snapToGrid w:val="0"/>
        </w:rPr>
        <w:t xml:space="preserve">for </w:t>
      </w:r>
      <w:r w:rsidR="008F4E46">
        <w:rPr>
          <w:snapToGrid w:val="0"/>
        </w:rPr>
        <w:t>NIVO+IPI</w:t>
      </w:r>
      <w:r w:rsidRPr="00525B39">
        <w:rPr>
          <w:snapToGrid w:val="0"/>
        </w:rPr>
        <w:t xml:space="preserve">, which was limited to </w:t>
      </w:r>
      <w:r w:rsidR="00763C88">
        <w:rPr>
          <w:snapToGrid w:val="0"/>
        </w:rPr>
        <w:t>3</w:t>
      </w:r>
      <w:r w:rsidRPr="00525B39">
        <w:rPr>
          <w:snapToGrid w:val="0"/>
        </w:rPr>
        <w:t xml:space="preserve"> (out of a maximum of 5, where 5 and 4 represent the grades with substantial improvement)</w:t>
      </w:r>
      <w:r w:rsidR="00FE3357">
        <w:rPr>
          <w:rStyle w:val="FootnoteReference"/>
          <w:bCs/>
          <w:snapToGrid w:val="0"/>
        </w:rPr>
        <w:footnoteReference w:id="11"/>
      </w:r>
      <w:r w:rsidRPr="00525B39">
        <w:rPr>
          <w:snapToGrid w:val="0"/>
        </w:rPr>
        <w:t xml:space="preserve">, based on a comparison with </w:t>
      </w:r>
      <w:r w:rsidR="000B604C">
        <w:rPr>
          <w:snapToGrid w:val="0"/>
        </w:rPr>
        <w:t>SORA/LEN</w:t>
      </w:r>
      <w:r w:rsidRPr="00525B39">
        <w:rPr>
          <w:snapToGrid w:val="0"/>
        </w:rPr>
        <w:t>.</w:t>
      </w:r>
      <w:r w:rsidR="00372124">
        <w:rPr>
          <w:snapToGrid w:val="0"/>
        </w:rPr>
        <w:t xml:space="preserve"> The PBAC noted </w:t>
      </w:r>
      <w:r w:rsidR="00231628">
        <w:rPr>
          <w:snapToGrid w:val="0"/>
        </w:rPr>
        <w:t xml:space="preserve">however that </w:t>
      </w:r>
      <w:r w:rsidR="00372124">
        <w:rPr>
          <w:snapToGrid w:val="0"/>
        </w:rPr>
        <w:t xml:space="preserve">the comparator in the submission was </w:t>
      </w:r>
      <w:r w:rsidR="002F31C9">
        <w:rPr>
          <w:snapToGrid w:val="0"/>
        </w:rPr>
        <w:t xml:space="preserve">ATEZO+BEV. </w:t>
      </w:r>
    </w:p>
    <w:p w14:paraId="105CF010" w14:textId="7656B4F1" w:rsidR="00FC676C" w:rsidRPr="00BD2844" w:rsidRDefault="00FC676C" w:rsidP="00FC676C">
      <w:pPr>
        <w:pStyle w:val="4-SubsectionHeading"/>
      </w:pPr>
      <w:r w:rsidRPr="00BD2844">
        <w:t>Clinical trials</w:t>
      </w:r>
      <w:bookmarkEnd w:id="34"/>
      <w:bookmarkEnd w:id="36"/>
      <w:bookmarkEnd w:id="37"/>
    </w:p>
    <w:p w14:paraId="58724CCF" w14:textId="7BEAA59C" w:rsidR="00FC676C" w:rsidRPr="00BD2844" w:rsidRDefault="00FC676C" w:rsidP="00FC676C">
      <w:pPr>
        <w:pStyle w:val="3-BodyText"/>
      </w:pPr>
      <w:r w:rsidRPr="00BD2844">
        <w:t xml:space="preserve">The submission was based on one head-to-head trial comparing NIVO+IPI (n=335) with investigators choice of SORA or LEN (n= 333), CM-9DW. For the </w:t>
      </w:r>
      <w:r w:rsidR="00570711" w:rsidRPr="00BD2844">
        <w:t>unmatched, unadjusted</w:t>
      </w:r>
      <w:r w:rsidR="001F0444" w:rsidRPr="00BD2844">
        <w:t xml:space="preserve">, </w:t>
      </w:r>
      <w:r w:rsidRPr="00BD2844">
        <w:t xml:space="preserve">anchored ITC, efficacy and safety data comparing ATEZO+BEV (n=336) to SORA </w:t>
      </w:r>
      <w:bookmarkEnd w:id="38"/>
      <w:r w:rsidRPr="00BD2844">
        <w:t>(n=165) in the IMBRAVE150 trial, and STRIDE (n = 393) to SORA (n = 389) in the HIMALAYA trial, were used. The PBAC has previously reviewed an earlier data cut of IMBRAVE150 with a median duration of follow up of 8.6 months (atezolizumab PSD, July 2020 PBAC meeting). This submission presents updated efficacy data from the IMBRAVE150 trial (median duration of follow up 15.6 months).</w:t>
      </w:r>
    </w:p>
    <w:p w14:paraId="33F9877A" w14:textId="061284AD" w:rsidR="00FC676C" w:rsidRPr="00BD2844" w:rsidRDefault="00FC676C" w:rsidP="00FC676C">
      <w:pPr>
        <w:pStyle w:val="3-BodyText"/>
        <w:spacing w:after="120"/>
        <w:rPr>
          <w:rFonts w:cstheme="minorHAnsi"/>
          <w:szCs w:val="24"/>
        </w:rPr>
      </w:pPr>
      <w:r w:rsidRPr="00BD2844">
        <w:rPr>
          <w:rFonts w:cstheme="minorHAnsi"/>
          <w:szCs w:val="24"/>
        </w:rPr>
        <w:t xml:space="preserve">Details of the trials presented in the submission are provided in </w:t>
      </w:r>
      <w:r w:rsidRPr="00BD2844">
        <w:rPr>
          <w:rFonts w:cstheme="minorHAnsi"/>
          <w:szCs w:val="24"/>
        </w:rPr>
        <w:fldChar w:fldCharType="begin"/>
      </w:r>
      <w:r w:rsidRPr="00BD2844">
        <w:rPr>
          <w:rFonts w:cstheme="minorHAnsi"/>
          <w:szCs w:val="24"/>
        </w:rPr>
        <w:instrText xml:space="preserve"> REF _Ref195867593 \h </w:instrText>
      </w:r>
      <w:r w:rsidRPr="00BD2844">
        <w:rPr>
          <w:rFonts w:cstheme="minorHAnsi"/>
          <w:szCs w:val="24"/>
        </w:rPr>
      </w:r>
      <w:r w:rsidRPr="00BD2844">
        <w:rPr>
          <w:rFonts w:cstheme="minorHAnsi"/>
          <w:szCs w:val="24"/>
        </w:rPr>
        <w:fldChar w:fldCharType="separate"/>
      </w:r>
      <w:r w:rsidR="008C7D22" w:rsidRPr="00BD2844">
        <w:t xml:space="preserve">Table </w:t>
      </w:r>
      <w:r w:rsidR="008C7D22">
        <w:rPr>
          <w:noProof/>
        </w:rPr>
        <w:t>2</w:t>
      </w:r>
      <w:r w:rsidRPr="00BD2844">
        <w:rPr>
          <w:rFonts w:cstheme="minorHAnsi"/>
          <w:szCs w:val="24"/>
        </w:rPr>
        <w:fldChar w:fldCharType="end"/>
      </w:r>
      <w:r w:rsidRPr="00BD2844">
        <w:rPr>
          <w:rFonts w:cstheme="minorHAnsi"/>
          <w:szCs w:val="24"/>
        </w:rPr>
        <w:t>. For brevity, a complete list of publications is not presented.</w:t>
      </w:r>
    </w:p>
    <w:p w14:paraId="06CF2AD7" w14:textId="25EEB66E" w:rsidR="00FC676C" w:rsidRPr="00BD2844" w:rsidRDefault="00FC676C" w:rsidP="00FC676C">
      <w:pPr>
        <w:pStyle w:val="Caption"/>
      </w:pPr>
      <w:bookmarkStart w:id="40" w:name="_Ref195867593"/>
      <w:bookmarkStart w:id="41" w:name="_Hlk195637907"/>
      <w:r w:rsidRPr="00BD2844">
        <w:lastRenderedPageBreak/>
        <w:t xml:space="preserve">Table </w:t>
      </w:r>
      <w:r w:rsidR="002878AB">
        <w:fldChar w:fldCharType="begin"/>
      </w:r>
      <w:r w:rsidR="002878AB">
        <w:instrText xml:space="preserve"> SEQ Table \* ARABIC </w:instrText>
      </w:r>
      <w:r w:rsidR="002878AB">
        <w:fldChar w:fldCharType="separate"/>
      </w:r>
      <w:r w:rsidR="008C7D22">
        <w:rPr>
          <w:noProof/>
        </w:rPr>
        <w:t>2</w:t>
      </w:r>
      <w:r w:rsidR="002878AB">
        <w:fldChar w:fldCharType="end"/>
      </w:r>
      <w:bookmarkEnd w:id="40"/>
      <w:r w:rsidRPr="00BD2844">
        <w:t>:</w:t>
      </w:r>
      <w:r w:rsidR="00CA258D">
        <w:t xml:space="preserve"> </w:t>
      </w:r>
      <w:r w:rsidRPr="00BD2844">
        <w:t>Trials and associated reports presented in the submission</w:t>
      </w:r>
    </w:p>
    <w:tbl>
      <w:tblPr>
        <w:tblStyle w:val="TableGrid"/>
        <w:tblW w:w="5000" w:type="pct"/>
        <w:tblLook w:val="04A0" w:firstRow="1" w:lastRow="0" w:firstColumn="1" w:lastColumn="0" w:noHBand="0" w:noVBand="1"/>
        <w:tblCaption w:val="Table 2: Trials and associated reports presented in the submission"/>
      </w:tblPr>
      <w:tblGrid>
        <w:gridCol w:w="1393"/>
        <w:gridCol w:w="6068"/>
        <w:gridCol w:w="1556"/>
      </w:tblGrid>
      <w:tr w:rsidR="00FC676C" w:rsidRPr="00BD2844" w14:paraId="26CEC5DD" w14:textId="77777777">
        <w:trPr>
          <w:tblHeader/>
        </w:trPr>
        <w:tc>
          <w:tcPr>
            <w:tcW w:w="772" w:type="pct"/>
          </w:tcPr>
          <w:p w14:paraId="54AB3393" w14:textId="77777777" w:rsidR="00FC676C" w:rsidRPr="00BD2844" w:rsidRDefault="00FC676C">
            <w:pPr>
              <w:pStyle w:val="Tabletext"/>
              <w:keepNext/>
              <w:keepLines/>
              <w:rPr>
                <w:rFonts w:eastAsiaTheme="minorHAnsi"/>
                <w:b/>
                <w:bCs/>
              </w:rPr>
            </w:pPr>
            <w:r w:rsidRPr="00BD2844">
              <w:rPr>
                <w:rFonts w:eastAsiaTheme="minorHAnsi"/>
                <w:b/>
                <w:bCs/>
              </w:rPr>
              <w:t>Study identifier (ID)</w:t>
            </w:r>
          </w:p>
          <w:p w14:paraId="46E67474" w14:textId="77777777" w:rsidR="00FC676C" w:rsidRPr="00BD2844" w:rsidRDefault="00FC676C">
            <w:pPr>
              <w:pStyle w:val="Tabletext"/>
              <w:keepNext/>
              <w:keepLines/>
              <w:rPr>
                <w:rFonts w:eastAsiaTheme="minorHAnsi"/>
                <w:b/>
                <w:bCs/>
              </w:rPr>
            </w:pPr>
          </w:p>
        </w:tc>
        <w:tc>
          <w:tcPr>
            <w:tcW w:w="3365" w:type="pct"/>
          </w:tcPr>
          <w:p w14:paraId="120E6F1E" w14:textId="77777777" w:rsidR="00FC676C" w:rsidRPr="00BD2844" w:rsidRDefault="00FC676C">
            <w:pPr>
              <w:pStyle w:val="Tabletext"/>
              <w:keepNext/>
              <w:keepLines/>
              <w:rPr>
                <w:rFonts w:eastAsiaTheme="minorHAnsi"/>
                <w:b/>
                <w:bCs/>
              </w:rPr>
            </w:pPr>
            <w:r w:rsidRPr="00BD2844">
              <w:rPr>
                <w:rFonts w:eastAsiaTheme="minorHAnsi"/>
                <w:b/>
                <w:bCs/>
              </w:rPr>
              <w:t>Report/</w:t>
            </w:r>
            <w:r w:rsidRPr="00BD2844">
              <w:rPr>
                <w:b/>
                <w:bCs/>
                <w:szCs w:val="20"/>
              </w:rPr>
              <w:t xml:space="preserve"> Protocol title/ Publication title</w:t>
            </w:r>
          </w:p>
        </w:tc>
        <w:tc>
          <w:tcPr>
            <w:tcW w:w="863" w:type="pct"/>
          </w:tcPr>
          <w:p w14:paraId="4EC997BB" w14:textId="77777777" w:rsidR="00FC676C" w:rsidRPr="00BD2844" w:rsidRDefault="00FC676C">
            <w:pPr>
              <w:pStyle w:val="Tabletext"/>
              <w:keepNext/>
              <w:keepLines/>
              <w:rPr>
                <w:rFonts w:eastAsiaTheme="minorHAnsi"/>
                <w:b/>
                <w:bCs/>
              </w:rPr>
            </w:pPr>
            <w:r w:rsidRPr="00BD2844">
              <w:rPr>
                <w:rFonts w:eastAsiaTheme="minorHAnsi"/>
                <w:b/>
                <w:bCs/>
              </w:rPr>
              <w:t>Publication citation</w:t>
            </w:r>
          </w:p>
        </w:tc>
      </w:tr>
      <w:tr w:rsidR="00FC676C" w:rsidRPr="00BD2844" w14:paraId="2F9AF477" w14:textId="77777777">
        <w:tc>
          <w:tcPr>
            <w:tcW w:w="772" w:type="pct"/>
          </w:tcPr>
          <w:p w14:paraId="65897C76" w14:textId="77777777" w:rsidR="00FC676C" w:rsidRPr="00BD2844" w:rsidRDefault="00FC676C">
            <w:pPr>
              <w:pStyle w:val="Tabletext"/>
              <w:keepNext/>
              <w:keepLines/>
              <w:rPr>
                <w:rFonts w:eastAsiaTheme="minorHAnsi"/>
                <w:b/>
              </w:rPr>
            </w:pPr>
            <w:r w:rsidRPr="00BD2844">
              <w:rPr>
                <w:rFonts w:eastAsiaTheme="minorHAnsi"/>
                <w:b/>
              </w:rPr>
              <w:t xml:space="preserve">Checkmate 9DW </w:t>
            </w:r>
            <w:r w:rsidRPr="00BD2844">
              <w:rPr>
                <w:b/>
                <w:bCs/>
              </w:rPr>
              <w:t>(</w:t>
            </w:r>
            <w:r w:rsidRPr="00BD2844">
              <w:rPr>
                <w:rFonts w:eastAsiaTheme="minorHAnsi"/>
                <w:b/>
                <w:bCs/>
              </w:rPr>
              <w:t>NCT04039607)</w:t>
            </w:r>
          </w:p>
          <w:p w14:paraId="66789827" w14:textId="77777777" w:rsidR="00FC676C" w:rsidRPr="00BD2844" w:rsidRDefault="00FC676C">
            <w:pPr>
              <w:pStyle w:val="Tabletext"/>
              <w:keepNext/>
              <w:keepLines/>
              <w:rPr>
                <w:rFonts w:eastAsiaTheme="minorHAnsi"/>
                <w:b/>
              </w:rPr>
            </w:pPr>
          </w:p>
        </w:tc>
        <w:tc>
          <w:tcPr>
            <w:tcW w:w="3365" w:type="pct"/>
          </w:tcPr>
          <w:p w14:paraId="3B71EF7A" w14:textId="77777777" w:rsidR="00FC676C" w:rsidRPr="00BD2844" w:rsidRDefault="00FC676C">
            <w:pPr>
              <w:pStyle w:val="Tabletext"/>
              <w:keepNext/>
              <w:keepLines/>
              <w:rPr>
                <w:rFonts w:eastAsiaTheme="minorHAnsi"/>
              </w:rPr>
            </w:pPr>
            <w:r w:rsidRPr="00BD2844">
              <w:rPr>
                <w:rFonts w:eastAsiaTheme="minorHAnsi"/>
              </w:rPr>
              <w:t>BMS (2024). A randomized, multi-</w:t>
            </w:r>
            <w:proofErr w:type="spellStart"/>
            <w:r w:rsidRPr="00BD2844">
              <w:rPr>
                <w:rFonts w:eastAsiaTheme="minorHAnsi"/>
              </w:rPr>
              <w:t>center</w:t>
            </w:r>
            <w:proofErr w:type="spellEnd"/>
            <w:r w:rsidRPr="00BD2844">
              <w:rPr>
                <w:rFonts w:eastAsiaTheme="minorHAnsi"/>
              </w:rPr>
              <w:t xml:space="preserve">, phase 3 study of nivolumab in combination with ipilimumab compared to sorafenib or lenvatinib as first-line treatment in participants with advanced hepatocellular carcinoma (Check Mate 9DW: </w:t>
            </w:r>
            <w:proofErr w:type="spellStart"/>
            <w:r w:rsidRPr="00BD2844">
              <w:rPr>
                <w:rFonts w:eastAsiaTheme="minorHAnsi"/>
              </w:rPr>
              <w:t>CHECKpoint</w:t>
            </w:r>
            <w:proofErr w:type="spellEnd"/>
            <w:r w:rsidRPr="00BD2844">
              <w:rPr>
                <w:rFonts w:eastAsiaTheme="minorHAnsi"/>
              </w:rPr>
              <w:t xml:space="preserve"> pathway and </w:t>
            </w:r>
            <w:proofErr w:type="spellStart"/>
            <w:r w:rsidRPr="00BD2844">
              <w:rPr>
                <w:rFonts w:eastAsiaTheme="minorHAnsi"/>
              </w:rPr>
              <w:t>nivoluMAb</w:t>
            </w:r>
            <w:proofErr w:type="spellEnd"/>
            <w:r w:rsidRPr="00BD2844">
              <w:rPr>
                <w:rFonts w:eastAsiaTheme="minorHAnsi"/>
              </w:rPr>
              <w:t xml:space="preserve"> clinical Trial Evaluation 9DW). (Clinical Study Report).</w:t>
            </w:r>
          </w:p>
        </w:tc>
        <w:tc>
          <w:tcPr>
            <w:tcW w:w="863" w:type="pct"/>
          </w:tcPr>
          <w:p w14:paraId="1CFCF6F6" w14:textId="77777777" w:rsidR="00FC676C" w:rsidRPr="00BD2844" w:rsidRDefault="00FC676C">
            <w:pPr>
              <w:pStyle w:val="Tabletext"/>
              <w:keepNext/>
              <w:keepLines/>
              <w:rPr>
                <w:rFonts w:eastAsiaTheme="minorHAnsi"/>
              </w:rPr>
            </w:pPr>
            <w:r w:rsidRPr="00BD2844">
              <w:rPr>
                <w:rFonts w:eastAsiaTheme="minorHAnsi"/>
              </w:rPr>
              <w:t>BMS, 2024</w:t>
            </w:r>
          </w:p>
        </w:tc>
      </w:tr>
      <w:tr w:rsidR="00FC676C" w:rsidRPr="00BD2844" w14:paraId="1BF74CF5" w14:textId="77777777">
        <w:tc>
          <w:tcPr>
            <w:tcW w:w="772" w:type="pct"/>
            <w:vMerge w:val="restart"/>
          </w:tcPr>
          <w:p w14:paraId="66A13C70" w14:textId="77777777" w:rsidR="00FC676C" w:rsidRPr="00BD2844" w:rsidRDefault="00FC676C" w:rsidP="003D2B45">
            <w:pPr>
              <w:pStyle w:val="TableText0"/>
            </w:pPr>
            <w:r w:rsidRPr="00BD2844">
              <w:t>IMBRAVE150</w:t>
            </w:r>
          </w:p>
          <w:p w14:paraId="52989244" w14:textId="77777777" w:rsidR="00FC676C" w:rsidRPr="00BD2844" w:rsidRDefault="00FC676C">
            <w:pPr>
              <w:pStyle w:val="Tabletext"/>
              <w:keepNext/>
              <w:keepLines/>
              <w:rPr>
                <w:rFonts w:eastAsiaTheme="minorHAnsi"/>
              </w:rPr>
            </w:pPr>
            <w:r w:rsidRPr="00BD2844">
              <w:rPr>
                <w:b/>
                <w:szCs w:val="20"/>
              </w:rPr>
              <w:t>(NCT03434379)</w:t>
            </w:r>
          </w:p>
        </w:tc>
        <w:tc>
          <w:tcPr>
            <w:tcW w:w="3365" w:type="pct"/>
            <w:shd w:val="clear" w:color="auto" w:fill="B8CCE4" w:themeFill="accent1" w:themeFillTint="66"/>
          </w:tcPr>
          <w:p w14:paraId="42302507" w14:textId="77777777" w:rsidR="00FC676C" w:rsidRPr="00BD2844" w:rsidRDefault="00FC676C">
            <w:pPr>
              <w:pStyle w:val="Tabletext"/>
              <w:keepNext/>
              <w:keepLines/>
              <w:rPr>
                <w:rFonts w:eastAsiaTheme="minorHAnsi"/>
              </w:rPr>
            </w:pPr>
            <w:r w:rsidRPr="00BD2844">
              <w:rPr>
                <w:rFonts w:eastAsiaTheme="minorHAnsi"/>
              </w:rPr>
              <w:t>Finn, R. S., et al. (2020). "Atezolizumab plus bevacizumab in unresectable hepatocellular carcinoma." New England Journal of Medicine 382(20): 1894-1905.</w:t>
            </w:r>
          </w:p>
        </w:tc>
        <w:tc>
          <w:tcPr>
            <w:tcW w:w="863" w:type="pct"/>
            <w:shd w:val="clear" w:color="auto" w:fill="B8CCE4" w:themeFill="accent1" w:themeFillTint="66"/>
          </w:tcPr>
          <w:p w14:paraId="4C094DB7" w14:textId="77777777" w:rsidR="00FC676C" w:rsidRPr="00BD2844" w:rsidRDefault="00FC676C">
            <w:pPr>
              <w:pStyle w:val="Tabletext"/>
              <w:keepNext/>
              <w:keepLines/>
              <w:rPr>
                <w:rFonts w:eastAsiaTheme="minorHAnsi"/>
              </w:rPr>
            </w:pPr>
            <w:r w:rsidRPr="00BD2844">
              <w:rPr>
                <w:rFonts w:eastAsiaTheme="minorHAnsi"/>
              </w:rPr>
              <w:t>New England Journal of Medicine 382(20): 1894-1905.</w:t>
            </w:r>
          </w:p>
        </w:tc>
      </w:tr>
      <w:tr w:rsidR="00FC676C" w:rsidRPr="00BD2844" w14:paraId="6944FBAB" w14:textId="77777777">
        <w:tc>
          <w:tcPr>
            <w:tcW w:w="772" w:type="pct"/>
            <w:vMerge/>
          </w:tcPr>
          <w:p w14:paraId="795026EC" w14:textId="77777777" w:rsidR="00FC676C" w:rsidRPr="00BD2844" w:rsidRDefault="00FC676C">
            <w:pPr>
              <w:pStyle w:val="Tabletext"/>
              <w:keepNext/>
              <w:keepLines/>
              <w:rPr>
                <w:rFonts w:eastAsiaTheme="minorHAnsi"/>
              </w:rPr>
            </w:pPr>
          </w:p>
        </w:tc>
        <w:tc>
          <w:tcPr>
            <w:tcW w:w="3365" w:type="pct"/>
            <w:shd w:val="clear" w:color="auto" w:fill="B8CCE4" w:themeFill="accent1" w:themeFillTint="66"/>
          </w:tcPr>
          <w:p w14:paraId="12F2165C" w14:textId="40BA6B31" w:rsidR="00FC676C" w:rsidRPr="00BD2844" w:rsidRDefault="00FC676C">
            <w:pPr>
              <w:pStyle w:val="Tabletext"/>
              <w:keepNext/>
              <w:keepLines/>
              <w:rPr>
                <w:rFonts w:eastAsiaTheme="minorHAnsi"/>
              </w:rPr>
            </w:pPr>
            <w:r w:rsidRPr="00BD2844">
              <w:rPr>
                <w:rFonts w:eastAsiaTheme="minorHAnsi"/>
              </w:rPr>
              <w:t>Galle, P. R., et al. (2021). "Patient-reported outcomes with atezolizumab plus bevacizumab versus sorafenib in patients with unresectable hepatocellular carcinoma (IMbrave150): an open-label, randomised, phase 3 trial."</w:t>
            </w:r>
          </w:p>
        </w:tc>
        <w:tc>
          <w:tcPr>
            <w:tcW w:w="863" w:type="pct"/>
            <w:shd w:val="clear" w:color="auto" w:fill="B8CCE4" w:themeFill="accent1" w:themeFillTint="66"/>
          </w:tcPr>
          <w:p w14:paraId="6C508D2E" w14:textId="77777777" w:rsidR="00FC676C" w:rsidRPr="00BD2844" w:rsidRDefault="00FC676C">
            <w:pPr>
              <w:pStyle w:val="Tabletext"/>
              <w:keepNext/>
              <w:keepLines/>
              <w:rPr>
                <w:rFonts w:eastAsiaTheme="minorHAnsi"/>
              </w:rPr>
            </w:pPr>
            <w:r w:rsidRPr="00BD2844">
              <w:rPr>
                <w:rFonts w:eastAsiaTheme="minorHAnsi"/>
              </w:rPr>
              <w:t>The Lancet Oncology 22(7): 991-1001.</w:t>
            </w:r>
          </w:p>
        </w:tc>
      </w:tr>
      <w:tr w:rsidR="00FC676C" w:rsidRPr="00BD2844" w14:paraId="34830983" w14:textId="77777777">
        <w:tc>
          <w:tcPr>
            <w:tcW w:w="772" w:type="pct"/>
            <w:vMerge/>
          </w:tcPr>
          <w:p w14:paraId="1677C6EF" w14:textId="77777777" w:rsidR="00FC676C" w:rsidRPr="00BD2844" w:rsidRDefault="00FC676C">
            <w:pPr>
              <w:pStyle w:val="Tabletext"/>
              <w:keepNext/>
              <w:keepLines/>
              <w:rPr>
                <w:rFonts w:eastAsiaTheme="minorHAnsi"/>
              </w:rPr>
            </w:pPr>
          </w:p>
        </w:tc>
        <w:tc>
          <w:tcPr>
            <w:tcW w:w="3365" w:type="pct"/>
            <w:shd w:val="clear" w:color="auto" w:fill="FFFFFF" w:themeFill="background1"/>
          </w:tcPr>
          <w:p w14:paraId="0C178350" w14:textId="4AAEFF08" w:rsidR="00FC676C" w:rsidRPr="00BD2844" w:rsidRDefault="00FC676C">
            <w:pPr>
              <w:pStyle w:val="Tabletext"/>
              <w:keepNext/>
              <w:keepLines/>
              <w:rPr>
                <w:rFonts w:eastAsiaTheme="minorHAnsi"/>
              </w:rPr>
            </w:pPr>
            <w:r w:rsidRPr="00BD2844">
              <w:rPr>
                <w:rFonts w:eastAsiaTheme="minorHAnsi"/>
              </w:rPr>
              <w:t>Kudo, M., et al. (2023). "IMbrave150: Efficacy and Safety of Atezolizumab plus Bevacizumab versus Sorafenib in Patients with Barcelona Clinic Liver Cancer Stage B Unresectable Hepatocellular Carcinoma: An Exploratory Analysis of the Phase III Study."</w:t>
            </w:r>
          </w:p>
        </w:tc>
        <w:tc>
          <w:tcPr>
            <w:tcW w:w="863" w:type="pct"/>
            <w:shd w:val="clear" w:color="auto" w:fill="FFFFFF" w:themeFill="background1"/>
          </w:tcPr>
          <w:p w14:paraId="7D154849" w14:textId="77777777" w:rsidR="00FC676C" w:rsidRPr="00BD2844" w:rsidRDefault="00FC676C">
            <w:pPr>
              <w:pStyle w:val="Tabletext"/>
              <w:keepNext/>
              <w:keepLines/>
              <w:rPr>
                <w:rFonts w:eastAsiaTheme="minorHAnsi"/>
              </w:rPr>
            </w:pPr>
            <w:r w:rsidRPr="00BD2844">
              <w:rPr>
                <w:rFonts w:eastAsiaTheme="minorHAnsi"/>
              </w:rPr>
              <w:t>Liver Cancer 12(3): 238-250</w:t>
            </w:r>
          </w:p>
        </w:tc>
      </w:tr>
      <w:tr w:rsidR="00FC676C" w:rsidRPr="00BD2844" w14:paraId="486324E7" w14:textId="77777777">
        <w:tc>
          <w:tcPr>
            <w:tcW w:w="772" w:type="pct"/>
            <w:vMerge/>
          </w:tcPr>
          <w:p w14:paraId="2210BD22" w14:textId="77777777" w:rsidR="00FC676C" w:rsidRPr="00BD2844" w:rsidRDefault="00FC676C">
            <w:pPr>
              <w:pStyle w:val="Tabletext"/>
              <w:keepNext/>
              <w:keepLines/>
              <w:rPr>
                <w:rFonts w:eastAsiaTheme="minorHAnsi"/>
              </w:rPr>
            </w:pPr>
          </w:p>
        </w:tc>
        <w:tc>
          <w:tcPr>
            <w:tcW w:w="3365" w:type="pct"/>
            <w:shd w:val="clear" w:color="auto" w:fill="FFFFFF" w:themeFill="background1"/>
          </w:tcPr>
          <w:p w14:paraId="77349352" w14:textId="77777777" w:rsidR="00FC676C" w:rsidRPr="00BD2844" w:rsidRDefault="00FC676C">
            <w:pPr>
              <w:pStyle w:val="Tabletext"/>
              <w:keepNext/>
              <w:keepLines/>
              <w:rPr>
                <w:rFonts w:eastAsiaTheme="minorHAnsi"/>
              </w:rPr>
            </w:pPr>
            <w:r w:rsidRPr="00BD2844">
              <w:rPr>
                <w:rFonts w:eastAsiaTheme="minorHAnsi"/>
              </w:rPr>
              <w:t xml:space="preserve">Cheng, A. L., et al. (2022). "Updated efficacy and safety data from IMbrave150: Atezolizumab plus bevacizumab vs. sorafenib for unresectable hepatocellular carcinoma." </w:t>
            </w:r>
          </w:p>
        </w:tc>
        <w:tc>
          <w:tcPr>
            <w:tcW w:w="863" w:type="pct"/>
            <w:shd w:val="clear" w:color="auto" w:fill="FFFFFF" w:themeFill="background1"/>
          </w:tcPr>
          <w:p w14:paraId="3704A60D" w14:textId="77777777" w:rsidR="00FC676C" w:rsidRPr="00BD2844" w:rsidRDefault="00FC676C">
            <w:pPr>
              <w:pStyle w:val="Tabletext"/>
              <w:keepNext/>
              <w:keepLines/>
              <w:rPr>
                <w:rFonts w:eastAsiaTheme="minorHAnsi"/>
              </w:rPr>
            </w:pPr>
            <w:r w:rsidRPr="00BD2844">
              <w:rPr>
                <w:rFonts w:eastAsiaTheme="minorHAnsi"/>
              </w:rPr>
              <w:t>Journal of Hepatology 76(4): 862-873.</w:t>
            </w:r>
          </w:p>
        </w:tc>
      </w:tr>
      <w:tr w:rsidR="00FC676C" w:rsidRPr="00BD2844" w14:paraId="4D9D5D68" w14:textId="77777777">
        <w:tc>
          <w:tcPr>
            <w:tcW w:w="772" w:type="pct"/>
            <w:vMerge w:val="restart"/>
            <w:tcBorders>
              <w:top w:val="single" w:sz="4" w:space="0" w:color="auto"/>
            </w:tcBorders>
          </w:tcPr>
          <w:p w14:paraId="1E8B8624" w14:textId="77777777" w:rsidR="00FC676C" w:rsidRPr="00BD2844" w:rsidRDefault="00FC676C">
            <w:pPr>
              <w:pStyle w:val="Tabletext"/>
              <w:keepNext/>
              <w:keepLines/>
              <w:rPr>
                <w:rFonts w:eastAsiaTheme="minorHAnsi"/>
                <w:b/>
              </w:rPr>
            </w:pPr>
            <w:r w:rsidRPr="00BD2844">
              <w:rPr>
                <w:rFonts w:eastAsiaTheme="minorHAnsi"/>
                <w:b/>
              </w:rPr>
              <w:t xml:space="preserve">HIMALAYA    </w:t>
            </w:r>
          </w:p>
          <w:p w14:paraId="69A5CCD8" w14:textId="77777777" w:rsidR="00FC676C" w:rsidRPr="00BD2844" w:rsidRDefault="00FC676C">
            <w:pPr>
              <w:pStyle w:val="Tabletext"/>
              <w:keepNext/>
              <w:keepLines/>
              <w:rPr>
                <w:rFonts w:eastAsiaTheme="minorHAnsi"/>
                <w:b/>
              </w:rPr>
            </w:pPr>
            <w:r w:rsidRPr="00BD2844">
              <w:rPr>
                <w:rFonts w:eastAsiaTheme="minorHAnsi"/>
                <w:b/>
              </w:rPr>
              <w:t>(NCT03298451)</w:t>
            </w:r>
          </w:p>
        </w:tc>
        <w:tc>
          <w:tcPr>
            <w:tcW w:w="3365" w:type="pct"/>
            <w:shd w:val="clear" w:color="auto" w:fill="FFFFFF" w:themeFill="background1"/>
          </w:tcPr>
          <w:p w14:paraId="18B07C66" w14:textId="367AB3A4" w:rsidR="00FC676C" w:rsidRPr="00BD2844" w:rsidRDefault="00FC676C">
            <w:pPr>
              <w:pStyle w:val="Tabletext"/>
              <w:keepNext/>
              <w:keepLines/>
              <w:rPr>
                <w:rFonts w:eastAsiaTheme="minorHAnsi"/>
              </w:rPr>
            </w:pPr>
            <w:r w:rsidRPr="00BD2844">
              <w:rPr>
                <w:rFonts w:eastAsiaTheme="minorHAnsi"/>
              </w:rPr>
              <w:t>Abou-Alfa, G. K., et al. (2022). "Tremelimumab plus Durvalumab in Unresectable Hepatocellular Carcinoma."</w:t>
            </w:r>
          </w:p>
        </w:tc>
        <w:tc>
          <w:tcPr>
            <w:tcW w:w="863" w:type="pct"/>
            <w:shd w:val="clear" w:color="auto" w:fill="FFFFFF" w:themeFill="background1"/>
          </w:tcPr>
          <w:p w14:paraId="45A1072F" w14:textId="77777777" w:rsidR="00FC676C" w:rsidRPr="00BD2844" w:rsidRDefault="00FC676C">
            <w:pPr>
              <w:pStyle w:val="Tabletext"/>
              <w:keepNext/>
              <w:keepLines/>
              <w:rPr>
                <w:rFonts w:eastAsiaTheme="minorHAnsi"/>
              </w:rPr>
            </w:pPr>
            <w:r w:rsidRPr="00BD2844">
              <w:rPr>
                <w:rFonts w:eastAsiaTheme="minorHAnsi"/>
              </w:rPr>
              <w:t>NEJM evidence 1(8): EVIDoa2100070</w:t>
            </w:r>
          </w:p>
        </w:tc>
      </w:tr>
      <w:tr w:rsidR="00FC676C" w:rsidRPr="00BD2844" w14:paraId="52F40698" w14:textId="77777777">
        <w:tc>
          <w:tcPr>
            <w:tcW w:w="772" w:type="pct"/>
            <w:vMerge/>
          </w:tcPr>
          <w:p w14:paraId="291535A0" w14:textId="77777777" w:rsidR="00FC676C" w:rsidRPr="00BD2844" w:rsidRDefault="00FC676C">
            <w:pPr>
              <w:pStyle w:val="Tabletext"/>
              <w:keepNext/>
              <w:keepLines/>
              <w:rPr>
                <w:rFonts w:eastAsiaTheme="minorHAnsi"/>
              </w:rPr>
            </w:pPr>
          </w:p>
        </w:tc>
        <w:tc>
          <w:tcPr>
            <w:tcW w:w="3365" w:type="pct"/>
            <w:shd w:val="clear" w:color="auto" w:fill="FFFFFF" w:themeFill="background1"/>
          </w:tcPr>
          <w:p w14:paraId="2DB7029C" w14:textId="70B70F27" w:rsidR="00FC676C" w:rsidRPr="00BD2844" w:rsidRDefault="00FC676C">
            <w:pPr>
              <w:pStyle w:val="Tabletext"/>
              <w:keepNext/>
              <w:keepLines/>
              <w:rPr>
                <w:rFonts w:eastAsiaTheme="minorHAnsi"/>
              </w:rPr>
            </w:pPr>
            <w:r w:rsidRPr="00BD2844">
              <w:rPr>
                <w:rFonts w:eastAsiaTheme="minorHAnsi"/>
              </w:rPr>
              <w:t>Sangro, B., et al. (2024). "Patient-Reported Outcomes from the Phase III HIMALAYA Study of Tremelimumab Plus Durvalumab in Unresectable Hepatocellular Carcinoma."</w:t>
            </w:r>
          </w:p>
        </w:tc>
        <w:tc>
          <w:tcPr>
            <w:tcW w:w="863" w:type="pct"/>
            <w:shd w:val="clear" w:color="auto" w:fill="FFFFFF" w:themeFill="background1"/>
          </w:tcPr>
          <w:p w14:paraId="60EBD916" w14:textId="77777777" w:rsidR="00FC676C" w:rsidRPr="00BD2844" w:rsidRDefault="00FC676C">
            <w:pPr>
              <w:pStyle w:val="Tabletext"/>
              <w:keepNext/>
              <w:keepLines/>
              <w:rPr>
                <w:rFonts w:eastAsiaTheme="minorHAnsi"/>
              </w:rPr>
            </w:pPr>
            <w:r w:rsidRPr="00BD2844">
              <w:rPr>
                <w:rFonts w:eastAsiaTheme="minorHAnsi"/>
              </w:rPr>
              <w:t>Journal of Clinical Oncology 42(23): 2790-2799.</w:t>
            </w:r>
          </w:p>
        </w:tc>
      </w:tr>
      <w:tr w:rsidR="00FC676C" w:rsidRPr="00BD2844" w14:paraId="51399E44" w14:textId="77777777">
        <w:tc>
          <w:tcPr>
            <w:tcW w:w="772" w:type="pct"/>
            <w:vMerge/>
          </w:tcPr>
          <w:p w14:paraId="76ADDABE" w14:textId="77777777" w:rsidR="00FC676C" w:rsidRPr="00BD2844" w:rsidRDefault="00FC676C">
            <w:pPr>
              <w:pStyle w:val="Tabletext"/>
              <w:keepNext/>
              <w:keepLines/>
              <w:rPr>
                <w:rFonts w:eastAsiaTheme="minorHAnsi"/>
              </w:rPr>
            </w:pPr>
          </w:p>
        </w:tc>
        <w:tc>
          <w:tcPr>
            <w:tcW w:w="3365" w:type="pct"/>
            <w:shd w:val="clear" w:color="auto" w:fill="FFFFFF" w:themeFill="background1"/>
          </w:tcPr>
          <w:p w14:paraId="06ADAFF3" w14:textId="0F3F61D3" w:rsidR="00FC676C" w:rsidRPr="00BD2844" w:rsidRDefault="00FC676C">
            <w:pPr>
              <w:pStyle w:val="Tabletext"/>
              <w:keepNext/>
              <w:keepLines/>
              <w:rPr>
                <w:rFonts w:eastAsiaTheme="minorHAnsi"/>
              </w:rPr>
            </w:pPr>
            <w:r w:rsidRPr="00BD2844">
              <w:rPr>
                <w:rFonts w:eastAsiaTheme="minorHAnsi"/>
              </w:rPr>
              <w:t xml:space="preserve">Sangro, B., et al. (2024). "Four-year overall survival update from the phase III HIMALAYA study of </w:t>
            </w:r>
            <w:proofErr w:type="spellStart"/>
            <w:r w:rsidRPr="00BD2844">
              <w:rPr>
                <w:rFonts w:eastAsiaTheme="minorHAnsi"/>
              </w:rPr>
              <w:t>tremelimumab</w:t>
            </w:r>
            <w:proofErr w:type="spellEnd"/>
            <w:r w:rsidRPr="00BD2844">
              <w:rPr>
                <w:rFonts w:eastAsiaTheme="minorHAnsi"/>
              </w:rPr>
              <w:t xml:space="preserve"> plus durvalumab in unresectable hepatocellular carcinoma."</w:t>
            </w:r>
          </w:p>
        </w:tc>
        <w:tc>
          <w:tcPr>
            <w:tcW w:w="863" w:type="pct"/>
            <w:shd w:val="clear" w:color="auto" w:fill="FFFFFF" w:themeFill="background1"/>
          </w:tcPr>
          <w:p w14:paraId="5043B9BE" w14:textId="77777777" w:rsidR="00FC676C" w:rsidRPr="00BD2844" w:rsidRDefault="00FC676C">
            <w:pPr>
              <w:pStyle w:val="Tabletext"/>
              <w:keepNext/>
              <w:keepLines/>
              <w:rPr>
                <w:rFonts w:eastAsiaTheme="minorHAnsi"/>
              </w:rPr>
            </w:pPr>
            <w:r w:rsidRPr="00BD2844">
              <w:rPr>
                <w:rFonts w:eastAsiaTheme="minorHAnsi"/>
              </w:rPr>
              <w:t>Annals of Oncology 35(5): 448-457.</w:t>
            </w:r>
          </w:p>
        </w:tc>
      </w:tr>
    </w:tbl>
    <w:p w14:paraId="2A79744A" w14:textId="77777777" w:rsidR="00FC676C" w:rsidRPr="00BD2844" w:rsidRDefault="00FC676C" w:rsidP="00FC676C">
      <w:pPr>
        <w:pStyle w:val="TableFigureFooter"/>
        <w:keepNext/>
        <w:rPr>
          <w:rFonts w:eastAsiaTheme="minorHAnsi"/>
        </w:rPr>
      </w:pPr>
      <w:r w:rsidRPr="00BD2844">
        <w:rPr>
          <w:rFonts w:eastAsiaTheme="minorHAnsi"/>
        </w:rPr>
        <w:t>Source: Table 21, pp51-54 of the submission.</w:t>
      </w:r>
    </w:p>
    <w:p w14:paraId="106F0FB4" w14:textId="77777777" w:rsidR="00FC676C" w:rsidRPr="00BD2844" w:rsidRDefault="00FC676C" w:rsidP="00FC676C">
      <w:pPr>
        <w:pStyle w:val="TableFigureFooter"/>
        <w:keepNext/>
        <w:rPr>
          <w:rFonts w:eastAsiaTheme="minorHAnsi"/>
        </w:rPr>
      </w:pPr>
      <w:r w:rsidRPr="00BD2844">
        <w:rPr>
          <w:rFonts w:eastAsiaTheme="minorHAnsi"/>
        </w:rPr>
        <w:t>Blue shading indicates data previously seen by the PBAC.</w:t>
      </w:r>
    </w:p>
    <w:bookmarkEnd w:id="41"/>
    <w:p w14:paraId="0FBA378C" w14:textId="48AAE11A" w:rsidR="00FC676C" w:rsidRPr="00BD2844" w:rsidRDefault="00FC676C" w:rsidP="00FC676C">
      <w:pPr>
        <w:pStyle w:val="3-BodyText"/>
      </w:pPr>
      <w:r w:rsidRPr="00BD2844">
        <w:t xml:space="preserve">The key features of the randomised trials are summarised in </w:t>
      </w:r>
      <w:r w:rsidRPr="00BD2844">
        <w:fldChar w:fldCharType="begin"/>
      </w:r>
      <w:r w:rsidRPr="00BD2844">
        <w:instrText xml:space="preserve"> REF _Ref195357793 \h  \* MERGEFORMAT </w:instrText>
      </w:r>
      <w:r w:rsidRPr="00BD2844">
        <w:fldChar w:fldCharType="separate"/>
      </w:r>
      <w:r w:rsidR="008C7D22" w:rsidRPr="00BD2844">
        <w:t xml:space="preserve">Table </w:t>
      </w:r>
      <w:r w:rsidR="008C7D22">
        <w:t>3</w:t>
      </w:r>
      <w:r w:rsidRPr="00BD2844">
        <w:fldChar w:fldCharType="end"/>
      </w:r>
      <w:r w:rsidRPr="00BD2844">
        <w:t>. The clinical claim</w:t>
      </w:r>
      <w:r w:rsidR="00B13754" w:rsidRPr="00BD2844">
        <w:t>s</w:t>
      </w:r>
      <w:r w:rsidRPr="00BD2844">
        <w:t xml:space="preserve"> w</w:t>
      </w:r>
      <w:r w:rsidR="00B13754" w:rsidRPr="00BD2844">
        <w:t>ere</w:t>
      </w:r>
      <w:r w:rsidRPr="00BD2844">
        <w:t xml:space="preserve"> based on an</w:t>
      </w:r>
      <w:r w:rsidR="009D3E06" w:rsidRPr="00BD2844">
        <w:t xml:space="preserve"> unmatched, unadjusted,</w:t>
      </w:r>
      <w:r w:rsidRPr="00BD2844">
        <w:t xml:space="preserve"> anchored ITC of OS between CM-9DW, IMBRAVE150</w:t>
      </w:r>
      <w:r w:rsidR="00216A67" w:rsidRPr="00BD2844">
        <w:t xml:space="preserve"> and HIMALAYA</w:t>
      </w:r>
      <w:r w:rsidRPr="00BD2844">
        <w:t>.</w:t>
      </w:r>
    </w:p>
    <w:p w14:paraId="75F1B073" w14:textId="77777777" w:rsidR="00FC676C" w:rsidRPr="00BD2844" w:rsidRDefault="00FC676C" w:rsidP="00FC676C">
      <w:pPr>
        <w:pStyle w:val="3-BodyText"/>
        <w:rPr>
          <w:i/>
          <w:iCs/>
        </w:rPr>
      </w:pPr>
      <w:r w:rsidRPr="00BD2844">
        <w:t>Results from CM-9DW were presented from 1 data cut-off (DCO; January 2024, median patient follow-up of 35.2 months) which reflected 1 formal interim analysis (IA) of OS planned for the study when at least 80% of the total number of OS events planned for the final analysis were observed.</w:t>
      </w:r>
    </w:p>
    <w:p w14:paraId="6E3D7287" w14:textId="71FA52C8" w:rsidR="00D91770" w:rsidRPr="00BD2844" w:rsidRDefault="00D91770" w:rsidP="00D91770">
      <w:pPr>
        <w:pStyle w:val="3-BodyText"/>
      </w:pPr>
      <w:r w:rsidRPr="00BD2844">
        <w:t xml:space="preserve">Results from IMBRAVE150 were presented from 2 </w:t>
      </w:r>
      <w:r w:rsidR="005C3661" w:rsidRPr="00BD2844">
        <w:t>data cut-offs</w:t>
      </w:r>
      <w:r w:rsidRPr="00BD2844">
        <w:t>:</w:t>
      </w:r>
    </w:p>
    <w:p w14:paraId="465F9F53" w14:textId="77777777" w:rsidR="00D91770" w:rsidRPr="00BD2844" w:rsidRDefault="00D91770" w:rsidP="00E5538F">
      <w:pPr>
        <w:pStyle w:val="ListParagraph"/>
        <w:numPr>
          <w:ilvl w:val="1"/>
          <w:numId w:val="14"/>
        </w:numPr>
        <w:jc w:val="both"/>
      </w:pPr>
      <w:r w:rsidRPr="00BD2844">
        <w:t>Primary analysis (August 2019 DCO, median patient follow-up of 8.6 months). Results from this DCO have previously been reviewed by the PBAC (atezolizumab PSD, July 2020 PBAC meeting) (Finn et. al, 2020).</w:t>
      </w:r>
    </w:p>
    <w:p w14:paraId="61315F80" w14:textId="5E71EBC5" w:rsidR="00CA258D" w:rsidRDefault="00D91770" w:rsidP="00E5538F">
      <w:pPr>
        <w:pStyle w:val="ListParagraph"/>
        <w:numPr>
          <w:ilvl w:val="1"/>
          <w:numId w:val="14"/>
        </w:numPr>
        <w:jc w:val="both"/>
      </w:pPr>
      <w:r w:rsidRPr="00BD2844">
        <w:t>Updated OS follow-up (August 2020 DCO, median patient follow-up of 15.6 months) (Cheng et. al, 2022).</w:t>
      </w:r>
    </w:p>
    <w:p w14:paraId="536ED628" w14:textId="77777777" w:rsidR="00CA258D" w:rsidRDefault="00CA258D">
      <w:pPr>
        <w:jc w:val="left"/>
        <w:rPr>
          <w:rFonts w:asciiTheme="minorHAnsi" w:hAnsiTheme="minorHAnsi"/>
          <w:snapToGrid w:val="0"/>
        </w:rPr>
      </w:pPr>
      <w:r>
        <w:br w:type="page"/>
      </w:r>
    </w:p>
    <w:p w14:paraId="540B2DA1" w14:textId="7914FB73" w:rsidR="00FC676C" w:rsidRPr="00BD2844" w:rsidRDefault="00FC676C" w:rsidP="00FC676C">
      <w:pPr>
        <w:pStyle w:val="3-BodyText"/>
        <w:spacing w:before="0" w:after="120"/>
      </w:pPr>
      <w:r w:rsidRPr="00BD2844">
        <w:lastRenderedPageBreak/>
        <w:t xml:space="preserve">Results from HIMALAYA were presented from 2 </w:t>
      </w:r>
      <w:r w:rsidR="005C3661" w:rsidRPr="00BD2844">
        <w:t>data cut-offs</w:t>
      </w:r>
      <w:r w:rsidRPr="00BD2844">
        <w:t>:</w:t>
      </w:r>
    </w:p>
    <w:p w14:paraId="4BE24B16" w14:textId="77777777" w:rsidR="00FC676C" w:rsidRPr="00BD2844" w:rsidRDefault="00FC676C" w:rsidP="00E5538F">
      <w:pPr>
        <w:pStyle w:val="ListParagraph"/>
        <w:numPr>
          <w:ilvl w:val="1"/>
          <w:numId w:val="14"/>
        </w:numPr>
        <w:jc w:val="both"/>
      </w:pPr>
      <w:r w:rsidRPr="00BD2844">
        <w:t>Primary analysis (August 2021 DCO, median patient follow-up of 33.2 months for STRIDE) (Abou-Alfa et. al, 2022).</w:t>
      </w:r>
    </w:p>
    <w:p w14:paraId="43675D6A" w14:textId="03A8E4BE" w:rsidR="00FC676C" w:rsidRPr="00BD2844" w:rsidRDefault="00FC676C" w:rsidP="00E5538F">
      <w:pPr>
        <w:pStyle w:val="ListParagraph"/>
        <w:numPr>
          <w:ilvl w:val="1"/>
          <w:numId w:val="14"/>
        </w:numPr>
        <w:jc w:val="both"/>
      </w:pPr>
      <w:r w:rsidRPr="00BD2844">
        <w:t>Four-year long-term OS and safety follow-up (January 2023 DCO, median patient follow-up of 49.1 months for STRIDE) (Sangro et. al, 2024).</w:t>
      </w:r>
    </w:p>
    <w:p w14:paraId="2E41C9CE" w14:textId="6278384C" w:rsidR="00FC676C" w:rsidRPr="00BD2844" w:rsidRDefault="00FC676C" w:rsidP="00FC676C">
      <w:pPr>
        <w:pStyle w:val="Caption"/>
      </w:pPr>
      <w:bookmarkStart w:id="42" w:name="_Ref195357793"/>
      <w:r w:rsidRPr="00BD2844">
        <w:t xml:space="preserve">Table </w:t>
      </w:r>
      <w:r w:rsidR="002878AB">
        <w:fldChar w:fldCharType="begin"/>
      </w:r>
      <w:r w:rsidR="002878AB">
        <w:instrText xml:space="preserve"> SEQ Table \* ARABIC </w:instrText>
      </w:r>
      <w:r w:rsidR="002878AB">
        <w:fldChar w:fldCharType="separate"/>
      </w:r>
      <w:r w:rsidR="008C7D22">
        <w:rPr>
          <w:noProof/>
        </w:rPr>
        <w:t>3</w:t>
      </w:r>
      <w:r w:rsidR="002878AB">
        <w:fldChar w:fldCharType="end"/>
      </w:r>
      <w:bookmarkEnd w:id="42"/>
      <w:r w:rsidRPr="00BD2844">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 indirect comparison"/>
      </w:tblPr>
      <w:tblGrid>
        <w:gridCol w:w="1068"/>
        <w:gridCol w:w="601"/>
        <w:gridCol w:w="1181"/>
        <w:gridCol w:w="1693"/>
        <w:gridCol w:w="1753"/>
        <w:gridCol w:w="894"/>
        <w:gridCol w:w="1827"/>
      </w:tblGrid>
      <w:tr w:rsidR="00FC676C" w:rsidRPr="00BD2844" w14:paraId="315DF970" w14:textId="77777777">
        <w:trPr>
          <w:cantSplit/>
          <w:tblHeader/>
        </w:trPr>
        <w:tc>
          <w:tcPr>
            <w:tcW w:w="592" w:type="pct"/>
            <w:vAlign w:val="center"/>
          </w:tcPr>
          <w:p w14:paraId="2CE7AE3E" w14:textId="77777777" w:rsidR="00FC676C" w:rsidRPr="00BD2844" w:rsidRDefault="00FC676C">
            <w:pPr>
              <w:pStyle w:val="In-tableHeading"/>
              <w:jc w:val="center"/>
              <w:rPr>
                <w:lang w:val="en-AU"/>
              </w:rPr>
            </w:pPr>
            <w:r w:rsidRPr="00BD2844">
              <w:rPr>
                <w:lang w:val="en-AU"/>
              </w:rPr>
              <w:t>Trial</w:t>
            </w:r>
          </w:p>
        </w:tc>
        <w:tc>
          <w:tcPr>
            <w:tcW w:w="333" w:type="pct"/>
            <w:vAlign w:val="center"/>
          </w:tcPr>
          <w:p w14:paraId="4F144229" w14:textId="77777777" w:rsidR="00FC676C" w:rsidRPr="00BD2844" w:rsidRDefault="00FC676C">
            <w:pPr>
              <w:pStyle w:val="In-tableHeading"/>
              <w:jc w:val="center"/>
              <w:rPr>
                <w:lang w:val="en-AU"/>
              </w:rPr>
            </w:pPr>
            <w:r w:rsidRPr="00BD2844">
              <w:rPr>
                <w:lang w:val="en-AU"/>
              </w:rPr>
              <w:t>N</w:t>
            </w:r>
          </w:p>
        </w:tc>
        <w:tc>
          <w:tcPr>
            <w:tcW w:w="655" w:type="pct"/>
            <w:vAlign w:val="center"/>
          </w:tcPr>
          <w:p w14:paraId="573AFD3A" w14:textId="77777777" w:rsidR="00FC676C" w:rsidRPr="00BD2844" w:rsidRDefault="00FC676C">
            <w:pPr>
              <w:pStyle w:val="In-tableHeading"/>
              <w:jc w:val="center"/>
              <w:rPr>
                <w:lang w:val="en-AU"/>
              </w:rPr>
            </w:pPr>
            <w:r w:rsidRPr="00BD2844">
              <w:rPr>
                <w:lang w:val="en-AU"/>
              </w:rPr>
              <w:t>Design/ duration</w:t>
            </w:r>
          </w:p>
        </w:tc>
        <w:tc>
          <w:tcPr>
            <w:tcW w:w="939" w:type="pct"/>
            <w:vAlign w:val="center"/>
          </w:tcPr>
          <w:p w14:paraId="0D118E36" w14:textId="77777777" w:rsidR="00FC676C" w:rsidRPr="00BD2844" w:rsidRDefault="00FC676C">
            <w:pPr>
              <w:pStyle w:val="In-tableHeading"/>
              <w:jc w:val="center"/>
              <w:rPr>
                <w:lang w:val="en-AU"/>
              </w:rPr>
            </w:pPr>
            <w:r w:rsidRPr="00BD2844">
              <w:rPr>
                <w:lang w:val="en-AU"/>
              </w:rPr>
              <w:t>Risk of bias</w:t>
            </w:r>
          </w:p>
        </w:tc>
        <w:tc>
          <w:tcPr>
            <w:tcW w:w="972" w:type="pct"/>
            <w:vAlign w:val="center"/>
          </w:tcPr>
          <w:p w14:paraId="758975EC" w14:textId="77777777" w:rsidR="00FC676C" w:rsidRPr="00BD2844" w:rsidRDefault="00FC676C">
            <w:pPr>
              <w:pStyle w:val="In-tableHeading"/>
              <w:jc w:val="center"/>
              <w:rPr>
                <w:lang w:val="en-AU"/>
              </w:rPr>
            </w:pPr>
            <w:r w:rsidRPr="00BD2844">
              <w:rPr>
                <w:lang w:val="en-AU"/>
              </w:rPr>
              <w:t>Patient population</w:t>
            </w:r>
          </w:p>
        </w:tc>
        <w:tc>
          <w:tcPr>
            <w:tcW w:w="496" w:type="pct"/>
            <w:vAlign w:val="center"/>
          </w:tcPr>
          <w:p w14:paraId="357DC370" w14:textId="77777777" w:rsidR="00FC676C" w:rsidRPr="00BD2844" w:rsidRDefault="00FC676C">
            <w:pPr>
              <w:pStyle w:val="In-tableHeading"/>
              <w:jc w:val="center"/>
              <w:rPr>
                <w:lang w:val="en-AU"/>
              </w:rPr>
            </w:pPr>
            <w:r w:rsidRPr="00BD2844">
              <w:rPr>
                <w:lang w:val="en-AU"/>
              </w:rPr>
              <w:t>Outcomes</w:t>
            </w:r>
          </w:p>
        </w:tc>
        <w:tc>
          <w:tcPr>
            <w:tcW w:w="1011" w:type="pct"/>
            <w:vAlign w:val="center"/>
          </w:tcPr>
          <w:p w14:paraId="34BF7E53" w14:textId="77777777" w:rsidR="00FC676C" w:rsidRPr="00BD2844" w:rsidRDefault="00FC676C">
            <w:pPr>
              <w:pStyle w:val="In-tableHeading"/>
              <w:jc w:val="center"/>
              <w:rPr>
                <w:lang w:val="en-AU"/>
              </w:rPr>
            </w:pPr>
            <w:r w:rsidRPr="00BD2844">
              <w:rPr>
                <w:lang w:val="en-AU"/>
              </w:rPr>
              <w:t>Use in modelled evaluation</w:t>
            </w:r>
          </w:p>
        </w:tc>
      </w:tr>
      <w:tr w:rsidR="00FC676C" w:rsidRPr="00BD2844" w14:paraId="46352037" w14:textId="77777777">
        <w:trPr>
          <w:cantSplit/>
        </w:trPr>
        <w:tc>
          <w:tcPr>
            <w:tcW w:w="5000" w:type="pct"/>
            <w:gridSpan w:val="7"/>
            <w:vAlign w:val="center"/>
          </w:tcPr>
          <w:p w14:paraId="7D371BDE" w14:textId="77777777" w:rsidR="00FC676C" w:rsidRPr="00BD2844" w:rsidRDefault="00FC676C">
            <w:pPr>
              <w:pStyle w:val="In-tableHeading"/>
              <w:rPr>
                <w:lang w:val="en-AU"/>
              </w:rPr>
            </w:pPr>
            <w:r w:rsidRPr="00BD2844">
              <w:rPr>
                <w:lang w:val="en-AU"/>
              </w:rPr>
              <w:t>NIVO+IPI vs SORA/LEN</w:t>
            </w:r>
          </w:p>
        </w:tc>
      </w:tr>
      <w:tr w:rsidR="00FC676C" w:rsidRPr="00BD2844" w14:paraId="5484C0DF" w14:textId="77777777">
        <w:trPr>
          <w:cantSplit/>
        </w:trPr>
        <w:tc>
          <w:tcPr>
            <w:tcW w:w="592" w:type="pct"/>
            <w:vAlign w:val="center"/>
          </w:tcPr>
          <w:p w14:paraId="7F21AE86" w14:textId="77777777" w:rsidR="00FC676C" w:rsidRPr="00BD2844" w:rsidRDefault="00FC676C" w:rsidP="003D2B45">
            <w:pPr>
              <w:pStyle w:val="TableText0"/>
              <w:rPr>
                <w:b/>
              </w:rPr>
            </w:pPr>
            <w:r w:rsidRPr="00BD2844">
              <w:t>CM-9DW</w:t>
            </w:r>
          </w:p>
        </w:tc>
        <w:tc>
          <w:tcPr>
            <w:tcW w:w="333" w:type="pct"/>
            <w:vAlign w:val="center"/>
          </w:tcPr>
          <w:p w14:paraId="4A3154FF" w14:textId="77777777" w:rsidR="00FC676C" w:rsidRPr="00BD2844" w:rsidRDefault="00FC676C" w:rsidP="003D2B45">
            <w:pPr>
              <w:pStyle w:val="TableText0"/>
              <w:rPr>
                <w:b/>
              </w:rPr>
            </w:pPr>
            <w:r w:rsidRPr="00BD2844">
              <w:t>668</w:t>
            </w:r>
          </w:p>
        </w:tc>
        <w:tc>
          <w:tcPr>
            <w:tcW w:w="655" w:type="pct"/>
            <w:vAlign w:val="center"/>
          </w:tcPr>
          <w:p w14:paraId="6196A076" w14:textId="77777777" w:rsidR="00FC676C" w:rsidRPr="00BD2844" w:rsidRDefault="00FC676C" w:rsidP="003D2B45">
            <w:pPr>
              <w:pStyle w:val="TableText0"/>
              <w:rPr>
                <w:b/>
              </w:rPr>
            </w:pPr>
            <w:r w:rsidRPr="00BD2844">
              <w:t>R, MC, OL</w:t>
            </w:r>
          </w:p>
          <w:p w14:paraId="6A96C94C" w14:textId="77777777" w:rsidR="00FC676C" w:rsidRPr="00BD2844" w:rsidRDefault="00FC676C" w:rsidP="003D2B45">
            <w:pPr>
              <w:pStyle w:val="TableText0"/>
              <w:rPr>
                <w:b/>
              </w:rPr>
            </w:pPr>
            <w:r w:rsidRPr="00BD2844">
              <w:t>35.2 months</w:t>
            </w:r>
          </w:p>
        </w:tc>
        <w:tc>
          <w:tcPr>
            <w:tcW w:w="939" w:type="pct"/>
            <w:vAlign w:val="center"/>
          </w:tcPr>
          <w:p w14:paraId="35B5612C" w14:textId="77777777" w:rsidR="00FC676C" w:rsidRPr="00BD2844" w:rsidRDefault="00FC676C" w:rsidP="003D2B45">
            <w:pPr>
              <w:pStyle w:val="TableText0"/>
              <w:rPr>
                <w:b/>
              </w:rPr>
            </w:pPr>
            <w:r w:rsidRPr="00BD2844">
              <w:t>Low</w:t>
            </w:r>
          </w:p>
        </w:tc>
        <w:tc>
          <w:tcPr>
            <w:tcW w:w="972" w:type="pct"/>
            <w:vAlign w:val="center"/>
          </w:tcPr>
          <w:p w14:paraId="0A5D926E" w14:textId="77777777" w:rsidR="00FC676C" w:rsidRPr="00BD2844" w:rsidRDefault="00FC676C" w:rsidP="003D2B45">
            <w:pPr>
              <w:pStyle w:val="TableText0"/>
              <w:rPr>
                <w:b/>
              </w:rPr>
            </w:pPr>
            <w:r w:rsidRPr="00BD2844">
              <w:t>Untreated advanced/unresectable Stage A, B or C HCC</w:t>
            </w:r>
          </w:p>
        </w:tc>
        <w:tc>
          <w:tcPr>
            <w:tcW w:w="496" w:type="pct"/>
            <w:vAlign w:val="center"/>
          </w:tcPr>
          <w:p w14:paraId="42C73757" w14:textId="77777777" w:rsidR="00FC676C" w:rsidRPr="00BD2844" w:rsidRDefault="00FC676C" w:rsidP="003D2B45">
            <w:pPr>
              <w:pStyle w:val="TableText0"/>
              <w:rPr>
                <w:b/>
              </w:rPr>
            </w:pPr>
            <w:r w:rsidRPr="00BD2844">
              <w:t>OS, ORR, DOR, QoL, Safety</w:t>
            </w:r>
          </w:p>
        </w:tc>
        <w:tc>
          <w:tcPr>
            <w:tcW w:w="1011" w:type="pct"/>
            <w:vAlign w:val="center"/>
          </w:tcPr>
          <w:p w14:paraId="6FA2D2FA" w14:textId="77777777" w:rsidR="00FC676C" w:rsidRPr="00BD2844" w:rsidRDefault="00FC676C" w:rsidP="003D2B45">
            <w:pPr>
              <w:pStyle w:val="TableText0"/>
              <w:rPr>
                <w:b/>
              </w:rPr>
            </w:pPr>
            <w:r w:rsidRPr="00BD2844">
              <w:t>Median duration of treatment</w:t>
            </w:r>
          </w:p>
        </w:tc>
      </w:tr>
      <w:tr w:rsidR="00FC676C" w:rsidRPr="00BD2844" w14:paraId="798194AC" w14:textId="77777777">
        <w:trPr>
          <w:cantSplit/>
        </w:trPr>
        <w:tc>
          <w:tcPr>
            <w:tcW w:w="5000" w:type="pct"/>
            <w:gridSpan w:val="7"/>
            <w:shd w:val="clear" w:color="auto" w:fill="FFFFFF" w:themeFill="background1"/>
            <w:vAlign w:val="center"/>
          </w:tcPr>
          <w:p w14:paraId="03E81530" w14:textId="77777777" w:rsidR="00FC676C" w:rsidRPr="00BD2844" w:rsidRDefault="00FC676C" w:rsidP="003D2B45">
            <w:pPr>
              <w:pStyle w:val="TableText0"/>
            </w:pPr>
            <w:r w:rsidRPr="00BD2844">
              <w:t>ATEZO+BEV vs SORA</w:t>
            </w:r>
          </w:p>
        </w:tc>
      </w:tr>
      <w:tr w:rsidR="00FC676C" w:rsidRPr="00BD2844" w14:paraId="12B66EAC" w14:textId="77777777" w:rsidTr="00342A0F">
        <w:trPr>
          <w:cantSplit/>
        </w:trPr>
        <w:tc>
          <w:tcPr>
            <w:tcW w:w="592" w:type="pct"/>
            <w:vAlign w:val="center"/>
          </w:tcPr>
          <w:p w14:paraId="7B317A33" w14:textId="77777777" w:rsidR="00FC676C" w:rsidRPr="00BD2844" w:rsidRDefault="00FC676C" w:rsidP="003D2B45">
            <w:pPr>
              <w:pStyle w:val="TableText0"/>
            </w:pPr>
            <w:r w:rsidRPr="00BD2844">
              <w:t>IMBRAVE150</w:t>
            </w:r>
          </w:p>
        </w:tc>
        <w:tc>
          <w:tcPr>
            <w:tcW w:w="333" w:type="pct"/>
            <w:vAlign w:val="center"/>
          </w:tcPr>
          <w:p w14:paraId="3429F023" w14:textId="77777777" w:rsidR="00FC676C" w:rsidRPr="00BD2844" w:rsidRDefault="00FC676C" w:rsidP="003D2B45">
            <w:pPr>
              <w:pStyle w:val="TableText0"/>
            </w:pPr>
            <w:r w:rsidRPr="00BD2844">
              <w:t>501</w:t>
            </w:r>
          </w:p>
        </w:tc>
        <w:tc>
          <w:tcPr>
            <w:tcW w:w="655" w:type="pct"/>
            <w:vAlign w:val="center"/>
          </w:tcPr>
          <w:p w14:paraId="47EE4110" w14:textId="77777777" w:rsidR="00FC676C" w:rsidRPr="00BD2844" w:rsidRDefault="00FC676C" w:rsidP="003D2B45">
            <w:pPr>
              <w:pStyle w:val="TableText0"/>
              <w:rPr>
                <w:b/>
              </w:rPr>
            </w:pPr>
            <w:r w:rsidRPr="00BD2844">
              <w:t>R, MC, OL</w:t>
            </w:r>
          </w:p>
          <w:p w14:paraId="1A42CE31" w14:textId="77777777" w:rsidR="00FC676C" w:rsidRPr="00BD2844" w:rsidRDefault="00FC676C" w:rsidP="003D2B45">
            <w:pPr>
              <w:pStyle w:val="TableText0"/>
            </w:pPr>
            <w:r w:rsidRPr="00BD2844">
              <w:t>15 months</w:t>
            </w:r>
          </w:p>
        </w:tc>
        <w:tc>
          <w:tcPr>
            <w:tcW w:w="939" w:type="pct"/>
            <w:vAlign w:val="center"/>
          </w:tcPr>
          <w:p w14:paraId="0FECFD4E" w14:textId="77777777" w:rsidR="00FC676C" w:rsidRPr="00BD2844" w:rsidRDefault="00FC676C" w:rsidP="003D2B45">
            <w:pPr>
              <w:pStyle w:val="TableText0"/>
            </w:pPr>
            <w:r w:rsidRPr="00BD2844">
              <w:t>Low</w:t>
            </w:r>
          </w:p>
        </w:tc>
        <w:tc>
          <w:tcPr>
            <w:tcW w:w="972" w:type="pct"/>
            <w:vAlign w:val="center"/>
          </w:tcPr>
          <w:p w14:paraId="11BE421A" w14:textId="77777777" w:rsidR="00FC676C" w:rsidRPr="00BD2844" w:rsidRDefault="00FC676C" w:rsidP="003D2B45">
            <w:pPr>
              <w:pStyle w:val="TableText0"/>
            </w:pPr>
            <w:r w:rsidRPr="00BD2844">
              <w:t>Untreated advanced/unresectable Stage A, B or C HCC</w:t>
            </w:r>
          </w:p>
        </w:tc>
        <w:tc>
          <w:tcPr>
            <w:tcW w:w="496" w:type="pct"/>
            <w:vAlign w:val="center"/>
          </w:tcPr>
          <w:p w14:paraId="4AFA8BBA" w14:textId="77777777" w:rsidR="00FC676C" w:rsidRPr="00BD2844" w:rsidRDefault="00FC676C" w:rsidP="003D2B45">
            <w:pPr>
              <w:pStyle w:val="TableText0"/>
            </w:pPr>
            <w:r w:rsidRPr="00BD2844">
              <w:t>OS, ORR, DOR, PFS, QoL, Safety</w:t>
            </w:r>
          </w:p>
        </w:tc>
        <w:tc>
          <w:tcPr>
            <w:tcW w:w="1011" w:type="pct"/>
            <w:vAlign w:val="center"/>
          </w:tcPr>
          <w:p w14:paraId="08CF45D3" w14:textId="77777777" w:rsidR="00FC676C" w:rsidRPr="00BD2844" w:rsidRDefault="00FC676C" w:rsidP="003D2B45">
            <w:pPr>
              <w:pStyle w:val="TableText0"/>
            </w:pPr>
            <w:r w:rsidRPr="00BD2844">
              <w:t>Median duration of treatment</w:t>
            </w:r>
          </w:p>
        </w:tc>
      </w:tr>
      <w:tr w:rsidR="00FC676C" w:rsidRPr="00BD2844" w14:paraId="1F3271F3" w14:textId="77777777">
        <w:trPr>
          <w:cantSplit/>
        </w:trPr>
        <w:tc>
          <w:tcPr>
            <w:tcW w:w="5000" w:type="pct"/>
            <w:gridSpan w:val="7"/>
            <w:vAlign w:val="center"/>
          </w:tcPr>
          <w:p w14:paraId="7BC066BE" w14:textId="77777777" w:rsidR="00FC676C" w:rsidRPr="00BD2844" w:rsidRDefault="00FC676C" w:rsidP="003D2B45">
            <w:pPr>
              <w:pStyle w:val="TableText0"/>
            </w:pPr>
            <w:r w:rsidRPr="00BD2844">
              <w:t>STRIDE vs SORA</w:t>
            </w:r>
          </w:p>
        </w:tc>
      </w:tr>
      <w:tr w:rsidR="00FC676C" w:rsidRPr="00BD2844" w14:paraId="1F9FB081" w14:textId="77777777" w:rsidTr="00342A0F">
        <w:trPr>
          <w:cantSplit/>
        </w:trPr>
        <w:tc>
          <w:tcPr>
            <w:tcW w:w="592" w:type="pct"/>
            <w:vAlign w:val="center"/>
          </w:tcPr>
          <w:p w14:paraId="6D4A328B" w14:textId="77777777" w:rsidR="00FC676C" w:rsidRPr="00BD2844" w:rsidRDefault="00FC676C" w:rsidP="003D2B45">
            <w:pPr>
              <w:pStyle w:val="TableText0"/>
              <w:rPr>
                <w:b/>
              </w:rPr>
            </w:pPr>
            <w:r w:rsidRPr="00BD2844">
              <w:t>HIMALAYA</w:t>
            </w:r>
          </w:p>
        </w:tc>
        <w:tc>
          <w:tcPr>
            <w:tcW w:w="333" w:type="pct"/>
            <w:vAlign w:val="center"/>
          </w:tcPr>
          <w:p w14:paraId="5281F256" w14:textId="77777777" w:rsidR="00FC676C" w:rsidRPr="00BD2844" w:rsidRDefault="00FC676C" w:rsidP="003D2B45">
            <w:pPr>
              <w:pStyle w:val="TableText0"/>
              <w:rPr>
                <w:b/>
              </w:rPr>
            </w:pPr>
            <w:r w:rsidRPr="00BD2844">
              <w:t xml:space="preserve">782 </w:t>
            </w:r>
            <w:r w:rsidRPr="00BD2844">
              <w:rPr>
                <w:vertAlign w:val="superscript"/>
              </w:rPr>
              <w:t>a</w:t>
            </w:r>
          </w:p>
        </w:tc>
        <w:tc>
          <w:tcPr>
            <w:tcW w:w="655" w:type="pct"/>
            <w:vAlign w:val="center"/>
          </w:tcPr>
          <w:p w14:paraId="5E3AA030" w14:textId="77777777" w:rsidR="00FC676C" w:rsidRPr="00BD2844" w:rsidRDefault="00FC676C" w:rsidP="003D2B45">
            <w:pPr>
              <w:pStyle w:val="TableText0"/>
              <w:rPr>
                <w:b/>
              </w:rPr>
            </w:pPr>
            <w:r w:rsidRPr="00BD2844">
              <w:t>R, MC, OL</w:t>
            </w:r>
          </w:p>
          <w:p w14:paraId="0A202E34" w14:textId="77777777" w:rsidR="00FC676C" w:rsidRPr="00BD2844" w:rsidRDefault="00FC676C" w:rsidP="003D2B45">
            <w:pPr>
              <w:pStyle w:val="TableText0"/>
              <w:rPr>
                <w:b/>
              </w:rPr>
            </w:pPr>
            <w:r w:rsidRPr="00BD2844">
              <w:t>49.1 months (STRIDE)</w:t>
            </w:r>
          </w:p>
          <w:p w14:paraId="0F992F6D" w14:textId="77777777" w:rsidR="00FC676C" w:rsidRPr="00BD2844" w:rsidRDefault="00FC676C" w:rsidP="003D2B45">
            <w:pPr>
              <w:pStyle w:val="TableText0"/>
              <w:rPr>
                <w:b/>
              </w:rPr>
            </w:pPr>
            <w:r w:rsidRPr="00BD2844">
              <w:t>47.3 months (SORA)</w:t>
            </w:r>
          </w:p>
        </w:tc>
        <w:tc>
          <w:tcPr>
            <w:tcW w:w="939" w:type="pct"/>
            <w:vAlign w:val="center"/>
          </w:tcPr>
          <w:p w14:paraId="02BD145C" w14:textId="77777777" w:rsidR="00FC676C" w:rsidRPr="00BD2844" w:rsidRDefault="00FC676C" w:rsidP="003D2B45">
            <w:pPr>
              <w:pStyle w:val="TableText0"/>
              <w:rPr>
                <w:b/>
              </w:rPr>
            </w:pPr>
            <w:r w:rsidRPr="00BD2844">
              <w:t>Low</w:t>
            </w:r>
          </w:p>
        </w:tc>
        <w:tc>
          <w:tcPr>
            <w:tcW w:w="972" w:type="pct"/>
            <w:vAlign w:val="center"/>
          </w:tcPr>
          <w:p w14:paraId="2AC2C3E5" w14:textId="77777777" w:rsidR="00FC676C" w:rsidRPr="00BD2844" w:rsidRDefault="00FC676C" w:rsidP="003D2B45">
            <w:pPr>
              <w:pStyle w:val="TableText0"/>
              <w:rPr>
                <w:b/>
              </w:rPr>
            </w:pPr>
            <w:r w:rsidRPr="00BD2844">
              <w:t>Untreated advanced/unresectable Stage B or C HCC</w:t>
            </w:r>
          </w:p>
        </w:tc>
        <w:tc>
          <w:tcPr>
            <w:tcW w:w="496" w:type="pct"/>
            <w:vAlign w:val="center"/>
          </w:tcPr>
          <w:p w14:paraId="0CE2040F" w14:textId="77777777" w:rsidR="00FC676C" w:rsidRPr="00BD2844" w:rsidRDefault="00FC676C" w:rsidP="003D2B45">
            <w:pPr>
              <w:pStyle w:val="TableText0"/>
              <w:rPr>
                <w:b/>
              </w:rPr>
            </w:pPr>
            <w:r w:rsidRPr="00BD2844">
              <w:t>OS, ORR, DOR, PFS, QoL, Safety</w:t>
            </w:r>
          </w:p>
        </w:tc>
        <w:tc>
          <w:tcPr>
            <w:tcW w:w="1011" w:type="pct"/>
            <w:vAlign w:val="center"/>
          </w:tcPr>
          <w:p w14:paraId="55C27217" w14:textId="77777777" w:rsidR="00FC676C" w:rsidRPr="00BD2844" w:rsidRDefault="00FC676C" w:rsidP="003D2B45">
            <w:pPr>
              <w:pStyle w:val="TableText0"/>
              <w:rPr>
                <w:b/>
              </w:rPr>
            </w:pPr>
            <w:r w:rsidRPr="00BD2844">
              <w:t>Median duration of treatment</w:t>
            </w:r>
          </w:p>
        </w:tc>
      </w:tr>
    </w:tbl>
    <w:p w14:paraId="4C42F7AA" w14:textId="77777777" w:rsidR="00FC676C" w:rsidRPr="00BD2844" w:rsidRDefault="00FC676C" w:rsidP="00FC676C">
      <w:pPr>
        <w:pStyle w:val="TableFigureFooter"/>
      </w:pPr>
      <w:r w:rsidRPr="00BD2844">
        <w:t>Source: Table 28, p85 and Table30, pp 88 - 89 of the submission.</w:t>
      </w:r>
    </w:p>
    <w:p w14:paraId="40241471" w14:textId="77777777" w:rsidR="00FC676C" w:rsidRPr="00BD2844" w:rsidRDefault="00FC676C" w:rsidP="00FC676C">
      <w:pPr>
        <w:pStyle w:val="TableFigureFooter"/>
      </w:pPr>
      <w:r w:rsidRPr="00BD2844">
        <w:t xml:space="preserve">ATEZO+BEV = atezolizumab plus bevacizumab; DOR = duration of response; HCC = hepatocellular carcinoma; MC = multi-centre; NIVO+IPI =nivolumab plus ipilimumab; OL = open label; ORR = objective response rate; OS = overall survival; PFS = progression-free survival; QoL = quality of life; R = randomised; STRIDE = Single Tremelimumab Regular Interval Durvalumab. </w:t>
      </w:r>
    </w:p>
    <w:p w14:paraId="43310B2B" w14:textId="77777777" w:rsidR="00FC676C" w:rsidRPr="00BD2844" w:rsidRDefault="00FC676C" w:rsidP="00153ED8">
      <w:pPr>
        <w:pStyle w:val="TableFigureFooter"/>
        <w:spacing w:after="240"/>
        <w:contextualSpacing w:val="0"/>
      </w:pPr>
      <w:r w:rsidRPr="00BD2844">
        <w:rPr>
          <w:vertAlign w:val="superscript"/>
        </w:rPr>
        <w:t>a</w:t>
      </w:r>
      <w:r w:rsidRPr="00BD2844">
        <w:t xml:space="preserve"> Patients in HIMALAYA (N=1,324) were randomly assigned in a 1:1:1:1 ratio to 4 treatment arms. Out of the four 4 treatment arms, the submission appropriately included only the arms that provided direct comparative evidence of STRIDE with sorafenib (Arms C and D; n=782).</w:t>
      </w:r>
    </w:p>
    <w:p w14:paraId="77A47C67" w14:textId="77777777" w:rsidR="00FC676C" w:rsidRPr="00BD2844" w:rsidRDefault="00FC676C" w:rsidP="005D4F6D">
      <w:pPr>
        <w:pStyle w:val="3-BodyText"/>
      </w:pPr>
      <w:bookmarkStart w:id="43" w:name="_Ref195640392"/>
      <w:bookmarkStart w:id="44" w:name="_Ref195362879"/>
      <w:r w:rsidRPr="00BD2844">
        <w:t xml:space="preserve">The median follow-up times across trials are notably higher in the CM-9DW (35.2 months) and HIMALAYA trials (49.1 months [STRIDE]; 47.3 months [SORA]) compared with IMBRAVE150 (15.6 months). The submission stated that interim data cuts of CM-9DW (to better match the follow-up duration of IMBRAVE150) were not available. </w:t>
      </w:r>
      <w:bookmarkEnd w:id="43"/>
    </w:p>
    <w:p w14:paraId="7C456763" w14:textId="5D74B021" w:rsidR="00FC676C" w:rsidRPr="00BD2844" w:rsidRDefault="00FC676C" w:rsidP="00FC676C">
      <w:pPr>
        <w:pStyle w:val="3-BodyText"/>
      </w:pPr>
      <w:bookmarkStart w:id="45" w:name="_Ref195869032"/>
      <w:r w:rsidRPr="00BD2844">
        <w:t>A key difference between CM-9DW</w:t>
      </w:r>
      <w:r w:rsidR="00D60A73" w:rsidRPr="00BD2844">
        <w:t xml:space="preserve">, </w:t>
      </w:r>
      <w:r w:rsidRPr="00BD2844">
        <w:t>IMBRAVE150 and HIMALAYA that may affect the transitivity of the trials was that the latter two studies only included SORA in the comparator arm, while CM-9DW included an investigator’s choice of LEN or SORA. The submission claimed that there is evidence to support the claim that LEN has superior efficacy versus SORA and as a result comparisons of NIVO+IPI to its comparators (STRIDE and HIMALAYA) may be potentially biased against NIVO+IPI. The submission therefore conducted supplementary ITCs based on the SORA subgroup of CM-9DW, however only 15% of patients in the comparator arm received SORA with the remaining 85% receiving LEN. The PBAC have previously considered LEN to be non-inferior in terms of effectiveness compared with SORA (para. 11.2, lenvatinib PSD, July 2018 PBAC Meeting).</w:t>
      </w:r>
      <w:bookmarkEnd w:id="45"/>
    </w:p>
    <w:p w14:paraId="0D9C376E" w14:textId="36B076E2" w:rsidR="00FC676C" w:rsidRPr="00BD2844" w:rsidRDefault="00FC676C" w:rsidP="00FC676C">
      <w:pPr>
        <w:pStyle w:val="3-BodyText"/>
      </w:pPr>
      <w:bookmarkStart w:id="46" w:name="_Ref195795176"/>
      <w:r w:rsidRPr="00BD2844">
        <w:lastRenderedPageBreak/>
        <w:t xml:space="preserve">Broadly, the CM-9DW, HIMALAYA and IMBRAVE150 trials had successful randomisation, with no substantial sources of bias in prognostic factors. Comparing the trials, </w:t>
      </w:r>
      <w:r w:rsidR="00B949CE" w:rsidRPr="00AC20B4">
        <w:t>the ESC noted</w:t>
      </w:r>
      <w:r w:rsidR="00B949CE" w:rsidRPr="00BD2844">
        <w:rPr>
          <w:i/>
          <w:iCs/>
        </w:rPr>
        <w:t xml:space="preserve"> </w:t>
      </w:r>
      <w:r w:rsidRPr="00BD2844">
        <w:t>some differences in patient characteristics that may impact the transitivity of the trials were identified:</w:t>
      </w:r>
      <w:bookmarkEnd w:id="44"/>
      <w:bookmarkEnd w:id="46"/>
    </w:p>
    <w:p w14:paraId="3D07312E" w14:textId="77777777" w:rsidR="00FC676C" w:rsidRPr="00BD2844" w:rsidDel="005E0845" w:rsidRDefault="00FC676C" w:rsidP="00E5538F">
      <w:pPr>
        <w:pStyle w:val="ListParagraph"/>
        <w:numPr>
          <w:ilvl w:val="1"/>
          <w:numId w:val="14"/>
        </w:numPr>
        <w:jc w:val="both"/>
      </w:pPr>
      <w:r w:rsidRPr="00BD2844">
        <w:t>There was no restriction in the CM-9DW or IMBRAVE150 trials regarding disease severity according to BCLC stage, however, the HIMALAYA trial was restricted to patients with BCLC Stage B or C disease</w:t>
      </w:r>
      <w:r w:rsidRPr="00BD2844">
        <w:rPr>
          <w:i/>
          <w:iCs/>
        </w:rPr>
        <w:t xml:space="preserve">. </w:t>
      </w:r>
      <w:r w:rsidRPr="00BD2844">
        <w:t>The CM-9DW trial has a smaller proportion of patients with BCLC Stage C versus HIMALAYA and IMBRAVE150 (73% vs 82% vs 82%). This difference favours the prognosis of patients in CM-9DW.</w:t>
      </w:r>
    </w:p>
    <w:p w14:paraId="57F690B8" w14:textId="77777777" w:rsidR="00FC676C" w:rsidRPr="00BD2844" w:rsidRDefault="00FC676C" w:rsidP="00E5538F">
      <w:pPr>
        <w:pStyle w:val="ListParagraph"/>
        <w:numPr>
          <w:ilvl w:val="1"/>
          <w:numId w:val="14"/>
        </w:numPr>
        <w:jc w:val="both"/>
      </w:pPr>
      <w:r w:rsidRPr="00BD2844">
        <w:t>The CM-9DW trial reported a higher proportion of patients with an Eastern Cooperative Oncology Group performance score (ECOG PS) of 0 (71.3%), compared to the IMBRAVE150 (62.3%) and HIMALAYA (62.0%) trials. This difference favours the prognosis of patients in CM-9DW.</w:t>
      </w:r>
    </w:p>
    <w:p w14:paraId="291AC8F9" w14:textId="27981EFD" w:rsidR="00FC676C" w:rsidRPr="00BD2844" w:rsidRDefault="00FC676C" w:rsidP="00E5538F">
      <w:pPr>
        <w:pStyle w:val="ListParagraph"/>
        <w:numPr>
          <w:ilvl w:val="1"/>
          <w:numId w:val="14"/>
        </w:numPr>
        <w:jc w:val="both"/>
      </w:pPr>
      <w:r w:rsidRPr="00BD2844">
        <w:t xml:space="preserve">The CM-9DW trial </w:t>
      </w:r>
      <w:r w:rsidR="00FB3A65" w:rsidRPr="00BD2844">
        <w:t xml:space="preserve">and HIMALAYA </w:t>
      </w:r>
      <w:r w:rsidRPr="00BD2844">
        <w:t>enrolled a smaller proportion of patients with macrovascular invasion (MVI) (25.3%</w:t>
      </w:r>
      <w:r w:rsidR="00FB3A65" w:rsidRPr="00BD2844">
        <w:t xml:space="preserve"> and 26.0% respectively</w:t>
      </w:r>
      <w:r w:rsidRPr="00BD2844">
        <w:t xml:space="preserve">) compared with IMBRAVE150 (39.9%) indicating that patients enrolled in the IMBRAVE150 trial may have had more advanced disease at baseline. Extra-hepatic spread at baseline was numerically lower in </w:t>
      </w:r>
      <w:r w:rsidR="00342A0F" w:rsidRPr="00BD2844">
        <w:t xml:space="preserve">HIMALAYA (52%) and </w:t>
      </w:r>
      <w:r w:rsidRPr="00BD2844">
        <w:t xml:space="preserve">CM-9DW </w:t>
      </w:r>
      <w:r w:rsidR="00342A0F" w:rsidRPr="00BD2844">
        <w:t xml:space="preserve">(54%) </w:t>
      </w:r>
      <w:r w:rsidRPr="00BD2844">
        <w:t xml:space="preserve">compared to IMBRAVE150 </w:t>
      </w:r>
      <w:r w:rsidR="00342A0F" w:rsidRPr="00BD2844">
        <w:t>(</w:t>
      </w:r>
      <w:r w:rsidRPr="00BD2844">
        <w:t xml:space="preserve">61%); this difference favours the prognosis of patients in </w:t>
      </w:r>
      <w:r w:rsidR="00342A0F" w:rsidRPr="00BD2844">
        <w:t xml:space="preserve">HIMALAYA and </w:t>
      </w:r>
      <w:r w:rsidRPr="00BD2844">
        <w:t xml:space="preserve">CM-9DW compared with IMBRAVE150. </w:t>
      </w:r>
    </w:p>
    <w:p w14:paraId="039CC20A" w14:textId="32AE75BA" w:rsidR="00FC676C" w:rsidRPr="00BD2844" w:rsidRDefault="00FC676C" w:rsidP="00E5538F">
      <w:pPr>
        <w:pStyle w:val="ListParagraph"/>
        <w:numPr>
          <w:ilvl w:val="1"/>
          <w:numId w:val="14"/>
        </w:numPr>
        <w:jc w:val="both"/>
        <w:rPr>
          <w:i/>
          <w:iCs/>
        </w:rPr>
      </w:pPr>
      <w:r w:rsidRPr="00BD2844">
        <w:t xml:space="preserve">The proportion of non-viral cases of HCC was higher in </w:t>
      </w:r>
      <w:r w:rsidR="00342A0F" w:rsidRPr="00BD2844">
        <w:t xml:space="preserve">HIMALAYA (42%) and </w:t>
      </w:r>
      <w:r w:rsidRPr="00BD2844">
        <w:t>CM-9DW (36%), compared to IMBRAVE150 (31%). The rate of HBV aetiology HCC was</w:t>
      </w:r>
      <w:r w:rsidR="00342A0F" w:rsidRPr="00BD2844">
        <w:t xml:space="preserve"> 31% in HIMALAYA,</w:t>
      </w:r>
      <w:r w:rsidRPr="00BD2844">
        <w:t xml:space="preserve"> 34% in CM-9DW, </w:t>
      </w:r>
      <w:r w:rsidR="00342A0F" w:rsidRPr="00BD2844">
        <w:t xml:space="preserve">both </w:t>
      </w:r>
      <w:r w:rsidRPr="00BD2844">
        <w:t>lower than in IMBRAVE150 (48%). Patients with non-viral HCC present with more advanced disease, and have a worse prognosis compared to viral HCC aetiology</w:t>
      </w:r>
      <w:r w:rsidRPr="00BD2844">
        <w:rPr>
          <w:rStyle w:val="FootnoteReference"/>
        </w:rPr>
        <w:footnoteReference w:id="12"/>
      </w:r>
      <w:r w:rsidRPr="00BD2844">
        <w:t xml:space="preserve">; this difference favours the prognosis of patients in IMBRAVE150 compared with </w:t>
      </w:r>
      <w:r w:rsidR="00342A0F" w:rsidRPr="00BD2844">
        <w:t xml:space="preserve">HIMALAYA and </w:t>
      </w:r>
      <w:r w:rsidRPr="00BD2844">
        <w:t>CM-9DW.</w:t>
      </w:r>
      <w:r w:rsidRPr="00BD2844">
        <w:rPr>
          <w:i/>
          <w:iCs/>
        </w:rPr>
        <w:t xml:space="preserve"> </w:t>
      </w:r>
    </w:p>
    <w:p w14:paraId="2FCCBB59" w14:textId="035BA9C3" w:rsidR="00FC676C" w:rsidRPr="00BD2844" w:rsidRDefault="00FC676C" w:rsidP="00E5538F">
      <w:pPr>
        <w:pStyle w:val="ListParagraph"/>
        <w:numPr>
          <w:ilvl w:val="1"/>
          <w:numId w:val="14"/>
        </w:numPr>
        <w:jc w:val="both"/>
        <w:rPr>
          <w:i/>
          <w:iCs/>
        </w:rPr>
      </w:pPr>
      <w:r w:rsidRPr="00BD2844">
        <w:t xml:space="preserve">In CM-9DW, 18.5% patients in the NIVO+IPI arm (13.7% on NIVO monotherapy), and 47.1% in the SORA/LEN arm continued treatment beyond progression. The duration of treatment beyond progression was 2.64 months in the NIVO+IPI arm (1.92 months in the NIVO monotherapy) and 0.66 months in the SORA/LEN arm. This difference represents an imbalance in the amount of treatment received by each arm, with more patients in the SORA/LEN arm receiving treatment beyond progression compared to the NIVO+IPI arm, however noting that the duration of treatment beyond progression was less in the SORA/LEN arm than in the NIVO+IPI arm. Similarly, in the IMBRAVE150 trial </w:t>
      </w:r>
      <w:r w:rsidRPr="00BD2844">
        <w:lastRenderedPageBreak/>
        <w:t>132 (39%) patients in the ATEZO+BEV cohort continued to receive treatment beyond progression. The number of patients in the SORA cohort who were treated beyond progression was not reported. In HIMALAYA, 184 (47.3%) patients receiving STRIDE and 192 (51.3%) patients in the SORA arm continued treatment beyond disease progression. The proportion of patients receiving treatment beyond progression was higher in HIMALAYA and IMBRAVE150 than the NIVO+IPI cohort in CM-9DW</w:t>
      </w:r>
      <w:r w:rsidR="005C44FC" w:rsidRPr="00BD2844">
        <w:t>.</w:t>
      </w:r>
      <w:r w:rsidRPr="00BD2844">
        <w:t xml:space="preserve"> </w:t>
      </w:r>
      <w:r w:rsidR="005C44FC" w:rsidRPr="00BD2844">
        <w:t>Treatment beyond disease progression</w:t>
      </w:r>
      <w:r w:rsidRPr="00BD2844">
        <w:t xml:space="preserve"> is of uncertain clinical benefit.</w:t>
      </w:r>
      <w:r w:rsidRPr="00BD2844">
        <w:rPr>
          <w:i/>
          <w:iCs/>
        </w:rPr>
        <w:t xml:space="preserve"> </w:t>
      </w:r>
      <w:bookmarkStart w:id="47" w:name="_Ref195640201"/>
      <w:r w:rsidRPr="00BD2844">
        <w:rPr>
          <w:i/>
          <w:iCs/>
        </w:rPr>
        <w:t xml:space="preserve"> </w:t>
      </w:r>
    </w:p>
    <w:p w14:paraId="5C3C0445" w14:textId="634B4204" w:rsidR="00FC676C" w:rsidRPr="00BD2844" w:rsidRDefault="00FC676C" w:rsidP="00FC676C">
      <w:pPr>
        <w:pStyle w:val="3-BodyText"/>
      </w:pPr>
      <w:r w:rsidRPr="00BD2844">
        <w:t>Overall, comparison of event rates across common reference groups in the 3 trials showed that the median OS (months) in the CM-9DW trial (SORA/LEN = 20.6; SORA = 20.8) was longer than for the IMBRAVE150 (SORA = 13.4) and the HIMALAYA trial (SORA = 13.8 months). Similarly, median PFS (months) in the CM-9DW trial (SORA/LEN = 9.2; SORA = 11.1) was longer than for the IMBRAVE150 trial (SORA = 4.3) and the HIMALAYA trial (SORA = 4.1</w:t>
      </w:r>
      <w:r w:rsidRPr="00AC20B4">
        <w:t xml:space="preserve">). </w:t>
      </w:r>
      <w:r w:rsidR="0022062B" w:rsidRPr="00AC20B4">
        <w:t>The PSCR acknowledged this exchangeability issue but stated that the direction of any resulting bias was unclear. The ESC considered</w:t>
      </w:r>
      <w:r w:rsidR="0022062B" w:rsidRPr="00BD2844">
        <w:rPr>
          <w:i/>
          <w:iCs/>
        </w:rPr>
        <w:t xml:space="preserve"> </w:t>
      </w:r>
      <w:r w:rsidR="0022062B" w:rsidRPr="00BD2844">
        <w:t>t</w:t>
      </w:r>
      <w:r w:rsidRPr="00BD2844">
        <w:t xml:space="preserve">hese differences imply that </w:t>
      </w:r>
      <w:r w:rsidR="003E4856" w:rsidRPr="00BD2844">
        <w:t xml:space="preserve">CM-9DW </w:t>
      </w:r>
      <w:r w:rsidRPr="00BD2844">
        <w:t>enrolled patients may have had more favourable prognostic factors and/or had disease which responded better to SORA/LEN compared to patients in HIMALAYA and IMBRAVE150.</w:t>
      </w:r>
      <w:bookmarkEnd w:id="47"/>
      <w:r w:rsidR="00977CD1" w:rsidRPr="00BD2844">
        <w:t xml:space="preserve"> </w:t>
      </w:r>
    </w:p>
    <w:p w14:paraId="057CBB17" w14:textId="77777777" w:rsidR="00FC676C" w:rsidRPr="00BD2844" w:rsidRDefault="00FC676C" w:rsidP="00FC676C">
      <w:pPr>
        <w:pStyle w:val="4-SubsectionHeading"/>
      </w:pPr>
      <w:bookmarkStart w:id="48" w:name="_Toc22897641"/>
      <w:bookmarkStart w:id="49" w:name="_Toc195866334"/>
      <w:bookmarkStart w:id="50" w:name="_Toc198716659"/>
      <w:r w:rsidRPr="00BD2844">
        <w:t>Comparative effectiveness</w:t>
      </w:r>
      <w:bookmarkEnd w:id="48"/>
      <w:bookmarkEnd w:id="49"/>
      <w:bookmarkEnd w:id="50"/>
    </w:p>
    <w:p w14:paraId="1D2203AD" w14:textId="77777777" w:rsidR="00FC676C" w:rsidRPr="00BD2844" w:rsidRDefault="00FC676C" w:rsidP="005B25B4">
      <w:pPr>
        <w:outlineLvl w:val="2"/>
        <w:rPr>
          <w:u w:val="single"/>
        </w:rPr>
      </w:pPr>
      <w:r w:rsidRPr="00BD2844">
        <w:rPr>
          <w:u w:val="single"/>
        </w:rPr>
        <w:t>Direct comparison: NIVO+IPI versus SORA/LEN</w:t>
      </w:r>
    </w:p>
    <w:p w14:paraId="3CF3BEAB" w14:textId="08DDBB6B" w:rsidR="00FC676C" w:rsidRPr="00CA258D" w:rsidRDefault="00FC676C" w:rsidP="00FC676C">
      <w:pPr>
        <w:pStyle w:val="3-BodyText"/>
      </w:pPr>
      <w:r w:rsidRPr="00BD2844">
        <w:t xml:space="preserve">The OS results of the direct comparison in CM-9DW are presented in </w:t>
      </w:r>
      <w:r w:rsidRPr="00BD2844">
        <w:rPr>
          <w:rFonts w:ascii="Calibri" w:eastAsia="Times New Roman" w:hAnsi="Calibri" w:cs="Arial"/>
          <w:szCs w:val="24"/>
        </w:rPr>
        <w:fldChar w:fldCharType="begin"/>
      </w:r>
      <w:r w:rsidRPr="00BD2844">
        <w:rPr>
          <w:rFonts w:ascii="Calibri" w:eastAsia="Times New Roman" w:hAnsi="Calibri" w:cs="Arial"/>
          <w:szCs w:val="24"/>
        </w:rPr>
        <w:instrText xml:space="preserve"> REF _Ref195359484 \h  \* MERGEFORMAT </w:instrText>
      </w:r>
      <w:r w:rsidRPr="00BD2844">
        <w:rPr>
          <w:rFonts w:ascii="Calibri" w:eastAsia="Times New Roman" w:hAnsi="Calibri" w:cs="Arial"/>
          <w:szCs w:val="24"/>
        </w:rPr>
      </w:r>
      <w:r w:rsidRPr="00BD2844">
        <w:rPr>
          <w:rFonts w:ascii="Calibri" w:eastAsia="Times New Roman" w:hAnsi="Calibri" w:cs="Arial"/>
          <w:szCs w:val="24"/>
        </w:rPr>
        <w:fldChar w:fldCharType="separate"/>
      </w:r>
      <w:r w:rsidR="008C7D22" w:rsidRPr="008C7D22">
        <w:rPr>
          <w:rFonts w:ascii="Calibri" w:eastAsia="Times New Roman" w:hAnsi="Calibri" w:cs="Arial"/>
          <w:szCs w:val="24"/>
        </w:rPr>
        <w:t>Table 4</w:t>
      </w:r>
      <w:r w:rsidRPr="00BD2844">
        <w:rPr>
          <w:rFonts w:ascii="Calibri" w:eastAsia="Times New Roman" w:hAnsi="Calibri" w:cs="Arial"/>
          <w:szCs w:val="24"/>
        </w:rPr>
        <w:fldChar w:fldCharType="end"/>
      </w:r>
      <w:r w:rsidRPr="00BD2844">
        <w:rPr>
          <w:rFonts w:ascii="Calibri" w:eastAsia="Times New Roman" w:hAnsi="Calibri" w:cs="Arial"/>
          <w:szCs w:val="24"/>
        </w:rPr>
        <w:t xml:space="preserve"> and the corresponding Kaplan-Meier (KM) curves are presented in </w:t>
      </w:r>
      <w:r w:rsidRPr="00BD2844">
        <w:rPr>
          <w:rFonts w:ascii="Calibri" w:eastAsia="Times New Roman" w:hAnsi="Calibri" w:cs="Arial"/>
          <w:szCs w:val="24"/>
        </w:rPr>
        <w:fldChar w:fldCharType="begin"/>
      </w:r>
      <w:r w:rsidRPr="00BD2844">
        <w:rPr>
          <w:rFonts w:ascii="Calibri" w:eastAsia="Times New Roman" w:hAnsi="Calibri" w:cs="Arial"/>
          <w:szCs w:val="24"/>
        </w:rPr>
        <w:instrText xml:space="preserve"> REF _Ref195359570 \h  \* MERGEFORMAT </w:instrText>
      </w:r>
      <w:r w:rsidRPr="00BD2844">
        <w:rPr>
          <w:rFonts w:ascii="Calibri" w:eastAsia="Times New Roman" w:hAnsi="Calibri" w:cs="Arial"/>
          <w:szCs w:val="24"/>
        </w:rPr>
      </w:r>
      <w:r w:rsidRPr="00BD2844">
        <w:rPr>
          <w:rFonts w:ascii="Calibri" w:eastAsia="Times New Roman" w:hAnsi="Calibri" w:cs="Arial"/>
          <w:szCs w:val="24"/>
        </w:rPr>
        <w:fldChar w:fldCharType="separate"/>
      </w:r>
      <w:r w:rsidR="008C7D22" w:rsidRPr="008C7D22">
        <w:rPr>
          <w:rFonts w:ascii="Calibri" w:eastAsia="Times New Roman" w:hAnsi="Calibri" w:cs="Arial"/>
          <w:szCs w:val="24"/>
        </w:rPr>
        <w:t>Figure 1</w:t>
      </w:r>
      <w:r w:rsidRPr="00BD2844">
        <w:rPr>
          <w:rFonts w:ascii="Calibri" w:eastAsia="Times New Roman" w:hAnsi="Calibri" w:cs="Arial"/>
          <w:szCs w:val="24"/>
        </w:rPr>
        <w:fldChar w:fldCharType="end"/>
      </w:r>
      <w:r w:rsidRPr="00BD2844">
        <w:rPr>
          <w:rFonts w:ascii="Calibri" w:eastAsia="Times New Roman" w:hAnsi="Calibri" w:cs="Arial"/>
          <w:szCs w:val="24"/>
        </w:rPr>
        <w:t xml:space="preserve"> (January 2024 DCO; median patient follow-up of</w:t>
      </w:r>
      <w:r w:rsidRPr="00BD2844">
        <w:rPr>
          <w:snapToGrid w:val="0"/>
        </w:rPr>
        <w:t xml:space="preserve"> 35.20 months).</w:t>
      </w:r>
    </w:p>
    <w:p w14:paraId="6DE67026" w14:textId="73EB34BE" w:rsidR="00FC676C" w:rsidRPr="00BD2844" w:rsidRDefault="00FC676C" w:rsidP="00FC676C">
      <w:pPr>
        <w:pStyle w:val="Caption"/>
      </w:pPr>
      <w:bookmarkStart w:id="51" w:name="_Ref195359484"/>
      <w:r w:rsidRPr="00BD2844">
        <w:lastRenderedPageBreak/>
        <w:t xml:space="preserve">Table </w:t>
      </w:r>
      <w:r w:rsidR="002878AB">
        <w:fldChar w:fldCharType="begin"/>
      </w:r>
      <w:r w:rsidR="002878AB">
        <w:instrText xml:space="preserve"> SEQ Table \* ARABIC </w:instrText>
      </w:r>
      <w:r w:rsidR="002878AB">
        <w:fldChar w:fldCharType="separate"/>
      </w:r>
      <w:r w:rsidR="008C7D22">
        <w:rPr>
          <w:noProof/>
        </w:rPr>
        <w:t>4</w:t>
      </w:r>
      <w:r w:rsidR="002878AB">
        <w:fldChar w:fldCharType="end"/>
      </w:r>
      <w:bookmarkEnd w:id="51"/>
      <w:r w:rsidRPr="00BD2844">
        <w:t>: Overall survival in the CM-9DW trial: median follow-up of 35.2 months (ITT)</w:t>
      </w:r>
    </w:p>
    <w:tbl>
      <w:tblPr>
        <w:tblStyle w:val="TableGrid"/>
        <w:tblW w:w="5000" w:type="pct"/>
        <w:tblLook w:val="04A0" w:firstRow="1" w:lastRow="0" w:firstColumn="1" w:lastColumn="0" w:noHBand="0" w:noVBand="1"/>
        <w:tblCaption w:val="Table 4: Overall survival in the CM-9DW trial: median follow-up of 35.2 months (ITT)"/>
      </w:tblPr>
      <w:tblGrid>
        <w:gridCol w:w="3140"/>
        <w:gridCol w:w="2867"/>
        <w:gridCol w:w="3010"/>
      </w:tblGrid>
      <w:tr w:rsidR="00FC676C" w:rsidRPr="00BD2844" w14:paraId="46A1DE0C" w14:textId="77777777">
        <w:trPr>
          <w:trHeight w:val="142"/>
        </w:trPr>
        <w:tc>
          <w:tcPr>
            <w:tcW w:w="1741" w:type="pct"/>
            <w:vAlign w:val="center"/>
          </w:tcPr>
          <w:p w14:paraId="3C694D54" w14:textId="77777777" w:rsidR="00FC676C" w:rsidRPr="00BD2844" w:rsidRDefault="00FC676C">
            <w:pPr>
              <w:pStyle w:val="Tabletext"/>
              <w:keepNext/>
              <w:keepLines/>
              <w:rPr>
                <w:b/>
                <w:bCs/>
              </w:rPr>
            </w:pPr>
          </w:p>
        </w:tc>
        <w:tc>
          <w:tcPr>
            <w:tcW w:w="1590" w:type="pct"/>
            <w:vAlign w:val="center"/>
          </w:tcPr>
          <w:p w14:paraId="2EC85C2B" w14:textId="77777777" w:rsidR="00FC676C" w:rsidRPr="00BD2844" w:rsidRDefault="00FC676C">
            <w:pPr>
              <w:pStyle w:val="Tabletext"/>
              <w:keepNext/>
              <w:keepLines/>
              <w:jc w:val="center"/>
              <w:rPr>
                <w:b/>
                <w:bCs/>
              </w:rPr>
            </w:pPr>
            <w:r w:rsidRPr="00BD2844">
              <w:rPr>
                <w:b/>
                <w:bCs/>
              </w:rPr>
              <w:t>NIVO+IPI</w:t>
            </w:r>
          </w:p>
          <w:p w14:paraId="5784B07E" w14:textId="77777777" w:rsidR="00FC676C" w:rsidRPr="00BD2844" w:rsidRDefault="00FC676C">
            <w:pPr>
              <w:pStyle w:val="Tabletext"/>
              <w:keepNext/>
              <w:keepLines/>
              <w:jc w:val="center"/>
              <w:rPr>
                <w:b/>
                <w:bCs/>
              </w:rPr>
            </w:pPr>
            <w:r w:rsidRPr="00BD2844">
              <w:rPr>
                <w:b/>
                <w:bCs/>
              </w:rPr>
              <w:t>(N=335)</w:t>
            </w:r>
          </w:p>
        </w:tc>
        <w:tc>
          <w:tcPr>
            <w:tcW w:w="1669" w:type="pct"/>
            <w:vAlign w:val="center"/>
          </w:tcPr>
          <w:p w14:paraId="1873A792" w14:textId="77777777" w:rsidR="00FC676C" w:rsidRPr="00BD2844" w:rsidRDefault="00FC676C">
            <w:pPr>
              <w:pStyle w:val="Tabletext"/>
              <w:keepNext/>
              <w:keepLines/>
              <w:jc w:val="center"/>
              <w:rPr>
                <w:b/>
                <w:bCs/>
              </w:rPr>
            </w:pPr>
            <w:r w:rsidRPr="00BD2844">
              <w:rPr>
                <w:b/>
                <w:bCs/>
              </w:rPr>
              <w:t>SORA/LEN</w:t>
            </w:r>
          </w:p>
          <w:p w14:paraId="27F03EB1" w14:textId="77777777" w:rsidR="00FC676C" w:rsidRPr="00BD2844" w:rsidRDefault="00FC676C">
            <w:pPr>
              <w:pStyle w:val="Tabletext"/>
              <w:keepNext/>
              <w:keepLines/>
              <w:jc w:val="center"/>
              <w:rPr>
                <w:b/>
                <w:bCs/>
              </w:rPr>
            </w:pPr>
            <w:r w:rsidRPr="00BD2844">
              <w:rPr>
                <w:b/>
                <w:bCs/>
              </w:rPr>
              <w:t>(N=333)</w:t>
            </w:r>
          </w:p>
        </w:tc>
      </w:tr>
      <w:tr w:rsidR="00FC676C" w:rsidRPr="00BD2844" w14:paraId="58BED23C" w14:textId="77777777">
        <w:trPr>
          <w:trHeight w:val="142"/>
        </w:trPr>
        <w:tc>
          <w:tcPr>
            <w:tcW w:w="1741" w:type="pct"/>
            <w:vAlign w:val="center"/>
          </w:tcPr>
          <w:p w14:paraId="4AD052B8" w14:textId="77777777" w:rsidR="00FC676C" w:rsidRPr="00BD2844" w:rsidRDefault="00FC676C">
            <w:pPr>
              <w:pStyle w:val="Tabletext"/>
              <w:keepNext/>
              <w:keepLines/>
            </w:pPr>
            <w:r w:rsidRPr="00BD2844">
              <w:t>Events, n/N (%)</w:t>
            </w:r>
          </w:p>
        </w:tc>
        <w:tc>
          <w:tcPr>
            <w:tcW w:w="1590" w:type="pct"/>
            <w:vAlign w:val="center"/>
          </w:tcPr>
          <w:p w14:paraId="350226F3" w14:textId="77777777" w:rsidR="00FC676C" w:rsidRPr="00BD2844" w:rsidRDefault="00FC676C">
            <w:pPr>
              <w:pStyle w:val="Tabletext"/>
              <w:keepNext/>
              <w:keepLines/>
              <w:jc w:val="center"/>
            </w:pPr>
            <w:r w:rsidRPr="00BD2844">
              <w:t>194/335 (57.9)</w:t>
            </w:r>
          </w:p>
        </w:tc>
        <w:tc>
          <w:tcPr>
            <w:tcW w:w="1669" w:type="pct"/>
            <w:vAlign w:val="center"/>
          </w:tcPr>
          <w:p w14:paraId="2E9D0468" w14:textId="77777777" w:rsidR="00FC676C" w:rsidRPr="00BD2844" w:rsidRDefault="00FC676C">
            <w:pPr>
              <w:pStyle w:val="Tabletext"/>
              <w:keepNext/>
              <w:keepLines/>
              <w:jc w:val="center"/>
            </w:pPr>
            <w:r w:rsidRPr="00BD2844">
              <w:t>228/333 (68.5)</w:t>
            </w:r>
          </w:p>
        </w:tc>
      </w:tr>
      <w:tr w:rsidR="00FC676C" w:rsidRPr="00BD2844" w14:paraId="0B5DEEE7" w14:textId="77777777">
        <w:trPr>
          <w:trHeight w:val="142"/>
        </w:trPr>
        <w:tc>
          <w:tcPr>
            <w:tcW w:w="1741" w:type="pct"/>
            <w:vAlign w:val="center"/>
          </w:tcPr>
          <w:p w14:paraId="2B943A70" w14:textId="77777777" w:rsidR="00FC676C" w:rsidRPr="00BD2844" w:rsidRDefault="00FC676C">
            <w:pPr>
              <w:pStyle w:val="Tabletext"/>
              <w:keepNext/>
              <w:keepLines/>
              <w:rPr>
                <w:vertAlign w:val="superscript"/>
              </w:rPr>
            </w:pPr>
            <w:r w:rsidRPr="00BD2844">
              <w:t xml:space="preserve">Median OS (95% CI), months </w:t>
            </w:r>
            <w:r w:rsidRPr="00BD2844">
              <w:rPr>
                <w:vertAlign w:val="superscript"/>
              </w:rPr>
              <w:t>a</w:t>
            </w:r>
          </w:p>
        </w:tc>
        <w:tc>
          <w:tcPr>
            <w:tcW w:w="1590" w:type="pct"/>
            <w:vAlign w:val="center"/>
          </w:tcPr>
          <w:p w14:paraId="7092B114" w14:textId="77777777" w:rsidR="00FC676C" w:rsidRPr="00BD2844" w:rsidRDefault="00FC676C">
            <w:pPr>
              <w:pStyle w:val="Tabletext"/>
              <w:keepNext/>
              <w:keepLines/>
              <w:jc w:val="center"/>
            </w:pPr>
            <w:r w:rsidRPr="00BD2844">
              <w:t>23.66 (18.82, 29.44)</w:t>
            </w:r>
          </w:p>
        </w:tc>
        <w:tc>
          <w:tcPr>
            <w:tcW w:w="1669" w:type="pct"/>
            <w:vAlign w:val="center"/>
          </w:tcPr>
          <w:p w14:paraId="46A036AA" w14:textId="77777777" w:rsidR="00FC676C" w:rsidRPr="00BD2844" w:rsidRDefault="00FC676C">
            <w:pPr>
              <w:pStyle w:val="Tabletext"/>
              <w:keepNext/>
              <w:keepLines/>
              <w:jc w:val="center"/>
            </w:pPr>
            <w:r w:rsidRPr="00BD2844">
              <w:t>20.63 (17.48, 22.54)</w:t>
            </w:r>
          </w:p>
        </w:tc>
      </w:tr>
      <w:tr w:rsidR="00FC676C" w:rsidRPr="00BD2844" w14:paraId="5A354EF0" w14:textId="77777777">
        <w:trPr>
          <w:trHeight w:val="142"/>
        </w:trPr>
        <w:tc>
          <w:tcPr>
            <w:tcW w:w="5000" w:type="pct"/>
            <w:gridSpan w:val="3"/>
            <w:vAlign w:val="center"/>
          </w:tcPr>
          <w:p w14:paraId="2DA2D0E9" w14:textId="77777777" w:rsidR="00FC676C" w:rsidRPr="00BD2844" w:rsidRDefault="00FC676C">
            <w:pPr>
              <w:pStyle w:val="Tabletext"/>
              <w:keepNext/>
              <w:keepLines/>
              <w:rPr>
                <w:b/>
                <w:bCs/>
              </w:rPr>
            </w:pPr>
            <w:r w:rsidRPr="00BD2844">
              <w:rPr>
                <w:b/>
                <w:bCs/>
              </w:rPr>
              <w:t>Overall survival rate (95% CI)</w:t>
            </w:r>
          </w:p>
        </w:tc>
      </w:tr>
      <w:tr w:rsidR="00FC676C" w:rsidRPr="00BD2844" w14:paraId="3DDDEAA1" w14:textId="77777777">
        <w:trPr>
          <w:trHeight w:val="142"/>
        </w:trPr>
        <w:tc>
          <w:tcPr>
            <w:tcW w:w="1741" w:type="pct"/>
            <w:vAlign w:val="center"/>
          </w:tcPr>
          <w:p w14:paraId="4A22344A" w14:textId="77777777" w:rsidR="00FC676C" w:rsidRPr="00BD2844" w:rsidRDefault="00FC676C">
            <w:pPr>
              <w:pStyle w:val="Tabletext"/>
              <w:keepNext/>
              <w:keepLines/>
            </w:pPr>
            <w:r w:rsidRPr="00BD2844">
              <w:t xml:space="preserve">3-month </w:t>
            </w:r>
          </w:p>
        </w:tc>
        <w:tc>
          <w:tcPr>
            <w:tcW w:w="1590" w:type="pct"/>
            <w:vAlign w:val="center"/>
          </w:tcPr>
          <w:p w14:paraId="1D3CD254" w14:textId="77777777" w:rsidR="00FC676C" w:rsidRPr="00BD2844" w:rsidRDefault="00FC676C">
            <w:pPr>
              <w:pStyle w:val="Tabletext"/>
              <w:keepNext/>
              <w:keepLines/>
              <w:jc w:val="center"/>
            </w:pPr>
            <w:r w:rsidRPr="00BD2844">
              <w:t>90.4 (86.7, 93.1)</w:t>
            </w:r>
          </w:p>
        </w:tc>
        <w:tc>
          <w:tcPr>
            <w:tcW w:w="1669" w:type="pct"/>
            <w:vAlign w:val="center"/>
          </w:tcPr>
          <w:p w14:paraId="415D9304" w14:textId="77777777" w:rsidR="00FC676C" w:rsidRPr="00BD2844" w:rsidRDefault="00FC676C">
            <w:pPr>
              <w:pStyle w:val="Tabletext"/>
              <w:keepNext/>
              <w:keepLines/>
              <w:jc w:val="center"/>
            </w:pPr>
            <w:r w:rsidRPr="00BD2844">
              <w:t>95.1 (92.2, 97.0)</w:t>
            </w:r>
          </w:p>
        </w:tc>
      </w:tr>
      <w:tr w:rsidR="00FC676C" w:rsidRPr="00BD2844" w14:paraId="011F1986" w14:textId="77777777">
        <w:trPr>
          <w:trHeight w:val="142"/>
        </w:trPr>
        <w:tc>
          <w:tcPr>
            <w:tcW w:w="1741" w:type="pct"/>
            <w:vAlign w:val="center"/>
          </w:tcPr>
          <w:p w14:paraId="057EE4BB" w14:textId="77777777" w:rsidR="00FC676C" w:rsidRPr="00BD2844" w:rsidRDefault="00FC676C">
            <w:pPr>
              <w:pStyle w:val="Tabletext"/>
              <w:keepNext/>
              <w:keepLines/>
            </w:pPr>
            <w:r w:rsidRPr="00BD2844">
              <w:t>6-month</w:t>
            </w:r>
          </w:p>
        </w:tc>
        <w:tc>
          <w:tcPr>
            <w:tcW w:w="1590" w:type="pct"/>
            <w:vAlign w:val="center"/>
          </w:tcPr>
          <w:p w14:paraId="70197CEC" w14:textId="77777777" w:rsidR="00FC676C" w:rsidRPr="00BD2844" w:rsidRDefault="00FC676C">
            <w:pPr>
              <w:pStyle w:val="Tabletext"/>
              <w:keepNext/>
              <w:keepLines/>
              <w:jc w:val="center"/>
            </w:pPr>
            <w:r w:rsidRPr="00BD2844">
              <w:t>80.1 (75.4, 84.0)</w:t>
            </w:r>
          </w:p>
        </w:tc>
        <w:tc>
          <w:tcPr>
            <w:tcW w:w="1669" w:type="pct"/>
            <w:vAlign w:val="center"/>
          </w:tcPr>
          <w:p w14:paraId="1CDA6345" w14:textId="77777777" w:rsidR="00FC676C" w:rsidRPr="00BD2844" w:rsidRDefault="00FC676C">
            <w:pPr>
              <w:pStyle w:val="Tabletext"/>
              <w:keepNext/>
              <w:keepLines/>
              <w:jc w:val="center"/>
            </w:pPr>
            <w:r w:rsidRPr="00BD2844">
              <w:t>87.1 (83.0, 90.3)</w:t>
            </w:r>
          </w:p>
        </w:tc>
      </w:tr>
      <w:tr w:rsidR="00FC676C" w:rsidRPr="00BD2844" w14:paraId="4DE9F05E" w14:textId="77777777">
        <w:trPr>
          <w:trHeight w:val="142"/>
        </w:trPr>
        <w:tc>
          <w:tcPr>
            <w:tcW w:w="1741" w:type="pct"/>
            <w:vAlign w:val="center"/>
          </w:tcPr>
          <w:p w14:paraId="2122D9C9" w14:textId="77777777" w:rsidR="00FC676C" w:rsidRPr="00BD2844" w:rsidRDefault="00FC676C">
            <w:pPr>
              <w:pStyle w:val="Tabletext"/>
              <w:keepNext/>
              <w:keepLines/>
            </w:pPr>
            <w:r w:rsidRPr="00BD2844">
              <w:t>9-month</w:t>
            </w:r>
          </w:p>
        </w:tc>
        <w:tc>
          <w:tcPr>
            <w:tcW w:w="1590" w:type="pct"/>
            <w:vAlign w:val="center"/>
          </w:tcPr>
          <w:p w14:paraId="5109BF06" w14:textId="77777777" w:rsidR="00FC676C" w:rsidRPr="00BD2844" w:rsidRDefault="00FC676C">
            <w:pPr>
              <w:pStyle w:val="Tabletext"/>
              <w:keepNext/>
              <w:keepLines/>
              <w:jc w:val="center"/>
            </w:pPr>
            <w:r w:rsidRPr="00BD2844">
              <w:t>73.7 (68.6, 78.1)</w:t>
            </w:r>
          </w:p>
        </w:tc>
        <w:tc>
          <w:tcPr>
            <w:tcW w:w="1669" w:type="pct"/>
            <w:vAlign w:val="center"/>
          </w:tcPr>
          <w:p w14:paraId="7DF227B3" w14:textId="77777777" w:rsidR="00FC676C" w:rsidRPr="00BD2844" w:rsidRDefault="00FC676C">
            <w:pPr>
              <w:pStyle w:val="Tabletext"/>
              <w:keepNext/>
              <w:keepLines/>
              <w:jc w:val="center"/>
            </w:pPr>
            <w:r w:rsidRPr="00BD2844">
              <w:t>77.4 (72.4, 81.6)</w:t>
            </w:r>
          </w:p>
        </w:tc>
      </w:tr>
      <w:tr w:rsidR="00FC676C" w:rsidRPr="00BD2844" w14:paraId="0AE39703" w14:textId="77777777">
        <w:trPr>
          <w:trHeight w:val="142"/>
        </w:trPr>
        <w:tc>
          <w:tcPr>
            <w:tcW w:w="1741" w:type="pct"/>
            <w:vAlign w:val="center"/>
          </w:tcPr>
          <w:p w14:paraId="22B7272F" w14:textId="77777777" w:rsidR="00FC676C" w:rsidRPr="00BD2844" w:rsidRDefault="00FC676C">
            <w:pPr>
              <w:pStyle w:val="Tabletext"/>
              <w:keepNext/>
              <w:keepLines/>
            </w:pPr>
            <w:r w:rsidRPr="00BD2844">
              <w:t>12-month</w:t>
            </w:r>
          </w:p>
        </w:tc>
        <w:tc>
          <w:tcPr>
            <w:tcW w:w="1590" w:type="pct"/>
            <w:vAlign w:val="center"/>
          </w:tcPr>
          <w:p w14:paraId="6766F22A" w14:textId="77777777" w:rsidR="00FC676C" w:rsidRPr="00BD2844" w:rsidRDefault="00FC676C">
            <w:pPr>
              <w:pStyle w:val="Tabletext"/>
              <w:keepNext/>
              <w:keepLines/>
              <w:jc w:val="center"/>
            </w:pPr>
            <w:r w:rsidRPr="00BD2844">
              <w:t>68.4 (63.1, 73.2)</w:t>
            </w:r>
          </w:p>
        </w:tc>
        <w:tc>
          <w:tcPr>
            <w:tcW w:w="1669" w:type="pct"/>
            <w:vAlign w:val="center"/>
          </w:tcPr>
          <w:p w14:paraId="73652905" w14:textId="77777777" w:rsidR="00FC676C" w:rsidRPr="00BD2844" w:rsidRDefault="00FC676C">
            <w:pPr>
              <w:pStyle w:val="Tabletext"/>
              <w:keepNext/>
              <w:keepLines/>
              <w:jc w:val="center"/>
            </w:pPr>
            <w:r w:rsidRPr="00BD2844">
              <w:t>69.7 (64.4, 74.5)</w:t>
            </w:r>
          </w:p>
        </w:tc>
      </w:tr>
      <w:tr w:rsidR="00FC676C" w:rsidRPr="00BD2844" w14:paraId="5F35B8C7" w14:textId="77777777">
        <w:trPr>
          <w:trHeight w:val="142"/>
        </w:trPr>
        <w:tc>
          <w:tcPr>
            <w:tcW w:w="1741" w:type="pct"/>
            <w:vAlign w:val="center"/>
          </w:tcPr>
          <w:p w14:paraId="5824FAAC" w14:textId="77777777" w:rsidR="00FC676C" w:rsidRPr="00BD2844" w:rsidRDefault="00FC676C">
            <w:pPr>
              <w:pStyle w:val="Tabletext"/>
              <w:keepNext/>
              <w:keepLines/>
            </w:pPr>
            <w:r w:rsidRPr="00BD2844">
              <w:t>18-month</w:t>
            </w:r>
          </w:p>
        </w:tc>
        <w:tc>
          <w:tcPr>
            <w:tcW w:w="1590" w:type="pct"/>
            <w:vAlign w:val="center"/>
          </w:tcPr>
          <w:p w14:paraId="1DB1753F" w14:textId="77777777" w:rsidR="00FC676C" w:rsidRPr="00BD2844" w:rsidRDefault="00FC676C">
            <w:pPr>
              <w:pStyle w:val="Tabletext"/>
              <w:keepNext/>
              <w:keepLines/>
              <w:jc w:val="center"/>
            </w:pPr>
            <w:r w:rsidRPr="00BD2844">
              <w:t>57.9 (52.3, 63.1)</w:t>
            </w:r>
          </w:p>
        </w:tc>
        <w:tc>
          <w:tcPr>
            <w:tcW w:w="1669" w:type="pct"/>
            <w:vAlign w:val="center"/>
          </w:tcPr>
          <w:p w14:paraId="3BEBC6C8" w14:textId="77777777" w:rsidR="00FC676C" w:rsidRPr="00BD2844" w:rsidRDefault="00FC676C">
            <w:pPr>
              <w:pStyle w:val="Tabletext"/>
              <w:keepNext/>
              <w:keepLines/>
              <w:jc w:val="center"/>
            </w:pPr>
            <w:r w:rsidRPr="00BD2844">
              <w:t>54.3 (48.6, 59.7)</w:t>
            </w:r>
          </w:p>
        </w:tc>
      </w:tr>
      <w:tr w:rsidR="00FC676C" w:rsidRPr="00BD2844" w14:paraId="0852E861" w14:textId="77777777">
        <w:trPr>
          <w:trHeight w:val="142"/>
        </w:trPr>
        <w:tc>
          <w:tcPr>
            <w:tcW w:w="1741" w:type="pct"/>
            <w:vAlign w:val="center"/>
          </w:tcPr>
          <w:p w14:paraId="2AFE8721" w14:textId="77777777" w:rsidR="00FC676C" w:rsidRPr="00BD2844" w:rsidRDefault="00FC676C">
            <w:pPr>
              <w:pStyle w:val="Tabletext"/>
              <w:keepNext/>
              <w:keepLines/>
            </w:pPr>
            <w:r w:rsidRPr="00BD2844">
              <w:t>24-month</w:t>
            </w:r>
          </w:p>
        </w:tc>
        <w:tc>
          <w:tcPr>
            <w:tcW w:w="1590" w:type="pct"/>
            <w:vAlign w:val="center"/>
          </w:tcPr>
          <w:p w14:paraId="0192D8DB" w14:textId="77777777" w:rsidR="00FC676C" w:rsidRPr="00BD2844" w:rsidRDefault="00FC676C">
            <w:pPr>
              <w:pStyle w:val="Tabletext"/>
              <w:keepNext/>
              <w:keepLines/>
              <w:jc w:val="center"/>
            </w:pPr>
            <w:r w:rsidRPr="00BD2844">
              <w:t>49.4 (43.8, 54.8)</w:t>
            </w:r>
          </w:p>
        </w:tc>
        <w:tc>
          <w:tcPr>
            <w:tcW w:w="1669" w:type="pct"/>
            <w:vAlign w:val="center"/>
          </w:tcPr>
          <w:p w14:paraId="7995F131" w14:textId="77777777" w:rsidR="00FC676C" w:rsidRPr="00BD2844" w:rsidRDefault="00FC676C">
            <w:pPr>
              <w:pStyle w:val="Tabletext"/>
              <w:keepNext/>
              <w:keepLines/>
              <w:jc w:val="center"/>
            </w:pPr>
            <w:r w:rsidRPr="00BD2844">
              <w:t>39.2 (33.7, 44.7)</w:t>
            </w:r>
          </w:p>
        </w:tc>
      </w:tr>
      <w:tr w:rsidR="00FC676C" w:rsidRPr="00BD2844" w14:paraId="24F2C659" w14:textId="77777777">
        <w:trPr>
          <w:trHeight w:val="142"/>
        </w:trPr>
        <w:tc>
          <w:tcPr>
            <w:tcW w:w="1741" w:type="pct"/>
            <w:tcBorders>
              <w:bottom w:val="single" w:sz="4" w:space="0" w:color="auto"/>
            </w:tcBorders>
            <w:vAlign w:val="center"/>
          </w:tcPr>
          <w:p w14:paraId="6FA98EC0" w14:textId="77777777" w:rsidR="00FC676C" w:rsidRPr="00BD2844" w:rsidRDefault="00FC676C">
            <w:pPr>
              <w:pStyle w:val="Tabletext"/>
              <w:keepNext/>
              <w:keepLines/>
            </w:pPr>
            <w:r w:rsidRPr="00BD2844">
              <w:t>36-month</w:t>
            </w:r>
          </w:p>
        </w:tc>
        <w:tc>
          <w:tcPr>
            <w:tcW w:w="1590" w:type="pct"/>
            <w:tcBorders>
              <w:bottom w:val="single" w:sz="4" w:space="0" w:color="auto"/>
            </w:tcBorders>
            <w:vAlign w:val="center"/>
          </w:tcPr>
          <w:p w14:paraId="56D660D2" w14:textId="77777777" w:rsidR="00FC676C" w:rsidRPr="00BD2844" w:rsidRDefault="00FC676C">
            <w:pPr>
              <w:pStyle w:val="Tabletext"/>
              <w:keepNext/>
              <w:keepLines/>
              <w:jc w:val="center"/>
            </w:pPr>
            <w:r w:rsidRPr="00BD2844">
              <w:t>37.5 (31.6, 43.4)</w:t>
            </w:r>
          </w:p>
        </w:tc>
        <w:tc>
          <w:tcPr>
            <w:tcW w:w="1669" w:type="pct"/>
            <w:tcBorders>
              <w:bottom w:val="single" w:sz="4" w:space="0" w:color="auto"/>
            </w:tcBorders>
            <w:vAlign w:val="center"/>
          </w:tcPr>
          <w:p w14:paraId="794D48E7" w14:textId="77777777" w:rsidR="00FC676C" w:rsidRPr="00BD2844" w:rsidRDefault="00FC676C">
            <w:pPr>
              <w:pStyle w:val="Tabletext"/>
              <w:keepNext/>
              <w:keepLines/>
              <w:jc w:val="center"/>
            </w:pPr>
            <w:r w:rsidRPr="00BD2844">
              <w:t>24.1 (19.0, 29.6)</w:t>
            </w:r>
          </w:p>
        </w:tc>
      </w:tr>
      <w:tr w:rsidR="00FC676C" w:rsidRPr="00BD2844" w14:paraId="5FB21698" w14:textId="77777777">
        <w:trPr>
          <w:trHeight w:val="142"/>
        </w:trPr>
        <w:tc>
          <w:tcPr>
            <w:tcW w:w="1741" w:type="pct"/>
            <w:tcBorders>
              <w:bottom w:val="single" w:sz="4" w:space="0" w:color="auto"/>
            </w:tcBorders>
            <w:vAlign w:val="center"/>
          </w:tcPr>
          <w:p w14:paraId="10B004B3" w14:textId="77777777" w:rsidR="00FC676C" w:rsidRPr="00BD2844" w:rsidRDefault="00FC676C">
            <w:pPr>
              <w:pStyle w:val="Tabletext"/>
              <w:keepNext/>
              <w:keepLines/>
              <w:rPr>
                <w:vertAlign w:val="superscript"/>
              </w:rPr>
            </w:pPr>
            <w:r w:rsidRPr="00BD2844">
              <w:t>HR (95% CI; p-value)</w:t>
            </w:r>
            <w:r w:rsidRPr="00BD2844">
              <w:rPr>
                <w:vertAlign w:val="superscript"/>
              </w:rPr>
              <w:t>b, c</w:t>
            </w:r>
          </w:p>
        </w:tc>
        <w:tc>
          <w:tcPr>
            <w:tcW w:w="3259" w:type="pct"/>
            <w:gridSpan w:val="2"/>
            <w:tcBorders>
              <w:bottom w:val="single" w:sz="4" w:space="0" w:color="auto"/>
            </w:tcBorders>
            <w:vAlign w:val="center"/>
          </w:tcPr>
          <w:p w14:paraId="4BB0FBA0" w14:textId="77777777" w:rsidR="00FC676C" w:rsidRPr="00BD2844" w:rsidRDefault="00FC676C">
            <w:pPr>
              <w:pStyle w:val="Tabletext"/>
              <w:keepNext/>
              <w:keepLines/>
              <w:jc w:val="center"/>
              <w:rPr>
                <w:b/>
                <w:bCs/>
              </w:rPr>
            </w:pPr>
            <w:r w:rsidRPr="00BD2844">
              <w:rPr>
                <w:b/>
                <w:bCs/>
              </w:rPr>
              <w:t>0.79 (0.65, 0.96; p=0.0180)</w:t>
            </w:r>
          </w:p>
        </w:tc>
      </w:tr>
    </w:tbl>
    <w:p w14:paraId="4E19AD85" w14:textId="77777777" w:rsidR="00FC676C" w:rsidRPr="00BD2844" w:rsidRDefault="00FC676C" w:rsidP="00FC676C">
      <w:pPr>
        <w:pStyle w:val="FooterTableFigure"/>
        <w:keepNext/>
        <w:keepLines/>
        <w:jc w:val="left"/>
      </w:pPr>
      <w:r w:rsidRPr="00BD2844">
        <w:t>Source: Table 35, p104 of the submission, Table 7.2-1, p72 of the submission.</w:t>
      </w:r>
    </w:p>
    <w:p w14:paraId="4A229B29" w14:textId="77777777" w:rsidR="00FC676C" w:rsidRPr="00BD2844" w:rsidRDefault="00FC676C" w:rsidP="00FC676C">
      <w:pPr>
        <w:pStyle w:val="FooterTableFigure"/>
        <w:keepNext/>
        <w:keepLines/>
        <w:jc w:val="left"/>
      </w:pPr>
      <w:r w:rsidRPr="00BD2844">
        <w:t>CI = confidence interval; HR = hazard ratio; IPI = ipilimumab; ITT = intention to treat; LEN = lenvatinib; NIVO = nivolumab; OS = overall survival; SORA = sorafenib.</w:t>
      </w:r>
    </w:p>
    <w:p w14:paraId="2CA7578D" w14:textId="77777777" w:rsidR="00FC676C" w:rsidRPr="00BD2844" w:rsidRDefault="00FC676C" w:rsidP="00FC676C">
      <w:pPr>
        <w:pStyle w:val="FooterTableFigure"/>
        <w:keepNext/>
        <w:keepLines/>
        <w:jc w:val="left"/>
      </w:pPr>
      <w:r w:rsidRPr="00BD2844">
        <w:rPr>
          <w:vertAlign w:val="superscript"/>
        </w:rPr>
        <w:t>a</w:t>
      </w:r>
      <w:r w:rsidRPr="00BD2844">
        <w:t xml:space="preserve"> Based on Kaplan Meier estimate.</w:t>
      </w:r>
    </w:p>
    <w:p w14:paraId="2AD68607" w14:textId="77777777" w:rsidR="00FC676C" w:rsidRPr="00BD2844" w:rsidRDefault="00FC676C" w:rsidP="00FC676C">
      <w:pPr>
        <w:pStyle w:val="FooterTableFigure"/>
        <w:keepNext/>
        <w:keepLines/>
        <w:jc w:val="left"/>
      </w:pPr>
      <w:r w:rsidRPr="00BD2844">
        <w:rPr>
          <w:vertAlign w:val="superscript"/>
        </w:rPr>
        <w:t>b</w:t>
      </w:r>
      <w:r w:rsidRPr="00BD2844">
        <w:t xml:space="preserve"> Stratified Cox proportional hazard model.</w:t>
      </w:r>
    </w:p>
    <w:p w14:paraId="02E0912A" w14:textId="77777777" w:rsidR="00FC676C" w:rsidRPr="00BD2844" w:rsidRDefault="00FC676C" w:rsidP="00FC676C">
      <w:pPr>
        <w:pStyle w:val="FooterTableFigure"/>
        <w:keepNext/>
        <w:keepLines/>
        <w:jc w:val="left"/>
      </w:pPr>
      <w:r w:rsidRPr="00BD2844">
        <w:rPr>
          <w:vertAlign w:val="superscript"/>
        </w:rPr>
        <w:t>c</w:t>
      </w:r>
      <w:r w:rsidRPr="00BD2844">
        <w:t xml:space="preserve"> Two-sided p-value from stratified log-rank test.</w:t>
      </w:r>
    </w:p>
    <w:p w14:paraId="7C2DAAD5" w14:textId="77777777" w:rsidR="00FC676C" w:rsidRPr="00BD2844" w:rsidRDefault="00FC676C" w:rsidP="00FC676C">
      <w:pPr>
        <w:pStyle w:val="FooterTableFigure"/>
        <w:keepNext/>
        <w:keepLines/>
        <w:jc w:val="left"/>
      </w:pPr>
      <w:r w:rsidRPr="00BD2844">
        <w:t>Boundary for statistical significance p-value &lt;= 0.0257.</w:t>
      </w:r>
      <w:r w:rsidRPr="00BD2844">
        <w:br/>
      </w:r>
      <w:r w:rsidRPr="00BD2844">
        <w:rPr>
          <w:b/>
          <w:bCs/>
        </w:rPr>
        <w:t xml:space="preserve">Bold </w:t>
      </w:r>
      <w:r w:rsidRPr="00BD2844">
        <w:t>text indicates a statistically significant result.</w:t>
      </w:r>
    </w:p>
    <w:p w14:paraId="7EFF9E85" w14:textId="77777777" w:rsidR="00FC676C" w:rsidRPr="00BD2844" w:rsidRDefault="00FC676C" w:rsidP="00FC676C">
      <w:pPr>
        <w:pStyle w:val="FooterTableFigure"/>
        <w:keepNext/>
        <w:keepLines/>
        <w:jc w:val="left"/>
      </w:pPr>
    </w:p>
    <w:p w14:paraId="2F714FE0" w14:textId="7F00156D" w:rsidR="00FC676C" w:rsidRPr="00BD2844" w:rsidRDefault="00FC676C" w:rsidP="00FC676C">
      <w:pPr>
        <w:pStyle w:val="Caption"/>
      </w:pPr>
      <w:bookmarkStart w:id="52" w:name="_Ref195359570"/>
      <w:r w:rsidRPr="00BD2844">
        <w:t xml:space="preserve">Figure </w:t>
      </w:r>
      <w:r w:rsidR="008E02ED">
        <w:fldChar w:fldCharType="begin"/>
      </w:r>
      <w:r w:rsidR="008E02ED">
        <w:instrText xml:space="preserve"> SEQ Figure \* ARABIC </w:instrText>
      </w:r>
      <w:r w:rsidR="008E02ED">
        <w:fldChar w:fldCharType="separate"/>
      </w:r>
      <w:r w:rsidR="008C7D22">
        <w:rPr>
          <w:noProof/>
        </w:rPr>
        <w:t>1</w:t>
      </w:r>
      <w:r w:rsidR="008E02ED">
        <w:fldChar w:fldCharType="end"/>
      </w:r>
      <w:bookmarkEnd w:id="52"/>
      <w:r w:rsidRPr="00BD2844">
        <w:t>: Kaplan Meier curves of overall survival in the CM-9DW trial (NIVO+IPI vs SORA/LEN) (ITT)</w:t>
      </w:r>
    </w:p>
    <w:p w14:paraId="29120C15" w14:textId="77777777" w:rsidR="00FC676C" w:rsidRPr="00BD2844" w:rsidRDefault="00FC676C" w:rsidP="00FC676C">
      <w:pPr>
        <w:keepNext/>
        <w:keepLines/>
      </w:pPr>
      <w:r w:rsidRPr="00BD2844">
        <w:rPr>
          <w:noProof/>
        </w:rPr>
        <w:drawing>
          <wp:inline distT="0" distB="0" distL="0" distR="0" wp14:anchorId="2021465D" wp14:editId="79721813">
            <wp:extent cx="4649372" cy="3572847"/>
            <wp:effectExtent l="0" t="0" r="0" b="8890"/>
            <wp:docPr id="902529573" name="Picture 1" descr="Figure 1: Kaplan Meier curves of overall survival in the CM-9DW trial (NIVO+IPI vs SORA/LEN)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29573" name="Picture 1" descr="Figure 1: Kaplan Meier curves of overall survival in the CM-9DW trial (NIVO+IPI vs SORA/LEN) (ITT)"/>
                    <pic:cNvPicPr/>
                  </pic:nvPicPr>
                  <pic:blipFill>
                    <a:blip r:embed="rId8"/>
                    <a:stretch>
                      <a:fillRect/>
                    </a:stretch>
                  </pic:blipFill>
                  <pic:spPr>
                    <a:xfrm>
                      <a:off x="0" y="0"/>
                      <a:ext cx="4701002" cy="3612522"/>
                    </a:xfrm>
                    <a:prstGeom prst="rect">
                      <a:avLst/>
                    </a:prstGeom>
                  </pic:spPr>
                </pic:pic>
              </a:graphicData>
            </a:graphic>
          </wp:inline>
        </w:drawing>
      </w:r>
    </w:p>
    <w:p w14:paraId="346654F3" w14:textId="77777777" w:rsidR="00FC676C" w:rsidRPr="00BD2844" w:rsidRDefault="00FC676C" w:rsidP="00FC676C">
      <w:pPr>
        <w:pStyle w:val="FooterTableFigure"/>
        <w:keepNext/>
        <w:keepLines/>
      </w:pPr>
      <w:r w:rsidRPr="00BD2844">
        <w:t>Source: Figure 9, p105 of the submission.</w:t>
      </w:r>
    </w:p>
    <w:p w14:paraId="2853F99B" w14:textId="5F9BAE82" w:rsidR="00FC676C" w:rsidRPr="00BD2844" w:rsidRDefault="00FC676C" w:rsidP="00FC676C">
      <w:pPr>
        <w:pStyle w:val="FooterTableFigure"/>
        <w:keepNext/>
        <w:keepLines/>
      </w:pPr>
      <w:r w:rsidRPr="00BD2844">
        <w:t xml:space="preserve">CI = confidence interval; Ipi/IPI = ipilimumab; ITT = intention to treat; </w:t>
      </w:r>
      <w:proofErr w:type="spellStart"/>
      <w:r w:rsidRPr="00BD2844">
        <w:t>Lenva</w:t>
      </w:r>
      <w:proofErr w:type="spellEnd"/>
      <w:r w:rsidRPr="00BD2844">
        <w:t xml:space="preserve">/LEN = lenvatinib; </w:t>
      </w:r>
      <w:proofErr w:type="spellStart"/>
      <w:r w:rsidRPr="00BD2844">
        <w:t>Nivo</w:t>
      </w:r>
      <w:proofErr w:type="spellEnd"/>
      <w:r w:rsidRPr="00BD2844">
        <w:t>/NIVO = nivolumab; Sora/SORA = sorafenib.</w:t>
      </w:r>
    </w:p>
    <w:p w14:paraId="389B834E" w14:textId="111F83E0" w:rsidR="00FC676C" w:rsidRPr="00AC20B4" w:rsidRDefault="00FC676C" w:rsidP="00FC676C">
      <w:pPr>
        <w:pStyle w:val="3-BodyText"/>
      </w:pPr>
      <w:r w:rsidRPr="00BD2844">
        <w:t xml:space="preserve">The median OS for NIVO+IPI and SORA/LEN was 23.66 months and 20.63 months, respectively. There was </w:t>
      </w:r>
      <w:r w:rsidR="00166CDC" w:rsidRPr="00BD2844">
        <w:t xml:space="preserve">statistically significant </w:t>
      </w:r>
      <w:r w:rsidRPr="00BD2844">
        <w:t xml:space="preserve">improvement in OS for NIVO+IPI over </w:t>
      </w:r>
      <w:r w:rsidRPr="00BD2844">
        <w:lastRenderedPageBreak/>
        <w:t>SORA/LEN (HR: 0.79; 95%CI: 0.65, 0.96; p=0.0180). The KM curves show an initial separation from approximately 3 months favouring SORA/LEN. This trend continued until the curves crossed at approximately 12 months, suggesting that the proportional hazards assumption was violated. Given the violation of the proportional hazards assumption</w:t>
      </w:r>
      <w:r w:rsidR="00D64FF6" w:rsidRPr="00BD2844">
        <w:t>,</w:t>
      </w:r>
      <w:r w:rsidRPr="00BD2844">
        <w:t xml:space="preserve"> the </w:t>
      </w:r>
      <w:r w:rsidR="008352C0" w:rsidRPr="00BD2844">
        <w:t xml:space="preserve">evaluation considered the </w:t>
      </w:r>
      <w:r w:rsidRPr="00BD2844">
        <w:t xml:space="preserve">HR, CIs and p-values for this analysis should be interpreted with caution. There were 12 deaths in the NIVO+IPI arm due to study drug toxicity with 11 of these occurring within the first 6 months of treatment. By comparison, 6 deaths attributable to study drug toxicity occurred in the SORA/LEN arm, with 2 of these occurring in the first 12 months. </w:t>
      </w:r>
      <w:r w:rsidR="00B35F49" w:rsidRPr="00AC20B4">
        <w:t>The PSCR noted this pattern of survival has been observed in other indications for NIVO+IPI</w:t>
      </w:r>
      <w:r w:rsidR="004215C5" w:rsidRPr="00AC20B4">
        <w:t xml:space="preserve"> and that t</w:t>
      </w:r>
      <w:r w:rsidR="00B35F49" w:rsidRPr="00AC20B4">
        <w:t>h</w:t>
      </w:r>
      <w:r w:rsidR="004215C5" w:rsidRPr="00AC20B4">
        <w:t>is</w:t>
      </w:r>
      <w:r w:rsidR="00B35F49" w:rsidRPr="00AC20B4">
        <w:t xml:space="preserve"> combination is known to result in early treatment-related toxicity (largely due to the IPI component); however, this is balanced over time by the long-term survival of a proportion of patients (</w:t>
      </w:r>
      <w:proofErr w:type="spellStart"/>
      <w:r w:rsidR="00B35F49" w:rsidRPr="00AC20B4">
        <w:t>Schadendorf</w:t>
      </w:r>
      <w:proofErr w:type="spellEnd"/>
      <w:r w:rsidR="00B35F49" w:rsidRPr="00AC20B4">
        <w:t xml:space="preserve">, 2017). </w:t>
      </w:r>
      <w:r w:rsidR="00384718" w:rsidRPr="00AC20B4">
        <w:t>The PSCR suggested that this risk may be mitigated through careful selection of patients by clinicians although notes that no specific guidelines on the topic exist to identify these types of patients</w:t>
      </w:r>
      <w:r w:rsidR="00D96156" w:rsidRPr="00AC20B4">
        <w:t xml:space="preserve">. The ESC noted </w:t>
      </w:r>
      <w:r w:rsidR="00384718" w:rsidRPr="00AC20B4">
        <w:t xml:space="preserve">the requested restrictions </w:t>
      </w:r>
      <w:r w:rsidR="00987CF0" w:rsidRPr="00AC20B4">
        <w:t xml:space="preserve">do not </w:t>
      </w:r>
      <w:r w:rsidR="000A2797" w:rsidRPr="00AC20B4">
        <w:t xml:space="preserve">account for this </w:t>
      </w:r>
      <w:proofErr w:type="gramStart"/>
      <w:r w:rsidR="000A2797" w:rsidRPr="00AC20B4">
        <w:t xml:space="preserve">particular </w:t>
      </w:r>
      <w:r w:rsidR="00384718" w:rsidRPr="00AC20B4">
        <w:t>patient</w:t>
      </w:r>
      <w:proofErr w:type="gramEnd"/>
      <w:r w:rsidR="00384718" w:rsidRPr="00AC20B4">
        <w:t xml:space="preserve"> population</w:t>
      </w:r>
      <w:r w:rsidR="00527FFC" w:rsidRPr="00AC20B4">
        <w:t xml:space="preserve"> and </w:t>
      </w:r>
      <w:r w:rsidR="007A55DA" w:rsidRPr="00AC20B4">
        <w:t xml:space="preserve">that </w:t>
      </w:r>
      <w:r w:rsidR="00527FFC" w:rsidRPr="00AC20B4">
        <w:t>n</w:t>
      </w:r>
      <w:r w:rsidR="00384718" w:rsidRPr="00AC20B4">
        <w:t>o clinical evidence was provided to inform which patients would be less likely to experience early toxicity.</w:t>
      </w:r>
      <w:r w:rsidR="00F21972">
        <w:t xml:space="preserve"> The pre-PBAC response </w:t>
      </w:r>
      <w:r w:rsidR="00572BFD" w:rsidRPr="00572BFD">
        <w:t>suggested that patients with extrahepatic spread (EHS) or macrovascular invasion (MVI), alpha fetoprotein (AFP) levels ≥400 ng/mL, larger tumours and higher number of liver nodules (&gt;3), poorer liver function, and worse performance status, may not be considered the most appropriate candidates for NIVO+IPI based on an early death analysis using a multivariate logistic model</w:t>
      </w:r>
      <w:r w:rsidR="00572BFD">
        <w:t>.</w:t>
      </w:r>
    </w:p>
    <w:p w14:paraId="41091290" w14:textId="22D21C90" w:rsidR="00FC676C" w:rsidRPr="00BD2844" w:rsidRDefault="00FC676C" w:rsidP="00FC676C">
      <w:pPr>
        <w:pStyle w:val="3-BodyText"/>
      </w:pPr>
      <w:r w:rsidRPr="00BD2844">
        <w:t xml:space="preserve">During the evaluation results for restricted mean survival time (RMST) were extracted from the CM-9DW Clinical Study Report (CSR). The results are presented in </w:t>
      </w:r>
      <w:r w:rsidRPr="00BD2844">
        <w:fldChar w:fldCharType="begin"/>
      </w:r>
      <w:r w:rsidRPr="00BD2844">
        <w:instrText xml:space="preserve"> REF _Ref195639945 \h </w:instrText>
      </w:r>
      <w:r w:rsidRPr="00BD2844">
        <w:fldChar w:fldCharType="separate"/>
      </w:r>
      <w:r w:rsidR="008C7D22" w:rsidRPr="00BD2844">
        <w:t xml:space="preserve">Table </w:t>
      </w:r>
      <w:r w:rsidR="008C7D22">
        <w:rPr>
          <w:noProof/>
        </w:rPr>
        <w:t>5</w:t>
      </w:r>
      <w:r w:rsidRPr="00BD2844">
        <w:fldChar w:fldCharType="end"/>
      </w:r>
      <w:r w:rsidRPr="00BD2844">
        <w:t>.</w:t>
      </w:r>
    </w:p>
    <w:p w14:paraId="141A063E" w14:textId="76FC69FC" w:rsidR="00FC676C" w:rsidRPr="00BD2844" w:rsidRDefault="00FC676C" w:rsidP="00FC676C">
      <w:pPr>
        <w:pStyle w:val="Caption"/>
      </w:pPr>
      <w:bookmarkStart w:id="53" w:name="_Ref195639945"/>
      <w:r w:rsidRPr="00BD2844">
        <w:t xml:space="preserve">Table </w:t>
      </w:r>
      <w:r w:rsidR="002878AB">
        <w:fldChar w:fldCharType="begin"/>
      </w:r>
      <w:r w:rsidR="002878AB">
        <w:instrText xml:space="preserve"> SEQ Table \* ARABIC </w:instrText>
      </w:r>
      <w:r w:rsidR="002878AB">
        <w:fldChar w:fldCharType="separate"/>
      </w:r>
      <w:r w:rsidR="008C7D22">
        <w:rPr>
          <w:noProof/>
        </w:rPr>
        <w:t>5</w:t>
      </w:r>
      <w:r w:rsidR="002878AB">
        <w:fldChar w:fldCharType="end"/>
      </w:r>
      <w:bookmarkEnd w:id="53"/>
      <w:r w:rsidRPr="00BD2844">
        <w:t>: Restricted mean survival time of overall survival in the CM-9DW trial (ITT)</w:t>
      </w:r>
    </w:p>
    <w:tbl>
      <w:tblPr>
        <w:tblStyle w:val="TableGrid"/>
        <w:tblW w:w="5000" w:type="pct"/>
        <w:tblLook w:val="04A0" w:firstRow="1" w:lastRow="0" w:firstColumn="1" w:lastColumn="0" w:noHBand="0" w:noVBand="1"/>
        <w:tblCaption w:val="Table 5: Restricted mean survival time of overall survival in the CM-9DW trial (ITT)"/>
      </w:tblPr>
      <w:tblGrid>
        <w:gridCol w:w="2354"/>
        <w:gridCol w:w="2151"/>
        <w:gridCol w:w="2256"/>
        <w:gridCol w:w="2256"/>
      </w:tblGrid>
      <w:tr w:rsidR="00FC676C" w:rsidRPr="00BD2844" w14:paraId="75A88F25" w14:textId="77777777">
        <w:trPr>
          <w:trHeight w:val="259"/>
        </w:trPr>
        <w:tc>
          <w:tcPr>
            <w:tcW w:w="1305" w:type="pct"/>
            <w:vAlign w:val="center"/>
          </w:tcPr>
          <w:p w14:paraId="456E2987" w14:textId="77777777" w:rsidR="00FC676C" w:rsidRPr="00BD2844" w:rsidRDefault="00FC676C">
            <w:pPr>
              <w:pStyle w:val="Tabletext"/>
              <w:keepNext/>
              <w:keepLines/>
              <w:rPr>
                <w:b/>
                <w:bCs/>
              </w:rPr>
            </w:pPr>
          </w:p>
        </w:tc>
        <w:tc>
          <w:tcPr>
            <w:tcW w:w="1193" w:type="pct"/>
            <w:vAlign w:val="center"/>
          </w:tcPr>
          <w:p w14:paraId="2E3BF1F1" w14:textId="77777777" w:rsidR="00FC676C" w:rsidRPr="00BD2844" w:rsidRDefault="00FC676C">
            <w:pPr>
              <w:pStyle w:val="Tabletext"/>
              <w:keepNext/>
              <w:keepLines/>
              <w:jc w:val="center"/>
              <w:rPr>
                <w:b/>
                <w:bCs/>
              </w:rPr>
            </w:pPr>
            <w:r w:rsidRPr="00BD2844">
              <w:rPr>
                <w:b/>
                <w:bCs/>
              </w:rPr>
              <w:t>NIVO+IPI</w:t>
            </w:r>
          </w:p>
          <w:p w14:paraId="4CBD727B" w14:textId="77777777" w:rsidR="00FC676C" w:rsidRPr="00BD2844" w:rsidRDefault="00FC676C">
            <w:pPr>
              <w:pStyle w:val="Tabletext"/>
              <w:keepNext/>
              <w:keepLines/>
              <w:jc w:val="center"/>
              <w:rPr>
                <w:b/>
                <w:bCs/>
              </w:rPr>
            </w:pPr>
            <w:r w:rsidRPr="00BD2844">
              <w:rPr>
                <w:b/>
                <w:bCs/>
              </w:rPr>
              <w:t>N=335</w:t>
            </w:r>
          </w:p>
        </w:tc>
        <w:tc>
          <w:tcPr>
            <w:tcW w:w="1251" w:type="pct"/>
            <w:vAlign w:val="center"/>
          </w:tcPr>
          <w:p w14:paraId="1ADDC0E9" w14:textId="77777777" w:rsidR="00FC676C" w:rsidRPr="00BD2844" w:rsidRDefault="00FC676C">
            <w:pPr>
              <w:pStyle w:val="Tabletext"/>
              <w:keepNext/>
              <w:keepLines/>
              <w:jc w:val="center"/>
              <w:rPr>
                <w:b/>
                <w:bCs/>
              </w:rPr>
            </w:pPr>
            <w:r w:rsidRPr="00BD2844">
              <w:rPr>
                <w:b/>
                <w:bCs/>
              </w:rPr>
              <w:t>SORA/LEN</w:t>
            </w:r>
          </w:p>
          <w:p w14:paraId="483E7785" w14:textId="77777777" w:rsidR="00FC676C" w:rsidRPr="00BD2844" w:rsidRDefault="00FC676C">
            <w:pPr>
              <w:pStyle w:val="Tabletext"/>
              <w:keepNext/>
              <w:keepLines/>
              <w:jc w:val="center"/>
              <w:rPr>
                <w:b/>
                <w:bCs/>
              </w:rPr>
            </w:pPr>
            <w:r w:rsidRPr="00BD2844">
              <w:rPr>
                <w:b/>
                <w:bCs/>
              </w:rPr>
              <w:t>N=333</w:t>
            </w:r>
          </w:p>
        </w:tc>
        <w:tc>
          <w:tcPr>
            <w:tcW w:w="1251" w:type="pct"/>
          </w:tcPr>
          <w:p w14:paraId="1F7C1118" w14:textId="77777777" w:rsidR="00FC676C" w:rsidRPr="00BD2844" w:rsidRDefault="00FC676C">
            <w:pPr>
              <w:pStyle w:val="Tabletext"/>
              <w:keepNext/>
              <w:keepLines/>
              <w:jc w:val="center"/>
              <w:rPr>
                <w:b/>
                <w:bCs/>
              </w:rPr>
            </w:pPr>
            <w:r w:rsidRPr="00BD2844">
              <w:rPr>
                <w:b/>
                <w:bCs/>
              </w:rPr>
              <w:t>Difference months (95% CI)</w:t>
            </w:r>
          </w:p>
        </w:tc>
      </w:tr>
      <w:tr w:rsidR="00FC676C" w:rsidRPr="00BD2844" w14:paraId="75A7C415" w14:textId="77777777">
        <w:trPr>
          <w:trHeight w:val="291"/>
        </w:trPr>
        <w:tc>
          <w:tcPr>
            <w:tcW w:w="1305" w:type="pct"/>
            <w:vAlign w:val="center"/>
          </w:tcPr>
          <w:p w14:paraId="5E887EF1" w14:textId="77777777" w:rsidR="00FC676C" w:rsidRPr="00BD2844" w:rsidRDefault="00FC676C">
            <w:pPr>
              <w:pStyle w:val="Tabletext"/>
              <w:keepNext/>
              <w:keepLines/>
            </w:pPr>
            <w:r w:rsidRPr="00BD2844">
              <w:t>6-month</w:t>
            </w:r>
          </w:p>
        </w:tc>
        <w:tc>
          <w:tcPr>
            <w:tcW w:w="1193" w:type="pct"/>
            <w:vAlign w:val="center"/>
          </w:tcPr>
          <w:p w14:paraId="357AD12C" w14:textId="77777777" w:rsidR="00FC676C" w:rsidRPr="00BD2844" w:rsidRDefault="00FC676C">
            <w:pPr>
              <w:pStyle w:val="Tabletext"/>
              <w:keepNext/>
              <w:keepLines/>
              <w:jc w:val="center"/>
            </w:pPr>
            <w:r w:rsidRPr="00BD2844">
              <w:t>5.45 (5.31, 5.59)</w:t>
            </w:r>
          </w:p>
        </w:tc>
        <w:tc>
          <w:tcPr>
            <w:tcW w:w="1251" w:type="pct"/>
            <w:vAlign w:val="center"/>
          </w:tcPr>
          <w:p w14:paraId="43B754DC" w14:textId="77777777" w:rsidR="00FC676C" w:rsidRPr="00BD2844" w:rsidRDefault="00FC676C">
            <w:pPr>
              <w:pStyle w:val="Tabletext"/>
              <w:keepNext/>
              <w:keepLines/>
              <w:jc w:val="center"/>
            </w:pPr>
            <w:r w:rsidRPr="00BD2844">
              <w:t>5.68 (5.56, 5.79)</w:t>
            </w:r>
          </w:p>
        </w:tc>
        <w:tc>
          <w:tcPr>
            <w:tcW w:w="1251" w:type="pct"/>
            <w:vAlign w:val="center"/>
          </w:tcPr>
          <w:p w14:paraId="6B3F4786" w14:textId="77777777" w:rsidR="00FC676C" w:rsidRPr="00BD2844" w:rsidRDefault="00FC676C">
            <w:pPr>
              <w:pStyle w:val="Tabletext"/>
              <w:keepNext/>
              <w:keepLines/>
              <w:jc w:val="center"/>
            </w:pPr>
            <w:r w:rsidRPr="00BD2844">
              <w:t>-0.22 (-0.40, -0.05)</w:t>
            </w:r>
          </w:p>
        </w:tc>
      </w:tr>
      <w:tr w:rsidR="00FC676C" w:rsidRPr="00BD2844" w14:paraId="36E58B25" w14:textId="77777777">
        <w:trPr>
          <w:trHeight w:val="291"/>
        </w:trPr>
        <w:tc>
          <w:tcPr>
            <w:tcW w:w="1305" w:type="pct"/>
            <w:vAlign w:val="center"/>
          </w:tcPr>
          <w:p w14:paraId="401A42C1" w14:textId="77777777" w:rsidR="00FC676C" w:rsidRPr="00BD2844" w:rsidRDefault="00FC676C">
            <w:pPr>
              <w:pStyle w:val="Tabletext"/>
              <w:keepNext/>
              <w:keepLines/>
            </w:pPr>
            <w:r w:rsidRPr="00BD2844">
              <w:t>12-month</w:t>
            </w:r>
          </w:p>
        </w:tc>
        <w:tc>
          <w:tcPr>
            <w:tcW w:w="1193" w:type="pct"/>
            <w:vAlign w:val="center"/>
          </w:tcPr>
          <w:p w14:paraId="4A7FB9F5" w14:textId="77777777" w:rsidR="00FC676C" w:rsidRPr="00BD2844" w:rsidRDefault="00FC676C">
            <w:pPr>
              <w:pStyle w:val="Tabletext"/>
              <w:keepNext/>
              <w:keepLines/>
              <w:jc w:val="center"/>
            </w:pPr>
            <w:r w:rsidRPr="00BD2844">
              <w:t>9.88 (9.49, 10.27)</w:t>
            </w:r>
          </w:p>
        </w:tc>
        <w:tc>
          <w:tcPr>
            <w:tcW w:w="1251" w:type="pct"/>
            <w:vAlign w:val="center"/>
          </w:tcPr>
          <w:p w14:paraId="210DCFA9" w14:textId="77777777" w:rsidR="00FC676C" w:rsidRPr="00BD2844" w:rsidRDefault="00FC676C">
            <w:pPr>
              <w:pStyle w:val="Tabletext"/>
              <w:keepNext/>
              <w:keepLines/>
              <w:jc w:val="center"/>
            </w:pPr>
            <w:r w:rsidRPr="00BD2844">
              <w:t>10.37 (10.03, 10.70)</w:t>
            </w:r>
          </w:p>
        </w:tc>
        <w:tc>
          <w:tcPr>
            <w:tcW w:w="1251" w:type="pct"/>
            <w:vAlign w:val="center"/>
          </w:tcPr>
          <w:p w14:paraId="29E45033" w14:textId="77777777" w:rsidR="00FC676C" w:rsidRPr="00BD2844" w:rsidRDefault="00FC676C">
            <w:pPr>
              <w:pStyle w:val="Tabletext"/>
              <w:keepNext/>
              <w:keepLines/>
              <w:jc w:val="center"/>
            </w:pPr>
            <w:r w:rsidRPr="00BD2844">
              <w:t>-0.49 (-1.00, 0.02)</w:t>
            </w:r>
          </w:p>
        </w:tc>
      </w:tr>
      <w:tr w:rsidR="00FC676C" w:rsidRPr="00BD2844" w14:paraId="3D276CFF" w14:textId="77777777">
        <w:trPr>
          <w:trHeight w:val="291"/>
        </w:trPr>
        <w:tc>
          <w:tcPr>
            <w:tcW w:w="1305" w:type="pct"/>
            <w:vAlign w:val="center"/>
          </w:tcPr>
          <w:p w14:paraId="1F17E362" w14:textId="77777777" w:rsidR="00FC676C" w:rsidRPr="00BD2844" w:rsidRDefault="00FC676C">
            <w:pPr>
              <w:pStyle w:val="Tabletext"/>
              <w:keepNext/>
              <w:keepLines/>
              <w:rPr>
                <w:vertAlign w:val="superscript"/>
              </w:rPr>
            </w:pPr>
            <w:r w:rsidRPr="00BD2844">
              <w:t>18-month</w:t>
            </w:r>
          </w:p>
        </w:tc>
        <w:tc>
          <w:tcPr>
            <w:tcW w:w="1193" w:type="pct"/>
            <w:vAlign w:val="center"/>
          </w:tcPr>
          <w:p w14:paraId="727AF161" w14:textId="77777777" w:rsidR="00FC676C" w:rsidRPr="00BD2844" w:rsidRDefault="00FC676C">
            <w:pPr>
              <w:pStyle w:val="Tabletext"/>
              <w:keepNext/>
              <w:keepLines/>
              <w:jc w:val="center"/>
            </w:pPr>
            <w:r w:rsidRPr="00BD2844">
              <w:t>13.72 (13.06, 14.37)</w:t>
            </w:r>
          </w:p>
        </w:tc>
        <w:tc>
          <w:tcPr>
            <w:tcW w:w="1251" w:type="pct"/>
            <w:vAlign w:val="center"/>
          </w:tcPr>
          <w:p w14:paraId="718AFAB7" w14:textId="77777777" w:rsidR="00FC676C" w:rsidRPr="00BD2844" w:rsidRDefault="00FC676C">
            <w:pPr>
              <w:pStyle w:val="Tabletext"/>
              <w:keepNext/>
              <w:keepLines/>
              <w:jc w:val="center"/>
            </w:pPr>
            <w:r w:rsidRPr="00BD2844">
              <w:t>14.12 (13.53, 14.71)</w:t>
            </w:r>
          </w:p>
        </w:tc>
        <w:tc>
          <w:tcPr>
            <w:tcW w:w="1251" w:type="pct"/>
            <w:vAlign w:val="center"/>
          </w:tcPr>
          <w:p w14:paraId="7BC12EA5" w14:textId="77777777" w:rsidR="00FC676C" w:rsidRPr="00BD2844" w:rsidRDefault="00FC676C">
            <w:pPr>
              <w:pStyle w:val="Tabletext"/>
              <w:keepNext/>
              <w:keepLines/>
              <w:jc w:val="center"/>
            </w:pPr>
            <w:r w:rsidRPr="00BD2844">
              <w:t>-0.40 (-1.28, 0.48)</w:t>
            </w:r>
          </w:p>
        </w:tc>
      </w:tr>
      <w:tr w:rsidR="00FC676C" w:rsidRPr="00BD2844" w14:paraId="3539D08F" w14:textId="77777777">
        <w:trPr>
          <w:trHeight w:val="291"/>
        </w:trPr>
        <w:tc>
          <w:tcPr>
            <w:tcW w:w="1305" w:type="pct"/>
            <w:vAlign w:val="center"/>
          </w:tcPr>
          <w:p w14:paraId="2C8D529F" w14:textId="77777777" w:rsidR="00FC676C" w:rsidRPr="00BD2844" w:rsidRDefault="00FC676C">
            <w:pPr>
              <w:pStyle w:val="Tabletext"/>
              <w:keepNext/>
              <w:keepLines/>
            </w:pPr>
            <w:r w:rsidRPr="00BD2844">
              <w:t>24-month</w:t>
            </w:r>
          </w:p>
        </w:tc>
        <w:tc>
          <w:tcPr>
            <w:tcW w:w="1193" w:type="pct"/>
            <w:vAlign w:val="center"/>
          </w:tcPr>
          <w:p w14:paraId="44A76B63" w14:textId="77777777" w:rsidR="00FC676C" w:rsidRPr="00BD2844" w:rsidRDefault="00FC676C">
            <w:pPr>
              <w:pStyle w:val="Tabletext"/>
              <w:keepNext/>
              <w:keepLines/>
              <w:jc w:val="center"/>
            </w:pPr>
            <w:r w:rsidRPr="00BD2844">
              <w:t>16.92 (16.00, 17.85)</w:t>
            </w:r>
          </w:p>
        </w:tc>
        <w:tc>
          <w:tcPr>
            <w:tcW w:w="1251" w:type="pct"/>
            <w:vAlign w:val="center"/>
          </w:tcPr>
          <w:p w14:paraId="65CF95B2" w14:textId="77777777" w:rsidR="00FC676C" w:rsidRPr="00BD2844" w:rsidRDefault="00FC676C">
            <w:pPr>
              <w:pStyle w:val="Tabletext"/>
              <w:keepNext/>
              <w:keepLines/>
              <w:jc w:val="center"/>
            </w:pPr>
            <w:r w:rsidRPr="00BD2844">
              <w:t>17.00 (16.15, 17.85)</w:t>
            </w:r>
          </w:p>
        </w:tc>
        <w:tc>
          <w:tcPr>
            <w:tcW w:w="1251" w:type="pct"/>
            <w:vAlign w:val="center"/>
          </w:tcPr>
          <w:p w14:paraId="67AEBA9C" w14:textId="77777777" w:rsidR="00FC676C" w:rsidRPr="00BD2844" w:rsidRDefault="00FC676C">
            <w:pPr>
              <w:pStyle w:val="Tabletext"/>
              <w:keepNext/>
              <w:keepLines/>
              <w:jc w:val="center"/>
            </w:pPr>
            <w:r w:rsidRPr="00BD2844">
              <w:t>-0.08 (-1.33, 1.18)</w:t>
            </w:r>
          </w:p>
        </w:tc>
      </w:tr>
      <w:tr w:rsidR="00FC676C" w:rsidRPr="00BD2844" w14:paraId="1FAA9B4F" w14:textId="77777777">
        <w:trPr>
          <w:trHeight w:val="291"/>
        </w:trPr>
        <w:tc>
          <w:tcPr>
            <w:tcW w:w="1305" w:type="pct"/>
            <w:vAlign w:val="center"/>
          </w:tcPr>
          <w:p w14:paraId="0602C848" w14:textId="77777777" w:rsidR="00FC676C" w:rsidRPr="00BD2844" w:rsidRDefault="00FC676C">
            <w:pPr>
              <w:pStyle w:val="Tabletext"/>
              <w:keepNext/>
              <w:keepLines/>
            </w:pPr>
            <w:r w:rsidRPr="00BD2844">
              <w:t>30-month</w:t>
            </w:r>
          </w:p>
        </w:tc>
        <w:tc>
          <w:tcPr>
            <w:tcW w:w="1193" w:type="pct"/>
            <w:vAlign w:val="center"/>
          </w:tcPr>
          <w:p w14:paraId="33CA2CD4" w14:textId="77777777" w:rsidR="00FC676C" w:rsidRPr="00BD2844" w:rsidRDefault="00FC676C">
            <w:pPr>
              <w:pStyle w:val="Tabletext"/>
              <w:keepNext/>
              <w:keepLines/>
              <w:jc w:val="center"/>
            </w:pPr>
            <w:r w:rsidRPr="00BD2844">
              <w:t>19.71 (18.51, 20.90)</w:t>
            </w:r>
          </w:p>
        </w:tc>
        <w:tc>
          <w:tcPr>
            <w:tcW w:w="1251" w:type="pct"/>
            <w:vAlign w:val="center"/>
          </w:tcPr>
          <w:p w14:paraId="6E267D1B" w14:textId="77777777" w:rsidR="00FC676C" w:rsidRPr="00BD2844" w:rsidRDefault="00FC676C">
            <w:pPr>
              <w:pStyle w:val="Tabletext"/>
              <w:keepNext/>
              <w:keepLines/>
              <w:jc w:val="center"/>
            </w:pPr>
            <w:r w:rsidRPr="00BD2844">
              <w:t>19.19 (18.09, 20.28)</w:t>
            </w:r>
          </w:p>
        </w:tc>
        <w:tc>
          <w:tcPr>
            <w:tcW w:w="1251" w:type="pct"/>
            <w:vAlign w:val="center"/>
          </w:tcPr>
          <w:p w14:paraId="559A6892" w14:textId="77777777" w:rsidR="00FC676C" w:rsidRPr="00BD2844" w:rsidRDefault="00FC676C">
            <w:pPr>
              <w:pStyle w:val="Tabletext"/>
              <w:keepNext/>
              <w:keepLines/>
              <w:jc w:val="center"/>
            </w:pPr>
            <w:r w:rsidRPr="00BD2844">
              <w:t>0.52 (-1.10, 2.14)</w:t>
            </w:r>
          </w:p>
        </w:tc>
      </w:tr>
      <w:tr w:rsidR="00FC676C" w:rsidRPr="00BD2844" w14:paraId="1CC1F8B3" w14:textId="77777777">
        <w:trPr>
          <w:trHeight w:val="291"/>
        </w:trPr>
        <w:tc>
          <w:tcPr>
            <w:tcW w:w="1305" w:type="pct"/>
            <w:vAlign w:val="center"/>
          </w:tcPr>
          <w:p w14:paraId="6F14D93F" w14:textId="77777777" w:rsidR="00FC676C" w:rsidRPr="00BD2844" w:rsidRDefault="00FC676C">
            <w:pPr>
              <w:pStyle w:val="Tabletext"/>
              <w:keepNext/>
              <w:keepLines/>
            </w:pPr>
            <w:r w:rsidRPr="00BD2844">
              <w:t>36-month</w:t>
            </w:r>
          </w:p>
        </w:tc>
        <w:tc>
          <w:tcPr>
            <w:tcW w:w="1193" w:type="pct"/>
            <w:vAlign w:val="center"/>
          </w:tcPr>
          <w:p w14:paraId="0DDF44E5" w14:textId="77777777" w:rsidR="00FC676C" w:rsidRPr="00BD2844" w:rsidRDefault="00FC676C">
            <w:pPr>
              <w:pStyle w:val="Tabletext"/>
              <w:keepNext/>
              <w:keepLines/>
              <w:jc w:val="center"/>
            </w:pPr>
            <w:r w:rsidRPr="00BD2844">
              <w:t>22.16 (20.70, 23.62)</w:t>
            </w:r>
          </w:p>
        </w:tc>
        <w:tc>
          <w:tcPr>
            <w:tcW w:w="1251" w:type="pct"/>
            <w:vAlign w:val="center"/>
          </w:tcPr>
          <w:p w14:paraId="4962B42C" w14:textId="77777777" w:rsidR="00FC676C" w:rsidRPr="00BD2844" w:rsidRDefault="00FC676C">
            <w:pPr>
              <w:pStyle w:val="Tabletext"/>
              <w:keepNext/>
              <w:keepLines/>
              <w:jc w:val="center"/>
            </w:pPr>
            <w:r w:rsidRPr="00BD2844">
              <w:t>20.80 (19.49,22.11)</w:t>
            </w:r>
          </w:p>
        </w:tc>
        <w:tc>
          <w:tcPr>
            <w:tcW w:w="1251" w:type="pct"/>
            <w:vAlign w:val="center"/>
          </w:tcPr>
          <w:p w14:paraId="6AA6D18D" w14:textId="77777777" w:rsidR="00FC676C" w:rsidRPr="00BD2844" w:rsidRDefault="00FC676C">
            <w:pPr>
              <w:pStyle w:val="Tabletext"/>
              <w:keepNext/>
              <w:keepLines/>
              <w:jc w:val="center"/>
            </w:pPr>
            <w:r w:rsidRPr="00BD2844">
              <w:t>1.36 (-0.61, 3.32)</w:t>
            </w:r>
          </w:p>
        </w:tc>
      </w:tr>
    </w:tbl>
    <w:p w14:paraId="586EA2C6" w14:textId="77777777" w:rsidR="00FC676C" w:rsidRPr="00BD2844" w:rsidRDefault="00FC676C" w:rsidP="00FC676C">
      <w:pPr>
        <w:pStyle w:val="TableFigureFooter"/>
      </w:pPr>
      <w:r w:rsidRPr="00BD2844">
        <w:t>Source: Table 14.2.1.14, p 483 of Attachment ca2099dw-primary-csr-14-tables, of the submission.</w:t>
      </w:r>
    </w:p>
    <w:p w14:paraId="2767652A" w14:textId="77777777" w:rsidR="00FC676C" w:rsidRPr="00BD2844" w:rsidRDefault="00FC676C" w:rsidP="00FC676C">
      <w:pPr>
        <w:pStyle w:val="TableFigureFooter"/>
      </w:pPr>
      <w:r w:rsidRPr="00BD2844">
        <w:t>CI = confidence interval; IPI = ipilimumab; LEN = lenvatinib; NIVO = nivolumab; OS = overall survival; SORA = sorafenib.</w:t>
      </w:r>
    </w:p>
    <w:p w14:paraId="44A0D0ED" w14:textId="6A43B1DC" w:rsidR="00FC676C" w:rsidRPr="00BD2844" w:rsidRDefault="00FC676C" w:rsidP="00FC676C">
      <w:pPr>
        <w:pStyle w:val="3-BodyText"/>
      </w:pPr>
      <w:r w:rsidRPr="00BD2844">
        <w:t xml:space="preserve">RMST is recommended for use to estimate treatment effect when the proportional hazards assumption has been violated. The analysis demonstrated that for the first 24 months SORA/LEN had numerically longer median OS compared to NIVO+IPI. At 36 months NIVO+IPI had a longer median OS than SORA/LEN, but this difference was not statistically significant, noting that RMST analyses were post-hoc and not powered to achieve statistical significance. </w:t>
      </w:r>
    </w:p>
    <w:p w14:paraId="687BF7AD" w14:textId="77777777" w:rsidR="00FC676C" w:rsidRPr="00BD2844" w:rsidRDefault="00FC676C" w:rsidP="00FC676C">
      <w:pPr>
        <w:pStyle w:val="3-BodyText"/>
      </w:pPr>
      <w:r w:rsidRPr="00BD2844">
        <w:lastRenderedPageBreak/>
        <w:t>Median PFS by blinded independent clinical review (BICR) was 9.07 months for the NIVO+IPI treatment arm which was numerically shorter than the 9.20 months for the SORA/LEN treatment arm. The HR for PFS (BICR) was numerically in favour of NIVO+IPI (HR: 0.87; 95% CI: 0.72,1.06), however was not statistically significant.</w:t>
      </w:r>
      <w:r w:rsidRPr="00BD2844">
        <w:rPr>
          <w:i/>
          <w:iCs/>
        </w:rPr>
        <w:t xml:space="preserve"> </w:t>
      </w:r>
    </w:p>
    <w:p w14:paraId="76D9910B" w14:textId="77777777" w:rsidR="00FC676C" w:rsidRPr="00BD2844" w:rsidRDefault="00FC676C" w:rsidP="00231ED9">
      <w:pPr>
        <w:keepNext/>
        <w:keepLines/>
        <w:outlineLvl w:val="2"/>
        <w:rPr>
          <w:u w:val="single"/>
        </w:rPr>
      </w:pPr>
      <w:r w:rsidRPr="00BD2844">
        <w:rPr>
          <w:u w:val="single"/>
        </w:rPr>
        <w:t>Direct comparison: ATEZO+BEV versus SORA</w:t>
      </w:r>
    </w:p>
    <w:p w14:paraId="139E541A" w14:textId="03E4DE96" w:rsidR="00FC676C" w:rsidRPr="00BD2844" w:rsidRDefault="00FC676C" w:rsidP="00231ED9">
      <w:pPr>
        <w:pStyle w:val="3-BodyText"/>
        <w:keepNext/>
        <w:keepLines/>
        <w:spacing w:before="0" w:after="120"/>
        <w:rPr>
          <w:color w:val="0066FF"/>
        </w:rPr>
      </w:pPr>
      <w:r w:rsidRPr="00BD2844">
        <w:t xml:space="preserve">Updated results from IMBRAVE150 are presented (31 August 2020 DCO) in </w:t>
      </w:r>
      <w:r w:rsidRPr="00BD2844">
        <w:fldChar w:fldCharType="begin"/>
      </w:r>
      <w:r w:rsidRPr="00BD2844">
        <w:instrText xml:space="preserve"> REF _Ref195360263 \h </w:instrText>
      </w:r>
      <w:r w:rsidRPr="00BD2844">
        <w:fldChar w:fldCharType="separate"/>
      </w:r>
      <w:r w:rsidR="008C7D22" w:rsidRPr="00BD2844">
        <w:t xml:space="preserve">Table </w:t>
      </w:r>
      <w:r w:rsidR="008C7D22">
        <w:rPr>
          <w:noProof/>
        </w:rPr>
        <w:t>6</w:t>
      </w:r>
      <w:r w:rsidRPr="00BD2844">
        <w:fldChar w:fldCharType="end"/>
      </w:r>
      <w:r w:rsidRPr="00BD2844">
        <w:t xml:space="preserve">. </w:t>
      </w:r>
    </w:p>
    <w:p w14:paraId="3C0D1BB9" w14:textId="717B5180" w:rsidR="00FC676C" w:rsidRPr="00BD2844" w:rsidRDefault="00FC676C" w:rsidP="00231ED9">
      <w:pPr>
        <w:pStyle w:val="Caption"/>
      </w:pPr>
      <w:bookmarkStart w:id="54" w:name="_Ref195360263"/>
      <w:r w:rsidRPr="00BD2844">
        <w:t xml:space="preserve">Table </w:t>
      </w:r>
      <w:r w:rsidR="002878AB">
        <w:fldChar w:fldCharType="begin"/>
      </w:r>
      <w:r w:rsidR="002878AB">
        <w:instrText xml:space="preserve"> SEQ Table \* ARABIC </w:instrText>
      </w:r>
      <w:r w:rsidR="002878AB">
        <w:fldChar w:fldCharType="separate"/>
      </w:r>
      <w:r w:rsidR="008C7D22">
        <w:rPr>
          <w:noProof/>
        </w:rPr>
        <w:t>6</w:t>
      </w:r>
      <w:r w:rsidR="002878AB">
        <w:fldChar w:fldCharType="end"/>
      </w:r>
      <w:bookmarkEnd w:id="54"/>
      <w:r w:rsidRPr="00BD2844">
        <w:t xml:space="preserve">: Summary of IMBRAVE150 </w:t>
      </w:r>
      <w:r w:rsidR="00D20D98" w:rsidRPr="00BD2844">
        <w:t>overall survival</w:t>
      </w:r>
      <w:r w:rsidRPr="00BD2844">
        <w:t xml:space="preserve"> results (ITT)</w:t>
      </w:r>
    </w:p>
    <w:tbl>
      <w:tblPr>
        <w:tblStyle w:val="TableGrid"/>
        <w:tblW w:w="5000" w:type="pct"/>
        <w:tblLook w:val="04A0" w:firstRow="1" w:lastRow="0" w:firstColumn="1" w:lastColumn="0" w:noHBand="0" w:noVBand="1"/>
        <w:tblCaption w:val="Table 6: Summary of IMBRAVE150 overall survival results (ITT)"/>
      </w:tblPr>
      <w:tblGrid>
        <w:gridCol w:w="4122"/>
        <w:gridCol w:w="2545"/>
        <w:gridCol w:w="2350"/>
      </w:tblGrid>
      <w:tr w:rsidR="00FC676C" w:rsidRPr="00BD2844" w14:paraId="15ED78B2" w14:textId="77777777">
        <w:trPr>
          <w:trHeight w:val="142"/>
        </w:trPr>
        <w:tc>
          <w:tcPr>
            <w:tcW w:w="228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ED5D79" w14:textId="77777777" w:rsidR="00FC676C" w:rsidRPr="00BD2844" w:rsidRDefault="00FC676C" w:rsidP="00231ED9">
            <w:pPr>
              <w:pStyle w:val="PBACTabletext"/>
              <w:spacing w:after="0"/>
            </w:pPr>
          </w:p>
        </w:tc>
        <w:tc>
          <w:tcPr>
            <w:tcW w:w="141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27DFEB" w14:textId="77777777" w:rsidR="00FC676C" w:rsidRPr="00BD2844" w:rsidRDefault="00FC676C" w:rsidP="00231ED9">
            <w:pPr>
              <w:pStyle w:val="PBACTabletext"/>
              <w:spacing w:after="0"/>
              <w:jc w:val="center"/>
              <w:rPr>
                <w:b/>
              </w:rPr>
            </w:pPr>
            <w:r w:rsidRPr="00BD2844">
              <w:rPr>
                <w:b/>
              </w:rPr>
              <w:t xml:space="preserve">ATEZO+BEV </w:t>
            </w:r>
          </w:p>
          <w:p w14:paraId="72C628F6" w14:textId="77777777" w:rsidR="00FC676C" w:rsidRPr="00BD2844" w:rsidRDefault="00FC676C" w:rsidP="00231ED9">
            <w:pPr>
              <w:pStyle w:val="PBACTabletext"/>
              <w:spacing w:after="0"/>
              <w:jc w:val="center"/>
            </w:pPr>
            <w:r w:rsidRPr="00BD2844">
              <w:rPr>
                <w:b/>
              </w:rPr>
              <w:t>N=336</w:t>
            </w:r>
          </w:p>
        </w:tc>
        <w:tc>
          <w:tcPr>
            <w:tcW w:w="13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1E6977" w14:textId="77777777" w:rsidR="00FC676C" w:rsidRPr="00BD2844" w:rsidRDefault="00FC676C" w:rsidP="00231ED9">
            <w:pPr>
              <w:pStyle w:val="PBACTabletext"/>
              <w:spacing w:after="0"/>
              <w:jc w:val="center"/>
              <w:rPr>
                <w:b/>
              </w:rPr>
            </w:pPr>
            <w:r w:rsidRPr="00BD2844">
              <w:rPr>
                <w:b/>
              </w:rPr>
              <w:t xml:space="preserve">SORA </w:t>
            </w:r>
          </w:p>
          <w:p w14:paraId="24C0DD10" w14:textId="77777777" w:rsidR="00FC676C" w:rsidRPr="00BD2844" w:rsidRDefault="00FC676C" w:rsidP="00231ED9">
            <w:pPr>
              <w:pStyle w:val="PBACTabletext"/>
              <w:spacing w:after="0"/>
              <w:jc w:val="center"/>
            </w:pPr>
            <w:r w:rsidRPr="00BD2844">
              <w:rPr>
                <w:b/>
              </w:rPr>
              <w:t>N=165</w:t>
            </w:r>
          </w:p>
        </w:tc>
      </w:tr>
      <w:tr w:rsidR="00FC676C" w:rsidRPr="00BD2844" w14:paraId="623B0848" w14:textId="77777777">
        <w:trPr>
          <w:trHeight w:val="142"/>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3BFBE3" w14:textId="77777777" w:rsidR="00FC676C" w:rsidRPr="00BD2844" w:rsidRDefault="00FC676C" w:rsidP="00231ED9">
            <w:pPr>
              <w:pStyle w:val="PBACTabletext"/>
              <w:spacing w:after="0"/>
            </w:pPr>
            <w:r w:rsidRPr="00BD2844">
              <w:t>Primary analysis (DCO: 29 August 2019)</w:t>
            </w:r>
          </w:p>
        </w:tc>
      </w:tr>
      <w:tr w:rsidR="00FC676C" w:rsidRPr="00BD2844" w14:paraId="798C2FA7" w14:textId="77777777">
        <w:trPr>
          <w:trHeight w:val="142"/>
        </w:trPr>
        <w:tc>
          <w:tcPr>
            <w:tcW w:w="228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B9A3AD" w14:textId="77777777" w:rsidR="00FC676C" w:rsidRPr="00BD2844" w:rsidRDefault="00FC676C" w:rsidP="00231ED9">
            <w:pPr>
              <w:pStyle w:val="PBACTabletext"/>
              <w:spacing w:after="0"/>
              <w:rPr>
                <w:bCs/>
              </w:rPr>
            </w:pPr>
            <w:r w:rsidRPr="00BD2844">
              <w:rPr>
                <w:bCs/>
              </w:rPr>
              <w:t>Events n/N (%)</w:t>
            </w:r>
          </w:p>
        </w:tc>
        <w:tc>
          <w:tcPr>
            <w:tcW w:w="141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C8DE72" w14:textId="77777777" w:rsidR="00FC676C" w:rsidRPr="00BD2844" w:rsidRDefault="00FC676C" w:rsidP="00231ED9">
            <w:pPr>
              <w:pStyle w:val="PBACTabletext"/>
              <w:spacing w:after="0"/>
              <w:jc w:val="center"/>
            </w:pPr>
            <w:r w:rsidRPr="00BD2844">
              <w:t>96/336 (28.6)</w:t>
            </w:r>
          </w:p>
        </w:tc>
        <w:tc>
          <w:tcPr>
            <w:tcW w:w="13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0A708A" w14:textId="77777777" w:rsidR="00FC676C" w:rsidRPr="00BD2844" w:rsidRDefault="00FC676C" w:rsidP="00231ED9">
            <w:pPr>
              <w:pStyle w:val="PBACTabletext"/>
              <w:spacing w:after="0"/>
              <w:jc w:val="center"/>
            </w:pPr>
            <w:r w:rsidRPr="00BD2844">
              <w:t>65/165 (39.4)</w:t>
            </w:r>
          </w:p>
        </w:tc>
      </w:tr>
      <w:tr w:rsidR="00FC676C" w:rsidRPr="00BD2844" w14:paraId="287C37EB" w14:textId="77777777">
        <w:trPr>
          <w:trHeight w:val="142"/>
        </w:trPr>
        <w:tc>
          <w:tcPr>
            <w:tcW w:w="228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0D0B7D" w14:textId="77777777" w:rsidR="00FC676C" w:rsidRPr="00BD2844" w:rsidRDefault="00FC676C" w:rsidP="00231ED9">
            <w:pPr>
              <w:pStyle w:val="PBACTabletext"/>
              <w:spacing w:after="0"/>
              <w:rPr>
                <w:bCs/>
              </w:rPr>
            </w:pPr>
            <w:r w:rsidRPr="00BD2844">
              <w:rPr>
                <w:bCs/>
              </w:rPr>
              <w:t>Median OS (95% CI), months</w:t>
            </w:r>
          </w:p>
        </w:tc>
        <w:tc>
          <w:tcPr>
            <w:tcW w:w="141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97E6A97" w14:textId="77777777" w:rsidR="00FC676C" w:rsidRPr="00BD2844" w:rsidRDefault="00FC676C" w:rsidP="00231ED9">
            <w:pPr>
              <w:pStyle w:val="PBACTabletext"/>
              <w:spacing w:after="0"/>
              <w:jc w:val="center"/>
            </w:pPr>
            <w:r w:rsidRPr="00BD2844">
              <w:t>NE</w:t>
            </w:r>
          </w:p>
        </w:tc>
        <w:tc>
          <w:tcPr>
            <w:tcW w:w="130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CBF4D4" w14:textId="77777777" w:rsidR="00FC676C" w:rsidRPr="00BD2844" w:rsidRDefault="00FC676C" w:rsidP="00231ED9">
            <w:pPr>
              <w:pStyle w:val="PBACTabletext"/>
              <w:spacing w:after="0"/>
              <w:jc w:val="center"/>
            </w:pPr>
            <w:r w:rsidRPr="00BD2844">
              <w:t>13.2 (10.4, NE)</w:t>
            </w:r>
          </w:p>
        </w:tc>
      </w:tr>
      <w:tr w:rsidR="00FC676C" w:rsidRPr="00BD2844" w14:paraId="31D0E446" w14:textId="77777777">
        <w:trPr>
          <w:trHeight w:val="142"/>
        </w:trPr>
        <w:tc>
          <w:tcPr>
            <w:tcW w:w="228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79F01D" w14:textId="77777777" w:rsidR="00FC676C" w:rsidRPr="00BD2844" w:rsidRDefault="00FC676C" w:rsidP="00231ED9">
            <w:pPr>
              <w:pStyle w:val="PBACTabletext"/>
              <w:spacing w:after="0"/>
              <w:rPr>
                <w:bCs/>
              </w:rPr>
            </w:pPr>
            <w:r w:rsidRPr="00BD2844">
              <w:rPr>
                <w:bCs/>
              </w:rPr>
              <w:t>HR (95% CI; p-value)</w:t>
            </w:r>
          </w:p>
        </w:tc>
        <w:tc>
          <w:tcPr>
            <w:tcW w:w="2714"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FD55CA" w14:textId="77777777" w:rsidR="00FC676C" w:rsidRPr="00BD2844" w:rsidRDefault="00FC676C" w:rsidP="00231ED9">
            <w:pPr>
              <w:pStyle w:val="PBACTabletext"/>
              <w:spacing w:after="0"/>
              <w:jc w:val="center"/>
            </w:pPr>
            <w:r w:rsidRPr="00BD2844">
              <w:rPr>
                <w:b/>
                <w:bCs/>
              </w:rPr>
              <w:t>0.58 (0.42, 0.79; p&lt;0.001)</w:t>
            </w:r>
          </w:p>
        </w:tc>
      </w:tr>
      <w:tr w:rsidR="00FC676C" w:rsidRPr="00BD2844" w14:paraId="5B068569" w14:textId="77777777">
        <w:trPr>
          <w:trHeight w:val="14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D22C9E" w14:textId="77777777" w:rsidR="00FC676C" w:rsidRPr="00BD2844" w:rsidRDefault="00FC676C" w:rsidP="00231ED9">
            <w:pPr>
              <w:pStyle w:val="PBACTabletext"/>
              <w:spacing w:after="0"/>
            </w:pPr>
            <w:r w:rsidRPr="00BD2844">
              <w:t>Updated analysis (DCO: 31 August 2020)</w:t>
            </w:r>
          </w:p>
        </w:tc>
      </w:tr>
      <w:tr w:rsidR="00FC676C" w:rsidRPr="00BD2844" w14:paraId="0DCB6434" w14:textId="77777777">
        <w:trPr>
          <w:trHeight w:val="142"/>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38E915" w14:textId="77777777" w:rsidR="00FC676C" w:rsidRPr="00BD2844" w:rsidRDefault="00FC676C" w:rsidP="00231ED9">
            <w:pPr>
              <w:pStyle w:val="PBACTabletext"/>
              <w:spacing w:after="0"/>
              <w:rPr>
                <w:bCs/>
              </w:rPr>
            </w:pPr>
            <w:r w:rsidRPr="00BD2844">
              <w:rPr>
                <w:bCs/>
              </w:rPr>
              <w:t>Events n/N (%)</w:t>
            </w:r>
          </w:p>
        </w:tc>
        <w:tc>
          <w:tcPr>
            <w:tcW w:w="14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529F99" w14:textId="77777777" w:rsidR="00FC676C" w:rsidRPr="00BD2844" w:rsidRDefault="00FC676C" w:rsidP="00231ED9">
            <w:pPr>
              <w:pStyle w:val="PBACTabletext"/>
              <w:spacing w:after="0"/>
              <w:jc w:val="center"/>
            </w:pPr>
            <w:r w:rsidRPr="00BD2844">
              <w:t>291/336 (74.0)</w:t>
            </w:r>
          </w:p>
        </w:tc>
        <w:tc>
          <w:tcPr>
            <w:tcW w:w="1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C189AD" w14:textId="77777777" w:rsidR="00FC676C" w:rsidRPr="00BD2844" w:rsidRDefault="00FC676C" w:rsidP="00231ED9">
            <w:pPr>
              <w:pStyle w:val="PBACTabletext"/>
              <w:spacing w:after="0"/>
              <w:jc w:val="center"/>
            </w:pPr>
            <w:r w:rsidRPr="00BD2844">
              <w:t>134/165 (81.2)</w:t>
            </w:r>
          </w:p>
        </w:tc>
      </w:tr>
      <w:tr w:rsidR="00FC676C" w:rsidRPr="00BD2844" w14:paraId="7199CDEC" w14:textId="77777777">
        <w:trPr>
          <w:trHeight w:val="142"/>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CFD4C3" w14:textId="77777777" w:rsidR="00FC676C" w:rsidRPr="00BD2844" w:rsidRDefault="00FC676C" w:rsidP="00231ED9">
            <w:pPr>
              <w:pStyle w:val="PBACTabletext"/>
              <w:spacing w:after="0"/>
              <w:rPr>
                <w:bCs/>
              </w:rPr>
            </w:pPr>
            <w:r w:rsidRPr="00BD2844">
              <w:rPr>
                <w:bCs/>
              </w:rPr>
              <w:t>Median OS (95% CI), months</w:t>
            </w:r>
          </w:p>
        </w:tc>
        <w:tc>
          <w:tcPr>
            <w:tcW w:w="14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222DAF" w14:textId="77777777" w:rsidR="00FC676C" w:rsidRPr="00BD2844" w:rsidRDefault="00FC676C" w:rsidP="00231ED9">
            <w:pPr>
              <w:pStyle w:val="PBACTabletext"/>
              <w:spacing w:after="0"/>
              <w:jc w:val="center"/>
            </w:pPr>
            <w:r w:rsidRPr="00BD2844">
              <w:t xml:space="preserve">19.2 </w:t>
            </w:r>
            <w:r w:rsidRPr="00BD2844">
              <w:br/>
              <w:t>(17.0, 23.7)</w:t>
            </w:r>
          </w:p>
        </w:tc>
        <w:tc>
          <w:tcPr>
            <w:tcW w:w="1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3F5B2E" w14:textId="77777777" w:rsidR="00FC676C" w:rsidRPr="00BD2844" w:rsidRDefault="00FC676C" w:rsidP="00231ED9">
            <w:pPr>
              <w:pStyle w:val="PBACTabletext"/>
              <w:spacing w:after="0"/>
              <w:jc w:val="center"/>
            </w:pPr>
            <w:r w:rsidRPr="00BD2844">
              <w:t xml:space="preserve">13.4 </w:t>
            </w:r>
            <w:r w:rsidRPr="00BD2844">
              <w:br/>
              <w:t>(11.4, 16.9)</w:t>
            </w:r>
          </w:p>
        </w:tc>
      </w:tr>
      <w:tr w:rsidR="00FC676C" w:rsidRPr="00BD2844" w14:paraId="4E7BD83D" w14:textId="77777777">
        <w:trPr>
          <w:trHeight w:val="142"/>
        </w:trPr>
        <w:tc>
          <w:tcPr>
            <w:tcW w:w="2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7DCB40" w14:textId="77777777" w:rsidR="00FC676C" w:rsidRPr="00BD2844" w:rsidRDefault="00FC676C" w:rsidP="00231ED9">
            <w:pPr>
              <w:pStyle w:val="PBACTabletext"/>
              <w:spacing w:after="0"/>
            </w:pPr>
            <w:r w:rsidRPr="00BD2844">
              <w:rPr>
                <w:bCs/>
              </w:rPr>
              <w:t>HR (95% CI; p-value)</w:t>
            </w:r>
          </w:p>
        </w:tc>
        <w:tc>
          <w:tcPr>
            <w:tcW w:w="27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EB1B1C" w14:textId="77777777" w:rsidR="00FC676C" w:rsidRPr="00BD2844" w:rsidRDefault="00FC676C" w:rsidP="00231ED9">
            <w:pPr>
              <w:pStyle w:val="PBACTabletext"/>
              <w:spacing w:after="0"/>
              <w:jc w:val="center"/>
            </w:pPr>
            <w:r w:rsidRPr="00BD2844">
              <w:rPr>
                <w:b/>
                <w:bCs/>
              </w:rPr>
              <w:t>0.66 (0.52, 0.85; p&lt;0.001)</w:t>
            </w:r>
          </w:p>
        </w:tc>
      </w:tr>
    </w:tbl>
    <w:p w14:paraId="0023788D" w14:textId="77777777" w:rsidR="00FC676C" w:rsidRPr="00BD2844" w:rsidRDefault="00FC676C" w:rsidP="00231ED9">
      <w:pPr>
        <w:pStyle w:val="TableFigureFooter"/>
        <w:keepNext/>
      </w:pPr>
      <w:r w:rsidRPr="00BD2844">
        <w:t>Source: Table 40, p111 of the submission.</w:t>
      </w:r>
      <w:r w:rsidRPr="00BD2844">
        <w:tab/>
      </w:r>
    </w:p>
    <w:p w14:paraId="6BD46B46" w14:textId="77777777" w:rsidR="00FC676C" w:rsidRPr="00BD2844" w:rsidRDefault="00FC676C" w:rsidP="00231ED9">
      <w:pPr>
        <w:pStyle w:val="TableFigureFooter"/>
        <w:keepNext/>
      </w:pPr>
      <w:r w:rsidRPr="00BD2844">
        <w:t xml:space="preserve">ATEZO+BEV = atezolizumab + bevacizumab; CI = confidence interval; DCO = data cut-off; HR = hazard ratio; ITT = intention to treat; NE = not estimable; OS = overall survival; SORA = sorafenib. </w:t>
      </w:r>
    </w:p>
    <w:p w14:paraId="4F244328" w14:textId="77777777" w:rsidR="00FC676C" w:rsidRPr="00BD2844" w:rsidRDefault="00FC676C" w:rsidP="00231ED9">
      <w:pPr>
        <w:pStyle w:val="TableFigureFooter"/>
        <w:keepNext/>
      </w:pPr>
      <w:r w:rsidRPr="00BD2844">
        <w:t>Blue shading indicates data previously seen by the PBAC.</w:t>
      </w:r>
    </w:p>
    <w:p w14:paraId="3D313EF5" w14:textId="10428C8A" w:rsidR="00FC676C" w:rsidRPr="00BD2844" w:rsidRDefault="00FC676C" w:rsidP="00FC676C">
      <w:pPr>
        <w:pStyle w:val="3-BodyText"/>
        <w:spacing w:before="0" w:after="120"/>
        <w:rPr>
          <w:color w:val="0066FF"/>
        </w:rPr>
      </w:pPr>
      <w:r w:rsidRPr="00BD2844">
        <w:t>A statistically significant OS benefit for ATEZO+BEV compared with SORA was observed</w:t>
      </w:r>
      <w:r w:rsidR="003213EC" w:rsidRPr="00BD2844">
        <w:t xml:space="preserve"> at the updated analysis</w:t>
      </w:r>
      <w:r w:rsidRPr="00BD2844">
        <w:t>.</w:t>
      </w:r>
    </w:p>
    <w:p w14:paraId="25490649" w14:textId="6E45ED54" w:rsidR="00FC676C" w:rsidRPr="00BD2844" w:rsidRDefault="00FC676C" w:rsidP="003213EC">
      <w:pPr>
        <w:outlineLvl w:val="2"/>
        <w:rPr>
          <w:u w:val="single"/>
        </w:rPr>
      </w:pPr>
      <w:r w:rsidRPr="00BD2844">
        <w:rPr>
          <w:u w:val="single"/>
        </w:rPr>
        <w:t>Direct comparison: STRIDE versus SORA</w:t>
      </w:r>
    </w:p>
    <w:p w14:paraId="7D82EAB8" w14:textId="418A8FF5" w:rsidR="00FC676C" w:rsidRPr="00BD2844" w:rsidRDefault="00FC676C" w:rsidP="00FC676C">
      <w:pPr>
        <w:pStyle w:val="3-BodyText"/>
      </w:pPr>
      <w:r w:rsidRPr="00BD2844">
        <w:t xml:space="preserve">OS analysis for the HIMALAYA trial from </w:t>
      </w:r>
      <w:r w:rsidR="00D20D98" w:rsidRPr="00BD2844">
        <w:t xml:space="preserve">the </w:t>
      </w:r>
      <w:r w:rsidRPr="00BD2844">
        <w:t>January 2023</w:t>
      </w:r>
      <w:r w:rsidR="00D20D98" w:rsidRPr="00BD2844">
        <w:t xml:space="preserve"> data cut-off</w:t>
      </w:r>
      <w:r w:rsidRPr="00BD2844">
        <w:t xml:space="preserve"> is reported in </w:t>
      </w:r>
      <w:r w:rsidRPr="00BD2844">
        <w:fldChar w:fldCharType="begin"/>
      </w:r>
      <w:r w:rsidRPr="00BD2844">
        <w:instrText xml:space="preserve"> REF _Ref195360650 \h </w:instrText>
      </w:r>
      <w:r w:rsidRPr="00BD2844">
        <w:fldChar w:fldCharType="separate"/>
      </w:r>
      <w:r w:rsidR="008C7D22" w:rsidRPr="00BD2844">
        <w:t xml:space="preserve">Table </w:t>
      </w:r>
      <w:r w:rsidR="008C7D22">
        <w:rPr>
          <w:noProof/>
        </w:rPr>
        <w:t>7</w:t>
      </w:r>
      <w:r w:rsidRPr="00BD2844">
        <w:fldChar w:fldCharType="end"/>
      </w:r>
      <w:r w:rsidRPr="00BD2844">
        <w:t xml:space="preserve">. </w:t>
      </w:r>
    </w:p>
    <w:p w14:paraId="22738AA2" w14:textId="4AFF51BF" w:rsidR="00FC676C" w:rsidRPr="00BD2844" w:rsidRDefault="00FC676C" w:rsidP="00FC676C">
      <w:pPr>
        <w:pStyle w:val="Caption"/>
      </w:pPr>
      <w:bookmarkStart w:id="55" w:name="_Ref195360650"/>
      <w:r w:rsidRPr="00BD2844">
        <w:t xml:space="preserve">Table </w:t>
      </w:r>
      <w:r w:rsidR="002878AB">
        <w:fldChar w:fldCharType="begin"/>
      </w:r>
      <w:r w:rsidR="002878AB">
        <w:instrText xml:space="preserve"> SEQ Table \* ARABIC </w:instrText>
      </w:r>
      <w:r w:rsidR="002878AB">
        <w:fldChar w:fldCharType="separate"/>
      </w:r>
      <w:r w:rsidR="008C7D22">
        <w:rPr>
          <w:noProof/>
        </w:rPr>
        <w:t>7</w:t>
      </w:r>
      <w:r w:rsidR="002878AB">
        <w:fldChar w:fldCharType="end"/>
      </w:r>
      <w:bookmarkEnd w:id="55"/>
      <w:r w:rsidRPr="00BD2844">
        <w:t>:  Overall survival in the HIMALAYA trial: median follow-up of 48 months (ITT)</w:t>
      </w:r>
    </w:p>
    <w:tbl>
      <w:tblPr>
        <w:tblStyle w:val="TableGrid"/>
        <w:tblW w:w="5000" w:type="pct"/>
        <w:tblLook w:val="04A0" w:firstRow="1" w:lastRow="0" w:firstColumn="1" w:lastColumn="0" w:noHBand="0" w:noVBand="1"/>
        <w:tblCaption w:val="Table 7:  Overall survival in the HIMALAYA trial: median follow-up of 48 months (ITT)"/>
      </w:tblPr>
      <w:tblGrid>
        <w:gridCol w:w="3139"/>
        <w:gridCol w:w="2940"/>
        <w:gridCol w:w="2938"/>
      </w:tblGrid>
      <w:tr w:rsidR="00FC676C" w:rsidRPr="00BD2844" w14:paraId="1D2E0106" w14:textId="77777777">
        <w:trPr>
          <w:trHeight w:val="259"/>
        </w:trPr>
        <w:tc>
          <w:tcPr>
            <w:tcW w:w="1741" w:type="pct"/>
            <w:vAlign w:val="center"/>
          </w:tcPr>
          <w:p w14:paraId="459A3102" w14:textId="77777777" w:rsidR="00FC676C" w:rsidRPr="00BD2844" w:rsidRDefault="00FC676C">
            <w:pPr>
              <w:pStyle w:val="Tabletext"/>
              <w:keepNext/>
              <w:keepLines/>
              <w:rPr>
                <w:b/>
                <w:bCs/>
                <w:szCs w:val="20"/>
              </w:rPr>
            </w:pPr>
          </w:p>
        </w:tc>
        <w:tc>
          <w:tcPr>
            <w:tcW w:w="1630" w:type="pct"/>
            <w:vAlign w:val="center"/>
          </w:tcPr>
          <w:p w14:paraId="4756F07E" w14:textId="77777777" w:rsidR="00FC676C" w:rsidRPr="00BD2844" w:rsidRDefault="00FC676C">
            <w:pPr>
              <w:pStyle w:val="Tabletext"/>
              <w:keepNext/>
              <w:keepLines/>
              <w:jc w:val="center"/>
              <w:rPr>
                <w:b/>
                <w:bCs/>
                <w:szCs w:val="20"/>
              </w:rPr>
            </w:pPr>
            <w:r w:rsidRPr="00BD2844">
              <w:rPr>
                <w:b/>
                <w:bCs/>
                <w:szCs w:val="20"/>
              </w:rPr>
              <w:t>STRIDE</w:t>
            </w:r>
          </w:p>
          <w:p w14:paraId="6D54F8A6" w14:textId="77777777" w:rsidR="00FC676C" w:rsidRPr="00BD2844" w:rsidRDefault="00FC676C">
            <w:pPr>
              <w:pStyle w:val="Tabletext"/>
              <w:keepNext/>
              <w:keepLines/>
              <w:jc w:val="center"/>
              <w:rPr>
                <w:b/>
                <w:bCs/>
                <w:szCs w:val="20"/>
              </w:rPr>
            </w:pPr>
            <w:r w:rsidRPr="00BD2844">
              <w:rPr>
                <w:b/>
                <w:bCs/>
                <w:szCs w:val="20"/>
              </w:rPr>
              <w:t>N=393</w:t>
            </w:r>
          </w:p>
        </w:tc>
        <w:tc>
          <w:tcPr>
            <w:tcW w:w="1629" w:type="pct"/>
            <w:vAlign w:val="center"/>
          </w:tcPr>
          <w:p w14:paraId="6FD3E134" w14:textId="77777777" w:rsidR="00FC676C" w:rsidRPr="00BD2844" w:rsidRDefault="00FC676C">
            <w:pPr>
              <w:pStyle w:val="Tabletext"/>
              <w:keepNext/>
              <w:keepLines/>
              <w:jc w:val="center"/>
              <w:rPr>
                <w:b/>
                <w:bCs/>
                <w:szCs w:val="20"/>
              </w:rPr>
            </w:pPr>
            <w:r w:rsidRPr="00BD2844">
              <w:rPr>
                <w:b/>
                <w:bCs/>
                <w:szCs w:val="20"/>
              </w:rPr>
              <w:t>SORA</w:t>
            </w:r>
          </w:p>
          <w:p w14:paraId="2E736D1F" w14:textId="77777777" w:rsidR="00FC676C" w:rsidRPr="00BD2844" w:rsidRDefault="00FC676C">
            <w:pPr>
              <w:pStyle w:val="Tabletext"/>
              <w:keepNext/>
              <w:keepLines/>
              <w:jc w:val="center"/>
              <w:rPr>
                <w:b/>
                <w:bCs/>
                <w:szCs w:val="20"/>
              </w:rPr>
            </w:pPr>
            <w:r w:rsidRPr="00BD2844">
              <w:rPr>
                <w:b/>
                <w:bCs/>
                <w:szCs w:val="20"/>
              </w:rPr>
              <w:t>N=389</w:t>
            </w:r>
          </w:p>
        </w:tc>
      </w:tr>
      <w:tr w:rsidR="00FC676C" w:rsidRPr="00BD2844" w14:paraId="05655447" w14:textId="77777777">
        <w:trPr>
          <w:trHeight w:val="291"/>
        </w:trPr>
        <w:tc>
          <w:tcPr>
            <w:tcW w:w="1741" w:type="pct"/>
            <w:vAlign w:val="center"/>
          </w:tcPr>
          <w:p w14:paraId="08EA16F4" w14:textId="77777777" w:rsidR="00FC676C" w:rsidRPr="00BD2844" w:rsidRDefault="00FC676C">
            <w:pPr>
              <w:pStyle w:val="Tabletext"/>
              <w:keepNext/>
              <w:keepLines/>
              <w:rPr>
                <w:szCs w:val="20"/>
              </w:rPr>
            </w:pPr>
            <w:r w:rsidRPr="00BD2844">
              <w:rPr>
                <w:szCs w:val="20"/>
              </w:rPr>
              <w:t>Events, n/N (%)</w:t>
            </w:r>
          </w:p>
        </w:tc>
        <w:tc>
          <w:tcPr>
            <w:tcW w:w="1630" w:type="pct"/>
            <w:vAlign w:val="center"/>
          </w:tcPr>
          <w:p w14:paraId="177F44F7" w14:textId="77777777" w:rsidR="00FC676C" w:rsidRPr="00BD2844" w:rsidRDefault="00FC676C">
            <w:pPr>
              <w:pStyle w:val="Tabletext"/>
              <w:keepNext/>
              <w:keepLines/>
              <w:jc w:val="center"/>
              <w:rPr>
                <w:szCs w:val="20"/>
              </w:rPr>
            </w:pPr>
            <w:r w:rsidRPr="00BD2844">
              <w:rPr>
                <w:szCs w:val="20"/>
              </w:rPr>
              <w:t>291/393 (74.0%)</w:t>
            </w:r>
          </w:p>
        </w:tc>
        <w:tc>
          <w:tcPr>
            <w:tcW w:w="1629" w:type="pct"/>
            <w:vAlign w:val="center"/>
          </w:tcPr>
          <w:p w14:paraId="088585A9" w14:textId="77777777" w:rsidR="00FC676C" w:rsidRPr="00BD2844" w:rsidRDefault="00FC676C">
            <w:pPr>
              <w:pStyle w:val="Tabletext"/>
              <w:keepNext/>
              <w:keepLines/>
              <w:jc w:val="center"/>
              <w:rPr>
                <w:szCs w:val="20"/>
              </w:rPr>
            </w:pPr>
            <w:r w:rsidRPr="00BD2844">
              <w:rPr>
                <w:szCs w:val="20"/>
              </w:rPr>
              <w:t>316/389 (81.2%)</w:t>
            </w:r>
          </w:p>
        </w:tc>
      </w:tr>
      <w:tr w:rsidR="00FC676C" w:rsidRPr="00BD2844" w14:paraId="63A3630B" w14:textId="77777777">
        <w:trPr>
          <w:trHeight w:val="291"/>
        </w:trPr>
        <w:tc>
          <w:tcPr>
            <w:tcW w:w="1741" w:type="pct"/>
            <w:vAlign w:val="center"/>
          </w:tcPr>
          <w:p w14:paraId="1B5EDDE5" w14:textId="77777777" w:rsidR="00FC676C" w:rsidRPr="00BD2844" w:rsidRDefault="00FC676C">
            <w:pPr>
              <w:pStyle w:val="Tabletext"/>
              <w:keepNext/>
              <w:keepLines/>
              <w:rPr>
                <w:szCs w:val="20"/>
              </w:rPr>
            </w:pPr>
            <w:r w:rsidRPr="00BD2844">
              <w:rPr>
                <w:szCs w:val="20"/>
              </w:rPr>
              <w:t>Median OS (95% CI), months</w:t>
            </w:r>
          </w:p>
        </w:tc>
        <w:tc>
          <w:tcPr>
            <w:tcW w:w="1630" w:type="pct"/>
            <w:vAlign w:val="center"/>
          </w:tcPr>
          <w:p w14:paraId="21735337" w14:textId="77777777" w:rsidR="00FC676C" w:rsidRPr="00BD2844" w:rsidRDefault="00FC676C">
            <w:pPr>
              <w:pStyle w:val="Tabletext"/>
              <w:keepNext/>
              <w:keepLines/>
              <w:jc w:val="center"/>
              <w:rPr>
                <w:szCs w:val="20"/>
              </w:rPr>
            </w:pPr>
            <w:r w:rsidRPr="00BD2844">
              <w:rPr>
                <w:szCs w:val="20"/>
              </w:rPr>
              <w:t>16.4 (14.2, 19.6)</w:t>
            </w:r>
          </w:p>
        </w:tc>
        <w:tc>
          <w:tcPr>
            <w:tcW w:w="1629" w:type="pct"/>
            <w:vAlign w:val="center"/>
          </w:tcPr>
          <w:p w14:paraId="604C2139" w14:textId="77777777" w:rsidR="00FC676C" w:rsidRPr="00BD2844" w:rsidRDefault="00FC676C">
            <w:pPr>
              <w:pStyle w:val="Tabletext"/>
              <w:keepNext/>
              <w:keepLines/>
              <w:jc w:val="center"/>
              <w:rPr>
                <w:szCs w:val="20"/>
              </w:rPr>
            </w:pPr>
            <w:r w:rsidRPr="00BD2844">
              <w:rPr>
                <w:szCs w:val="20"/>
              </w:rPr>
              <w:t>13.8 (12.3, 16.1)</w:t>
            </w:r>
          </w:p>
        </w:tc>
      </w:tr>
      <w:tr w:rsidR="00FC676C" w:rsidRPr="00BD2844" w14:paraId="24EDC764" w14:textId="77777777">
        <w:trPr>
          <w:trHeight w:val="291"/>
        </w:trPr>
        <w:tc>
          <w:tcPr>
            <w:tcW w:w="1741" w:type="pct"/>
            <w:vAlign w:val="center"/>
          </w:tcPr>
          <w:p w14:paraId="0E1B86F3" w14:textId="77777777" w:rsidR="00FC676C" w:rsidRPr="00BD2844" w:rsidRDefault="00FC676C">
            <w:pPr>
              <w:pStyle w:val="Tabletext"/>
              <w:keepNext/>
              <w:keepLines/>
              <w:rPr>
                <w:szCs w:val="20"/>
              </w:rPr>
            </w:pPr>
            <w:r w:rsidRPr="00BD2844">
              <w:rPr>
                <w:szCs w:val="20"/>
              </w:rPr>
              <w:t>HR (95% CI; p-value)</w:t>
            </w:r>
          </w:p>
        </w:tc>
        <w:tc>
          <w:tcPr>
            <w:tcW w:w="3259" w:type="pct"/>
            <w:gridSpan w:val="2"/>
            <w:vAlign w:val="center"/>
          </w:tcPr>
          <w:p w14:paraId="5114C59C" w14:textId="77777777" w:rsidR="00FC676C" w:rsidRPr="00BD2844" w:rsidRDefault="00FC676C">
            <w:pPr>
              <w:pStyle w:val="Tabletext"/>
              <w:keepNext/>
              <w:keepLines/>
              <w:jc w:val="center"/>
              <w:rPr>
                <w:b/>
                <w:bCs/>
                <w:szCs w:val="20"/>
              </w:rPr>
            </w:pPr>
            <w:r w:rsidRPr="00BD2844">
              <w:rPr>
                <w:b/>
                <w:bCs/>
                <w:szCs w:val="20"/>
              </w:rPr>
              <w:t>0.78 (0.67, 0.92; p=0.0037)</w:t>
            </w:r>
          </w:p>
        </w:tc>
      </w:tr>
    </w:tbl>
    <w:p w14:paraId="51071960" w14:textId="77777777" w:rsidR="00FC676C" w:rsidRPr="00BD2844" w:rsidRDefault="00FC676C" w:rsidP="00FC676C">
      <w:pPr>
        <w:pStyle w:val="TableFigureFooter"/>
        <w:keepNext/>
      </w:pPr>
      <w:r w:rsidRPr="00BD2844">
        <w:t>Source: Table 44, p117 of the submission.</w:t>
      </w:r>
    </w:p>
    <w:p w14:paraId="18654DBF" w14:textId="77777777" w:rsidR="00FC676C" w:rsidRPr="00BD2844" w:rsidRDefault="00FC676C" w:rsidP="00FC676C">
      <w:pPr>
        <w:pStyle w:val="TableFigureFooter"/>
        <w:keepNext/>
      </w:pPr>
      <w:r w:rsidRPr="00BD2844">
        <w:t>CI = confidence intervals; HR = hazard ratios; ITT = intention-to-treat; OS = overall survival; SORA = sorafenib; STRIDE = Single Tremelimumab Regular Interval Durvalumab.</w:t>
      </w:r>
      <w:r w:rsidRPr="00BD2844">
        <w:br/>
      </w:r>
      <w:r w:rsidRPr="00BD2844">
        <w:rPr>
          <w:b/>
          <w:bCs/>
        </w:rPr>
        <w:t>Bold</w:t>
      </w:r>
      <w:r w:rsidRPr="00BD2844">
        <w:t xml:space="preserve"> text indicates a statistically significant result.</w:t>
      </w:r>
    </w:p>
    <w:p w14:paraId="01645203" w14:textId="54C80C6C" w:rsidR="00FC676C" w:rsidRPr="00BD2844" w:rsidRDefault="00FC676C" w:rsidP="00FC676C">
      <w:pPr>
        <w:pStyle w:val="3-BodyText"/>
      </w:pPr>
      <w:r w:rsidRPr="00BD2844">
        <w:t>The median OS was longer in the STRIDE arm (16.4 months) compared with the SORA arm (13.8 months). Overall, a statistically significant treatment benefit with regards to OS was observed in the STRIDE cohort relative to the SORA cohort (HR=0.78</w:t>
      </w:r>
      <w:r w:rsidR="00D80E55">
        <w:t>;</w:t>
      </w:r>
      <w:r w:rsidRPr="00BD2844">
        <w:t xml:space="preserve"> 95% CI: 0.67, 0.92</w:t>
      </w:r>
      <w:r w:rsidR="00953D2A">
        <w:t>;</w:t>
      </w:r>
      <w:r w:rsidRPr="00BD2844">
        <w:t xml:space="preserve"> p=0.0037).</w:t>
      </w:r>
    </w:p>
    <w:p w14:paraId="3707316E" w14:textId="367D9964" w:rsidR="00FC676C" w:rsidRPr="00BD2844" w:rsidRDefault="00FC676C" w:rsidP="00275924">
      <w:pPr>
        <w:outlineLvl w:val="2"/>
        <w:rPr>
          <w:u w:val="single"/>
        </w:rPr>
      </w:pPr>
      <w:r w:rsidRPr="00BD2844">
        <w:rPr>
          <w:u w:val="single"/>
        </w:rPr>
        <w:t>Indirect treatment comparisons</w:t>
      </w:r>
    </w:p>
    <w:p w14:paraId="611A4A90" w14:textId="6951DA99" w:rsidR="00FC676C" w:rsidRPr="00BD2844" w:rsidRDefault="00FC676C" w:rsidP="00EE67A8">
      <w:pPr>
        <w:pStyle w:val="3-BodyText"/>
      </w:pPr>
      <w:r w:rsidRPr="00BD2844">
        <w:t xml:space="preserve">The submission presented unmatched, unadjusted, anchored Bucher ITCs to compare efficacy and safety of NIVO+IPI compared to STRIDE and ATEZO+BEV, using the common (anchor) SORA and SORA/LEN arms of the included trials. Given the violation of the proportional hazards assumption observed for OS in CM-9DW the use of OS as </w:t>
      </w:r>
      <w:r w:rsidRPr="00BD2844">
        <w:lastRenderedPageBreak/>
        <w:t>the common outcome of interest is likely inappropriate as the treatment effect of NIVO+IPI appears to change over time and the ITC may produce inaccurate estimates of effect.</w:t>
      </w:r>
      <w:r w:rsidR="00FF5A49" w:rsidRPr="00BD2844">
        <w:t xml:space="preserve"> </w:t>
      </w:r>
    </w:p>
    <w:p w14:paraId="48AB60C9" w14:textId="048F62A6" w:rsidR="00FC676C" w:rsidRPr="00BD2844" w:rsidRDefault="00FC676C" w:rsidP="005A6D4C">
      <w:pPr>
        <w:pStyle w:val="3-BodyText"/>
        <w:numPr>
          <w:ilvl w:val="0"/>
          <w:numId w:val="0"/>
        </w:numPr>
        <w:outlineLvl w:val="2"/>
        <w:rPr>
          <w:u w:val="single"/>
        </w:rPr>
      </w:pPr>
      <w:r w:rsidRPr="00BD2844">
        <w:rPr>
          <w:u w:val="single"/>
        </w:rPr>
        <w:t>Indirect treatment comparison (NIVO+IPI versus ATEZO+BEV)</w:t>
      </w:r>
    </w:p>
    <w:p w14:paraId="5DD3163A" w14:textId="77777777" w:rsidR="008C7D22" w:rsidRPr="00BD2844" w:rsidRDefault="00FC676C" w:rsidP="008C7D22">
      <w:pPr>
        <w:pStyle w:val="3-BodyText"/>
        <w:rPr>
          <w:b/>
          <w:bCs/>
          <w:sz w:val="20"/>
          <w:szCs w:val="20"/>
        </w:rPr>
      </w:pPr>
      <w:r w:rsidRPr="00BD2844">
        <w:t xml:space="preserve">The NIVO+IPI versus ATEZO+BEV ITC </w:t>
      </w:r>
      <w:r w:rsidR="001B52C6" w:rsidRPr="00BD2844">
        <w:t>analys</w:t>
      </w:r>
      <w:r w:rsidR="00B81F04" w:rsidRPr="00BD2844">
        <w:t>es</w:t>
      </w:r>
      <w:r w:rsidR="001B52C6" w:rsidRPr="00BD2844">
        <w:t xml:space="preserve"> for the ITT </w:t>
      </w:r>
      <w:r w:rsidR="005E5F39" w:rsidRPr="00BD2844">
        <w:t xml:space="preserve">(SORA/LEN) population </w:t>
      </w:r>
      <w:r w:rsidR="00951CD6" w:rsidRPr="00BD2844">
        <w:t xml:space="preserve">and </w:t>
      </w:r>
      <w:r w:rsidRPr="00BD2844">
        <w:t xml:space="preserve">the SORA subgroup of CM-9DW </w:t>
      </w:r>
      <w:r w:rsidR="00DF6733" w:rsidRPr="00BD2844">
        <w:t xml:space="preserve">are </w:t>
      </w:r>
      <w:r w:rsidRPr="00BD2844">
        <w:t xml:space="preserve">presented in </w:t>
      </w:r>
      <w:r w:rsidRPr="00BD2844">
        <w:fldChar w:fldCharType="begin"/>
      </w:r>
      <w:r w:rsidRPr="00BD2844">
        <w:rPr>
          <w:szCs w:val="24"/>
        </w:rPr>
        <w:instrText xml:space="preserve"> REF _Ref195364180 \h  \* MERGEFORMAT </w:instrText>
      </w:r>
      <w:r w:rsidRPr="00BD2844">
        <w:fldChar w:fldCharType="separate"/>
      </w:r>
      <w:r w:rsidR="008C7D22" w:rsidRPr="008C7D22">
        <w:rPr>
          <w:szCs w:val="24"/>
        </w:rPr>
        <w:t>Table 8</w:t>
      </w:r>
      <w:r w:rsidRPr="00BD2844">
        <w:fldChar w:fldCharType="end"/>
      </w:r>
      <w:r w:rsidRPr="00BD2844">
        <w:rPr>
          <w:szCs w:val="24"/>
        </w:rPr>
        <w:t xml:space="preserve">, with corresponding KM curves of the OS analysis, presented in </w:t>
      </w:r>
      <w:r w:rsidRPr="00BD2844">
        <w:rPr>
          <w:szCs w:val="24"/>
        </w:rPr>
        <w:fldChar w:fldCharType="begin"/>
      </w:r>
      <w:r w:rsidRPr="00BD2844">
        <w:rPr>
          <w:szCs w:val="24"/>
        </w:rPr>
        <w:instrText xml:space="preserve"> REF _Ref195364933 \h  \* MERGEFORMAT </w:instrText>
      </w:r>
      <w:r w:rsidRPr="00BD2844">
        <w:rPr>
          <w:szCs w:val="24"/>
        </w:rPr>
      </w:r>
      <w:r w:rsidRPr="00BD2844">
        <w:rPr>
          <w:szCs w:val="24"/>
        </w:rPr>
        <w:fldChar w:fldCharType="separate"/>
      </w:r>
      <w:r w:rsidR="008C7D22" w:rsidRPr="008C7D22">
        <w:rPr>
          <w:szCs w:val="24"/>
        </w:rPr>
        <w:t>Figure</w:t>
      </w:r>
      <w:r w:rsidR="008C7D22" w:rsidRPr="008C7D22">
        <w:t xml:space="preserve"> 2</w:t>
      </w:r>
      <w:r w:rsidR="008C7D22" w:rsidRPr="00BD2844">
        <w:rPr>
          <w:b/>
          <w:bCs/>
          <w:sz w:val="20"/>
          <w:szCs w:val="20"/>
        </w:rPr>
        <w:t>: Kaplan Meier curves of overall survival in the CM-9DW (NIVO+IPI vs SORA/LEN) and IMBRAVE150 (ATEZO+BEV vs SORA) trials</w:t>
      </w:r>
    </w:p>
    <w:p w14:paraId="06088937" w14:textId="77777777" w:rsidR="008C7D22" w:rsidRPr="00BD2844" w:rsidRDefault="008C7D22" w:rsidP="00141AB5">
      <w:pPr>
        <w:pStyle w:val="TableFigureFooter"/>
        <w:keepLines w:val="0"/>
      </w:pPr>
      <w:r w:rsidRPr="00BD2844">
        <w:rPr>
          <w:noProof/>
        </w:rPr>
        <w:drawing>
          <wp:inline distT="0" distB="0" distL="0" distR="0" wp14:anchorId="708A30F6" wp14:editId="00853167">
            <wp:extent cx="5003800" cy="3031499"/>
            <wp:effectExtent l="0" t="0" r="6350" b="0"/>
            <wp:docPr id="684139943" name="Picture 3" descr="Figure 2: Kaplan Meier curves of overall survival in the CM-9DW (NIVO+IPI vs SORA/LEN) and IMBRAVE150 (ATEZO+BEV vs SORA)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62110" name="Picture 3" descr="Figure 2: Kaplan Meier curves of overall survival in the CM-9DW (NIVO+IPI vs SORA/LEN) and IMBRAVE150 (ATEZO+BEV vs SORA) tria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6868" cy="3039416"/>
                    </a:xfrm>
                    <a:prstGeom prst="rect">
                      <a:avLst/>
                    </a:prstGeom>
                    <a:noFill/>
                  </pic:spPr>
                </pic:pic>
              </a:graphicData>
            </a:graphic>
          </wp:inline>
        </w:drawing>
      </w:r>
      <w:r w:rsidRPr="00BD2844">
        <w:br/>
        <w:t>Source: Figure 31, p171 of the submission. ATEZO+BEV = atezolizumab plus bevacizumab; LENVA = lenvatinib; NIVO+IPI = nivolumab plus ipilimumab; SORA = sorafenib.</w:t>
      </w:r>
    </w:p>
    <w:p w14:paraId="1084A3CD" w14:textId="77777777" w:rsidR="008C7D22" w:rsidRPr="00BD2844" w:rsidRDefault="008C7D22" w:rsidP="00FC676C">
      <w:pPr>
        <w:pStyle w:val="Caption"/>
        <w:jc w:val="left"/>
      </w:pPr>
    </w:p>
    <w:p w14:paraId="71ACDD20" w14:textId="2D41F8E5" w:rsidR="00FC676C" w:rsidRPr="00BD2844" w:rsidRDefault="008C7D22" w:rsidP="008D1DD6">
      <w:pPr>
        <w:pStyle w:val="3-BodyText"/>
        <w:rPr>
          <w:szCs w:val="24"/>
        </w:rPr>
      </w:pPr>
      <w:r w:rsidRPr="00BD2844">
        <w:t xml:space="preserve">Figure </w:t>
      </w:r>
      <w:r>
        <w:rPr>
          <w:noProof/>
        </w:rPr>
        <w:t>3</w:t>
      </w:r>
      <w:r w:rsidR="00FC676C" w:rsidRPr="00BD2844">
        <w:rPr>
          <w:szCs w:val="24"/>
        </w:rPr>
        <w:fldChar w:fldCharType="end"/>
      </w:r>
      <w:r w:rsidR="00FC676C" w:rsidRPr="00BD2844">
        <w:rPr>
          <w:szCs w:val="24"/>
        </w:rPr>
        <w:t xml:space="preserve"> and </w:t>
      </w:r>
      <w:r w:rsidR="00FC676C" w:rsidRPr="00BD2844">
        <w:rPr>
          <w:szCs w:val="24"/>
        </w:rPr>
        <w:fldChar w:fldCharType="begin"/>
      </w:r>
      <w:r w:rsidR="00FC676C" w:rsidRPr="00BD2844">
        <w:rPr>
          <w:szCs w:val="24"/>
        </w:rPr>
        <w:instrText xml:space="preserve"> REF _Ref195364940 \h  \* MERGEFORMAT </w:instrText>
      </w:r>
      <w:r w:rsidR="00FC676C" w:rsidRPr="00BD2844">
        <w:rPr>
          <w:szCs w:val="24"/>
        </w:rPr>
      </w:r>
      <w:r w:rsidR="00FC676C" w:rsidRPr="00BD2844">
        <w:rPr>
          <w:szCs w:val="24"/>
        </w:rPr>
        <w:fldChar w:fldCharType="separate"/>
      </w:r>
      <w:r w:rsidRPr="008C7D22">
        <w:rPr>
          <w:szCs w:val="24"/>
        </w:rPr>
        <w:t>Figure 2</w:t>
      </w:r>
      <w:r w:rsidR="00FC676C" w:rsidRPr="00BD2844">
        <w:rPr>
          <w:szCs w:val="24"/>
        </w:rPr>
        <w:fldChar w:fldCharType="end"/>
      </w:r>
      <w:r w:rsidR="00FC676C" w:rsidRPr="00BD2844">
        <w:rPr>
          <w:szCs w:val="24"/>
        </w:rPr>
        <w:t xml:space="preserve"> respectively</w:t>
      </w:r>
      <w:r w:rsidR="00FC676C" w:rsidRPr="00BD2844">
        <w:t xml:space="preserve">. </w:t>
      </w:r>
    </w:p>
    <w:p w14:paraId="0FAC1A3A" w14:textId="498B4FF5" w:rsidR="00FC676C" w:rsidRPr="00BD2844" w:rsidRDefault="00FC676C" w:rsidP="00FC676C">
      <w:pPr>
        <w:pStyle w:val="Caption"/>
      </w:pPr>
      <w:bookmarkStart w:id="56" w:name="_Ref195364180"/>
      <w:r w:rsidRPr="00BD2844">
        <w:t xml:space="preserve">Table </w:t>
      </w:r>
      <w:r w:rsidR="002878AB">
        <w:fldChar w:fldCharType="begin"/>
      </w:r>
      <w:r w:rsidR="002878AB">
        <w:instrText xml:space="preserve"> SEQ Table \* ARABIC </w:instrText>
      </w:r>
      <w:r w:rsidR="002878AB">
        <w:fldChar w:fldCharType="separate"/>
      </w:r>
      <w:r w:rsidR="008C7D22">
        <w:rPr>
          <w:noProof/>
        </w:rPr>
        <w:t>8</w:t>
      </w:r>
      <w:r w:rsidR="002878AB">
        <w:fldChar w:fldCharType="end"/>
      </w:r>
      <w:bookmarkEnd w:id="56"/>
      <w:r w:rsidRPr="00BD2844">
        <w:t>: Overall survival: NIVO+IPI versus ATEZO+BEV</w:t>
      </w:r>
    </w:p>
    <w:tbl>
      <w:tblPr>
        <w:tblStyle w:val="TableGrid"/>
        <w:tblW w:w="5000" w:type="pct"/>
        <w:tblLayout w:type="fixed"/>
        <w:tblLook w:val="04A0" w:firstRow="1" w:lastRow="0" w:firstColumn="1" w:lastColumn="0" w:noHBand="0" w:noVBand="1"/>
        <w:tblCaption w:val="Table 8: Overall survival: NIVO+IPI versus ATEZO+BEV"/>
      </w:tblPr>
      <w:tblGrid>
        <w:gridCol w:w="2359"/>
        <w:gridCol w:w="2231"/>
        <w:gridCol w:w="2101"/>
        <w:gridCol w:w="2326"/>
      </w:tblGrid>
      <w:tr w:rsidR="00FC676C" w:rsidRPr="00BD2844" w14:paraId="2CED9F0D" w14:textId="77777777">
        <w:trPr>
          <w:trHeight w:val="20"/>
        </w:trPr>
        <w:tc>
          <w:tcPr>
            <w:tcW w:w="1308" w:type="pct"/>
            <w:vAlign w:val="center"/>
          </w:tcPr>
          <w:p w14:paraId="5876D173" w14:textId="77777777" w:rsidR="00FC676C" w:rsidRPr="00BD2844" w:rsidRDefault="00FC676C">
            <w:pPr>
              <w:pStyle w:val="Tabletext"/>
              <w:keepNext/>
              <w:keepLines/>
              <w:jc w:val="center"/>
            </w:pPr>
          </w:p>
        </w:tc>
        <w:tc>
          <w:tcPr>
            <w:tcW w:w="2402" w:type="pct"/>
            <w:gridSpan w:val="2"/>
            <w:vAlign w:val="center"/>
            <w:hideMark/>
          </w:tcPr>
          <w:p w14:paraId="614E1353" w14:textId="77777777" w:rsidR="00FC676C" w:rsidRPr="00BD2844" w:rsidRDefault="00FC676C">
            <w:pPr>
              <w:pStyle w:val="Tabletext"/>
              <w:keepNext/>
              <w:keepLines/>
              <w:jc w:val="center"/>
              <w:rPr>
                <w:b/>
                <w:bCs/>
              </w:rPr>
            </w:pPr>
            <w:r w:rsidRPr="00BD2844">
              <w:rPr>
                <w:b/>
                <w:bCs/>
              </w:rPr>
              <w:t>Direct Estimate</w:t>
            </w:r>
          </w:p>
          <w:p w14:paraId="0B483C3C" w14:textId="77777777" w:rsidR="00FC676C" w:rsidRPr="00BD2844" w:rsidRDefault="00FC676C">
            <w:pPr>
              <w:pStyle w:val="Tabletext"/>
              <w:keepNext/>
              <w:keepLines/>
              <w:jc w:val="center"/>
              <w:rPr>
                <w:b/>
                <w:bCs/>
              </w:rPr>
            </w:pPr>
            <w:r w:rsidRPr="00BD2844">
              <w:rPr>
                <w:b/>
                <w:bCs/>
              </w:rPr>
              <w:t>HR [95% CI]</w:t>
            </w:r>
          </w:p>
        </w:tc>
        <w:tc>
          <w:tcPr>
            <w:tcW w:w="1290" w:type="pct"/>
            <w:vAlign w:val="center"/>
            <w:hideMark/>
          </w:tcPr>
          <w:p w14:paraId="6D3B7E8B" w14:textId="77777777" w:rsidR="00FC676C" w:rsidRPr="00BD2844" w:rsidRDefault="00FC676C">
            <w:pPr>
              <w:pStyle w:val="Tabletext"/>
              <w:keepNext/>
              <w:keepLines/>
              <w:jc w:val="center"/>
              <w:rPr>
                <w:b/>
                <w:bCs/>
              </w:rPr>
            </w:pPr>
            <w:r w:rsidRPr="00BD2844">
              <w:rPr>
                <w:b/>
                <w:bCs/>
              </w:rPr>
              <w:t>Indirect Estimate</w:t>
            </w:r>
          </w:p>
          <w:p w14:paraId="1E7295E8" w14:textId="77777777" w:rsidR="00FC676C" w:rsidRPr="00BD2844" w:rsidRDefault="00FC676C">
            <w:pPr>
              <w:pStyle w:val="Tabletext"/>
              <w:keepNext/>
              <w:keepLines/>
              <w:jc w:val="center"/>
              <w:rPr>
                <w:b/>
                <w:bCs/>
              </w:rPr>
            </w:pPr>
            <w:r w:rsidRPr="00BD2844">
              <w:rPr>
                <w:b/>
                <w:bCs/>
              </w:rPr>
              <w:t>HR [95% CI] p-value</w:t>
            </w:r>
          </w:p>
        </w:tc>
      </w:tr>
      <w:tr w:rsidR="00166CDC" w:rsidRPr="00BD2844" w14:paraId="5597118B" w14:textId="77777777" w:rsidTr="005E3BE3">
        <w:trPr>
          <w:trHeight w:val="20"/>
        </w:trPr>
        <w:tc>
          <w:tcPr>
            <w:tcW w:w="1308" w:type="pct"/>
            <w:vAlign w:val="center"/>
          </w:tcPr>
          <w:p w14:paraId="2EC72E60" w14:textId="77777777" w:rsidR="00166CDC" w:rsidRPr="00BD2844" w:rsidRDefault="00166CDC" w:rsidP="001A42B0">
            <w:pPr>
              <w:pStyle w:val="Tabletext"/>
              <w:keepNext/>
              <w:keepLines/>
              <w:jc w:val="center"/>
              <w:rPr>
                <w:b/>
                <w:bCs/>
              </w:rPr>
            </w:pPr>
            <w:r w:rsidRPr="00BD2844">
              <w:rPr>
                <w:b/>
                <w:bCs/>
              </w:rPr>
              <w:t>Analysis</w:t>
            </w:r>
          </w:p>
        </w:tc>
        <w:tc>
          <w:tcPr>
            <w:tcW w:w="1237" w:type="pct"/>
            <w:noWrap/>
            <w:vAlign w:val="center"/>
          </w:tcPr>
          <w:p w14:paraId="2A4AE707" w14:textId="77777777" w:rsidR="00166CDC" w:rsidRPr="00BD2844" w:rsidRDefault="00166CDC" w:rsidP="001A42B0">
            <w:pPr>
              <w:pStyle w:val="Tabletext"/>
              <w:keepNext/>
              <w:keepLines/>
              <w:jc w:val="center"/>
            </w:pPr>
            <w:r w:rsidRPr="00BD2844">
              <w:rPr>
                <w:b/>
                <w:bCs/>
              </w:rPr>
              <w:t>NIVO+IPI (N=335) vs. SORA/LEN (N=333)</w:t>
            </w:r>
          </w:p>
        </w:tc>
        <w:tc>
          <w:tcPr>
            <w:tcW w:w="1165" w:type="pct"/>
            <w:noWrap/>
            <w:vAlign w:val="center"/>
          </w:tcPr>
          <w:p w14:paraId="168DBC54" w14:textId="77777777" w:rsidR="00166CDC" w:rsidRPr="00BD2844" w:rsidRDefault="00166CDC" w:rsidP="001A42B0">
            <w:pPr>
              <w:pStyle w:val="Tabletext"/>
              <w:keepNext/>
              <w:keepLines/>
              <w:jc w:val="center"/>
            </w:pPr>
            <w:r w:rsidRPr="00BD2844">
              <w:rPr>
                <w:b/>
                <w:bCs/>
              </w:rPr>
              <w:t>ATEZO+BEV (N=336) vs. SORA (N=165)</w:t>
            </w:r>
          </w:p>
        </w:tc>
        <w:tc>
          <w:tcPr>
            <w:tcW w:w="1290" w:type="pct"/>
            <w:noWrap/>
            <w:vAlign w:val="center"/>
          </w:tcPr>
          <w:p w14:paraId="567EB29D" w14:textId="77777777" w:rsidR="00166CDC" w:rsidRPr="00BD2844" w:rsidRDefault="00166CDC" w:rsidP="001A42B0">
            <w:pPr>
              <w:pStyle w:val="Tabletext"/>
              <w:keepNext/>
              <w:keepLines/>
              <w:jc w:val="center"/>
            </w:pPr>
            <w:r w:rsidRPr="00BD2844">
              <w:rPr>
                <w:b/>
                <w:bCs/>
              </w:rPr>
              <w:t>NIVO+IPI vs. ATEZO+BEV</w:t>
            </w:r>
          </w:p>
        </w:tc>
      </w:tr>
      <w:tr w:rsidR="00166CDC" w:rsidRPr="00BD2844" w14:paraId="13673F0D" w14:textId="77777777" w:rsidTr="005E3BE3">
        <w:trPr>
          <w:trHeight w:val="20"/>
        </w:trPr>
        <w:tc>
          <w:tcPr>
            <w:tcW w:w="1308" w:type="pct"/>
            <w:vAlign w:val="center"/>
          </w:tcPr>
          <w:p w14:paraId="1F88D98A" w14:textId="77777777" w:rsidR="00166CDC" w:rsidRPr="00BD2844" w:rsidRDefault="00166CDC" w:rsidP="001A42B0">
            <w:pPr>
              <w:pStyle w:val="Tabletext"/>
              <w:keepNext/>
              <w:keepLines/>
              <w:jc w:val="center"/>
            </w:pPr>
            <w:r w:rsidRPr="00BD2844">
              <w:t xml:space="preserve">CM-9DW </w:t>
            </w:r>
          </w:p>
          <w:p w14:paraId="600E4704" w14:textId="77777777" w:rsidR="00166CDC" w:rsidRPr="00BD2844" w:rsidRDefault="00166CDC" w:rsidP="001A42B0">
            <w:pPr>
              <w:pStyle w:val="Tabletext"/>
              <w:keepNext/>
              <w:keepLines/>
              <w:jc w:val="center"/>
            </w:pPr>
            <w:r w:rsidRPr="00BD2844">
              <w:t>vs</w:t>
            </w:r>
          </w:p>
          <w:p w14:paraId="1EC75406" w14:textId="77777777" w:rsidR="00166CDC" w:rsidRPr="00BD2844" w:rsidRDefault="00166CDC" w:rsidP="001A42B0">
            <w:pPr>
              <w:pStyle w:val="Tabletext"/>
              <w:keepNext/>
              <w:keepLines/>
              <w:jc w:val="center"/>
            </w:pPr>
            <w:r w:rsidRPr="00BD2844">
              <w:t>IMBRAVE150</w:t>
            </w:r>
          </w:p>
        </w:tc>
        <w:tc>
          <w:tcPr>
            <w:tcW w:w="1237" w:type="pct"/>
            <w:noWrap/>
            <w:vAlign w:val="center"/>
          </w:tcPr>
          <w:p w14:paraId="5FEF2F69" w14:textId="77777777" w:rsidR="00166CDC" w:rsidRPr="00BD2844" w:rsidRDefault="00166CDC" w:rsidP="001A42B0">
            <w:pPr>
              <w:pStyle w:val="Tabletext"/>
              <w:keepNext/>
              <w:keepLines/>
              <w:jc w:val="center"/>
            </w:pPr>
            <w:r w:rsidRPr="00BD2844">
              <w:t>0.79 [0.65, 0.96]</w:t>
            </w:r>
          </w:p>
        </w:tc>
        <w:tc>
          <w:tcPr>
            <w:tcW w:w="1165" w:type="pct"/>
            <w:noWrap/>
            <w:vAlign w:val="center"/>
          </w:tcPr>
          <w:p w14:paraId="75FAC90D" w14:textId="77777777" w:rsidR="00166CDC" w:rsidRPr="00BD2844" w:rsidRDefault="00166CDC" w:rsidP="001A42B0">
            <w:pPr>
              <w:pStyle w:val="Tabletext"/>
              <w:keepNext/>
              <w:keepLines/>
              <w:jc w:val="center"/>
            </w:pPr>
            <w:r w:rsidRPr="00BD2844">
              <w:t>0.66 [0.52, 0.85]</w:t>
            </w:r>
          </w:p>
        </w:tc>
        <w:tc>
          <w:tcPr>
            <w:tcW w:w="1290" w:type="pct"/>
            <w:noWrap/>
            <w:vAlign w:val="center"/>
          </w:tcPr>
          <w:p w14:paraId="30FFE5DE" w14:textId="77777777" w:rsidR="00166CDC" w:rsidRPr="00BD2844" w:rsidRDefault="00166CDC" w:rsidP="001A42B0">
            <w:pPr>
              <w:pStyle w:val="Tabletext"/>
              <w:keepNext/>
              <w:keepLines/>
              <w:jc w:val="center"/>
            </w:pPr>
            <w:r w:rsidRPr="00BD2844">
              <w:t>1.197 [0.875, 1.638]</w:t>
            </w:r>
          </w:p>
          <w:p w14:paraId="64225016" w14:textId="77777777" w:rsidR="00166CDC" w:rsidRPr="00BD2844" w:rsidRDefault="00166CDC" w:rsidP="001A42B0">
            <w:pPr>
              <w:pStyle w:val="Tabletext"/>
              <w:keepNext/>
              <w:keepLines/>
              <w:jc w:val="center"/>
            </w:pPr>
            <w:r w:rsidRPr="00BD2844">
              <w:t>(p = 0.2612)</w:t>
            </w:r>
          </w:p>
        </w:tc>
      </w:tr>
      <w:tr w:rsidR="00FC676C" w:rsidRPr="00BD2844" w14:paraId="48EACCD2" w14:textId="77777777">
        <w:trPr>
          <w:trHeight w:val="20"/>
        </w:trPr>
        <w:tc>
          <w:tcPr>
            <w:tcW w:w="1308" w:type="pct"/>
            <w:vAlign w:val="center"/>
          </w:tcPr>
          <w:p w14:paraId="32FB9149" w14:textId="77777777" w:rsidR="00FC676C" w:rsidRPr="00BD2844" w:rsidRDefault="00FC676C">
            <w:pPr>
              <w:pStyle w:val="Tabletext"/>
              <w:keepNext/>
              <w:keepLines/>
              <w:jc w:val="center"/>
              <w:rPr>
                <w:b/>
                <w:bCs/>
              </w:rPr>
            </w:pPr>
            <w:r w:rsidRPr="00BD2844">
              <w:rPr>
                <w:b/>
                <w:bCs/>
              </w:rPr>
              <w:t>Analysis</w:t>
            </w:r>
          </w:p>
        </w:tc>
        <w:tc>
          <w:tcPr>
            <w:tcW w:w="1237" w:type="pct"/>
            <w:vAlign w:val="center"/>
            <w:hideMark/>
          </w:tcPr>
          <w:p w14:paraId="78017602" w14:textId="77777777" w:rsidR="00FC676C" w:rsidRPr="00BD2844" w:rsidRDefault="00FC676C">
            <w:pPr>
              <w:pStyle w:val="Tabletext"/>
              <w:keepNext/>
              <w:keepLines/>
              <w:jc w:val="center"/>
              <w:rPr>
                <w:b/>
                <w:bCs/>
              </w:rPr>
            </w:pPr>
            <w:r w:rsidRPr="00BD2844">
              <w:rPr>
                <w:b/>
                <w:bCs/>
              </w:rPr>
              <w:t>NIVO+IPI (N=335) vs. SORA (N=50)</w:t>
            </w:r>
          </w:p>
        </w:tc>
        <w:tc>
          <w:tcPr>
            <w:tcW w:w="1165" w:type="pct"/>
            <w:vAlign w:val="center"/>
            <w:hideMark/>
          </w:tcPr>
          <w:p w14:paraId="6B19186B" w14:textId="77777777" w:rsidR="00FC676C" w:rsidRPr="00BD2844" w:rsidRDefault="00FC676C">
            <w:pPr>
              <w:pStyle w:val="Tabletext"/>
              <w:keepNext/>
              <w:keepLines/>
              <w:jc w:val="center"/>
              <w:rPr>
                <w:b/>
                <w:bCs/>
              </w:rPr>
            </w:pPr>
            <w:r w:rsidRPr="00BD2844">
              <w:rPr>
                <w:b/>
                <w:bCs/>
              </w:rPr>
              <w:t>ATEZO+BEV (N=336) vs. SORA (N=165)</w:t>
            </w:r>
          </w:p>
        </w:tc>
        <w:tc>
          <w:tcPr>
            <w:tcW w:w="1290" w:type="pct"/>
            <w:vAlign w:val="center"/>
            <w:hideMark/>
          </w:tcPr>
          <w:p w14:paraId="3CCABE14" w14:textId="77777777" w:rsidR="00FC676C" w:rsidRPr="00BD2844" w:rsidRDefault="00FC676C">
            <w:pPr>
              <w:pStyle w:val="Tabletext"/>
              <w:keepNext/>
              <w:keepLines/>
              <w:jc w:val="center"/>
              <w:rPr>
                <w:b/>
                <w:bCs/>
              </w:rPr>
            </w:pPr>
            <w:r w:rsidRPr="00BD2844">
              <w:rPr>
                <w:b/>
                <w:bCs/>
              </w:rPr>
              <w:t>NIVO+IPI vs. ATEZO+BEV</w:t>
            </w:r>
          </w:p>
        </w:tc>
      </w:tr>
      <w:tr w:rsidR="00FC676C" w:rsidRPr="00BD2844" w14:paraId="5B3E18A4" w14:textId="77777777">
        <w:trPr>
          <w:trHeight w:val="20"/>
        </w:trPr>
        <w:tc>
          <w:tcPr>
            <w:tcW w:w="1308" w:type="pct"/>
            <w:vAlign w:val="center"/>
          </w:tcPr>
          <w:p w14:paraId="72C08008" w14:textId="77777777" w:rsidR="00FC676C" w:rsidRPr="00BD2844" w:rsidRDefault="00FC676C">
            <w:pPr>
              <w:pStyle w:val="Tabletext"/>
              <w:keepNext/>
              <w:keepLines/>
              <w:jc w:val="center"/>
            </w:pPr>
            <w:r w:rsidRPr="00BD2844">
              <w:t>CM-9DW (SORA subgroup)</w:t>
            </w:r>
          </w:p>
          <w:p w14:paraId="5DFCBAC0" w14:textId="77777777" w:rsidR="00FC676C" w:rsidRPr="00BD2844" w:rsidRDefault="00FC676C">
            <w:pPr>
              <w:pStyle w:val="Tabletext"/>
              <w:keepNext/>
              <w:keepLines/>
              <w:jc w:val="center"/>
            </w:pPr>
            <w:r w:rsidRPr="00BD2844">
              <w:t>vs</w:t>
            </w:r>
          </w:p>
          <w:p w14:paraId="43953DBA" w14:textId="77777777" w:rsidR="00FC676C" w:rsidRPr="00BD2844" w:rsidRDefault="00FC676C">
            <w:pPr>
              <w:pStyle w:val="Tabletext"/>
              <w:keepNext/>
              <w:keepLines/>
              <w:jc w:val="center"/>
            </w:pPr>
            <w:r w:rsidRPr="00BD2844">
              <w:t>IMBRAVE150</w:t>
            </w:r>
          </w:p>
        </w:tc>
        <w:tc>
          <w:tcPr>
            <w:tcW w:w="1237" w:type="pct"/>
            <w:noWrap/>
            <w:vAlign w:val="center"/>
          </w:tcPr>
          <w:p w14:paraId="4F6DEA93" w14:textId="77777777" w:rsidR="00FC676C" w:rsidRPr="00BD2844" w:rsidRDefault="00FC676C">
            <w:pPr>
              <w:pStyle w:val="Tabletext"/>
              <w:keepNext/>
              <w:keepLines/>
              <w:jc w:val="center"/>
            </w:pPr>
            <w:r w:rsidRPr="00BD2844">
              <w:t>0.70 [0.49, 0.98]</w:t>
            </w:r>
          </w:p>
        </w:tc>
        <w:tc>
          <w:tcPr>
            <w:tcW w:w="1165" w:type="pct"/>
            <w:noWrap/>
            <w:vAlign w:val="center"/>
          </w:tcPr>
          <w:p w14:paraId="46CCF9B8" w14:textId="77777777" w:rsidR="00FC676C" w:rsidRPr="00BD2844" w:rsidRDefault="00FC676C">
            <w:pPr>
              <w:pStyle w:val="Tabletext"/>
              <w:keepNext/>
              <w:keepLines/>
              <w:jc w:val="center"/>
            </w:pPr>
            <w:r w:rsidRPr="00BD2844">
              <w:t>0.66 [0.52, 0.85]</w:t>
            </w:r>
          </w:p>
        </w:tc>
        <w:tc>
          <w:tcPr>
            <w:tcW w:w="1290" w:type="pct"/>
            <w:noWrap/>
            <w:vAlign w:val="center"/>
          </w:tcPr>
          <w:p w14:paraId="4094EC66" w14:textId="77777777" w:rsidR="00FC676C" w:rsidRPr="00BD2844" w:rsidRDefault="00FC676C">
            <w:pPr>
              <w:pStyle w:val="Tabletext"/>
              <w:keepNext/>
              <w:keepLines/>
              <w:jc w:val="center"/>
            </w:pPr>
            <w:r w:rsidRPr="00BD2844">
              <w:t>1.061 [0.694, 1.622]</w:t>
            </w:r>
          </w:p>
          <w:p w14:paraId="2C3DD5C1" w14:textId="77777777" w:rsidR="00FC676C" w:rsidRPr="00BD2844" w:rsidRDefault="00FC676C">
            <w:pPr>
              <w:pStyle w:val="Tabletext"/>
              <w:keepNext/>
              <w:keepLines/>
              <w:jc w:val="center"/>
            </w:pPr>
            <w:r w:rsidRPr="00BD2844">
              <w:t>(p = 0.7860)</w:t>
            </w:r>
          </w:p>
        </w:tc>
      </w:tr>
    </w:tbl>
    <w:p w14:paraId="30B3ECE4" w14:textId="77777777" w:rsidR="00FC676C" w:rsidRPr="00BD2844" w:rsidRDefault="00FC676C" w:rsidP="00FC676C">
      <w:pPr>
        <w:pStyle w:val="TableFigureFooter"/>
      </w:pPr>
      <w:r w:rsidRPr="00BD2844">
        <w:t>Source: Table 67, p169 of the submission</w:t>
      </w:r>
    </w:p>
    <w:p w14:paraId="0BFEF607" w14:textId="2365E475" w:rsidR="00141AB5" w:rsidRPr="00BD2844" w:rsidRDefault="00FC676C" w:rsidP="00FF5A49">
      <w:pPr>
        <w:pStyle w:val="TableFigureFooter"/>
      </w:pPr>
      <w:r w:rsidRPr="00BD2844">
        <w:t>ATEZO+BEV = atezolizumab plus bevacizumab; CI = confidence interval; HR = hazard ratio; LEN = lenvatinib; NIVO+IPI = nivolumab plus ipilimumab; SORA = sorafenib.</w:t>
      </w:r>
    </w:p>
    <w:p w14:paraId="17D2C1D8" w14:textId="77777777" w:rsidR="00FF5A49" w:rsidRPr="00BD2844" w:rsidRDefault="00FF5A49" w:rsidP="00FF5A49">
      <w:pPr>
        <w:pStyle w:val="3-BodyText"/>
        <w:numPr>
          <w:ilvl w:val="0"/>
          <w:numId w:val="0"/>
        </w:numPr>
        <w:ind w:left="720"/>
      </w:pPr>
    </w:p>
    <w:p w14:paraId="678A2A48" w14:textId="2BE65BB6" w:rsidR="00DF6733" w:rsidRPr="00BD2844" w:rsidRDefault="00DF6733" w:rsidP="00141AB5">
      <w:pPr>
        <w:pStyle w:val="TableFigureFooter"/>
        <w:keepLines w:val="0"/>
        <w:rPr>
          <w:b/>
          <w:bCs/>
          <w:sz w:val="20"/>
          <w:szCs w:val="20"/>
        </w:rPr>
      </w:pPr>
      <w:bookmarkStart w:id="57" w:name="_Ref195364940"/>
      <w:bookmarkStart w:id="58" w:name="_Ref195364933"/>
      <w:r w:rsidRPr="00BD2844">
        <w:rPr>
          <w:b/>
          <w:bCs/>
          <w:sz w:val="20"/>
          <w:szCs w:val="20"/>
        </w:rPr>
        <w:lastRenderedPageBreak/>
        <w:t xml:space="preserve">Figure </w:t>
      </w:r>
      <w:r w:rsidRPr="00BD2844">
        <w:rPr>
          <w:b/>
          <w:bCs/>
          <w:sz w:val="20"/>
          <w:szCs w:val="20"/>
        </w:rPr>
        <w:fldChar w:fldCharType="begin"/>
      </w:r>
      <w:r w:rsidRPr="00BD2844">
        <w:rPr>
          <w:b/>
          <w:bCs/>
          <w:sz w:val="20"/>
          <w:szCs w:val="20"/>
        </w:rPr>
        <w:instrText xml:space="preserve"> SEQ Figure \* ARABIC </w:instrText>
      </w:r>
      <w:r w:rsidRPr="00BD2844">
        <w:rPr>
          <w:b/>
          <w:bCs/>
          <w:sz w:val="20"/>
          <w:szCs w:val="20"/>
        </w:rPr>
        <w:fldChar w:fldCharType="separate"/>
      </w:r>
      <w:r w:rsidR="008C7D22">
        <w:rPr>
          <w:b/>
          <w:bCs/>
          <w:noProof/>
          <w:sz w:val="20"/>
          <w:szCs w:val="20"/>
        </w:rPr>
        <w:t>2</w:t>
      </w:r>
      <w:r w:rsidRPr="00BD2844">
        <w:rPr>
          <w:b/>
          <w:bCs/>
          <w:sz w:val="20"/>
          <w:szCs w:val="20"/>
        </w:rPr>
        <w:fldChar w:fldCharType="end"/>
      </w:r>
      <w:bookmarkEnd w:id="57"/>
      <w:r w:rsidRPr="00BD2844">
        <w:rPr>
          <w:b/>
          <w:bCs/>
          <w:sz w:val="20"/>
          <w:szCs w:val="20"/>
        </w:rPr>
        <w:t>: Kaplan Meier curves of overall survival in the CM-9DW (NIVO+IPI vs SORA/LEN) and IMBRAVE150 (ATEZO+BEV vs SORA) trials</w:t>
      </w:r>
    </w:p>
    <w:p w14:paraId="18BFEA91" w14:textId="594FBF43" w:rsidR="00DF6733" w:rsidRPr="00BD2844" w:rsidRDefault="00DF6733" w:rsidP="00141AB5">
      <w:pPr>
        <w:pStyle w:val="TableFigureFooter"/>
        <w:keepLines w:val="0"/>
      </w:pPr>
      <w:r w:rsidRPr="00BD2844">
        <w:rPr>
          <w:noProof/>
        </w:rPr>
        <w:drawing>
          <wp:inline distT="0" distB="0" distL="0" distR="0" wp14:anchorId="15968CA1" wp14:editId="217FC4F0">
            <wp:extent cx="5003800" cy="3031499"/>
            <wp:effectExtent l="0" t="0" r="6350" b="0"/>
            <wp:docPr id="2145262110" name="Picture 3" descr="Figure 2: Kaplan Meier curves of overall survival in the CM-9DW (NIVO+IPI vs SORA/LEN) and IMBRAVE150 (ATEZO+BEV vs SORA)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62110" name="Picture 3" descr="Figure 2: Kaplan Meier curves of overall survival in the CM-9DW (NIVO+IPI vs SORA/LEN) and IMBRAVE150 (ATEZO+BEV vs SORA) tria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6868" cy="3039416"/>
                    </a:xfrm>
                    <a:prstGeom prst="rect">
                      <a:avLst/>
                    </a:prstGeom>
                    <a:noFill/>
                  </pic:spPr>
                </pic:pic>
              </a:graphicData>
            </a:graphic>
          </wp:inline>
        </w:drawing>
      </w:r>
      <w:r w:rsidRPr="00BD2844">
        <w:br/>
        <w:t>Source: Figure 31, p171 of the submission.</w:t>
      </w:r>
      <w:r w:rsidR="00586D17" w:rsidRPr="00BD2844">
        <w:t xml:space="preserve"> </w:t>
      </w:r>
      <w:r w:rsidRPr="00BD2844">
        <w:t>ATEZO+BEV = atezolizumab plus bevacizumab; LENVA = lenvatinib; NIVO+IPI = nivolumab plus ipilimumab; SORA = sorafenib.</w:t>
      </w:r>
    </w:p>
    <w:p w14:paraId="1B08A0AB" w14:textId="77777777" w:rsidR="00FC676C" w:rsidRPr="00BD2844" w:rsidRDefault="00FC676C" w:rsidP="00FC676C">
      <w:pPr>
        <w:pStyle w:val="Caption"/>
        <w:jc w:val="left"/>
      </w:pPr>
    </w:p>
    <w:p w14:paraId="350880B6" w14:textId="3637CB20" w:rsidR="00FC676C" w:rsidRPr="00BD2844" w:rsidRDefault="00FC676C" w:rsidP="00FC676C">
      <w:pPr>
        <w:pStyle w:val="Caption"/>
        <w:jc w:val="left"/>
      </w:pPr>
      <w:r w:rsidRPr="00BD2844">
        <w:t xml:space="preserve">Figure </w:t>
      </w:r>
      <w:r w:rsidR="00FB5829">
        <w:fldChar w:fldCharType="begin"/>
      </w:r>
      <w:r w:rsidR="00FB5829">
        <w:instrText xml:space="preserve"> SEQ Figure \* ARABIC </w:instrText>
      </w:r>
      <w:r w:rsidR="00FB5829">
        <w:fldChar w:fldCharType="separate"/>
      </w:r>
      <w:r w:rsidR="008C7D22">
        <w:rPr>
          <w:noProof/>
        </w:rPr>
        <w:t>3</w:t>
      </w:r>
      <w:r w:rsidR="00FB5829">
        <w:fldChar w:fldCharType="end"/>
      </w:r>
      <w:bookmarkEnd w:id="58"/>
      <w:r w:rsidRPr="00BD2844">
        <w:t>: Kaplan Meier curves of overall survival in the CM-9DW (NIVO+IPI vs SORA</w:t>
      </w:r>
      <w:r w:rsidR="008E5771" w:rsidRPr="00BD2844">
        <w:t xml:space="preserve"> subgroup</w:t>
      </w:r>
      <w:r w:rsidRPr="00BD2844">
        <w:t>) and IMBRAVE150 (ATEZO+BEV vs SORA) trials</w:t>
      </w:r>
    </w:p>
    <w:p w14:paraId="223E9B20" w14:textId="77777777" w:rsidR="00FC676C" w:rsidRPr="00BD2844" w:rsidRDefault="00FC676C" w:rsidP="00FC676C">
      <w:r w:rsidRPr="00BD2844">
        <w:rPr>
          <w:noProof/>
        </w:rPr>
        <w:drawing>
          <wp:inline distT="0" distB="0" distL="0" distR="0" wp14:anchorId="6EC3B1FD" wp14:editId="238C29D8">
            <wp:extent cx="5060950" cy="3324166"/>
            <wp:effectExtent l="0" t="0" r="6350" b="0"/>
            <wp:docPr id="1882497223" name="Picture 2" descr="Figure 3: Kaplan Meier curves of overall survival in the CM-9DW (NIVO+IPI vs SORA subgroup) and IMBRAVE150 (ATEZO+BEV vs SORA)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97223" name="Picture 2" descr="Figure 3: Kaplan Meier curves of overall survival in the CM-9DW (NIVO+IPI vs SORA subgroup) and IMBRAVE150 (ATEZO+BEV vs SORA) tria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9052" cy="3336056"/>
                    </a:xfrm>
                    <a:prstGeom prst="rect">
                      <a:avLst/>
                    </a:prstGeom>
                    <a:noFill/>
                  </pic:spPr>
                </pic:pic>
              </a:graphicData>
            </a:graphic>
          </wp:inline>
        </w:drawing>
      </w:r>
    </w:p>
    <w:p w14:paraId="56D1E404" w14:textId="77777777" w:rsidR="00FC676C" w:rsidRPr="00BD2844" w:rsidRDefault="00FC676C" w:rsidP="00FC676C">
      <w:pPr>
        <w:pStyle w:val="TableFigureFooter"/>
      </w:pPr>
      <w:r w:rsidRPr="00BD2844">
        <w:t>Source: Figure 30, p170 of the submission.</w:t>
      </w:r>
      <w:r w:rsidRPr="00BD2844">
        <w:br/>
        <w:t>ATZ+BEV = atezolizumab plus bevacizumab; NIVO+IPI = nivolumab plus ipilimumab; SORA = sorafenib.</w:t>
      </w:r>
    </w:p>
    <w:p w14:paraId="75B3504C" w14:textId="0314439B" w:rsidR="00FC676C" w:rsidRPr="00BD2844" w:rsidRDefault="00A12DB2" w:rsidP="00FC676C">
      <w:pPr>
        <w:pStyle w:val="3-BodyText"/>
      </w:pPr>
      <w:r w:rsidRPr="00AC20B4">
        <w:lastRenderedPageBreak/>
        <w:t>The ESC noted that</w:t>
      </w:r>
      <w:r w:rsidRPr="00BD2844">
        <w:rPr>
          <w:i/>
          <w:iCs/>
        </w:rPr>
        <w:t xml:space="preserve"> </w:t>
      </w:r>
      <w:r w:rsidRPr="00BD2844">
        <w:t>b</w:t>
      </w:r>
      <w:r w:rsidR="00FC676C" w:rsidRPr="00BD2844">
        <w:t>ased on the SORA/LEN arm of CM-9DW, the results produced a point estimate which suggested NIVO+IPI conferred a 20% increased hazard of death compared to ATEZO+BEV (HR=1.197</w:t>
      </w:r>
      <w:r w:rsidR="00953D2A">
        <w:t>;</w:t>
      </w:r>
      <w:r w:rsidR="00FC676C" w:rsidRPr="00BD2844">
        <w:t xml:space="preserve"> 95% CI: 0.875, 1.638). Based on the results for the SORA subgroup of the SORA/LEN arm in the CM-9DW trial, the ITC yielded a point estimate of 1.061 (95% CI: 0.649, 1.622). The </w:t>
      </w:r>
      <w:r w:rsidR="00333B53" w:rsidRPr="004036EE">
        <w:t>ESC</w:t>
      </w:r>
      <w:r w:rsidR="00333B53" w:rsidRPr="00BD2844">
        <w:rPr>
          <w:i/>
          <w:iCs/>
        </w:rPr>
        <w:t xml:space="preserve"> </w:t>
      </w:r>
      <w:r w:rsidR="00333B53" w:rsidRPr="004036EE">
        <w:t>noted that the</w:t>
      </w:r>
      <w:r w:rsidR="00333B53" w:rsidRPr="00BD2844">
        <w:rPr>
          <w:i/>
          <w:iCs/>
        </w:rPr>
        <w:t xml:space="preserve"> </w:t>
      </w:r>
      <w:r w:rsidR="00FC676C" w:rsidRPr="00BD2844">
        <w:t xml:space="preserve">results </w:t>
      </w:r>
      <w:r w:rsidR="005D73E6" w:rsidRPr="00BD2844">
        <w:t>for the SORA subgroup</w:t>
      </w:r>
      <w:r w:rsidR="000C1FEF" w:rsidRPr="00BD2844">
        <w:t xml:space="preserve"> of the SORA/LEN arm in the CM-9DW trial </w:t>
      </w:r>
      <w:r w:rsidR="00FC676C" w:rsidRPr="00BD2844">
        <w:t>were associated with a wide confidence interval and were based on a post-hoc analysis of a subgroup with a small sample size (N=50) that represented only 15% of the comparator arm which makes these results less robust and vulnerable to confounding, noting this is a non-stratified subgroup.</w:t>
      </w:r>
    </w:p>
    <w:p w14:paraId="7B1C754F" w14:textId="3133FB13" w:rsidR="00FC676C" w:rsidRPr="00BD2844" w:rsidRDefault="00FC676C" w:rsidP="00E329C5">
      <w:pPr>
        <w:pStyle w:val="3-BodyText"/>
      </w:pPr>
      <w:bookmarkStart w:id="59" w:name="_Ref195868971"/>
      <w:r w:rsidRPr="00BD2844">
        <w:t>The submission did not present a non-inferiority margin (NIM) and instead stated that non-inferiority could be argued if the comparison failed to demonstrate a statistically significant difference, resulting in the two treatments being considered similar. T</w:t>
      </w:r>
      <w:r w:rsidR="000445C8" w:rsidRPr="00BD2844">
        <w:t>he evaluation considered t</w:t>
      </w:r>
      <w:r w:rsidRPr="00BD2844">
        <w:t xml:space="preserve">his </w:t>
      </w:r>
      <w:r w:rsidR="000445C8" w:rsidRPr="00BD2844">
        <w:t>wa</w:t>
      </w:r>
      <w:r w:rsidRPr="00BD2844">
        <w:t>s not a reasonable interpretation; the submission did not provide calculations of the power required to achieve statistical significance in the ITC. Further, both the point estimate and most of the 95% CI for the HR are &gt; 1, suggesting patients treated with NIVO+IPI may have an increased hazard of death compared to patients treated with ATEZO+BEV</w:t>
      </w:r>
      <w:r w:rsidRPr="00AC20B4">
        <w:t>. Considering the</w:t>
      </w:r>
      <w:r w:rsidR="00835257" w:rsidRPr="00AC20B4">
        <w:t xml:space="preserve"> point estimate</w:t>
      </w:r>
      <w:r w:rsidRPr="00AC20B4">
        <w:t xml:space="preserve"> results, </w:t>
      </w:r>
      <w:r w:rsidR="00874A68" w:rsidRPr="00AC20B4">
        <w:t xml:space="preserve">the ESC </w:t>
      </w:r>
      <w:r w:rsidR="007D640A" w:rsidRPr="00AC20B4">
        <w:t>advised that</w:t>
      </w:r>
      <w:r w:rsidR="00874A68" w:rsidRPr="00BD2844">
        <w:rPr>
          <w:i/>
          <w:iCs/>
        </w:rPr>
        <w:t xml:space="preserve"> </w:t>
      </w:r>
      <w:r w:rsidRPr="00BD2844">
        <w:t>the possibility that NIVO+IPI treatment is significantly worse than ATEZO+BEV cannot be ruled out, noting that the ITC lacks sufficient power to demonstrate statistical significance.</w:t>
      </w:r>
      <w:bookmarkEnd w:id="59"/>
    </w:p>
    <w:p w14:paraId="2E166DB0" w14:textId="56F9DBE4" w:rsidR="00225745" w:rsidRPr="00BD2844" w:rsidRDefault="0099417C" w:rsidP="0099417C">
      <w:pPr>
        <w:pStyle w:val="3-BodyText"/>
      </w:pPr>
      <w:bookmarkStart w:id="60" w:name="_Ref195868957"/>
      <w:r w:rsidRPr="00AC20B4">
        <w:t xml:space="preserve">The ESC </w:t>
      </w:r>
      <w:r w:rsidR="00356E80" w:rsidRPr="00AC20B4">
        <w:t xml:space="preserve">also agreed with the evaluation that </w:t>
      </w:r>
      <w:r w:rsidRPr="00AC20B4">
        <w:t>the</w:t>
      </w:r>
      <w:r w:rsidRPr="00BD2844">
        <w:t xml:space="preserve"> comparability of the KM curves is limited by the observed difference in OS between the comparator (SORA and SORA/LEN) arms of the two trials, indicating there may be differences between the study populations which may have biased the results.</w:t>
      </w:r>
      <w:bookmarkEnd w:id="60"/>
      <w:r w:rsidRPr="00BD2844">
        <w:t xml:space="preserve"> </w:t>
      </w:r>
    </w:p>
    <w:p w14:paraId="165F30F3" w14:textId="6D3045B7" w:rsidR="00FC676C" w:rsidRPr="00BD2844" w:rsidRDefault="00FC676C" w:rsidP="00193CC7">
      <w:pPr>
        <w:outlineLvl w:val="2"/>
        <w:rPr>
          <w:u w:val="single"/>
        </w:rPr>
      </w:pPr>
      <w:r w:rsidRPr="00BD2844">
        <w:rPr>
          <w:u w:val="single"/>
        </w:rPr>
        <w:t>Indirect treatment comparison (NIVO+IPI versus STRIDE)</w:t>
      </w:r>
    </w:p>
    <w:p w14:paraId="06D8F59F" w14:textId="77777777" w:rsidR="008C7D22" w:rsidRPr="00BD2844" w:rsidRDefault="00FC676C" w:rsidP="003103A3">
      <w:pPr>
        <w:pStyle w:val="Caption"/>
        <w:jc w:val="left"/>
      </w:pPr>
      <w:r w:rsidRPr="00BD2844">
        <w:lastRenderedPageBreak/>
        <w:t xml:space="preserve">The NIVO+IPI versus STRIDE ITC for efficacy analysis for the ITT (SORA/LEN) population and SORA subgroup is presented in </w:t>
      </w:r>
      <w:r w:rsidRPr="00BD2844">
        <w:fldChar w:fldCharType="begin"/>
      </w:r>
      <w:r w:rsidRPr="00BD2844">
        <w:instrText xml:space="preserve"> REF _Ref195365652 \h </w:instrText>
      </w:r>
      <w:r w:rsidRPr="00BD2844">
        <w:fldChar w:fldCharType="separate"/>
      </w:r>
      <w:r w:rsidR="008C7D22" w:rsidRPr="00BD2844">
        <w:t xml:space="preserve">Table </w:t>
      </w:r>
      <w:r w:rsidR="008C7D22">
        <w:rPr>
          <w:noProof/>
        </w:rPr>
        <w:t>9</w:t>
      </w:r>
      <w:r w:rsidRPr="00BD2844">
        <w:fldChar w:fldCharType="end"/>
      </w:r>
      <w:r w:rsidRPr="00BD2844">
        <w:t xml:space="preserve">, with corresponding KM curves, presented in </w:t>
      </w:r>
      <w:r w:rsidRPr="00BD2844">
        <w:fldChar w:fldCharType="begin"/>
      </w:r>
      <w:r w:rsidRPr="00BD2844">
        <w:instrText xml:space="preserve"> REF _Ref195365892 \h </w:instrText>
      </w:r>
      <w:r w:rsidRPr="00BD2844">
        <w:fldChar w:fldCharType="separate"/>
      </w:r>
      <w:r w:rsidR="008C7D22" w:rsidRPr="00BD2844">
        <w:t xml:space="preserve">Figure </w:t>
      </w:r>
      <w:r w:rsidR="008C7D22">
        <w:rPr>
          <w:noProof/>
        </w:rPr>
        <w:t>4</w:t>
      </w:r>
      <w:r w:rsidR="008C7D22" w:rsidRPr="00BD2844">
        <w:t>: Kaplan Meier curves of overall survival in the CM-9DW (NIVO+IPI vs SORA/LEN) and HIMALAYA (STRIDE vs SORA) trials</w:t>
      </w:r>
    </w:p>
    <w:p w14:paraId="4C53883D" w14:textId="77777777" w:rsidR="008C7D22" w:rsidRPr="00BD2844" w:rsidRDefault="008C7D22" w:rsidP="003103A3">
      <w:pPr>
        <w:pStyle w:val="TableFigureFooter"/>
        <w:keepNext/>
      </w:pPr>
      <w:r w:rsidRPr="00BD2844">
        <w:rPr>
          <w:noProof/>
        </w:rPr>
        <w:drawing>
          <wp:inline distT="0" distB="0" distL="0" distR="0" wp14:anchorId="7533E179" wp14:editId="625DE633">
            <wp:extent cx="5229225" cy="2781300"/>
            <wp:effectExtent l="0" t="0" r="9525" b="0"/>
            <wp:docPr id="15850188" name="Picture 2" descr="Figure 4: Kaplan Meier curves of overall survival in the CM-9DW (NIVO+IPI vs SORA/LEN) and HIMALAYA (STRIDE vs SORA)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11999" name="Picture 2" descr="Figure 4: Kaplan Meier curves of overall survival in the CM-9DW (NIVO+IPI vs SORA/LEN) and HIMALAYA (STRIDE vs SORA) tria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9397" cy="2792029"/>
                    </a:xfrm>
                    <a:prstGeom prst="rect">
                      <a:avLst/>
                    </a:prstGeom>
                    <a:noFill/>
                  </pic:spPr>
                </pic:pic>
              </a:graphicData>
            </a:graphic>
          </wp:inline>
        </w:drawing>
      </w:r>
    </w:p>
    <w:p w14:paraId="3B9E5DD5" w14:textId="77777777" w:rsidR="008C7D22" w:rsidRPr="00BD2844" w:rsidRDefault="008C7D22" w:rsidP="003103A3">
      <w:pPr>
        <w:pStyle w:val="TableFigureFooter"/>
        <w:keepNext/>
      </w:pPr>
      <w:r w:rsidRPr="00BD2844">
        <w:t>Source: Figure 33, p 174 of the submission.</w:t>
      </w:r>
    </w:p>
    <w:p w14:paraId="45828DC5" w14:textId="77777777" w:rsidR="008C7D22" w:rsidRPr="00BD2844" w:rsidRDefault="008C7D22" w:rsidP="003103A3">
      <w:pPr>
        <w:pStyle w:val="TableFigureFooter"/>
        <w:keepNext/>
      </w:pPr>
      <w:r w:rsidRPr="00BD2844">
        <w:t>LENVA = lenvatinib; NIVO+IPI = nivolumab plus ipilimumab; SORA = sorafenib; STRIDE = Single Tremelimumab Regular Interval Durvalumab.</w:t>
      </w:r>
    </w:p>
    <w:p w14:paraId="3C858CCB" w14:textId="77777777" w:rsidR="008C7D22" w:rsidRPr="00BD2844" w:rsidRDefault="008C7D22" w:rsidP="00FC676C">
      <w:pPr>
        <w:pStyle w:val="Caption"/>
        <w:jc w:val="left"/>
      </w:pPr>
    </w:p>
    <w:p w14:paraId="5CE58C7A" w14:textId="13DA4192" w:rsidR="00FC676C" w:rsidRPr="00BD2844" w:rsidRDefault="008C7D22" w:rsidP="00FC676C">
      <w:pPr>
        <w:pStyle w:val="3-BodyText"/>
      </w:pPr>
      <w:r w:rsidRPr="00BD2844">
        <w:t xml:space="preserve">Figure </w:t>
      </w:r>
      <w:r>
        <w:rPr>
          <w:noProof/>
        </w:rPr>
        <w:t>5</w:t>
      </w:r>
      <w:r w:rsidR="00FC676C" w:rsidRPr="00BD2844">
        <w:fldChar w:fldCharType="end"/>
      </w:r>
      <w:r w:rsidR="00FC676C" w:rsidRPr="00BD2844">
        <w:t xml:space="preserve"> and </w:t>
      </w:r>
      <w:r w:rsidR="00FC676C" w:rsidRPr="00BD2844">
        <w:fldChar w:fldCharType="begin"/>
      </w:r>
      <w:r w:rsidR="00FC676C" w:rsidRPr="00BD2844">
        <w:instrText xml:space="preserve"> REF _Ref195365906 \h </w:instrText>
      </w:r>
      <w:r w:rsidR="00FC676C" w:rsidRPr="00BD2844">
        <w:fldChar w:fldCharType="separate"/>
      </w:r>
      <w:r w:rsidRPr="00BD2844">
        <w:t xml:space="preserve">Figure </w:t>
      </w:r>
      <w:r>
        <w:rPr>
          <w:noProof/>
        </w:rPr>
        <w:t>4</w:t>
      </w:r>
      <w:r w:rsidR="00FC676C" w:rsidRPr="00BD2844">
        <w:fldChar w:fldCharType="end"/>
      </w:r>
      <w:r w:rsidR="00FC676C" w:rsidRPr="00BD2844">
        <w:t xml:space="preserve">, respectively. </w:t>
      </w:r>
    </w:p>
    <w:p w14:paraId="6D4B18FB" w14:textId="0BB6B2DA" w:rsidR="00FC676C" w:rsidRPr="00BD2844" w:rsidRDefault="00FC676C" w:rsidP="00FC676C">
      <w:pPr>
        <w:pStyle w:val="Caption"/>
      </w:pPr>
      <w:bookmarkStart w:id="61" w:name="_Ref195365652"/>
      <w:bookmarkStart w:id="62" w:name="_Ref195365647"/>
      <w:r w:rsidRPr="00BD2844">
        <w:t xml:space="preserve">Table </w:t>
      </w:r>
      <w:r w:rsidR="002878AB">
        <w:fldChar w:fldCharType="begin"/>
      </w:r>
      <w:r w:rsidR="002878AB">
        <w:instrText xml:space="preserve"> SEQ Table \* ARABIC </w:instrText>
      </w:r>
      <w:r w:rsidR="002878AB">
        <w:fldChar w:fldCharType="separate"/>
      </w:r>
      <w:r w:rsidR="008C7D22">
        <w:rPr>
          <w:noProof/>
        </w:rPr>
        <w:t>9</w:t>
      </w:r>
      <w:r w:rsidR="002878AB">
        <w:fldChar w:fldCharType="end"/>
      </w:r>
      <w:bookmarkEnd w:id="61"/>
      <w:r w:rsidRPr="00BD2844">
        <w:t>: Overall survival: NIVO+IPI versus STRIDE</w:t>
      </w:r>
      <w:bookmarkEnd w:id="62"/>
    </w:p>
    <w:tbl>
      <w:tblPr>
        <w:tblStyle w:val="TableGrid"/>
        <w:tblW w:w="5000" w:type="pct"/>
        <w:tblLayout w:type="fixed"/>
        <w:tblLook w:val="04A0" w:firstRow="1" w:lastRow="0" w:firstColumn="1" w:lastColumn="0" w:noHBand="0" w:noVBand="1"/>
        <w:tblCaption w:val="Table 9: Overall survival: NIVO+IPI versus STRIDE"/>
      </w:tblPr>
      <w:tblGrid>
        <w:gridCol w:w="1554"/>
        <w:gridCol w:w="2774"/>
        <w:gridCol w:w="2871"/>
        <w:gridCol w:w="1818"/>
      </w:tblGrid>
      <w:tr w:rsidR="00FC676C" w:rsidRPr="00BD2844" w14:paraId="204531D3" w14:textId="77777777">
        <w:trPr>
          <w:trHeight w:val="20"/>
        </w:trPr>
        <w:tc>
          <w:tcPr>
            <w:tcW w:w="862" w:type="pct"/>
            <w:vAlign w:val="center"/>
          </w:tcPr>
          <w:p w14:paraId="750A4E44" w14:textId="77777777" w:rsidR="00FC676C" w:rsidRPr="00BD2844" w:rsidRDefault="00FC676C">
            <w:pPr>
              <w:pStyle w:val="Tabletext"/>
              <w:keepNext/>
              <w:keepLines/>
              <w:jc w:val="center"/>
            </w:pPr>
          </w:p>
        </w:tc>
        <w:tc>
          <w:tcPr>
            <w:tcW w:w="3130" w:type="pct"/>
            <w:gridSpan w:val="2"/>
            <w:vAlign w:val="center"/>
            <w:hideMark/>
          </w:tcPr>
          <w:p w14:paraId="276974ED" w14:textId="77777777" w:rsidR="00FC676C" w:rsidRPr="00BD2844" w:rsidRDefault="00FC676C">
            <w:pPr>
              <w:pStyle w:val="Tabletext"/>
              <w:keepNext/>
              <w:keepLines/>
              <w:jc w:val="center"/>
              <w:rPr>
                <w:b/>
                <w:bCs/>
              </w:rPr>
            </w:pPr>
            <w:r w:rsidRPr="00BD2844">
              <w:rPr>
                <w:b/>
                <w:bCs/>
              </w:rPr>
              <w:t>Direct Estimate</w:t>
            </w:r>
          </w:p>
          <w:p w14:paraId="13B76312" w14:textId="77777777" w:rsidR="00FC676C" w:rsidRPr="00BD2844" w:rsidRDefault="00FC676C">
            <w:pPr>
              <w:pStyle w:val="Tabletext"/>
              <w:keepNext/>
              <w:keepLines/>
              <w:jc w:val="center"/>
              <w:rPr>
                <w:b/>
                <w:bCs/>
              </w:rPr>
            </w:pPr>
            <w:r w:rsidRPr="00BD2844">
              <w:rPr>
                <w:b/>
                <w:bCs/>
              </w:rPr>
              <w:t>HR [95% CI]</w:t>
            </w:r>
          </w:p>
        </w:tc>
        <w:tc>
          <w:tcPr>
            <w:tcW w:w="1008" w:type="pct"/>
            <w:vAlign w:val="center"/>
            <w:hideMark/>
          </w:tcPr>
          <w:p w14:paraId="7D605B23" w14:textId="77777777" w:rsidR="00FC676C" w:rsidRPr="00BD2844" w:rsidRDefault="00FC676C">
            <w:pPr>
              <w:pStyle w:val="Tabletext"/>
              <w:keepNext/>
              <w:keepLines/>
              <w:jc w:val="center"/>
              <w:rPr>
                <w:b/>
                <w:bCs/>
              </w:rPr>
            </w:pPr>
            <w:r w:rsidRPr="00BD2844">
              <w:rPr>
                <w:b/>
                <w:bCs/>
              </w:rPr>
              <w:t>Indirect Estimate</w:t>
            </w:r>
          </w:p>
          <w:p w14:paraId="7495575B" w14:textId="77777777" w:rsidR="00FC676C" w:rsidRPr="00BD2844" w:rsidRDefault="00FC676C">
            <w:pPr>
              <w:pStyle w:val="Tabletext"/>
              <w:keepNext/>
              <w:keepLines/>
              <w:jc w:val="center"/>
              <w:rPr>
                <w:b/>
                <w:bCs/>
              </w:rPr>
            </w:pPr>
            <w:r w:rsidRPr="00BD2844">
              <w:rPr>
                <w:b/>
                <w:bCs/>
              </w:rPr>
              <w:t>HR [95% CI] p-value</w:t>
            </w:r>
          </w:p>
        </w:tc>
      </w:tr>
      <w:tr w:rsidR="00166CDC" w:rsidRPr="00BD2844" w14:paraId="4F5EF48D" w14:textId="77777777" w:rsidTr="005E3BE3">
        <w:trPr>
          <w:trHeight w:val="20"/>
        </w:trPr>
        <w:tc>
          <w:tcPr>
            <w:tcW w:w="862" w:type="pct"/>
            <w:vAlign w:val="center"/>
          </w:tcPr>
          <w:p w14:paraId="238AEA31" w14:textId="77777777" w:rsidR="00166CDC" w:rsidRPr="00BD2844" w:rsidRDefault="00166CDC" w:rsidP="001A42B0">
            <w:pPr>
              <w:pStyle w:val="Tabletext"/>
              <w:keepNext/>
              <w:keepLines/>
              <w:jc w:val="center"/>
              <w:rPr>
                <w:b/>
                <w:bCs/>
              </w:rPr>
            </w:pPr>
            <w:r w:rsidRPr="00BD2844">
              <w:rPr>
                <w:b/>
                <w:bCs/>
              </w:rPr>
              <w:t>Analysis</w:t>
            </w:r>
          </w:p>
        </w:tc>
        <w:tc>
          <w:tcPr>
            <w:tcW w:w="1538" w:type="pct"/>
            <w:noWrap/>
            <w:vAlign w:val="center"/>
          </w:tcPr>
          <w:p w14:paraId="23473032" w14:textId="77777777" w:rsidR="00166CDC" w:rsidRPr="00BD2844" w:rsidRDefault="00166CDC" w:rsidP="001A42B0">
            <w:pPr>
              <w:pStyle w:val="Tabletext"/>
              <w:keepNext/>
              <w:keepLines/>
              <w:jc w:val="center"/>
            </w:pPr>
            <w:r w:rsidRPr="00BD2844">
              <w:rPr>
                <w:b/>
                <w:bCs/>
              </w:rPr>
              <w:t>NIVO+IPI (N=335) vs. SORA/LEN (N=333)</w:t>
            </w:r>
          </w:p>
        </w:tc>
        <w:tc>
          <w:tcPr>
            <w:tcW w:w="1592" w:type="pct"/>
            <w:noWrap/>
            <w:vAlign w:val="center"/>
          </w:tcPr>
          <w:p w14:paraId="7D10B232" w14:textId="77777777" w:rsidR="00166CDC" w:rsidRPr="00BD2844" w:rsidRDefault="00166CDC" w:rsidP="001A42B0">
            <w:pPr>
              <w:pStyle w:val="Tabletext"/>
              <w:keepNext/>
              <w:keepLines/>
              <w:jc w:val="center"/>
            </w:pPr>
            <w:r w:rsidRPr="00BD2844">
              <w:rPr>
                <w:b/>
                <w:bCs/>
              </w:rPr>
              <w:t>STRIDE (N=393) vs. SORA (N=389)</w:t>
            </w:r>
          </w:p>
        </w:tc>
        <w:tc>
          <w:tcPr>
            <w:tcW w:w="1008" w:type="pct"/>
            <w:noWrap/>
            <w:vAlign w:val="center"/>
          </w:tcPr>
          <w:p w14:paraId="049125AC" w14:textId="77777777" w:rsidR="00166CDC" w:rsidRPr="00BD2844" w:rsidRDefault="00166CDC" w:rsidP="001A42B0">
            <w:pPr>
              <w:pStyle w:val="Tabletext"/>
              <w:keepNext/>
              <w:keepLines/>
              <w:jc w:val="center"/>
            </w:pPr>
            <w:r w:rsidRPr="00BD2844">
              <w:rPr>
                <w:b/>
                <w:bCs/>
              </w:rPr>
              <w:t>NIVO+IPI vs. STRIDE</w:t>
            </w:r>
          </w:p>
        </w:tc>
      </w:tr>
      <w:tr w:rsidR="00166CDC" w:rsidRPr="00BD2844" w14:paraId="16F4FF43" w14:textId="77777777" w:rsidTr="001A42B0">
        <w:trPr>
          <w:trHeight w:val="20"/>
        </w:trPr>
        <w:tc>
          <w:tcPr>
            <w:tcW w:w="862" w:type="pct"/>
            <w:vAlign w:val="center"/>
          </w:tcPr>
          <w:p w14:paraId="08D8A07D" w14:textId="77777777" w:rsidR="00166CDC" w:rsidRPr="00BD2844" w:rsidRDefault="00166CDC" w:rsidP="001A42B0">
            <w:pPr>
              <w:pStyle w:val="Tabletext"/>
              <w:keepNext/>
              <w:keepLines/>
              <w:jc w:val="center"/>
            </w:pPr>
            <w:r w:rsidRPr="00BD2844">
              <w:t>CM-9DW</w:t>
            </w:r>
          </w:p>
          <w:p w14:paraId="79919806" w14:textId="77777777" w:rsidR="00166CDC" w:rsidRPr="00BD2844" w:rsidRDefault="00166CDC" w:rsidP="001A42B0">
            <w:pPr>
              <w:pStyle w:val="Tabletext"/>
              <w:keepNext/>
              <w:keepLines/>
              <w:jc w:val="center"/>
            </w:pPr>
            <w:r w:rsidRPr="00BD2844">
              <w:t>vs</w:t>
            </w:r>
          </w:p>
          <w:p w14:paraId="61821C5B" w14:textId="77777777" w:rsidR="00166CDC" w:rsidRPr="00BD2844" w:rsidRDefault="00166CDC" w:rsidP="001A42B0">
            <w:pPr>
              <w:pStyle w:val="Tabletext"/>
              <w:keepNext/>
              <w:keepLines/>
              <w:jc w:val="center"/>
            </w:pPr>
            <w:r w:rsidRPr="00BD2844">
              <w:t>HIMALAYA</w:t>
            </w:r>
          </w:p>
        </w:tc>
        <w:tc>
          <w:tcPr>
            <w:tcW w:w="1538" w:type="pct"/>
            <w:noWrap/>
            <w:vAlign w:val="center"/>
          </w:tcPr>
          <w:p w14:paraId="5786CAC4" w14:textId="77777777" w:rsidR="00166CDC" w:rsidRPr="00BD2844" w:rsidRDefault="00166CDC" w:rsidP="001A42B0">
            <w:pPr>
              <w:pStyle w:val="Tabletext"/>
              <w:keepNext/>
              <w:keepLines/>
              <w:jc w:val="center"/>
            </w:pPr>
            <w:r w:rsidRPr="00BD2844">
              <w:t>0.79 [0.65, 0.96]</w:t>
            </w:r>
          </w:p>
        </w:tc>
        <w:tc>
          <w:tcPr>
            <w:tcW w:w="1592" w:type="pct"/>
            <w:noWrap/>
            <w:vAlign w:val="center"/>
          </w:tcPr>
          <w:p w14:paraId="691D96C5" w14:textId="77777777" w:rsidR="00166CDC" w:rsidRPr="00BD2844" w:rsidRDefault="00166CDC" w:rsidP="001A42B0">
            <w:pPr>
              <w:pStyle w:val="Tabletext"/>
              <w:keepNext/>
              <w:keepLines/>
              <w:jc w:val="center"/>
            </w:pPr>
            <w:r w:rsidRPr="00BD2844">
              <w:t>0.78 [0.67, 0.92]</w:t>
            </w:r>
          </w:p>
        </w:tc>
        <w:tc>
          <w:tcPr>
            <w:tcW w:w="1008" w:type="pct"/>
            <w:noWrap/>
            <w:vAlign w:val="center"/>
          </w:tcPr>
          <w:p w14:paraId="2F2DEE0A" w14:textId="77777777" w:rsidR="00166CDC" w:rsidRPr="00BD2844" w:rsidRDefault="00166CDC" w:rsidP="001A42B0">
            <w:pPr>
              <w:pStyle w:val="Tabletext"/>
              <w:keepNext/>
              <w:keepLines/>
              <w:jc w:val="center"/>
            </w:pPr>
            <w:r w:rsidRPr="00BD2844">
              <w:t>1.013 [0.788, 1.302]</w:t>
            </w:r>
          </w:p>
          <w:p w14:paraId="1011D3BF" w14:textId="77777777" w:rsidR="00166CDC" w:rsidRPr="00BD2844" w:rsidRDefault="00166CDC" w:rsidP="001A42B0">
            <w:pPr>
              <w:pStyle w:val="Tabletext"/>
              <w:keepNext/>
              <w:keepLines/>
              <w:jc w:val="center"/>
            </w:pPr>
            <w:r w:rsidRPr="00BD2844">
              <w:t>(p = 0.9209)</w:t>
            </w:r>
          </w:p>
        </w:tc>
      </w:tr>
      <w:tr w:rsidR="00FC676C" w:rsidRPr="00BD2844" w14:paraId="000B41F0" w14:textId="77777777">
        <w:trPr>
          <w:trHeight w:val="20"/>
        </w:trPr>
        <w:tc>
          <w:tcPr>
            <w:tcW w:w="862" w:type="pct"/>
            <w:vAlign w:val="center"/>
          </w:tcPr>
          <w:p w14:paraId="1995378F" w14:textId="77777777" w:rsidR="00FC676C" w:rsidRPr="00BD2844" w:rsidRDefault="00FC676C">
            <w:pPr>
              <w:pStyle w:val="Tabletext"/>
              <w:keepNext/>
              <w:keepLines/>
              <w:jc w:val="center"/>
              <w:rPr>
                <w:b/>
                <w:bCs/>
              </w:rPr>
            </w:pPr>
            <w:r w:rsidRPr="00BD2844">
              <w:rPr>
                <w:b/>
                <w:bCs/>
              </w:rPr>
              <w:t>Analysis</w:t>
            </w:r>
          </w:p>
        </w:tc>
        <w:tc>
          <w:tcPr>
            <w:tcW w:w="1538" w:type="pct"/>
            <w:vAlign w:val="center"/>
            <w:hideMark/>
          </w:tcPr>
          <w:p w14:paraId="0C811C81" w14:textId="77777777" w:rsidR="00FC676C" w:rsidRPr="00BD2844" w:rsidRDefault="00FC676C">
            <w:pPr>
              <w:pStyle w:val="Tabletext"/>
              <w:keepNext/>
              <w:keepLines/>
              <w:jc w:val="center"/>
              <w:rPr>
                <w:b/>
                <w:bCs/>
              </w:rPr>
            </w:pPr>
            <w:r w:rsidRPr="00BD2844">
              <w:rPr>
                <w:b/>
                <w:bCs/>
              </w:rPr>
              <w:t>NIVO+IPI (N=335) vs. SORA (N=50)</w:t>
            </w:r>
          </w:p>
        </w:tc>
        <w:tc>
          <w:tcPr>
            <w:tcW w:w="1592" w:type="pct"/>
            <w:vAlign w:val="center"/>
            <w:hideMark/>
          </w:tcPr>
          <w:p w14:paraId="502F3324" w14:textId="77777777" w:rsidR="00FC676C" w:rsidRPr="00BD2844" w:rsidRDefault="00FC676C">
            <w:pPr>
              <w:pStyle w:val="Tabletext"/>
              <w:keepNext/>
              <w:keepLines/>
              <w:jc w:val="center"/>
              <w:rPr>
                <w:b/>
                <w:bCs/>
              </w:rPr>
            </w:pPr>
            <w:r w:rsidRPr="00BD2844">
              <w:rPr>
                <w:b/>
                <w:bCs/>
              </w:rPr>
              <w:t>STRIDE (N= 393) vs. SORA (N=389)</w:t>
            </w:r>
          </w:p>
        </w:tc>
        <w:tc>
          <w:tcPr>
            <w:tcW w:w="1008" w:type="pct"/>
            <w:vAlign w:val="center"/>
            <w:hideMark/>
          </w:tcPr>
          <w:p w14:paraId="3DC9C159" w14:textId="77777777" w:rsidR="00FC676C" w:rsidRPr="00BD2844" w:rsidRDefault="00FC676C">
            <w:pPr>
              <w:pStyle w:val="Tabletext"/>
              <w:keepNext/>
              <w:keepLines/>
              <w:jc w:val="center"/>
              <w:rPr>
                <w:b/>
                <w:bCs/>
              </w:rPr>
            </w:pPr>
            <w:r w:rsidRPr="00BD2844">
              <w:rPr>
                <w:b/>
                <w:bCs/>
              </w:rPr>
              <w:t>NIVO+IPI vs. STRIDE</w:t>
            </w:r>
          </w:p>
        </w:tc>
      </w:tr>
      <w:tr w:rsidR="00FC676C" w:rsidRPr="00BD2844" w14:paraId="58D45865" w14:textId="77777777">
        <w:trPr>
          <w:trHeight w:val="20"/>
        </w:trPr>
        <w:tc>
          <w:tcPr>
            <w:tcW w:w="862" w:type="pct"/>
            <w:vAlign w:val="center"/>
          </w:tcPr>
          <w:p w14:paraId="4AED360E" w14:textId="77777777" w:rsidR="00FC676C" w:rsidRPr="00BD2844" w:rsidRDefault="00FC676C">
            <w:pPr>
              <w:pStyle w:val="Tabletext"/>
              <w:keepNext/>
              <w:keepLines/>
              <w:jc w:val="center"/>
            </w:pPr>
            <w:r w:rsidRPr="00BD2844">
              <w:t>CM-9DW (SORA subgroup)</w:t>
            </w:r>
          </w:p>
          <w:p w14:paraId="093F94D4" w14:textId="77777777" w:rsidR="00FC676C" w:rsidRPr="00BD2844" w:rsidRDefault="00FC676C">
            <w:pPr>
              <w:pStyle w:val="Tabletext"/>
              <w:keepNext/>
              <w:keepLines/>
              <w:jc w:val="center"/>
            </w:pPr>
            <w:r w:rsidRPr="00BD2844">
              <w:t>vs</w:t>
            </w:r>
          </w:p>
          <w:p w14:paraId="673D2CAE" w14:textId="77777777" w:rsidR="00FC676C" w:rsidRPr="00BD2844" w:rsidRDefault="00FC676C">
            <w:pPr>
              <w:pStyle w:val="Tabletext"/>
              <w:keepNext/>
              <w:keepLines/>
              <w:jc w:val="center"/>
            </w:pPr>
            <w:r w:rsidRPr="00BD2844">
              <w:t>HIMALAYA</w:t>
            </w:r>
          </w:p>
        </w:tc>
        <w:tc>
          <w:tcPr>
            <w:tcW w:w="1538" w:type="pct"/>
            <w:noWrap/>
            <w:vAlign w:val="center"/>
          </w:tcPr>
          <w:p w14:paraId="30E7FABC" w14:textId="77777777" w:rsidR="00FC676C" w:rsidRPr="00BD2844" w:rsidRDefault="00FC676C">
            <w:pPr>
              <w:pStyle w:val="Tabletext"/>
              <w:keepNext/>
              <w:keepLines/>
              <w:jc w:val="center"/>
            </w:pPr>
            <w:r w:rsidRPr="00BD2844">
              <w:t>0.70 [0.49, 0.98]</w:t>
            </w:r>
          </w:p>
        </w:tc>
        <w:tc>
          <w:tcPr>
            <w:tcW w:w="1592" w:type="pct"/>
            <w:noWrap/>
            <w:vAlign w:val="center"/>
          </w:tcPr>
          <w:p w14:paraId="4E8ACADF" w14:textId="77777777" w:rsidR="00FC676C" w:rsidRPr="00BD2844" w:rsidRDefault="00FC676C">
            <w:pPr>
              <w:pStyle w:val="Tabletext"/>
              <w:keepNext/>
              <w:keepLines/>
              <w:jc w:val="center"/>
            </w:pPr>
            <w:r w:rsidRPr="00BD2844">
              <w:t>0.78 [0.67, 0.92]</w:t>
            </w:r>
          </w:p>
        </w:tc>
        <w:tc>
          <w:tcPr>
            <w:tcW w:w="1008" w:type="pct"/>
            <w:noWrap/>
            <w:vAlign w:val="center"/>
          </w:tcPr>
          <w:p w14:paraId="3D95BF47" w14:textId="77777777" w:rsidR="00FC676C" w:rsidRPr="00BD2844" w:rsidRDefault="00FC676C">
            <w:pPr>
              <w:pStyle w:val="Tabletext"/>
              <w:keepNext/>
              <w:keepLines/>
              <w:jc w:val="center"/>
            </w:pPr>
            <w:r w:rsidRPr="00BD2844">
              <w:t>0.897 [0.613, 1.314]</w:t>
            </w:r>
          </w:p>
          <w:p w14:paraId="34D7E0B5" w14:textId="77777777" w:rsidR="00FC676C" w:rsidRPr="00BD2844" w:rsidRDefault="00FC676C">
            <w:pPr>
              <w:pStyle w:val="Tabletext"/>
              <w:keepNext/>
              <w:keepLines/>
              <w:jc w:val="center"/>
            </w:pPr>
            <w:r w:rsidRPr="00BD2844">
              <w:t>(p = 0.5779)</w:t>
            </w:r>
          </w:p>
        </w:tc>
      </w:tr>
    </w:tbl>
    <w:p w14:paraId="2A59296C" w14:textId="77777777" w:rsidR="00FC676C" w:rsidRPr="00BD2844" w:rsidRDefault="00FC676C" w:rsidP="00FC676C">
      <w:pPr>
        <w:pStyle w:val="TableFigureFooter"/>
      </w:pPr>
      <w:r w:rsidRPr="00BD2844">
        <w:t>Source: Table 67, p172 of the submission</w:t>
      </w:r>
    </w:p>
    <w:p w14:paraId="3996DA4B" w14:textId="77777777" w:rsidR="00FC676C" w:rsidRPr="00BD2844" w:rsidRDefault="00FC676C" w:rsidP="00FC676C">
      <w:pPr>
        <w:pStyle w:val="TableFigureFooter"/>
      </w:pPr>
      <w:r w:rsidRPr="00BD2844">
        <w:t>CI = confidence interval; HR = hazard ratio; LEN = lenvatinib; NIVO+IPI = nivolumab plus ipilimumab; SORA = sorafenib; STRIDE = Single Tremelimumab Regular Interval Durvalumab.</w:t>
      </w:r>
    </w:p>
    <w:p w14:paraId="3E264A42" w14:textId="18B5CE4D" w:rsidR="003103A3" w:rsidRPr="00BD2844" w:rsidRDefault="003103A3" w:rsidP="003103A3">
      <w:pPr>
        <w:pStyle w:val="Caption"/>
        <w:jc w:val="left"/>
      </w:pPr>
      <w:bookmarkStart w:id="63" w:name="_Ref195365906"/>
      <w:bookmarkStart w:id="64" w:name="_Ref195365892"/>
      <w:r w:rsidRPr="00BD2844">
        <w:lastRenderedPageBreak/>
        <w:t xml:space="preserve">Figure </w:t>
      </w:r>
      <w:r>
        <w:fldChar w:fldCharType="begin"/>
      </w:r>
      <w:r>
        <w:instrText xml:space="preserve"> SEQ Figure \* ARABIC </w:instrText>
      </w:r>
      <w:r>
        <w:fldChar w:fldCharType="separate"/>
      </w:r>
      <w:r w:rsidR="008C7D22">
        <w:rPr>
          <w:noProof/>
        </w:rPr>
        <w:t>4</w:t>
      </w:r>
      <w:r>
        <w:fldChar w:fldCharType="end"/>
      </w:r>
      <w:bookmarkEnd w:id="63"/>
      <w:r w:rsidRPr="00BD2844">
        <w:t>: Kaplan Meier curves of overall survival in the CM-9DW (NIVO+IPI vs SORA/LEN) and HIMALAYA (STRIDE vs SORA) trials</w:t>
      </w:r>
    </w:p>
    <w:p w14:paraId="5DFBAC07" w14:textId="77777777" w:rsidR="003103A3" w:rsidRPr="00BD2844" w:rsidRDefault="003103A3" w:rsidP="003103A3">
      <w:pPr>
        <w:pStyle w:val="TableFigureFooter"/>
        <w:keepNext/>
      </w:pPr>
      <w:r w:rsidRPr="00BD2844">
        <w:rPr>
          <w:noProof/>
        </w:rPr>
        <w:drawing>
          <wp:inline distT="0" distB="0" distL="0" distR="0" wp14:anchorId="5FCCB3BB" wp14:editId="7D388691">
            <wp:extent cx="5229225" cy="2781300"/>
            <wp:effectExtent l="0" t="0" r="9525" b="0"/>
            <wp:docPr id="1022411999" name="Picture 2" descr="Figure 4: Kaplan Meier curves of overall survival in the CM-9DW (NIVO+IPI vs SORA/LEN) and HIMALAYA (STRIDE vs SORA)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11999" name="Picture 2" descr="Figure 4: Kaplan Meier curves of overall survival in the CM-9DW (NIVO+IPI vs SORA/LEN) and HIMALAYA (STRIDE vs SORA) tria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9397" cy="2792029"/>
                    </a:xfrm>
                    <a:prstGeom prst="rect">
                      <a:avLst/>
                    </a:prstGeom>
                    <a:noFill/>
                  </pic:spPr>
                </pic:pic>
              </a:graphicData>
            </a:graphic>
          </wp:inline>
        </w:drawing>
      </w:r>
    </w:p>
    <w:p w14:paraId="1B037185" w14:textId="77777777" w:rsidR="003103A3" w:rsidRPr="00BD2844" w:rsidRDefault="003103A3" w:rsidP="003103A3">
      <w:pPr>
        <w:pStyle w:val="TableFigureFooter"/>
        <w:keepNext/>
      </w:pPr>
      <w:r w:rsidRPr="00BD2844">
        <w:t>Source: Figure 33, p 174 of the submission.</w:t>
      </w:r>
    </w:p>
    <w:p w14:paraId="6E26C126" w14:textId="77777777" w:rsidR="003103A3" w:rsidRPr="00BD2844" w:rsidRDefault="003103A3" w:rsidP="003103A3">
      <w:pPr>
        <w:pStyle w:val="TableFigureFooter"/>
        <w:keepNext/>
      </w:pPr>
      <w:r w:rsidRPr="00BD2844">
        <w:t>LENVA = lenvatinib; NIVO+IPI = nivolumab plus ipilimumab; SORA = sorafenib; STRIDE = Single Tremelimumab Regular Interval Durvalumab.</w:t>
      </w:r>
    </w:p>
    <w:p w14:paraId="7C6048AB" w14:textId="77777777" w:rsidR="003103A3" w:rsidRPr="00BD2844" w:rsidRDefault="003103A3" w:rsidP="00FC676C">
      <w:pPr>
        <w:pStyle w:val="Caption"/>
        <w:jc w:val="left"/>
      </w:pPr>
    </w:p>
    <w:p w14:paraId="6B4142B7" w14:textId="75860D2D" w:rsidR="00FC676C" w:rsidRPr="00BD2844" w:rsidRDefault="00FC676C" w:rsidP="00FC676C">
      <w:pPr>
        <w:pStyle w:val="Caption"/>
        <w:jc w:val="left"/>
      </w:pPr>
      <w:bookmarkStart w:id="65" w:name="_Ref201334246"/>
      <w:r w:rsidRPr="00BD2844">
        <w:t xml:space="preserve">Figure </w:t>
      </w:r>
      <w:r w:rsidR="003103A3">
        <w:fldChar w:fldCharType="begin"/>
      </w:r>
      <w:r w:rsidR="003103A3">
        <w:instrText xml:space="preserve"> SEQ Figure \* ARABIC </w:instrText>
      </w:r>
      <w:r w:rsidR="003103A3">
        <w:fldChar w:fldCharType="separate"/>
      </w:r>
      <w:r w:rsidR="008C7D22">
        <w:rPr>
          <w:noProof/>
        </w:rPr>
        <w:t>5</w:t>
      </w:r>
      <w:r w:rsidR="003103A3">
        <w:fldChar w:fldCharType="end"/>
      </w:r>
      <w:bookmarkEnd w:id="64"/>
      <w:bookmarkEnd w:id="65"/>
      <w:r w:rsidRPr="00BD2844">
        <w:t>: Kaplan Meier curves of overall survival in the CM-9DW (NIVO+IPI vs SORA) and HIMALAYA (STRIDE vs SORA</w:t>
      </w:r>
      <w:r w:rsidR="003103A3" w:rsidRPr="00BD2844">
        <w:t xml:space="preserve"> subgroup</w:t>
      </w:r>
      <w:r w:rsidRPr="00BD2844">
        <w:t>) trials</w:t>
      </w:r>
      <w:r w:rsidRPr="00BD2844">
        <w:br/>
      </w:r>
      <w:r w:rsidRPr="00BD2844">
        <w:rPr>
          <w:noProof/>
        </w:rPr>
        <w:drawing>
          <wp:inline distT="0" distB="0" distL="0" distR="0" wp14:anchorId="4EF51345" wp14:editId="71EC3CA1">
            <wp:extent cx="5191125" cy="3085952"/>
            <wp:effectExtent l="0" t="0" r="0" b="635"/>
            <wp:docPr id="1833109084" name="Picture 4" descr="Figure 5: Kaplan Meier curves of overall survival in the CM-9DW (NIVO+IPI vs SORA) and HIMALAYA (STRIDE vs SORA subgroup)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09084" name="Picture 4" descr="Figure 5: Kaplan Meier curves of overall survival in the CM-9DW (NIVO+IPI vs SORA) and HIMALAYA (STRIDE vs SORA subgroup) tria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6284" cy="3100908"/>
                    </a:xfrm>
                    <a:prstGeom prst="rect">
                      <a:avLst/>
                    </a:prstGeom>
                    <a:noFill/>
                  </pic:spPr>
                </pic:pic>
              </a:graphicData>
            </a:graphic>
          </wp:inline>
        </w:drawing>
      </w:r>
    </w:p>
    <w:p w14:paraId="41A94DA8" w14:textId="77777777" w:rsidR="00FC676C" w:rsidRPr="00BD2844" w:rsidRDefault="00FC676C" w:rsidP="00FC676C">
      <w:pPr>
        <w:pStyle w:val="TableFigureFooter"/>
      </w:pPr>
      <w:r w:rsidRPr="00BD2844">
        <w:t>Source: Figure 32, p173 of the submission.</w:t>
      </w:r>
    </w:p>
    <w:p w14:paraId="17150485" w14:textId="77777777" w:rsidR="00FC676C" w:rsidRPr="00BD2844" w:rsidRDefault="00FC676C" w:rsidP="00FC676C">
      <w:pPr>
        <w:pStyle w:val="TableFigureFooter"/>
      </w:pPr>
      <w:r w:rsidRPr="00BD2844">
        <w:t>NIVO+IPI = nivolumab plus ipilimumab; SORA = sorafenib; STRIDE = Single Tremelimumab Regular Interval Durvalumab.</w:t>
      </w:r>
    </w:p>
    <w:p w14:paraId="49D1B0A2" w14:textId="383CC298" w:rsidR="00756BCF" w:rsidRPr="00AC20B4" w:rsidRDefault="00FC676C" w:rsidP="004C73C0">
      <w:pPr>
        <w:pStyle w:val="3-BodyText"/>
      </w:pPr>
      <w:bookmarkStart w:id="66" w:name="_Ref205562105"/>
      <w:r w:rsidRPr="00BD2844">
        <w:t>The submission reported that using the SORA/LEN cohort of the CM-9DW trial, the results showed comparable OS for patients treated with NIVO+IPI versus STRIDE (HR=1.013</w:t>
      </w:r>
      <w:r w:rsidR="00953D2A">
        <w:t>;</w:t>
      </w:r>
      <w:r w:rsidRPr="00BD2844">
        <w:t xml:space="preserve"> 95% CI: 0.788, 1.302</w:t>
      </w:r>
      <w:r w:rsidRPr="00AC20B4">
        <w:t xml:space="preserve">). </w:t>
      </w:r>
      <w:r w:rsidR="00756BCF" w:rsidRPr="00AC20B4">
        <w:t xml:space="preserve">The ESC noted that the point estimate was smaller </w:t>
      </w:r>
      <w:r w:rsidR="00756BCF" w:rsidRPr="00AC20B4">
        <w:lastRenderedPageBreak/>
        <w:t xml:space="preserve">than </w:t>
      </w:r>
      <w:r w:rsidR="00BC2693" w:rsidRPr="00AC20B4">
        <w:t xml:space="preserve">reported for </w:t>
      </w:r>
      <w:r w:rsidR="00E035CA" w:rsidRPr="00AC20B4">
        <w:t xml:space="preserve">the </w:t>
      </w:r>
      <w:r w:rsidR="00BC2693" w:rsidRPr="00AC20B4">
        <w:t>ATEZO+BEV</w:t>
      </w:r>
      <w:r w:rsidR="00E035CA" w:rsidRPr="00AC20B4">
        <w:t xml:space="preserve"> comparison</w:t>
      </w:r>
      <w:r w:rsidR="00D02BB9" w:rsidRPr="00AC20B4">
        <w:t>. However, the ESC</w:t>
      </w:r>
      <w:r w:rsidR="000F387B" w:rsidRPr="00AC20B4">
        <w:t xml:space="preserve"> considered that the </w:t>
      </w:r>
      <w:r w:rsidR="00F0068D" w:rsidRPr="00AC20B4">
        <w:t xml:space="preserve">observed differences in the KM </w:t>
      </w:r>
      <w:r w:rsidR="0049755C" w:rsidRPr="00AC20B4">
        <w:t xml:space="preserve">curves between the comparator arms of the two trials indicated there were likely </w:t>
      </w:r>
      <w:r w:rsidR="00480ACC" w:rsidRPr="00AC20B4">
        <w:t>differences between the study populations</w:t>
      </w:r>
      <w:r w:rsidR="00D02BB9" w:rsidRPr="00AC20B4">
        <w:t xml:space="preserve"> which may bias the results.</w:t>
      </w:r>
      <w:bookmarkEnd w:id="66"/>
      <w:r w:rsidR="00D02BB9" w:rsidRPr="00AC20B4">
        <w:t xml:space="preserve"> </w:t>
      </w:r>
    </w:p>
    <w:p w14:paraId="0AE92EE2" w14:textId="1617DC5E" w:rsidR="00C66E64" w:rsidRPr="00BD2844" w:rsidRDefault="00FC676C" w:rsidP="004C73C0">
      <w:pPr>
        <w:pStyle w:val="3-BodyText"/>
      </w:pPr>
      <w:r w:rsidRPr="00BD2844">
        <w:t xml:space="preserve">The </w:t>
      </w:r>
      <w:r w:rsidR="00697960" w:rsidRPr="00BD2844">
        <w:t xml:space="preserve">submission noted the </w:t>
      </w:r>
      <w:r w:rsidRPr="00BD2844">
        <w:t>SORA subgroup of the SORA/LEN arm in the CM-9DW trial results demonstrated a numerically favourable OS benefit in favour of treatment with NIVO+IPI relative to STRIDE (HR=0.897</w:t>
      </w:r>
      <w:r w:rsidR="00953D2A">
        <w:t>;</w:t>
      </w:r>
      <w:r w:rsidRPr="00BD2844">
        <w:t xml:space="preserve"> 95% CI: 0.613, 1.314</w:t>
      </w:r>
      <w:r w:rsidRPr="00AC20B4">
        <w:t xml:space="preserve">). </w:t>
      </w:r>
      <w:r w:rsidR="00D70B6D" w:rsidRPr="00AC20B4">
        <w:t>However, t</w:t>
      </w:r>
      <w:r w:rsidRPr="00AC20B4">
        <w:t xml:space="preserve">he </w:t>
      </w:r>
      <w:r w:rsidR="00CD251A" w:rsidRPr="00AC20B4">
        <w:t xml:space="preserve">ESC </w:t>
      </w:r>
      <w:r w:rsidR="006D31E8" w:rsidRPr="00AC20B4">
        <w:t>noted</w:t>
      </w:r>
      <w:r w:rsidR="00CD251A" w:rsidRPr="00BD2844">
        <w:t xml:space="preserve"> that the </w:t>
      </w:r>
      <w:r w:rsidRPr="00BD2844">
        <w:t xml:space="preserve">results were associated with a wide confidence interval and were based on a post-hoc analysis of a subgroup with a small sample size (N=50) that represented only 15% of the comparator arm. </w:t>
      </w:r>
    </w:p>
    <w:p w14:paraId="4B339261" w14:textId="0017B088" w:rsidR="00FC676C" w:rsidRPr="00BD2844" w:rsidRDefault="00FC676C" w:rsidP="00C66E64">
      <w:pPr>
        <w:pStyle w:val="3-BodyText"/>
      </w:pPr>
      <w:r w:rsidRPr="00BD2844">
        <w:t xml:space="preserve">The submission did not elect an NIM, the consequences of which have been discussed at paragraph </w:t>
      </w:r>
      <w:r w:rsidRPr="00BD2844">
        <w:fldChar w:fldCharType="begin"/>
      </w:r>
      <w:r w:rsidRPr="00BD2844">
        <w:instrText xml:space="preserve"> REF _Ref195868971 \r \h </w:instrText>
      </w:r>
      <w:r w:rsidR="008D1DD6" w:rsidRPr="00BD2844">
        <w:instrText xml:space="preserve"> \* MERGEFORMAT </w:instrText>
      </w:r>
      <w:r w:rsidRPr="00BD2844">
        <w:fldChar w:fldCharType="separate"/>
      </w:r>
      <w:r w:rsidR="008C7D22">
        <w:t>6.27</w:t>
      </w:r>
      <w:r w:rsidRPr="00BD2844">
        <w:fldChar w:fldCharType="end"/>
      </w:r>
      <w:r w:rsidRPr="00BD2844">
        <w:t xml:space="preserve"> and apply equally to comparison of NIVO+IPI with STRIDE.</w:t>
      </w:r>
    </w:p>
    <w:p w14:paraId="4A17BFE3" w14:textId="3F3A75AC" w:rsidR="00166CDC" w:rsidRPr="00BD2844" w:rsidRDefault="00166CDC" w:rsidP="00DB656F">
      <w:pPr>
        <w:pStyle w:val="3-BodyText"/>
        <w:numPr>
          <w:ilvl w:val="0"/>
          <w:numId w:val="0"/>
        </w:numPr>
        <w:outlineLvl w:val="2"/>
        <w:rPr>
          <w:u w:val="single"/>
        </w:rPr>
      </w:pPr>
      <w:r w:rsidRPr="00BD2844">
        <w:rPr>
          <w:u w:val="single"/>
        </w:rPr>
        <w:t>Matched adjusted indirect comparison</w:t>
      </w:r>
    </w:p>
    <w:p w14:paraId="3D406412" w14:textId="600BA0B3" w:rsidR="000B6F02" w:rsidRPr="00BD2844" w:rsidRDefault="008124CB" w:rsidP="008124CB">
      <w:pPr>
        <w:pStyle w:val="3-BodyText"/>
      </w:pPr>
      <w:r w:rsidRPr="00BD2844">
        <w:t xml:space="preserve">The submission referred in its discussion of the interpretation of the evidence, to a matched adjusted indirect comparison (MAIC) that was conducted to compare NIVO+IPI to ATEZO+BEV and STRIDE. These data were not presented as ITC evidence to inform the submission’s conclusion but instead results were provided in a submission attachment. </w:t>
      </w:r>
    </w:p>
    <w:p w14:paraId="136C2DE0" w14:textId="3D2140B0" w:rsidR="00FC676C" w:rsidRPr="00AC20B4" w:rsidRDefault="00A33990" w:rsidP="005D4F6D">
      <w:pPr>
        <w:pStyle w:val="3-BodyText"/>
      </w:pPr>
      <w:r w:rsidRPr="00AC20B4">
        <w:t xml:space="preserve">The PSCR </w:t>
      </w:r>
      <w:r w:rsidR="00B3495F" w:rsidRPr="00AC20B4">
        <w:t>stated that</w:t>
      </w:r>
      <w:r w:rsidRPr="00AC20B4">
        <w:t xml:space="preserve"> t</w:t>
      </w:r>
      <w:r w:rsidR="00FC676C" w:rsidRPr="00AC20B4">
        <w:t xml:space="preserve">he detailed </w:t>
      </w:r>
      <w:r w:rsidR="00DE742B" w:rsidRPr="00AC20B4">
        <w:t>methodology of</w:t>
      </w:r>
      <w:r w:rsidR="00FC676C" w:rsidRPr="00AC20B4">
        <w:t xml:space="preserve"> the MAIC was unavailable</w:t>
      </w:r>
      <w:r w:rsidR="003457E3" w:rsidRPr="00AC20B4">
        <w:t xml:space="preserve"> at the time of the submission</w:t>
      </w:r>
      <w:r w:rsidR="00FC676C" w:rsidRPr="00AC20B4">
        <w:t>.</w:t>
      </w:r>
      <w:r w:rsidR="000F1E01" w:rsidRPr="00AC20B4">
        <w:t xml:space="preserve"> The PSCR provided </w:t>
      </w:r>
      <w:r w:rsidR="00F0042C" w:rsidRPr="00AC20B4">
        <w:t xml:space="preserve">a </w:t>
      </w:r>
      <w:r w:rsidR="00F54EF1" w:rsidRPr="00AC20B4">
        <w:t>support</w:t>
      </w:r>
      <w:r w:rsidR="00A72C4E" w:rsidRPr="00AC20B4">
        <w:t xml:space="preserve">ing document for </w:t>
      </w:r>
      <w:r w:rsidR="000F1E01" w:rsidRPr="00AC20B4">
        <w:t xml:space="preserve">the </w:t>
      </w:r>
      <w:r w:rsidR="00B30A6D" w:rsidRPr="00AC20B4">
        <w:t xml:space="preserve">ITC </w:t>
      </w:r>
      <w:r w:rsidR="00A72C4E" w:rsidRPr="00AC20B4">
        <w:t xml:space="preserve">(STC and MAIC) detailing </w:t>
      </w:r>
      <w:r w:rsidR="0010007F" w:rsidRPr="00AC20B4">
        <w:t>method</w:t>
      </w:r>
      <w:r w:rsidR="00A72C4E" w:rsidRPr="00AC20B4">
        <w:t>s and results of the analyses</w:t>
      </w:r>
      <w:r w:rsidR="002D7B60" w:rsidRPr="00AC20B4">
        <w:t xml:space="preserve">. </w:t>
      </w:r>
      <w:r w:rsidR="00396D33" w:rsidRPr="00AC20B4">
        <w:t xml:space="preserve">The ESC noted that </w:t>
      </w:r>
      <w:r w:rsidRPr="00AC20B4">
        <w:t>the results of the MAIC suggested non-inferiority of NIVO+IPI with ATEZO+BEV and STRIDE</w:t>
      </w:r>
      <w:r w:rsidR="00FF667C" w:rsidRPr="00AC20B4">
        <w:t xml:space="preserve"> but noted that these were not evaluated</w:t>
      </w:r>
      <w:r w:rsidR="000A1288" w:rsidRPr="00AC20B4">
        <w:t>.</w:t>
      </w:r>
    </w:p>
    <w:p w14:paraId="3828B7DA" w14:textId="77777777" w:rsidR="00FC676C" w:rsidRPr="00BD2844" w:rsidRDefault="00FC676C" w:rsidP="00FC676C">
      <w:pPr>
        <w:pStyle w:val="4-SubsectionHeading"/>
      </w:pPr>
      <w:bookmarkStart w:id="67" w:name="_Toc22897642"/>
      <w:bookmarkStart w:id="68" w:name="_Toc195866335"/>
      <w:bookmarkStart w:id="69" w:name="_Toc198716660"/>
      <w:r w:rsidRPr="00BD2844">
        <w:t>Comparative harms</w:t>
      </w:r>
      <w:bookmarkEnd w:id="67"/>
      <w:bookmarkEnd w:id="68"/>
      <w:bookmarkEnd w:id="69"/>
    </w:p>
    <w:p w14:paraId="6A9DFDD8" w14:textId="34BF7EC8" w:rsidR="00166CDC" w:rsidRPr="00BD2844" w:rsidRDefault="00166CDC" w:rsidP="002F5CFE">
      <w:pPr>
        <w:outlineLvl w:val="2"/>
        <w:rPr>
          <w:u w:val="single"/>
        </w:rPr>
      </w:pPr>
      <w:r w:rsidRPr="00BD2844">
        <w:rPr>
          <w:u w:val="single"/>
        </w:rPr>
        <w:t>Direct comparison: NIVO+IPI versus SORA/LEN</w:t>
      </w:r>
    </w:p>
    <w:p w14:paraId="5A015560" w14:textId="697D8BCD" w:rsidR="00D662CF" w:rsidRPr="00BD2844" w:rsidRDefault="00D662CF" w:rsidP="00D662CF">
      <w:pPr>
        <w:pStyle w:val="3-BodyText"/>
      </w:pPr>
      <w:r w:rsidRPr="00BD2844">
        <w:t xml:space="preserve">The results of NIVO+IPI versus SORA/LEN for safety are presented in </w:t>
      </w:r>
      <w:r w:rsidRPr="00BD2844">
        <w:fldChar w:fldCharType="begin"/>
      </w:r>
      <w:r w:rsidRPr="00BD2844">
        <w:instrText xml:space="preserve"> REF _Ref198558041 \h </w:instrText>
      </w:r>
      <w:r w:rsidRPr="00BD2844">
        <w:fldChar w:fldCharType="separate"/>
      </w:r>
      <w:r w:rsidR="008C7D22" w:rsidRPr="00BD2844">
        <w:t xml:space="preserve">Table </w:t>
      </w:r>
      <w:r w:rsidR="008C7D22">
        <w:rPr>
          <w:noProof/>
        </w:rPr>
        <w:t>10</w:t>
      </w:r>
      <w:r w:rsidRPr="00BD2844">
        <w:fldChar w:fldCharType="end"/>
      </w:r>
      <w:r w:rsidRPr="00BD2844">
        <w:t xml:space="preserve">. </w:t>
      </w:r>
      <w:r w:rsidR="00E63299" w:rsidRPr="00BD2844">
        <w:t>Based on the increased proportion of</w:t>
      </w:r>
      <w:r w:rsidR="00C0336B" w:rsidRPr="00BD2844">
        <w:t xml:space="preserve"> serious</w:t>
      </w:r>
      <w:r w:rsidR="00E63299" w:rsidRPr="00BD2844">
        <w:t xml:space="preserve"> treatment-related </w:t>
      </w:r>
      <w:r w:rsidR="00C0336B" w:rsidRPr="00BD2844">
        <w:t>adverse event</w:t>
      </w:r>
      <w:r w:rsidR="00E63299" w:rsidRPr="00BD2844">
        <w:t>s (</w:t>
      </w:r>
      <w:r w:rsidR="00C0336B" w:rsidRPr="00BD2844">
        <w:t>28.3</w:t>
      </w:r>
      <w:r w:rsidR="00E63299" w:rsidRPr="00BD2844">
        <w:t>% vs</w:t>
      </w:r>
      <w:r w:rsidR="00166CDC" w:rsidRPr="00BD2844">
        <w:t xml:space="preserve"> </w:t>
      </w:r>
      <w:r w:rsidR="00C0336B" w:rsidRPr="00BD2844">
        <w:t>14.5</w:t>
      </w:r>
      <w:r w:rsidR="00E63299" w:rsidRPr="00BD2844">
        <w:t>%)</w:t>
      </w:r>
      <w:r w:rsidR="00166CDC" w:rsidRPr="00BD2844">
        <w:t>,</w:t>
      </w:r>
      <w:r w:rsidR="00E63299" w:rsidRPr="00BD2844">
        <w:t xml:space="preserve"> Grade 3-4 treatment related </w:t>
      </w:r>
      <w:r w:rsidR="00C0336B" w:rsidRPr="00BD2844">
        <w:t>serious adverse events</w:t>
      </w:r>
      <w:r w:rsidR="00E63299" w:rsidRPr="00BD2844">
        <w:t xml:space="preserve"> (25.0% vs</w:t>
      </w:r>
      <w:r w:rsidR="00166CDC" w:rsidRPr="00BD2844">
        <w:t xml:space="preserve"> </w:t>
      </w:r>
      <w:r w:rsidR="00E63299" w:rsidRPr="00BD2844">
        <w:t>12.9%), treatment-related AEs leading to discontinuation (17.</w:t>
      </w:r>
      <w:r w:rsidR="006E37BB" w:rsidRPr="00BD2844">
        <w:t xml:space="preserve">8% vs 10.5%) </w:t>
      </w:r>
      <w:r w:rsidR="00E63299" w:rsidRPr="00BD2844">
        <w:t>and numerically more deaths due to study drug toxicity</w:t>
      </w:r>
      <w:r w:rsidR="006E37BB" w:rsidRPr="00BD2844">
        <w:t xml:space="preserve"> (</w:t>
      </w:r>
      <w:r w:rsidR="00C0336B" w:rsidRPr="00BD2844">
        <w:t>n=12 [</w:t>
      </w:r>
      <w:r w:rsidR="006E37BB" w:rsidRPr="00BD2844">
        <w:t>3.6%</w:t>
      </w:r>
      <w:r w:rsidR="00C0336B" w:rsidRPr="00BD2844">
        <w:t>]</w:t>
      </w:r>
      <w:r w:rsidR="006E37BB" w:rsidRPr="00BD2844">
        <w:t xml:space="preserve"> vs </w:t>
      </w:r>
      <w:r w:rsidR="00C0336B" w:rsidRPr="00BD2844">
        <w:t>n=3 [</w:t>
      </w:r>
      <w:r w:rsidR="006E37BB" w:rsidRPr="00BD2844">
        <w:t>0.9%</w:t>
      </w:r>
      <w:r w:rsidR="00C0336B" w:rsidRPr="00BD2844">
        <w:t>])</w:t>
      </w:r>
      <w:r w:rsidR="00E63299" w:rsidRPr="00BD2844">
        <w:t xml:space="preserve">, NIVO+IPI demonstrated an inferior safety profile compared to SORA/LEN.  </w:t>
      </w:r>
    </w:p>
    <w:p w14:paraId="66072085" w14:textId="3745956B" w:rsidR="00D662CF" w:rsidRPr="00BD2844" w:rsidRDefault="00D662CF" w:rsidP="00D662CF">
      <w:pPr>
        <w:pStyle w:val="Caption"/>
      </w:pPr>
      <w:bookmarkStart w:id="70" w:name="_Ref198558041"/>
      <w:r w:rsidRPr="00BD2844">
        <w:lastRenderedPageBreak/>
        <w:t xml:space="preserve">Table </w:t>
      </w:r>
      <w:r w:rsidR="002878AB">
        <w:fldChar w:fldCharType="begin"/>
      </w:r>
      <w:r w:rsidR="002878AB">
        <w:instrText xml:space="preserve"> SEQ Table \* ARABIC </w:instrText>
      </w:r>
      <w:r w:rsidR="002878AB">
        <w:fldChar w:fldCharType="separate"/>
      </w:r>
      <w:r w:rsidR="008C7D22">
        <w:rPr>
          <w:noProof/>
        </w:rPr>
        <w:t>10</w:t>
      </w:r>
      <w:r w:rsidR="002878AB">
        <w:fldChar w:fldCharType="end"/>
      </w:r>
      <w:bookmarkEnd w:id="70"/>
      <w:r w:rsidRPr="00BD2844">
        <w:t>: Overview of safety profile of NIVO/IPI versus SORA/LEN in the CM-9DW trial</w:t>
      </w:r>
    </w:p>
    <w:tbl>
      <w:tblPr>
        <w:tblStyle w:val="TableGrid"/>
        <w:tblW w:w="5000" w:type="pct"/>
        <w:tblLook w:val="04A0" w:firstRow="1" w:lastRow="0" w:firstColumn="1" w:lastColumn="0" w:noHBand="0" w:noVBand="1"/>
        <w:tblCaption w:val="Table 10: Overview of safety profile of NIVO/IPI versus SORA/LEN in the CM-9DW trial"/>
      </w:tblPr>
      <w:tblGrid>
        <w:gridCol w:w="3468"/>
        <w:gridCol w:w="2808"/>
        <w:gridCol w:w="2741"/>
      </w:tblGrid>
      <w:tr w:rsidR="00D662CF" w:rsidRPr="00BD2844" w14:paraId="75E89FCD" w14:textId="77777777" w:rsidTr="00D662CF">
        <w:tc>
          <w:tcPr>
            <w:tcW w:w="1923" w:type="pct"/>
            <w:vAlign w:val="center"/>
          </w:tcPr>
          <w:p w14:paraId="00351E65" w14:textId="77777777" w:rsidR="00D662CF" w:rsidRPr="00BD2844" w:rsidRDefault="00D662CF" w:rsidP="001A42B0">
            <w:pPr>
              <w:pStyle w:val="Tabletext"/>
              <w:keepNext/>
              <w:keepLines/>
            </w:pPr>
          </w:p>
        </w:tc>
        <w:tc>
          <w:tcPr>
            <w:tcW w:w="1557" w:type="pct"/>
            <w:vAlign w:val="center"/>
          </w:tcPr>
          <w:p w14:paraId="10DBBCFF" w14:textId="77777777" w:rsidR="00D662CF" w:rsidRPr="00BD2844" w:rsidRDefault="00D662CF" w:rsidP="001A42B0">
            <w:pPr>
              <w:pStyle w:val="Tabletext"/>
              <w:keepNext/>
              <w:keepLines/>
              <w:jc w:val="center"/>
              <w:rPr>
                <w:b/>
                <w:bCs/>
              </w:rPr>
            </w:pPr>
            <w:r w:rsidRPr="00BD2844">
              <w:rPr>
                <w:b/>
                <w:bCs/>
              </w:rPr>
              <w:t>NIVO+IPI</w:t>
            </w:r>
          </w:p>
          <w:p w14:paraId="58EE2DDF" w14:textId="77777777" w:rsidR="00D662CF" w:rsidRPr="00BD2844" w:rsidRDefault="00D662CF" w:rsidP="001A42B0">
            <w:pPr>
              <w:pStyle w:val="Tabletext"/>
              <w:keepNext/>
              <w:keepLines/>
              <w:jc w:val="center"/>
              <w:rPr>
                <w:b/>
                <w:bCs/>
              </w:rPr>
            </w:pPr>
            <w:r w:rsidRPr="00BD2844">
              <w:rPr>
                <w:b/>
                <w:bCs/>
              </w:rPr>
              <w:t>N=332</w:t>
            </w:r>
          </w:p>
        </w:tc>
        <w:tc>
          <w:tcPr>
            <w:tcW w:w="1520" w:type="pct"/>
            <w:vAlign w:val="center"/>
          </w:tcPr>
          <w:p w14:paraId="4462A4CD" w14:textId="77777777" w:rsidR="00D662CF" w:rsidRPr="00BD2844" w:rsidRDefault="00D662CF" w:rsidP="001A42B0">
            <w:pPr>
              <w:pStyle w:val="Tabletext"/>
              <w:keepNext/>
              <w:keepLines/>
              <w:jc w:val="center"/>
              <w:rPr>
                <w:b/>
                <w:bCs/>
              </w:rPr>
            </w:pPr>
            <w:r w:rsidRPr="00BD2844">
              <w:rPr>
                <w:b/>
                <w:bCs/>
              </w:rPr>
              <w:t>SORA/LEN</w:t>
            </w:r>
          </w:p>
          <w:p w14:paraId="175921E5" w14:textId="77777777" w:rsidR="00D662CF" w:rsidRPr="00BD2844" w:rsidRDefault="00D662CF" w:rsidP="001A42B0">
            <w:pPr>
              <w:pStyle w:val="Tabletext"/>
              <w:keepNext/>
              <w:keepLines/>
              <w:jc w:val="center"/>
              <w:rPr>
                <w:b/>
                <w:bCs/>
              </w:rPr>
            </w:pPr>
            <w:r w:rsidRPr="00BD2844">
              <w:rPr>
                <w:b/>
                <w:bCs/>
              </w:rPr>
              <w:t>N=325</w:t>
            </w:r>
          </w:p>
        </w:tc>
      </w:tr>
      <w:tr w:rsidR="00D662CF" w:rsidRPr="00BD2844" w14:paraId="0D11AB01" w14:textId="77777777" w:rsidTr="00D662CF">
        <w:tc>
          <w:tcPr>
            <w:tcW w:w="1923" w:type="pct"/>
            <w:vAlign w:val="center"/>
          </w:tcPr>
          <w:p w14:paraId="78476318" w14:textId="77777777" w:rsidR="00D662CF" w:rsidRPr="00BD2844" w:rsidRDefault="00D662CF" w:rsidP="001A42B0">
            <w:pPr>
              <w:pStyle w:val="Tabletext"/>
              <w:keepNext/>
              <w:keepLines/>
            </w:pPr>
          </w:p>
        </w:tc>
        <w:tc>
          <w:tcPr>
            <w:tcW w:w="1557" w:type="pct"/>
            <w:vAlign w:val="center"/>
          </w:tcPr>
          <w:p w14:paraId="65B19803" w14:textId="77777777" w:rsidR="00D662CF" w:rsidRPr="00BD2844" w:rsidRDefault="00D662CF" w:rsidP="001A42B0">
            <w:pPr>
              <w:pStyle w:val="Tabletext"/>
              <w:keepNext/>
              <w:keepLines/>
              <w:jc w:val="center"/>
              <w:rPr>
                <w:b/>
                <w:bCs/>
              </w:rPr>
            </w:pPr>
            <w:r w:rsidRPr="00BD2844">
              <w:rPr>
                <w:b/>
                <w:bCs/>
              </w:rPr>
              <w:t>n (%)</w:t>
            </w:r>
          </w:p>
        </w:tc>
        <w:tc>
          <w:tcPr>
            <w:tcW w:w="1520" w:type="pct"/>
            <w:vAlign w:val="center"/>
          </w:tcPr>
          <w:p w14:paraId="69219483" w14:textId="77777777" w:rsidR="00D662CF" w:rsidRPr="00BD2844" w:rsidRDefault="00D662CF" w:rsidP="001A42B0">
            <w:pPr>
              <w:pStyle w:val="Tabletext"/>
              <w:keepNext/>
              <w:keepLines/>
              <w:jc w:val="center"/>
              <w:rPr>
                <w:b/>
                <w:bCs/>
              </w:rPr>
            </w:pPr>
            <w:r w:rsidRPr="00BD2844">
              <w:rPr>
                <w:b/>
                <w:bCs/>
              </w:rPr>
              <w:t>n (%)</w:t>
            </w:r>
          </w:p>
        </w:tc>
      </w:tr>
      <w:tr w:rsidR="00D662CF" w:rsidRPr="00BD2844" w14:paraId="7A5A8723" w14:textId="77777777" w:rsidTr="00D662CF">
        <w:tc>
          <w:tcPr>
            <w:tcW w:w="1923" w:type="pct"/>
            <w:vAlign w:val="center"/>
          </w:tcPr>
          <w:p w14:paraId="79D9EE6C" w14:textId="77777777" w:rsidR="00D662CF" w:rsidRPr="00BD2844" w:rsidRDefault="00D662CF" w:rsidP="001A42B0">
            <w:pPr>
              <w:pStyle w:val="Tabletext"/>
              <w:keepNext/>
              <w:keepLines/>
            </w:pPr>
            <w:r w:rsidRPr="00BD2844">
              <w:t>All-casualty AEs</w:t>
            </w:r>
          </w:p>
        </w:tc>
        <w:tc>
          <w:tcPr>
            <w:tcW w:w="1557" w:type="pct"/>
            <w:vAlign w:val="center"/>
          </w:tcPr>
          <w:p w14:paraId="389C93C1" w14:textId="77777777" w:rsidR="00D662CF" w:rsidRPr="00BD2844" w:rsidRDefault="00D662CF" w:rsidP="001A42B0">
            <w:pPr>
              <w:pStyle w:val="Tabletext"/>
              <w:keepNext/>
              <w:keepLines/>
              <w:jc w:val="center"/>
            </w:pPr>
            <w:r w:rsidRPr="00BD2844">
              <w:t>331 (99.7)</w:t>
            </w:r>
          </w:p>
        </w:tc>
        <w:tc>
          <w:tcPr>
            <w:tcW w:w="1520" w:type="pct"/>
            <w:vAlign w:val="center"/>
          </w:tcPr>
          <w:p w14:paraId="69DD29F4" w14:textId="77777777" w:rsidR="00D662CF" w:rsidRPr="00BD2844" w:rsidRDefault="00D662CF" w:rsidP="001A42B0">
            <w:pPr>
              <w:pStyle w:val="Tabletext"/>
              <w:keepNext/>
              <w:keepLines/>
              <w:jc w:val="center"/>
            </w:pPr>
            <w:r w:rsidRPr="00BD2844">
              <w:t>320 (98.5)</w:t>
            </w:r>
          </w:p>
        </w:tc>
      </w:tr>
      <w:tr w:rsidR="00D662CF" w:rsidRPr="00BD2844" w14:paraId="726FD71B" w14:textId="77777777" w:rsidTr="00D662CF">
        <w:tc>
          <w:tcPr>
            <w:tcW w:w="1923" w:type="pct"/>
            <w:vAlign w:val="center"/>
          </w:tcPr>
          <w:p w14:paraId="7DFF4EA2" w14:textId="77777777" w:rsidR="00D662CF" w:rsidRPr="00BD2844" w:rsidRDefault="00D662CF" w:rsidP="001A42B0">
            <w:pPr>
              <w:pStyle w:val="Tabletext"/>
              <w:keepNext/>
              <w:keepLines/>
            </w:pPr>
            <w:r w:rsidRPr="00BD2844">
              <w:t>Treatment-related AEs</w:t>
            </w:r>
          </w:p>
        </w:tc>
        <w:tc>
          <w:tcPr>
            <w:tcW w:w="1557" w:type="pct"/>
            <w:vAlign w:val="center"/>
          </w:tcPr>
          <w:p w14:paraId="4678A60C" w14:textId="77777777" w:rsidR="00D662CF" w:rsidRPr="00BD2844" w:rsidRDefault="00D662CF" w:rsidP="001A42B0">
            <w:pPr>
              <w:pStyle w:val="Tabletext"/>
              <w:keepNext/>
              <w:keepLines/>
              <w:jc w:val="center"/>
            </w:pPr>
            <w:r w:rsidRPr="00BD2844">
              <w:t>278 (83.7)</w:t>
            </w:r>
          </w:p>
        </w:tc>
        <w:tc>
          <w:tcPr>
            <w:tcW w:w="1520" w:type="pct"/>
            <w:vAlign w:val="center"/>
          </w:tcPr>
          <w:p w14:paraId="1D86E451" w14:textId="77777777" w:rsidR="00D662CF" w:rsidRPr="00BD2844" w:rsidRDefault="00D662CF" w:rsidP="001A42B0">
            <w:pPr>
              <w:pStyle w:val="Tabletext"/>
              <w:keepNext/>
              <w:keepLines/>
              <w:jc w:val="center"/>
            </w:pPr>
            <w:r w:rsidRPr="00BD2844">
              <w:t>297 (91.4)</w:t>
            </w:r>
          </w:p>
        </w:tc>
      </w:tr>
      <w:tr w:rsidR="00D662CF" w:rsidRPr="00BD2844" w14:paraId="1F9EE647" w14:textId="77777777" w:rsidTr="00D662CF">
        <w:tc>
          <w:tcPr>
            <w:tcW w:w="1923" w:type="pct"/>
            <w:vAlign w:val="center"/>
          </w:tcPr>
          <w:p w14:paraId="479C140E" w14:textId="77777777" w:rsidR="00D662CF" w:rsidRPr="00BD2844" w:rsidRDefault="00D662CF" w:rsidP="001A42B0">
            <w:pPr>
              <w:pStyle w:val="Tabletext"/>
              <w:keepNext/>
              <w:keepLines/>
            </w:pPr>
            <w:r w:rsidRPr="00BD2844">
              <w:t>Grade 3-4 treatment-related AEs</w:t>
            </w:r>
          </w:p>
        </w:tc>
        <w:tc>
          <w:tcPr>
            <w:tcW w:w="1557" w:type="pct"/>
            <w:vAlign w:val="center"/>
          </w:tcPr>
          <w:p w14:paraId="49BA30A1" w14:textId="77777777" w:rsidR="00D662CF" w:rsidRPr="00BD2844" w:rsidRDefault="00D662CF" w:rsidP="001A42B0">
            <w:pPr>
              <w:pStyle w:val="Tabletext"/>
              <w:keepNext/>
              <w:keepLines/>
              <w:jc w:val="center"/>
            </w:pPr>
            <w:r w:rsidRPr="00BD2844">
              <w:t>137 (41.3)</w:t>
            </w:r>
          </w:p>
        </w:tc>
        <w:tc>
          <w:tcPr>
            <w:tcW w:w="1520" w:type="pct"/>
            <w:vAlign w:val="center"/>
          </w:tcPr>
          <w:p w14:paraId="06E87EA3" w14:textId="77777777" w:rsidR="00D662CF" w:rsidRPr="00BD2844" w:rsidRDefault="00D662CF" w:rsidP="001A42B0">
            <w:pPr>
              <w:pStyle w:val="Tabletext"/>
              <w:keepNext/>
              <w:keepLines/>
              <w:jc w:val="center"/>
            </w:pPr>
            <w:r w:rsidRPr="00BD2844">
              <w:t>138 (42.5)</w:t>
            </w:r>
          </w:p>
        </w:tc>
      </w:tr>
      <w:tr w:rsidR="00D662CF" w:rsidRPr="00BD2844" w14:paraId="6D460278" w14:textId="77777777" w:rsidTr="00D662CF">
        <w:tc>
          <w:tcPr>
            <w:tcW w:w="1923" w:type="pct"/>
            <w:vAlign w:val="center"/>
          </w:tcPr>
          <w:p w14:paraId="2DF4E86B" w14:textId="77777777" w:rsidR="00D662CF" w:rsidRPr="00BD2844" w:rsidRDefault="00D662CF" w:rsidP="001A42B0">
            <w:pPr>
              <w:pStyle w:val="Tabletext"/>
              <w:keepNext/>
              <w:keepLines/>
            </w:pPr>
            <w:r w:rsidRPr="00BD2844">
              <w:t>All-causality SAEs</w:t>
            </w:r>
          </w:p>
        </w:tc>
        <w:tc>
          <w:tcPr>
            <w:tcW w:w="1557" w:type="pct"/>
            <w:vAlign w:val="center"/>
          </w:tcPr>
          <w:p w14:paraId="2785144F" w14:textId="77777777" w:rsidR="00D662CF" w:rsidRPr="00BD2844" w:rsidRDefault="00D662CF" w:rsidP="001A42B0">
            <w:pPr>
              <w:pStyle w:val="Tabletext"/>
              <w:keepNext/>
              <w:keepLines/>
              <w:jc w:val="center"/>
            </w:pPr>
            <w:r w:rsidRPr="00BD2844">
              <w:t>176 (53.0)</w:t>
            </w:r>
          </w:p>
        </w:tc>
        <w:tc>
          <w:tcPr>
            <w:tcW w:w="1520" w:type="pct"/>
            <w:vAlign w:val="center"/>
          </w:tcPr>
          <w:p w14:paraId="3768E075" w14:textId="77777777" w:rsidR="00D662CF" w:rsidRPr="00BD2844" w:rsidRDefault="00D662CF" w:rsidP="001A42B0">
            <w:pPr>
              <w:pStyle w:val="Tabletext"/>
              <w:keepNext/>
              <w:keepLines/>
              <w:jc w:val="center"/>
            </w:pPr>
            <w:r w:rsidRPr="00BD2844">
              <w:t>143 (44.0)</w:t>
            </w:r>
          </w:p>
        </w:tc>
      </w:tr>
      <w:tr w:rsidR="00D662CF" w:rsidRPr="00BD2844" w14:paraId="4F74037F" w14:textId="77777777" w:rsidTr="00D662CF">
        <w:tc>
          <w:tcPr>
            <w:tcW w:w="1923" w:type="pct"/>
            <w:vAlign w:val="center"/>
          </w:tcPr>
          <w:p w14:paraId="31D9A5EA" w14:textId="77777777" w:rsidR="00D662CF" w:rsidRPr="00BD2844" w:rsidRDefault="00D662CF" w:rsidP="001A42B0">
            <w:pPr>
              <w:pStyle w:val="Tabletext"/>
              <w:keepNext/>
              <w:keepLines/>
            </w:pPr>
            <w:r w:rsidRPr="00BD2844">
              <w:t>Treatment-related SAEs</w:t>
            </w:r>
          </w:p>
        </w:tc>
        <w:tc>
          <w:tcPr>
            <w:tcW w:w="1557" w:type="pct"/>
            <w:vAlign w:val="center"/>
          </w:tcPr>
          <w:p w14:paraId="05BEC047" w14:textId="77777777" w:rsidR="00D662CF" w:rsidRPr="00BD2844" w:rsidRDefault="00D662CF" w:rsidP="001A42B0">
            <w:pPr>
              <w:pStyle w:val="Tabletext"/>
              <w:keepNext/>
              <w:keepLines/>
              <w:jc w:val="center"/>
            </w:pPr>
            <w:r w:rsidRPr="00BD2844">
              <w:t>94 (28.3)</w:t>
            </w:r>
          </w:p>
        </w:tc>
        <w:tc>
          <w:tcPr>
            <w:tcW w:w="1520" w:type="pct"/>
            <w:vAlign w:val="center"/>
          </w:tcPr>
          <w:p w14:paraId="01E3151A" w14:textId="77777777" w:rsidR="00D662CF" w:rsidRPr="00BD2844" w:rsidRDefault="00D662CF" w:rsidP="001A42B0">
            <w:pPr>
              <w:pStyle w:val="Tabletext"/>
              <w:keepNext/>
              <w:keepLines/>
              <w:jc w:val="center"/>
            </w:pPr>
            <w:r w:rsidRPr="00BD2844">
              <w:t>47 (14.5)</w:t>
            </w:r>
          </w:p>
        </w:tc>
      </w:tr>
      <w:tr w:rsidR="00D662CF" w:rsidRPr="00BD2844" w14:paraId="6884530E" w14:textId="77777777" w:rsidTr="00D662CF">
        <w:tc>
          <w:tcPr>
            <w:tcW w:w="1923" w:type="pct"/>
            <w:vAlign w:val="center"/>
          </w:tcPr>
          <w:p w14:paraId="30B6FDEC" w14:textId="77777777" w:rsidR="00D662CF" w:rsidRPr="00BD2844" w:rsidRDefault="00D662CF" w:rsidP="001A42B0">
            <w:pPr>
              <w:pStyle w:val="Tabletext"/>
              <w:keepNext/>
              <w:keepLines/>
            </w:pPr>
            <w:r w:rsidRPr="00BD2844">
              <w:t>Grade 3-4 treatment-related SAEs</w:t>
            </w:r>
          </w:p>
        </w:tc>
        <w:tc>
          <w:tcPr>
            <w:tcW w:w="1557" w:type="pct"/>
            <w:vAlign w:val="center"/>
          </w:tcPr>
          <w:p w14:paraId="773817F4" w14:textId="77777777" w:rsidR="00D662CF" w:rsidRPr="00BD2844" w:rsidRDefault="00D662CF" w:rsidP="001A42B0">
            <w:pPr>
              <w:pStyle w:val="Tabletext"/>
              <w:keepNext/>
              <w:keepLines/>
              <w:jc w:val="center"/>
            </w:pPr>
            <w:r w:rsidRPr="00BD2844">
              <w:t>83 (25.0)</w:t>
            </w:r>
          </w:p>
        </w:tc>
        <w:tc>
          <w:tcPr>
            <w:tcW w:w="1520" w:type="pct"/>
            <w:vAlign w:val="center"/>
          </w:tcPr>
          <w:p w14:paraId="3DFBE7F2" w14:textId="77777777" w:rsidR="00D662CF" w:rsidRPr="00BD2844" w:rsidRDefault="00D662CF" w:rsidP="001A42B0">
            <w:pPr>
              <w:pStyle w:val="Tabletext"/>
              <w:keepNext/>
              <w:keepLines/>
              <w:jc w:val="center"/>
            </w:pPr>
            <w:r w:rsidRPr="00BD2844">
              <w:t>42 (12.9)</w:t>
            </w:r>
          </w:p>
        </w:tc>
      </w:tr>
      <w:tr w:rsidR="00D662CF" w:rsidRPr="00BD2844" w14:paraId="3F0C2606" w14:textId="77777777" w:rsidTr="00D662CF">
        <w:tc>
          <w:tcPr>
            <w:tcW w:w="1923" w:type="pct"/>
            <w:vAlign w:val="center"/>
          </w:tcPr>
          <w:p w14:paraId="37732C35" w14:textId="77777777" w:rsidR="00D662CF" w:rsidRPr="00BD2844" w:rsidRDefault="00D662CF" w:rsidP="001A42B0">
            <w:pPr>
              <w:pStyle w:val="Tabletext"/>
              <w:keepNext/>
              <w:keepLines/>
            </w:pPr>
            <w:r w:rsidRPr="00BD2844">
              <w:t>AEs leading to discontinuation</w:t>
            </w:r>
          </w:p>
        </w:tc>
        <w:tc>
          <w:tcPr>
            <w:tcW w:w="1557" w:type="pct"/>
            <w:vAlign w:val="center"/>
          </w:tcPr>
          <w:p w14:paraId="5873CB36" w14:textId="77777777" w:rsidR="00D662CF" w:rsidRPr="00BD2844" w:rsidRDefault="00D662CF" w:rsidP="001A42B0">
            <w:pPr>
              <w:pStyle w:val="Tabletext"/>
              <w:keepNext/>
              <w:keepLines/>
              <w:jc w:val="center"/>
            </w:pPr>
            <w:r w:rsidRPr="00BD2844">
              <w:t>88 (26.5)</w:t>
            </w:r>
          </w:p>
        </w:tc>
        <w:tc>
          <w:tcPr>
            <w:tcW w:w="1520" w:type="pct"/>
            <w:vAlign w:val="center"/>
          </w:tcPr>
          <w:p w14:paraId="6D47CE46" w14:textId="77777777" w:rsidR="00D662CF" w:rsidRPr="00BD2844" w:rsidRDefault="00D662CF" w:rsidP="001A42B0">
            <w:pPr>
              <w:pStyle w:val="Tabletext"/>
              <w:keepNext/>
              <w:keepLines/>
              <w:jc w:val="center"/>
            </w:pPr>
            <w:r w:rsidRPr="00BD2844">
              <w:t>75 (23.1)</w:t>
            </w:r>
          </w:p>
        </w:tc>
      </w:tr>
      <w:tr w:rsidR="00D662CF" w:rsidRPr="00BD2844" w14:paraId="35273241" w14:textId="77777777" w:rsidTr="00D662CF">
        <w:tc>
          <w:tcPr>
            <w:tcW w:w="1923" w:type="pct"/>
            <w:vAlign w:val="center"/>
          </w:tcPr>
          <w:p w14:paraId="501B8BD8" w14:textId="77777777" w:rsidR="00D662CF" w:rsidRPr="00BD2844" w:rsidRDefault="00D662CF" w:rsidP="001A42B0">
            <w:pPr>
              <w:pStyle w:val="Tabletext"/>
              <w:keepNext/>
              <w:keepLines/>
            </w:pPr>
            <w:r w:rsidRPr="00BD2844">
              <w:t>Treatment-related AEs leading to discontinuation</w:t>
            </w:r>
          </w:p>
        </w:tc>
        <w:tc>
          <w:tcPr>
            <w:tcW w:w="1557" w:type="pct"/>
            <w:vAlign w:val="center"/>
          </w:tcPr>
          <w:p w14:paraId="4BD0CB3D" w14:textId="77777777" w:rsidR="00D662CF" w:rsidRPr="00BD2844" w:rsidRDefault="00D662CF" w:rsidP="001A42B0">
            <w:pPr>
              <w:pStyle w:val="Tabletext"/>
              <w:keepNext/>
              <w:keepLines/>
              <w:jc w:val="center"/>
            </w:pPr>
            <w:r w:rsidRPr="00BD2844">
              <w:t>59 (17.8)</w:t>
            </w:r>
          </w:p>
        </w:tc>
        <w:tc>
          <w:tcPr>
            <w:tcW w:w="1520" w:type="pct"/>
            <w:vAlign w:val="center"/>
          </w:tcPr>
          <w:p w14:paraId="2411C0F9" w14:textId="77777777" w:rsidR="00D662CF" w:rsidRPr="00BD2844" w:rsidRDefault="00D662CF" w:rsidP="001A42B0">
            <w:pPr>
              <w:pStyle w:val="Tabletext"/>
              <w:keepNext/>
              <w:keepLines/>
              <w:jc w:val="center"/>
            </w:pPr>
            <w:r w:rsidRPr="00BD2844">
              <w:t>34 (10.5)</w:t>
            </w:r>
          </w:p>
        </w:tc>
      </w:tr>
      <w:tr w:rsidR="00D662CF" w:rsidRPr="00BD2844" w14:paraId="0F213A2B" w14:textId="77777777" w:rsidTr="00D662CF">
        <w:tc>
          <w:tcPr>
            <w:tcW w:w="1923" w:type="pct"/>
            <w:vAlign w:val="center"/>
          </w:tcPr>
          <w:p w14:paraId="3BBFC80C" w14:textId="77777777" w:rsidR="00D662CF" w:rsidRPr="00BD2844" w:rsidRDefault="00D662CF" w:rsidP="001A42B0">
            <w:pPr>
              <w:pStyle w:val="Tabletext"/>
              <w:keepNext/>
              <w:keepLines/>
            </w:pPr>
            <w:r w:rsidRPr="00BD2844">
              <w:t>Deaths</w:t>
            </w:r>
          </w:p>
        </w:tc>
        <w:tc>
          <w:tcPr>
            <w:tcW w:w="1557" w:type="pct"/>
            <w:vAlign w:val="center"/>
          </w:tcPr>
          <w:p w14:paraId="476A456F" w14:textId="77777777" w:rsidR="00D662CF" w:rsidRPr="00BD2844" w:rsidRDefault="00D662CF" w:rsidP="001A42B0">
            <w:pPr>
              <w:pStyle w:val="Tabletext"/>
              <w:keepNext/>
              <w:keepLines/>
              <w:jc w:val="center"/>
            </w:pPr>
            <w:r w:rsidRPr="00BD2844">
              <w:t>192 (57.8)</w:t>
            </w:r>
          </w:p>
        </w:tc>
        <w:tc>
          <w:tcPr>
            <w:tcW w:w="1520" w:type="pct"/>
            <w:vAlign w:val="center"/>
          </w:tcPr>
          <w:p w14:paraId="52F67B54" w14:textId="77777777" w:rsidR="00D662CF" w:rsidRPr="00BD2844" w:rsidRDefault="00D662CF" w:rsidP="001A42B0">
            <w:pPr>
              <w:pStyle w:val="Tabletext"/>
              <w:keepNext/>
              <w:keepLines/>
              <w:jc w:val="center"/>
            </w:pPr>
            <w:r w:rsidRPr="00BD2844">
              <w:t>224 (68.9)</w:t>
            </w:r>
          </w:p>
        </w:tc>
      </w:tr>
      <w:tr w:rsidR="00D662CF" w:rsidRPr="00BD2844" w14:paraId="74943F50" w14:textId="77777777" w:rsidTr="00D662CF">
        <w:tc>
          <w:tcPr>
            <w:tcW w:w="1923" w:type="pct"/>
            <w:vAlign w:val="center"/>
          </w:tcPr>
          <w:p w14:paraId="08C14929" w14:textId="77777777" w:rsidR="00D662CF" w:rsidRPr="00BD2844" w:rsidRDefault="00D662CF" w:rsidP="001A42B0">
            <w:pPr>
              <w:pStyle w:val="Tabletext"/>
              <w:keepNext/>
              <w:keepLines/>
            </w:pPr>
            <w:r w:rsidRPr="00BD2844">
              <w:t>Deaths due to study drug toxicity</w:t>
            </w:r>
          </w:p>
        </w:tc>
        <w:tc>
          <w:tcPr>
            <w:tcW w:w="1557" w:type="pct"/>
            <w:vAlign w:val="center"/>
          </w:tcPr>
          <w:p w14:paraId="7A204C95" w14:textId="77777777" w:rsidR="00D662CF" w:rsidRPr="00BD2844" w:rsidRDefault="00D662CF" w:rsidP="001A42B0">
            <w:pPr>
              <w:pStyle w:val="Tabletext"/>
              <w:keepNext/>
              <w:keepLines/>
              <w:jc w:val="center"/>
            </w:pPr>
            <w:r w:rsidRPr="00BD2844">
              <w:t>12 (3.6)</w:t>
            </w:r>
          </w:p>
        </w:tc>
        <w:tc>
          <w:tcPr>
            <w:tcW w:w="1520" w:type="pct"/>
            <w:vAlign w:val="center"/>
          </w:tcPr>
          <w:p w14:paraId="4426F427" w14:textId="77777777" w:rsidR="00D662CF" w:rsidRPr="00BD2844" w:rsidRDefault="00D662CF" w:rsidP="001A42B0">
            <w:pPr>
              <w:pStyle w:val="Tabletext"/>
              <w:keepNext/>
              <w:keepLines/>
              <w:jc w:val="center"/>
            </w:pPr>
            <w:r w:rsidRPr="00BD2844">
              <w:t>3 (0.9)</w:t>
            </w:r>
          </w:p>
        </w:tc>
      </w:tr>
    </w:tbl>
    <w:p w14:paraId="764DE2A9" w14:textId="77777777" w:rsidR="00D662CF" w:rsidRPr="00BD2844" w:rsidRDefault="00D662CF" w:rsidP="00D662CF">
      <w:pPr>
        <w:pStyle w:val="TableFigureFooter"/>
      </w:pPr>
      <w:r w:rsidRPr="00BD2844">
        <w:t>Source: Table 48, p126 of the submission, Table 8.2-2, p118, Table 8.4-2, p133 of the CSR.</w:t>
      </w:r>
    </w:p>
    <w:p w14:paraId="46A59BC8" w14:textId="4A70B2EF" w:rsidR="00E63299" w:rsidRPr="00BD2844" w:rsidRDefault="00D662CF" w:rsidP="00D662CF">
      <w:pPr>
        <w:pStyle w:val="TableFigureFooter"/>
      </w:pPr>
      <w:r w:rsidRPr="00BD2844">
        <w:t>AE = adverse event</w:t>
      </w:r>
      <w:r w:rsidR="008E02ED" w:rsidRPr="00BD2844">
        <w:t xml:space="preserve">; </w:t>
      </w:r>
      <w:r w:rsidRPr="00BD2844">
        <w:t>SAE = serious adverse event.</w:t>
      </w:r>
    </w:p>
    <w:p w14:paraId="0D21F8FF" w14:textId="26A2BEF4" w:rsidR="00FC676C" w:rsidRPr="00BD2844" w:rsidRDefault="00FC676C" w:rsidP="002F5CFE">
      <w:pPr>
        <w:outlineLvl w:val="2"/>
        <w:rPr>
          <w:u w:val="single"/>
        </w:rPr>
      </w:pPr>
      <w:r w:rsidRPr="00BD2844">
        <w:rPr>
          <w:u w:val="single"/>
        </w:rPr>
        <w:t>Indirect treatment comparison (NIVO+IPI versus ATEZO+BEV)</w:t>
      </w:r>
    </w:p>
    <w:p w14:paraId="6B59F718" w14:textId="4FD5F083" w:rsidR="00FC676C" w:rsidRPr="00BD2844" w:rsidRDefault="00FC676C" w:rsidP="00FC676C">
      <w:pPr>
        <w:pStyle w:val="3-BodyText"/>
      </w:pPr>
      <w:r w:rsidRPr="00BD2844">
        <w:t>No safety data were available for the post-hoc SORA subgroup in the CM-9DW trial, and as a result the submission presented results for the overall SORA/LEN cohort only (</w:t>
      </w:r>
      <w:r w:rsidRPr="00BD2844">
        <w:rPr>
          <w:i/>
          <w:iCs/>
        </w:rPr>
        <w:fldChar w:fldCharType="begin"/>
      </w:r>
      <w:r w:rsidRPr="00BD2844">
        <w:rPr>
          <w:i/>
          <w:iCs/>
        </w:rPr>
        <w:instrText xml:space="preserve"> REF _Ref195369702 \h </w:instrText>
      </w:r>
      <w:r w:rsidRPr="00BD2844">
        <w:rPr>
          <w:i/>
          <w:iCs/>
        </w:rPr>
      </w:r>
      <w:r w:rsidRPr="00BD2844">
        <w:rPr>
          <w:i/>
          <w:iCs/>
        </w:rPr>
        <w:fldChar w:fldCharType="separate"/>
      </w:r>
      <w:r w:rsidR="008C7D22" w:rsidRPr="00BD2844">
        <w:t xml:space="preserve">Table </w:t>
      </w:r>
      <w:r w:rsidR="008C7D22">
        <w:rPr>
          <w:noProof/>
        </w:rPr>
        <w:t>11</w:t>
      </w:r>
      <w:r w:rsidRPr="00BD2844">
        <w:rPr>
          <w:i/>
          <w:iCs/>
        </w:rPr>
        <w:fldChar w:fldCharType="end"/>
      </w:r>
      <w:r w:rsidRPr="00BD2844">
        <w:t>)</w:t>
      </w:r>
      <w:r w:rsidRPr="00BD2844">
        <w:rPr>
          <w:i/>
          <w:iCs/>
        </w:rPr>
        <w:t>.</w:t>
      </w:r>
      <w:r w:rsidRPr="00BD2844">
        <w:t xml:space="preserve"> Median duration of treatments was lower in the NIVO+IPI arm compared to ATEZO+BEV (4.7 vs 8.4/7 months).</w:t>
      </w:r>
      <w:r w:rsidRPr="00BD2844">
        <w:rPr>
          <w:i/>
          <w:iCs/>
        </w:rPr>
        <w:t xml:space="preserve"> </w:t>
      </w:r>
    </w:p>
    <w:p w14:paraId="75695737" w14:textId="754524D7" w:rsidR="00FC676C" w:rsidRPr="00BD2844" w:rsidRDefault="00FC676C" w:rsidP="00FC676C">
      <w:pPr>
        <w:pStyle w:val="Caption"/>
      </w:pPr>
      <w:bookmarkStart w:id="71" w:name="_Ref195369702"/>
      <w:r w:rsidRPr="00BD2844">
        <w:t xml:space="preserve">Table </w:t>
      </w:r>
      <w:r w:rsidR="002878AB">
        <w:fldChar w:fldCharType="begin"/>
      </w:r>
      <w:r w:rsidR="002878AB">
        <w:instrText xml:space="preserve"> SEQ Table \* ARABIC </w:instrText>
      </w:r>
      <w:r w:rsidR="002878AB">
        <w:fldChar w:fldCharType="separate"/>
      </w:r>
      <w:r w:rsidR="008C7D22">
        <w:rPr>
          <w:noProof/>
        </w:rPr>
        <w:t>11</w:t>
      </w:r>
      <w:r w:rsidR="002878AB">
        <w:fldChar w:fldCharType="end"/>
      </w:r>
      <w:bookmarkEnd w:id="71"/>
      <w:r w:rsidRPr="00BD2844">
        <w:t>: Overview of safety profile: NIVO+IPI versus ATEZO+BEV</w:t>
      </w:r>
    </w:p>
    <w:tbl>
      <w:tblPr>
        <w:tblStyle w:val="TableGrid"/>
        <w:tblW w:w="5000" w:type="pct"/>
        <w:tblLayout w:type="fixed"/>
        <w:tblLook w:val="04A0" w:firstRow="1" w:lastRow="0" w:firstColumn="1" w:lastColumn="0" w:noHBand="0" w:noVBand="1"/>
        <w:tblCaption w:val="Table 11: Overview of safety profile: NIVO+IPI versus ATEZO+BEV"/>
      </w:tblPr>
      <w:tblGrid>
        <w:gridCol w:w="2227"/>
        <w:gridCol w:w="2233"/>
        <w:gridCol w:w="2101"/>
        <w:gridCol w:w="2456"/>
      </w:tblGrid>
      <w:tr w:rsidR="00FC676C" w:rsidRPr="00BD2844" w14:paraId="340CEF25" w14:textId="77777777">
        <w:trPr>
          <w:trHeight w:val="255"/>
        </w:trPr>
        <w:tc>
          <w:tcPr>
            <w:tcW w:w="1235" w:type="pct"/>
            <w:noWrap/>
          </w:tcPr>
          <w:p w14:paraId="6543D0CA" w14:textId="77777777" w:rsidR="00FC676C" w:rsidRPr="00BD2844" w:rsidRDefault="00FC676C">
            <w:pPr>
              <w:pStyle w:val="Tabletext"/>
              <w:keepNext/>
              <w:keepLines/>
            </w:pPr>
          </w:p>
        </w:tc>
        <w:tc>
          <w:tcPr>
            <w:tcW w:w="2403" w:type="pct"/>
            <w:gridSpan w:val="2"/>
            <w:noWrap/>
            <w:vAlign w:val="center"/>
          </w:tcPr>
          <w:p w14:paraId="75ADC04D" w14:textId="77777777" w:rsidR="00FC676C" w:rsidRPr="00BD2844" w:rsidRDefault="00FC676C">
            <w:pPr>
              <w:pStyle w:val="Tabletext"/>
              <w:keepNext/>
              <w:keepLines/>
              <w:jc w:val="center"/>
              <w:rPr>
                <w:b/>
                <w:bCs/>
              </w:rPr>
            </w:pPr>
            <w:r w:rsidRPr="00BD2844">
              <w:rPr>
                <w:b/>
                <w:bCs/>
              </w:rPr>
              <w:t>Direct Estimate</w:t>
            </w:r>
          </w:p>
          <w:p w14:paraId="25B751E5" w14:textId="77777777" w:rsidR="00FC676C" w:rsidRPr="00BD2844" w:rsidRDefault="00FC676C">
            <w:pPr>
              <w:pStyle w:val="Tabletext"/>
              <w:keepNext/>
              <w:keepLines/>
              <w:jc w:val="center"/>
              <w:rPr>
                <w:b/>
                <w:bCs/>
              </w:rPr>
            </w:pPr>
            <w:r w:rsidRPr="00BD2844">
              <w:rPr>
                <w:b/>
                <w:bCs/>
              </w:rPr>
              <w:t>OR [95% CI]</w:t>
            </w:r>
          </w:p>
        </w:tc>
        <w:tc>
          <w:tcPr>
            <w:tcW w:w="1362" w:type="pct"/>
            <w:noWrap/>
            <w:vAlign w:val="center"/>
          </w:tcPr>
          <w:p w14:paraId="04CD84DA" w14:textId="77777777" w:rsidR="00FC676C" w:rsidRPr="00BD2844" w:rsidRDefault="00FC676C">
            <w:pPr>
              <w:pStyle w:val="Tabletext"/>
              <w:keepNext/>
              <w:keepLines/>
              <w:jc w:val="center"/>
              <w:rPr>
                <w:b/>
                <w:bCs/>
              </w:rPr>
            </w:pPr>
            <w:r w:rsidRPr="00BD2844">
              <w:rPr>
                <w:b/>
                <w:bCs/>
              </w:rPr>
              <w:t>Indirect Estimate</w:t>
            </w:r>
          </w:p>
          <w:p w14:paraId="5B6E5DAF" w14:textId="64537738" w:rsidR="00FC676C" w:rsidRPr="00BD2844" w:rsidRDefault="00FC676C">
            <w:pPr>
              <w:pStyle w:val="Tabletext"/>
              <w:keepNext/>
              <w:keepLines/>
              <w:jc w:val="center"/>
              <w:rPr>
                <w:b/>
                <w:bCs/>
              </w:rPr>
            </w:pPr>
            <w:r w:rsidRPr="00BD2844">
              <w:rPr>
                <w:b/>
                <w:bCs/>
              </w:rPr>
              <w:t xml:space="preserve">OR [95% CI] </w:t>
            </w:r>
          </w:p>
        </w:tc>
      </w:tr>
      <w:tr w:rsidR="00FC676C" w:rsidRPr="00BD2844" w14:paraId="5B519BA3" w14:textId="77777777">
        <w:trPr>
          <w:trHeight w:val="255"/>
        </w:trPr>
        <w:tc>
          <w:tcPr>
            <w:tcW w:w="1235" w:type="pct"/>
            <w:noWrap/>
          </w:tcPr>
          <w:p w14:paraId="6F3F3FD8" w14:textId="77777777" w:rsidR="00FC676C" w:rsidRPr="00BD2844" w:rsidRDefault="00FC676C">
            <w:pPr>
              <w:pStyle w:val="Tabletext"/>
              <w:keepNext/>
              <w:keepLines/>
            </w:pPr>
          </w:p>
        </w:tc>
        <w:tc>
          <w:tcPr>
            <w:tcW w:w="1238" w:type="pct"/>
            <w:noWrap/>
            <w:vAlign w:val="center"/>
          </w:tcPr>
          <w:p w14:paraId="688146C4" w14:textId="77777777" w:rsidR="00FC676C" w:rsidRPr="00BD2844" w:rsidRDefault="00FC676C">
            <w:pPr>
              <w:pStyle w:val="Tabletext"/>
              <w:keepNext/>
              <w:keepLines/>
              <w:jc w:val="center"/>
              <w:rPr>
                <w:b/>
                <w:bCs/>
              </w:rPr>
            </w:pPr>
            <w:r w:rsidRPr="00BD2844">
              <w:rPr>
                <w:b/>
                <w:bCs/>
              </w:rPr>
              <w:t>NIVO+IPI vs. SORA/LEN</w:t>
            </w:r>
          </w:p>
        </w:tc>
        <w:tc>
          <w:tcPr>
            <w:tcW w:w="1165" w:type="pct"/>
            <w:noWrap/>
            <w:vAlign w:val="center"/>
          </w:tcPr>
          <w:p w14:paraId="4284AC70" w14:textId="77777777" w:rsidR="00FC676C" w:rsidRPr="00BD2844" w:rsidRDefault="00FC676C">
            <w:pPr>
              <w:pStyle w:val="Tabletext"/>
              <w:keepNext/>
              <w:keepLines/>
              <w:jc w:val="center"/>
              <w:rPr>
                <w:b/>
                <w:bCs/>
              </w:rPr>
            </w:pPr>
            <w:r w:rsidRPr="00BD2844">
              <w:rPr>
                <w:b/>
                <w:bCs/>
              </w:rPr>
              <w:t>ATEZO+BEV vs. SORA</w:t>
            </w:r>
          </w:p>
        </w:tc>
        <w:tc>
          <w:tcPr>
            <w:tcW w:w="1362" w:type="pct"/>
            <w:noWrap/>
            <w:vAlign w:val="center"/>
          </w:tcPr>
          <w:p w14:paraId="76D8195A" w14:textId="77777777" w:rsidR="00FC676C" w:rsidRPr="00BD2844" w:rsidRDefault="00FC676C">
            <w:pPr>
              <w:pStyle w:val="Tabletext"/>
              <w:keepNext/>
              <w:keepLines/>
              <w:jc w:val="center"/>
              <w:rPr>
                <w:b/>
                <w:bCs/>
              </w:rPr>
            </w:pPr>
            <w:r w:rsidRPr="00BD2844">
              <w:rPr>
                <w:b/>
                <w:bCs/>
              </w:rPr>
              <w:t>NIVO+IPI vs. ATEZO+BEV</w:t>
            </w:r>
          </w:p>
        </w:tc>
      </w:tr>
      <w:tr w:rsidR="00FC676C" w:rsidRPr="00BD2844" w14:paraId="3AC8BE6F" w14:textId="77777777" w:rsidTr="0080781F">
        <w:trPr>
          <w:trHeight w:val="255"/>
        </w:trPr>
        <w:tc>
          <w:tcPr>
            <w:tcW w:w="1235" w:type="pct"/>
            <w:noWrap/>
            <w:vAlign w:val="center"/>
            <w:hideMark/>
          </w:tcPr>
          <w:p w14:paraId="64CCA57D" w14:textId="77777777" w:rsidR="00FC676C" w:rsidRPr="00BD2844" w:rsidRDefault="00FC676C">
            <w:pPr>
              <w:pStyle w:val="Tabletext"/>
              <w:keepNext/>
              <w:keepLines/>
            </w:pPr>
            <w:r w:rsidRPr="00BD2844">
              <w:t>All-cause AEs</w:t>
            </w:r>
          </w:p>
        </w:tc>
        <w:tc>
          <w:tcPr>
            <w:tcW w:w="1238" w:type="pct"/>
            <w:noWrap/>
            <w:vAlign w:val="center"/>
          </w:tcPr>
          <w:p w14:paraId="19F58E1F" w14:textId="77777777" w:rsidR="00FC676C" w:rsidRPr="00BD2844" w:rsidRDefault="00FC676C">
            <w:pPr>
              <w:pStyle w:val="Tabletext"/>
              <w:keepNext/>
              <w:keepLines/>
              <w:jc w:val="center"/>
            </w:pPr>
            <w:r w:rsidRPr="00BD2844">
              <w:t>5.17 [0.6, 44.51]</w:t>
            </w:r>
          </w:p>
        </w:tc>
        <w:tc>
          <w:tcPr>
            <w:tcW w:w="1165" w:type="pct"/>
            <w:noWrap/>
            <w:vAlign w:val="center"/>
          </w:tcPr>
          <w:p w14:paraId="7C59E957" w14:textId="77777777" w:rsidR="00FC676C" w:rsidRPr="00BD2844" w:rsidRDefault="00FC676C">
            <w:pPr>
              <w:pStyle w:val="Tabletext"/>
              <w:keepNext/>
              <w:keepLines/>
              <w:jc w:val="center"/>
            </w:pPr>
            <w:r w:rsidRPr="00BD2844">
              <w:t>0.6 [0.12, 2.91]</w:t>
            </w:r>
          </w:p>
        </w:tc>
        <w:tc>
          <w:tcPr>
            <w:tcW w:w="1362" w:type="pct"/>
            <w:noWrap/>
            <w:vAlign w:val="center"/>
          </w:tcPr>
          <w:p w14:paraId="29E7C04B" w14:textId="75917009" w:rsidR="00FC676C" w:rsidRPr="00BD2844" w:rsidRDefault="00FC676C" w:rsidP="0080781F">
            <w:pPr>
              <w:pStyle w:val="Tabletext"/>
              <w:keepNext/>
              <w:keepLines/>
              <w:jc w:val="center"/>
            </w:pPr>
            <w:r w:rsidRPr="00BD2844">
              <w:t>8.617 [0.591, 125.573]</w:t>
            </w:r>
          </w:p>
        </w:tc>
      </w:tr>
      <w:tr w:rsidR="00FC676C" w:rsidRPr="00BD2844" w14:paraId="1F3E4057" w14:textId="77777777" w:rsidTr="0080781F">
        <w:trPr>
          <w:trHeight w:val="255"/>
        </w:trPr>
        <w:tc>
          <w:tcPr>
            <w:tcW w:w="1235" w:type="pct"/>
            <w:noWrap/>
            <w:vAlign w:val="center"/>
            <w:hideMark/>
          </w:tcPr>
          <w:p w14:paraId="423E8336" w14:textId="77777777" w:rsidR="00FC676C" w:rsidRPr="00BD2844" w:rsidRDefault="00FC676C">
            <w:pPr>
              <w:pStyle w:val="Tabletext"/>
              <w:keepNext/>
              <w:keepLines/>
            </w:pPr>
            <w:r w:rsidRPr="00BD2844">
              <w:t>Treatment-related AEs</w:t>
            </w:r>
          </w:p>
        </w:tc>
        <w:tc>
          <w:tcPr>
            <w:tcW w:w="1238" w:type="pct"/>
            <w:noWrap/>
            <w:vAlign w:val="center"/>
          </w:tcPr>
          <w:p w14:paraId="733C951E" w14:textId="77777777" w:rsidR="00FC676C" w:rsidRPr="00BD2844" w:rsidRDefault="00FC676C">
            <w:pPr>
              <w:pStyle w:val="Tabletext"/>
              <w:keepNext/>
              <w:keepLines/>
              <w:jc w:val="center"/>
            </w:pPr>
            <w:r w:rsidRPr="00BD2844">
              <w:t>0.49 [0.3, 0.79]</w:t>
            </w:r>
          </w:p>
        </w:tc>
        <w:tc>
          <w:tcPr>
            <w:tcW w:w="1165" w:type="pct"/>
            <w:noWrap/>
            <w:vAlign w:val="center"/>
          </w:tcPr>
          <w:p w14:paraId="76318C51" w14:textId="77777777" w:rsidR="00FC676C" w:rsidRPr="00BD2844" w:rsidRDefault="00FC676C">
            <w:pPr>
              <w:pStyle w:val="Tabletext"/>
              <w:keepNext/>
              <w:keepLines/>
              <w:jc w:val="center"/>
            </w:pPr>
            <w:r w:rsidRPr="00BD2844">
              <w:t>0.34 [0.16, 0.74]</w:t>
            </w:r>
          </w:p>
        </w:tc>
        <w:tc>
          <w:tcPr>
            <w:tcW w:w="1362" w:type="pct"/>
            <w:noWrap/>
            <w:vAlign w:val="center"/>
          </w:tcPr>
          <w:p w14:paraId="02CA201A" w14:textId="05C831C1" w:rsidR="00FC676C" w:rsidRPr="00BD2844" w:rsidRDefault="00FC676C" w:rsidP="0080781F">
            <w:pPr>
              <w:pStyle w:val="Tabletext"/>
              <w:keepNext/>
              <w:keepLines/>
              <w:jc w:val="center"/>
            </w:pPr>
            <w:r w:rsidRPr="00BD2844">
              <w:t>1.441 [0.582, 3.566]</w:t>
            </w:r>
          </w:p>
        </w:tc>
      </w:tr>
      <w:tr w:rsidR="00FC676C" w:rsidRPr="00BD2844" w14:paraId="75AAECDD" w14:textId="77777777" w:rsidTr="0080781F">
        <w:trPr>
          <w:trHeight w:val="255"/>
        </w:trPr>
        <w:tc>
          <w:tcPr>
            <w:tcW w:w="1235" w:type="pct"/>
            <w:noWrap/>
            <w:vAlign w:val="center"/>
            <w:hideMark/>
          </w:tcPr>
          <w:p w14:paraId="32371A9B" w14:textId="77777777" w:rsidR="00FC676C" w:rsidRPr="00BD2844" w:rsidRDefault="00FC676C">
            <w:pPr>
              <w:pStyle w:val="Tabletext"/>
              <w:keepNext/>
              <w:keepLines/>
            </w:pPr>
            <w:r w:rsidRPr="00BD2844">
              <w:t>All-cause SAEs</w:t>
            </w:r>
          </w:p>
        </w:tc>
        <w:tc>
          <w:tcPr>
            <w:tcW w:w="1238" w:type="pct"/>
            <w:noWrap/>
            <w:vAlign w:val="center"/>
          </w:tcPr>
          <w:p w14:paraId="0704845A" w14:textId="77777777" w:rsidR="00FC676C" w:rsidRPr="00BD2844" w:rsidRDefault="00FC676C">
            <w:pPr>
              <w:pStyle w:val="Tabletext"/>
              <w:keepNext/>
              <w:keepLines/>
              <w:jc w:val="center"/>
            </w:pPr>
            <w:r w:rsidRPr="00BD2844">
              <w:t>1.44 [1.06, 1.95]</w:t>
            </w:r>
          </w:p>
        </w:tc>
        <w:tc>
          <w:tcPr>
            <w:tcW w:w="1165" w:type="pct"/>
            <w:noWrap/>
            <w:vAlign w:val="center"/>
          </w:tcPr>
          <w:p w14:paraId="53563494" w14:textId="77777777" w:rsidR="00FC676C" w:rsidRPr="00BD2844" w:rsidRDefault="00FC676C">
            <w:pPr>
              <w:pStyle w:val="Tabletext"/>
              <w:keepNext/>
              <w:keepLines/>
              <w:jc w:val="center"/>
            </w:pPr>
            <w:r w:rsidRPr="00BD2844">
              <w:t>1.95 [1.31, 2.9]</w:t>
            </w:r>
          </w:p>
        </w:tc>
        <w:tc>
          <w:tcPr>
            <w:tcW w:w="1362" w:type="pct"/>
            <w:noWrap/>
            <w:vAlign w:val="center"/>
          </w:tcPr>
          <w:p w14:paraId="0C3C057B" w14:textId="596C6D64" w:rsidR="00FC676C" w:rsidRPr="00BD2844" w:rsidRDefault="00FC676C" w:rsidP="0080781F">
            <w:pPr>
              <w:pStyle w:val="Tabletext"/>
              <w:keepNext/>
              <w:keepLines/>
              <w:jc w:val="center"/>
            </w:pPr>
            <w:r w:rsidRPr="00BD2844">
              <w:t>0.738 [0.448, 1.218]</w:t>
            </w:r>
          </w:p>
        </w:tc>
      </w:tr>
      <w:tr w:rsidR="00FC676C" w:rsidRPr="00BD2844" w14:paraId="16656CBE" w14:textId="77777777" w:rsidTr="0080781F">
        <w:trPr>
          <w:trHeight w:val="255"/>
        </w:trPr>
        <w:tc>
          <w:tcPr>
            <w:tcW w:w="1235" w:type="pct"/>
            <w:noWrap/>
            <w:vAlign w:val="center"/>
            <w:hideMark/>
          </w:tcPr>
          <w:p w14:paraId="394DC86E" w14:textId="77777777" w:rsidR="00FC676C" w:rsidRPr="00BD2844" w:rsidRDefault="00FC676C">
            <w:pPr>
              <w:pStyle w:val="Tabletext"/>
              <w:keepNext/>
              <w:keepLines/>
            </w:pPr>
            <w:r w:rsidRPr="00BD2844">
              <w:t>Treatment-related SAEs</w:t>
            </w:r>
          </w:p>
        </w:tc>
        <w:tc>
          <w:tcPr>
            <w:tcW w:w="1238" w:type="pct"/>
            <w:noWrap/>
            <w:vAlign w:val="center"/>
          </w:tcPr>
          <w:p w14:paraId="780EFE65" w14:textId="77777777" w:rsidR="00FC676C" w:rsidRPr="00BD2844" w:rsidRDefault="00FC676C">
            <w:pPr>
              <w:pStyle w:val="Tabletext"/>
              <w:keepNext/>
              <w:keepLines/>
              <w:jc w:val="center"/>
            </w:pPr>
            <w:r w:rsidRPr="00BD2844">
              <w:t>2.34 [1.58, 3.45]</w:t>
            </w:r>
          </w:p>
        </w:tc>
        <w:tc>
          <w:tcPr>
            <w:tcW w:w="1165" w:type="pct"/>
            <w:noWrap/>
            <w:vAlign w:val="center"/>
          </w:tcPr>
          <w:p w14:paraId="7242721B" w14:textId="77777777" w:rsidR="00FC676C" w:rsidRPr="00BD2844" w:rsidRDefault="00FC676C">
            <w:pPr>
              <w:pStyle w:val="Tabletext"/>
              <w:keepNext/>
              <w:keepLines/>
              <w:jc w:val="center"/>
            </w:pPr>
            <w:r w:rsidRPr="00BD2844">
              <w:t>1.57 [0.96, 2.59]</w:t>
            </w:r>
          </w:p>
        </w:tc>
        <w:tc>
          <w:tcPr>
            <w:tcW w:w="1362" w:type="pct"/>
            <w:noWrap/>
            <w:vAlign w:val="center"/>
          </w:tcPr>
          <w:p w14:paraId="4B1F9A0B" w14:textId="2D337E72" w:rsidR="00FC676C" w:rsidRPr="00BD2844" w:rsidRDefault="00FC676C" w:rsidP="0080781F">
            <w:pPr>
              <w:pStyle w:val="Tabletext"/>
              <w:keepNext/>
              <w:keepLines/>
              <w:jc w:val="center"/>
            </w:pPr>
            <w:r w:rsidRPr="00BD2844">
              <w:t>1.49 [0.793, 2.803]</w:t>
            </w:r>
          </w:p>
        </w:tc>
      </w:tr>
      <w:tr w:rsidR="00FC676C" w:rsidRPr="00BD2844" w14:paraId="42E412A5" w14:textId="77777777" w:rsidTr="0080781F">
        <w:trPr>
          <w:trHeight w:val="255"/>
        </w:trPr>
        <w:tc>
          <w:tcPr>
            <w:tcW w:w="1235" w:type="pct"/>
            <w:noWrap/>
            <w:vAlign w:val="center"/>
            <w:hideMark/>
          </w:tcPr>
          <w:p w14:paraId="4C097935" w14:textId="77777777" w:rsidR="00FC676C" w:rsidRPr="00BD2844" w:rsidRDefault="00FC676C">
            <w:pPr>
              <w:pStyle w:val="Tabletext"/>
              <w:keepNext/>
              <w:keepLines/>
            </w:pPr>
            <w:r w:rsidRPr="00BD2844">
              <w:t>AEs leading to discontinuation</w:t>
            </w:r>
          </w:p>
        </w:tc>
        <w:tc>
          <w:tcPr>
            <w:tcW w:w="1238" w:type="pct"/>
            <w:noWrap/>
            <w:vAlign w:val="center"/>
          </w:tcPr>
          <w:p w14:paraId="227BCB56" w14:textId="77777777" w:rsidR="00FC676C" w:rsidRPr="00BD2844" w:rsidRDefault="00FC676C">
            <w:pPr>
              <w:pStyle w:val="Tabletext"/>
              <w:keepNext/>
              <w:keepLines/>
              <w:jc w:val="center"/>
            </w:pPr>
            <w:r w:rsidRPr="00BD2844">
              <w:t>1.2 [0.84, 1.71]</w:t>
            </w:r>
          </w:p>
        </w:tc>
        <w:tc>
          <w:tcPr>
            <w:tcW w:w="1165" w:type="pct"/>
            <w:noWrap/>
            <w:vAlign w:val="center"/>
          </w:tcPr>
          <w:p w14:paraId="023456FF" w14:textId="77777777" w:rsidR="00FC676C" w:rsidRPr="00BD2844" w:rsidRDefault="00FC676C">
            <w:pPr>
              <w:pStyle w:val="Tabletext"/>
              <w:keepNext/>
              <w:keepLines/>
              <w:jc w:val="center"/>
            </w:pPr>
            <w:r w:rsidRPr="00BD2844">
              <w:t>2.15 [1.23, 3.75]</w:t>
            </w:r>
          </w:p>
        </w:tc>
        <w:tc>
          <w:tcPr>
            <w:tcW w:w="1362" w:type="pct"/>
            <w:noWrap/>
            <w:vAlign w:val="center"/>
          </w:tcPr>
          <w:p w14:paraId="1329BA7D" w14:textId="7501F5D8" w:rsidR="00FC676C" w:rsidRPr="00BD2844" w:rsidRDefault="00FC676C" w:rsidP="0080781F">
            <w:pPr>
              <w:pStyle w:val="Tabletext"/>
              <w:keepNext/>
              <w:keepLines/>
              <w:jc w:val="center"/>
            </w:pPr>
            <w:r w:rsidRPr="00BD2844">
              <w:t>0.558 [0.288, 1.081]</w:t>
            </w:r>
          </w:p>
        </w:tc>
      </w:tr>
      <w:tr w:rsidR="00FC676C" w:rsidRPr="00BD2844" w14:paraId="7F0D6BFB" w14:textId="77777777" w:rsidTr="0080781F">
        <w:trPr>
          <w:trHeight w:val="255"/>
        </w:trPr>
        <w:tc>
          <w:tcPr>
            <w:tcW w:w="1235" w:type="pct"/>
            <w:noWrap/>
            <w:vAlign w:val="center"/>
            <w:hideMark/>
          </w:tcPr>
          <w:p w14:paraId="42AC177D" w14:textId="77777777" w:rsidR="00FC676C" w:rsidRPr="00BD2844" w:rsidRDefault="00FC676C">
            <w:pPr>
              <w:pStyle w:val="Tabletext"/>
              <w:keepNext/>
              <w:keepLines/>
            </w:pPr>
            <w:r w:rsidRPr="00BD2844">
              <w:t>Treatment-related AEs leading to discontinuation</w:t>
            </w:r>
          </w:p>
        </w:tc>
        <w:tc>
          <w:tcPr>
            <w:tcW w:w="1238" w:type="pct"/>
            <w:noWrap/>
            <w:vAlign w:val="center"/>
          </w:tcPr>
          <w:p w14:paraId="5F0DDE31" w14:textId="77777777" w:rsidR="00FC676C" w:rsidRPr="00BD2844" w:rsidRDefault="00FC676C">
            <w:pPr>
              <w:pStyle w:val="Tabletext"/>
              <w:keepNext/>
              <w:keepLines/>
              <w:jc w:val="center"/>
            </w:pPr>
            <w:r w:rsidRPr="00BD2844">
              <w:t>1.85 [1.16, 2.91]</w:t>
            </w:r>
          </w:p>
        </w:tc>
        <w:tc>
          <w:tcPr>
            <w:tcW w:w="1165" w:type="pct"/>
            <w:noWrap/>
            <w:vAlign w:val="center"/>
          </w:tcPr>
          <w:p w14:paraId="3211D817" w14:textId="77777777" w:rsidR="00FC676C" w:rsidRPr="00BD2844" w:rsidRDefault="00FC676C">
            <w:pPr>
              <w:pStyle w:val="Tabletext"/>
              <w:keepNext/>
              <w:keepLines/>
              <w:jc w:val="center"/>
            </w:pPr>
            <w:r w:rsidRPr="00BD2844">
              <w:t>NR</w:t>
            </w:r>
          </w:p>
        </w:tc>
        <w:tc>
          <w:tcPr>
            <w:tcW w:w="1362" w:type="pct"/>
            <w:noWrap/>
            <w:vAlign w:val="center"/>
          </w:tcPr>
          <w:p w14:paraId="719BBF79" w14:textId="77777777" w:rsidR="00FC676C" w:rsidRPr="00BD2844" w:rsidRDefault="00FC676C" w:rsidP="0080781F">
            <w:pPr>
              <w:pStyle w:val="Tabletext"/>
              <w:keepNext/>
              <w:keepLines/>
              <w:jc w:val="center"/>
            </w:pPr>
            <w:r w:rsidRPr="00BD2844">
              <w:t>NA</w:t>
            </w:r>
          </w:p>
        </w:tc>
      </w:tr>
      <w:tr w:rsidR="00FC676C" w:rsidRPr="00BD2844" w14:paraId="0AFB136A" w14:textId="77777777" w:rsidTr="0080781F">
        <w:trPr>
          <w:trHeight w:val="255"/>
        </w:trPr>
        <w:tc>
          <w:tcPr>
            <w:tcW w:w="1235" w:type="pct"/>
            <w:noWrap/>
            <w:vAlign w:val="center"/>
            <w:hideMark/>
          </w:tcPr>
          <w:p w14:paraId="40F47318" w14:textId="77777777" w:rsidR="00FC676C" w:rsidRPr="00BD2844" w:rsidRDefault="00FC676C">
            <w:pPr>
              <w:pStyle w:val="Tabletext"/>
              <w:keepNext/>
              <w:keepLines/>
            </w:pPr>
            <w:r w:rsidRPr="00BD2844">
              <w:t>Deaths</w:t>
            </w:r>
          </w:p>
        </w:tc>
        <w:tc>
          <w:tcPr>
            <w:tcW w:w="1238" w:type="pct"/>
            <w:noWrap/>
            <w:vAlign w:val="center"/>
          </w:tcPr>
          <w:p w14:paraId="7CF043BF" w14:textId="77777777" w:rsidR="00FC676C" w:rsidRPr="00BD2844" w:rsidRDefault="00FC676C">
            <w:pPr>
              <w:pStyle w:val="Tabletext"/>
              <w:keepNext/>
              <w:keepLines/>
              <w:jc w:val="center"/>
            </w:pPr>
            <w:r w:rsidRPr="00BD2844">
              <w:t>0.62 [0.45, 0.85]</w:t>
            </w:r>
          </w:p>
        </w:tc>
        <w:tc>
          <w:tcPr>
            <w:tcW w:w="1165" w:type="pct"/>
            <w:noWrap/>
            <w:vAlign w:val="center"/>
          </w:tcPr>
          <w:p w14:paraId="2863E309" w14:textId="77777777" w:rsidR="00FC676C" w:rsidRPr="00BD2844" w:rsidRDefault="00FC676C">
            <w:pPr>
              <w:pStyle w:val="Tabletext"/>
              <w:keepNext/>
              <w:keepLines/>
              <w:jc w:val="center"/>
            </w:pPr>
            <w:r w:rsidRPr="00BD2844">
              <w:t>0.69 [0.46, 1.02]</w:t>
            </w:r>
          </w:p>
        </w:tc>
        <w:tc>
          <w:tcPr>
            <w:tcW w:w="1362" w:type="pct"/>
            <w:noWrap/>
            <w:vAlign w:val="center"/>
          </w:tcPr>
          <w:p w14:paraId="59436EB6" w14:textId="1AFA158D" w:rsidR="00FC676C" w:rsidRPr="00BD2844" w:rsidRDefault="00FC676C" w:rsidP="0080781F">
            <w:pPr>
              <w:pStyle w:val="Tabletext"/>
              <w:keepNext/>
              <w:keepLines/>
              <w:jc w:val="center"/>
            </w:pPr>
            <w:r w:rsidRPr="00BD2844">
              <w:t>0.899 [0.54, 1.496]</w:t>
            </w:r>
          </w:p>
        </w:tc>
      </w:tr>
    </w:tbl>
    <w:p w14:paraId="5D246E12" w14:textId="77777777" w:rsidR="00FC676C" w:rsidRPr="00BD2844" w:rsidRDefault="00FC676C" w:rsidP="00FC676C">
      <w:pPr>
        <w:pStyle w:val="TableFigureFooter"/>
      </w:pPr>
      <w:r w:rsidRPr="00BD2844">
        <w:t>Source: Table 70, p177 of the submission.</w:t>
      </w:r>
    </w:p>
    <w:p w14:paraId="599F9AF4" w14:textId="77777777" w:rsidR="00FC676C" w:rsidRPr="00BD2844" w:rsidRDefault="00FC676C" w:rsidP="00FC676C">
      <w:pPr>
        <w:pStyle w:val="TableFigureFooter"/>
      </w:pPr>
      <w:r w:rsidRPr="00BD2844">
        <w:t>AE = adverse event; ATEZO+BEV = atezolizumab plus bevacizumab; CI = confidence interval; LEN = lenvatinib; NA = not applicable; NIVO+IPI = nivolumab plus ipilimumab; NR = not reported; OR = odd ratio; SAE = serious adverse event; SORA = sorafenib.</w:t>
      </w:r>
    </w:p>
    <w:p w14:paraId="6CEA342B" w14:textId="265C3C2B" w:rsidR="00FC676C" w:rsidRPr="00BD2844" w:rsidRDefault="00FC676C" w:rsidP="00FC676C">
      <w:pPr>
        <w:pStyle w:val="3-BodyText"/>
        <w:rPr>
          <w:i/>
          <w:iCs/>
        </w:rPr>
      </w:pPr>
      <w:r w:rsidRPr="00BD2844">
        <w:t>The submission also conducted indirect comparisons for frequently occurring Grade 3-4 treatment-related adverse events between NIVO+IPI and ATEZO+BEV with comparable rates occurring between the respective CM-9DW and IMBRAVE150 trials in the intervention arms (41.3% versus 43.5%). The submission reported that there was a reduction in the risk of hypertension and proteinuria for NIVO+IPI relative to ATEZO+BEV (OR=0.008</w:t>
      </w:r>
      <w:r w:rsidR="00CE6D60">
        <w:t>;</w:t>
      </w:r>
      <w:r w:rsidRPr="00BD2844">
        <w:t xml:space="preserve"> 95% CI: 0.000, 0.143; and OR=0.004</w:t>
      </w:r>
      <w:r w:rsidR="00CE6D60">
        <w:t xml:space="preserve">; 95% CI </w:t>
      </w:r>
      <w:r w:rsidRPr="00BD2844">
        <w:t>0.000, 0.134</w:t>
      </w:r>
      <w:r w:rsidR="0022593A" w:rsidRPr="00BD2844">
        <w:t>,</w:t>
      </w:r>
      <w:r w:rsidRPr="00BD2844">
        <w:t xml:space="preserve"> respectively). Conversely, a reduction in the risk of rash and aspartate aminotransferase (AST) increase was detected for ATEZO+BEV relative to NIVO+IPI (OR=38.521</w:t>
      </w:r>
      <w:r w:rsidR="00CE6D60">
        <w:t xml:space="preserve">; </w:t>
      </w:r>
      <w:r w:rsidRPr="00BD2844">
        <w:t>95% CI: 1.516, 978.933; and OR=6.273</w:t>
      </w:r>
      <w:r w:rsidR="00CE6D60">
        <w:t xml:space="preserve">; </w:t>
      </w:r>
      <w:r w:rsidR="00825861">
        <w:t xml:space="preserve">95% CI </w:t>
      </w:r>
      <w:r w:rsidRPr="00BD2844">
        <w:t>1.060, 37.117</w:t>
      </w:r>
      <w:r w:rsidR="0022593A" w:rsidRPr="00BD2844">
        <w:t>,</w:t>
      </w:r>
      <w:r w:rsidRPr="00BD2844">
        <w:t xml:space="preserve"> respectively). </w:t>
      </w:r>
    </w:p>
    <w:p w14:paraId="6FE05200" w14:textId="77777777" w:rsidR="00FC676C" w:rsidRPr="00BD2844" w:rsidRDefault="00FC676C" w:rsidP="002F5CFE">
      <w:pPr>
        <w:pStyle w:val="3-BodyText"/>
        <w:numPr>
          <w:ilvl w:val="0"/>
          <w:numId w:val="0"/>
        </w:numPr>
        <w:outlineLvl w:val="2"/>
        <w:rPr>
          <w:u w:val="single"/>
        </w:rPr>
      </w:pPr>
      <w:r w:rsidRPr="00BD2844">
        <w:rPr>
          <w:u w:val="single"/>
        </w:rPr>
        <w:lastRenderedPageBreak/>
        <w:t>Indirect treatment comparison (NIVO+IPI versus STRIDE): Safety</w:t>
      </w:r>
    </w:p>
    <w:p w14:paraId="0BB6B7EC" w14:textId="3F644CC3" w:rsidR="00FC676C" w:rsidRPr="00BD2844" w:rsidRDefault="00FC676C" w:rsidP="00FC676C">
      <w:pPr>
        <w:pStyle w:val="3-BodyText"/>
      </w:pPr>
      <w:r w:rsidRPr="00BD2844">
        <w:t xml:space="preserve">The results of the ITC for NIVO+IPI versus STRIDE for safety are presented in </w:t>
      </w:r>
      <w:r w:rsidRPr="00BD2844">
        <w:fldChar w:fldCharType="begin"/>
      </w:r>
      <w:r w:rsidRPr="00BD2844">
        <w:instrText xml:space="preserve"> REF _Ref195369783 \h </w:instrText>
      </w:r>
      <w:r w:rsidRPr="00BD2844">
        <w:fldChar w:fldCharType="separate"/>
      </w:r>
      <w:r w:rsidR="008C7D22" w:rsidRPr="00BD2844">
        <w:t xml:space="preserve">Table </w:t>
      </w:r>
      <w:r w:rsidR="008C7D22">
        <w:rPr>
          <w:noProof/>
        </w:rPr>
        <w:t>12</w:t>
      </w:r>
      <w:r w:rsidRPr="00BD2844">
        <w:fldChar w:fldCharType="end"/>
      </w:r>
      <w:r w:rsidRPr="00BD2844">
        <w:t xml:space="preserve">. </w:t>
      </w:r>
    </w:p>
    <w:p w14:paraId="7BBA9E31" w14:textId="68B58A7B" w:rsidR="00FC676C" w:rsidRPr="00BD2844" w:rsidRDefault="00FC676C" w:rsidP="00FC676C">
      <w:pPr>
        <w:pStyle w:val="Caption"/>
      </w:pPr>
      <w:bookmarkStart w:id="72" w:name="_Ref195369783"/>
      <w:bookmarkStart w:id="73" w:name="_Toc22897643"/>
      <w:r w:rsidRPr="00BD2844">
        <w:t xml:space="preserve">Table </w:t>
      </w:r>
      <w:r w:rsidR="002878AB">
        <w:fldChar w:fldCharType="begin"/>
      </w:r>
      <w:r w:rsidR="002878AB">
        <w:instrText xml:space="preserve"> SEQ Table \* ARABIC </w:instrText>
      </w:r>
      <w:r w:rsidR="002878AB">
        <w:fldChar w:fldCharType="separate"/>
      </w:r>
      <w:r w:rsidR="008C7D22">
        <w:rPr>
          <w:noProof/>
        </w:rPr>
        <w:t>12</w:t>
      </w:r>
      <w:r w:rsidR="002878AB">
        <w:fldChar w:fldCharType="end"/>
      </w:r>
      <w:bookmarkEnd w:id="72"/>
      <w:r w:rsidRPr="00BD2844">
        <w:t>: Overview of safety profile: NIVO+IPI versus STRIDE</w:t>
      </w:r>
    </w:p>
    <w:tbl>
      <w:tblPr>
        <w:tblStyle w:val="TableGrid"/>
        <w:tblW w:w="5000" w:type="pct"/>
        <w:tblLayout w:type="fixed"/>
        <w:tblLook w:val="04A0" w:firstRow="1" w:lastRow="0" w:firstColumn="1" w:lastColumn="0" w:noHBand="0" w:noVBand="1"/>
        <w:tblCaption w:val="Table 12: Overview of safety profile: NIVO+IPI versus STRIDE"/>
      </w:tblPr>
      <w:tblGrid>
        <w:gridCol w:w="2365"/>
        <w:gridCol w:w="2227"/>
        <w:gridCol w:w="1969"/>
        <w:gridCol w:w="2456"/>
      </w:tblGrid>
      <w:tr w:rsidR="00FC676C" w:rsidRPr="00BD2844" w14:paraId="23BA6D54" w14:textId="77777777">
        <w:trPr>
          <w:trHeight w:val="255"/>
        </w:trPr>
        <w:tc>
          <w:tcPr>
            <w:tcW w:w="1311" w:type="pct"/>
            <w:noWrap/>
          </w:tcPr>
          <w:p w14:paraId="4153A640" w14:textId="77777777" w:rsidR="00FC676C" w:rsidRPr="00BD2844" w:rsidRDefault="00FC676C">
            <w:pPr>
              <w:pStyle w:val="Tabletext"/>
              <w:keepNext/>
              <w:keepLines/>
            </w:pPr>
          </w:p>
        </w:tc>
        <w:tc>
          <w:tcPr>
            <w:tcW w:w="2327" w:type="pct"/>
            <w:gridSpan w:val="2"/>
            <w:noWrap/>
            <w:vAlign w:val="center"/>
          </w:tcPr>
          <w:p w14:paraId="411DC72E" w14:textId="77777777" w:rsidR="00FC676C" w:rsidRPr="00BD2844" w:rsidRDefault="00FC676C">
            <w:pPr>
              <w:pStyle w:val="Tabletext"/>
              <w:keepNext/>
              <w:keepLines/>
              <w:jc w:val="center"/>
              <w:rPr>
                <w:b/>
                <w:bCs/>
              </w:rPr>
            </w:pPr>
            <w:r w:rsidRPr="00BD2844">
              <w:rPr>
                <w:b/>
                <w:bCs/>
              </w:rPr>
              <w:t>Direct Estimate</w:t>
            </w:r>
          </w:p>
          <w:p w14:paraId="2E6F1910" w14:textId="77777777" w:rsidR="00FC676C" w:rsidRPr="00BD2844" w:rsidRDefault="00FC676C">
            <w:pPr>
              <w:pStyle w:val="Tabletext"/>
              <w:keepNext/>
              <w:keepLines/>
              <w:jc w:val="center"/>
              <w:rPr>
                <w:b/>
                <w:bCs/>
              </w:rPr>
            </w:pPr>
            <w:r w:rsidRPr="00BD2844">
              <w:rPr>
                <w:b/>
                <w:bCs/>
              </w:rPr>
              <w:t>OR [95% CI]</w:t>
            </w:r>
          </w:p>
        </w:tc>
        <w:tc>
          <w:tcPr>
            <w:tcW w:w="1362" w:type="pct"/>
            <w:noWrap/>
            <w:vAlign w:val="center"/>
          </w:tcPr>
          <w:p w14:paraId="77213D1F" w14:textId="77777777" w:rsidR="00FC676C" w:rsidRPr="00BD2844" w:rsidRDefault="00FC676C">
            <w:pPr>
              <w:pStyle w:val="Tabletext"/>
              <w:keepNext/>
              <w:keepLines/>
              <w:jc w:val="center"/>
              <w:rPr>
                <w:b/>
                <w:bCs/>
              </w:rPr>
            </w:pPr>
            <w:r w:rsidRPr="00BD2844">
              <w:rPr>
                <w:b/>
                <w:bCs/>
              </w:rPr>
              <w:t>Indirect Estimate</w:t>
            </w:r>
          </w:p>
          <w:p w14:paraId="5132C4F3" w14:textId="380DB71A" w:rsidR="00FC676C" w:rsidRPr="00BD2844" w:rsidRDefault="00FC676C">
            <w:pPr>
              <w:pStyle w:val="Tabletext"/>
              <w:keepNext/>
              <w:keepLines/>
              <w:jc w:val="center"/>
              <w:rPr>
                <w:b/>
                <w:bCs/>
              </w:rPr>
            </w:pPr>
            <w:r w:rsidRPr="00BD2844">
              <w:rPr>
                <w:b/>
                <w:bCs/>
              </w:rPr>
              <w:t xml:space="preserve">OR [95% CI] </w:t>
            </w:r>
          </w:p>
        </w:tc>
      </w:tr>
      <w:tr w:rsidR="00FC676C" w:rsidRPr="00BD2844" w14:paraId="6A118E40" w14:textId="77777777">
        <w:trPr>
          <w:trHeight w:val="255"/>
        </w:trPr>
        <w:tc>
          <w:tcPr>
            <w:tcW w:w="1311" w:type="pct"/>
            <w:noWrap/>
          </w:tcPr>
          <w:p w14:paraId="4200FB32" w14:textId="77777777" w:rsidR="00FC676C" w:rsidRPr="00BD2844" w:rsidRDefault="00FC676C">
            <w:pPr>
              <w:pStyle w:val="Tabletext"/>
              <w:keepNext/>
              <w:keepLines/>
            </w:pPr>
          </w:p>
        </w:tc>
        <w:tc>
          <w:tcPr>
            <w:tcW w:w="1235" w:type="pct"/>
            <w:noWrap/>
            <w:vAlign w:val="center"/>
          </w:tcPr>
          <w:p w14:paraId="3AB1722C" w14:textId="77777777" w:rsidR="00FC676C" w:rsidRPr="00BD2844" w:rsidRDefault="00FC676C">
            <w:pPr>
              <w:pStyle w:val="Tabletext"/>
              <w:keepNext/>
              <w:keepLines/>
              <w:jc w:val="center"/>
              <w:rPr>
                <w:b/>
                <w:bCs/>
              </w:rPr>
            </w:pPr>
            <w:r w:rsidRPr="00BD2844">
              <w:rPr>
                <w:b/>
                <w:bCs/>
              </w:rPr>
              <w:t>NIVO IPI vs. SORA/LEN</w:t>
            </w:r>
          </w:p>
        </w:tc>
        <w:tc>
          <w:tcPr>
            <w:tcW w:w="1092" w:type="pct"/>
            <w:noWrap/>
            <w:vAlign w:val="center"/>
          </w:tcPr>
          <w:p w14:paraId="4475E6FD" w14:textId="77777777" w:rsidR="00FC676C" w:rsidRPr="00BD2844" w:rsidRDefault="00FC676C">
            <w:pPr>
              <w:pStyle w:val="Tabletext"/>
              <w:keepNext/>
              <w:keepLines/>
              <w:jc w:val="center"/>
              <w:rPr>
                <w:b/>
                <w:bCs/>
              </w:rPr>
            </w:pPr>
            <w:r w:rsidRPr="00BD2844">
              <w:rPr>
                <w:b/>
                <w:bCs/>
              </w:rPr>
              <w:t>STRIDE vs. SORA</w:t>
            </w:r>
          </w:p>
        </w:tc>
        <w:tc>
          <w:tcPr>
            <w:tcW w:w="1362" w:type="pct"/>
            <w:noWrap/>
            <w:vAlign w:val="center"/>
          </w:tcPr>
          <w:p w14:paraId="7A2B4C0D" w14:textId="77777777" w:rsidR="00FC676C" w:rsidRPr="00BD2844" w:rsidRDefault="00FC676C">
            <w:pPr>
              <w:pStyle w:val="Tabletext"/>
              <w:keepNext/>
              <w:keepLines/>
              <w:jc w:val="center"/>
              <w:rPr>
                <w:b/>
                <w:bCs/>
              </w:rPr>
            </w:pPr>
            <w:r w:rsidRPr="00BD2844">
              <w:rPr>
                <w:b/>
                <w:bCs/>
              </w:rPr>
              <w:t>NIVO IPI vs. STRIDE</w:t>
            </w:r>
          </w:p>
        </w:tc>
      </w:tr>
      <w:tr w:rsidR="00FC676C" w:rsidRPr="00BD2844" w14:paraId="1423BBB5" w14:textId="77777777">
        <w:trPr>
          <w:trHeight w:val="255"/>
        </w:trPr>
        <w:tc>
          <w:tcPr>
            <w:tcW w:w="1311" w:type="pct"/>
            <w:noWrap/>
            <w:vAlign w:val="center"/>
            <w:hideMark/>
          </w:tcPr>
          <w:p w14:paraId="3E8B0D15" w14:textId="77777777" w:rsidR="00FC676C" w:rsidRPr="00BD2844" w:rsidRDefault="00FC676C">
            <w:pPr>
              <w:pStyle w:val="Tabletext"/>
              <w:keepNext/>
              <w:keepLines/>
            </w:pPr>
            <w:r w:rsidRPr="00BD2844">
              <w:t>All-cause AEs</w:t>
            </w:r>
          </w:p>
        </w:tc>
        <w:tc>
          <w:tcPr>
            <w:tcW w:w="1235" w:type="pct"/>
            <w:noWrap/>
            <w:vAlign w:val="center"/>
          </w:tcPr>
          <w:p w14:paraId="7781C4AE" w14:textId="77777777" w:rsidR="00FC676C" w:rsidRPr="00BD2844" w:rsidRDefault="00FC676C">
            <w:pPr>
              <w:pStyle w:val="Tabletext"/>
              <w:keepNext/>
              <w:keepLines/>
              <w:jc w:val="center"/>
            </w:pPr>
            <w:r w:rsidRPr="00BD2844">
              <w:t>5.17 [0.6, 44.51]</w:t>
            </w:r>
          </w:p>
        </w:tc>
        <w:tc>
          <w:tcPr>
            <w:tcW w:w="1092" w:type="pct"/>
            <w:noWrap/>
            <w:vAlign w:val="center"/>
          </w:tcPr>
          <w:p w14:paraId="4863302F" w14:textId="77777777" w:rsidR="00FC676C" w:rsidRPr="00BD2844" w:rsidRDefault="00FC676C">
            <w:pPr>
              <w:pStyle w:val="Tabletext"/>
              <w:keepNext/>
              <w:keepLines/>
              <w:jc w:val="center"/>
            </w:pPr>
            <w:r w:rsidRPr="00BD2844">
              <w:t>1.8 [0.81, 3.98]</w:t>
            </w:r>
          </w:p>
        </w:tc>
        <w:tc>
          <w:tcPr>
            <w:tcW w:w="1362" w:type="pct"/>
            <w:noWrap/>
            <w:vAlign w:val="center"/>
          </w:tcPr>
          <w:p w14:paraId="485586DE" w14:textId="032D725C" w:rsidR="00FC676C" w:rsidRPr="00BD2844" w:rsidRDefault="00FC676C" w:rsidP="0080781F">
            <w:pPr>
              <w:pStyle w:val="Tabletext"/>
              <w:keepNext/>
              <w:keepLines/>
              <w:jc w:val="center"/>
            </w:pPr>
            <w:r w:rsidRPr="00BD2844">
              <w:t>2.872 [0.289, 28.525]</w:t>
            </w:r>
          </w:p>
        </w:tc>
      </w:tr>
      <w:tr w:rsidR="00FC676C" w:rsidRPr="00BD2844" w14:paraId="60406DDA" w14:textId="77777777">
        <w:trPr>
          <w:trHeight w:val="255"/>
        </w:trPr>
        <w:tc>
          <w:tcPr>
            <w:tcW w:w="1311" w:type="pct"/>
            <w:noWrap/>
            <w:vAlign w:val="center"/>
            <w:hideMark/>
          </w:tcPr>
          <w:p w14:paraId="39E4C60D" w14:textId="77777777" w:rsidR="00FC676C" w:rsidRPr="00BD2844" w:rsidRDefault="00FC676C">
            <w:pPr>
              <w:pStyle w:val="Tabletext"/>
              <w:keepNext/>
              <w:keepLines/>
            </w:pPr>
            <w:r w:rsidRPr="00BD2844">
              <w:t>Treatment-related AEs</w:t>
            </w:r>
          </w:p>
        </w:tc>
        <w:tc>
          <w:tcPr>
            <w:tcW w:w="1235" w:type="pct"/>
            <w:noWrap/>
            <w:vAlign w:val="center"/>
          </w:tcPr>
          <w:p w14:paraId="188EBC83" w14:textId="77777777" w:rsidR="00FC676C" w:rsidRPr="00BD2844" w:rsidRDefault="00FC676C">
            <w:pPr>
              <w:pStyle w:val="Tabletext"/>
              <w:keepNext/>
              <w:keepLines/>
              <w:jc w:val="center"/>
            </w:pPr>
            <w:r w:rsidRPr="00BD2844">
              <w:t>0.49 [0.3, 0.79]</w:t>
            </w:r>
          </w:p>
        </w:tc>
        <w:tc>
          <w:tcPr>
            <w:tcW w:w="1092" w:type="pct"/>
            <w:noWrap/>
            <w:vAlign w:val="center"/>
          </w:tcPr>
          <w:p w14:paraId="36E2B49F" w14:textId="77777777" w:rsidR="00FC676C" w:rsidRPr="00BD2844" w:rsidRDefault="00FC676C">
            <w:pPr>
              <w:pStyle w:val="Tabletext"/>
              <w:keepNext/>
              <w:keepLines/>
              <w:jc w:val="center"/>
            </w:pPr>
            <w:r w:rsidRPr="00BD2844">
              <w:t>0.56 [0.39, 0.81]</w:t>
            </w:r>
          </w:p>
        </w:tc>
        <w:tc>
          <w:tcPr>
            <w:tcW w:w="1362" w:type="pct"/>
            <w:noWrap/>
            <w:vAlign w:val="center"/>
          </w:tcPr>
          <w:p w14:paraId="2D2785B0" w14:textId="5AAF1044" w:rsidR="00FC676C" w:rsidRPr="00BD2844" w:rsidRDefault="00FC676C" w:rsidP="0080781F">
            <w:pPr>
              <w:pStyle w:val="Tabletext"/>
              <w:keepNext/>
              <w:keepLines/>
              <w:jc w:val="center"/>
              <w:rPr>
                <w:b/>
                <w:bCs/>
              </w:rPr>
            </w:pPr>
            <w:r w:rsidRPr="00BD2844">
              <w:t>0.875 [0.477, 1.605]</w:t>
            </w:r>
          </w:p>
        </w:tc>
      </w:tr>
      <w:tr w:rsidR="00FC676C" w:rsidRPr="00BD2844" w14:paraId="1AFB8A10" w14:textId="77777777">
        <w:trPr>
          <w:trHeight w:val="255"/>
        </w:trPr>
        <w:tc>
          <w:tcPr>
            <w:tcW w:w="1311" w:type="pct"/>
            <w:noWrap/>
            <w:vAlign w:val="center"/>
            <w:hideMark/>
          </w:tcPr>
          <w:p w14:paraId="22C337E3" w14:textId="77777777" w:rsidR="00FC676C" w:rsidRPr="00BD2844" w:rsidRDefault="00FC676C">
            <w:pPr>
              <w:pStyle w:val="Tabletext"/>
              <w:keepNext/>
              <w:keepLines/>
            </w:pPr>
            <w:r w:rsidRPr="00BD2844">
              <w:t>All-cause SAEs</w:t>
            </w:r>
          </w:p>
        </w:tc>
        <w:tc>
          <w:tcPr>
            <w:tcW w:w="1235" w:type="pct"/>
            <w:noWrap/>
            <w:vAlign w:val="center"/>
          </w:tcPr>
          <w:p w14:paraId="3643C453" w14:textId="77777777" w:rsidR="00FC676C" w:rsidRPr="00BD2844" w:rsidRDefault="00FC676C">
            <w:pPr>
              <w:pStyle w:val="Tabletext"/>
              <w:keepNext/>
              <w:keepLines/>
              <w:jc w:val="center"/>
            </w:pPr>
            <w:r w:rsidRPr="00BD2844">
              <w:t>1.44 [1.06, 1.95]</w:t>
            </w:r>
          </w:p>
        </w:tc>
        <w:tc>
          <w:tcPr>
            <w:tcW w:w="1092" w:type="pct"/>
            <w:noWrap/>
            <w:vAlign w:val="center"/>
          </w:tcPr>
          <w:p w14:paraId="60CF7B38" w14:textId="77777777" w:rsidR="00FC676C" w:rsidRPr="00BD2844" w:rsidRDefault="00FC676C">
            <w:pPr>
              <w:pStyle w:val="Tabletext"/>
              <w:keepNext/>
              <w:keepLines/>
              <w:jc w:val="center"/>
            </w:pPr>
            <w:r w:rsidRPr="00BD2844">
              <w:t>1.61 [1.19, 2.17]</w:t>
            </w:r>
          </w:p>
        </w:tc>
        <w:tc>
          <w:tcPr>
            <w:tcW w:w="1362" w:type="pct"/>
            <w:noWrap/>
            <w:vAlign w:val="center"/>
          </w:tcPr>
          <w:p w14:paraId="0F17B15A" w14:textId="1BADBC0B" w:rsidR="00FC676C" w:rsidRPr="00BD2844" w:rsidRDefault="00FC676C" w:rsidP="0080781F">
            <w:pPr>
              <w:pStyle w:val="Tabletext"/>
              <w:keepNext/>
              <w:keepLines/>
              <w:jc w:val="center"/>
            </w:pPr>
            <w:r w:rsidRPr="00BD2844">
              <w:t>0.894 [0.583, 1.372]</w:t>
            </w:r>
          </w:p>
        </w:tc>
      </w:tr>
      <w:tr w:rsidR="00FC676C" w:rsidRPr="00BD2844" w14:paraId="6DE31C1B" w14:textId="77777777">
        <w:trPr>
          <w:trHeight w:val="255"/>
        </w:trPr>
        <w:tc>
          <w:tcPr>
            <w:tcW w:w="1311" w:type="pct"/>
            <w:noWrap/>
            <w:vAlign w:val="center"/>
            <w:hideMark/>
          </w:tcPr>
          <w:p w14:paraId="3EEC3C6A" w14:textId="77777777" w:rsidR="00FC676C" w:rsidRPr="00BD2844" w:rsidRDefault="00FC676C">
            <w:pPr>
              <w:pStyle w:val="Tabletext"/>
              <w:keepNext/>
              <w:keepLines/>
            </w:pPr>
            <w:r w:rsidRPr="00BD2844">
              <w:t>Treatment-related SAEs</w:t>
            </w:r>
          </w:p>
        </w:tc>
        <w:tc>
          <w:tcPr>
            <w:tcW w:w="1235" w:type="pct"/>
            <w:noWrap/>
            <w:vAlign w:val="center"/>
          </w:tcPr>
          <w:p w14:paraId="07D6759E" w14:textId="77777777" w:rsidR="00FC676C" w:rsidRPr="00BD2844" w:rsidRDefault="00FC676C">
            <w:pPr>
              <w:pStyle w:val="Tabletext"/>
              <w:keepNext/>
              <w:keepLines/>
              <w:jc w:val="center"/>
            </w:pPr>
            <w:r w:rsidRPr="00BD2844">
              <w:t>2.34 [1.58, 3.45]</w:t>
            </w:r>
          </w:p>
        </w:tc>
        <w:tc>
          <w:tcPr>
            <w:tcW w:w="1092" w:type="pct"/>
            <w:noWrap/>
            <w:vAlign w:val="center"/>
          </w:tcPr>
          <w:p w14:paraId="496AF056" w14:textId="77777777" w:rsidR="00FC676C" w:rsidRPr="00BD2844" w:rsidRDefault="00FC676C">
            <w:pPr>
              <w:pStyle w:val="Tabletext"/>
              <w:keepNext/>
              <w:keepLines/>
              <w:jc w:val="center"/>
            </w:pPr>
            <w:r w:rsidRPr="00BD2844">
              <w:t>2.06 [1.33, 3.18]</w:t>
            </w:r>
          </w:p>
        </w:tc>
        <w:tc>
          <w:tcPr>
            <w:tcW w:w="1362" w:type="pct"/>
            <w:noWrap/>
            <w:vAlign w:val="center"/>
          </w:tcPr>
          <w:p w14:paraId="6CB81AA5" w14:textId="38A15611" w:rsidR="00FC676C" w:rsidRPr="00BD2844" w:rsidRDefault="00FC676C" w:rsidP="0080781F">
            <w:pPr>
              <w:pStyle w:val="Tabletext"/>
              <w:keepNext/>
              <w:keepLines/>
              <w:jc w:val="center"/>
            </w:pPr>
            <w:r w:rsidRPr="00BD2844">
              <w:t>1.136 [0.633, 2.039]</w:t>
            </w:r>
          </w:p>
        </w:tc>
      </w:tr>
      <w:tr w:rsidR="00FC676C" w:rsidRPr="00BD2844" w14:paraId="51C7E114" w14:textId="77777777">
        <w:trPr>
          <w:trHeight w:val="255"/>
        </w:trPr>
        <w:tc>
          <w:tcPr>
            <w:tcW w:w="1311" w:type="pct"/>
            <w:noWrap/>
            <w:vAlign w:val="center"/>
            <w:hideMark/>
          </w:tcPr>
          <w:p w14:paraId="3CBA34DD" w14:textId="77777777" w:rsidR="00FC676C" w:rsidRPr="00BD2844" w:rsidRDefault="00FC676C">
            <w:pPr>
              <w:pStyle w:val="Tabletext"/>
              <w:keepNext/>
              <w:keepLines/>
            </w:pPr>
            <w:r w:rsidRPr="00BD2844">
              <w:t>AEs leading to discontinuation</w:t>
            </w:r>
          </w:p>
        </w:tc>
        <w:tc>
          <w:tcPr>
            <w:tcW w:w="1235" w:type="pct"/>
            <w:noWrap/>
            <w:vAlign w:val="center"/>
          </w:tcPr>
          <w:p w14:paraId="4E8AE245" w14:textId="77777777" w:rsidR="00FC676C" w:rsidRPr="00BD2844" w:rsidRDefault="00FC676C">
            <w:pPr>
              <w:pStyle w:val="Tabletext"/>
              <w:keepNext/>
              <w:keepLines/>
              <w:jc w:val="center"/>
            </w:pPr>
            <w:r w:rsidRPr="00BD2844">
              <w:t>1.2 [0.84, 1.71]</w:t>
            </w:r>
          </w:p>
        </w:tc>
        <w:tc>
          <w:tcPr>
            <w:tcW w:w="1092" w:type="pct"/>
            <w:noWrap/>
            <w:vAlign w:val="center"/>
          </w:tcPr>
          <w:p w14:paraId="41173EB1" w14:textId="77777777" w:rsidR="00FC676C" w:rsidRPr="00BD2844" w:rsidRDefault="00FC676C">
            <w:pPr>
              <w:pStyle w:val="Tabletext"/>
              <w:keepNext/>
              <w:keepLines/>
              <w:jc w:val="center"/>
            </w:pPr>
            <w:r w:rsidRPr="00BD2844">
              <w:t>0.78 [0.53, 1.16]</w:t>
            </w:r>
          </w:p>
        </w:tc>
        <w:tc>
          <w:tcPr>
            <w:tcW w:w="1362" w:type="pct"/>
            <w:noWrap/>
            <w:vAlign w:val="center"/>
          </w:tcPr>
          <w:p w14:paraId="57AE38DA" w14:textId="73568358" w:rsidR="00FC676C" w:rsidRPr="00BD2844" w:rsidRDefault="00FC676C" w:rsidP="0080781F">
            <w:pPr>
              <w:pStyle w:val="Tabletext"/>
              <w:keepNext/>
              <w:keepLines/>
              <w:jc w:val="center"/>
            </w:pPr>
            <w:r w:rsidRPr="00BD2844">
              <w:t>1.538 [0.907, 2.611]</w:t>
            </w:r>
          </w:p>
        </w:tc>
      </w:tr>
      <w:tr w:rsidR="00FC676C" w:rsidRPr="00BD2844" w14:paraId="758F308E" w14:textId="77777777">
        <w:trPr>
          <w:trHeight w:val="638"/>
        </w:trPr>
        <w:tc>
          <w:tcPr>
            <w:tcW w:w="1311" w:type="pct"/>
            <w:noWrap/>
            <w:vAlign w:val="center"/>
            <w:hideMark/>
          </w:tcPr>
          <w:p w14:paraId="7C12ACF4" w14:textId="77777777" w:rsidR="00FC676C" w:rsidRPr="00BD2844" w:rsidRDefault="00FC676C">
            <w:pPr>
              <w:pStyle w:val="Tabletext"/>
              <w:keepNext/>
              <w:keepLines/>
            </w:pPr>
            <w:r w:rsidRPr="00BD2844">
              <w:t>Treatment-related AEs leading to discontinuation</w:t>
            </w:r>
          </w:p>
        </w:tc>
        <w:tc>
          <w:tcPr>
            <w:tcW w:w="1235" w:type="pct"/>
            <w:noWrap/>
            <w:vAlign w:val="center"/>
          </w:tcPr>
          <w:p w14:paraId="73821409" w14:textId="77777777" w:rsidR="00FC676C" w:rsidRPr="00BD2844" w:rsidRDefault="00FC676C">
            <w:pPr>
              <w:pStyle w:val="Tabletext"/>
              <w:keepNext/>
              <w:keepLines/>
              <w:jc w:val="center"/>
            </w:pPr>
            <w:r w:rsidRPr="00BD2844">
              <w:t>1.85 [1.16, 2.91]</w:t>
            </w:r>
          </w:p>
        </w:tc>
        <w:tc>
          <w:tcPr>
            <w:tcW w:w="1092" w:type="pct"/>
            <w:noWrap/>
            <w:vAlign w:val="center"/>
          </w:tcPr>
          <w:p w14:paraId="60477FCC" w14:textId="77777777" w:rsidR="00FC676C" w:rsidRPr="00BD2844" w:rsidRDefault="00FC676C">
            <w:pPr>
              <w:pStyle w:val="Tabletext"/>
              <w:keepNext/>
              <w:keepLines/>
              <w:jc w:val="center"/>
            </w:pPr>
            <w:r w:rsidRPr="00BD2844">
              <w:t>0.73 [0.45, 1.19]</w:t>
            </w:r>
          </w:p>
        </w:tc>
        <w:tc>
          <w:tcPr>
            <w:tcW w:w="1362" w:type="pct"/>
            <w:noWrap/>
            <w:vAlign w:val="center"/>
          </w:tcPr>
          <w:p w14:paraId="12AF990D" w14:textId="7CCF61A6" w:rsidR="00FC676C" w:rsidRPr="00BD2844" w:rsidRDefault="00FC676C" w:rsidP="0080781F">
            <w:pPr>
              <w:pStyle w:val="Tabletext"/>
              <w:keepNext/>
              <w:keepLines/>
              <w:jc w:val="center"/>
            </w:pPr>
            <w:r w:rsidRPr="00BD2844">
              <w:t>2.534 [1.298, 4.949]</w:t>
            </w:r>
          </w:p>
        </w:tc>
      </w:tr>
      <w:tr w:rsidR="00FC676C" w:rsidRPr="00BD2844" w14:paraId="26E5AA4C" w14:textId="77777777">
        <w:trPr>
          <w:trHeight w:val="255"/>
        </w:trPr>
        <w:tc>
          <w:tcPr>
            <w:tcW w:w="1311" w:type="pct"/>
            <w:noWrap/>
            <w:vAlign w:val="center"/>
            <w:hideMark/>
          </w:tcPr>
          <w:p w14:paraId="1146B791" w14:textId="77777777" w:rsidR="00FC676C" w:rsidRPr="00BD2844" w:rsidRDefault="00FC676C">
            <w:pPr>
              <w:pStyle w:val="Tabletext"/>
              <w:keepNext/>
              <w:keepLines/>
            </w:pPr>
            <w:r w:rsidRPr="00BD2844">
              <w:t>Deaths</w:t>
            </w:r>
          </w:p>
        </w:tc>
        <w:tc>
          <w:tcPr>
            <w:tcW w:w="1235" w:type="pct"/>
            <w:noWrap/>
            <w:vAlign w:val="center"/>
          </w:tcPr>
          <w:p w14:paraId="60FCF271" w14:textId="77777777" w:rsidR="00FC676C" w:rsidRPr="00BD2844" w:rsidRDefault="00FC676C">
            <w:pPr>
              <w:pStyle w:val="Tabletext"/>
              <w:keepNext/>
              <w:keepLines/>
              <w:jc w:val="center"/>
            </w:pPr>
            <w:r w:rsidRPr="00BD2844">
              <w:t>0.62 [0.45, 0.85]</w:t>
            </w:r>
          </w:p>
        </w:tc>
        <w:tc>
          <w:tcPr>
            <w:tcW w:w="1092" w:type="pct"/>
            <w:noWrap/>
            <w:vAlign w:val="center"/>
          </w:tcPr>
          <w:p w14:paraId="62EDBECD" w14:textId="77777777" w:rsidR="00FC676C" w:rsidRPr="00BD2844" w:rsidRDefault="00FC676C">
            <w:pPr>
              <w:pStyle w:val="Tabletext"/>
              <w:keepNext/>
              <w:keepLines/>
              <w:jc w:val="center"/>
            </w:pPr>
            <w:r w:rsidRPr="00BD2844">
              <w:t>1.08 [0.63, 1.85]</w:t>
            </w:r>
          </w:p>
        </w:tc>
        <w:tc>
          <w:tcPr>
            <w:tcW w:w="1362" w:type="pct"/>
            <w:noWrap/>
            <w:vAlign w:val="center"/>
          </w:tcPr>
          <w:p w14:paraId="69601A81" w14:textId="4A281D71" w:rsidR="00FC676C" w:rsidRPr="00BD2844" w:rsidRDefault="00FC676C" w:rsidP="0080781F">
            <w:pPr>
              <w:pStyle w:val="Tabletext"/>
              <w:keepNext/>
              <w:keepLines/>
              <w:jc w:val="center"/>
            </w:pPr>
            <w:r w:rsidRPr="00BD2844">
              <w:t>0.574 [0.307, 1.073]</w:t>
            </w:r>
          </w:p>
        </w:tc>
      </w:tr>
    </w:tbl>
    <w:p w14:paraId="53C2DA82" w14:textId="77777777" w:rsidR="00FC676C" w:rsidRPr="00BD2844" w:rsidRDefault="00FC676C" w:rsidP="00FC676C">
      <w:pPr>
        <w:pStyle w:val="TableFigureFooter"/>
      </w:pPr>
      <w:r w:rsidRPr="00BD2844">
        <w:t>Source: Table 71, p178 of the submission.</w:t>
      </w:r>
    </w:p>
    <w:p w14:paraId="75459034" w14:textId="77777777" w:rsidR="00FC676C" w:rsidRPr="00BD2844" w:rsidRDefault="00FC676C" w:rsidP="00FC676C">
      <w:pPr>
        <w:pStyle w:val="TableFigureFooter"/>
      </w:pPr>
      <w:r w:rsidRPr="00BD2844">
        <w:t>AE = adverse event; CI = confidence interval; LEN = lenvatinib; NIVO+IPI = nivolumab plus ipilimumab; OR = odd ratio; SAE = serious adverse event; SORA = sorafenib; STRIDE = Single Tremelimumab Regular Interval Durvalumab.</w:t>
      </w:r>
    </w:p>
    <w:p w14:paraId="66609CE1" w14:textId="5F05F758" w:rsidR="00FC676C" w:rsidRPr="00BD2844" w:rsidRDefault="00FC676C" w:rsidP="00FC676C">
      <w:pPr>
        <w:pStyle w:val="3-BodyText"/>
      </w:pPr>
      <w:r w:rsidRPr="00BD2844">
        <w:t xml:space="preserve"> </w:t>
      </w:r>
      <w:r w:rsidR="0044695B" w:rsidRPr="00BD2844">
        <w:t xml:space="preserve">A </w:t>
      </w:r>
      <w:r w:rsidRPr="00BD2844">
        <w:t xml:space="preserve">difference favouring STRIDE for treatment related AEs leading to discontinuation </w:t>
      </w:r>
      <w:r w:rsidR="00AD5F7D" w:rsidRPr="00BD2844">
        <w:t xml:space="preserve">was observed </w:t>
      </w:r>
      <w:r w:rsidRPr="00BD2844">
        <w:t>(OR=2.534</w:t>
      </w:r>
      <w:r w:rsidR="00825861">
        <w:t xml:space="preserve">; </w:t>
      </w:r>
      <w:r w:rsidRPr="00BD2844">
        <w:t>95%CI: 1.298, 4.949</w:t>
      </w:r>
      <w:r w:rsidR="00F83306" w:rsidRPr="00BD2844">
        <w:t>)</w:t>
      </w:r>
      <w:r w:rsidRPr="00BD2844">
        <w:t xml:space="preserve">. </w:t>
      </w:r>
    </w:p>
    <w:p w14:paraId="236F5FAC" w14:textId="6AD67EBE" w:rsidR="00FC676C" w:rsidRPr="00BD2844" w:rsidRDefault="00FC676C" w:rsidP="00FC676C">
      <w:pPr>
        <w:pStyle w:val="3-BodyText"/>
      </w:pPr>
      <w:r w:rsidRPr="00BD2844">
        <w:t>Review of Grade 3-4 treatment-related AEs in patients treated with NIVO+IPI versus STRIDE showed that there was no difference between NIVO+IPI versus STRIDE with regards to individual Grade 3-4 treatment-related AEs, except for AST increase whereby there was a greater risk in the NIVO+IPI arm compared to the STRIDE arm (OR=7.089</w:t>
      </w:r>
      <w:r w:rsidR="00825861">
        <w:t>;</w:t>
      </w:r>
      <w:r w:rsidRPr="00BD2844">
        <w:t xml:space="preserve"> 95% CI: 1.175, 42.774). </w:t>
      </w:r>
    </w:p>
    <w:p w14:paraId="02B60D99" w14:textId="77777777" w:rsidR="00FC676C" w:rsidRPr="00BD2844" w:rsidRDefault="00FC676C" w:rsidP="00FC676C">
      <w:pPr>
        <w:pStyle w:val="4-SubsectionHeading"/>
      </w:pPr>
      <w:bookmarkStart w:id="74" w:name="_Toc195866336"/>
      <w:bookmarkStart w:id="75" w:name="_Toc198716661"/>
      <w:r w:rsidRPr="00BD2844">
        <w:t>Benefits/harms</w:t>
      </w:r>
      <w:bookmarkEnd w:id="73"/>
      <w:bookmarkEnd w:id="74"/>
      <w:bookmarkEnd w:id="75"/>
    </w:p>
    <w:p w14:paraId="1D345E55" w14:textId="77777777" w:rsidR="00FC676C" w:rsidRPr="00BD2844" w:rsidRDefault="00FC676C" w:rsidP="00FC676C">
      <w:pPr>
        <w:pStyle w:val="3-BodyText"/>
      </w:pPr>
      <w:r w:rsidRPr="00BD2844">
        <w:t xml:space="preserve">A benefits and harms table was not presented as the submission made a claim of non-inferiority. </w:t>
      </w:r>
    </w:p>
    <w:p w14:paraId="7D139BC0" w14:textId="77777777" w:rsidR="00FC676C" w:rsidRPr="00BD2844" w:rsidRDefault="00FC676C" w:rsidP="00FC676C">
      <w:pPr>
        <w:pStyle w:val="4-SubsectionHeading"/>
      </w:pPr>
      <w:bookmarkStart w:id="76" w:name="_Toc22897644"/>
      <w:bookmarkStart w:id="77" w:name="_Toc195866337"/>
      <w:bookmarkStart w:id="78" w:name="_Toc198716662"/>
      <w:r w:rsidRPr="00BD2844">
        <w:t>Clinical claim</w:t>
      </w:r>
      <w:bookmarkEnd w:id="76"/>
      <w:bookmarkEnd w:id="77"/>
      <w:bookmarkEnd w:id="78"/>
    </w:p>
    <w:p w14:paraId="744B006B" w14:textId="77777777" w:rsidR="00FC676C" w:rsidRPr="00BD2844" w:rsidRDefault="00FC676C" w:rsidP="00FC676C">
      <w:pPr>
        <w:pStyle w:val="3-BodyText"/>
      </w:pPr>
      <w:r w:rsidRPr="00BD2844">
        <w:t xml:space="preserve">The submission described NIVO+IPI as: </w:t>
      </w:r>
    </w:p>
    <w:p w14:paraId="7C5C09D2" w14:textId="77777777" w:rsidR="00FC676C" w:rsidRPr="00BD2844" w:rsidRDefault="00FC676C" w:rsidP="00E5538F">
      <w:pPr>
        <w:pStyle w:val="ListParagraph"/>
        <w:numPr>
          <w:ilvl w:val="1"/>
          <w:numId w:val="14"/>
        </w:numPr>
        <w:jc w:val="both"/>
      </w:pPr>
      <w:r w:rsidRPr="00BD2844">
        <w:t>Non-inferior to the primary comparator ATEZO+BEV in terms of comparative effectiveness and safety (noting different AE profiles) in patients with unresectable HCC.</w:t>
      </w:r>
    </w:p>
    <w:p w14:paraId="71F1AE5A" w14:textId="77777777" w:rsidR="00FC676C" w:rsidRPr="00BD2844" w:rsidRDefault="00FC676C" w:rsidP="00E5538F">
      <w:pPr>
        <w:pStyle w:val="ListParagraph"/>
        <w:numPr>
          <w:ilvl w:val="1"/>
          <w:numId w:val="14"/>
        </w:numPr>
        <w:jc w:val="both"/>
      </w:pPr>
      <w:r w:rsidRPr="00BD2844">
        <w:t>Non-inferior to STRIDE in terms of comparative effectiveness and safety (noting different AE profiles) in patients with unresectable HCC.</w:t>
      </w:r>
    </w:p>
    <w:p w14:paraId="5FBAB6A4" w14:textId="5B5FDC70" w:rsidR="00FC676C" w:rsidRPr="00BD2844" w:rsidRDefault="00FC676C" w:rsidP="00FC676C">
      <w:pPr>
        <w:pStyle w:val="3-BodyText"/>
      </w:pPr>
      <w:r w:rsidRPr="00BD2844">
        <w:t>The</w:t>
      </w:r>
      <w:r w:rsidR="007308FF" w:rsidRPr="00BD2844">
        <w:t xml:space="preserve"> </w:t>
      </w:r>
      <w:r w:rsidR="009A32EE" w:rsidRPr="00BD2844">
        <w:t xml:space="preserve">evaluation considered the </w:t>
      </w:r>
      <w:r w:rsidRPr="00BD2844">
        <w:t>therapeutic conclusion presented in the submission was not adequately supported by the evidence presented in the submission in terms of effectiveness</w:t>
      </w:r>
      <w:r w:rsidR="00EC117A" w:rsidRPr="00BD2844">
        <w:t>.</w:t>
      </w:r>
    </w:p>
    <w:p w14:paraId="18FDACD6" w14:textId="0112D3EA" w:rsidR="00FC676C" w:rsidRPr="00BD2844" w:rsidRDefault="00FC676C" w:rsidP="00FC676C">
      <w:pPr>
        <w:pStyle w:val="3-BodyText"/>
      </w:pPr>
      <w:bookmarkStart w:id="79" w:name="_Ref205301470"/>
      <w:r w:rsidRPr="00BD2844">
        <w:t>Whilst the direct results from the CM-9DW trial showed that NIVO+IPI led to a statistically significant improvement in OS relative to SORA/LEN (HR=0.79</w:t>
      </w:r>
      <w:r w:rsidR="0043357A">
        <w:t xml:space="preserve">; </w:t>
      </w:r>
      <w:r w:rsidRPr="00BD2844">
        <w:t>95% CI:</w:t>
      </w:r>
      <w:r w:rsidRPr="00BD2844">
        <w:rPr>
          <w:i/>
          <w:iCs/>
        </w:rPr>
        <w:t xml:space="preserve"> </w:t>
      </w:r>
      <w:r w:rsidRPr="00BD2844">
        <w:t>0.65, 0.96</w:t>
      </w:r>
      <w:r w:rsidR="0043357A">
        <w:t>,</w:t>
      </w:r>
      <w:r w:rsidRPr="00BD2844">
        <w:t xml:space="preserve"> p=0.0180), the corresponding KM curves cross suggesting a violation of the </w:t>
      </w:r>
      <w:r w:rsidRPr="00BD2844">
        <w:lastRenderedPageBreak/>
        <w:t>proportional hazards assumption. Given the violation of the proportional hazards assumption the HR, CIs and p-values for this analysis should be interpreted with caution. RMST analysis of OS for NIVO+IPI vs SORA/LEN showed that OS numerically favoured SORA/LEN up until 24 months. From 24 months OS numerically favoured NIVO+IPI, however results were not statistically significant.</w:t>
      </w:r>
      <w:r w:rsidR="003470A3" w:rsidRPr="00BD2844">
        <w:t xml:space="preserve"> </w:t>
      </w:r>
      <w:r w:rsidR="003470A3" w:rsidRPr="00AC20B4">
        <w:t xml:space="preserve">The PSCR acknowledged that this combination is known to result in early treatment-related toxicity (largely due to the IPI component) and suggested that this risk may be mitigated through careful selection of patients by clinicians. The ESC noted the requested restrictions do not account for this </w:t>
      </w:r>
      <w:proofErr w:type="gramStart"/>
      <w:r w:rsidR="003470A3" w:rsidRPr="00AC20B4">
        <w:t>particular patient</w:t>
      </w:r>
      <w:proofErr w:type="gramEnd"/>
      <w:r w:rsidR="003470A3" w:rsidRPr="00AC20B4">
        <w:t xml:space="preserve"> population and no clinical evidence was provided to inform which patients would be less likely to experience early toxicity.</w:t>
      </w:r>
      <w:bookmarkEnd w:id="79"/>
    </w:p>
    <w:p w14:paraId="56DC5FDD" w14:textId="484E5784" w:rsidR="00FC676C" w:rsidRPr="00BD2844" w:rsidRDefault="00FC676C" w:rsidP="00FC676C">
      <w:pPr>
        <w:pStyle w:val="3-BodyText"/>
      </w:pPr>
      <w:r w:rsidRPr="00BD2844">
        <w:t>The submission’s anchored ITC did not adequately demonstrate non-inferiority in terms of efficacy or safety of NIVO+IPI compared to the primary comparator ATEZO+BEV or the near market comparator, STRIDE. Given the violation of the proportional hazards assumption observed for OS in CM-9DW</w:t>
      </w:r>
      <w:r w:rsidR="00C9588A" w:rsidRPr="00BD2844">
        <w:t>,</w:t>
      </w:r>
      <w:r w:rsidRPr="00BD2844">
        <w:t xml:space="preserve"> the use of OS as the common outcome of interest is likely inappropriate as the treatment effect of NIVO+IPI appears to change over time.</w:t>
      </w:r>
    </w:p>
    <w:p w14:paraId="5F567E1F" w14:textId="7282D40F" w:rsidR="00FC676C" w:rsidRPr="00BD2844" w:rsidRDefault="00FC676C" w:rsidP="00FC676C">
      <w:pPr>
        <w:pStyle w:val="3-BodyText"/>
        <w:rPr>
          <w:iCs/>
        </w:rPr>
      </w:pPr>
      <w:bookmarkStart w:id="80" w:name="_Ref205556595"/>
      <w:r w:rsidRPr="00BD2844">
        <w:rPr>
          <w:iCs/>
        </w:rPr>
        <w:t>For both the NIVO+IPI ITT (SORA/LEN) versus ATEZO+BEV and STRIDE ITC analyses</w:t>
      </w:r>
      <w:r w:rsidR="0065360E" w:rsidRPr="00BD2844">
        <w:rPr>
          <w:iCs/>
        </w:rPr>
        <w:t>,</w:t>
      </w:r>
      <w:r w:rsidRPr="00BD2844">
        <w:rPr>
          <w:iCs/>
        </w:rPr>
        <w:t xml:space="preserve"> there were </w:t>
      </w:r>
      <w:proofErr w:type="gramStart"/>
      <w:r w:rsidRPr="00BD2844">
        <w:rPr>
          <w:iCs/>
        </w:rPr>
        <w:t>a number of</w:t>
      </w:r>
      <w:proofErr w:type="gramEnd"/>
      <w:r w:rsidRPr="00BD2844">
        <w:rPr>
          <w:iCs/>
        </w:rPr>
        <w:t xml:space="preserve"> transitivity issues between the trials, including differences in the comparator treatment regimen (15% SORA; 85% LEN in CM-9DW; SORA in IMBRAVE150 and HIMALAYA), differences in patient baseline characteristics and differences in the duration of follow-up. Most notably, event rates differed across common reference groups; the median OS (months) in the CM-9DW trial (SORA/LEN = 20.63; SORA = 20.76) was longer than for IMBRAVE150 (SORA = 13.4) and HIMALAYA (SORA=13.8). </w:t>
      </w:r>
      <w:r w:rsidR="00E8187D" w:rsidRPr="00586402">
        <w:rPr>
          <w:iCs/>
        </w:rPr>
        <w:t xml:space="preserve">The ESC </w:t>
      </w:r>
      <w:r w:rsidR="0018418E" w:rsidRPr="00586402">
        <w:rPr>
          <w:iCs/>
        </w:rPr>
        <w:t>considered</w:t>
      </w:r>
      <w:r w:rsidR="00E8187D" w:rsidRPr="00BD2844">
        <w:rPr>
          <w:i/>
        </w:rPr>
        <w:t xml:space="preserve"> </w:t>
      </w:r>
      <w:r w:rsidR="00510986" w:rsidRPr="00BD2844">
        <w:rPr>
          <w:iCs/>
        </w:rPr>
        <w:t>these</w:t>
      </w:r>
      <w:r w:rsidRPr="00BD2844">
        <w:rPr>
          <w:iCs/>
        </w:rPr>
        <w:t xml:space="preserve"> difference</w:t>
      </w:r>
      <w:r w:rsidR="00510986" w:rsidRPr="00BD2844">
        <w:rPr>
          <w:iCs/>
        </w:rPr>
        <w:t>s</w:t>
      </w:r>
      <w:r w:rsidRPr="00BD2844">
        <w:rPr>
          <w:iCs/>
        </w:rPr>
        <w:t xml:space="preserve"> mean</w:t>
      </w:r>
      <w:r w:rsidR="00510986" w:rsidRPr="00BD2844">
        <w:rPr>
          <w:iCs/>
        </w:rPr>
        <w:t>t</w:t>
      </w:r>
      <w:r w:rsidRPr="00BD2844">
        <w:rPr>
          <w:iCs/>
        </w:rPr>
        <w:t xml:space="preserve"> it </w:t>
      </w:r>
      <w:r w:rsidR="00510986" w:rsidRPr="00BD2844">
        <w:rPr>
          <w:iCs/>
        </w:rPr>
        <w:t>wa</w:t>
      </w:r>
      <w:r w:rsidRPr="00BD2844">
        <w:rPr>
          <w:iCs/>
        </w:rPr>
        <w:t>s difficult to discern how much of the median OS benefit described in the NIVO+IPI arm of the CM-9DW trial is attributable to treatment benefit, and how much may be due to favourable prognostic factors of the trial population compared to the trial populations of IMBRAVE150 and HIMALAYA.</w:t>
      </w:r>
      <w:bookmarkEnd w:id="80"/>
      <w:r w:rsidRPr="00BD2844">
        <w:rPr>
          <w:iCs/>
        </w:rPr>
        <w:t xml:space="preserve"> </w:t>
      </w:r>
    </w:p>
    <w:p w14:paraId="14314720" w14:textId="5AE9B8EE" w:rsidR="00FC676C" w:rsidRPr="00BD2844" w:rsidRDefault="00FC676C" w:rsidP="00FC676C">
      <w:pPr>
        <w:pStyle w:val="3-BodyText"/>
        <w:rPr>
          <w:iCs/>
        </w:rPr>
      </w:pPr>
      <w:r w:rsidRPr="00BD2844">
        <w:rPr>
          <w:iCs/>
        </w:rPr>
        <w:t xml:space="preserve">For the NIVO+IPI ITT (SORA/LEN) versus ATEZO+BEV ITC analysis the point estimate and most of the 95% CI for the HR for the comparison against the primary comparator ATEZO+BEV are &gt; 1, suggesting patients treated with NIVO+IPI may have up to </w:t>
      </w:r>
      <w:r w:rsidR="00AD5272" w:rsidRPr="00BD2844">
        <w:rPr>
          <w:iCs/>
        </w:rPr>
        <w:t xml:space="preserve">a </w:t>
      </w:r>
      <w:r w:rsidRPr="00BD2844">
        <w:rPr>
          <w:iCs/>
        </w:rPr>
        <w:t>64% increased hazard of death compared to patients treated with ATEZO+BEV (HR=1.197</w:t>
      </w:r>
      <w:r w:rsidR="006E06CD">
        <w:rPr>
          <w:iCs/>
        </w:rPr>
        <w:t>; 95% CI</w:t>
      </w:r>
      <w:r w:rsidRPr="00BD2844">
        <w:rPr>
          <w:iCs/>
        </w:rPr>
        <w:t xml:space="preserve"> 0.875, 1.638). The absence of a statistically significant difference in OS between NIVO+ IPI and ATEZO+BEV does not necessarily establish non-inferiority; this would have required that the confidence limits of the difference in treatment effect did not include an a priori stated clinically meaningful difference favouring the comparator (PBAC Guidelines, v5.0, 2016).</w:t>
      </w:r>
    </w:p>
    <w:p w14:paraId="418264A0" w14:textId="77777777" w:rsidR="00FC676C" w:rsidRPr="00BD2844" w:rsidRDefault="00FC676C" w:rsidP="00FC676C">
      <w:pPr>
        <w:pStyle w:val="3-BodyText"/>
        <w:rPr>
          <w:iCs/>
        </w:rPr>
      </w:pPr>
      <w:r w:rsidRPr="00BD2844">
        <w:rPr>
          <w:iCs/>
        </w:rPr>
        <w:t xml:space="preserve">Analysis of the NIVO+IPI SORA subgroup versus ATEZO+BEV yielded a HR of 1.061 (95% CI: 0.649, 1.622). The result was associated with a wide confidence interval with a large proportion &gt; 1. Additionally, the small sample size of the SORA subgroup (approximately 15%) potentially limits the interpretability of the results, with an </w:t>
      </w:r>
      <w:r w:rsidRPr="00BD2844">
        <w:rPr>
          <w:iCs/>
        </w:rPr>
        <w:lastRenderedPageBreak/>
        <w:t>increased risk of variability of results and a higher risk of Type II errors, reducing the ability to confidently generalise findings from these analyses to a broader population.</w:t>
      </w:r>
    </w:p>
    <w:p w14:paraId="425B2B56" w14:textId="503176C5" w:rsidR="00FC676C" w:rsidRPr="00BD2844" w:rsidRDefault="00FC676C" w:rsidP="00FC676C">
      <w:pPr>
        <w:pStyle w:val="3-BodyText"/>
        <w:rPr>
          <w:iCs/>
        </w:rPr>
      </w:pPr>
      <w:r w:rsidRPr="00BD2844">
        <w:rPr>
          <w:iCs/>
        </w:rPr>
        <w:t xml:space="preserve">The NIVO+IPI ITT (SORA/LEN) versus STRIDE ITC analysis yielded a HR=1.013 </w:t>
      </w:r>
      <w:r w:rsidR="0085075D">
        <w:rPr>
          <w:iCs/>
        </w:rPr>
        <w:t>(</w:t>
      </w:r>
      <w:r w:rsidRPr="00BD2844">
        <w:rPr>
          <w:iCs/>
        </w:rPr>
        <w:t>95% CI: 0.788</w:t>
      </w:r>
      <w:r w:rsidR="0085075D">
        <w:rPr>
          <w:iCs/>
        </w:rPr>
        <w:t xml:space="preserve">, </w:t>
      </w:r>
      <w:r w:rsidRPr="00BD2844">
        <w:rPr>
          <w:iCs/>
        </w:rPr>
        <w:t>1.302)</w:t>
      </w:r>
      <w:r w:rsidR="00AB5AB2" w:rsidRPr="00BD2844">
        <w:rPr>
          <w:iCs/>
        </w:rPr>
        <w:t xml:space="preserve">, the SORA subgroup analysis reported a HR=0.897 </w:t>
      </w:r>
      <w:r w:rsidR="0085075D">
        <w:rPr>
          <w:iCs/>
        </w:rPr>
        <w:t>(</w:t>
      </w:r>
      <w:r w:rsidR="00AB5AB2" w:rsidRPr="00BD2844">
        <w:rPr>
          <w:iCs/>
        </w:rPr>
        <w:t>95% CI: 0.613, 1.314</w:t>
      </w:r>
      <w:r w:rsidR="0085075D">
        <w:rPr>
          <w:iCs/>
        </w:rPr>
        <w:t>)</w:t>
      </w:r>
      <w:r w:rsidRPr="00BD2844">
        <w:rPr>
          <w:iCs/>
        </w:rPr>
        <w:t>. Given the transitivity issues noted above</w:t>
      </w:r>
      <w:r w:rsidR="00BE2D4C" w:rsidRPr="00BD2844">
        <w:rPr>
          <w:iCs/>
        </w:rPr>
        <w:t>,</w:t>
      </w:r>
      <w:r w:rsidRPr="00BD2844">
        <w:rPr>
          <w:iCs/>
        </w:rPr>
        <w:t xml:space="preserve"> and the absence of a stated non-inferiority margin the claim of non-inferior efficacy was not supported</w:t>
      </w:r>
      <w:r w:rsidR="0034261A" w:rsidRPr="00BD2844">
        <w:rPr>
          <w:iCs/>
        </w:rPr>
        <w:t>.</w:t>
      </w:r>
    </w:p>
    <w:p w14:paraId="7B63B228" w14:textId="43ADC0D7" w:rsidR="00BE2D4C" w:rsidRPr="00AC20B4" w:rsidRDefault="000053BC" w:rsidP="00FC676C">
      <w:pPr>
        <w:pStyle w:val="3-BodyText"/>
        <w:rPr>
          <w:iCs/>
        </w:rPr>
      </w:pPr>
      <w:bookmarkStart w:id="81" w:name="_Ref205301475"/>
      <w:r w:rsidRPr="00AC20B4">
        <w:rPr>
          <w:iCs/>
        </w:rPr>
        <w:t>T</w:t>
      </w:r>
      <w:r w:rsidR="00BE2D4C" w:rsidRPr="00AC20B4">
        <w:rPr>
          <w:iCs/>
        </w:rPr>
        <w:t xml:space="preserve">he ESC </w:t>
      </w:r>
      <w:r w:rsidR="001D20D4" w:rsidRPr="00AC20B4">
        <w:rPr>
          <w:iCs/>
        </w:rPr>
        <w:t xml:space="preserve">acknowledged the concerns with the evidence presented raised by the evaluation and noted that the </w:t>
      </w:r>
      <w:r w:rsidR="00F60925" w:rsidRPr="00AC20B4">
        <w:rPr>
          <w:iCs/>
        </w:rPr>
        <w:t xml:space="preserve">point estimates of </w:t>
      </w:r>
      <w:r w:rsidRPr="00AC20B4">
        <w:rPr>
          <w:iCs/>
        </w:rPr>
        <w:t>the ITCs tended to numerically favour the comparator</w:t>
      </w:r>
      <w:r w:rsidR="00AD1409" w:rsidRPr="00AC20B4">
        <w:rPr>
          <w:iCs/>
        </w:rPr>
        <w:t xml:space="preserve">. Overall, the ESC agreed with the evaluation </w:t>
      </w:r>
      <w:r w:rsidR="000E06C8" w:rsidRPr="00AC20B4">
        <w:rPr>
          <w:iCs/>
        </w:rPr>
        <w:t>that the claim of non-inferior efficacy was not adequately supported by the evidence pr</w:t>
      </w:r>
      <w:r w:rsidR="00580225" w:rsidRPr="00AC20B4">
        <w:rPr>
          <w:iCs/>
        </w:rPr>
        <w:t>ovided</w:t>
      </w:r>
      <w:r w:rsidR="000E06C8" w:rsidRPr="00AC20B4">
        <w:rPr>
          <w:iCs/>
        </w:rPr>
        <w:t xml:space="preserve"> in the submission.</w:t>
      </w:r>
      <w:bookmarkEnd w:id="81"/>
      <w:r w:rsidR="000E06C8" w:rsidRPr="00AC20B4">
        <w:rPr>
          <w:iCs/>
        </w:rPr>
        <w:t xml:space="preserve"> </w:t>
      </w:r>
      <w:r w:rsidR="00BE2D4C" w:rsidRPr="00AC20B4">
        <w:rPr>
          <w:iCs/>
        </w:rPr>
        <w:t xml:space="preserve"> </w:t>
      </w:r>
    </w:p>
    <w:p w14:paraId="3E9A5A95" w14:textId="7985DF81" w:rsidR="00FC676C" w:rsidRDefault="00FC676C" w:rsidP="00FC676C">
      <w:pPr>
        <w:pStyle w:val="3-BodyText"/>
        <w:rPr>
          <w:iCs/>
        </w:rPr>
      </w:pPr>
      <w:r w:rsidRPr="00BD2844">
        <w:rPr>
          <w:iCs/>
        </w:rPr>
        <w:t xml:space="preserve">The submission reported that the NIVO+IPI ITT (SORA/LEN) versus ATEZO+BEV ITC safety analysis showed no </w:t>
      </w:r>
      <w:r w:rsidR="00AD5F7D" w:rsidRPr="00BD2844">
        <w:rPr>
          <w:iCs/>
        </w:rPr>
        <w:t xml:space="preserve">substantial </w:t>
      </w:r>
      <w:r w:rsidRPr="00BD2844">
        <w:rPr>
          <w:iCs/>
        </w:rPr>
        <w:t xml:space="preserve">differences between treatments based on all-cause and treatment-related AEs, all-cause and treatment-related SAEs, AEs leading to discontinuation and deaths. The submission additionally noted that the NIVO+IPI ITT (SORA/LEN) versus STRIDE ITC safety analysis identified no </w:t>
      </w:r>
      <w:r w:rsidR="00AD5F7D" w:rsidRPr="00BD2844">
        <w:rPr>
          <w:iCs/>
        </w:rPr>
        <w:t xml:space="preserve">substantial </w:t>
      </w:r>
      <w:r w:rsidRPr="00BD2844">
        <w:rPr>
          <w:iCs/>
        </w:rPr>
        <w:t>differences between cohorts based on all-cause and treatment-related AEs, all-cause and treatment-related SAEs, and AEs leading to discontinuation and death. A difference favouring STRIDE for treatment related AEs leading to discontinuation (OR=2.534</w:t>
      </w:r>
      <w:r w:rsidR="004377A8">
        <w:rPr>
          <w:iCs/>
        </w:rPr>
        <w:t>;</w:t>
      </w:r>
      <w:r w:rsidRPr="00BD2844">
        <w:rPr>
          <w:iCs/>
        </w:rPr>
        <w:t xml:space="preserve"> 95%CI: 1.298, 4.949) was however found. </w:t>
      </w:r>
      <w:r w:rsidR="00EA374E" w:rsidRPr="00AC20B4">
        <w:rPr>
          <w:iCs/>
        </w:rPr>
        <w:t>Overall, t</w:t>
      </w:r>
      <w:r w:rsidRPr="00AC20B4">
        <w:rPr>
          <w:iCs/>
        </w:rPr>
        <w:t xml:space="preserve">he </w:t>
      </w:r>
      <w:r w:rsidR="008476C9" w:rsidRPr="00AC20B4">
        <w:rPr>
          <w:iCs/>
        </w:rPr>
        <w:t xml:space="preserve">ESC considered the </w:t>
      </w:r>
      <w:r w:rsidRPr="00AC20B4">
        <w:rPr>
          <w:iCs/>
        </w:rPr>
        <w:t xml:space="preserve">submission’s claim of non-inferior safety of NIVO+IPI compared to both ATEZO+BEV and STRIDE was </w:t>
      </w:r>
      <w:r w:rsidR="00CC1226" w:rsidRPr="00AC20B4">
        <w:rPr>
          <w:iCs/>
        </w:rPr>
        <w:t xml:space="preserve">uncertain </w:t>
      </w:r>
      <w:r w:rsidRPr="00AC20B4">
        <w:rPr>
          <w:iCs/>
        </w:rPr>
        <w:t>given the transitivity concerns identified</w:t>
      </w:r>
      <w:r w:rsidR="000D451D" w:rsidRPr="00AC20B4">
        <w:rPr>
          <w:iCs/>
        </w:rPr>
        <w:t>, but likely reasonable</w:t>
      </w:r>
      <w:r w:rsidR="00080569" w:rsidRPr="00AC20B4">
        <w:rPr>
          <w:iCs/>
        </w:rPr>
        <w:t xml:space="preserve"> (noting different AE profiles)</w:t>
      </w:r>
      <w:r w:rsidR="000D451D" w:rsidRPr="00AC20B4">
        <w:rPr>
          <w:iCs/>
        </w:rPr>
        <w:t>.</w:t>
      </w:r>
      <w:r w:rsidR="00760243" w:rsidRPr="00AC20B4">
        <w:rPr>
          <w:iCs/>
        </w:rPr>
        <w:t xml:space="preserve"> </w:t>
      </w:r>
    </w:p>
    <w:p w14:paraId="53785CFB" w14:textId="7DDE8658" w:rsidR="00EA773B" w:rsidRPr="00CC1872" w:rsidRDefault="00EA773B" w:rsidP="00B27267">
      <w:pPr>
        <w:widowControl w:val="0"/>
        <w:numPr>
          <w:ilvl w:val="1"/>
          <w:numId w:val="4"/>
        </w:numPr>
        <w:spacing w:after="120"/>
        <w:rPr>
          <w:rFonts w:asciiTheme="minorHAnsi" w:hAnsiTheme="minorHAnsi"/>
          <w:snapToGrid w:val="0"/>
          <w:szCs w:val="20"/>
        </w:rPr>
      </w:pPr>
      <w:bookmarkStart w:id="82" w:name="_Hlk76376200"/>
      <w:r w:rsidRPr="00CC1872">
        <w:rPr>
          <w:rFonts w:asciiTheme="minorHAnsi" w:hAnsiTheme="minorHAnsi"/>
          <w:iCs/>
          <w:snapToGrid w:val="0"/>
        </w:rPr>
        <w:t>The</w:t>
      </w:r>
      <w:r w:rsidRPr="00CC1872">
        <w:rPr>
          <w:rFonts w:asciiTheme="minorHAnsi" w:hAnsiTheme="minorHAnsi"/>
          <w:snapToGrid w:val="0"/>
          <w:szCs w:val="20"/>
        </w:rPr>
        <w:t xml:space="preserve"> PBAC considered that the claim of non-inferior comparative effectiveness </w:t>
      </w:r>
      <w:r w:rsidR="00096303" w:rsidRPr="00CC1872">
        <w:rPr>
          <w:rFonts w:asciiTheme="minorHAnsi" w:hAnsiTheme="minorHAnsi"/>
          <w:snapToGrid w:val="0"/>
          <w:szCs w:val="20"/>
        </w:rPr>
        <w:t xml:space="preserve">was </w:t>
      </w:r>
      <w:r w:rsidRPr="00CC1872">
        <w:rPr>
          <w:rFonts w:asciiTheme="minorHAnsi" w:hAnsiTheme="minorHAnsi"/>
          <w:snapToGrid w:val="0"/>
          <w:szCs w:val="20"/>
        </w:rPr>
        <w:t>not adequately supported by the data.</w:t>
      </w:r>
      <w:bookmarkEnd w:id="82"/>
    </w:p>
    <w:p w14:paraId="6C989886" w14:textId="78B3CF49" w:rsidR="00096303" w:rsidRPr="00CC1872" w:rsidRDefault="00096303" w:rsidP="00B27267">
      <w:pPr>
        <w:widowControl w:val="0"/>
        <w:numPr>
          <w:ilvl w:val="1"/>
          <w:numId w:val="4"/>
        </w:numPr>
        <w:spacing w:after="120"/>
        <w:rPr>
          <w:rFonts w:asciiTheme="minorHAnsi" w:hAnsiTheme="minorHAnsi"/>
          <w:snapToGrid w:val="0"/>
          <w:szCs w:val="20"/>
        </w:rPr>
      </w:pPr>
      <w:r w:rsidRPr="00CC1872">
        <w:rPr>
          <w:rFonts w:asciiTheme="minorHAnsi" w:hAnsiTheme="minorHAnsi"/>
          <w:snapToGrid w:val="0"/>
          <w:szCs w:val="20"/>
        </w:rPr>
        <w:t xml:space="preserve">The PBAC considered that the claim of non-inferior comparative safety was </w:t>
      </w:r>
      <w:r w:rsidR="005D498A">
        <w:rPr>
          <w:rFonts w:asciiTheme="minorHAnsi" w:hAnsiTheme="minorHAnsi"/>
          <w:snapToGrid w:val="0"/>
          <w:szCs w:val="20"/>
        </w:rPr>
        <w:t>uncertain given the transitivity concerns identified</w:t>
      </w:r>
      <w:r w:rsidR="00507596" w:rsidRPr="00CC1872">
        <w:rPr>
          <w:rFonts w:asciiTheme="minorHAnsi" w:hAnsiTheme="minorHAnsi"/>
          <w:snapToGrid w:val="0"/>
          <w:szCs w:val="20"/>
        </w:rPr>
        <w:t>.</w:t>
      </w:r>
    </w:p>
    <w:p w14:paraId="4291E5E3" w14:textId="77777777" w:rsidR="00FC676C" w:rsidRPr="00BD2844" w:rsidRDefault="00FC676C" w:rsidP="00FC676C">
      <w:pPr>
        <w:pStyle w:val="4-SubsectionHeading"/>
      </w:pPr>
      <w:bookmarkStart w:id="83" w:name="_Toc195866338"/>
      <w:bookmarkStart w:id="84" w:name="_Toc198716663"/>
      <w:bookmarkStart w:id="85" w:name="_Toc22897645"/>
      <w:r w:rsidRPr="00BD2844">
        <w:t>Economic analysis</w:t>
      </w:r>
      <w:bookmarkEnd w:id="83"/>
      <w:bookmarkEnd w:id="84"/>
      <w:r w:rsidRPr="00BD2844">
        <w:t xml:space="preserve"> </w:t>
      </w:r>
    </w:p>
    <w:p w14:paraId="722D148C" w14:textId="7112F2A1" w:rsidR="00FC676C" w:rsidRPr="00BD2844" w:rsidRDefault="00FC676C" w:rsidP="00FC676C">
      <w:pPr>
        <w:pStyle w:val="3-BodyText"/>
        <w:rPr>
          <w:b/>
          <w:bCs/>
          <w:i/>
          <w:iCs/>
          <w:color w:val="0066FF"/>
        </w:rPr>
      </w:pPr>
      <w:r w:rsidRPr="00BD2844">
        <w:t xml:space="preserve">The submission presented a CMA comparing NIVO+IPI to ATEZO+BEV for the treatment of first-line HCC. </w:t>
      </w:r>
      <w:r w:rsidR="0043228E" w:rsidRPr="00BD2844">
        <w:t>T</w:t>
      </w:r>
      <w:r w:rsidR="003847F0" w:rsidRPr="00BD2844">
        <w:t xml:space="preserve">he reasonableness of the approach is contingent upon accepting the claim of non-inferior comparative effectiveness and safety, which </w:t>
      </w:r>
      <w:r w:rsidR="0043228E" w:rsidRPr="00753996">
        <w:t xml:space="preserve">the ESC considered </w:t>
      </w:r>
      <w:r w:rsidR="003847F0" w:rsidRPr="00753996">
        <w:t>was</w:t>
      </w:r>
      <w:r w:rsidR="003847F0" w:rsidRPr="00BD2844">
        <w:t xml:space="preserve"> not adequately supported by the available data. </w:t>
      </w:r>
      <w:r w:rsidRPr="00BD2844">
        <w:t>The submission did not present a CMA comparing NIVO+IPI to STRIDE. Th</w:t>
      </w:r>
      <w:r w:rsidR="00615BAA" w:rsidRPr="00BD2844">
        <w:t>e evaluation considered th</w:t>
      </w:r>
      <w:r w:rsidRPr="00BD2844">
        <w:t>is was reasonable given STRIDE was nominated as a near-market comparator.</w:t>
      </w:r>
      <w:r w:rsidRPr="00BD2844">
        <w:rPr>
          <w:i/>
          <w:iCs/>
          <w:color w:val="0066FF"/>
        </w:rPr>
        <w:t xml:space="preserve"> </w:t>
      </w:r>
    </w:p>
    <w:p w14:paraId="467A2BF4" w14:textId="0143CB54" w:rsidR="00FC676C" w:rsidRPr="00BD2844" w:rsidRDefault="00FC676C" w:rsidP="00FC676C">
      <w:pPr>
        <w:pStyle w:val="3-BodyText"/>
        <w:rPr>
          <w:b/>
          <w:bCs/>
          <w:i/>
          <w:iCs/>
          <w:color w:val="0066FF"/>
        </w:rPr>
      </w:pPr>
      <w:r w:rsidRPr="00BD2844">
        <w:rPr>
          <w:rFonts w:cstheme="minorHAnsi"/>
        </w:rPr>
        <w:t xml:space="preserve">The components and assumptions for the CMA are summarised in </w:t>
      </w:r>
      <w:r w:rsidRPr="00BD2844">
        <w:rPr>
          <w:rFonts w:cstheme="minorHAnsi"/>
        </w:rPr>
        <w:fldChar w:fldCharType="begin"/>
      </w:r>
      <w:r w:rsidRPr="00BD2844">
        <w:rPr>
          <w:rFonts w:cstheme="minorHAnsi"/>
        </w:rPr>
        <w:instrText xml:space="preserve"> REF _Ref195515686 \h </w:instrText>
      </w:r>
      <w:r w:rsidRPr="00BD2844">
        <w:rPr>
          <w:rFonts w:cstheme="minorHAnsi"/>
        </w:rPr>
      </w:r>
      <w:r w:rsidRPr="00BD2844">
        <w:rPr>
          <w:rFonts w:cstheme="minorHAnsi"/>
        </w:rPr>
        <w:fldChar w:fldCharType="separate"/>
      </w:r>
      <w:r w:rsidR="008C7D22" w:rsidRPr="00BD2844">
        <w:t xml:space="preserve">Table </w:t>
      </w:r>
      <w:r w:rsidR="008C7D22">
        <w:rPr>
          <w:noProof/>
        </w:rPr>
        <w:t>13</w:t>
      </w:r>
      <w:r w:rsidRPr="00BD2844">
        <w:rPr>
          <w:rFonts w:cstheme="minorHAnsi"/>
        </w:rPr>
        <w:fldChar w:fldCharType="end"/>
      </w:r>
      <w:r w:rsidRPr="00BD2844">
        <w:rPr>
          <w:rFonts w:cstheme="minorHAnsi"/>
        </w:rPr>
        <w:t>.</w:t>
      </w:r>
    </w:p>
    <w:p w14:paraId="57F51B76" w14:textId="4A80C5CD" w:rsidR="00FC676C" w:rsidRPr="00BD2844" w:rsidRDefault="00FC676C" w:rsidP="00F8646B">
      <w:pPr>
        <w:pStyle w:val="Caption"/>
        <w:jc w:val="left"/>
        <w:rPr>
          <w:rStyle w:val="CommentReference"/>
          <w:b/>
          <w:szCs w:val="24"/>
        </w:rPr>
      </w:pPr>
      <w:bookmarkStart w:id="86" w:name="_Ref195515686"/>
      <w:r w:rsidRPr="00BD2844">
        <w:lastRenderedPageBreak/>
        <w:t xml:space="preserve">Table </w:t>
      </w:r>
      <w:r w:rsidR="002878AB">
        <w:fldChar w:fldCharType="begin"/>
      </w:r>
      <w:r w:rsidR="002878AB">
        <w:instrText xml:space="preserve"> SEQ Table \* ARABIC </w:instrText>
      </w:r>
      <w:r w:rsidR="002878AB">
        <w:fldChar w:fldCharType="separate"/>
      </w:r>
      <w:r w:rsidR="008C7D22">
        <w:rPr>
          <w:noProof/>
        </w:rPr>
        <w:t>13</w:t>
      </w:r>
      <w:r w:rsidR="002878AB">
        <w:fldChar w:fldCharType="end"/>
      </w:r>
      <w:bookmarkEnd w:id="86"/>
      <w:r w:rsidRPr="00BD2844">
        <w:t>:</w:t>
      </w:r>
      <w:r w:rsidRPr="00BD2844">
        <w:rPr>
          <w:rStyle w:val="CommentReference"/>
          <w:b/>
          <w:szCs w:val="24"/>
        </w:rPr>
        <w:t xml:space="preserve"> 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Key components and assumptions of the cost-minimisation approach"/>
      </w:tblPr>
      <w:tblGrid>
        <w:gridCol w:w="2660"/>
        <w:gridCol w:w="6520"/>
      </w:tblGrid>
      <w:tr w:rsidR="00FC676C" w:rsidRPr="00BD2844" w14:paraId="294AB3BE" w14:textId="77777777">
        <w:tc>
          <w:tcPr>
            <w:tcW w:w="2660" w:type="dxa"/>
            <w:vAlign w:val="center"/>
          </w:tcPr>
          <w:p w14:paraId="712B6651" w14:textId="77777777" w:rsidR="00FC676C" w:rsidRPr="00BD2844" w:rsidRDefault="00FC676C" w:rsidP="00F8646B">
            <w:pPr>
              <w:pStyle w:val="In-tableHeading"/>
              <w:rPr>
                <w:b w:val="0"/>
                <w:bCs/>
                <w:lang w:val="en-AU"/>
              </w:rPr>
            </w:pPr>
            <w:r w:rsidRPr="00BD2844">
              <w:rPr>
                <w:b w:val="0"/>
                <w:bCs/>
                <w:lang w:val="en-AU"/>
              </w:rPr>
              <w:t>Component</w:t>
            </w:r>
          </w:p>
        </w:tc>
        <w:tc>
          <w:tcPr>
            <w:tcW w:w="6520" w:type="dxa"/>
            <w:vAlign w:val="center"/>
          </w:tcPr>
          <w:p w14:paraId="29011335" w14:textId="77777777" w:rsidR="00FC676C" w:rsidRPr="00BD2844" w:rsidRDefault="00FC676C" w:rsidP="00F8646B">
            <w:pPr>
              <w:pStyle w:val="In-tableHeading"/>
              <w:rPr>
                <w:b w:val="0"/>
                <w:bCs/>
                <w:lang w:val="en-AU"/>
              </w:rPr>
            </w:pPr>
            <w:r w:rsidRPr="00BD2844">
              <w:rPr>
                <w:b w:val="0"/>
                <w:bCs/>
                <w:lang w:val="en-AU"/>
              </w:rPr>
              <w:t>Claim or assumption</w:t>
            </w:r>
          </w:p>
        </w:tc>
      </w:tr>
      <w:tr w:rsidR="00FC676C" w:rsidRPr="00BD2844" w14:paraId="321C5A88" w14:textId="77777777">
        <w:tc>
          <w:tcPr>
            <w:tcW w:w="2660" w:type="dxa"/>
            <w:vAlign w:val="center"/>
          </w:tcPr>
          <w:p w14:paraId="31DE518C" w14:textId="77777777" w:rsidR="00FC676C" w:rsidRPr="00BD2844" w:rsidRDefault="00FC676C" w:rsidP="003D2B45">
            <w:pPr>
              <w:pStyle w:val="TableText0"/>
              <w:rPr>
                <w:b/>
              </w:rPr>
            </w:pPr>
            <w:r w:rsidRPr="00BD2844">
              <w:t>Therapeutic claim: effectiveness</w:t>
            </w:r>
          </w:p>
        </w:tc>
        <w:tc>
          <w:tcPr>
            <w:tcW w:w="6520" w:type="dxa"/>
            <w:vAlign w:val="center"/>
          </w:tcPr>
          <w:p w14:paraId="38EB3350" w14:textId="68270434" w:rsidR="00FC676C" w:rsidRPr="00BD2844" w:rsidRDefault="00FC676C" w:rsidP="003D2B45">
            <w:pPr>
              <w:pStyle w:val="TableText0"/>
              <w:rPr>
                <w:b/>
              </w:rPr>
            </w:pPr>
            <w:r w:rsidRPr="00BD2844">
              <w:t>Based on evidence presented, effectiveness is assumed to be non-inferior.</w:t>
            </w:r>
          </w:p>
        </w:tc>
      </w:tr>
      <w:tr w:rsidR="00FC676C" w:rsidRPr="00BD2844" w14:paraId="1F126FFD" w14:textId="77777777">
        <w:tc>
          <w:tcPr>
            <w:tcW w:w="2660" w:type="dxa"/>
            <w:vAlign w:val="center"/>
          </w:tcPr>
          <w:p w14:paraId="04C9DE6A" w14:textId="77777777" w:rsidR="00FC676C" w:rsidRPr="00BD2844" w:rsidRDefault="00FC676C" w:rsidP="003D2B45">
            <w:pPr>
              <w:pStyle w:val="TableText0"/>
              <w:rPr>
                <w:b/>
              </w:rPr>
            </w:pPr>
            <w:r w:rsidRPr="00BD2844">
              <w:t>Therapeutic claim: safety</w:t>
            </w:r>
          </w:p>
        </w:tc>
        <w:tc>
          <w:tcPr>
            <w:tcW w:w="6520" w:type="dxa"/>
            <w:vAlign w:val="center"/>
          </w:tcPr>
          <w:p w14:paraId="4F66352A" w14:textId="1365864C" w:rsidR="00FC676C" w:rsidRPr="00BD2844" w:rsidRDefault="00FC676C" w:rsidP="003D2B45">
            <w:pPr>
              <w:pStyle w:val="TableText0"/>
              <w:rPr>
                <w:b/>
              </w:rPr>
            </w:pPr>
            <w:r w:rsidRPr="00BD2844">
              <w:t>Based on evidence presented, safety is assumed to be non-inferior.</w:t>
            </w:r>
          </w:p>
        </w:tc>
      </w:tr>
      <w:tr w:rsidR="00FC676C" w:rsidRPr="00BD2844" w14:paraId="57411CDA" w14:textId="77777777">
        <w:tc>
          <w:tcPr>
            <w:tcW w:w="2660" w:type="dxa"/>
            <w:vAlign w:val="center"/>
          </w:tcPr>
          <w:p w14:paraId="215F0DAF" w14:textId="77777777" w:rsidR="00FC676C" w:rsidRPr="00BD2844" w:rsidRDefault="00FC676C" w:rsidP="003D2B45">
            <w:pPr>
              <w:pStyle w:val="TableText0"/>
              <w:rPr>
                <w:b/>
              </w:rPr>
            </w:pPr>
            <w:r w:rsidRPr="00BD2844">
              <w:t>Evidence base</w:t>
            </w:r>
          </w:p>
        </w:tc>
        <w:tc>
          <w:tcPr>
            <w:tcW w:w="6520" w:type="dxa"/>
            <w:vAlign w:val="center"/>
          </w:tcPr>
          <w:p w14:paraId="569CC512" w14:textId="030C854E" w:rsidR="00FC676C" w:rsidRPr="00BD2844" w:rsidRDefault="00FC676C" w:rsidP="003D2B45">
            <w:pPr>
              <w:pStyle w:val="TableText0"/>
              <w:rPr>
                <w:b/>
              </w:rPr>
            </w:pPr>
            <w:r w:rsidRPr="00BD2844">
              <w:t xml:space="preserve">Indirect treatment comparison (ITC) of NIVO+IPI and ATEZO+BEV based on the CM-9DW trial, which compared NIVO+IPI to </w:t>
            </w:r>
            <w:r w:rsidR="001A1846" w:rsidRPr="00BD2844">
              <w:t>SORA</w:t>
            </w:r>
            <w:r w:rsidRPr="00BD2844">
              <w:t>/</w:t>
            </w:r>
            <w:r w:rsidR="001A1846" w:rsidRPr="00BD2844">
              <w:t>LEN</w:t>
            </w:r>
            <w:r w:rsidRPr="00BD2844">
              <w:t xml:space="preserve">, and the IMBRAVE150 trial, which compared ATEZO+BEV to </w:t>
            </w:r>
            <w:r w:rsidR="001A1846" w:rsidRPr="00BD2844">
              <w:t>SORA</w:t>
            </w:r>
            <w:r w:rsidRPr="00BD2844">
              <w:t>.</w:t>
            </w:r>
          </w:p>
        </w:tc>
      </w:tr>
      <w:tr w:rsidR="00FC676C" w:rsidRPr="00BD2844" w14:paraId="53AC79A3" w14:textId="77777777">
        <w:tc>
          <w:tcPr>
            <w:tcW w:w="2660" w:type="dxa"/>
            <w:vAlign w:val="center"/>
          </w:tcPr>
          <w:p w14:paraId="77FCC4D0" w14:textId="77777777" w:rsidR="00FC676C" w:rsidRPr="00BD2844" w:rsidRDefault="00FC676C" w:rsidP="003D2B45">
            <w:pPr>
              <w:pStyle w:val="TableText0"/>
              <w:rPr>
                <w:b/>
              </w:rPr>
            </w:pPr>
            <w:r w:rsidRPr="00BD2844">
              <w:t>Equi-effective doses</w:t>
            </w:r>
          </w:p>
        </w:tc>
        <w:tc>
          <w:tcPr>
            <w:tcW w:w="6520" w:type="dxa"/>
            <w:vAlign w:val="center"/>
          </w:tcPr>
          <w:p w14:paraId="371755CD" w14:textId="0E937AD2" w:rsidR="00FC676C" w:rsidRPr="00BD2844" w:rsidRDefault="00FC676C" w:rsidP="003D2B45">
            <w:pPr>
              <w:pStyle w:val="TableText0"/>
              <w:rPr>
                <w:b/>
              </w:rPr>
            </w:pPr>
            <w:r w:rsidRPr="00BD2844">
              <w:t xml:space="preserve">A dose of nivolumab (1 mg/kg) every 3 weeks for a maximum of 4 doses with ipilimumab (3 mg/kg) every three weeks for a maximum of 4 doses, followed by nivolumab monotherapy (480 mg) every 4 weeks </w:t>
            </w:r>
            <w:r w:rsidR="003847F0" w:rsidRPr="00BD2844">
              <w:t xml:space="preserve"> for a total duration of </w:t>
            </w:r>
            <w:r w:rsidR="00D13688" w:rsidRPr="00BD2844">
              <w:t xml:space="preserve">4.68 months </w:t>
            </w:r>
            <w:r w:rsidRPr="00BD2844">
              <w:t>is equi-effective to atezolizumab (1,200 mg) every 3 weeks for a total of 8.4 months with bevacizumab (15 mg/kg) every 3 weeks for a total of 7.0 months.</w:t>
            </w:r>
          </w:p>
          <w:p w14:paraId="1543653A" w14:textId="77777777" w:rsidR="00FC676C" w:rsidRPr="00BD2844" w:rsidRDefault="00FC676C" w:rsidP="003D2B45">
            <w:pPr>
              <w:pStyle w:val="TableText0"/>
            </w:pPr>
          </w:p>
          <w:p w14:paraId="558F2E0C" w14:textId="77777777" w:rsidR="00FC676C" w:rsidRPr="00BD2844" w:rsidRDefault="00FC676C" w:rsidP="003D2B45">
            <w:pPr>
              <w:pStyle w:val="TableText0"/>
              <w:rPr>
                <w:b/>
              </w:rPr>
            </w:pPr>
            <w:r w:rsidRPr="00BD2844">
              <w:t>1,656 mg nivolumab + 881 mg ipilimumab = 14,610 mg atezolizumab + 11,174 mg bevacizumab</w:t>
            </w:r>
          </w:p>
          <w:p w14:paraId="70E6633D" w14:textId="77777777" w:rsidR="00FC676C" w:rsidRPr="00BD2844" w:rsidRDefault="00FC676C" w:rsidP="003D2B45">
            <w:pPr>
              <w:pStyle w:val="TableText0"/>
            </w:pPr>
          </w:p>
          <w:p w14:paraId="517A160B" w14:textId="77777777" w:rsidR="00FC676C" w:rsidRPr="00BD2844" w:rsidRDefault="00FC676C" w:rsidP="003D2B45">
            <w:pPr>
              <w:pStyle w:val="TableText0"/>
              <w:rPr>
                <w:b/>
              </w:rPr>
            </w:pPr>
            <w:r w:rsidRPr="00BD2844">
              <w:t>The estimated doses and duration of treatment were based on median values from CM-9DW and IMBRAVE150.</w:t>
            </w:r>
          </w:p>
        </w:tc>
      </w:tr>
      <w:tr w:rsidR="00FC676C" w:rsidRPr="00BD2844" w14:paraId="418B556D" w14:textId="77777777">
        <w:tc>
          <w:tcPr>
            <w:tcW w:w="2660" w:type="dxa"/>
            <w:vAlign w:val="center"/>
          </w:tcPr>
          <w:p w14:paraId="1AC353A9" w14:textId="77777777" w:rsidR="00FC676C" w:rsidRPr="00BD2844" w:rsidRDefault="00FC676C" w:rsidP="003D2B45">
            <w:pPr>
              <w:pStyle w:val="TableText0"/>
              <w:rPr>
                <w:b/>
              </w:rPr>
            </w:pPr>
            <w:r w:rsidRPr="00BD2844">
              <w:t>Direct medicine costs</w:t>
            </w:r>
          </w:p>
        </w:tc>
        <w:tc>
          <w:tcPr>
            <w:tcW w:w="6520" w:type="dxa"/>
            <w:vAlign w:val="center"/>
          </w:tcPr>
          <w:p w14:paraId="526D2E05" w14:textId="604AB249" w:rsidR="00FC676C" w:rsidRPr="00BD2844" w:rsidRDefault="00FC676C" w:rsidP="003D2B45">
            <w:pPr>
              <w:pStyle w:val="TableText0"/>
              <w:rPr>
                <w:b/>
              </w:rPr>
            </w:pPr>
            <w:r w:rsidRPr="00BD2844">
              <w:t xml:space="preserve">The cost of NIVO+IPI per treatment course </w:t>
            </w:r>
            <w:r w:rsidRPr="006F76D2">
              <w:t>was $</w:t>
            </w:r>
            <w:r w:rsidR="00DF27F1" w:rsidRPr="00DF27F1">
              <w:rPr>
                <w:color w:val="000000"/>
                <w:spacing w:val="42"/>
                <w:shd w:val="solid" w:color="000000" w:fill="000000"/>
                <w:fitText w:val="638" w:id="-623630592"/>
                <w14:textFill>
                  <w14:solidFill>
                    <w14:srgbClr w14:val="000000">
                      <w14:alpha w14:val="100000"/>
                    </w14:srgbClr>
                  </w14:solidFill>
                </w14:textFill>
              </w:rPr>
              <w:t>|||||||</w:t>
            </w:r>
            <w:r w:rsidR="00DF27F1" w:rsidRPr="00DF27F1">
              <w:rPr>
                <w:color w:val="000000"/>
                <w:spacing w:val="4"/>
                <w:shd w:val="solid" w:color="000000" w:fill="000000"/>
                <w:fitText w:val="638" w:id="-623630592"/>
                <w14:textFill>
                  <w14:solidFill>
                    <w14:srgbClr w14:val="000000">
                      <w14:alpha w14:val="100000"/>
                    </w14:srgbClr>
                  </w14:solidFill>
                </w14:textFill>
              </w:rPr>
              <w:t>|</w:t>
            </w:r>
            <w:r w:rsidRPr="006F76D2">
              <w:t>, which is $</w:t>
            </w:r>
            <w:r w:rsidR="00DF27F1" w:rsidRPr="00DF27F1">
              <w:rPr>
                <w:color w:val="000000"/>
                <w:spacing w:val="76"/>
                <w:shd w:val="solid" w:color="000000" w:fill="000000"/>
                <w:fitText w:val="401" w:id="-623630591"/>
                <w14:textFill>
                  <w14:solidFill>
                    <w14:srgbClr w14:val="000000">
                      <w14:alpha w14:val="100000"/>
                    </w14:srgbClr>
                  </w14:solidFill>
                </w14:textFill>
              </w:rPr>
              <w:t>|||</w:t>
            </w:r>
            <w:r w:rsidR="00DF27F1" w:rsidRPr="00DF27F1">
              <w:rPr>
                <w:color w:val="000000"/>
                <w:spacing w:val="3"/>
                <w:shd w:val="solid" w:color="000000" w:fill="000000"/>
                <w:fitText w:val="401" w:id="-623630591"/>
                <w14:textFill>
                  <w14:solidFill>
                    <w14:srgbClr w14:val="000000">
                      <w14:alpha w14:val="100000"/>
                    </w14:srgbClr>
                  </w14:solidFill>
                </w14:textFill>
              </w:rPr>
              <w:t>|</w:t>
            </w:r>
            <w:r w:rsidR="00DF27F1">
              <w:t xml:space="preserve"> </w:t>
            </w:r>
            <w:r w:rsidRPr="006F76D2">
              <w:t>higher than the cost ATEZO+BEV per treatment course which was $</w:t>
            </w:r>
            <w:r w:rsidR="00DF27F1" w:rsidRPr="00DF27F1">
              <w:rPr>
                <w:color w:val="000000"/>
                <w:spacing w:val="42"/>
                <w:shd w:val="solid" w:color="000000" w:fill="000000"/>
                <w:fitText w:val="638" w:id="-623630590"/>
                <w14:textFill>
                  <w14:solidFill>
                    <w14:srgbClr w14:val="000000">
                      <w14:alpha w14:val="100000"/>
                    </w14:srgbClr>
                  </w14:solidFill>
                </w14:textFill>
              </w:rPr>
              <w:t>|||||||</w:t>
            </w:r>
            <w:r w:rsidR="00DF27F1" w:rsidRPr="00DF27F1">
              <w:rPr>
                <w:color w:val="000000"/>
                <w:spacing w:val="4"/>
                <w:shd w:val="solid" w:color="000000" w:fill="000000"/>
                <w:fitText w:val="638" w:id="-623630590"/>
                <w14:textFill>
                  <w14:solidFill>
                    <w14:srgbClr w14:val="000000">
                      <w14:alpha w14:val="100000"/>
                    </w14:srgbClr>
                  </w14:solidFill>
                </w14:textFill>
              </w:rPr>
              <w:t>|</w:t>
            </w:r>
            <w:r w:rsidR="00DF27F1">
              <w:t xml:space="preserve"> </w:t>
            </w:r>
            <w:r w:rsidRPr="006F76D2">
              <w:t>(based on the assumed effective prices of ATEZO+BEV).</w:t>
            </w:r>
          </w:p>
        </w:tc>
      </w:tr>
      <w:tr w:rsidR="00FC676C" w:rsidRPr="00BD2844" w14:paraId="798D297E" w14:textId="77777777">
        <w:tc>
          <w:tcPr>
            <w:tcW w:w="2660" w:type="dxa"/>
            <w:vAlign w:val="center"/>
          </w:tcPr>
          <w:p w14:paraId="195907BF" w14:textId="77777777" w:rsidR="00FC676C" w:rsidRPr="00BD2844" w:rsidRDefault="00FC676C" w:rsidP="003D2B45">
            <w:pPr>
              <w:pStyle w:val="TableText0"/>
              <w:rPr>
                <w:b/>
              </w:rPr>
            </w:pPr>
            <w:r w:rsidRPr="00BD2844">
              <w:t>Other costs or cost offsets</w:t>
            </w:r>
          </w:p>
        </w:tc>
        <w:tc>
          <w:tcPr>
            <w:tcW w:w="6520" w:type="dxa"/>
            <w:vAlign w:val="center"/>
          </w:tcPr>
          <w:p w14:paraId="078AF95D" w14:textId="666C18D9" w:rsidR="00FC676C" w:rsidRPr="00BD2844" w:rsidRDefault="00FC676C" w:rsidP="003D2B45">
            <w:pPr>
              <w:pStyle w:val="TableText0"/>
              <w:rPr>
                <w:b/>
              </w:rPr>
            </w:pPr>
            <w:r w:rsidRPr="00BD2844">
              <w:t xml:space="preserve">MBS cost, item 13950 for the administration of the intravenous </w:t>
            </w:r>
            <w:r w:rsidRPr="00EC6BF1">
              <w:t>infusion ($123.05),</w:t>
            </w:r>
            <w:r w:rsidRPr="00BD2844">
              <w:t xml:space="preserve"> applied to both NIVO+</w:t>
            </w:r>
            <w:r w:rsidR="0098227C" w:rsidRPr="00BD2844">
              <w:t>IPI</w:t>
            </w:r>
            <w:r w:rsidRPr="00BD2844">
              <w:t xml:space="preserve"> and ATEZO+BEV.</w:t>
            </w:r>
          </w:p>
        </w:tc>
      </w:tr>
    </w:tbl>
    <w:p w14:paraId="377DB645" w14:textId="77777777" w:rsidR="00FC676C" w:rsidRPr="00BD2844" w:rsidRDefault="00FC676C" w:rsidP="00F8646B">
      <w:pPr>
        <w:pStyle w:val="FooterTableFigure"/>
        <w:keepNext/>
        <w:keepLines/>
        <w:rPr>
          <w:szCs w:val="18"/>
        </w:rPr>
      </w:pPr>
      <w:r w:rsidRPr="00BD2844">
        <w:rPr>
          <w:szCs w:val="18"/>
        </w:rPr>
        <w:t>Source: Table 81, pp197-198 of the submission; Attachment 11 NIVO IPI 1L HCC Cost-Minimisation Analysis, worksheets: CMA, Dosing and Assumptions, Admin Costs, Comparator drug cost per course.</w:t>
      </w:r>
    </w:p>
    <w:p w14:paraId="0AAC1B8C" w14:textId="77777777" w:rsidR="00FC676C" w:rsidRPr="00BD2844" w:rsidRDefault="00FC676C" w:rsidP="00F8646B">
      <w:pPr>
        <w:pStyle w:val="FooterTableFigure"/>
        <w:keepNext/>
        <w:keepLines/>
        <w:rPr>
          <w:szCs w:val="18"/>
        </w:rPr>
      </w:pPr>
      <w:r w:rsidRPr="00BD2844">
        <w:rPr>
          <w:szCs w:val="18"/>
        </w:rPr>
        <w:t>ATEZO+BEV = atezolizumab plus bevacizumab; ITC = indirect treatment comparison; kg = kilogram; MBS = Medicare Benefits Schedule; mg = milligram; NIVO+IPI = nivolumab plus ipilimumab.</w:t>
      </w:r>
    </w:p>
    <w:p w14:paraId="07A9916B" w14:textId="13F3BCC3" w:rsidR="00FC676C" w:rsidRPr="00BD2844" w:rsidRDefault="00FC676C" w:rsidP="00FC676C">
      <w:pPr>
        <w:pStyle w:val="3-BodyText"/>
      </w:pPr>
      <w:r w:rsidRPr="00BD2844">
        <w:t>The submission estimated the equi-effective doses of NIVO+</w:t>
      </w:r>
      <w:r w:rsidR="00BE641D" w:rsidRPr="00BD2844">
        <w:t>IPI</w:t>
      </w:r>
      <w:r w:rsidRPr="00BD2844">
        <w:t xml:space="preserve"> and ATEZO+BEV based on the median treatment duration in CM-9DW and IMBRAVE150 (Cheng 2022). </w:t>
      </w:r>
      <w:r w:rsidR="00850662" w:rsidRPr="00BD2844">
        <w:t xml:space="preserve">The </w:t>
      </w:r>
      <w:r w:rsidR="00005F6C" w:rsidRPr="00AC20B4">
        <w:t>ESC agreed with the</w:t>
      </w:r>
      <w:r w:rsidR="00005F6C" w:rsidRPr="00BD2844">
        <w:rPr>
          <w:i/>
          <w:iCs/>
        </w:rPr>
        <w:t xml:space="preserve"> </w:t>
      </w:r>
      <w:r w:rsidR="00850662" w:rsidRPr="00BD2844">
        <w:t xml:space="preserve">evaluation </w:t>
      </w:r>
      <w:r w:rsidR="00745516" w:rsidRPr="00BD2844">
        <w:t>that</w:t>
      </w:r>
      <w:r w:rsidR="00850662" w:rsidRPr="00BD2844">
        <w:t xml:space="preserve"> t</w:t>
      </w:r>
      <w:r w:rsidRPr="00BD2844">
        <w:t xml:space="preserve">his was inappropriate as it underestimated the treatment exposure required to achieve the assumed equi-effective outcomes. The dosage regimens used in the trials were consistent with each medicine’s TGA approved </w:t>
      </w:r>
      <w:r w:rsidR="0027635F">
        <w:t xml:space="preserve">Product </w:t>
      </w:r>
      <w:r w:rsidRPr="00BD2844">
        <w:t>I</w:t>
      </w:r>
      <w:r w:rsidR="0027635F">
        <w:t>nformation</w:t>
      </w:r>
      <w:r w:rsidRPr="00BD2844">
        <w:t>.</w:t>
      </w:r>
    </w:p>
    <w:p w14:paraId="0F3C7B42" w14:textId="7C33C795" w:rsidR="00FC676C" w:rsidRPr="00BD2844" w:rsidRDefault="00FC676C" w:rsidP="00FC676C">
      <w:pPr>
        <w:pStyle w:val="3-BodyText"/>
        <w:rPr>
          <w:color w:val="0066FF"/>
        </w:rPr>
      </w:pPr>
      <w:r w:rsidRPr="00BD2844">
        <w:t>The submission acknowledged that alternative dosing regimens (either 2 weekly or 4 weekly) for ATEZO were available on the PBS to allow patients to continue to receive ATEZO where BEV is discontinued. These dosing regimens were not included in the CMA presented by the submission. This was based on low utilisation of ATEZO 2 weekly or 4 weekly regimens (3.6% of the total ATEZO HCC utilisation based on PBS Statistics, December 2023 to November 2024). T</w:t>
      </w:r>
      <w:r w:rsidR="0067250E" w:rsidRPr="00BD2844">
        <w:t>he evaluation</w:t>
      </w:r>
      <w:r w:rsidR="00153261" w:rsidRPr="00BD2844">
        <w:t xml:space="preserve"> considered</w:t>
      </w:r>
      <w:r w:rsidR="0067250E" w:rsidRPr="00BD2844">
        <w:t xml:space="preserve"> </w:t>
      </w:r>
      <w:r w:rsidR="0092140F" w:rsidRPr="00BD2844">
        <w:t>that</w:t>
      </w:r>
      <w:r w:rsidR="0067250E" w:rsidRPr="00BD2844">
        <w:t xml:space="preserve"> t</w:t>
      </w:r>
      <w:r w:rsidRPr="00BD2844">
        <w:t>his was reasonable given that patients in IMBRAVE150 received ATEZO+BEV every 3 weeks only.</w:t>
      </w:r>
    </w:p>
    <w:p w14:paraId="1E514E19" w14:textId="4317ABC9" w:rsidR="00FC676C" w:rsidRPr="00BD2844" w:rsidRDefault="00FC676C" w:rsidP="00FC676C">
      <w:pPr>
        <w:pStyle w:val="3-BodyText"/>
        <w:rPr>
          <w:color w:val="0066FF"/>
        </w:rPr>
      </w:pPr>
      <w:r w:rsidRPr="00BD2844">
        <w:t>The submission stated that the CMA was based on 4-weekly dosing for the NIVO monotherapy treatment phase (rather than 240 mg every 2 weeks). T</w:t>
      </w:r>
      <w:r w:rsidR="007C3F8F" w:rsidRPr="00BD2844">
        <w:t>he evaluation considered t</w:t>
      </w:r>
      <w:r w:rsidRPr="00BD2844">
        <w:t xml:space="preserve">his was reasonable; patients in CM-9DW were administered 480 mg every 4 weeks of NIVO monotherapy. </w:t>
      </w:r>
    </w:p>
    <w:p w14:paraId="302DD49F" w14:textId="17C3FBEF" w:rsidR="00FC676C" w:rsidRPr="00BD2844" w:rsidRDefault="00FC676C" w:rsidP="00FC676C">
      <w:pPr>
        <w:pStyle w:val="3-BodyText"/>
        <w:rPr>
          <w:i/>
          <w:iCs/>
        </w:rPr>
      </w:pPr>
      <w:r w:rsidRPr="00BD2844">
        <w:t>Dosage of NIVO+IPI in the induction phase and BEVA are weight based, the submission used the average patient weight in the CM-9DW trial of 73.42 kg to estimate total average dose per patient. Th</w:t>
      </w:r>
      <w:r w:rsidR="007C3F8F" w:rsidRPr="00BD2844">
        <w:t>e evaluation considered th</w:t>
      </w:r>
      <w:r w:rsidRPr="00BD2844">
        <w:t>is was reasonable.</w:t>
      </w:r>
      <w:r w:rsidRPr="00BD2844">
        <w:rPr>
          <w:i/>
          <w:iCs/>
        </w:rPr>
        <w:t xml:space="preserve"> </w:t>
      </w:r>
    </w:p>
    <w:p w14:paraId="6942B2CC" w14:textId="62290B7D" w:rsidR="00FC676C" w:rsidRPr="00BD2844" w:rsidRDefault="00FC676C" w:rsidP="00FC676C">
      <w:pPr>
        <w:pStyle w:val="3-BodyText"/>
      </w:pPr>
      <w:r w:rsidRPr="00BD2844">
        <w:lastRenderedPageBreak/>
        <w:t>The proposed equi-effective doses for NIVO+IPI and ATEZO+BEV were based on the median duration of therapy (DOT) reported in CM-9DW and IMBRAVE150. The submission stated that in CM-9DW, 100% of patients who received treatment (N=332) in the NIVO+IPI arm had discontinued treatment at the time of analysis, and the median follow-up was 35.2 months. Relative dose intensity was not reported in CM-9DW and therefore was not included in the CMA. The median DOT in CM-9DW was 4.68 months. The number of days of NIVO monotherapy was calculated as the difference between the total DOT (4.68 months, 142 days) and the DOT for the NIVO+IPI combination (63 days, based on 4 doses every 3 weeks), resulting in 79 days of NIVO monotherapy equivalent to 2.84 doses every four weeks.</w:t>
      </w:r>
      <w:r w:rsidR="004B765B" w:rsidRPr="00BD2844">
        <w:t xml:space="preserve"> There </w:t>
      </w:r>
      <w:r w:rsidR="00D13688" w:rsidRPr="00BD2844">
        <w:t>was</w:t>
      </w:r>
      <w:r w:rsidR="004B765B" w:rsidRPr="00BD2844">
        <w:t xml:space="preserve"> a difference between</w:t>
      </w:r>
      <w:r w:rsidR="00D13688" w:rsidRPr="00BD2844">
        <w:t xml:space="preserve"> the</w:t>
      </w:r>
      <w:r w:rsidR="004B765B" w:rsidRPr="00BD2844">
        <w:t xml:space="preserve"> median (4.68 months) and mean duration of treatment (8.73 months) for NIVO+IPI.</w:t>
      </w:r>
    </w:p>
    <w:p w14:paraId="3ED2308C" w14:textId="53C03089" w:rsidR="00FC676C" w:rsidRPr="00BD2844" w:rsidRDefault="00FC676C" w:rsidP="00FC676C">
      <w:pPr>
        <w:pStyle w:val="3-BodyText"/>
      </w:pPr>
      <w:bookmarkStart w:id="87" w:name="_Ref201308336"/>
      <w:bookmarkStart w:id="88" w:name="_Hlk195775648"/>
      <w:r w:rsidRPr="00BD2844">
        <w:t xml:space="preserve">In IMBRAVE150 17.9% (60/336) of patients were still on therapy at the time of the updated analysis of efficacy and safety data (Cheng 2022), with a median duration of follow-up of 15.6 months. The submission stated that the ongoing treatment of patients in IMBRAVE150 potentially underestimated the DOT of ATEZO+BEV and was biased against NIVO+IPI. </w:t>
      </w:r>
      <w:r w:rsidR="00D13688" w:rsidRPr="00BD2844">
        <w:t xml:space="preserve">The median duration of treatment applied in the CMA was 8.4 months for ATEZO and 7.0 months for BEV. </w:t>
      </w:r>
      <w:r w:rsidR="004B765B" w:rsidRPr="00BD2844">
        <w:t xml:space="preserve">The </w:t>
      </w:r>
      <w:r w:rsidR="006E69B5" w:rsidRPr="00BD2844">
        <w:t xml:space="preserve">evaluation </w:t>
      </w:r>
      <w:r w:rsidR="00642007" w:rsidRPr="00BD2844">
        <w:t xml:space="preserve">considered </w:t>
      </w:r>
      <w:r w:rsidR="006E69B5" w:rsidRPr="00BD2844">
        <w:t>that the</w:t>
      </w:r>
      <w:r w:rsidR="006E69B5" w:rsidRPr="00BD2844">
        <w:rPr>
          <w:i/>
          <w:iCs/>
        </w:rPr>
        <w:t xml:space="preserve"> </w:t>
      </w:r>
      <w:r w:rsidR="004B765B" w:rsidRPr="00BD2844">
        <w:t xml:space="preserve">difference in </w:t>
      </w:r>
      <w:r w:rsidR="00D13688" w:rsidRPr="00BD2844">
        <w:t xml:space="preserve">the applied </w:t>
      </w:r>
      <w:r w:rsidR="004B765B" w:rsidRPr="00BD2844">
        <w:t>treatment duration for NIVO+IP</w:t>
      </w:r>
      <w:r w:rsidR="00D13688" w:rsidRPr="00BD2844">
        <w:t>I</w:t>
      </w:r>
      <w:r w:rsidR="004B765B" w:rsidRPr="00BD2844">
        <w:t xml:space="preserve"> and ATEZO+BEV may not be justified (noting the non-inferiority claim).</w:t>
      </w:r>
      <w:bookmarkEnd w:id="87"/>
      <w:r w:rsidR="00DB4CCD" w:rsidRPr="00BD2844">
        <w:rPr>
          <w:i/>
          <w:iCs/>
        </w:rPr>
        <w:t xml:space="preserve"> </w:t>
      </w:r>
    </w:p>
    <w:bookmarkEnd w:id="88"/>
    <w:p w14:paraId="209D4F0A" w14:textId="4B8382A2" w:rsidR="00FC676C" w:rsidRPr="00BD2844" w:rsidRDefault="00FC676C" w:rsidP="00FC676C">
      <w:pPr>
        <w:pStyle w:val="3-BodyText"/>
        <w:rPr>
          <w:color w:val="0066FF"/>
        </w:rPr>
      </w:pPr>
      <w:r w:rsidRPr="00BD2844">
        <w:t xml:space="preserve">The equi-effective doses were estimated </w:t>
      </w:r>
      <w:r w:rsidR="00672119" w:rsidRPr="00BD2844">
        <w:t>in the submission</w:t>
      </w:r>
      <w:r w:rsidR="00672119" w:rsidRPr="00BD2844">
        <w:rPr>
          <w:i/>
          <w:iCs/>
        </w:rPr>
        <w:t xml:space="preserve"> </w:t>
      </w:r>
      <w:r w:rsidRPr="00BD2844">
        <w:t>as 1,656 mg NIVO (Q3W initial and Q4W continuing) + 881 mg IPI Q3W was equi-effective to 14,610 mg ATEZO Q3W + 11,174 mg BEVA Q3W.</w:t>
      </w:r>
      <w:r w:rsidRPr="00BD2844">
        <w:rPr>
          <w:color w:val="3366FF"/>
        </w:rPr>
        <w:t xml:space="preserve"> </w:t>
      </w:r>
    </w:p>
    <w:p w14:paraId="4DEE06DA" w14:textId="7E10A605" w:rsidR="00FC676C" w:rsidRDefault="00FC676C" w:rsidP="00B56EE7">
      <w:pPr>
        <w:pStyle w:val="3-BodyText"/>
        <w:rPr>
          <w:i/>
          <w:iCs/>
        </w:rPr>
      </w:pPr>
      <w:r w:rsidRPr="003447AE">
        <w:t>The CMA results using an assumed effective AEMP (</w:t>
      </w:r>
      <w:r w:rsidR="00C302DE" w:rsidRPr="00C302DE">
        <w:rPr>
          <w:color w:val="000000"/>
          <w:w w:val="28"/>
          <w:shd w:val="solid" w:color="000000" w:fill="000000"/>
          <w:fitText w:val="93" w:id="-623630336"/>
          <w14:textFill>
            <w14:solidFill>
              <w14:srgbClr w14:val="000000">
                <w14:alpha w14:val="100000"/>
              </w14:srgbClr>
            </w14:solidFill>
          </w14:textFill>
        </w:rPr>
        <w:t>|  |</w:t>
      </w:r>
      <w:r w:rsidRPr="003447AE">
        <w:t>% rebate to the published ex-manufacturer price) for ATEZO ($</w:t>
      </w:r>
      <w:r w:rsidR="008B7404" w:rsidRPr="008B7404">
        <w:rPr>
          <w:color w:val="000000"/>
          <w:w w:val="58"/>
          <w:shd w:val="solid" w:color="000000" w:fill="000000"/>
          <w:fitText w:val="706" w:id="-623630335"/>
          <w14:textFill>
            <w14:solidFill>
              <w14:srgbClr w14:val="000000">
                <w14:alpha w14:val="100000"/>
              </w14:srgbClr>
            </w14:solidFill>
          </w14:textFill>
        </w:rPr>
        <w:t>|||||  |||||</w:t>
      </w:r>
      <w:r w:rsidRPr="00AC3567">
        <w:t>)</w:t>
      </w:r>
      <w:r w:rsidR="00923A3D" w:rsidRPr="00AC3567">
        <w:t>, the current BEV price of $53.82</w:t>
      </w:r>
      <w:r w:rsidR="005018FC" w:rsidRPr="00AC3567">
        <w:t xml:space="preserve"> </w:t>
      </w:r>
      <w:r w:rsidRPr="00AC3567">
        <w:t xml:space="preserve">and </w:t>
      </w:r>
      <w:r w:rsidR="006B04C1" w:rsidRPr="00AC3567">
        <w:t xml:space="preserve">a </w:t>
      </w:r>
      <w:r w:rsidRPr="00AC3567">
        <w:t>proposed effective EMP for NIVO ($</w:t>
      </w:r>
      <w:r w:rsidR="008B7404" w:rsidRPr="008B7404">
        <w:rPr>
          <w:color w:val="000000"/>
          <w:w w:val="28"/>
          <w:shd w:val="solid" w:color="000000" w:fill="000000"/>
          <w:fitText w:val="218" w:id="-623630334"/>
          <w14:textFill>
            <w14:solidFill>
              <w14:srgbClr w14:val="000000">
                <w14:alpha w14:val="100000"/>
              </w14:srgbClr>
            </w14:solidFill>
          </w14:textFill>
        </w:rPr>
        <w:t>|||  |||</w:t>
      </w:r>
      <w:r w:rsidRPr="00AC3567">
        <w:t xml:space="preserve"> per vial) are presented in </w:t>
      </w:r>
      <w:r w:rsidRPr="00AC3567">
        <w:fldChar w:fldCharType="begin"/>
      </w:r>
      <w:r w:rsidRPr="00AC3567">
        <w:instrText xml:space="preserve"> REF _Ref195300992 \h </w:instrText>
      </w:r>
      <w:r w:rsidR="00AC3567">
        <w:instrText xml:space="preserve"> \* MERGEFORMAT </w:instrText>
      </w:r>
      <w:r w:rsidRPr="00AC3567">
        <w:fldChar w:fldCharType="separate"/>
      </w:r>
      <w:r w:rsidR="008C7D22" w:rsidRPr="00BD2844">
        <w:t xml:space="preserve">Table </w:t>
      </w:r>
      <w:r w:rsidR="008C7D22">
        <w:t>14</w:t>
      </w:r>
      <w:r w:rsidRPr="00AC3567">
        <w:fldChar w:fldCharType="end"/>
      </w:r>
      <w:r w:rsidRPr="00AC3567">
        <w:t>. The submission derived an effective EMP for IPI for a 50 mg vial of $</w:t>
      </w:r>
      <w:r w:rsidR="009D3E17" w:rsidRPr="009D3E17">
        <w:rPr>
          <w:color w:val="000000"/>
          <w:w w:val="58"/>
          <w:shd w:val="solid" w:color="000000" w:fill="000000"/>
          <w:fitText w:val="706" w:id="-623629568"/>
          <w14:textFill>
            <w14:solidFill>
              <w14:srgbClr w14:val="000000">
                <w14:alpha w14:val="100000"/>
              </w14:srgbClr>
            </w14:solidFill>
          </w14:textFill>
        </w:rPr>
        <w:t>|||||  |||||</w:t>
      </w:r>
      <w:r w:rsidRPr="00C9217D">
        <w:t>,</w:t>
      </w:r>
      <w:r w:rsidRPr="00AC3567">
        <w:t xml:space="preserve"> based on the total treatment cost of $</w:t>
      </w:r>
      <w:r w:rsidR="009D3E17" w:rsidRPr="009D3E17">
        <w:rPr>
          <w:color w:val="000000"/>
          <w:spacing w:val="1"/>
          <w:w w:val="57"/>
          <w:shd w:val="solid" w:color="000000" w:fill="000000"/>
          <w:fitText w:val="832" w:id="-623629567"/>
          <w14:textFill>
            <w14:solidFill>
              <w14:srgbClr w14:val="000000">
                <w14:alpha w14:val="100000"/>
              </w14:srgbClr>
            </w14:solidFill>
          </w14:textFill>
        </w:rPr>
        <w:t>||||||  ||||||</w:t>
      </w:r>
      <w:r w:rsidRPr="00AC3567">
        <w:t>, inclusive of administration costs. Thus, cost-minimisation in the submission was achieved through varying the</w:t>
      </w:r>
      <w:r w:rsidRPr="00BD2844">
        <w:t xml:space="preserve"> price of IPI only and not through changes to the price of NIVO which was assumed 'fixed' in this analysis.</w:t>
      </w:r>
      <w:r w:rsidR="00923A3D" w:rsidRPr="00BD2844">
        <w:t xml:space="preserve"> </w:t>
      </w:r>
      <w:r w:rsidR="00D92402" w:rsidRPr="00AC20B4">
        <w:t xml:space="preserve">The ESC </w:t>
      </w:r>
      <w:r w:rsidR="004104E2" w:rsidRPr="00AC20B4">
        <w:t xml:space="preserve">did not accept the CMA proposed in the submission as </w:t>
      </w:r>
      <w:r w:rsidR="00FE2273" w:rsidRPr="00AC20B4">
        <w:t xml:space="preserve">the use of the </w:t>
      </w:r>
      <w:r w:rsidR="004104E2" w:rsidRPr="00AC20B4">
        <w:t>median treatment duration in CM-9DW and IMBRAVE150</w:t>
      </w:r>
      <w:r w:rsidR="00FE2273" w:rsidRPr="00AC20B4">
        <w:t xml:space="preserve"> underestimated</w:t>
      </w:r>
      <w:r w:rsidR="0098581E" w:rsidRPr="00AC20B4">
        <w:t xml:space="preserve"> </w:t>
      </w:r>
      <w:r w:rsidR="004104E2" w:rsidRPr="00AC20B4">
        <w:t>the treatment exposure required to achieve the assumed equi-effective outcomes</w:t>
      </w:r>
      <w:r w:rsidR="0098581E" w:rsidRPr="00AC20B4">
        <w:t>.</w:t>
      </w:r>
      <w:r w:rsidR="0098581E" w:rsidRPr="00BD2844">
        <w:rPr>
          <w:i/>
          <w:iCs/>
        </w:rPr>
        <w:t xml:space="preserve"> </w:t>
      </w:r>
      <w:r w:rsidR="00D92402" w:rsidRPr="00BD2844">
        <w:rPr>
          <w:i/>
          <w:iCs/>
        </w:rPr>
        <w:t xml:space="preserve"> </w:t>
      </w:r>
    </w:p>
    <w:p w14:paraId="3A07B13C" w14:textId="77777777" w:rsidR="00FD26DD" w:rsidRPr="00BD2844" w:rsidRDefault="00FD26DD" w:rsidP="00FD26DD">
      <w:pPr>
        <w:pStyle w:val="3-BodyText"/>
        <w:numPr>
          <w:ilvl w:val="0"/>
          <w:numId w:val="0"/>
        </w:numPr>
        <w:rPr>
          <w:i/>
          <w:iCs/>
        </w:rPr>
      </w:pPr>
    </w:p>
    <w:p w14:paraId="3F89B954" w14:textId="77777777" w:rsidR="00FC676C" w:rsidRPr="00BD2844" w:rsidRDefault="00FC676C" w:rsidP="00FC676C">
      <w:pPr>
        <w:keepNext/>
        <w:jc w:val="left"/>
        <w:rPr>
          <w:rFonts w:ascii="Arial Narrow" w:eastAsiaTheme="majorEastAsia" w:hAnsi="Arial Narrow" w:cstheme="majorBidi"/>
          <w:b/>
          <w:sz w:val="20"/>
          <w:szCs w:val="16"/>
        </w:rPr>
      </w:pPr>
    </w:p>
    <w:p w14:paraId="2197A715" w14:textId="09B30214" w:rsidR="00FC676C" w:rsidRPr="00BD2844" w:rsidRDefault="00FC676C" w:rsidP="00FC676C">
      <w:pPr>
        <w:pStyle w:val="Caption"/>
      </w:pPr>
      <w:bookmarkStart w:id="89" w:name="_Ref195300992"/>
      <w:r w:rsidRPr="00BD2844">
        <w:t xml:space="preserve">Table </w:t>
      </w:r>
      <w:r w:rsidR="002878AB">
        <w:fldChar w:fldCharType="begin"/>
      </w:r>
      <w:r w:rsidR="002878AB">
        <w:instrText xml:space="preserve"> SEQ Table \* ARABIC </w:instrText>
      </w:r>
      <w:r w:rsidR="002878AB">
        <w:fldChar w:fldCharType="separate"/>
      </w:r>
      <w:r w:rsidR="008C7D22">
        <w:rPr>
          <w:noProof/>
        </w:rPr>
        <w:t>14</w:t>
      </w:r>
      <w:r w:rsidR="002878AB">
        <w:fldChar w:fldCharType="end"/>
      </w:r>
      <w:bookmarkEnd w:id="89"/>
      <w:r w:rsidRPr="00BD2844">
        <w:t>: Results of the cost-minimisation approach based on assumed effective prices</w:t>
      </w:r>
    </w:p>
    <w:tbl>
      <w:tblPr>
        <w:tblStyle w:val="TableGrid"/>
        <w:tblW w:w="9014" w:type="dxa"/>
        <w:tblLook w:val="04A0" w:firstRow="1" w:lastRow="0" w:firstColumn="1" w:lastColumn="0" w:noHBand="0" w:noVBand="1"/>
        <w:tblCaption w:val="Table 14: Results of the cost-minimisation approach based on assumed effective prices"/>
      </w:tblPr>
      <w:tblGrid>
        <w:gridCol w:w="2236"/>
        <w:gridCol w:w="1587"/>
        <w:gridCol w:w="1662"/>
        <w:gridCol w:w="1620"/>
        <w:gridCol w:w="1909"/>
      </w:tblGrid>
      <w:tr w:rsidR="00FC676C" w:rsidRPr="00BD2844" w14:paraId="252061B0" w14:textId="77777777">
        <w:trPr>
          <w:trHeight w:val="318"/>
        </w:trPr>
        <w:tc>
          <w:tcPr>
            <w:tcW w:w="2236" w:type="dxa"/>
            <w:noWrap/>
            <w:vAlign w:val="center"/>
            <w:hideMark/>
          </w:tcPr>
          <w:p w14:paraId="51F182C1" w14:textId="77777777" w:rsidR="00FC676C" w:rsidRPr="00F25E3B" w:rsidRDefault="00FC676C">
            <w:pPr>
              <w:keepNext/>
              <w:keepLines/>
              <w:jc w:val="center"/>
              <w:rPr>
                <w:rFonts w:ascii="Arial Narrow" w:hAnsi="Arial Narrow" w:cs="Calibri"/>
                <w:color w:val="000000"/>
                <w:sz w:val="20"/>
                <w:szCs w:val="20"/>
                <w:lang w:eastAsia="en-GB"/>
              </w:rPr>
            </w:pPr>
          </w:p>
        </w:tc>
        <w:tc>
          <w:tcPr>
            <w:tcW w:w="1587" w:type="dxa"/>
            <w:noWrap/>
            <w:vAlign w:val="center"/>
            <w:hideMark/>
          </w:tcPr>
          <w:p w14:paraId="393213CF" w14:textId="77777777" w:rsidR="00FC676C" w:rsidRPr="00F25E3B" w:rsidRDefault="00FC676C">
            <w:pPr>
              <w:keepNext/>
              <w:keepLines/>
              <w:jc w:val="center"/>
              <w:rPr>
                <w:rFonts w:ascii="Arial Narrow" w:hAnsi="Arial Narrow" w:cs="Calibri"/>
                <w:b/>
                <w:bCs/>
                <w:color w:val="000000"/>
                <w:sz w:val="20"/>
                <w:szCs w:val="20"/>
                <w:lang w:eastAsia="en-GB"/>
              </w:rPr>
            </w:pPr>
            <w:r w:rsidRPr="00F25E3B">
              <w:rPr>
                <w:rFonts w:ascii="Arial Narrow" w:hAnsi="Arial Narrow" w:cs="Calibri"/>
                <w:b/>
                <w:bCs/>
                <w:color w:val="000000"/>
                <w:sz w:val="20"/>
                <w:szCs w:val="20"/>
                <w:lang w:eastAsia="en-GB"/>
              </w:rPr>
              <w:t>Atezolizumab</w:t>
            </w:r>
          </w:p>
        </w:tc>
        <w:tc>
          <w:tcPr>
            <w:tcW w:w="1662" w:type="dxa"/>
            <w:noWrap/>
            <w:vAlign w:val="center"/>
            <w:hideMark/>
          </w:tcPr>
          <w:p w14:paraId="512EC30A" w14:textId="77777777" w:rsidR="00FC676C" w:rsidRPr="00F25E3B" w:rsidRDefault="00FC676C">
            <w:pPr>
              <w:keepNext/>
              <w:keepLines/>
              <w:jc w:val="center"/>
              <w:rPr>
                <w:rFonts w:ascii="Arial Narrow" w:hAnsi="Arial Narrow" w:cs="Calibri"/>
                <w:b/>
                <w:bCs/>
                <w:color w:val="000000"/>
                <w:sz w:val="20"/>
                <w:szCs w:val="20"/>
                <w:lang w:eastAsia="en-GB"/>
              </w:rPr>
            </w:pPr>
            <w:r w:rsidRPr="00F25E3B">
              <w:rPr>
                <w:rFonts w:ascii="Arial Narrow" w:hAnsi="Arial Narrow" w:cs="Calibri"/>
                <w:b/>
                <w:bCs/>
                <w:color w:val="000000"/>
                <w:sz w:val="20"/>
                <w:szCs w:val="20"/>
                <w:lang w:eastAsia="en-GB"/>
              </w:rPr>
              <w:t>Bevacizumab</w:t>
            </w:r>
          </w:p>
        </w:tc>
        <w:tc>
          <w:tcPr>
            <w:tcW w:w="1620" w:type="dxa"/>
            <w:vAlign w:val="center"/>
            <w:hideMark/>
          </w:tcPr>
          <w:p w14:paraId="09FD447B" w14:textId="77777777" w:rsidR="00FC676C" w:rsidRPr="00F25E3B" w:rsidRDefault="00FC676C">
            <w:pPr>
              <w:keepNext/>
              <w:keepLines/>
              <w:jc w:val="center"/>
              <w:rPr>
                <w:rFonts w:ascii="Arial Narrow" w:hAnsi="Arial Narrow" w:cs="Calibri"/>
                <w:b/>
                <w:bCs/>
                <w:color w:val="000000"/>
                <w:sz w:val="20"/>
                <w:szCs w:val="20"/>
                <w:lang w:eastAsia="en-GB"/>
              </w:rPr>
            </w:pPr>
            <w:r w:rsidRPr="00F25E3B">
              <w:rPr>
                <w:rFonts w:ascii="Arial Narrow" w:hAnsi="Arial Narrow" w:cs="Calibri"/>
                <w:b/>
                <w:bCs/>
                <w:color w:val="000000"/>
                <w:sz w:val="20"/>
                <w:szCs w:val="20"/>
                <w:lang w:eastAsia="en-GB"/>
              </w:rPr>
              <w:t>Nivolumab</w:t>
            </w:r>
          </w:p>
        </w:tc>
        <w:tc>
          <w:tcPr>
            <w:tcW w:w="1909" w:type="dxa"/>
            <w:vAlign w:val="center"/>
            <w:hideMark/>
          </w:tcPr>
          <w:p w14:paraId="5438E119" w14:textId="77777777" w:rsidR="00FC676C" w:rsidRPr="00F25E3B" w:rsidRDefault="00FC676C">
            <w:pPr>
              <w:keepNext/>
              <w:keepLines/>
              <w:jc w:val="center"/>
              <w:rPr>
                <w:rFonts w:ascii="Arial Narrow" w:hAnsi="Arial Narrow" w:cs="Calibri"/>
                <w:b/>
                <w:bCs/>
                <w:color w:val="000000"/>
                <w:sz w:val="20"/>
                <w:szCs w:val="20"/>
                <w:lang w:eastAsia="en-GB"/>
              </w:rPr>
            </w:pPr>
            <w:r w:rsidRPr="00F25E3B">
              <w:rPr>
                <w:rFonts w:ascii="Arial Narrow" w:hAnsi="Arial Narrow" w:cs="Calibri"/>
                <w:b/>
                <w:bCs/>
                <w:color w:val="000000"/>
                <w:sz w:val="20"/>
                <w:szCs w:val="20"/>
                <w:lang w:eastAsia="en-GB"/>
              </w:rPr>
              <w:t>Ipilimumab</w:t>
            </w:r>
          </w:p>
        </w:tc>
      </w:tr>
      <w:tr w:rsidR="00FC676C" w:rsidRPr="00BD2844" w14:paraId="4121048B" w14:textId="77777777">
        <w:trPr>
          <w:trHeight w:val="303"/>
        </w:trPr>
        <w:tc>
          <w:tcPr>
            <w:tcW w:w="2236" w:type="dxa"/>
            <w:noWrap/>
            <w:hideMark/>
          </w:tcPr>
          <w:p w14:paraId="66505C1A" w14:textId="77777777" w:rsidR="00FC676C" w:rsidRPr="00F25E3B" w:rsidRDefault="00FC676C">
            <w:pPr>
              <w:keepNext/>
              <w:jc w:val="left"/>
              <w:rPr>
                <w:rFonts w:ascii="Arial Narrow" w:hAnsi="Arial Narrow" w:cs="Calibri"/>
                <w:color w:val="000000"/>
                <w:sz w:val="20"/>
                <w:szCs w:val="20"/>
                <w:lang w:eastAsia="en-GB"/>
              </w:rPr>
            </w:pPr>
            <w:r w:rsidRPr="00F25E3B">
              <w:rPr>
                <w:rFonts w:ascii="Arial Narrow" w:hAnsi="Arial Narrow" w:cs="Calibri"/>
                <w:color w:val="000000"/>
                <w:sz w:val="20"/>
                <w:szCs w:val="20"/>
                <w:lang w:eastAsia="en-GB"/>
              </w:rPr>
              <w:t>Vial strength (mg)</w:t>
            </w:r>
          </w:p>
        </w:tc>
        <w:tc>
          <w:tcPr>
            <w:tcW w:w="1587" w:type="dxa"/>
            <w:noWrap/>
            <w:vAlign w:val="center"/>
            <w:hideMark/>
          </w:tcPr>
          <w:p w14:paraId="33EA3002" w14:textId="77777777" w:rsidR="00FC676C" w:rsidRPr="00F25E3B" w:rsidRDefault="00FC676C">
            <w:pPr>
              <w:keepNext/>
              <w:jc w:val="center"/>
              <w:rPr>
                <w:rFonts w:ascii="Arial Narrow" w:hAnsi="Arial Narrow" w:cs="Calibri"/>
                <w:color w:val="000000"/>
                <w:sz w:val="20"/>
                <w:szCs w:val="20"/>
                <w:lang w:eastAsia="en-GB"/>
              </w:rPr>
            </w:pPr>
            <w:r w:rsidRPr="00F25E3B">
              <w:rPr>
                <w:rFonts w:ascii="Arial Narrow" w:hAnsi="Arial Narrow" w:cs="Calibri"/>
                <w:color w:val="000000"/>
                <w:sz w:val="20"/>
                <w:szCs w:val="20"/>
                <w:lang w:eastAsia="en-GB"/>
              </w:rPr>
              <w:t>1,200</w:t>
            </w:r>
          </w:p>
        </w:tc>
        <w:tc>
          <w:tcPr>
            <w:tcW w:w="1662" w:type="dxa"/>
            <w:noWrap/>
            <w:hideMark/>
          </w:tcPr>
          <w:p w14:paraId="3A40790B" w14:textId="77777777" w:rsidR="00FC676C" w:rsidRPr="00F25E3B" w:rsidRDefault="00FC676C">
            <w:pPr>
              <w:keepNext/>
              <w:jc w:val="center"/>
              <w:rPr>
                <w:rFonts w:ascii="Arial Narrow" w:hAnsi="Arial Narrow" w:cs="Calibri"/>
                <w:color w:val="000000"/>
                <w:sz w:val="20"/>
                <w:szCs w:val="20"/>
                <w:lang w:eastAsia="en-GB"/>
              </w:rPr>
            </w:pPr>
            <w:r w:rsidRPr="00F25E3B">
              <w:rPr>
                <w:rFonts w:ascii="Arial Narrow" w:hAnsi="Arial Narrow" w:cs="Calibri"/>
                <w:color w:val="000000"/>
                <w:sz w:val="20"/>
                <w:szCs w:val="20"/>
                <w:lang w:eastAsia="en-GB"/>
              </w:rPr>
              <w:t>100</w:t>
            </w:r>
          </w:p>
        </w:tc>
        <w:tc>
          <w:tcPr>
            <w:tcW w:w="1620" w:type="dxa"/>
            <w:vAlign w:val="center"/>
            <w:hideMark/>
          </w:tcPr>
          <w:p w14:paraId="56707D4D" w14:textId="77777777" w:rsidR="00FC676C" w:rsidRPr="00F25E3B" w:rsidRDefault="00FC676C">
            <w:pPr>
              <w:keepNext/>
              <w:jc w:val="center"/>
              <w:rPr>
                <w:rFonts w:ascii="Arial Narrow" w:hAnsi="Arial Narrow" w:cs="Calibri"/>
                <w:color w:val="000000"/>
                <w:sz w:val="20"/>
                <w:szCs w:val="20"/>
                <w:lang w:eastAsia="en-GB"/>
              </w:rPr>
            </w:pPr>
            <w:r w:rsidRPr="00F25E3B">
              <w:rPr>
                <w:rFonts w:ascii="Arial Narrow" w:hAnsi="Arial Narrow" w:cs="Calibri"/>
                <w:color w:val="000000"/>
                <w:sz w:val="20"/>
                <w:szCs w:val="20"/>
              </w:rPr>
              <w:t>100</w:t>
            </w:r>
          </w:p>
        </w:tc>
        <w:tc>
          <w:tcPr>
            <w:tcW w:w="1909" w:type="dxa"/>
            <w:vAlign w:val="center"/>
            <w:hideMark/>
          </w:tcPr>
          <w:p w14:paraId="3483D8CD" w14:textId="77777777" w:rsidR="00FC676C" w:rsidRPr="00F25E3B" w:rsidRDefault="00FC676C">
            <w:pPr>
              <w:keepNext/>
              <w:jc w:val="center"/>
              <w:rPr>
                <w:rFonts w:ascii="Arial Narrow" w:hAnsi="Arial Narrow" w:cs="Calibri"/>
                <w:color w:val="000000"/>
                <w:sz w:val="20"/>
                <w:szCs w:val="20"/>
                <w:lang w:eastAsia="en-GB"/>
              </w:rPr>
            </w:pPr>
            <w:r w:rsidRPr="00F25E3B">
              <w:rPr>
                <w:rFonts w:ascii="Arial Narrow" w:hAnsi="Arial Narrow" w:cs="Calibri"/>
                <w:color w:val="000000"/>
                <w:sz w:val="20"/>
                <w:szCs w:val="20"/>
              </w:rPr>
              <w:t>50</w:t>
            </w:r>
          </w:p>
        </w:tc>
      </w:tr>
      <w:tr w:rsidR="00FC676C" w:rsidRPr="00BD2844" w14:paraId="6506A80E" w14:textId="77777777">
        <w:trPr>
          <w:trHeight w:val="303"/>
        </w:trPr>
        <w:tc>
          <w:tcPr>
            <w:tcW w:w="2236" w:type="dxa"/>
            <w:noWrap/>
            <w:hideMark/>
          </w:tcPr>
          <w:p w14:paraId="2AB81AB2" w14:textId="77777777" w:rsidR="00FC676C" w:rsidRPr="00F25E3B" w:rsidRDefault="00FC676C">
            <w:pPr>
              <w:keepNext/>
              <w:jc w:val="left"/>
              <w:rPr>
                <w:rFonts w:ascii="Arial Narrow" w:hAnsi="Arial Narrow" w:cs="Calibri"/>
                <w:color w:val="000000"/>
                <w:sz w:val="20"/>
                <w:szCs w:val="20"/>
                <w:lang w:eastAsia="en-GB"/>
              </w:rPr>
            </w:pPr>
            <w:r w:rsidRPr="00F25E3B">
              <w:rPr>
                <w:rFonts w:ascii="Arial Narrow" w:hAnsi="Arial Narrow" w:cs="Calibri"/>
                <w:color w:val="000000"/>
                <w:sz w:val="20"/>
                <w:szCs w:val="20"/>
                <w:lang w:eastAsia="en-GB"/>
              </w:rPr>
              <w:t xml:space="preserve">AEMP per vial </w:t>
            </w:r>
          </w:p>
        </w:tc>
        <w:tc>
          <w:tcPr>
            <w:tcW w:w="1587" w:type="dxa"/>
            <w:noWrap/>
            <w:vAlign w:val="center"/>
            <w:hideMark/>
          </w:tcPr>
          <w:p w14:paraId="73E4DC1A" w14:textId="569F9DAD" w:rsidR="00FC676C" w:rsidRPr="00F25E3B" w:rsidRDefault="00FC676C">
            <w:pPr>
              <w:keepNext/>
              <w:keepLines/>
              <w:suppressLineNumbers/>
              <w:jc w:val="center"/>
              <w:textboxTightWrap w:val="allLines"/>
              <w:rPr>
                <w:rFonts w:ascii="Arial Narrow" w:hAnsi="Arial Narrow" w:cs="Calibri"/>
                <w:color w:val="000000"/>
                <w:sz w:val="20"/>
                <w:szCs w:val="20"/>
                <w:lang w:eastAsia="en-GB"/>
              </w:rPr>
            </w:pPr>
            <w:r w:rsidRPr="00F25E3B">
              <w:rPr>
                <w:rFonts w:ascii="Arial Narrow" w:hAnsi="Arial Narrow"/>
                <w:sz w:val="20"/>
                <w:szCs w:val="20"/>
                <w:lang w:eastAsia="en-GB"/>
              </w:rPr>
              <w:t>$</w:t>
            </w:r>
            <w:r w:rsidR="00787635" w:rsidRPr="00787635">
              <w:rPr>
                <w:rFonts w:ascii="Arial Narrow" w:hAnsi="Arial Narrow"/>
                <w:color w:val="000000"/>
                <w:spacing w:val="30"/>
                <w:sz w:val="20"/>
                <w:szCs w:val="20"/>
                <w:shd w:val="solid" w:color="000000" w:fill="000000"/>
                <w:fitText w:val="551" w:id="-623629312"/>
                <w:lang w:eastAsia="en-GB"/>
                <w14:textFill>
                  <w14:solidFill>
                    <w14:srgbClr w14:val="000000">
                      <w14:alpha w14:val="100000"/>
                    </w14:srgbClr>
                  </w14:solidFill>
                </w14:textFill>
              </w:rPr>
              <w:t>|||||||</w:t>
            </w:r>
            <w:r w:rsidR="00787635" w:rsidRPr="00787635">
              <w:rPr>
                <w:rFonts w:ascii="Arial Narrow" w:hAnsi="Arial Narrow"/>
                <w:color w:val="000000"/>
                <w:spacing w:val="1"/>
                <w:sz w:val="20"/>
                <w:szCs w:val="20"/>
                <w:shd w:val="solid" w:color="000000" w:fill="000000"/>
                <w:fitText w:val="551" w:id="-623629312"/>
                <w:lang w:eastAsia="en-GB"/>
                <w14:textFill>
                  <w14:solidFill>
                    <w14:srgbClr w14:val="000000">
                      <w14:alpha w14:val="100000"/>
                    </w14:srgbClr>
                  </w14:solidFill>
                </w14:textFill>
              </w:rPr>
              <w:t>|</w:t>
            </w:r>
            <w:r w:rsidR="00787635">
              <w:rPr>
                <w:rFonts w:ascii="Arial Narrow" w:hAnsi="Arial Narrow"/>
                <w:sz w:val="20"/>
                <w:szCs w:val="20"/>
                <w:lang w:eastAsia="en-GB"/>
              </w:rPr>
              <w:t xml:space="preserve"> </w:t>
            </w:r>
            <w:r w:rsidRPr="00F25E3B">
              <w:rPr>
                <w:rFonts w:ascii="Arial Narrow" w:hAnsi="Arial Narrow"/>
                <w:sz w:val="20"/>
                <w:szCs w:val="20"/>
                <w:vertAlign w:val="superscript"/>
                <w:lang w:eastAsia="en-GB"/>
              </w:rPr>
              <w:t>a</w:t>
            </w:r>
          </w:p>
        </w:tc>
        <w:tc>
          <w:tcPr>
            <w:tcW w:w="1662" w:type="dxa"/>
            <w:noWrap/>
            <w:hideMark/>
          </w:tcPr>
          <w:p w14:paraId="2DDCCF8D" w14:textId="77777777" w:rsidR="00FC676C" w:rsidRPr="00F25E3B" w:rsidRDefault="00FC676C">
            <w:pPr>
              <w:keepNext/>
              <w:jc w:val="center"/>
              <w:rPr>
                <w:rFonts w:ascii="Arial Narrow" w:hAnsi="Arial Narrow" w:cs="Calibri"/>
                <w:color w:val="000000"/>
                <w:sz w:val="20"/>
                <w:szCs w:val="20"/>
                <w:lang w:eastAsia="en-GB"/>
              </w:rPr>
            </w:pPr>
            <w:r w:rsidRPr="00F25E3B">
              <w:rPr>
                <w:rFonts w:ascii="Arial Narrow" w:hAnsi="Arial Narrow" w:cs="Calibri"/>
                <w:color w:val="000000"/>
                <w:sz w:val="20"/>
                <w:szCs w:val="20"/>
                <w:lang w:eastAsia="en-GB"/>
              </w:rPr>
              <w:t>$53.82</w:t>
            </w:r>
          </w:p>
        </w:tc>
        <w:tc>
          <w:tcPr>
            <w:tcW w:w="1620" w:type="dxa"/>
            <w:noWrap/>
            <w:vAlign w:val="center"/>
            <w:hideMark/>
          </w:tcPr>
          <w:p w14:paraId="0B1322AD" w14:textId="2D56A796" w:rsidR="00FC676C" w:rsidRPr="00F25E3B" w:rsidRDefault="00FC676C">
            <w:pPr>
              <w:keepNext/>
              <w:jc w:val="center"/>
              <w:rPr>
                <w:rFonts w:ascii="Arial Narrow" w:hAnsi="Arial Narrow" w:cs="Calibri"/>
                <w:color w:val="000000"/>
                <w:sz w:val="20"/>
                <w:szCs w:val="20"/>
                <w:lang w:eastAsia="en-GB"/>
              </w:rPr>
            </w:pPr>
            <w:r w:rsidRPr="00F25E3B">
              <w:rPr>
                <w:rFonts w:ascii="Arial Narrow" w:hAnsi="Arial Narrow" w:cs="Calibri"/>
                <w:color w:val="000000"/>
                <w:sz w:val="20"/>
                <w:szCs w:val="20"/>
              </w:rPr>
              <w:t>$</w:t>
            </w:r>
            <w:r w:rsidR="007E309C" w:rsidRPr="007E309C">
              <w:rPr>
                <w:rFonts w:ascii="Arial Narrow" w:hAnsi="Arial Narrow" w:cs="Calibri"/>
                <w:color w:val="000000"/>
                <w:spacing w:val="89"/>
                <w:sz w:val="20"/>
                <w:szCs w:val="20"/>
                <w:shd w:val="solid" w:color="000000" w:fill="000000"/>
                <w:fitText w:val="175" w:id="-623628543"/>
                <w14:textFill>
                  <w14:solidFill>
                    <w14:srgbClr w14:val="000000">
                      <w14:alpha w14:val="100000"/>
                    </w14:srgbClr>
                  </w14:solidFill>
                </w14:textFill>
              </w:rPr>
              <w:t>|</w:t>
            </w:r>
            <w:r w:rsidR="007E309C" w:rsidRPr="007E309C">
              <w:rPr>
                <w:rFonts w:ascii="Arial Narrow" w:hAnsi="Arial Narrow" w:cs="Calibri"/>
                <w:color w:val="000000"/>
                <w:sz w:val="20"/>
                <w:szCs w:val="20"/>
                <w:shd w:val="solid" w:color="000000" w:fill="000000"/>
                <w:fitText w:val="175" w:id="-623628543"/>
                <w14:textFill>
                  <w14:solidFill>
                    <w14:srgbClr w14:val="000000">
                      <w14:alpha w14:val="100000"/>
                    </w14:srgbClr>
                  </w14:solidFill>
                </w14:textFill>
              </w:rPr>
              <w:t>|</w:t>
            </w:r>
            <w:r w:rsidRPr="00F25E3B">
              <w:rPr>
                <w:rFonts w:ascii="Arial Narrow" w:hAnsi="Arial Narrow" w:cs="Calibri"/>
                <w:color w:val="000000"/>
                <w:sz w:val="20"/>
                <w:szCs w:val="20"/>
              </w:rPr>
              <w:t xml:space="preserve"> </w:t>
            </w:r>
            <w:r w:rsidRPr="00F25E3B">
              <w:rPr>
                <w:rFonts w:ascii="Arial Narrow" w:hAnsi="Arial Narrow" w:cs="Calibri"/>
                <w:color w:val="000000"/>
                <w:sz w:val="20"/>
                <w:szCs w:val="20"/>
                <w:vertAlign w:val="superscript"/>
              </w:rPr>
              <w:t>b</w:t>
            </w:r>
          </w:p>
        </w:tc>
        <w:tc>
          <w:tcPr>
            <w:tcW w:w="1909" w:type="dxa"/>
            <w:noWrap/>
            <w:vAlign w:val="center"/>
            <w:hideMark/>
          </w:tcPr>
          <w:p w14:paraId="78260124" w14:textId="638F7747" w:rsidR="00FC676C" w:rsidRPr="00F25E3B" w:rsidRDefault="00FC676C">
            <w:pPr>
              <w:keepNext/>
              <w:jc w:val="center"/>
              <w:rPr>
                <w:rFonts w:ascii="Arial Narrow" w:hAnsi="Arial Narrow" w:cs="Calibri"/>
                <w:i/>
                <w:iCs/>
                <w:color w:val="000000"/>
                <w:sz w:val="20"/>
                <w:szCs w:val="20"/>
                <w:lang w:eastAsia="en-GB"/>
              </w:rPr>
            </w:pPr>
            <w:r w:rsidRPr="00F25E3B">
              <w:rPr>
                <w:rFonts w:ascii="Arial Narrow" w:hAnsi="Arial Narrow" w:cs="Calibri"/>
                <w:color w:val="000000"/>
                <w:sz w:val="20"/>
                <w:szCs w:val="20"/>
              </w:rPr>
              <w:t>$</w:t>
            </w:r>
            <w:r w:rsidR="005951E8" w:rsidRPr="005951E8">
              <w:rPr>
                <w:rFonts w:ascii="Arial Narrow" w:hAnsi="Arial Narrow" w:cs="Calibri"/>
                <w:color w:val="000000"/>
                <w:spacing w:val="30"/>
                <w:sz w:val="20"/>
                <w:szCs w:val="20"/>
                <w:shd w:val="solid" w:color="000000" w:fill="000000"/>
                <w:fitText w:val="551" w:id="-623628031"/>
                <w14:textFill>
                  <w14:solidFill>
                    <w14:srgbClr w14:val="000000">
                      <w14:alpha w14:val="100000"/>
                    </w14:srgbClr>
                  </w14:solidFill>
                </w14:textFill>
              </w:rPr>
              <w:t>|||||||</w:t>
            </w:r>
            <w:r w:rsidR="005951E8" w:rsidRPr="005951E8">
              <w:rPr>
                <w:rFonts w:ascii="Arial Narrow" w:hAnsi="Arial Narrow" w:cs="Calibri"/>
                <w:color w:val="000000"/>
                <w:spacing w:val="1"/>
                <w:sz w:val="20"/>
                <w:szCs w:val="20"/>
                <w:shd w:val="solid" w:color="000000" w:fill="000000"/>
                <w:fitText w:val="551" w:id="-623628031"/>
                <w14:textFill>
                  <w14:solidFill>
                    <w14:srgbClr w14:val="000000">
                      <w14:alpha w14:val="100000"/>
                    </w14:srgbClr>
                  </w14:solidFill>
                </w14:textFill>
              </w:rPr>
              <w:t>|</w:t>
            </w:r>
          </w:p>
        </w:tc>
      </w:tr>
      <w:tr w:rsidR="00FC676C" w:rsidRPr="00BD2844" w14:paraId="58C60E32" w14:textId="77777777">
        <w:trPr>
          <w:trHeight w:val="318"/>
        </w:trPr>
        <w:tc>
          <w:tcPr>
            <w:tcW w:w="2236" w:type="dxa"/>
            <w:noWrap/>
            <w:hideMark/>
          </w:tcPr>
          <w:p w14:paraId="4B6A032B" w14:textId="77777777" w:rsidR="00FC676C" w:rsidRPr="00F25E3B" w:rsidRDefault="00FC676C">
            <w:pPr>
              <w:keepNext/>
              <w:jc w:val="left"/>
              <w:rPr>
                <w:rFonts w:ascii="Arial Narrow" w:hAnsi="Arial Narrow" w:cs="Calibri"/>
                <w:color w:val="000000"/>
                <w:sz w:val="20"/>
                <w:szCs w:val="20"/>
                <w:lang w:eastAsia="en-GB"/>
              </w:rPr>
            </w:pPr>
            <w:r w:rsidRPr="00F25E3B">
              <w:rPr>
                <w:rFonts w:ascii="Arial Narrow" w:hAnsi="Arial Narrow" w:cs="Calibri"/>
                <w:color w:val="000000"/>
                <w:sz w:val="20"/>
                <w:szCs w:val="20"/>
                <w:lang w:eastAsia="en-GB"/>
              </w:rPr>
              <w:t>AEMP per mg</w:t>
            </w:r>
          </w:p>
        </w:tc>
        <w:tc>
          <w:tcPr>
            <w:tcW w:w="1587" w:type="dxa"/>
            <w:noWrap/>
            <w:vAlign w:val="center"/>
            <w:hideMark/>
          </w:tcPr>
          <w:p w14:paraId="3D08598B" w14:textId="6E91716D" w:rsidR="00FC676C" w:rsidRPr="00F25E3B" w:rsidRDefault="00FC676C">
            <w:pPr>
              <w:keepNext/>
              <w:keepLines/>
              <w:suppressLineNumbers/>
              <w:jc w:val="center"/>
              <w:textboxTightWrap w:val="allLines"/>
              <w:rPr>
                <w:rFonts w:ascii="Arial Narrow" w:hAnsi="Arial Narrow" w:cs="Calibri"/>
                <w:color w:val="000000"/>
                <w:sz w:val="20"/>
                <w:szCs w:val="20"/>
                <w:lang w:eastAsia="en-GB"/>
              </w:rPr>
            </w:pPr>
            <w:r w:rsidRPr="00F25E3B">
              <w:rPr>
                <w:rFonts w:ascii="Arial Narrow" w:hAnsi="Arial Narrow" w:cs="Calibri"/>
                <w:color w:val="000000"/>
                <w:sz w:val="20"/>
                <w:szCs w:val="20"/>
              </w:rPr>
              <w:t>$</w:t>
            </w:r>
            <w:r w:rsidR="007E309C" w:rsidRPr="007E309C">
              <w:rPr>
                <w:rFonts w:ascii="Arial Narrow" w:hAnsi="Arial Narrow" w:cs="Calibri"/>
                <w:color w:val="000000"/>
                <w:spacing w:val="48"/>
                <w:sz w:val="20"/>
                <w:szCs w:val="20"/>
                <w:shd w:val="solid" w:color="000000" w:fill="000000"/>
                <w:fitText w:val="225" w:id="-623628544"/>
                <w14:textFill>
                  <w14:solidFill>
                    <w14:srgbClr w14:val="000000">
                      <w14:alpha w14:val="100000"/>
                    </w14:srgbClr>
                  </w14:solidFill>
                </w14:textFill>
              </w:rPr>
              <w:t>||</w:t>
            </w:r>
            <w:r w:rsidR="007E309C" w:rsidRPr="007E309C">
              <w:rPr>
                <w:rFonts w:ascii="Arial Narrow" w:hAnsi="Arial Narrow" w:cs="Calibri"/>
                <w:color w:val="000000"/>
                <w:spacing w:val="2"/>
                <w:sz w:val="20"/>
                <w:szCs w:val="20"/>
                <w:shd w:val="solid" w:color="000000" w:fill="000000"/>
                <w:fitText w:val="225" w:id="-623628544"/>
                <w14:textFill>
                  <w14:solidFill>
                    <w14:srgbClr w14:val="000000">
                      <w14:alpha w14:val="100000"/>
                    </w14:srgbClr>
                  </w14:solidFill>
                </w14:textFill>
              </w:rPr>
              <w:t>|</w:t>
            </w:r>
          </w:p>
        </w:tc>
        <w:tc>
          <w:tcPr>
            <w:tcW w:w="1662" w:type="dxa"/>
            <w:noWrap/>
            <w:vAlign w:val="center"/>
            <w:hideMark/>
          </w:tcPr>
          <w:p w14:paraId="046009EF" w14:textId="77777777" w:rsidR="00FC676C" w:rsidRPr="00F25E3B" w:rsidRDefault="00FC676C">
            <w:pPr>
              <w:keepNext/>
              <w:jc w:val="center"/>
              <w:rPr>
                <w:rFonts w:ascii="Arial Narrow" w:hAnsi="Arial Narrow" w:cs="Calibri"/>
                <w:color w:val="000000"/>
                <w:sz w:val="20"/>
                <w:szCs w:val="20"/>
                <w:lang w:eastAsia="en-GB"/>
              </w:rPr>
            </w:pPr>
            <w:r w:rsidRPr="00F25E3B">
              <w:rPr>
                <w:rFonts w:ascii="Arial Narrow" w:hAnsi="Arial Narrow" w:cs="Calibri"/>
                <w:color w:val="000000"/>
                <w:sz w:val="20"/>
                <w:szCs w:val="20"/>
              </w:rPr>
              <w:t>$0.54</w:t>
            </w:r>
          </w:p>
        </w:tc>
        <w:tc>
          <w:tcPr>
            <w:tcW w:w="1620" w:type="dxa"/>
            <w:noWrap/>
            <w:vAlign w:val="center"/>
            <w:hideMark/>
          </w:tcPr>
          <w:p w14:paraId="7369C088" w14:textId="758B5A84" w:rsidR="00FC676C" w:rsidRPr="00F25E3B" w:rsidRDefault="00FC676C">
            <w:pPr>
              <w:keepNext/>
              <w:jc w:val="center"/>
              <w:rPr>
                <w:rFonts w:ascii="Arial Narrow" w:hAnsi="Arial Narrow" w:cs="Calibri"/>
                <w:color w:val="000000"/>
                <w:sz w:val="20"/>
                <w:szCs w:val="20"/>
                <w:lang w:eastAsia="en-GB"/>
              </w:rPr>
            </w:pPr>
            <w:r w:rsidRPr="00F25E3B">
              <w:rPr>
                <w:rFonts w:ascii="Arial Narrow" w:hAnsi="Arial Narrow" w:cs="Calibri"/>
                <w:color w:val="000000"/>
                <w:sz w:val="20"/>
                <w:szCs w:val="20"/>
              </w:rPr>
              <w:t>$</w:t>
            </w:r>
            <w:r w:rsidR="00904524" w:rsidRPr="00904524">
              <w:rPr>
                <w:rFonts w:ascii="Arial Narrow" w:hAnsi="Arial Narrow" w:cs="Calibri"/>
                <w:color w:val="000000"/>
                <w:spacing w:val="48"/>
                <w:sz w:val="20"/>
                <w:szCs w:val="20"/>
                <w:shd w:val="solid" w:color="000000" w:fill="000000"/>
                <w:fitText w:val="225" w:id="-623628032"/>
                <w14:textFill>
                  <w14:solidFill>
                    <w14:srgbClr w14:val="000000">
                      <w14:alpha w14:val="100000"/>
                    </w14:srgbClr>
                  </w14:solidFill>
                </w14:textFill>
              </w:rPr>
              <w:t>||</w:t>
            </w:r>
            <w:r w:rsidR="00904524" w:rsidRPr="00904524">
              <w:rPr>
                <w:rFonts w:ascii="Arial Narrow" w:hAnsi="Arial Narrow" w:cs="Calibri"/>
                <w:color w:val="000000"/>
                <w:spacing w:val="2"/>
                <w:sz w:val="20"/>
                <w:szCs w:val="20"/>
                <w:shd w:val="solid" w:color="000000" w:fill="000000"/>
                <w:fitText w:val="225" w:id="-623628032"/>
                <w14:textFill>
                  <w14:solidFill>
                    <w14:srgbClr w14:val="000000">
                      <w14:alpha w14:val="100000"/>
                    </w14:srgbClr>
                  </w14:solidFill>
                </w14:textFill>
              </w:rPr>
              <w:t>|</w:t>
            </w:r>
          </w:p>
        </w:tc>
        <w:tc>
          <w:tcPr>
            <w:tcW w:w="1909" w:type="dxa"/>
            <w:noWrap/>
            <w:vAlign w:val="center"/>
            <w:hideMark/>
          </w:tcPr>
          <w:p w14:paraId="3B0C0FC7" w14:textId="7F8A1ACD" w:rsidR="00FC676C" w:rsidRPr="00F25E3B" w:rsidRDefault="00FC676C">
            <w:pPr>
              <w:keepNext/>
              <w:jc w:val="center"/>
              <w:rPr>
                <w:rFonts w:ascii="Arial Narrow" w:hAnsi="Arial Narrow" w:cs="Calibri"/>
                <w:i/>
                <w:iCs/>
                <w:color w:val="000000"/>
                <w:sz w:val="20"/>
                <w:szCs w:val="20"/>
                <w:lang w:eastAsia="en-GB"/>
              </w:rPr>
            </w:pPr>
            <w:r w:rsidRPr="00F25E3B">
              <w:rPr>
                <w:rFonts w:ascii="Arial Narrow" w:hAnsi="Arial Narrow" w:cs="Calibri"/>
                <w:color w:val="000000"/>
                <w:sz w:val="20"/>
                <w:szCs w:val="20"/>
              </w:rPr>
              <w:t>$</w:t>
            </w:r>
            <w:r w:rsidR="005951E8" w:rsidRPr="005951E8">
              <w:rPr>
                <w:rFonts w:ascii="Arial Narrow" w:hAnsi="Arial Narrow" w:cs="Calibri"/>
                <w:color w:val="000000"/>
                <w:spacing w:val="51"/>
                <w:sz w:val="20"/>
                <w:szCs w:val="20"/>
                <w:shd w:val="solid" w:color="000000" w:fill="000000"/>
                <w:fitText w:val="325" w:id="-623628030"/>
                <w14:textFill>
                  <w14:solidFill>
                    <w14:srgbClr w14:val="000000">
                      <w14:alpha w14:val="100000"/>
                    </w14:srgbClr>
                  </w14:solidFill>
                </w14:textFill>
              </w:rPr>
              <w:t>|||</w:t>
            </w:r>
            <w:r w:rsidR="005951E8" w:rsidRPr="005951E8">
              <w:rPr>
                <w:rFonts w:ascii="Arial Narrow" w:hAnsi="Arial Narrow" w:cs="Calibri"/>
                <w:color w:val="000000"/>
                <w:spacing w:val="2"/>
                <w:sz w:val="20"/>
                <w:szCs w:val="20"/>
                <w:shd w:val="solid" w:color="000000" w:fill="000000"/>
                <w:fitText w:val="325" w:id="-623628030"/>
                <w14:textFill>
                  <w14:solidFill>
                    <w14:srgbClr w14:val="000000">
                      <w14:alpha w14:val="100000"/>
                    </w14:srgbClr>
                  </w14:solidFill>
                </w14:textFill>
              </w:rPr>
              <w:t>|</w:t>
            </w:r>
          </w:p>
        </w:tc>
      </w:tr>
      <w:tr w:rsidR="00FC676C" w:rsidRPr="00BD2844" w14:paraId="6CD00FA8" w14:textId="77777777">
        <w:trPr>
          <w:trHeight w:val="318"/>
        </w:trPr>
        <w:tc>
          <w:tcPr>
            <w:tcW w:w="2236" w:type="dxa"/>
            <w:noWrap/>
            <w:vAlign w:val="center"/>
          </w:tcPr>
          <w:p w14:paraId="411B8A40" w14:textId="77777777" w:rsidR="00FC676C" w:rsidRPr="00F25E3B" w:rsidRDefault="00FC676C">
            <w:pPr>
              <w:keepNext/>
              <w:jc w:val="left"/>
              <w:rPr>
                <w:rFonts w:ascii="Arial Narrow" w:hAnsi="Arial Narrow" w:cs="Calibri"/>
                <w:color w:val="000000"/>
                <w:sz w:val="20"/>
                <w:szCs w:val="20"/>
                <w:lang w:eastAsia="en-GB"/>
              </w:rPr>
            </w:pPr>
            <w:r w:rsidRPr="00F25E3B">
              <w:rPr>
                <w:rFonts w:ascii="Arial Narrow" w:hAnsi="Arial Narrow" w:cs="Calibri"/>
                <w:color w:val="000000"/>
                <w:sz w:val="20"/>
                <w:szCs w:val="20"/>
              </w:rPr>
              <w:t>DOT (doses)</w:t>
            </w:r>
          </w:p>
        </w:tc>
        <w:tc>
          <w:tcPr>
            <w:tcW w:w="1587" w:type="dxa"/>
            <w:noWrap/>
            <w:vAlign w:val="center"/>
          </w:tcPr>
          <w:p w14:paraId="58939D47" w14:textId="77777777" w:rsidR="00FC676C" w:rsidRPr="00F25E3B" w:rsidRDefault="00FC676C">
            <w:pPr>
              <w:keepNext/>
              <w:keepLines/>
              <w:suppressLineNumbers/>
              <w:jc w:val="center"/>
              <w:textboxTightWrap w:val="allLines"/>
              <w:rPr>
                <w:rFonts w:ascii="Arial Narrow" w:hAnsi="Arial Narrow" w:cs="Calibri"/>
                <w:color w:val="000000"/>
                <w:sz w:val="20"/>
                <w:szCs w:val="20"/>
              </w:rPr>
            </w:pPr>
            <w:r w:rsidRPr="00F25E3B">
              <w:rPr>
                <w:rFonts w:ascii="Arial Narrow" w:hAnsi="Arial Narrow" w:cs="Calibri"/>
                <w:color w:val="000000"/>
                <w:sz w:val="20"/>
                <w:szCs w:val="20"/>
              </w:rPr>
              <w:t>12.2</w:t>
            </w:r>
          </w:p>
        </w:tc>
        <w:tc>
          <w:tcPr>
            <w:tcW w:w="1662" w:type="dxa"/>
            <w:noWrap/>
            <w:vAlign w:val="center"/>
          </w:tcPr>
          <w:p w14:paraId="32059971" w14:textId="77777777" w:rsidR="00FC676C" w:rsidRPr="00F25E3B" w:rsidRDefault="00FC676C">
            <w:pPr>
              <w:keepNext/>
              <w:jc w:val="center"/>
              <w:rPr>
                <w:rFonts w:ascii="Arial Narrow" w:hAnsi="Arial Narrow" w:cs="Calibri"/>
                <w:color w:val="000000"/>
                <w:sz w:val="20"/>
                <w:szCs w:val="20"/>
              </w:rPr>
            </w:pPr>
            <w:r w:rsidRPr="00F25E3B">
              <w:rPr>
                <w:rFonts w:ascii="Arial Narrow" w:hAnsi="Arial Narrow" w:cs="Calibri"/>
                <w:color w:val="000000"/>
                <w:sz w:val="20"/>
                <w:szCs w:val="20"/>
              </w:rPr>
              <w:t>10.1</w:t>
            </w:r>
          </w:p>
        </w:tc>
        <w:tc>
          <w:tcPr>
            <w:tcW w:w="1620" w:type="dxa"/>
            <w:noWrap/>
            <w:vAlign w:val="center"/>
          </w:tcPr>
          <w:p w14:paraId="1BDC4611" w14:textId="77777777" w:rsidR="00FC676C" w:rsidRPr="00F25E3B" w:rsidRDefault="00FC676C">
            <w:pPr>
              <w:keepNext/>
              <w:jc w:val="center"/>
              <w:rPr>
                <w:rFonts w:ascii="Arial Narrow" w:hAnsi="Arial Narrow" w:cs="Calibri"/>
                <w:color w:val="000000"/>
                <w:sz w:val="20"/>
                <w:szCs w:val="20"/>
              </w:rPr>
            </w:pPr>
            <w:r w:rsidRPr="00F25E3B">
              <w:rPr>
                <w:rFonts w:ascii="Arial Narrow" w:hAnsi="Arial Narrow" w:cs="Calibri"/>
                <w:color w:val="000000"/>
                <w:sz w:val="20"/>
                <w:szCs w:val="20"/>
              </w:rPr>
              <w:t>6.8</w:t>
            </w:r>
          </w:p>
        </w:tc>
        <w:tc>
          <w:tcPr>
            <w:tcW w:w="1909" w:type="dxa"/>
            <w:noWrap/>
            <w:vAlign w:val="center"/>
          </w:tcPr>
          <w:p w14:paraId="6C78AEA0" w14:textId="77777777" w:rsidR="00FC676C" w:rsidRPr="00F25E3B" w:rsidRDefault="00FC676C">
            <w:pPr>
              <w:keepNext/>
              <w:jc w:val="center"/>
              <w:rPr>
                <w:rFonts w:ascii="Arial Narrow" w:hAnsi="Arial Narrow" w:cs="Calibri"/>
                <w:color w:val="000000"/>
                <w:sz w:val="20"/>
                <w:szCs w:val="20"/>
              </w:rPr>
            </w:pPr>
            <w:r w:rsidRPr="00F25E3B">
              <w:rPr>
                <w:rFonts w:ascii="Arial Narrow" w:hAnsi="Arial Narrow" w:cs="Calibri"/>
                <w:color w:val="000000"/>
                <w:sz w:val="20"/>
                <w:szCs w:val="20"/>
              </w:rPr>
              <w:t>4.0</w:t>
            </w:r>
          </w:p>
        </w:tc>
      </w:tr>
      <w:tr w:rsidR="00FC676C" w:rsidRPr="00BD2844" w14:paraId="2EBFD762" w14:textId="77777777">
        <w:trPr>
          <w:trHeight w:val="318"/>
        </w:trPr>
        <w:tc>
          <w:tcPr>
            <w:tcW w:w="2236" w:type="dxa"/>
            <w:noWrap/>
          </w:tcPr>
          <w:p w14:paraId="04F590A7" w14:textId="77777777" w:rsidR="00FC676C" w:rsidRPr="00F25E3B" w:rsidRDefault="00FC676C">
            <w:pPr>
              <w:keepNext/>
              <w:jc w:val="left"/>
              <w:rPr>
                <w:rFonts w:ascii="Arial Narrow" w:hAnsi="Arial Narrow" w:cs="Calibri"/>
                <w:color w:val="000000"/>
                <w:sz w:val="20"/>
                <w:szCs w:val="20"/>
                <w:lang w:eastAsia="en-GB"/>
              </w:rPr>
            </w:pPr>
            <w:r w:rsidRPr="00F25E3B">
              <w:rPr>
                <w:rFonts w:ascii="Arial Narrow" w:hAnsi="Arial Narrow" w:cs="Calibri"/>
                <w:color w:val="000000"/>
                <w:sz w:val="20"/>
                <w:szCs w:val="20"/>
                <w:lang w:eastAsia="en-GB"/>
              </w:rPr>
              <w:t>Cumulative mg per treatment course</w:t>
            </w:r>
          </w:p>
        </w:tc>
        <w:tc>
          <w:tcPr>
            <w:tcW w:w="1587" w:type="dxa"/>
            <w:noWrap/>
            <w:vAlign w:val="center"/>
          </w:tcPr>
          <w:p w14:paraId="5BBB0A71" w14:textId="77777777" w:rsidR="00FC676C" w:rsidRPr="00F25E3B" w:rsidRDefault="00FC676C">
            <w:pPr>
              <w:keepNext/>
              <w:jc w:val="center"/>
              <w:rPr>
                <w:rFonts w:ascii="Arial Narrow" w:hAnsi="Arial Narrow" w:cs="Calibri"/>
                <w:color w:val="000000"/>
                <w:sz w:val="20"/>
                <w:szCs w:val="20"/>
                <w:lang w:eastAsia="en-GB"/>
              </w:rPr>
            </w:pPr>
            <w:r w:rsidRPr="00F25E3B">
              <w:rPr>
                <w:rFonts w:ascii="Arial Narrow" w:hAnsi="Arial Narrow" w:cs="Calibri"/>
                <w:color w:val="000000"/>
                <w:sz w:val="20"/>
                <w:szCs w:val="20"/>
              </w:rPr>
              <w:t>14,610</w:t>
            </w:r>
          </w:p>
        </w:tc>
        <w:tc>
          <w:tcPr>
            <w:tcW w:w="1662" w:type="dxa"/>
            <w:noWrap/>
            <w:vAlign w:val="center"/>
          </w:tcPr>
          <w:p w14:paraId="318C7E99" w14:textId="77777777" w:rsidR="00FC676C" w:rsidRPr="00F25E3B" w:rsidRDefault="00FC676C">
            <w:pPr>
              <w:keepNext/>
              <w:jc w:val="center"/>
              <w:rPr>
                <w:rFonts w:ascii="Arial Narrow" w:hAnsi="Arial Narrow" w:cs="Calibri"/>
                <w:color w:val="000000"/>
                <w:sz w:val="20"/>
                <w:szCs w:val="20"/>
                <w:lang w:eastAsia="en-GB"/>
              </w:rPr>
            </w:pPr>
            <w:r w:rsidRPr="00F25E3B">
              <w:rPr>
                <w:rFonts w:ascii="Arial Narrow" w:hAnsi="Arial Narrow" w:cs="Calibri"/>
                <w:color w:val="000000"/>
                <w:sz w:val="20"/>
                <w:szCs w:val="20"/>
              </w:rPr>
              <w:t>11,174</w:t>
            </w:r>
          </w:p>
        </w:tc>
        <w:tc>
          <w:tcPr>
            <w:tcW w:w="1620" w:type="dxa"/>
            <w:noWrap/>
            <w:vAlign w:val="center"/>
          </w:tcPr>
          <w:p w14:paraId="75E17C7C" w14:textId="77777777" w:rsidR="00FC676C" w:rsidRPr="00F25E3B" w:rsidRDefault="00FC676C">
            <w:pPr>
              <w:keepNext/>
              <w:jc w:val="center"/>
              <w:rPr>
                <w:rFonts w:ascii="Arial Narrow" w:hAnsi="Arial Narrow" w:cs="Calibri"/>
                <w:color w:val="000000"/>
                <w:sz w:val="20"/>
                <w:szCs w:val="20"/>
                <w:lang w:eastAsia="en-GB"/>
              </w:rPr>
            </w:pPr>
            <w:r w:rsidRPr="00F25E3B">
              <w:rPr>
                <w:rFonts w:ascii="Arial Narrow" w:hAnsi="Arial Narrow" w:cs="Calibri"/>
                <w:color w:val="000000"/>
                <w:sz w:val="20"/>
                <w:szCs w:val="20"/>
              </w:rPr>
              <w:t>1,656</w:t>
            </w:r>
          </w:p>
        </w:tc>
        <w:tc>
          <w:tcPr>
            <w:tcW w:w="1909" w:type="dxa"/>
            <w:noWrap/>
            <w:vAlign w:val="center"/>
          </w:tcPr>
          <w:p w14:paraId="66719722" w14:textId="77777777" w:rsidR="00FC676C" w:rsidRPr="00F25E3B" w:rsidRDefault="00FC676C">
            <w:pPr>
              <w:keepNext/>
              <w:jc w:val="center"/>
              <w:rPr>
                <w:rFonts w:ascii="Arial Narrow" w:hAnsi="Arial Narrow" w:cs="Calibri"/>
                <w:color w:val="000000"/>
                <w:sz w:val="20"/>
                <w:szCs w:val="20"/>
                <w:lang w:eastAsia="en-GB"/>
              </w:rPr>
            </w:pPr>
            <w:r w:rsidRPr="00F25E3B">
              <w:rPr>
                <w:rFonts w:ascii="Arial Narrow" w:hAnsi="Arial Narrow" w:cs="Calibri"/>
                <w:color w:val="000000"/>
                <w:sz w:val="20"/>
                <w:szCs w:val="20"/>
              </w:rPr>
              <w:t>881</w:t>
            </w:r>
          </w:p>
        </w:tc>
      </w:tr>
      <w:tr w:rsidR="00FC676C" w:rsidRPr="00BD2844" w14:paraId="1CC0F70A" w14:textId="77777777">
        <w:trPr>
          <w:trHeight w:val="318"/>
        </w:trPr>
        <w:tc>
          <w:tcPr>
            <w:tcW w:w="2236" w:type="dxa"/>
            <w:noWrap/>
            <w:hideMark/>
          </w:tcPr>
          <w:p w14:paraId="10B690E3" w14:textId="77777777" w:rsidR="00FC676C" w:rsidRPr="00F25E3B" w:rsidRDefault="00FC676C">
            <w:pPr>
              <w:keepNext/>
              <w:jc w:val="left"/>
              <w:rPr>
                <w:rFonts w:ascii="Arial Narrow" w:hAnsi="Arial Narrow" w:cs="Calibri"/>
                <w:color w:val="000000"/>
                <w:sz w:val="20"/>
                <w:szCs w:val="20"/>
                <w:lang w:eastAsia="en-GB"/>
              </w:rPr>
            </w:pPr>
            <w:r w:rsidRPr="00F25E3B">
              <w:rPr>
                <w:rFonts w:ascii="Arial Narrow" w:hAnsi="Arial Narrow" w:cs="Calibri"/>
                <w:color w:val="000000"/>
                <w:sz w:val="20"/>
                <w:szCs w:val="20"/>
                <w:lang w:eastAsia="en-GB"/>
              </w:rPr>
              <w:t>Total treatment costs per patient per course by drug</w:t>
            </w:r>
          </w:p>
        </w:tc>
        <w:tc>
          <w:tcPr>
            <w:tcW w:w="1587" w:type="dxa"/>
            <w:noWrap/>
            <w:vAlign w:val="center"/>
            <w:hideMark/>
          </w:tcPr>
          <w:p w14:paraId="46E1167A" w14:textId="09F1712C" w:rsidR="00FC676C" w:rsidRPr="00F25E3B" w:rsidRDefault="00FC676C">
            <w:pPr>
              <w:keepNext/>
              <w:keepLines/>
              <w:suppressLineNumbers/>
              <w:jc w:val="center"/>
              <w:textboxTightWrap w:val="allLines"/>
              <w:rPr>
                <w:rFonts w:ascii="Arial Narrow" w:hAnsi="Arial Narrow" w:cs="Calibri"/>
                <w:color w:val="000000"/>
                <w:sz w:val="20"/>
                <w:szCs w:val="20"/>
                <w:lang w:eastAsia="en-GB"/>
              </w:rPr>
            </w:pPr>
            <w:r w:rsidRPr="00F25E3B">
              <w:rPr>
                <w:rFonts w:ascii="Arial Narrow" w:hAnsi="Arial Narrow" w:cs="Calibri"/>
                <w:color w:val="000000"/>
                <w:sz w:val="20"/>
                <w:szCs w:val="20"/>
              </w:rPr>
              <w:t>$</w:t>
            </w:r>
            <w:r w:rsidR="005951E8" w:rsidRPr="005951E8">
              <w:rPr>
                <w:rFonts w:ascii="Arial Narrow" w:hAnsi="Arial Narrow" w:cs="Calibri"/>
                <w:color w:val="000000"/>
                <w:spacing w:val="42"/>
                <w:sz w:val="20"/>
                <w:szCs w:val="20"/>
                <w:shd w:val="solid" w:color="000000" w:fill="000000"/>
                <w:fitText w:val="639" w:id="-623628029"/>
                <w14:textFill>
                  <w14:solidFill>
                    <w14:srgbClr w14:val="000000">
                      <w14:alpha w14:val="100000"/>
                    </w14:srgbClr>
                  </w14:solidFill>
                </w14:textFill>
              </w:rPr>
              <w:t>|||||||</w:t>
            </w:r>
            <w:r w:rsidR="005951E8" w:rsidRPr="005951E8">
              <w:rPr>
                <w:rFonts w:ascii="Arial Narrow" w:hAnsi="Arial Narrow" w:cs="Calibri"/>
                <w:color w:val="000000"/>
                <w:spacing w:val="5"/>
                <w:sz w:val="20"/>
                <w:szCs w:val="20"/>
                <w:shd w:val="solid" w:color="000000" w:fill="000000"/>
                <w:fitText w:val="639" w:id="-623628029"/>
                <w14:textFill>
                  <w14:solidFill>
                    <w14:srgbClr w14:val="000000">
                      <w14:alpha w14:val="100000"/>
                    </w14:srgbClr>
                  </w14:solidFill>
                </w14:textFill>
              </w:rPr>
              <w:t>|</w:t>
            </w:r>
          </w:p>
        </w:tc>
        <w:tc>
          <w:tcPr>
            <w:tcW w:w="1662" w:type="dxa"/>
            <w:noWrap/>
            <w:vAlign w:val="center"/>
            <w:hideMark/>
          </w:tcPr>
          <w:p w14:paraId="44282122" w14:textId="77777777" w:rsidR="00FC676C" w:rsidRPr="00F25E3B" w:rsidRDefault="00FC676C">
            <w:pPr>
              <w:keepNext/>
              <w:keepLines/>
              <w:suppressLineNumbers/>
              <w:jc w:val="center"/>
              <w:textboxTightWrap w:val="allLines"/>
              <w:rPr>
                <w:rFonts w:ascii="Arial Narrow" w:hAnsi="Arial Narrow" w:cs="Calibri"/>
                <w:color w:val="000000"/>
                <w:sz w:val="20"/>
                <w:szCs w:val="20"/>
                <w:lang w:eastAsia="en-GB"/>
              </w:rPr>
            </w:pPr>
            <w:r w:rsidRPr="00F25E3B">
              <w:rPr>
                <w:rFonts w:ascii="Arial Narrow" w:hAnsi="Arial Narrow" w:cs="Calibri"/>
                <w:color w:val="000000"/>
                <w:sz w:val="20"/>
                <w:szCs w:val="20"/>
              </w:rPr>
              <w:t>$6,013.63</w:t>
            </w:r>
          </w:p>
        </w:tc>
        <w:tc>
          <w:tcPr>
            <w:tcW w:w="1620" w:type="dxa"/>
            <w:noWrap/>
            <w:vAlign w:val="center"/>
            <w:hideMark/>
          </w:tcPr>
          <w:p w14:paraId="528BF4E2" w14:textId="29C6A9DE" w:rsidR="00FC676C" w:rsidRPr="00F25E3B" w:rsidRDefault="00FC676C">
            <w:pPr>
              <w:keepNext/>
              <w:keepLines/>
              <w:suppressLineNumbers/>
              <w:jc w:val="center"/>
              <w:textboxTightWrap w:val="allLines"/>
              <w:rPr>
                <w:rFonts w:ascii="Arial Narrow" w:hAnsi="Arial Narrow" w:cs="Calibri"/>
                <w:color w:val="000000"/>
                <w:sz w:val="20"/>
                <w:szCs w:val="20"/>
                <w:lang w:eastAsia="en-GB"/>
              </w:rPr>
            </w:pPr>
            <w:r w:rsidRPr="00F25E3B">
              <w:rPr>
                <w:rFonts w:ascii="Arial Narrow" w:hAnsi="Arial Narrow" w:cs="Calibri"/>
                <w:color w:val="000000"/>
                <w:sz w:val="20"/>
                <w:szCs w:val="20"/>
              </w:rPr>
              <w:t>$</w:t>
            </w:r>
            <w:r w:rsidR="005A2C66" w:rsidRPr="005A2C66">
              <w:rPr>
                <w:rFonts w:ascii="Arial Narrow" w:hAnsi="Arial Narrow" w:cs="Calibri"/>
                <w:color w:val="000000"/>
                <w:spacing w:val="42"/>
                <w:sz w:val="20"/>
                <w:szCs w:val="20"/>
                <w:shd w:val="solid" w:color="000000" w:fill="000000"/>
                <w:fitText w:val="639" w:id="-623628027"/>
                <w14:textFill>
                  <w14:solidFill>
                    <w14:srgbClr w14:val="000000">
                      <w14:alpha w14:val="100000"/>
                    </w14:srgbClr>
                  </w14:solidFill>
                </w14:textFill>
              </w:rPr>
              <w:t>|||||||</w:t>
            </w:r>
            <w:r w:rsidR="005A2C66" w:rsidRPr="005A2C66">
              <w:rPr>
                <w:rFonts w:ascii="Arial Narrow" w:hAnsi="Arial Narrow" w:cs="Calibri"/>
                <w:color w:val="000000"/>
                <w:spacing w:val="5"/>
                <w:sz w:val="20"/>
                <w:szCs w:val="20"/>
                <w:shd w:val="solid" w:color="000000" w:fill="000000"/>
                <w:fitText w:val="639" w:id="-623628027"/>
                <w14:textFill>
                  <w14:solidFill>
                    <w14:srgbClr w14:val="000000">
                      <w14:alpha w14:val="100000"/>
                    </w14:srgbClr>
                  </w14:solidFill>
                </w14:textFill>
              </w:rPr>
              <w:t>|</w:t>
            </w:r>
          </w:p>
        </w:tc>
        <w:tc>
          <w:tcPr>
            <w:tcW w:w="1909" w:type="dxa"/>
            <w:noWrap/>
            <w:vAlign w:val="center"/>
            <w:hideMark/>
          </w:tcPr>
          <w:p w14:paraId="5E3E72A4" w14:textId="2E26CD58" w:rsidR="00FC676C" w:rsidRPr="00F25E3B" w:rsidRDefault="00FC676C">
            <w:pPr>
              <w:keepNext/>
              <w:keepLines/>
              <w:suppressLineNumbers/>
              <w:jc w:val="center"/>
              <w:textboxTightWrap w:val="allLines"/>
              <w:rPr>
                <w:rFonts w:ascii="Arial Narrow" w:hAnsi="Arial Narrow" w:cs="Calibri"/>
                <w:color w:val="000000"/>
                <w:sz w:val="20"/>
                <w:szCs w:val="20"/>
                <w:lang w:eastAsia="en-GB"/>
              </w:rPr>
            </w:pPr>
            <w:r w:rsidRPr="00F25E3B">
              <w:rPr>
                <w:rFonts w:ascii="Arial Narrow" w:hAnsi="Arial Narrow" w:cs="Calibri"/>
                <w:color w:val="000000"/>
                <w:sz w:val="20"/>
                <w:szCs w:val="20"/>
              </w:rPr>
              <w:t>$</w:t>
            </w:r>
            <w:r w:rsidR="005A2C66" w:rsidRPr="005A2C66">
              <w:rPr>
                <w:rFonts w:ascii="Arial Narrow" w:hAnsi="Arial Narrow" w:cs="Calibri"/>
                <w:color w:val="000000"/>
                <w:spacing w:val="42"/>
                <w:sz w:val="20"/>
                <w:szCs w:val="20"/>
                <w:shd w:val="solid" w:color="000000" w:fill="000000"/>
                <w:fitText w:val="638" w:id="-623628026"/>
                <w14:textFill>
                  <w14:solidFill>
                    <w14:srgbClr w14:val="000000">
                      <w14:alpha w14:val="100000"/>
                    </w14:srgbClr>
                  </w14:solidFill>
                </w14:textFill>
              </w:rPr>
              <w:t>|||||||</w:t>
            </w:r>
            <w:r w:rsidR="005A2C66" w:rsidRPr="005A2C66">
              <w:rPr>
                <w:rFonts w:ascii="Arial Narrow" w:hAnsi="Arial Narrow" w:cs="Calibri"/>
                <w:color w:val="000000"/>
                <w:spacing w:val="4"/>
                <w:sz w:val="20"/>
                <w:szCs w:val="20"/>
                <w:shd w:val="solid" w:color="000000" w:fill="000000"/>
                <w:fitText w:val="638" w:id="-623628026"/>
                <w14:textFill>
                  <w14:solidFill>
                    <w14:srgbClr w14:val="000000">
                      <w14:alpha w14:val="100000"/>
                    </w14:srgbClr>
                  </w14:solidFill>
                </w14:textFill>
              </w:rPr>
              <w:t>|</w:t>
            </w:r>
          </w:p>
        </w:tc>
      </w:tr>
      <w:tr w:rsidR="00FC676C" w:rsidRPr="00BD2844" w14:paraId="48733FC5" w14:textId="77777777">
        <w:trPr>
          <w:trHeight w:val="303"/>
        </w:trPr>
        <w:tc>
          <w:tcPr>
            <w:tcW w:w="2236" w:type="dxa"/>
            <w:noWrap/>
            <w:vAlign w:val="center"/>
            <w:hideMark/>
          </w:tcPr>
          <w:p w14:paraId="31D1FEF8" w14:textId="77777777" w:rsidR="00FC676C" w:rsidRPr="00F25E3B" w:rsidRDefault="00FC676C">
            <w:pPr>
              <w:keepNext/>
              <w:jc w:val="left"/>
              <w:rPr>
                <w:rFonts w:ascii="Arial Narrow" w:hAnsi="Arial Narrow" w:cs="Calibri"/>
                <w:color w:val="000000"/>
                <w:sz w:val="20"/>
                <w:szCs w:val="20"/>
                <w:lang w:eastAsia="en-GB"/>
              </w:rPr>
            </w:pPr>
            <w:r w:rsidRPr="00F25E3B">
              <w:rPr>
                <w:rFonts w:ascii="Arial Narrow" w:hAnsi="Arial Narrow" w:cs="Calibri"/>
                <w:color w:val="000000"/>
                <w:sz w:val="20"/>
                <w:szCs w:val="20"/>
                <w:lang w:eastAsia="en-GB"/>
              </w:rPr>
              <w:t>Total treatment costs per patient per course</w:t>
            </w:r>
          </w:p>
        </w:tc>
        <w:tc>
          <w:tcPr>
            <w:tcW w:w="3249" w:type="dxa"/>
            <w:gridSpan w:val="2"/>
            <w:noWrap/>
            <w:vAlign w:val="center"/>
            <w:hideMark/>
          </w:tcPr>
          <w:p w14:paraId="602F3CBE" w14:textId="4E1F3C75" w:rsidR="00FC676C" w:rsidRPr="00741C13" w:rsidRDefault="00FC676C">
            <w:pPr>
              <w:keepNext/>
              <w:keepLines/>
              <w:suppressLineNumbers/>
              <w:jc w:val="center"/>
              <w:textboxTightWrap w:val="allLines"/>
              <w:rPr>
                <w:rFonts w:ascii="Arial Narrow" w:hAnsi="Arial Narrow" w:cs="Calibri"/>
                <w:color w:val="000000"/>
                <w:sz w:val="20"/>
                <w:szCs w:val="20"/>
                <w:lang w:eastAsia="en-GB"/>
              </w:rPr>
            </w:pPr>
            <w:r w:rsidRPr="00741C13">
              <w:rPr>
                <w:rFonts w:ascii="Arial Narrow" w:hAnsi="Arial Narrow"/>
                <w:sz w:val="20"/>
                <w:szCs w:val="20"/>
                <w:lang w:eastAsia="en-GB"/>
              </w:rPr>
              <w:t>$</w:t>
            </w:r>
            <w:r w:rsidR="005A2C66" w:rsidRPr="005A2C66">
              <w:rPr>
                <w:rFonts w:ascii="Arial Narrow" w:hAnsi="Arial Narrow"/>
                <w:color w:val="000000"/>
                <w:spacing w:val="42"/>
                <w:sz w:val="20"/>
                <w:szCs w:val="20"/>
                <w:shd w:val="solid" w:color="000000" w:fill="000000"/>
                <w:fitText w:val="639" w:id="-623627776"/>
                <w:lang w:eastAsia="en-GB"/>
                <w14:textFill>
                  <w14:solidFill>
                    <w14:srgbClr w14:val="000000">
                      <w14:alpha w14:val="100000"/>
                    </w14:srgbClr>
                  </w14:solidFill>
                </w14:textFill>
              </w:rPr>
              <w:t>|||||||</w:t>
            </w:r>
            <w:r w:rsidR="005A2C66" w:rsidRPr="005A2C66">
              <w:rPr>
                <w:rFonts w:ascii="Arial Narrow" w:hAnsi="Arial Narrow"/>
                <w:color w:val="000000"/>
                <w:spacing w:val="5"/>
                <w:sz w:val="20"/>
                <w:szCs w:val="20"/>
                <w:shd w:val="solid" w:color="000000" w:fill="000000"/>
                <w:fitText w:val="639" w:id="-623627776"/>
                <w:lang w:eastAsia="en-GB"/>
                <w14:textFill>
                  <w14:solidFill>
                    <w14:srgbClr w14:val="000000">
                      <w14:alpha w14:val="100000"/>
                    </w14:srgbClr>
                  </w14:solidFill>
                </w14:textFill>
              </w:rPr>
              <w:t>|</w:t>
            </w:r>
          </w:p>
        </w:tc>
        <w:tc>
          <w:tcPr>
            <w:tcW w:w="3529" w:type="dxa"/>
            <w:gridSpan w:val="2"/>
            <w:noWrap/>
            <w:vAlign w:val="center"/>
            <w:hideMark/>
          </w:tcPr>
          <w:p w14:paraId="0F3A3E43" w14:textId="5C005422" w:rsidR="00FC676C" w:rsidRPr="00741C13" w:rsidRDefault="00FC676C">
            <w:pPr>
              <w:keepNext/>
              <w:keepLines/>
              <w:suppressLineNumbers/>
              <w:jc w:val="center"/>
              <w:textboxTightWrap w:val="allLines"/>
              <w:rPr>
                <w:rFonts w:ascii="Arial Narrow" w:hAnsi="Arial Narrow" w:cs="Calibri"/>
                <w:color w:val="000000"/>
                <w:sz w:val="20"/>
                <w:szCs w:val="20"/>
                <w:lang w:eastAsia="en-GB"/>
              </w:rPr>
            </w:pPr>
            <w:r w:rsidRPr="00741C13">
              <w:rPr>
                <w:rFonts w:ascii="Arial Narrow" w:hAnsi="Arial Narrow"/>
                <w:sz w:val="20"/>
                <w:szCs w:val="20"/>
                <w:lang w:eastAsia="en-GB"/>
              </w:rPr>
              <w:t>$</w:t>
            </w:r>
            <w:r w:rsidR="005A2C66" w:rsidRPr="005A2C66">
              <w:rPr>
                <w:rFonts w:ascii="Arial Narrow" w:hAnsi="Arial Narrow"/>
                <w:color w:val="000000"/>
                <w:spacing w:val="42"/>
                <w:sz w:val="20"/>
                <w:szCs w:val="20"/>
                <w:shd w:val="solid" w:color="000000" w:fill="000000"/>
                <w:fitText w:val="638" w:id="-623627775"/>
                <w:lang w:eastAsia="en-GB"/>
                <w14:textFill>
                  <w14:solidFill>
                    <w14:srgbClr w14:val="000000">
                      <w14:alpha w14:val="100000"/>
                    </w14:srgbClr>
                  </w14:solidFill>
                </w14:textFill>
              </w:rPr>
              <w:t>|||||||</w:t>
            </w:r>
            <w:r w:rsidR="005A2C66" w:rsidRPr="005A2C66">
              <w:rPr>
                <w:rFonts w:ascii="Arial Narrow" w:hAnsi="Arial Narrow"/>
                <w:color w:val="000000"/>
                <w:spacing w:val="4"/>
                <w:sz w:val="20"/>
                <w:szCs w:val="20"/>
                <w:shd w:val="solid" w:color="000000" w:fill="000000"/>
                <w:fitText w:val="638" w:id="-623627775"/>
                <w:lang w:eastAsia="en-GB"/>
                <w14:textFill>
                  <w14:solidFill>
                    <w14:srgbClr w14:val="000000">
                      <w14:alpha w14:val="100000"/>
                    </w14:srgbClr>
                  </w14:solidFill>
                </w14:textFill>
              </w:rPr>
              <w:t>|</w:t>
            </w:r>
          </w:p>
        </w:tc>
      </w:tr>
      <w:tr w:rsidR="00FC676C" w:rsidRPr="00BD2844" w14:paraId="3B6A5567" w14:textId="77777777">
        <w:trPr>
          <w:trHeight w:val="303"/>
        </w:trPr>
        <w:tc>
          <w:tcPr>
            <w:tcW w:w="2236" w:type="dxa"/>
            <w:noWrap/>
            <w:vAlign w:val="center"/>
            <w:hideMark/>
          </w:tcPr>
          <w:p w14:paraId="08624196" w14:textId="77777777" w:rsidR="00FC676C" w:rsidRPr="00F25E3B" w:rsidRDefault="00FC676C">
            <w:pPr>
              <w:keepNext/>
              <w:jc w:val="left"/>
              <w:rPr>
                <w:rFonts w:ascii="Arial Narrow" w:hAnsi="Arial Narrow" w:cs="Calibri"/>
                <w:color w:val="000000"/>
                <w:sz w:val="20"/>
                <w:szCs w:val="20"/>
                <w:lang w:eastAsia="en-GB"/>
              </w:rPr>
            </w:pPr>
            <w:r w:rsidRPr="00F25E3B">
              <w:rPr>
                <w:rFonts w:ascii="Arial Narrow" w:hAnsi="Arial Narrow" w:cs="Calibri"/>
                <w:color w:val="000000"/>
                <w:sz w:val="20"/>
                <w:szCs w:val="20"/>
                <w:lang w:eastAsia="en-GB"/>
              </w:rPr>
              <w:t>MBS costs administration of the intravenous infusion</w:t>
            </w:r>
          </w:p>
        </w:tc>
        <w:tc>
          <w:tcPr>
            <w:tcW w:w="3249" w:type="dxa"/>
            <w:gridSpan w:val="2"/>
            <w:noWrap/>
            <w:vAlign w:val="center"/>
            <w:hideMark/>
          </w:tcPr>
          <w:p w14:paraId="3C7AC2E0" w14:textId="77777777" w:rsidR="00FC676C" w:rsidRPr="00F25E3B" w:rsidRDefault="00FC676C">
            <w:pPr>
              <w:keepNext/>
              <w:keepLines/>
              <w:suppressLineNumbers/>
              <w:jc w:val="center"/>
              <w:textboxTightWrap w:val="allLines"/>
              <w:rPr>
                <w:rFonts w:ascii="Arial Narrow" w:hAnsi="Arial Narrow" w:cs="Calibri"/>
                <w:color w:val="000000"/>
                <w:sz w:val="20"/>
                <w:szCs w:val="20"/>
                <w:lang w:eastAsia="en-GB"/>
              </w:rPr>
            </w:pPr>
            <w:r w:rsidRPr="00F25E3B">
              <w:rPr>
                <w:rFonts w:ascii="Arial Narrow" w:hAnsi="Arial Narrow"/>
                <w:sz w:val="20"/>
                <w:szCs w:val="20"/>
                <w:lang w:eastAsia="en-GB"/>
              </w:rPr>
              <w:t>$1,493.13</w:t>
            </w:r>
          </w:p>
        </w:tc>
        <w:tc>
          <w:tcPr>
            <w:tcW w:w="3529" w:type="dxa"/>
            <w:gridSpan w:val="2"/>
            <w:noWrap/>
            <w:vAlign w:val="center"/>
            <w:hideMark/>
          </w:tcPr>
          <w:p w14:paraId="4C92EBBB" w14:textId="77777777" w:rsidR="00FC676C" w:rsidRPr="00F25E3B" w:rsidRDefault="00FC676C">
            <w:pPr>
              <w:keepNext/>
              <w:keepLines/>
              <w:suppressLineNumbers/>
              <w:jc w:val="center"/>
              <w:textboxTightWrap w:val="allLines"/>
              <w:rPr>
                <w:rFonts w:ascii="Arial Narrow" w:hAnsi="Arial Narrow" w:cs="Calibri"/>
                <w:color w:val="000000"/>
                <w:sz w:val="20"/>
                <w:szCs w:val="20"/>
                <w:lang w:eastAsia="en-GB"/>
              </w:rPr>
            </w:pPr>
            <w:r w:rsidRPr="00F25E3B">
              <w:rPr>
                <w:rFonts w:ascii="Arial Narrow" w:hAnsi="Arial Narrow"/>
                <w:sz w:val="20"/>
                <w:szCs w:val="20"/>
                <w:lang w:eastAsia="en-GB"/>
              </w:rPr>
              <w:t>$841.34</w:t>
            </w:r>
          </w:p>
        </w:tc>
      </w:tr>
      <w:tr w:rsidR="00FC676C" w:rsidRPr="00BD2844" w14:paraId="6983C2C7" w14:textId="77777777">
        <w:trPr>
          <w:trHeight w:val="318"/>
        </w:trPr>
        <w:tc>
          <w:tcPr>
            <w:tcW w:w="2236" w:type="dxa"/>
            <w:noWrap/>
            <w:vAlign w:val="center"/>
            <w:hideMark/>
          </w:tcPr>
          <w:p w14:paraId="795B1C8B" w14:textId="77777777" w:rsidR="00FC676C" w:rsidRPr="00F25E3B" w:rsidRDefault="00FC676C">
            <w:pPr>
              <w:keepNext/>
              <w:jc w:val="left"/>
              <w:rPr>
                <w:rFonts w:ascii="Arial Narrow" w:hAnsi="Arial Narrow" w:cs="Calibri"/>
                <w:color w:val="000000"/>
                <w:sz w:val="20"/>
                <w:szCs w:val="20"/>
                <w:lang w:eastAsia="en-GB"/>
              </w:rPr>
            </w:pPr>
            <w:r w:rsidRPr="00F25E3B">
              <w:rPr>
                <w:rFonts w:ascii="Arial Narrow" w:hAnsi="Arial Narrow" w:cs="Calibri"/>
                <w:color w:val="000000"/>
                <w:sz w:val="20"/>
                <w:szCs w:val="20"/>
                <w:lang w:eastAsia="en-GB"/>
              </w:rPr>
              <w:t>Total treatment costs including administration</w:t>
            </w:r>
          </w:p>
        </w:tc>
        <w:tc>
          <w:tcPr>
            <w:tcW w:w="6778" w:type="dxa"/>
            <w:gridSpan w:val="4"/>
            <w:noWrap/>
            <w:vAlign w:val="center"/>
            <w:hideMark/>
          </w:tcPr>
          <w:p w14:paraId="3762EF51" w14:textId="789AADBF" w:rsidR="00FC676C" w:rsidRPr="00F25E3B" w:rsidRDefault="00FC676C">
            <w:pPr>
              <w:keepNext/>
              <w:keepLines/>
              <w:suppressLineNumbers/>
              <w:jc w:val="center"/>
              <w:textboxTightWrap w:val="allLines"/>
              <w:rPr>
                <w:rFonts w:ascii="Arial Narrow" w:hAnsi="Arial Narrow" w:cs="Calibri"/>
                <w:color w:val="000000"/>
                <w:sz w:val="20"/>
                <w:szCs w:val="20"/>
                <w:lang w:eastAsia="en-GB"/>
              </w:rPr>
            </w:pPr>
            <w:r w:rsidRPr="00F25E3B">
              <w:rPr>
                <w:rFonts w:ascii="Arial Narrow" w:hAnsi="Arial Narrow"/>
                <w:sz w:val="20"/>
                <w:szCs w:val="20"/>
                <w:lang w:eastAsia="en-GB"/>
              </w:rPr>
              <w:t>$</w:t>
            </w:r>
            <w:r w:rsidR="005A2C66" w:rsidRPr="005A2C66">
              <w:rPr>
                <w:rFonts w:ascii="Arial Narrow" w:hAnsi="Arial Narrow"/>
                <w:color w:val="000000"/>
                <w:spacing w:val="42"/>
                <w:sz w:val="20"/>
                <w:szCs w:val="20"/>
                <w:shd w:val="solid" w:color="000000" w:fill="000000"/>
                <w:fitText w:val="639" w:id="-623627774"/>
                <w:lang w:eastAsia="en-GB"/>
                <w14:textFill>
                  <w14:solidFill>
                    <w14:srgbClr w14:val="000000">
                      <w14:alpha w14:val="100000"/>
                    </w14:srgbClr>
                  </w14:solidFill>
                </w14:textFill>
              </w:rPr>
              <w:t>|||||||</w:t>
            </w:r>
            <w:r w:rsidR="005A2C66" w:rsidRPr="005A2C66">
              <w:rPr>
                <w:rFonts w:ascii="Arial Narrow" w:hAnsi="Arial Narrow"/>
                <w:color w:val="000000"/>
                <w:spacing w:val="5"/>
                <w:sz w:val="20"/>
                <w:szCs w:val="20"/>
                <w:shd w:val="solid" w:color="000000" w:fill="000000"/>
                <w:fitText w:val="639" w:id="-623627774"/>
                <w:lang w:eastAsia="en-GB"/>
                <w14:textFill>
                  <w14:solidFill>
                    <w14:srgbClr w14:val="000000">
                      <w14:alpha w14:val="100000"/>
                    </w14:srgbClr>
                  </w14:solidFill>
                </w14:textFill>
              </w:rPr>
              <w:t>|</w:t>
            </w:r>
          </w:p>
        </w:tc>
      </w:tr>
    </w:tbl>
    <w:p w14:paraId="7ED429A6" w14:textId="77777777" w:rsidR="00FC676C" w:rsidRPr="00BD2844" w:rsidRDefault="00FC676C" w:rsidP="00FC676C">
      <w:pPr>
        <w:keepNext/>
        <w:spacing w:after="120"/>
        <w:contextualSpacing/>
        <w:rPr>
          <w:rFonts w:ascii="Arial Narrow" w:hAnsi="Arial Narrow"/>
          <w:snapToGrid w:val="0"/>
          <w:sz w:val="18"/>
          <w:szCs w:val="22"/>
        </w:rPr>
      </w:pPr>
      <w:r w:rsidRPr="00BD2844">
        <w:rPr>
          <w:rFonts w:ascii="Arial Narrow" w:hAnsi="Arial Narrow"/>
          <w:snapToGrid w:val="0"/>
          <w:sz w:val="18"/>
          <w:szCs w:val="22"/>
        </w:rPr>
        <w:t>Source: Table 84 and Table 85, p204 and Table 86, p205 of the submission. Attachment 11_NIVO IPI 1L HCC Cost-Minimisation Analysis, Sheet “Comparator drug cost per course”, cells E9 and E10.</w:t>
      </w:r>
    </w:p>
    <w:p w14:paraId="2C4ED1F2" w14:textId="77777777" w:rsidR="00FC676C" w:rsidRPr="00BD2844" w:rsidRDefault="00FC676C" w:rsidP="00FC676C">
      <w:pPr>
        <w:keepNext/>
        <w:spacing w:after="120"/>
        <w:contextualSpacing/>
        <w:rPr>
          <w:rFonts w:ascii="Arial Narrow" w:hAnsi="Arial Narrow"/>
          <w:snapToGrid w:val="0"/>
          <w:sz w:val="18"/>
          <w:szCs w:val="22"/>
        </w:rPr>
      </w:pPr>
      <w:r w:rsidRPr="00BD2844">
        <w:rPr>
          <w:rFonts w:ascii="Arial Narrow" w:hAnsi="Arial Narrow"/>
          <w:snapToGrid w:val="0"/>
          <w:sz w:val="18"/>
          <w:szCs w:val="22"/>
        </w:rPr>
        <w:t>AEMP = approved ex-manufacturer price; MBS = Medicare Benefits Schedule; PBS = Pharmaceutical Benefits Scheme.</w:t>
      </w:r>
    </w:p>
    <w:p w14:paraId="66D90881" w14:textId="77777777" w:rsidR="00FC676C" w:rsidRPr="00BD2844" w:rsidRDefault="00FC676C" w:rsidP="00FC676C">
      <w:pPr>
        <w:keepNext/>
        <w:spacing w:after="120"/>
        <w:contextualSpacing/>
        <w:rPr>
          <w:rFonts w:ascii="Arial Narrow" w:hAnsi="Arial Narrow"/>
          <w:snapToGrid w:val="0"/>
          <w:sz w:val="18"/>
          <w:szCs w:val="22"/>
        </w:rPr>
      </w:pPr>
      <w:r w:rsidRPr="00BD2844">
        <w:rPr>
          <w:rFonts w:ascii="Arial Narrow" w:hAnsi="Arial Narrow"/>
          <w:snapToGrid w:val="0"/>
          <w:sz w:val="18"/>
          <w:szCs w:val="22"/>
          <w:vertAlign w:val="superscript"/>
        </w:rPr>
        <w:t>a</w:t>
      </w:r>
      <w:r w:rsidRPr="00BD2844">
        <w:rPr>
          <w:rFonts w:ascii="Arial Narrow" w:hAnsi="Arial Narrow"/>
          <w:snapToGrid w:val="0"/>
          <w:sz w:val="18"/>
          <w:szCs w:val="22"/>
        </w:rPr>
        <w:t xml:space="preserve"> assumed effective price for atezolizumab per vial.</w:t>
      </w:r>
    </w:p>
    <w:p w14:paraId="764720F0" w14:textId="69720514" w:rsidR="00E147EC" w:rsidRPr="00BD2844" w:rsidRDefault="00FC676C" w:rsidP="00EC093B">
      <w:r w:rsidRPr="00BD2844">
        <w:rPr>
          <w:rFonts w:ascii="Arial Narrow" w:hAnsi="Arial Narrow" w:cstheme="minorHAnsi"/>
          <w:sz w:val="18"/>
          <w:szCs w:val="18"/>
          <w:vertAlign w:val="superscript"/>
        </w:rPr>
        <w:t>b</w:t>
      </w:r>
      <w:r w:rsidRPr="00BD2844">
        <w:rPr>
          <w:rFonts w:ascii="Arial Narrow" w:hAnsi="Arial Narrow" w:cstheme="minorHAnsi"/>
          <w:sz w:val="18"/>
          <w:szCs w:val="18"/>
        </w:rPr>
        <w:t xml:space="preserve"> proposed effective price for nivolumab per 100 mg vial.</w:t>
      </w:r>
    </w:p>
    <w:p w14:paraId="015A1DF6" w14:textId="15FC4C4B" w:rsidR="00AE7549" w:rsidRPr="00AC20B4" w:rsidRDefault="00B939D9" w:rsidP="00E147EC">
      <w:pPr>
        <w:pStyle w:val="3-BodyText"/>
      </w:pPr>
      <w:r w:rsidRPr="00AC20B4">
        <w:t xml:space="preserve">The PSCR </w:t>
      </w:r>
      <w:r w:rsidR="00DB7E9B" w:rsidRPr="00AC20B4">
        <w:t xml:space="preserve">stated the median </w:t>
      </w:r>
      <w:r w:rsidR="00F90A96" w:rsidRPr="00AC20B4">
        <w:t>for both trials</w:t>
      </w:r>
      <w:r w:rsidR="00D47783" w:rsidRPr="00AC20B4">
        <w:t xml:space="preserve"> was used in the CMA</w:t>
      </w:r>
      <w:r w:rsidR="00F90A96" w:rsidRPr="00AC20B4">
        <w:t xml:space="preserve"> as the mean DOT </w:t>
      </w:r>
      <w:r w:rsidR="008672B1" w:rsidRPr="00AC20B4">
        <w:t>for ATEZO+BEV w</w:t>
      </w:r>
      <w:r w:rsidR="00FD3F0A" w:rsidRPr="00AC20B4">
        <w:t xml:space="preserve">as not </w:t>
      </w:r>
      <w:r w:rsidR="00220DB6" w:rsidRPr="00AC20B4">
        <w:t xml:space="preserve">published. </w:t>
      </w:r>
      <w:r w:rsidR="00210DCA" w:rsidRPr="00AC20B4">
        <w:t>In addition, t</w:t>
      </w:r>
      <w:r w:rsidR="00440BBD" w:rsidRPr="00AC20B4">
        <w:t xml:space="preserve">he PSCR </w:t>
      </w:r>
      <w:r w:rsidR="00210DCA" w:rsidRPr="00AC20B4">
        <w:t xml:space="preserve">reiterated </w:t>
      </w:r>
      <w:r w:rsidR="00B17392" w:rsidRPr="00AC20B4">
        <w:t xml:space="preserve">arguments made in the submission </w:t>
      </w:r>
      <w:r w:rsidR="00210DCA" w:rsidRPr="00AC20B4">
        <w:t xml:space="preserve">that the use of the mean DOT from the </w:t>
      </w:r>
      <w:r w:rsidR="00B9026C" w:rsidRPr="00AC20B4">
        <w:t xml:space="preserve">IMBRAVE150 </w:t>
      </w:r>
      <w:r w:rsidR="00403A9A" w:rsidRPr="00AC20B4">
        <w:t xml:space="preserve">was not appropriate given 17.9% of patients </w:t>
      </w:r>
      <w:r w:rsidR="00B17392" w:rsidRPr="00AC20B4">
        <w:t>were still on therapy at the time of the updated analysis</w:t>
      </w:r>
      <w:r w:rsidR="00CC61C6" w:rsidRPr="00AC20B4">
        <w:t>, whereas in CM-</w:t>
      </w:r>
      <w:r w:rsidR="005F1B61" w:rsidRPr="00AC20B4">
        <w:t>9DW all patients had finished therapy</w:t>
      </w:r>
      <w:r w:rsidR="00B17392" w:rsidRPr="00AC20B4">
        <w:t xml:space="preserve">. </w:t>
      </w:r>
      <w:r w:rsidR="00EF4984" w:rsidRPr="00AC20B4">
        <w:t>The PSCR agreed with the evaluator that a difference in DOT for NIVO+IPI and ATEZO+BEV may not be justified</w:t>
      </w:r>
      <w:r w:rsidR="00D13882" w:rsidRPr="00AC20B4">
        <w:t xml:space="preserve"> (see paragraph </w:t>
      </w:r>
      <w:r w:rsidR="00D13882" w:rsidRPr="00AC20B4">
        <w:fldChar w:fldCharType="begin"/>
      </w:r>
      <w:r w:rsidR="00D13882" w:rsidRPr="00AC20B4">
        <w:instrText xml:space="preserve"> REF _Ref201308336 \r \h  \* MERGEFORMAT </w:instrText>
      </w:r>
      <w:r w:rsidR="00D13882" w:rsidRPr="00AC20B4">
        <w:fldChar w:fldCharType="separate"/>
      </w:r>
      <w:r w:rsidR="008C7D22">
        <w:t>6.61</w:t>
      </w:r>
      <w:r w:rsidR="00D13882" w:rsidRPr="00AC20B4">
        <w:fldChar w:fldCharType="end"/>
      </w:r>
      <w:r w:rsidR="00D13882" w:rsidRPr="00AC20B4">
        <w:t>)</w:t>
      </w:r>
      <w:r w:rsidR="001E5B3A" w:rsidRPr="00AC20B4">
        <w:t xml:space="preserve"> and proposed a</w:t>
      </w:r>
      <w:r w:rsidR="00E147EC" w:rsidRPr="00AC20B4">
        <w:t>n alternative methodology for calculating equi-effective doses</w:t>
      </w:r>
      <w:r w:rsidR="001E5B3A" w:rsidRPr="00AC20B4">
        <w:t xml:space="preserve">. The </w:t>
      </w:r>
      <w:r w:rsidR="00FB71DE" w:rsidRPr="00AC20B4">
        <w:t xml:space="preserve">alternative methodology </w:t>
      </w:r>
      <w:r w:rsidR="00E147EC" w:rsidRPr="00AC20B4">
        <w:t>was to equate the mean DOT of NIVO+IPI from CM-9DW in months (8.73 months) to represent completed mean treatment exposure. The PSCR did not provide new calculations or analyses with this assumption.</w:t>
      </w:r>
      <w:r w:rsidR="00AE7549" w:rsidRPr="00AC20B4">
        <w:t xml:space="preserve"> </w:t>
      </w:r>
    </w:p>
    <w:p w14:paraId="124447E9" w14:textId="72495C2D" w:rsidR="009437E9" w:rsidRPr="00AC20B4" w:rsidRDefault="00D003A9" w:rsidP="00347197">
      <w:pPr>
        <w:pStyle w:val="3-BodyText"/>
        <w:spacing w:after="120"/>
      </w:pPr>
      <w:r w:rsidRPr="00AC20B4">
        <w:t xml:space="preserve">The ESC acknowledged the alternative methodology proposed by the PSCR for calculating equi-effective doses. The ESC also noted that PBS utilisation data for ATEZO were proposed as a methodology to determine equi-effective doses during considerations of the STRIDE submission at the May 2025 PBAC meeting (durvalumab </w:t>
      </w:r>
      <w:r w:rsidR="00623011">
        <w:t>plus</w:t>
      </w:r>
      <w:r w:rsidRPr="00AC20B4">
        <w:t xml:space="preserve"> </w:t>
      </w:r>
      <w:proofErr w:type="spellStart"/>
      <w:r w:rsidRPr="00AC20B4">
        <w:t>tremelimumab</w:t>
      </w:r>
      <w:proofErr w:type="spellEnd"/>
      <w:r w:rsidR="00623011">
        <w:t>,</w:t>
      </w:r>
      <w:r w:rsidRPr="00AC20B4">
        <w:t xml:space="preserve"> web outcome, May 2025 PBAC meeting). The ESC noted the CMA results based on mean treatment duration reported in CM-9DW</w:t>
      </w:r>
      <w:r w:rsidR="008A6353">
        <w:t xml:space="preserve"> </w:t>
      </w:r>
      <w:r w:rsidRPr="00AC20B4">
        <w:t>and the</w:t>
      </w:r>
      <w:r w:rsidR="006A1DE6" w:rsidRPr="00AC20B4">
        <w:t xml:space="preserve"> assumed</w:t>
      </w:r>
      <w:r w:rsidRPr="00AC20B4">
        <w:t xml:space="preserve"> effective price for ATEZO are presented in </w:t>
      </w:r>
      <w:r w:rsidR="00A7117E" w:rsidRPr="00AC20B4">
        <w:fldChar w:fldCharType="begin"/>
      </w:r>
      <w:r w:rsidR="00A7117E" w:rsidRPr="00AC20B4">
        <w:instrText xml:space="preserve"> REF _Ref201320555 \h </w:instrText>
      </w:r>
      <w:r w:rsidR="00AC20B4">
        <w:instrText xml:space="preserve"> \* MERGEFORMAT </w:instrText>
      </w:r>
      <w:r w:rsidR="00A7117E" w:rsidRPr="00AC20B4">
        <w:fldChar w:fldCharType="separate"/>
      </w:r>
      <w:r w:rsidR="008C7D22" w:rsidRPr="00AC20B4">
        <w:t xml:space="preserve">Table </w:t>
      </w:r>
      <w:r w:rsidR="008C7D22">
        <w:t>15</w:t>
      </w:r>
      <w:r w:rsidR="00A7117E" w:rsidRPr="00AC20B4">
        <w:fldChar w:fldCharType="end"/>
      </w:r>
      <w:r w:rsidRPr="00AC20B4">
        <w:t>. The ESC agreed with the PSCR that</w:t>
      </w:r>
      <w:r w:rsidR="006971A8" w:rsidRPr="00AC20B4">
        <w:t xml:space="preserve">, </w:t>
      </w:r>
      <w:r w:rsidR="00D4778A" w:rsidRPr="00AC20B4">
        <w:t>with only a truncated mean duration available for IMBRAVE150,</w:t>
      </w:r>
      <w:r w:rsidRPr="00AC20B4">
        <w:t xml:space="preserve"> it would be appropriate to apply the mean treatment duration reported in CM-9DW to both the NIVO+IPI and ATEZO+BEV arms to determine equi-effective doses for the CMA. The ESC advised that with the methodology proposed in the PSCR incorporated, and the inclusion of the effective price for ATEZO, the remaining inputs of the CMA were reasonable.</w:t>
      </w:r>
    </w:p>
    <w:p w14:paraId="20F1809E" w14:textId="142F3994" w:rsidR="00D16135" w:rsidRPr="00AC20B4" w:rsidRDefault="00D16135" w:rsidP="00D16135">
      <w:pPr>
        <w:pStyle w:val="Caption"/>
      </w:pPr>
      <w:bookmarkStart w:id="90" w:name="_Ref201320555"/>
      <w:r w:rsidRPr="00AC20B4">
        <w:lastRenderedPageBreak/>
        <w:t xml:space="preserve">Table </w:t>
      </w:r>
      <w:r>
        <w:fldChar w:fldCharType="begin"/>
      </w:r>
      <w:r>
        <w:instrText xml:space="preserve"> SEQ Table \* ARABIC </w:instrText>
      </w:r>
      <w:r>
        <w:fldChar w:fldCharType="separate"/>
      </w:r>
      <w:r w:rsidR="008C7D22">
        <w:rPr>
          <w:noProof/>
        </w:rPr>
        <w:t>15</w:t>
      </w:r>
      <w:r>
        <w:fldChar w:fldCharType="end"/>
      </w:r>
      <w:bookmarkEnd w:id="90"/>
      <w:r w:rsidRPr="00AC20B4">
        <w:t>: Results of the cost-minimisation approach proposed by the PSCR based on assumed effective prices</w:t>
      </w:r>
    </w:p>
    <w:tbl>
      <w:tblPr>
        <w:tblStyle w:val="TableGrid"/>
        <w:tblW w:w="9014" w:type="dxa"/>
        <w:tblLook w:val="04A0" w:firstRow="1" w:lastRow="0" w:firstColumn="1" w:lastColumn="0" w:noHBand="0" w:noVBand="1"/>
        <w:tblCaption w:val="Table 15: Results of the cost-minimisation approach proposed by the PSCR based on assumed effective prices"/>
      </w:tblPr>
      <w:tblGrid>
        <w:gridCol w:w="2236"/>
        <w:gridCol w:w="1587"/>
        <w:gridCol w:w="1662"/>
        <w:gridCol w:w="1620"/>
        <w:gridCol w:w="1909"/>
      </w:tblGrid>
      <w:tr w:rsidR="00D16135" w:rsidRPr="00AC20B4" w14:paraId="4E9F383A" w14:textId="77777777" w:rsidTr="001A42B0">
        <w:trPr>
          <w:trHeight w:val="318"/>
        </w:trPr>
        <w:tc>
          <w:tcPr>
            <w:tcW w:w="2236" w:type="dxa"/>
            <w:noWrap/>
            <w:vAlign w:val="center"/>
            <w:hideMark/>
          </w:tcPr>
          <w:p w14:paraId="6BDFFAF2" w14:textId="77777777" w:rsidR="00D16135" w:rsidRPr="00AC20B4" w:rsidRDefault="00D16135" w:rsidP="001A42B0">
            <w:pPr>
              <w:keepNext/>
              <w:keepLines/>
              <w:jc w:val="center"/>
              <w:rPr>
                <w:rFonts w:ascii="Arial Narrow" w:hAnsi="Arial Narrow" w:cs="Calibri"/>
                <w:color w:val="000000"/>
                <w:sz w:val="20"/>
                <w:szCs w:val="20"/>
                <w:lang w:eastAsia="en-GB"/>
              </w:rPr>
            </w:pPr>
          </w:p>
        </w:tc>
        <w:tc>
          <w:tcPr>
            <w:tcW w:w="1587" w:type="dxa"/>
            <w:noWrap/>
            <w:vAlign w:val="center"/>
            <w:hideMark/>
          </w:tcPr>
          <w:p w14:paraId="0AAB160C" w14:textId="77777777" w:rsidR="00D16135" w:rsidRPr="00AC20B4" w:rsidRDefault="00D16135" w:rsidP="001A42B0">
            <w:pPr>
              <w:keepNext/>
              <w:keepLines/>
              <w:jc w:val="center"/>
              <w:rPr>
                <w:rFonts w:ascii="Arial Narrow" w:hAnsi="Arial Narrow" w:cs="Calibri"/>
                <w:b/>
                <w:bCs/>
                <w:color w:val="000000"/>
                <w:sz w:val="20"/>
                <w:szCs w:val="20"/>
                <w:lang w:eastAsia="en-GB"/>
              </w:rPr>
            </w:pPr>
            <w:r w:rsidRPr="00AC20B4">
              <w:rPr>
                <w:rFonts w:ascii="Arial Narrow" w:hAnsi="Arial Narrow" w:cs="Calibri"/>
                <w:b/>
                <w:bCs/>
                <w:color w:val="000000"/>
                <w:sz w:val="20"/>
                <w:szCs w:val="20"/>
                <w:lang w:eastAsia="en-GB"/>
              </w:rPr>
              <w:t>Atezolizumab</w:t>
            </w:r>
          </w:p>
        </w:tc>
        <w:tc>
          <w:tcPr>
            <w:tcW w:w="1662" w:type="dxa"/>
            <w:noWrap/>
            <w:vAlign w:val="center"/>
            <w:hideMark/>
          </w:tcPr>
          <w:p w14:paraId="60796ED9" w14:textId="77777777" w:rsidR="00D16135" w:rsidRPr="00AC20B4" w:rsidRDefault="00D16135" w:rsidP="001A42B0">
            <w:pPr>
              <w:keepNext/>
              <w:keepLines/>
              <w:jc w:val="center"/>
              <w:rPr>
                <w:rFonts w:ascii="Arial Narrow" w:hAnsi="Arial Narrow" w:cs="Calibri"/>
                <w:b/>
                <w:bCs/>
                <w:color w:val="000000"/>
                <w:sz w:val="20"/>
                <w:szCs w:val="20"/>
                <w:lang w:eastAsia="en-GB"/>
              </w:rPr>
            </w:pPr>
            <w:r w:rsidRPr="00AC20B4">
              <w:rPr>
                <w:rFonts w:ascii="Arial Narrow" w:hAnsi="Arial Narrow" w:cs="Calibri"/>
                <w:b/>
                <w:bCs/>
                <w:color w:val="000000"/>
                <w:sz w:val="20"/>
                <w:szCs w:val="20"/>
                <w:lang w:eastAsia="en-GB"/>
              </w:rPr>
              <w:t>Bevacizumab</w:t>
            </w:r>
          </w:p>
        </w:tc>
        <w:tc>
          <w:tcPr>
            <w:tcW w:w="1620" w:type="dxa"/>
            <w:vAlign w:val="center"/>
            <w:hideMark/>
          </w:tcPr>
          <w:p w14:paraId="2D9E6648" w14:textId="77777777" w:rsidR="00D16135" w:rsidRPr="00AC20B4" w:rsidRDefault="00D16135" w:rsidP="001A42B0">
            <w:pPr>
              <w:keepNext/>
              <w:keepLines/>
              <w:jc w:val="center"/>
              <w:rPr>
                <w:rFonts w:ascii="Arial Narrow" w:hAnsi="Arial Narrow" w:cs="Calibri"/>
                <w:b/>
                <w:bCs/>
                <w:color w:val="000000"/>
                <w:sz w:val="20"/>
                <w:szCs w:val="20"/>
                <w:lang w:eastAsia="en-GB"/>
              </w:rPr>
            </w:pPr>
            <w:r w:rsidRPr="00AC20B4">
              <w:rPr>
                <w:rFonts w:ascii="Arial Narrow" w:hAnsi="Arial Narrow" w:cs="Calibri"/>
                <w:b/>
                <w:bCs/>
                <w:color w:val="000000"/>
                <w:sz w:val="20"/>
                <w:szCs w:val="20"/>
                <w:lang w:eastAsia="en-GB"/>
              </w:rPr>
              <w:t>Nivolumab</w:t>
            </w:r>
          </w:p>
        </w:tc>
        <w:tc>
          <w:tcPr>
            <w:tcW w:w="1909" w:type="dxa"/>
            <w:vAlign w:val="center"/>
            <w:hideMark/>
          </w:tcPr>
          <w:p w14:paraId="30C69DC4" w14:textId="77777777" w:rsidR="00D16135" w:rsidRPr="00AC20B4" w:rsidRDefault="00D16135" w:rsidP="001A42B0">
            <w:pPr>
              <w:keepNext/>
              <w:keepLines/>
              <w:jc w:val="center"/>
              <w:rPr>
                <w:rFonts w:ascii="Arial Narrow" w:hAnsi="Arial Narrow" w:cs="Calibri"/>
                <w:b/>
                <w:bCs/>
                <w:color w:val="000000"/>
                <w:sz w:val="20"/>
                <w:szCs w:val="20"/>
                <w:lang w:eastAsia="en-GB"/>
              </w:rPr>
            </w:pPr>
            <w:r w:rsidRPr="00AC20B4">
              <w:rPr>
                <w:rFonts w:ascii="Arial Narrow" w:hAnsi="Arial Narrow" w:cs="Calibri"/>
                <w:b/>
                <w:bCs/>
                <w:color w:val="000000"/>
                <w:sz w:val="20"/>
                <w:szCs w:val="20"/>
                <w:lang w:eastAsia="en-GB"/>
              </w:rPr>
              <w:t>Ipilimumab</w:t>
            </w:r>
          </w:p>
        </w:tc>
      </w:tr>
      <w:tr w:rsidR="00D16135" w:rsidRPr="00AC20B4" w14:paraId="57221716" w14:textId="77777777" w:rsidTr="001A42B0">
        <w:trPr>
          <w:trHeight w:val="303"/>
        </w:trPr>
        <w:tc>
          <w:tcPr>
            <w:tcW w:w="2236" w:type="dxa"/>
            <w:noWrap/>
            <w:hideMark/>
          </w:tcPr>
          <w:p w14:paraId="4D3CE29C" w14:textId="77777777" w:rsidR="00D16135" w:rsidRPr="00AC20B4" w:rsidRDefault="00D16135" w:rsidP="001A42B0">
            <w:pPr>
              <w:keepNext/>
              <w:jc w:val="left"/>
              <w:rPr>
                <w:rFonts w:ascii="Arial Narrow" w:hAnsi="Arial Narrow" w:cs="Calibri"/>
                <w:color w:val="000000"/>
                <w:sz w:val="20"/>
                <w:szCs w:val="20"/>
                <w:lang w:eastAsia="en-GB"/>
              </w:rPr>
            </w:pPr>
            <w:r w:rsidRPr="00AC20B4">
              <w:rPr>
                <w:rFonts w:ascii="Arial Narrow" w:hAnsi="Arial Narrow" w:cs="Calibri"/>
                <w:color w:val="000000"/>
                <w:sz w:val="20"/>
                <w:szCs w:val="20"/>
                <w:lang w:eastAsia="en-GB"/>
              </w:rPr>
              <w:t>Vial strength (mg)</w:t>
            </w:r>
          </w:p>
        </w:tc>
        <w:tc>
          <w:tcPr>
            <w:tcW w:w="1587" w:type="dxa"/>
            <w:noWrap/>
            <w:vAlign w:val="center"/>
            <w:hideMark/>
          </w:tcPr>
          <w:p w14:paraId="33CE56D6" w14:textId="77777777" w:rsidR="00D16135" w:rsidRPr="00AC20B4" w:rsidRDefault="00D16135" w:rsidP="001A42B0">
            <w:pPr>
              <w:keepNext/>
              <w:jc w:val="center"/>
              <w:rPr>
                <w:rFonts w:ascii="Arial Narrow" w:hAnsi="Arial Narrow" w:cs="Calibri"/>
                <w:color w:val="000000"/>
                <w:sz w:val="20"/>
                <w:szCs w:val="20"/>
                <w:lang w:eastAsia="en-GB"/>
              </w:rPr>
            </w:pPr>
            <w:r w:rsidRPr="00AC20B4">
              <w:rPr>
                <w:rFonts w:ascii="Arial Narrow" w:hAnsi="Arial Narrow" w:cs="Calibri"/>
                <w:color w:val="000000"/>
                <w:sz w:val="20"/>
                <w:szCs w:val="20"/>
                <w:lang w:eastAsia="en-GB"/>
              </w:rPr>
              <w:t>1,200</w:t>
            </w:r>
          </w:p>
        </w:tc>
        <w:tc>
          <w:tcPr>
            <w:tcW w:w="1662" w:type="dxa"/>
            <w:noWrap/>
            <w:hideMark/>
          </w:tcPr>
          <w:p w14:paraId="0DE61342" w14:textId="77777777" w:rsidR="00D16135" w:rsidRPr="00AC20B4" w:rsidRDefault="00D16135" w:rsidP="001A42B0">
            <w:pPr>
              <w:keepNext/>
              <w:jc w:val="center"/>
              <w:rPr>
                <w:rFonts w:ascii="Arial Narrow" w:hAnsi="Arial Narrow" w:cs="Calibri"/>
                <w:color w:val="000000"/>
                <w:sz w:val="20"/>
                <w:szCs w:val="20"/>
                <w:lang w:eastAsia="en-GB"/>
              </w:rPr>
            </w:pPr>
            <w:r w:rsidRPr="00AC20B4">
              <w:rPr>
                <w:rFonts w:ascii="Arial Narrow" w:hAnsi="Arial Narrow" w:cs="Calibri"/>
                <w:color w:val="000000"/>
                <w:sz w:val="20"/>
                <w:szCs w:val="20"/>
                <w:lang w:eastAsia="en-GB"/>
              </w:rPr>
              <w:t>100</w:t>
            </w:r>
          </w:p>
        </w:tc>
        <w:tc>
          <w:tcPr>
            <w:tcW w:w="1620" w:type="dxa"/>
            <w:vAlign w:val="center"/>
            <w:hideMark/>
          </w:tcPr>
          <w:p w14:paraId="4E7D7157" w14:textId="77777777" w:rsidR="00D16135" w:rsidRPr="00AC20B4" w:rsidRDefault="00D16135" w:rsidP="001A42B0">
            <w:pPr>
              <w:keepNext/>
              <w:jc w:val="center"/>
              <w:rPr>
                <w:rFonts w:ascii="Arial Narrow" w:hAnsi="Arial Narrow" w:cs="Calibri"/>
                <w:color w:val="000000"/>
                <w:sz w:val="20"/>
                <w:szCs w:val="20"/>
                <w:lang w:eastAsia="en-GB"/>
              </w:rPr>
            </w:pPr>
            <w:r w:rsidRPr="00AC20B4">
              <w:rPr>
                <w:rFonts w:ascii="Arial Narrow" w:hAnsi="Arial Narrow" w:cs="Calibri"/>
                <w:color w:val="000000"/>
                <w:sz w:val="20"/>
                <w:szCs w:val="20"/>
              </w:rPr>
              <w:t>100</w:t>
            </w:r>
          </w:p>
        </w:tc>
        <w:tc>
          <w:tcPr>
            <w:tcW w:w="1909" w:type="dxa"/>
            <w:vAlign w:val="center"/>
            <w:hideMark/>
          </w:tcPr>
          <w:p w14:paraId="3D71F072" w14:textId="77777777" w:rsidR="00D16135" w:rsidRPr="00AC20B4" w:rsidRDefault="00D16135" w:rsidP="001A42B0">
            <w:pPr>
              <w:keepNext/>
              <w:jc w:val="center"/>
              <w:rPr>
                <w:rFonts w:ascii="Arial Narrow" w:hAnsi="Arial Narrow" w:cs="Calibri"/>
                <w:color w:val="000000"/>
                <w:sz w:val="20"/>
                <w:szCs w:val="20"/>
                <w:lang w:eastAsia="en-GB"/>
              </w:rPr>
            </w:pPr>
            <w:r w:rsidRPr="00AC20B4">
              <w:rPr>
                <w:rFonts w:ascii="Arial Narrow" w:hAnsi="Arial Narrow" w:cs="Calibri"/>
                <w:color w:val="000000"/>
                <w:sz w:val="20"/>
                <w:szCs w:val="20"/>
              </w:rPr>
              <w:t>50</w:t>
            </w:r>
          </w:p>
        </w:tc>
      </w:tr>
      <w:tr w:rsidR="00D16135" w:rsidRPr="00AC20B4" w14:paraId="087C14C3" w14:textId="77777777" w:rsidTr="001A42B0">
        <w:trPr>
          <w:trHeight w:val="303"/>
        </w:trPr>
        <w:tc>
          <w:tcPr>
            <w:tcW w:w="2236" w:type="dxa"/>
            <w:noWrap/>
            <w:hideMark/>
          </w:tcPr>
          <w:p w14:paraId="51DC8062" w14:textId="77777777" w:rsidR="00D16135" w:rsidRPr="00AC20B4" w:rsidRDefault="00D16135" w:rsidP="001A42B0">
            <w:pPr>
              <w:keepNext/>
              <w:jc w:val="left"/>
              <w:rPr>
                <w:rFonts w:ascii="Arial Narrow" w:hAnsi="Arial Narrow" w:cs="Calibri"/>
                <w:color w:val="000000"/>
                <w:sz w:val="20"/>
                <w:szCs w:val="20"/>
                <w:lang w:eastAsia="en-GB"/>
              </w:rPr>
            </w:pPr>
            <w:r w:rsidRPr="00AC20B4">
              <w:rPr>
                <w:rFonts w:ascii="Arial Narrow" w:hAnsi="Arial Narrow" w:cs="Calibri"/>
                <w:color w:val="000000"/>
                <w:sz w:val="20"/>
                <w:szCs w:val="20"/>
                <w:lang w:eastAsia="en-GB"/>
              </w:rPr>
              <w:t xml:space="preserve">AEMP per vial </w:t>
            </w:r>
          </w:p>
        </w:tc>
        <w:tc>
          <w:tcPr>
            <w:tcW w:w="1587" w:type="dxa"/>
            <w:noWrap/>
            <w:vAlign w:val="center"/>
            <w:hideMark/>
          </w:tcPr>
          <w:p w14:paraId="1335FDD4" w14:textId="1CE438A9" w:rsidR="00D16135" w:rsidRPr="00CF3B3F" w:rsidRDefault="00D16135" w:rsidP="001A42B0">
            <w:pPr>
              <w:keepNext/>
              <w:keepLines/>
              <w:suppressLineNumbers/>
              <w:jc w:val="center"/>
              <w:textboxTightWrap w:val="allLines"/>
              <w:rPr>
                <w:rFonts w:ascii="Arial Narrow" w:hAnsi="Arial Narrow" w:cs="Calibri"/>
                <w:color w:val="000000"/>
                <w:sz w:val="20"/>
                <w:szCs w:val="20"/>
                <w:lang w:eastAsia="en-GB"/>
              </w:rPr>
            </w:pPr>
            <w:r w:rsidRPr="00CF3B3F">
              <w:rPr>
                <w:rFonts w:ascii="Arial Narrow" w:hAnsi="Arial Narrow"/>
                <w:sz w:val="20"/>
                <w:szCs w:val="20"/>
                <w:lang w:eastAsia="en-GB"/>
              </w:rPr>
              <w:t>$</w:t>
            </w:r>
            <w:r w:rsidR="00B0047C" w:rsidRPr="00B0047C">
              <w:rPr>
                <w:rFonts w:ascii="Arial Narrow" w:hAnsi="Arial Narrow"/>
                <w:color w:val="000000"/>
                <w:spacing w:val="30"/>
                <w:sz w:val="20"/>
                <w:szCs w:val="20"/>
                <w:shd w:val="solid" w:color="000000" w:fill="000000"/>
                <w:fitText w:val="551" w:id="-623627773"/>
                <w:lang w:eastAsia="en-GB"/>
                <w14:textFill>
                  <w14:solidFill>
                    <w14:srgbClr w14:val="000000">
                      <w14:alpha w14:val="100000"/>
                    </w14:srgbClr>
                  </w14:solidFill>
                </w14:textFill>
              </w:rPr>
              <w:t>|||||||</w:t>
            </w:r>
            <w:r w:rsidR="00B0047C" w:rsidRPr="00B0047C">
              <w:rPr>
                <w:rFonts w:ascii="Arial Narrow" w:hAnsi="Arial Narrow"/>
                <w:color w:val="000000"/>
                <w:spacing w:val="1"/>
                <w:sz w:val="20"/>
                <w:szCs w:val="20"/>
                <w:shd w:val="solid" w:color="000000" w:fill="000000"/>
                <w:fitText w:val="551" w:id="-623627773"/>
                <w:lang w:eastAsia="en-GB"/>
                <w14:textFill>
                  <w14:solidFill>
                    <w14:srgbClr w14:val="000000">
                      <w14:alpha w14:val="100000"/>
                    </w14:srgbClr>
                  </w14:solidFill>
                </w14:textFill>
              </w:rPr>
              <w:t>|</w:t>
            </w:r>
            <w:r w:rsidR="00B0047C">
              <w:rPr>
                <w:rFonts w:ascii="Arial Narrow" w:hAnsi="Arial Narrow"/>
                <w:sz w:val="20"/>
                <w:szCs w:val="20"/>
                <w:lang w:eastAsia="en-GB"/>
              </w:rPr>
              <w:t xml:space="preserve"> </w:t>
            </w:r>
            <w:r w:rsidRPr="00CF3B3F">
              <w:rPr>
                <w:rFonts w:ascii="Arial Narrow" w:hAnsi="Arial Narrow"/>
                <w:sz w:val="20"/>
                <w:szCs w:val="20"/>
                <w:vertAlign w:val="superscript"/>
                <w:lang w:eastAsia="en-GB"/>
              </w:rPr>
              <w:t>a</w:t>
            </w:r>
          </w:p>
        </w:tc>
        <w:tc>
          <w:tcPr>
            <w:tcW w:w="1662" w:type="dxa"/>
            <w:noWrap/>
            <w:hideMark/>
          </w:tcPr>
          <w:p w14:paraId="195779C5" w14:textId="77777777" w:rsidR="00D16135" w:rsidRPr="00CF3B3F" w:rsidRDefault="00D16135" w:rsidP="001A42B0">
            <w:pPr>
              <w:keepNext/>
              <w:jc w:val="center"/>
              <w:rPr>
                <w:rFonts w:ascii="Arial Narrow" w:hAnsi="Arial Narrow" w:cs="Calibri"/>
                <w:color w:val="000000"/>
                <w:sz w:val="20"/>
                <w:szCs w:val="20"/>
                <w:lang w:eastAsia="en-GB"/>
              </w:rPr>
            </w:pPr>
            <w:r w:rsidRPr="00CF3B3F">
              <w:rPr>
                <w:rFonts w:ascii="Arial Narrow" w:hAnsi="Arial Narrow" w:cs="Calibri"/>
                <w:color w:val="000000"/>
                <w:sz w:val="20"/>
                <w:szCs w:val="20"/>
                <w:lang w:eastAsia="en-GB"/>
              </w:rPr>
              <w:t>$53.82</w:t>
            </w:r>
          </w:p>
        </w:tc>
        <w:tc>
          <w:tcPr>
            <w:tcW w:w="1620" w:type="dxa"/>
            <w:noWrap/>
            <w:vAlign w:val="center"/>
            <w:hideMark/>
          </w:tcPr>
          <w:p w14:paraId="4BE7468B" w14:textId="3AA523FB" w:rsidR="00D16135" w:rsidRPr="007D050F" w:rsidRDefault="00D16135" w:rsidP="001A42B0">
            <w:pPr>
              <w:keepNext/>
              <w:jc w:val="center"/>
              <w:rPr>
                <w:rFonts w:ascii="Arial Narrow" w:hAnsi="Arial Narrow" w:cs="Calibri"/>
                <w:color w:val="000000"/>
                <w:sz w:val="20"/>
                <w:szCs w:val="20"/>
                <w:lang w:eastAsia="en-GB"/>
              </w:rPr>
            </w:pPr>
            <w:r w:rsidRPr="007D050F">
              <w:rPr>
                <w:rFonts w:ascii="Arial Narrow" w:hAnsi="Arial Narrow" w:cs="Calibri"/>
                <w:color w:val="000000"/>
                <w:sz w:val="20"/>
                <w:szCs w:val="20"/>
              </w:rPr>
              <w:t>$</w:t>
            </w:r>
            <w:r w:rsidR="00684AFB" w:rsidRPr="00684AFB">
              <w:rPr>
                <w:rFonts w:ascii="Arial Narrow" w:hAnsi="Arial Narrow" w:cs="Calibri"/>
                <w:color w:val="000000"/>
                <w:spacing w:val="89"/>
                <w:sz w:val="20"/>
                <w:szCs w:val="20"/>
                <w:shd w:val="solid" w:color="000000" w:fill="000000"/>
                <w:fitText w:val="175" w:id="-623627518"/>
                <w14:textFill>
                  <w14:solidFill>
                    <w14:srgbClr w14:val="000000">
                      <w14:alpha w14:val="100000"/>
                    </w14:srgbClr>
                  </w14:solidFill>
                </w14:textFill>
              </w:rPr>
              <w:t>|</w:t>
            </w:r>
            <w:r w:rsidR="00684AFB" w:rsidRPr="00684AFB">
              <w:rPr>
                <w:rFonts w:ascii="Arial Narrow" w:hAnsi="Arial Narrow" w:cs="Calibri"/>
                <w:color w:val="000000"/>
                <w:sz w:val="20"/>
                <w:szCs w:val="20"/>
                <w:shd w:val="solid" w:color="000000" w:fill="000000"/>
                <w:fitText w:val="175" w:id="-623627518"/>
                <w14:textFill>
                  <w14:solidFill>
                    <w14:srgbClr w14:val="000000">
                      <w14:alpha w14:val="100000"/>
                    </w14:srgbClr>
                  </w14:solidFill>
                </w14:textFill>
              </w:rPr>
              <w:t>|</w:t>
            </w:r>
            <w:r w:rsidR="00684AFB">
              <w:rPr>
                <w:rFonts w:ascii="Arial Narrow" w:hAnsi="Arial Narrow" w:cs="Calibri"/>
                <w:color w:val="000000"/>
                <w:sz w:val="20"/>
                <w:szCs w:val="20"/>
              </w:rPr>
              <w:t xml:space="preserve"> </w:t>
            </w:r>
            <w:r w:rsidRPr="007D050F">
              <w:rPr>
                <w:rFonts w:ascii="Arial Narrow" w:hAnsi="Arial Narrow" w:cs="Calibri"/>
                <w:color w:val="000000"/>
                <w:sz w:val="20"/>
                <w:szCs w:val="20"/>
                <w:vertAlign w:val="superscript"/>
              </w:rPr>
              <w:t>b</w:t>
            </w:r>
          </w:p>
        </w:tc>
        <w:tc>
          <w:tcPr>
            <w:tcW w:w="1909" w:type="dxa"/>
            <w:noWrap/>
            <w:vAlign w:val="center"/>
            <w:hideMark/>
          </w:tcPr>
          <w:p w14:paraId="028A2362" w14:textId="3D764BD8" w:rsidR="00D16135" w:rsidRPr="007D050F" w:rsidRDefault="00D16135" w:rsidP="001A42B0">
            <w:pPr>
              <w:keepNext/>
              <w:jc w:val="center"/>
              <w:rPr>
                <w:rFonts w:ascii="Arial Narrow" w:hAnsi="Arial Narrow" w:cs="Calibri"/>
                <w:color w:val="000000"/>
                <w:sz w:val="20"/>
                <w:szCs w:val="20"/>
                <w:lang w:eastAsia="en-GB"/>
              </w:rPr>
            </w:pPr>
            <w:r w:rsidRPr="007D050F">
              <w:rPr>
                <w:rFonts w:ascii="Arial Narrow" w:hAnsi="Arial Narrow" w:cs="Calibri"/>
                <w:color w:val="000000"/>
                <w:sz w:val="20"/>
                <w:szCs w:val="20"/>
                <w:lang w:eastAsia="en-GB"/>
              </w:rPr>
              <w:t>$</w:t>
            </w:r>
            <w:r w:rsidR="00684AFB" w:rsidRPr="00684AFB">
              <w:rPr>
                <w:rFonts w:ascii="Arial Narrow" w:hAnsi="Arial Narrow" w:cs="Calibri"/>
                <w:color w:val="000000"/>
                <w:spacing w:val="80"/>
                <w:sz w:val="20"/>
                <w:szCs w:val="20"/>
                <w:shd w:val="solid" w:color="000000" w:fill="000000"/>
                <w:fitText w:val="413" w:id="-623627264"/>
                <w:lang w:eastAsia="en-GB"/>
                <w14:textFill>
                  <w14:solidFill>
                    <w14:srgbClr w14:val="000000">
                      <w14:alpha w14:val="100000"/>
                    </w14:srgbClr>
                  </w14:solidFill>
                </w14:textFill>
              </w:rPr>
              <w:t>|||</w:t>
            </w:r>
            <w:r w:rsidR="00684AFB" w:rsidRPr="00684AFB">
              <w:rPr>
                <w:rFonts w:ascii="Arial Narrow" w:hAnsi="Arial Narrow" w:cs="Calibri"/>
                <w:color w:val="000000"/>
                <w:spacing w:val="3"/>
                <w:sz w:val="20"/>
                <w:szCs w:val="20"/>
                <w:shd w:val="solid" w:color="000000" w:fill="000000"/>
                <w:fitText w:val="413" w:id="-623627264"/>
                <w:lang w:eastAsia="en-GB"/>
                <w14:textFill>
                  <w14:solidFill>
                    <w14:srgbClr w14:val="000000">
                      <w14:alpha w14:val="100000"/>
                    </w14:srgbClr>
                  </w14:solidFill>
                </w14:textFill>
              </w:rPr>
              <w:t>|</w:t>
            </w:r>
          </w:p>
        </w:tc>
      </w:tr>
      <w:tr w:rsidR="00D16135" w:rsidRPr="00AC20B4" w14:paraId="4865334F" w14:textId="77777777" w:rsidTr="001A42B0">
        <w:trPr>
          <w:trHeight w:val="318"/>
        </w:trPr>
        <w:tc>
          <w:tcPr>
            <w:tcW w:w="2236" w:type="dxa"/>
            <w:noWrap/>
            <w:hideMark/>
          </w:tcPr>
          <w:p w14:paraId="1B352C20" w14:textId="77777777" w:rsidR="00D16135" w:rsidRPr="00AC20B4" w:rsidRDefault="00D16135" w:rsidP="001A42B0">
            <w:pPr>
              <w:keepNext/>
              <w:jc w:val="left"/>
              <w:rPr>
                <w:rFonts w:ascii="Arial Narrow" w:hAnsi="Arial Narrow" w:cs="Calibri"/>
                <w:color w:val="000000"/>
                <w:sz w:val="20"/>
                <w:szCs w:val="20"/>
                <w:lang w:eastAsia="en-GB"/>
              </w:rPr>
            </w:pPr>
            <w:r w:rsidRPr="00AC20B4">
              <w:rPr>
                <w:rFonts w:ascii="Arial Narrow" w:hAnsi="Arial Narrow" w:cs="Calibri"/>
                <w:color w:val="000000"/>
                <w:sz w:val="20"/>
                <w:szCs w:val="20"/>
                <w:lang w:eastAsia="en-GB"/>
              </w:rPr>
              <w:t>AEMP per mg</w:t>
            </w:r>
          </w:p>
        </w:tc>
        <w:tc>
          <w:tcPr>
            <w:tcW w:w="1587" w:type="dxa"/>
            <w:noWrap/>
            <w:vAlign w:val="center"/>
            <w:hideMark/>
          </w:tcPr>
          <w:p w14:paraId="61EA8355" w14:textId="142FC32B" w:rsidR="00D16135" w:rsidRPr="00CF3B3F" w:rsidRDefault="00D16135" w:rsidP="001A42B0">
            <w:pPr>
              <w:keepNext/>
              <w:keepLines/>
              <w:suppressLineNumbers/>
              <w:jc w:val="center"/>
              <w:textboxTightWrap w:val="allLines"/>
              <w:rPr>
                <w:rFonts w:ascii="Arial Narrow" w:hAnsi="Arial Narrow" w:cs="Calibri"/>
                <w:color w:val="000000"/>
                <w:sz w:val="20"/>
                <w:szCs w:val="20"/>
                <w:lang w:eastAsia="en-GB"/>
              </w:rPr>
            </w:pPr>
            <w:r w:rsidRPr="00CF3B3F">
              <w:rPr>
                <w:rFonts w:ascii="Arial Narrow" w:hAnsi="Arial Narrow" w:cs="Calibri"/>
                <w:color w:val="000000"/>
                <w:sz w:val="20"/>
                <w:szCs w:val="20"/>
              </w:rPr>
              <w:t>$</w:t>
            </w:r>
            <w:r w:rsidR="00B0047C" w:rsidRPr="00B0047C">
              <w:rPr>
                <w:rFonts w:ascii="Arial Narrow" w:hAnsi="Arial Narrow" w:cs="Calibri"/>
                <w:color w:val="000000"/>
                <w:spacing w:val="48"/>
                <w:sz w:val="20"/>
                <w:szCs w:val="20"/>
                <w:shd w:val="solid" w:color="000000" w:fill="000000"/>
                <w:fitText w:val="225" w:id="-623627772"/>
                <w14:textFill>
                  <w14:solidFill>
                    <w14:srgbClr w14:val="000000">
                      <w14:alpha w14:val="100000"/>
                    </w14:srgbClr>
                  </w14:solidFill>
                </w14:textFill>
              </w:rPr>
              <w:t>||</w:t>
            </w:r>
            <w:r w:rsidR="00B0047C" w:rsidRPr="00B0047C">
              <w:rPr>
                <w:rFonts w:ascii="Arial Narrow" w:hAnsi="Arial Narrow" w:cs="Calibri"/>
                <w:color w:val="000000"/>
                <w:spacing w:val="2"/>
                <w:sz w:val="20"/>
                <w:szCs w:val="20"/>
                <w:shd w:val="solid" w:color="000000" w:fill="000000"/>
                <w:fitText w:val="225" w:id="-623627772"/>
                <w14:textFill>
                  <w14:solidFill>
                    <w14:srgbClr w14:val="000000">
                      <w14:alpha w14:val="100000"/>
                    </w14:srgbClr>
                  </w14:solidFill>
                </w14:textFill>
              </w:rPr>
              <w:t>|</w:t>
            </w:r>
          </w:p>
        </w:tc>
        <w:tc>
          <w:tcPr>
            <w:tcW w:w="1662" w:type="dxa"/>
            <w:noWrap/>
            <w:vAlign w:val="center"/>
            <w:hideMark/>
          </w:tcPr>
          <w:p w14:paraId="7CBD3BEA" w14:textId="77777777" w:rsidR="00D16135" w:rsidRPr="00CF3B3F" w:rsidRDefault="00D16135" w:rsidP="001A42B0">
            <w:pPr>
              <w:keepNext/>
              <w:jc w:val="center"/>
              <w:rPr>
                <w:rFonts w:ascii="Arial Narrow" w:hAnsi="Arial Narrow" w:cs="Calibri"/>
                <w:color w:val="000000"/>
                <w:sz w:val="20"/>
                <w:szCs w:val="20"/>
                <w:lang w:eastAsia="en-GB"/>
              </w:rPr>
            </w:pPr>
            <w:r w:rsidRPr="00CF3B3F">
              <w:rPr>
                <w:rFonts w:ascii="Arial Narrow" w:hAnsi="Arial Narrow" w:cs="Calibri"/>
                <w:color w:val="000000"/>
                <w:sz w:val="20"/>
                <w:szCs w:val="20"/>
              </w:rPr>
              <w:t>$0.54</w:t>
            </w:r>
          </w:p>
        </w:tc>
        <w:tc>
          <w:tcPr>
            <w:tcW w:w="1620" w:type="dxa"/>
            <w:noWrap/>
            <w:vAlign w:val="center"/>
            <w:hideMark/>
          </w:tcPr>
          <w:p w14:paraId="02B0750D" w14:textId="440132D0" w:rsidR="00D16135" w:rsidRPr="007D050F" w:rsidRDefault="00D16135" w:rsidP="001A42B0">
            <w:pPr>
              <w:keepNext/>
              <w:jc w:val="center"/>
              <w:rPr>
                <w:rFonts w:ascii="Arial Narrow" w:hAnsi="Arial Narrow" w:cs="Calibri"/>
                <w:color w:val="000000"/>
                <w:sz w:val="20"/>
                <w:szCs w:val="20"/>
                <w:lang w:eastAsia="en-GB"/>
              </w:rPr>
            </w:pPr>
            <w:r w:rsidRPr="007D050F">
              <w:rPr>
                <w:rFonts w:ascii="Arial Narrow" w:hAnsi="Arial Narrow" w:cs="Calibri"/>
                <w:color w:val="000000"/>
                <w:sz w:val="20"/>
                <w:szCs w:val="20"/>
              </w:rPr>
              <w:t>$</w:t>
            </w:r>
            <w:r w:rsidR="00684AFB" w:rsidRPr="00684AFB">
              <w:rPr>
                <w:rFonts w:ascii="Arial Narrow" w:hAnsi="Arial Narrow" w:cs="Calibri"/>
                <w:color w:val="000000"/>
                <w:spacing w:val="48"/>
                <w:sz w:val="20"/>
                <w:szCs w:val="20"/>
                <w:shd w:val="solid" w:color="000000" w:fill="000000"/>
                <w:fitText w:val="225" w:id="-623627263"/>
                <w14:textFill>
                  <w14:solidFill>
                    <w14:srgbClr w14:val="000000">
                      <w14:alpha w14:val="100000"/>
                    </w14:srgbClr>
                  </w14:solidFill>
                </w14:textFill>
              </w:rPr>
              <w:t>||</w:t>
            </w:r>
            <w:r w:rsidR="00684AFB" w:rsidRPr="00684AFB">
              <w:rPr>
                <w:rFonts w:ascii="Arial Narrow" w:hAnsi="Arial Narrow" w:cs="Calibri"/>
                <w:color w:val="000000"/>
                <w:spacing w:val="2"/>
                <w:sz w:val="20"/>
                <w:szCs w:val="20"/>
                <w:shd w:val="solid" w:color="000000" w:fill="000000"/>
                <w:fitText w:val="225" w:id="-623627263"/>
                <w14:textFill>
                  <w14:solidFill>
                    <w14:srgbClr w14:val="000000">
                      <w14:alpha w14:val="100000"/>
                    </w14:srgbClr>
                  </w14:solidFill>
                </w14:textFill>
              </w:rPr>
              <w:t>|</w:t>
            </w:r>
          </w:p>
        </w:tc>
        <w:tc>
          <w:tcPr>
            <w:tcW w:w="1909" w:type="dxa"/>
            <w:noWrap/>
            <w:vAlign w:val="center"/>
            <w:hideMark/>
          </w:tcPr>
          <w:p w14:paraId="46871CB5" w14:textId="620D814A" w:rsidR="00D16135" w:rsidRPr="007D050F" w:rsidRDefault="00D16135" w:rsidP="001A42B0">
            <w:pPr>
              <w:keepNext/>
              <w:jc w:val="center"/>
              <w:rPr>
                <w:rFonts w:ascii="Arial Narrow" w:hAnsi="Arial Narrow" w:cs="Calibri"/>
                <w:color w:val="000000"/>
                <w:sz w:val="20"/>
                <w:szCs w:val="20"/>
                <w:lang w:eastAsia="en-GB"/>
              </w:rPr>
            </w:pPr>
            <w:r w:rsidRPr="007D050F">
              <w:rPr>
                <w:rFonts w:ascii="Arial Narrow" w:hAnsi="Arial Narrow" w:cs="Calibri"/>
                <w:color w:val="000000"/>
                <w:sz w:val="20"/>
                <w:szCs w:val="20"/>
                <w:lang w:eastAsia="en-GB"/>
              </w:rPr>
              <w:t>$</w:t>
            </w:r>
            <w:r w:rsidR="00684AFB" w:rsidRPr="00684AFB">
              <w:rPr>
                <w:rFonts w:ascii="Arial Narrow" w:hAnsi="Arial Narrow" w:cs="Calibri"/>
                <w:color w:val="000000"/>
                <w:spacing w:val="51"/>
                <w:sz w:val="20"/>
                <w:szCs w:val="20"/>
                <w:shd w:val="solid" w:color="000000" w:fill="000000"/>
                <w:fitText w:val="325" w:id="-623627262"/>
                <w:lang w:eastAsia="en-GB"/>
                <w14:textFill>
                  <w14:solidFill>
                    <w14:srgbClr w14:val="000000">
                      <w14:alpha w14:val="100000"/>
                    </w14:srgbClr>
                  </w14:solidFill>
                </w14:textFill>
              </w:rPr>
              <w:t>|||</w:t>
            </w:r>
            <w:r w:rsidR="00684AFB" w:rsidRPr="00684AFB">
              <w:rPr>
                <w:rFonts w:ascii="Arial Narrow" w:hAnsi="Arial Narrow" w:cs="Calibri"/>
                <w:color w:val="000000"/>
                <w:spacing w:val="2"/>
                <w:sz w:val="20"/>
                <w:szCs w:val="20"/>
                <w:shd w:val="solid" w:color="000000" w:fill="000000"/>
                <w:fitText w:val="325" w:id="-623627262"/>
                <w:lang w:eastAsia="en-GB"/>
                <w14:textFill>
                  <w14:solidFill>
                    <w14:srgbClr w14:val="000000">
                      <w14:alpha w14:val="100000"/>
                    </w14:srgbClr>
                  </w14:solidFill>
                </w14:textFill>
              </w:rPr>
              <w:t>|</w:t>
            </w:r>
          </w:p>
        </w:tc>
      </w:tr>
      <w:tr w:rsidR="00D16135" w:rsidRPr="00AC20B4" w14:paraId="6600DC93" w14:textId="77777777" w:rsidTr="001A42B0">
        <w:trPr>
          <w:trHeight w:val="318"/>
        </w:trPr>
        <w:tc>
          <w:tcPr>
            <w:tcW w:w="2236" w:type="dxa"/>
            <w:noWrap/>
            <w:vAlign w:val="center"/>
          </w:tcPr>
          <w:p w14:paraId="6D6E2939" w14:textId="77777777" w:rsidR="00D16135" w:rsidRPr="00AC20B4" w:rsidRDefault="00D16135" w:rsidP="001A42B0">
            <w:pPr>
              <w:keepNext/>
              <w:jc w:val="left"/>
              <w:rPr>
                <w:rFonts w:ascii="Arial Narrow" w:hAnsi="Arial Narrow" w:cs="Calibri"/>
                <w:color w:val="000000"/>
                <w:sz w:val="20"/>
                <w:szCs w:val="20"/>
                <w:lang w:eastAsia="en-GB"/>
              </w:rPr>
            </w:pPr>
            <w:r w:rsidRPr="00AC20B4">
              <w:rPr>
                <w:rFonts w:ascii="Arial Narrow" w:hAnsi="Arial Narrow" w:cs="Calibri"/>
                <w:color w:val="000000"/>
                <w:sz w:val="20"/>
                <w:szCs w:val="20"/>
              </w:rPr>
              <w:t>DOT (doses)</w:t>
            </w:r>
          </w:p>
        </w:tc>
        <w:tc>
          <w:tcPr>
            <w:tcW w:w="1587" w:type="dxa"/>
            <w:noWrap/>
            <w:vAlign w:val="center"/>
          </w:tcPr>
          <w:p w14:paraId="36307382" w14:textId="77777777" w:rsidR="00D16135" w:rsidRPr="00CF3B3F" w:rsidRDefault="00D16135" w:rsidP="001A42B0">
            <w:pPr>
              <w:keepNext/>
              <w:keepLines/>
              <w:suppressLineNumbers/>
              <w:jc w:val="center"/>
              <w:textboxTightWrap w:val="allLines"/>
              <w:rPr>
                <w:rFonts w:ascii="Arial Narrow" w:hAnsi="Arial Narrow" w:cs="Calibri"/>
                <w:color w:val="000000"/>
                <w:sz w:val="20"/>
                <w:szCs w:val="20"/>
                <w:vertAlign w:val="superscript"/>
              </w:rPr>
            </w:pPr>
            <w:r w:rsidRPr="00CF3B3F">
              <w:rPr>
                <w:rFonts w:ascii="Arial Narrow" w:hAnsi="Arial Narrow" w:cs="Calibri"/>
                <w:color w:val="000000"/>
                <w:sz w:val="20"/>
                <w:szCs w:val="20"/>
              </w:rPr>
              <w:t>12.7</w:t>
            </w:r>
            <w:r w:rsidRPr="00CF3B3F">
              <w:rPr>
                <w:rFonts w:ascii="Arial Narrow" w:hAnsi="Arial Narrow" w:cs="Calibri"/>
                <w:color w:val="000000"/>
                <w:sz w:val="20"/>
                <w:szCs w:val="20"/>
                <w:vertAlign w:val="superscript"/>
              </w:rPr>
              <w:t>c</w:t>
            </w:r>
          </w:p>
        </w:tc>
        <w:tc>
          <w:tcPr>
            <w:tcW w:w="1662" w:type="dxa"/>
            <w:noWrap/>
            <w:vAlign w:val="center"/>
          </w:tcPr>
          <w:p w14:paraId="7BCC092E" w14:textId="77777777" w:rsidR="00D16135" w:rsidRPr="00CF3B3F" w:rsidRDefault="00D16135" w:rsidP="001A42B0">
            <w:pPr>
              <w:keepNext/>
              <w:jc w:val="center"/>
              <w:rPr>
                <w:rFonts w:ascii="Arial Narrow" w:hAnsi="Arial Narrow" w:cs="Calibri"/>
                <w:color w:val="000000"/>
                <w:sz w:val="20"/>
                <w:szCs w:val="20"/>
                <w:vertAlign w:val="superscript"/>
              </w:rPr>
            </w:pPr>
            <w:r w:rsidRPr="00CF3B3F">
              <w:rPr>
                <w:rFonts w:ascii="Arial Narrow" w:hAnsi="Arial Narrow" w:cs="Calibri"/>
                <w:color w:val="000000"/>
                <w:sz w:val="20"/>
                <w:szCs w:val="20"/>
              </w:rPr>
              <w:t>12.7</w:t>
            </w:r>
            <w:r w:rsidRPr="00CF3B3F">
              <w:rPr>
                <w:rFonts w:ascii="Arial Narrow" w:hAnsi="Arial Narrow" w:cs="Calibri"/>
                <w:color w:val="000000"/>
                <w:sz w:val="20"/>
                <w:szCs w:val="20"/>
                <w:vertAlign w:val="superscript"/>
              </w:rPr>
              <w:t>d</w:t>
            </w:r>
          </w:p>
        </w:tc>
        <w:tc>
          <w:tcPr>
            <w:tcW w:w="1620" w:type="dxa"/>
            <w:noWrap/>
            <w:vAlign w:val="center"/>
          </w:tcPr>
          <w:p w14:paraId="5D892A70" w14:textId="77777777" w:rsidR="00D16135" w:rsidRPr="007D050F" w:rsidRDefault="00D16135" w:rsidP="001A42B0">
            <w:pPr>
              <w:keepNext/>
              <w:jc w:val="center"/>
              <w:rPr>
                <w:rFonts w:ascii="Arial Narrow" w:hAnsi="Arial Narrow" w:cs="Calibri"/>
                <w:color w:val="000000"/>
                <w:sz w:val="20"/>
                <w:szCs w:val="20"/>
                <w:vertAlign w:val="superscript"/>
              </w:rPr>
            </w:pPr>
            <w:r w:rsidRPr="007D050F">
              <w:rPr>
                <w:rFonts w:ascii="Arial Narrow" w:hAnsi="Arial Narrow" w:cs="Calibri"/>
                <w:color w:val="000000"/>
                <w:sz w:val="20"/>
                <w:szCs w:val="20"/>
              </w:rPr>
              <w:t>11.24</w:t>
            </w:r>
            <w:r w:rsidRPr="007D050F">
              <w:rPr>
                <w:rFonts w:ascii="Arial Narrow" w:hAnsi="Arial Narrow" w:cs="Calibri"/>
                <w:color w:val="000000"/>
                <w:sz w:val="20"/>
                <w:szCs w:val="20"/>
                <w:vertAlign w:val="superscript"/>
              </w:rPr>
              <w:t>e</w:t>
            </w:r>
          </w:p>
        </w:tc>
        <w:tc>
          <w:tcPr>
            <w:tcW w:w="1909" w:type="dxa"/>
            <w:noWrap/>
            <w:vAlign w:val="center"/>
          </w:tcPr>
          <w:p w14:paraId="722DE6EC" w14:textId="77777777" w:rsidR="00D16135" w:rsidRPr="007D050F" w:rsidRDefault="00D16135" w:rsidP="001A42B0">
            <w:pPr>
              <w:keepNext/>
              <w:jc w:val="center"/>
              <w:rPr>
                <w:rFonts w:ascii="Arial Narrow" w:hAnsi="Arial Narrow" w:cs="Calibri"/>
                <w:color w:val="000000"/>
                <w:sz w:val="20"/>
                <w:szCs w:val="20"/>
              </w:rPr>
            </w:pPr>
            <w:r w:rsidRPr="007D050F">
              <w:rPr>
                <w:rFonts w:ascii="Arial Narrow" w:hAnsi="Arial Narrow" w:cs="Calibri"/>
                <w:color w:val="000000"/>
                <w:sz w:val="20"/>
                <w:szCs w:val="20"/>
              </w:rPr>
              <w:t>4.0</w:t>
            </w:r>
          </w:p>
        </w:tc>
      </w:tr>
      <w:tr w:rsidR="00D16135" w:rsidRPr="00AC20B4" w14:paraId="367BB8E8" w14:textId="77777777" w:rsidTr="001A42B0">
        <w:trPr>
          <w:trHeight w:val="318"/>
        </w:trPr>
        <w:tc>
          <w:tcPr>
            <w:tcW w:w="2236" w:type="dxa"/>
            <w:noWrap/>
          </w:tcPr>
          <w:p w14:paraId="4A1AE285" w14:textId="77777777" w:rsidR="00D16135" w:rsidRPr="00AC20B4" w:rsidRDefault="00D16135" w:rsidP="001A42B0">
            <w:pPr>
              <w:keepNext/>
              <w:jc w:val="left"/>
              <w:rPr>
                <w:rFonts w:ascii="Arial Narrow" w:hAnsi="Arial Narrow" w:cs="Calibri"/>
                <w:color w:val="000000"/>
                <w:sz w:val="20"/>
                <w:szCs w:val="20"/>
                <w:lang w:eastAsia="en-GB"/>
              </w:rPr>
            </w:pPr>
            <w:r w:rsidRPr="00AC20B4">
              <w:rPr>
                <w:rFonts w:ascii="Arial Narrow" w:hAnsi="Arial Narrow" w:cs="Calibri"/>
                <w:color w:val="000000"/>
                <w:sz w:val="20"/>
                <w:szCs w:val="20"/>
                <w:lang w:eastAsia="en-GB"/>
              </w:rPr>
              <w:t>Cumulative mg per treatment course</w:t>
            </w:r>
          </w:p>
        </w:tc>
        <w:tc>
          <w:tcPr>
            <w:tcW w:w="1587" w:type="dxa"/>
            <w:noWrap/>
            <w:vAlign w:val="center"/>
          </w:tcPr>
          <w:p w14:paraId="0470F078" w14:textId="77777777" w:rsidR="00D16135" w:rsidRPr="00CF3B3F" w:rsidRDefault="00D16135" w:rsidP="001A42B0">
            <w:pPr>
              <w:keepNext/>
              <w:jc w:val="center"/>
              <w:rPr>
                <w:rFonts w:ascii="Arial Narrow" w:hAnsi="Arial Narrow" w:cs="Calibri"/>
                <w:color w:val="000000"/>
                <w:sz w:val="20"/>
                <w:szCs w:val="20"/>
                <w:lang w:eastAsia="en-GB"/>
              </w:rPr>
            </w:pPr>
            <w:r w:rsidRPr="00CF3B3F">
              <w:rPr>
                <w:rFonts w:ascii="Arial Narrow" w:hAnsi="Arial Narrow" w:cs="Calibri"/>
                <w:color w:val="000000"/>
                <w:sz w:val="20"/>
                <w:szCs w:val="20"/>
              </w:rPr>
              <w:t>15,240</w:t>
            </w:r>
          </w:p>
        </w:tc>
        <w:tc>
          <w:tcPr>
            <w:tcW w:w="1662" w:type="dxa"/>
            <w:noWrap/>
            <w:vAlign w:val="center"/>
          </w:tcPr>
          <w:p w14:paraId="7BC5F180" w14:textId="77777777" w:rsidR="00D16135" w:rsidRPr="00CF3B3F" w:rsidRDefault="00D16135" w:rsidP="001A42B0">
            <w:pPr>
              <w:keepNext/>
              <w:jc w:val="center"/>
              <w:rPr>
                <w:rFonts w:ascii="Arial Narrow" w:hAnsi="Arial Narrow" w:cs="Calibri"/>
                <w:color w:val="000000"/>
                <w:sz w:val="20"/>
                <w:szCs w:val="20"/>
                <w:lang w:eastAsia="en-GB"/>
              </w:rPr>
            </w:pPr>
            <w:r w:rsidRPr="00CF3B3F">
              <w:rPr>
                <w:rFonts w:ascii="Arial Narrow" w:hAnsi="Arial Narrow" w:cs="Calibri"/>
                <w:color w:val="000000"/>
                <w:sz w:val="20"/>
                <w:szCs w:val="20"/>
              </w:rPr>
              <w:t>13,987</w:t>
            </w:r>
          </w:p>
        </w:tc>
        <w:tc>
          <w:tcPr>
            <w:tcW w:w="1620" w:type="dxa"/>
            <w:noWrap/>
            <w:vAlign w:val="center"/>
          </w:tcPr>
          <w:p w14:paraId="73CEA765" w14:textId="77777777" w:rsidR="00D16135" w:rsidRPr="007D050F" w:rsidRDefault="00D16135" w:rsidP="001A42B0">
            <w:pPr>
              <w:keepNext/>
              <w:jc w:val="center"/>
              <w:rPr>
                <w:rFonts w:ascii="Arial Narrow" w:hAnsi="Arial Narrow" w:cs="Calibri"/>
                <w:color w:val="000000"/>
                <w:sz w:val="20"/>
                <w:szCs w:val="20"/>
                <w:lang w:eastAsia="en-GB"/>
              </w:rPr>
            </w:pPr>
            <w:r w:rsidRPr="007D050F">
              <w:rPr>
                <w:rFonts w:ascii="Arial Narrow" w:hAnsi="Arial Narrow" w:cs="Calibri"/>
                <w:color w:val="000000"/>
                <w:sz w:val="20"/>
                <w:szCs w:val="20"/>
              </w:rPr>
              <w:t>3,769</w:t>
            </w:r>
          </w:p>
        </w:tc>
        <w:tc>
          <w:tcPr>
            <w:tcW w:w="1909" w:type="dxa"/>
            <w:noWrap/>
            <w:vAlign w:val="center"/>
          </w:tcPr>
          <w:p w14:paraId="59F8BD1C" w14:textId="77777777" w:rsidR="00D16135" w:rsidRPr="007D050F" w:rsidRDefault="00D16135" w:rsidP="001A42B0">
            <w:pPr>
              <w:keepNext/>
              <w:jc w:val="center"/>
              <w:rPr>
                <w:rFonts w:ascii="Arial Narrow" w:hAnsi="Arial Narrow" w:cs="Calibri"/>
                <w:color w:val="000000"/>
                <w:sz w:val="20"/>
                <w:szCs w:val="20"/>
                <w:lang w:eastAsia="en-GB"/>
              </w:rPr>
            </w:pPr>
            <w:r w:rsidRPr="007D050F">
              <w:rPr>
                <w:rFonts w:ascii="Arial Narrow" w:hAnsi="Arial Narrow" w:cs="Calibri"/>
                <w:color w:val="000000"/>
                <w:sz w:val="20"/>
                <w:szCs w:val="20"/>
              </w:rPr>
              <w:t>881</w:t>
            </w:r>
          </w:p>
        </w:tc>
      </w:tr>
      <w:tr w:rsidR="00D16135" w:rsidRPr="00AC20B4" w14:paraId="6FC02D91" w14:textId="77777777" w:rsidTr="001A42B0">
        <w:trPr>
          <w:trHeight w:val="318"/>
        </w:trPr>
        <w:tc>
          <w:tcPr>
            <w:tcW w:w="2236" w:type="dxa"/>
            <w:noWrap/>
            <w:hideMark/>
          </w:tcPr>
          <w:p w14:paraId="43717F09" w14:textId="77777777" w:rsidR="00D16135" w:rsidRPr="00AC20B4" w:rsidRDefault="00D16135" w:rsidP="001A42B0">
            <w:pPr>
              <w:keepNext/>
              <w:jc w:val="left"/>
              <w:rPr>
                <w:rFonts w:ascii="Arial Narrow" w:hAnsi="Arial Narrow" w:cs="Calibri"/>
                <w:color w:val="000000"/>
                <w:sz w:val="20"/>
                <w:szCs w:val="20"/>
                <w:lang w:eastAsia="en-GB"/>
              </w:rPr>
            </w:pPr>
            <w:r w:rsidRPr="00AC20B4">
              <w:rPr>
                <w:rFonts w:ascii="Arial Narrow" w:hAnsi="Arial Narrow" w:cs="Calibri"/>
                <w:color w:val="000000"/>
                <w:sz w:val="20"/>
                <w:szCs w:val="20"/>
                <w:lang w:eastAsia="en-GB"/>
              </w:rPr>
              <w:t>Total treatment costs per patient per course by drug</w:t>
            </w:r>
          </w:p>
        </w:tc>
        <w:tc>
          <w:tcPr>
            <w:tcW w:w="1587" w:type="dxa"/>
            <w:noWrap/>
            <w:vAlign w:val="center"/>
            <w:hideMark/>
          </w:tcPr>
          <w:p w14:paraId="7423658A" w14:textId="19FE08DF" w:rsidR="00D16135" w:rsidRPr="00CF3B3F" w:rsidRDefault="00D16135" w:rsidP="001A42B0">
            <w:pPr>
              <w:keepNext/>
              <w:keepLines/>
              <w:suppressLineNumbers/>
              <w:jc w:val="center"/>
              <w:textboxTightWrap w:val="allLines"/>
              <w:rPr>
                <w:rFonts w:ascii="Arial Narrow" w:hAnsi="Arial Narrow" w:cs="Calibri"/>
                <w:color w:val="000000"/>
                <w:sz w:val="20"/>
                <w:szCs w:val="20"/>
                <w:lang w:eastAsia="en-GB"/>
              </w:rPr>
            </w:pPr>
            <w:r w:rsidRPr="00CF3B3F">
              <w:rPr>
                <w:rFonts w:ascii="Arial Narrow" w:hAnsi="Arial Narrow" w:cs="Calibri"/>
                <w:color w:val="000000"/>
                <w:sz w:val="20"/>
                <w:szCs w:val="20"/>
              </w:rPr>
              <w:t>$</w:t>
            </w:r>
            <w:r w:rsidR="00684AFB" w:rsidRPr="00684AFB">
              <w:rPr>
                <w:rFonts w:ascii="Arial Narrow" w:hAnsi="Arial Narrow" w:cs="Calibri"/>
                <w:color w:val="000000"/>
                <w:spacing w:val="42"/>
                <w:sz w:val="20"/>
                <w:szCs w:val="20"/>
                <w:shd w:val="solid" w:color="000000" w:fill="000000"/>
                <w:fitText w:val="639" w:id="-623627520"/>
                <w14:textFill>
                  <w14:solidFill>
                    <w14:srgbClr w14:val="000000">
                      <w14:alpha w14:val="100000"/>
                    </w14:srgbClr>
                  </w14:solidFill>
                </w14:textFill>
              </w:rPr>
              <w:t>|||||||</w:t>
            </w:r>
            <w:r w:rsidR="00684AFB" w:rsidRPr="00684AFB">
              <w:rPr>
                <w:rFonts w:ascii="Arial Narrow" w:hAnsi="Arial Narrow" w:cs="Calibri"/>
                <w:color w:val="000000"/>
                <w:spacing w:val="5"/>
                <w:sz w:val="20"/>
                <w:szCs w:val="20"/>
                <w:shd w:val="solid" w:color="000000" w:fill="000000"/>
                <w:fitText w:val="639" w:id="-623627520"/>
                <w14:textFill>
                  <w14:solidFill>
                    <w14:srgbClr w14:val="000000">
                      <w14:alpha w14:val="100000"/>
                    </w14:srgbClr>
                  </w14:solidFill>
                </w14:textFill>
              </w:rPr>
              <w:t>|</w:t>
            </w:r>
          </w:p>
        </w:tc>
        <w:tc>
          <w:tcPr>
            <w:tcW w:w="1662" w:type="dxa"/>
            <w:noWrap/>
            <w:vAlign w:val="center"/>
            <w:hideMark/>
          </w:tcPr>
          <w:p w14:paraId="0CFB6735" w14:textId="4BDF6EC0" w:rsidR="00D16135" w:rsidRPr="00CF3B3F" w:rsidRDefault="00D16135" w:rsidP="001A42B0">
            <w:pPr>
              <w:keepNext/>
              <w:keepLines/>
              <w:suppressLineNumbers/>
              <w:jc w:val="center"/>
              <w:textboxTightWrap w:val="allLines"/>
              <w:rPr>
                <w:rFonts w:ascii="Arial Narrow" w:hAnsi="Arial Narrow" w:cs="Calibri"/>
                <w:color w:val="000000"/>
                <w:sz w:val="20"/>
                <w:szCs w:val="20"/>
                <w:lang w:eastAsia="en-GB"/>
              </w:rPr>
            </w:pPr>
            <w:r w:rsidRPr="00CF3B3F">
              <w:rPr>
                <w:rFonts w:ascii="Arial Narrow" w:hAnsi="Arial Narrow" w:cs="Calibri"/>
                <w:color w:val="000000"/>
                <w:sz w:val="20"/>
                <w:szCs w:val="20"/>
              </w:rPr>
              <w:t>$</w:t>
            </w:r>
            <w:r w:rsidR="00684AFB" w:rsidRPr="00684AFB">
              <w:rPr>
                <w:rFonts w:ascii="Arial Narrow" w:hAnsi="Arial Narrow" w:cs="Calibri"/>
                <w:color w:val="000000"/>
                <w:spacing w:val="30"/>
                <w:sz w:val="20"/>
                <w:szCs w:val="20"/>
                <w:shd w:val="solid" w:color="000000" w:fill="000000"/>
                <w:fitText w:val="551" w:id="-623627519"/>
                <w14:textFill>
                  <w14:solidFill>
                    <w14:srgbClr w14:val="000000">
                      <w14:alpha w14:val="100000"/>
                    </w14:srgbClr>
                  </w14:solidFill>
                </w14:textFill>
              </w:rPr>
              <w:t>|||||||</w:t>
            </w:r>
            <w:r w:rsidR="00684AFB" w:rsidRPr="00684AFB">
              <w:rPr>
                <w:rFonts w:ascii="Arial Narrow" w:hAnsi="Arial Narrow" w:cs="Calibri"/>
                <w:color w:val="000000"/>
                <w:spacing w:val="1"/>
                <w:sz w:val="20"/>
                <w:szCs w:val="20"/>
                <w:shd w:val="solid" w:color="000000" w:fill="000000"/>
                <w:fitText w:val="551" w:id="-623627519"/>
                <w14:textFill>
                  <w14:solidFill>
                    <w14:srgbClr w14:val="000000">
                      <w14:alpha w14:val="100000"/>
                    </w14:srgbClr>
                  </w14:solidFill>
                </w14:textFill>
              </w:rPr>
              <w:t>|</w:t>
            </w:r>
          </w:p>
        </w:tc>
        <w:tc>
          <w:tcPr>
            <w:tcW w:w="1620" w:type="dxa"/>
            <w:noWrap/>
            <w:vAlign w:val="center"/>
            <w:hideMark/>
          </w:tcPr>
          <w:p w14:paraId="23B30A56" w14:textId="6A570AE9" w:rsidR="00D16135" w:rsidRPr="007D050F" w:rsidRDefault="00D16135" w:rsidP="001A42B0">
            <w:pPr>
              <w:keepNext/>
              <w:keepLines/>
              <w:suppressLineNumbers/>
              <w:jc w:val="center"/>
              <w:textboxTightWrap w:val="allLines"/>
              <w:rPr>
                <w:rFonts w:ascii="Arial Narrow" w:hAnsi="Arial Narrow" w:cs="Calibri"/>
                <w:color w:val="000000"/>
                <w:sz w:val="20"/>
                <w:szCs w:val="20"/>
                <w:lang w:eastAsia="en-GB"/>
              </w:rPr>
            </w:pPr>
            <w:r w:rsidRPr="007D050F">
              <w:rPr>
                <w:rFonts w:ascii="Arial Narrow" w:hAnsi="Arial Narrow" w:cs="Calibri"/>
                <w:color w:val="000000"/>
                <w:sz w:val="20"/>
                <w:szCs w:val="20"/>
              </w:rPr>
              <w:t>$</w:t>
            </w:r>
            <w:r w:rsidR="00684AFB" w:rsidRPr="00684AFB">
              <w:rPr>
                <w:rFonts w:ascii="Arial Narrow" w:hAnsi="Arial Narrow" w:cs="Calibri"/>
                <w:color w:val="000000"/>
                <w:spacing w:val="42"/>
                <w:sz w:val="20"/>
                <w:szCs w:val="20"/>
                <w:shd w:val="solid" w:color="000000" w:fill="000000"/>
                <w:fitText w:val="639" w:id="-623627261"/>
                <w14:textFill>
                  <w14:solidFill>
                    <w14:srgbClr w14:val="000000">
                      <w14:alpha w14:val="100000"/>
                    </w14:srgbClr>
                  </w14:solidFill>
                </w14:textFill>
              </w:rPr>
              <w:t>|||||||</w:t>
            </w:r>
            <w:r w:rsidR="00684AFB" w:rsidRPr="00684AFB">
              <w:rPr>
                <w:rFonts w:ascii="Arial Narrow" w:hAnsi="Arial Narrow" w:cs="Calibri"/>
                <w:color w:val="000000"/>
                <w:spacing w:val="5"/>
                <w:sz w:val="20"/>
                <w:szCs w:val="20"/>
                <w:shd w:val="solid" w:color="000000" w:fill="000000"/>
                <w:fitText w:val="639" w:id="-623627261"/>
                <w14:textFill>
                  <w14:solidFill>
                    <w14:srgbClr w14:val="000000">
                      <w14:alpha w14:val="100000"/>
                    </w14:srgbClr>
                  </w14:solidFill>
                </w14:textFill>
              </w:rPr>
              <w:t>|</w:t>
            </w:r>
          </w:p>
        </w:tc>
        <w:tc>
          <w:tcPr>
            <w:tcW w:w="1909" w:type="dxa"/>
            <w:noWrap/>
            <w:vAlign w:val="center"/>
            <w:hideMark/>
          </w:tcPr>
          <w:p w14:paraId="26A053EB" w14:textId="68DD1367" w:rsidR="00D16135" w:rsidRPr="007D050F" w:rsidRDefault="00D16135" w:rsidP="001A42B0">
            <w:pPr>
              <w:keepNext/>
              <w:keepLines/>
              <w:suppressLineNumbers/>
              <w:jc w:val="center"/>
              <w:textboxTightWrap w:val="allLines"/>
              <w:rPr>
                <w:rFonts w:ascii="Arial Narrow" w:hAnsi="Arial Narrow" w:cs="Calibri"/>
                <w:color w:val="000000"/>
                <w:sz w:val="20"/>
                <w:szCs w:val="20"/>
                <w:lang w:eastAsia="en-GB"/>
              </w:rPr>
            </w:pPr>
            <w:r w:rsidRPr="007D050F">
              <w:rPr>
                <w:rFonts w:ascii="Arial Narrow" w:hAnsi="Arial Narrow" w:cs="Calibri"/>
                <w:color w:val="000000"/>
                <w:sz w:val="20"/>
                <w:szCs w:val="20"/>
              </w:rPr>
              <w:t>$</w:t>
            </w:r>
            <w:r w:rsidR="00684AFB" w:rsidRPr="00684AFB">
              <w:rPr>
                <w:rFonts w:ascii="Arial Narrow" w:hAnsi="Arial Narrow" w:cs="Calibri"/>
                <w:color w:val="000000"/>
                <w:spacing w:val="42"/>
                <w:sz w:val="20"/>
                <w:szCs w:val="20"/>
                <w:shd w:val="solid" w:color="000000" w:fill="000000"/>
                <w:fitText w:val="638" w:id="-623627260"/>
                <w14:textFill>
                  <w14:solidFill>
                    <w14:srgbClr w14:val="000000">
                      <w14:alpha w14:val="100000"/>
                    </w14:srgbClr>
                  </w14:solidFill>
                </w14:textFill>
              </w:rPr>
              <w:t>|||||||</w:t>
            </w:r>
            <w:r w:rsidR="00684AFB" w:rsidRPr="00684AFB">
              <w:rPr>
                <w:rFonts w:ascii="Arial Narrow" w:hAnsi="Arial Narrow" w:cs="Calibri"/>
                <w:color w:val="000000"/>
                <w:spacing w:val="4"/>
                <w:sz w:val="20"/>
                <w:szCs w:val="20"/>
                <w:shd w:val="solid" w:color="000000" w:fill="000000"/>
                <w:fitText w:val="638" w:id="-623627260"/>
                <w14:textFill>
                  <w14:solidFill>
                    <w14:srgbClr w14:val="000000">
                      <w14:alpha w14:val="100000"/>
                    </w14:srgbClr>
                  </w14:solidFill>
                </w14:textFill>
              </w:rPr>
              <w:t>|</w:t>
            </w:r>
          </w:p>
        </w:tc>
      </w:tr>
      <w:tr w:rsidR="00D16135" w:rsidRPr="00AC20B4" w14:paraId="37687663" w14:textId="77777777" w:rsidTr="001A42B0">
        <w:trPr>
          <w:trHeight w:val="303"/>
        </w:trPr>
        <w:tc>
          <w:tcPr>
            <w:tcW w:w="2236" w:type="dxa"/>
            <w:noWrap/>
            <w:vAlign w:val="center"/>
            <w:hideMark/>
          </w:tcPr>
          <w:p w14:paraId="3AA113A7" w14:textId="77777777" w:rsidR="00D16135" w:rsidRPr="00AC20B4" w:rsidRDefault="00D16135" w:rsidP="001A42B0">
            <w:pPr>
              <w:keepNext/>
              <w:jc w:val="left"/>
              <w:rPr>
                <w:rFonts w:ascii="Arial Narrow" w:hAnsi="Arial Narrow" w:cs="Calibri"/>
                <w:color w:val="000000"/>
                <w:sz w:val="20"/>
                <w:szCs w:val="20"/>
                <w:lang w:eastAsia="en-GB"/>
              </w:rPr>
            </w:pPr>
            <w:r w:rsidRPr="00AC20B4">
              <w:rPr>
                <w:rFonts w:ascii="Arial Narrow" w:hAnsi="Arial Narrow" w:cs="Calibri"/>
                <w:color w:val="000000"/>
                <w:sz w:val="20"/>
                <w:szCs w:val="20"/>
                <w:lang w:eastAsia="en-GB"/>
              </w:rPr>
              <w:t>Total treatment costs per patient per course</w:t>
            </w:r>
          </w:p>
        </w:tc>
        <w:tc>
          <w:tcPr>
            <w:tcW w:w="3249" w:type="dxa"/>
            <w:gridSpan w:val="2"/>
            <w:noWrap/>
            <w:vAlign w:val="center"/>
            <w:hideMark/>
          </w:tcPr>
          <w:p w14:paraId="507BD0CC" w14:textId="0912E4FA" w:rsidR="00D16135" w:rsidRPr="00CF3B3F" w:rsidRDefault="00D16135" w:rsidP="001A42B0">
            <w:pPr>
              <w:keepNext/>
              <w:keepLines/>
              <w:suppressLineNumbers/>
              <w:jc w:val="center"/>
              <w:textboxTightWrap w:val="allLines"/>
              <w:rPr>
                <w:rFonts w:ascii="Arial Narrow" w:hAnsi="Arial Narrow" w:cs="Calibri"/>
                <w:color w:val="000000"/>
                <w:sz w:val="20"/>
                <w:szCs w:val="20"/>
                <w:lang w:eastAsia="en-GB"/>
              </w:rPr>
            </w:pPr>
            <w:r w:rsidRPr="00CF3B3F">
              <w:rPr>
                <w:rFonts w:ascii="Arial Narrow" w:hAnsi="Arial Narrow"/>
                <w:sz w:val="20"/>
                <w:szCs w:val="20"/>
                <w:lang w:eastAsia="en-GB"/>
              </w:rPr>
              <w:t>$</w:t>
            </w:r>
            <w:r w:rsidR="00684AFB" w:rsidRPr="00684AFB">
              <w:rPr>
                <w:rFonts w:ascii="Arial Narrow" w:hAnsi="Arial Narrow"/>
                <w:color w:val="000000"/>
                <w:spacing w:val="42"/>
                <w:sz w:val="20"/>
                <w:szCs w:val="20"/>
                <w:shd w:val="solid" w:color="000000" w:fill="000000"/>
                <w:fitText w:val="639" w:id="-623627259"/>
                <w:lang w:eastAsia="en-GB"/>
                <w14:textFill>
                  <w14:solidFill>
                    <w14:srgbClr w14:val="000000">
                      <w14:alpha w14:val="100000"/>
                    </w14:srgbClr>
                  </w14:solidFill>
                </w14:textFill>
              </w:rPr>
              <w:t>|||||||</w:t>
            </w:r>
            <w:r w:rsidR="00684AFB" w:rsidRPr="00684AFB">
              <w:rPr>
                <w:rFonts w:ascii="Arial Narrow" w:hAnsi="Arial Narrow"/>
                <w:color w:val="000000"/>
                <w:spacing w:val="5"/>
                <w:sz w:val="20"/>
                <w:szCs w:val="20"/>
                <w:shd w:val="solid" w:color="000000" w:fill="000000"/>
                <w:fitText w:val="639" w:id="-623627259"/>
                <w:lang w:eastAsia="en-GB"/>
                <w14:textFill>
                  <w14:solidFill>
                    <w14:srgbClr w14:val="000000">
                      <w14:alpha w14:val="100000"/>
                    </w14:srgbClr>
                  </w14:solidFill>
                </w14:textFill>
              </w:rPr>
              <w:t>|</w:t>
            </w:r>
          </w:p>
        </w:tc>
        <w:tc>
          <w:tcPr>
            <w:tcW w:w="3529" w:type="dxa"/>
            <w:gridSpan w:val="2"/>
            <w:noWrap/>
            <w:vAlign w:val="center"/>
            <w:hideMark/>
          </w:tcPr>
          <w:p w14:paraId="390607DD" w14:textId="63EB30E5" w:rsidR="00D16135" w:rsidRPr="009D24F2" w:rsidRDefault="00D16135" w:rsidP="001A42B0">
            <w:pPr>
              <w:keepNext/>
              <w:keepLines/>
              <w:suppressLineNumbers/>
              <w:jc w:val="center"/>
              <w:textboxTightWrap w:val="allLines"/>
              <w:rPr>
                <w:rFonts w:ascii="Arial Narrow" w:hAnsi="Arial Narrow" w:cs="Calibri"/>
                <w:color w:val="000000"/>
                <w:sz w:val="20"/>
                <w:szCs w:val="20"/>
                <w:lang w:eastAsia="en-GB"/>
              </w:rPr>
            </w:pPr>
            <w:r w:rsidRPr="009D24F2">
              <w:rPr>
                <w:rFonts w:ascii="Arial Narrow" w:hAnsi="Arial Narrow"/>
                <w:sz w:val="20"/>
                <w:szCs w:val="20"/>
                <w:lang w:eastAsia="en-GB"/>
              </w:rPr>
              <w:t>$</w:t>
            </w:r>
            <w:r w:rsidR="00684AFB" w:rsidRPr="00684AFB">
              <w:rPr>
                <w:rFonts w:ascii="Arial Narrow" w:hAnsi="Arial Narrow"/>
                <w:color w:val="000000"/>
                <w:spacing w:val="42"/>
                <w:sz w:val="20"/>
                <w:szCs w:val="20"/>
                <w:shd w:val="solid" w:color="000000" w:fill="000000"/>
                <w:fitText w:val="638" w:id="-623627258"/>
                <w:lang w:eastAsia="en-GB"/>
                <w14:textFill>
                  <w14:solidFill>
                    <w14:srgbClr w14:val="000000">
                      <w14:alpha w14:val="100000"/>
                    </w14:srgbClr>
                  </w14:solidFill>
                </w14:textFill>
              </w:rPr>
              <w:t>|||||||</w:t>
            </w:r>
            <w:r w:rsidR="00684AFB" w:rsidRPr="00684AFB">
              <w:rPr>
                <w:rFonts w:ascii="Arial Narrow" w:hAnsi="Arial Narrow"/>
                <w:color w:val="000000"/>
                <w:spacing w:val="4"/>
                <w:sz w:val="20"/>
                <w:szCs w:val="20"/>
                <w:shd w:val="solid" w:color="000000" w:fill="000000"/>
                <w:fitText w:val="638" w:id="-623627258"/>
                <w:lang w:eastAsia="en-GB"/>
                <w14:textFill>
                  <w14:solidFill>
                    <w14:srgbClr w14:val="000000">
                      <w14:alpha w14:val="100000"/>
                    </w14:srgbClr>
                  </w14:solidFill>
                </w14:textFill>
              </w:rPr>
              <w:t>|</w:t>
            </w:r>
          </w:p>
        </w:tc>
      </w:tr>
      <w:tr w:rsidR="00D16135" w:rsidRPr="00AC20B4" w14:paraId="769A3717" w14:textId="77777777" w:rsidTr="001A42B0">
        <w:trPr>
          <w:trHeight w:val="303"/>
        </w:trPr>
        <w:tc>
          <w:tcPr>
            <w:tcW w:w="2236" w:type="dxa"/>
            <w:noWrap/>
            <w:vAlign w:val="center"/>
            <w:hideMark/>
          </w:tcPr>
          <w:p w14:paraId="3D928A48" w14:textId="77777777" w:rsidR="00D16135" w:rsidRPr="00AC20B4" w:rsidRDefault="00D16135" w:rsidP="001A42B0">
            <w:pPr>
              <w:keepNext/>
              <w:jc w:val="left"/>
              <w:rPr>
                <w:rFonts w:ascii="Arial Narrow" w:hAnsi="Arial Narrow" w:cs="Calibri"/>
                <w:color w:val="000000"/>
                <w:sz w:val="20"/>
                <w:szCs w:val="20"/>
                <w:lang w:eastAsia="en-GB"/>
              </w:rPr>
            </w:pPr>
            <w:r w:rsidRPr="00AC20B4">
              <w:rPr>
                <w:rFonts w:ascii="Arial Narrow" w:hAnsi="Arial Narrow" w:cs="Calibri"/>
                <w:color w:val="000000"/>
                <w:sz w:val="20"/>
                <w:szCs w:val="20"/>
                <w:lang w:eastAsia="en-GB"/>
              </w:rPr>
              <w:t>MBS costs administration of the intravenous infusion</w:t>
            </w:r>
          </w:p>
        </w:tc>
        <w:tc>
          <w:tcPr>
            <w:tcW w:w="3249" w:type="dxa"/>
            <w:gridSpan w:val="2"/>
            <w:noWrap/>
            <w:vAlign w:val="center"/>
            <w:hideMark/>
          </w:tcPr>
          <w:p w14:paraId="39CFCF96" w14:textId="77777777" w:rsidR="00D16135" w:rsidRPr="00535E82" w:rsidRDefault="00D16135" w:rsidP="001A42B0">
            <w:pPr>
              <w:keepNext/>
              <w:keepLines/>
              <w:suppressLineNumbers/>
              <w:jc w:val="center"/>
              <w:textboxTightWrap w:val="allLines"/>
              <w:rPr>
                <w:rFonts w:ascii="Arial Narrow" w:hAnsi="Arial Narrow" w:cs="Calibri"/>
                <w:color w:val="000000"/>
                <w:sz w:val="20"/>
                <w:szCs w:val="20"/>
                <w:lang w:eastAsia="en-GB"/>
              </w:rPr>
            </w:pPr>
            <w:r w:rsidRPr="00535E82">
              <w:rPr>
                <w:rFonts w:ascii="Arial Narrow" w:hAnsi="Arial Narrow"/>
                <w:sz w:val="20"/>
                <w:szCs w:val="20"/>
                <w:lang w:eastAsia="en-GB"/>
              </w:rPr>
              <w:t>$1,556.99</w:t>
            </w:r>
          </w:p>
        </w:tc>
        <w:tc>
          <w:tcPr>
            <w:tcW w:w="3529" w:type="dxa"/>
            <w:gridSpan w:val="2"/>
            <w:noWrap/>
            <w:vAlign w:val="center"/>
            <w:hideMark/>
          </w:tcPr>
          <w:p w14:paraId="745B88C1" w14:textId="77777777" w:rsidR="00D16135" w:rsidRPr="009D24F2" w:rsidRDefault="00D16135" w:rsidP="001A42B0">
            <w:pPr>
              <w:keepNext/>
              <w:keepLines/>
              <w:suppressLineNumbers/>
              <w:jc w:val="center"/>
              <w:textboxTightWrap w:val="allLines"/>
              <w:rPr>
                <w:rFonts w:ascii="Arial Narrow" w:hAnsi="Arial Narrow" w:cs="Calibri"/>
                <w:color w:val="000000"/>
                <w:sz w:val="20"/>
                <w:szCs w:val="20"/>
                <w:lang w:eastAsia="en-GB"/>
              </w:rPr>
            </w:pPr>
            <w:r w:rsidRPr="009D24F2">
              <w:rPr>
                <w:rFonts w:ascii="Arial Narrow" w:hAnsi="Arial Narrow"/>
                <w:sz w:val="20"/>
                <w:szCs w:val="20"/>
                <w:lang w:eastAsia="en-GB"/>
              </w:rPr>
              <w:t>$1,383.08</w:t>
            </w:r>
          </w:p>
        </w:tc>
      </w:tr>
      <w:tr w:rsidR="00D16135" w:rsidRPr="00AC20B4" w14:paraId="6BDA43DD" w14:textId="77777777" w:rsidTr="001A42B0">
        <w:trPr>
          <w:trHeight w:val="318"/>
        </w:trPr>
        <w:tc>
          <w:tcPr>
            <w:tcW w:w="2236" w:type="dxa"/>
            <w:noWrap/>
            <w:vAlign w:val="center"/>
            <w:hideMark/>
          </w:tcPr>
          <w:p w14:paraId="15406B9D" w14:textId="77777777" w:rsidR="00D16135" w:rsidRPr="00AC20B4" w:rsidRDefault="00D16135" w:rsidP="001A42B0">
            <w:pPr>
              <w:keepNext/>
              <w:jc w:val="left"/>
              <w:rPr>
                <w:rFonts w:ascii="Arial Narrow" w:hAnsi="Arial Narrow" w:cs="Calibri"/>
                <w:color w:val="000000"/>
                <w:sz w:val="20"/>
                <w:szCs w:val="20"/>
                <w:lang w:eastAsia="en-GB"/>
              </w:rPr>
            </w:pPr>
            <w:r w:rsidRPr="00AC20B4">
              <w:rPr>
                <w:rFonts w:ascii="Arial Narrow" w:hAnsi="Arial Narrow" w:cs="Calibri"/>
                <w:color w:val="000000"/>
                <w:sz w:val="20"/>
                <w:szCs w:val="20"/>
                <w:lang w:eastAsia="en-GB"/>
              </w:rPr>
              <w:t>Total treatment costs including administration</w:t>
            </w:r>
          </w:p>
        </w:tc>
        <w:tc>
          <w:tcPr>
            <w:tcW w:w="6778" w:type="dxa"/>
            <w:gridSpan w:val="4"/>
            <w:noWrap/>
            <w:vAlign w:val="center"/>
            <w:hideMark/>
          </w:tcPr>
          <w:p w14:paraId="636D1C0E" w14:textId="1EC039C5" w:rsidR="00D16135" w:rsidRPr="009D24F2" w:rsidRDefault="00D16135" w:rsidP="001A42B0">
            <w:pPr>
              <w:keepNext/>
              <w:keepLines/>
              <w:suppressLineNumbers/>
              <w:jc w:val="center"/>
              <w:textboxTightWrap w:val="allLines"/>
              <w:rPr>
                <w:rFonts w:ascii="Arial Narrow" w:hAnsi="Arial Narrow" w:cs="Calibri"/>
                <w:color w:val="000000"/>
                <w:sz w:val="20"/>
                <w:szCs w:val="20"/>
                <w:lang w:eastAsia="en-GB"/>
              </w:rPr>
            </w:pPr>
            <w:r w:rsidRPr="009D24F2">
              <w:rPr>
                <w:rFonts w:ascii="Arial Narrow" w:hAnsi="Arial Narrow"/>
                <w:sz w:val="20"/>
                <w:szCs w:val="20"/>
                <w:lang w:eastAsia="en-GB"/>
              </w:rPr>
              <w:t>$</w:t>
            </w:r>
            <w:r w:rsidR="00684AFB" w:rsidRPr="00684AFB">
              <w:rPr>
                <w:rFonts w:ascii="Arial Narrow" w:hAnsi="Arial Narrow"/>
                <w:color w:val="000000"/>
                <w:spacing w:val="42"/>
                <w:sz w:val="20"/>
                <w:szCs w:val="20"/>
                <w:shd w:val="solid" w:color="000000" w:fill="000000"/>
                <w:fitText w:val="639" w:id="-623627256"/>
                <w:lang w:eastAsia="en-GB"/>
                <w14:textFill>
                  <w14:solidFill>
                    <w14:srgbClr w14:val="000000">
                      <w14:alpha w14:val="100000"/>
                    </w14:srgbClr>
                  </w14:solidFill>
                </w14:textFill>
              </w:rPr>
              <w:t>|||||||</w:t>
            </w:r>
            <w:r w:rsidR="00684AFB" w:rsidRPr="00684AFB">
              <w:rPr>
                <w:rFonts w:ascii="Arial Narrow" w:hAnsi="Arial Narrow"/>
                <w:color w:val="000000"/>
                <w:spacing w:val="5"/>
                <w:sz w:val="20"/>
                <w:szCs w:val="20"/>
                <w:shd w:val="solid" w:color="000000" w:fill="000000"/>
                <w:fitText w:val="639" w:id="-623627256"/>
                <w:lang w:eastAsia="en-GB"/>
                <w14:textFill>
                  <w14:solidFill>
                    <w14:srgbClr w14:val="000000">
                      <w14:alpha w14:val="100000"/>
                    </w14:srgbClr>
                  </w14:solidFill>
                </w14:textFill>
              </w:rPr>
              <w:t>|</w:t>
            </w:r>
          </w:p>
        </w:tc>
      </w:tr>
    </w:tbl>
    <w:p w14:paraId="2F6A5C03" w14:textId="77777777" w:rsidR="00D16135" w:rsidRPr="00AC20B4" w:rsidRDefault="00D16135" w:rsidP="00D16135">
      <w:pPr>
        <w:keepNext/>
        <w:spacing w:after="120"/>
        <w:contextualSpacing/>
        <w:rPr>
          <w:rFonts w:ascii="Arial Narrow" w:hAnsi="Arial Narrow"/>
          <w:snapToGrid w:val="0"/>
          <w:sz w:val="18"/>
          <w:szCs w:val="22"/>
        </w:rPr>
      </w:pPr>
      <w:r w:rsidRPr="00AC20B4">
        <w:rPr>
          <w:rFonts w:ascii="Arial Narrow" w:hAnsi="Arial Narrow"/>
          <w:snapToGrid w:val="0"/>
          <w:sz w:val="18"/>
          <w:szCs w:val="22"/>
        </w:rPr>
        <w:t>Source: Calculated during the preparation of the ESC advice</w:t>
      </w:r>
    </w:p>
    <w:p w14:paraId="1E58BA21" w14:textId="77777777" w:rsidR="00D16135" w:rsidRPr="00AC20B4" w:rsidRDefault="00D16135" w:rsidP="00D16135">
      <w:pPr>
        <w:keepNext/>
        <w:spacing w:after="120"/>
        <w:contextualSpacing/>
        <w:rPr>
          <w:rFonts w:ascii="Arial Narrow" w:hAnsi="Arial Narrow"/>
          <w:snapToGrid w:val="0"/>
          <w:sz w:val="18"/>
          <w:szCs w:val="22"/>
        </w:rPr>
      </w:pPr>
      <w:r w:rsidRPr="00AC20B4">
        <w:rPr>
          <w:rFonts w:ascii="Arial Narrow" w:hAnsi="Arial Narrow"/>
          <w:snapToGrid w:val="0"/>
          <w:sz w:val="18"/>
          <w:szCs w:val="22"/>
        </w:rPr>
        <w:t>AEMP = approved ex-manufacturer price; MBS = Medicare Benefits Schedule; PBS = Pharmaceutical Benefits Scheme.</w:t>
      </w:r>
    </w:p>
    <w:p w14:paraId="4CE95210" w14:textId="77777777" w:rsidR="00D16135" w:rsidRPr="00AC20B4" w:rsidRDefault="00D16135" w:rsidP="00D16135">
      <w:pPr>
        <w:keepNext/>
        <w:spacing w:after="120"/>
        <w:contextualSpacing/>
        <w:rPr>
          <w:rFonts w:ascii="Arial Narrow" w:hAnsi="Arial Narrow"/>
          <w:snapToGrid w:val="0"/>
          <w:sz w:val="18"/>
          <w:szCs w:val="22"/>
        </w:rPr>
      </w:pPr>
      <w:r w:rsidRPr="00AC20B4">
        <w:rPr>
          <w:rFonts w:ascii="Arial Narrow" w:hAnsi="Arial Narrow"/>
          <w:snapToGrid w:val="0"/>
          <w:sz w:val="18"/>
          <w:szCs w:val="22"/>
          <w:vertAlign w:val="superscript"/>
        </w:rPr>
        <w:t>a</w:t>
      </w:r>
      <w:r w:rsidRPr="00AC20B4">
        <w:rPr>
          <w:rFonts w:ascii="Arial Narrow" w:hAnsi="Arial Narrow"/>
          <w:snapToGrid w:val="0"/>
          <w:sz w:val="18"/>
          <w:szCs w:val="22"/>
        </w:rPr>
        <w:t xml:space="preserve"> assumed effective price for atezolizumab per vial.</w:t>
      </w:r>
    </w:p>
    <w:p w14:paraId="2DFE13FE" w14:textId="77777777" w:rsidR="00D16135" w:rsidRPr="00AC20B4" w:rsidRDefault="00D16135" w:rsidP="00D16135">
      <w:pPr>
        <w:rPr>
          <w:rFonts w:ascii="Arial Narrow" w:hAnsi="Arial Narrow" w:cstheme="minorHAnsi"/>
          <w:sz w:val="18"/>
          <w:szCs w:val="18"/>
        </w:rPr>
      </w:pPr>
      <w:r w:rsidRPr="00AC20B4">
        <w:rPr>
          <w:rFonts w:ascii="Arial Narrow" w:hAnsi="Arial Narrow" w:cstheme="minorHAnsi"/>
          <w:sz w:val="18"/>
          <w:szCs w:val="18"/>
          <w:vertAlign w:val="superscript"/>
        </w:rPr>
        <w:t>b</w:t>
      </w:r>
      <w:r w:rsidRPr="00AC20B4">
        <w:rPr>
          <w:rFonts w:ascii="Arial Narrow" w:hAnsi="Arial Narrow" w:cstheme="minorHAnsi"/>
          <w:sz w:val="18"/>
          <w:szCs w:val="18"/>
        </w:rPr>
        <w:t xml:space="preserve"> proposed effective price for nivolumab per 100 mg vial.</w:t>
      </w:r>
    </w:p>
    <w:p w14:paraId="0751CB7F" w14:textId="77777777" w:rsidR="00D16135" w:rsidRPr="00AC20B4" w:rsidRDefault="00D16135" w:rsidP="00D16135">
      <w:pPr>
        <w:keepNext/>
        <w:rPr>
          <w:rFonts w:ascii="Arial Narrow" w:hAnsi="Arial Narrow" w:cstheme="minorHAnsi"/>
          <w:sz w:val="18"/>
          <w:szCs w:val="18"/>
        </w:rPr>
      </w:pPr>
      <w:r w:rsidRPr="00AC20B4">
        <w:rPr>
          <w:rFonts w:ascii="Arial Narrow" w:hAnsi="Arial Narrow" w:cstheme="minorHAnsi"/>
          <w:sz w:val="18"/>
          <w:szCs w:val="18"/>
          <w:vertAlign w:val="superscript"/>
        </w:rPr>
        <w:t xml:space="preserve">c </w:t>
      </w:r>
      <w:r w:rsidRPr="00AC20B4">
        <w:rPr>
          <w:rFonts w:ascii="Arial Narrow" w:hAnsi="Arial Narrow" w:cstheme="minorHAnsi"/>
          <w:sz w:val="18"/>
          <w:szCs w:val="18"/>
        </w:rPr>
        <w:t xml:space="preserve">Mean duration of treatment for atezolizumab of 8.73 months as per nivolumab + ipilimumab Table 6.1-2 of the ca2099dw CSR. </w:t>
      </w:r>
    </w:p>
    <w:p w14:paraId="67F880E8" w14:textId="77777777" w:rsidR="00D16135" w:rsidRPr="00AC20B4" w:rsidRDefault="00D16135" w:rsidP="00D16135">
      <w:pPr>
        <w:keepNext/>
        <w:rPr>
          <w:rFonts w:ascii="Arial Narrow" w:hAnsi="Arial Narrow" w:cstheme="minorHAnsi"/>
          <w:sz w:val="18"/>
          <w:szCs w:val="18"/>
        </w:rPr>
      </w:pPr>
      <w:r w:rsidRPr="00AC20B4">
        <w:rPr>
          <w:rFonts w:ascii="Arial Narrow" w:hAnsi="Arial Narrow" w:cstheme="minorHAnsi"/>
          <w:sz w:val="18"/>
          <w:szCs w:val="18"/>
          <w:vertAlign w:val="superscript"/>
        </w:rPr>
        <w:t>d</w:t>
      </w:r>
      <w:r w:rsidRPr="00AC20B4">
        <w:rPr>
          <w:rFonts w:ascii="Arial Narrow" w:hAnsi="Arial Narrow" w:cstheme="minorHAnsi"/>
          <w:sz w:val="18"/>
          <w:szCs w:val="18"/>
        </w:rPr>
        <w:t xml:space="preserve"> Mean duration of treatment for bevacizumab of 8.73 months as per nivolumab + ipilimumab Table 6.1-2 of the ca2099dw CSR. </w:t>
      </w:r>
    </w:p>
    <w:p w14:paraId="45E63C19" w14:textId="324F3941" w:rsidR="000263E3" w:rsidRPr="00AC20B4" w:rsidRDefault="00D16135" w:rsidP="0040737A">
      <w:pPr>
        <w:pStyle w:val="3-BodyText"/>
        <w:numPr>
          <w:ilvl w:val="0"/>
          <w:numId w:val="0"/>
        </w:numPr>
        <w:spacing w:after="120"/>
      </w:pPr>
      <w:proofErr w:type="spellStart"/>
      <w:r w:rsidRPr="00AC20B4">
        <w:rPr>
          <w:rFonts w:ascii="Arial Narrow" w:hAnsi="Arial Narrow" w:cstheme="minorHAnsi"/>
          <w:sz w:val="18"/>
          <w:szCs w:val="18"/>
          <w:vertAlign w:val="superscript"/>
        </w:rPr>
        <w:t>e</w:t>
      </w:r>
      <w:proofErr w:type="spellEnd"/>
      <w:r w:rsidRPr="00AC20B4">
        <w:rPr>
          <w:rFonts w:ascii="Arial Narrow" w:hAnsi="Arial Narrow" w:cstheme="minorHAnsi"/>
          <w:sz w:val="18"/>
          <w:szCs w:val="18"/>
        </w:rPr>
        <w:t xml:space="preserve"> Mean duration of treatment for nivolumab + ipilimumab 8.73 months, Table 6.1-2 of the ca2099dw CSR</w:t>
      </w:r>
    </w:p>
    <w:p w14:paraId="6EF2D349" w14:textId="77777777" w:rsidR="00FC676C" w:rsidRPr="00BD2844" w:rsidRDefault="00FC676C" w:rsidP="00FC676C">
      <w:pPr>
        <w:pStyle w:val="4-SubsectionHeading"/>
      </w:pPr>
      <w:bookmarkStart w:id="91" w:name="_Toc195866339"/>
      <w:bookmarkStart w:id="92" w:name="_Toc198716664"/>
      <w:r w:rsidRPr="00BD2844">
        <w:t>NIVO+IPI cost/patient/course</w:t>
      </w:r>
      <w:bookmarkEnd w:id="91"/>
      <w:bookmarkEnd w:id="92"/>
    </w:p>
    <w:p w14:paraId="74A08031" w14:textId="09A47F58" w:rsidR="00FC676C" w:rsidRPr="00BD2844" w:rsidRDefault="00FC676C" w:rsidP="00FC676C">
      <w:pPr>
        <w:pStyle w:val="3-BodyText"/>
      </w:pPr>
      <w:r w:rsidRPr="00BD2844">
        <w:t xml:space="preserve">The drug cost per patient per year using the assumed effective prices of atezolizumab is presented in </w:t>
      </w:r>
      <w:r w:rsidR="00343C17" w:rsidRPr="00BD2844">
        <w:fldChar w:fldCharType="begin"/>
      </w:r>
      <w:r w:rsidR="00343C17" w:rsidRPr="00BD2844">
        <w:instrText xml:space="preserve"> REF _Ref195368282 \h </w:instrText>
      </w:r>
      <w:r w:rsidR="00343C17" w:rsidRPr="00BD2844">
        <w:fldChar w:fldCharType="separate"/>
      </w:r>
      <w:r w:rsidR="008C7D22" w:rsidRPr="00BD2844">
        <w:t xml:space="preserve">Table </w:t>
      </w:r>
      <w:r w:rsidR="008C7D22">
        <w:rPr>
          <w:noProof/>
        </w:rPr>
        <w:t>16</w:t>
      </w:r>
      <w:r w:rsidR="00343C17" w:rsidRPr="00BD2844">
        <w:fldChar w:fldCharType="end"/>
      </w:r>
      <w:r w:rsidRPr="00BD2844">
        <w:fldChar w:fldCharType="begin"/>
      </w:r>
      <w:r w:rsidRPr="00BD2844">
        <w:instrText xml:space="preserve"> REF _Ref195368282 \h </w:instrText>
      </w:r>
      <w:r w:rsidRPr="00BD2844">
        <w:fldChar w:fldCharType="separate"/>
      </w:r>
      <w:r w:rsidR="008C7D22" w:rsidRPr="00BD2844">
        <w:t xml:space="preserve">Table </w:t>
      </w:r>
      <w:r w:rsidR="008C7D22">
        <w:rPr>
          <w:noProof/>
        </w:rPr>
        <w:t>16</w:t>
      </w:r>
      <w:r w:rsidRPr="00BD2844">
        <w:fldChar w:fldCharType="end"/>
      </w:r>
      <w:r w:rsidRPr="00BD2844">
        <w:t>.</w:t>
      </w:r>
    </w:p>
    <w:p w14:paraId="4C62CE90" w14:textId="65D7560A" w:rsidR="00FC676C" w:rsidRPr="00BD2844" w:rsidRDefault="00FC676C" w:rsidP="00FC676C">
      <w:pPr>
        <w:pStyle w:val="Caption"/>
        <w:rPr>
          <w:rStyle w:val="CommentReference"/>
          <w:b/>
          <w:szCs w:val="24"/>
        </w:rPr>
      </w:pPr>
      <w:bookmarkStart w:id="93" w:name="_Ref195368282"/>
      <w:r w:rsidRPr="00BD2844">
        <w:lastRenderedPageBreak/>
        <w:t xml:space="preserve">Table </w:t>
      </w:r>
      <w:r w:rsidR="00343C17">
        <w:fldChar w:fldCharType="begin"/>
      </w:r>
      <w:r w:rsidR="00343C17">
        <w:instrText xml:space="preserve"> SEQ Table \* ARABIC </w:instrText>
      </w:r>
      <w:r w:rsidR="00343C17">
        <w:fldChar w:fldCharType="separate"/>
      </w:r>
      <w:r w:rsidR="008C7D22">
        <w:rPr>
          <w:noProof/>
        </w:rPr>
        <w:t>16</w:t>
      </w:r>
      <w:r w:rsidR="00343C17">
        <w:fldChar w:fldCharType="end"/>
      </w:r>
      <w:bookmarkEnd w:id="93"/>
      <w:r w:rsidRPr="00BD2844">
        <w:t>:</w:t>
      </w:r>
      <w:r w:rsidRPr="00BD2844">
        <w:rPr>
          <w:rStyle w:val="CommentReference"/>
          <w:b/>
          <w:szCs w:val="24"/>
        </w:rPr>
        <w:t xml:space="preserve">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Drug cost per patient for proposed and comparator drugs"/>
      </w:tblPr>
      <w:tblGrid>
        <w:gridCol w:w="1469"/>
        <w:gridCol w:w="1257"/>
        <w:gridCol w:w="1255"/>
        <w:gridCol w:w="1259"/>
        <w:gridCol w:w="1255"/>
        <w:gridCol w:w="1261"/>
        <w:gridCol w:w="1261"/>
      </w:tblGrid>
      <w:tr w:rsidR="00FC676C" w:rsidRPr="00BD2844" w14:paraId="58842705" w14:textId="77777777">
        <w:trPr>
          <w:cantSplit/>
          <w:tblHeader/>
          <w:jc w:val="center"/>
        </w:trPr>
        <w:tc>
          <w:tcPr>
            <w:tcW w:w="815" w:type="pct"/>
            <w:vAlign w:val="center"/>
          </w:tcPr>
          <w:p w14:paraId="059B4069" w14:textId="77777777" w:rsidR="00FC676C" w:rsidRPr="00BD2844" w:rsidRDefault="00FC676C">
            <w:pPr>
              <w:pStyle w:val="In-tableHeading"/>
              <w:jc w:val="center"/>
              <w:rPr>
                <w:b w:val="0"/>
                <w:bCs/>
                <w:szCs w:val="20"/>
                <w:lang w:val="en-AU"/>
              </w:rPr>
            </w:pPr>
          </w:p>
        </w:tc>
        <w:tc>
          <w:tcPr>
            <w:tcW w:w="697" w:type="pct"/>
            <w:vAlign w:val="center"/>
          </w:tcPr>
          <w:p w14:paraId="3002A44F" w14:textId="77777777" w:rsidR="00FC676C" w:rsidRPr="00BD2844" w:rsidRDefault="00FC676C">
            <w:pPr>
              <w:pStyle w:val="In-tableHeading"/>
              <w:jc w:val="center"/>
              <w:rPr>
                <w:szCs w:val="20"/>
                <w:lang w:val="en-AU"/>
              </w:rPr>
            </w:pPr>
            <w:r w:rsidRPr="00BD2844">
              <w:rPr>
                <w:szCs w:val="20"/>
                <w:lang w:val="en-AU"/>
              </w:rPr>
              <w:t>NIVO+IPI</w:t>
            </w:r>
          </w:p>
          <w:p w14:paraId="70662BF6" w14:textId="77777777" w:rsidR="00FC676C" w:rsidRPr="00BD2844" w:rsidRDefault="00FC676C">
            <w:pPr>
              <w:pStyle w:val="In-tableHeading"/>
              <w:jc w:val="center"/>
              <w:rPr>
                <w:szCs w:val="20"/>
                <w:lang w:val="en-AU"/>
              </w:rPr>
            </w:pPr>
            <w:r w:rsidRPr="00BD2844">
              <w:rPr>
                <w:szCs w:val="20"/>
                <w:lang w:val="en-AU"/>
              </w:rPr>
              <w:t>Trial dose and duration</w:t>
            </w:r>
          </w:p>
        </w:tc>
        <w:tc>
          <w:tcPr>
            <w:tcW w:w="696" w:type="pct"/>
            <w:vAlign w:val="center"/>
          </w:tcPr>
          <w:p w14:paraId="1AB15E3A" w14:textId="77777777" w:rsidR="00FC676C" w:rsidRPr="00BD2844" w:rsidRDefault="00FC676C">
            <w:pPr>
              <w:pStyle w:val="In-tableHeading"/>
              <w:jc w:val="center"/>
              <w:rPr>
                <w:szCs w:val="20"/>
                <w:lang w:val="en-AU"/>
              </w:rPr>
            </w:pPr>
            <w:r w:rsidRPr="00BD2844">
              <w:rPr>
                <w:szCs w:val="20"/>
                <w:lang w:val="en-AU"/>
              </w:rPr>
              <w:t>NIVO+IPI</w:t>
            </w:r>
          </w:p>
          <w:p w14:paraId="2178933D" w14:textId="77777777" w:rsidR="00FC676C" w:rsidRPr="00BD2844" w:rsidRDefault="00FC676C">
            <w:pPr>
              <w:pStyle w:val="In-tableHeading"/>
              <w:jc w:val="center"/>
              <w:rPr>
                <w:szCs w:val="20"/>
                <w:lang w:val="en-AU"/>
              </w:rPr>
            </w:pPr>
            <w:r w:rsidRPr="00BD2844">
              <w:rPr>
                <w:szCs w:val="20"/>
                <w:lang w:val="en-AU"/>
              </w:rPr>
              <w:t>CMA</w:t>
            </w:r>
          </w:p>
        </w:tc>
        <w:tc>
          <w:tcPr>
            <w:tcW w:w="698" w:type="pct"/>
            <w:vAlign w:val="center"/>
          </w:tcPr>
          <w:p w14:paraId="29B55F88" w14:textId="77777777" w:rsidR="00FC676C" w:rsidRPr="00BD2844" w:rsidRDefault="00FC676C">
            <w:pPr>
              <w:pStyle w:val="In-tableHeading"/>
              <w:jc w:val="center"/>
              <w:rPr>
                <w:szCs w:val="20"/>
                <w:lang w:val="en-AU"/>
              </w:rPr>
            </w:pPr>
            <w:r w:rsidRPr="00BD2844">
              <w:rPr>
                <w:szCs w:val="20"/>
                <w:lang w:val="en-AU"/>
              </w:rPr>
              <w:t>NIVO+IPI</w:t>
            </w:r>
          </w:p>
          <w:p w14:paraId="2E1EAC1D" w14:textId="77777777" w:rsidR="00FC676C" w:rsidRPr="00BD2844" w:rsidRDefault="00FC676C">
            <w:pPr>
              <w:pStyle w:val="In-tableHeading"/>
              <w:jc w:val="center"/>
              <w:rPr>
                <w:szCs w:val="20"/>
                <w:lang w:val="en-AU"/>
              </w:rPr>
            </w:pPr>
            <w:r w:rsidRPr="00BD2844">
              <w:rPr>
                <w:szCs w:val="20"/>
                <w:lang w:val="en-AU"/>
              </w:rPr>
              <w:t>Financial estimates</w:t>
            </w:r>
          </w:p>
        </w:tc>
        <w:tc>
          <w:tcPr>
            <w:tcW w:w="696" w:type="pct"/>
            <w:vAlign w:val="center"/>
          </w:tcPr>
          <w:p w14:paraId="69BDA7DA" w14:textId="77777777" w:rsidR="00FC676C" w:rsidRPr="00BD2844" w:rsidRDefault="00FC676C">
            <w:pPr>
              <w:pStyle w:val="In-tableHeading"/>
              <w:jc w:val="center"/>
              <w:rPr>
                <w:szCs w:val="20"/>
                <w:lang w:val="en-AU"/>
              </w:rPr>
            </w:pPr>
            <w:r w:rsidRPr="00BD2844">
              <w:rPr>
                <w:szCs w:val="20"/>
                <w:lang w:val="en-AU"/>
              </w:rPr>
              <w:t>ATEZO+BEV</w:t>
            </w:r>
          </w:p>
          <w:p w14:paraId="2BDD55CD" w14:textId="77777777" w:rsidR="00FC676C" w:rsidRPr="00BD2844" w:rsidRDefault="00FC676C">
            <w:pPr>
              <w:pStyle w:val="In-tableHeading"/>
              <w:jc w:val="center"/>
              <w:rPr>
                <w:szCs w:val="20"/>
                <w:lang w:val="en-AU"/>
              </w:rPr>
            </w:pPr>
            <w:r w:rsidRPr="00BD2844">
              <w:rPr>
                <w:szCs w:val="20"/>
                <w:lang w:val="en-AU"/>
              </w:rPr>
              <w:t>Trial dose and duration</w:t>
            </w:r>
          </w:p>
        </w:tc>
        <w:tc>
          <w:tcPr>
            <w:tcW w:w="699" w:type="pct"/>
            <w:vAlign w:val="center"/>
          </w:tcPr>
          <w:p w14:paraId="653159C2" w14:textId="77777777" w:rsidR="00FC676C" w:rsidRPr="00BD2844" w:rsidRDefault="00FC676C">
            <w:pPr>
              <w:pStyle w:val="In-tableHeading"/>
              <w:jc w:val="center"/>
              <w:rPr>
                <w:szCs w:val="20"/>
                <w:lang w:val="en-AU"/>
              </w:rPr>
            </w:pPr>
            <w:r w:rsidRPr="00BD2844">
              <w:rPr>
                <w:szCs w:val="20"/>
                <w:lang w:val="en-AU"/>
              </w:rPr>
              <w:t>ATEZO+BEV CMA</w:t>
            </w:r>
          </w:p>
        </w:tc>
        <w:tc>
          <w:tcPr>
            <w:tcW w:w="699" w:type="pct"/>
          </w:tcPr>
          <w:p w14:paraId="314D61D6" w14:textId="77777777" w:rsidR="00FC676C" w:rsidRPr="00BD2844" w:rsidRDefault="00FC676C">
            <w:pPr>
              <w:pStyle w:val="In-tableHeading"/>
              <w:jc w:val="center"/>
              <w:rPr>
                <w:szCs w:val="20"/>
                <w:lang w:val="en-AU"/>
              </w:rPr>
            </w:pPr>
            <w:r w:rsidRPr="00BD2844">
              <w:rPr>
                <w:szCs w:val="20"/>
                <w:lang w:val="en-AU"/>
              </w:rPr>
              <w:t>ATEZO+BEV</w:t>
            </w:r>
          </w:p>
          <w:p w14:paraId="00AF19F9" w14:textId="77777777" w:rsidR="00FC676C" w:rsidRPr="00BD2844" w:rsidRDefault="00FC676C">
            <w:pPr>
              <w:pStyle w:val="In-tableHeading"/>
              <w:jc w:val="center"/>
              <w:rPr>
                <w:szCs w:val="20"/>
                <w:lang w:val="en-AU"/>
              </w:rPr>
            </w:pPr>
            <w:r w:rsidRPr="00BD2844">
              <w:rPr>
                <w:szCs w:val="20"/>
                <w:lang w:val="en-AU"/>
              </w:rPr>
              <w:t>Financial estimates</w:t>
            </w:r>
          </w:p>
        </w:tc>
      </w:tr>
      <w:tr w:rsidR="00FC676C" w:rsidRPr="00BD2844" w14:paraId="73E6A048" w14:textId="77777777">
        <w:trPr>
          <w:cantSplit/>
          <w:jc w:val="center"/>
        </w:trPr>
        <w:tc>
          <w:tcPr>
            <w:tcW w:w="815" w:type="pct"/>
            <w:vAlign w:val="center"/>
          </w:tcPr>
          <w:p w14:paraId="60D9C22F" w14:textId="77777777" w:rsidR="00FC676C" w:rsidRPr="00BD2844" w:rsidRDefault="00FC676C" w:rsidP="003D2B45">
            <w:pPr>
              <w:pStyle w:val="TableText0"/>
              <w:rPr>
                <w:b/>
              </w:rPr>
            </w:pPr>
            <w:r w:rsidRPr="00BD2844">
              <w:t xml:space="preserve">Mean dose </w:t>
            </w:r>
          </w:p>
        </w:tc>
        <w:tc>
          <w:tcPr>
            <w:tcW w:w="697" w:type="pct"/>
            <w:vAlign w:val="center"/>
          </w:tcPr>
          <w:p w14:paraId="1CFB6270" w14:textId="77777777" w:rsidR="00FC676C" w:rsidRPr="00BD2844" w:rsidRDefault="00FC676C" w:rsidP="003D2B45">
            <w:pPr>
              <w:pStyle w:val="TableText0"/>
              <w:rPr>
                <w:b/>
              </w:rPr>
            </w:pPr>
            <w:r w:rsidRPr="00BD2844">
              <w:t xml:space="preserve">IPI: 220 mg </w:t>
            </w:r>
            <w:r w:rsidRPr="00BD2844">
              <w:rPr>
                <w:vertAlign w:val="superscript"/>
              </w:rPr>
              <w:t>a</w:t>
            </w:r>
          </w:p>
          <w:p w14:paraId="72FC2299" w14:textId="77777777" w:rsidR="00FC676C" w:rsidRPr="00BD2844" w:rsidRDefault="00FC676C" w:rsidP="003D2B45">
            <w:pPr>
              <w:pStyle w:val="TableText0"/>
            </w:pPr>
            <w:r w:rsidRPr="00BD2844">
              <w:t xml:space="preserve">NIVO initial: </w:t>
            </w:r>
          </w:p>
          <w:p w14:paraId="4DC84576" w14:textId="77777777" w:rsidR="00FC676C" w:rsidRPr="00BD2844" w:rsidRDefault="00FC676C" w:rsidP="003D2B45">
            <w:pPr>
              <w:pStyle w:val="TableText0"/>
            </w:pPr>
            <w:r w:rsidRPr="00BD2844">
              <w:t xml:space="preserve">73 mg </w:t>
            </w:r>
            <w:r w:rsidRPr="00BD2844">
              <w:rPr>
                <w:vertAlign w:val="superscript"/>
              </w:rPr>
              <w:t>a</w:t>
            </w:r>
          </w:p>
          <w:p w14:paraId="171D9FB4" w14:textId="77777777" w:rsidR="00FC676C" w:rsidRPr="00BD2844" w:rsidRDefault="00FC676C" w:rsidP="003D2B45">
            <w:pPr>
              <w:pStyle w:val="TableText0"/>
              <w:rPr>
                <w:b/>
                <w:highlight w:val="cyan"/>
              </w:rPr>
            </w:pPr>
            <w:r w:rsidRPr="00BD2844">
              <w:t>NIVO continuing:480 mg</w:t>
            </w:r>
          </w:p>
        </w:tc>
        <w:tc>
          <w:tcPr>
            <w:tcW w:w="696" w:type="pct"/>
            <w:vAlign w:val="center"/>
          </w:tcPr>
          <w:p w14:paraId="66847C14" w14:textId="77777777" w:rsidR="00FC676C" w:rsidRPr="00BD2844" w:rsidRDefault="00FC676C" w:rsidP="003D2B45">
            <w:pPr>
              <w:pStyle w:val="TableText0"/>
              <w:rPr>
                <w:b/>
              </w:rPr>
            </w:pPr>
            <w:r w:rsidRPr="00BD2844">
              <w:t xml:space="preserve">IPI: 220 mg </w:t>
            </w:r>
            <w:r w:rsidRPr="00BD2844">
              <w:rPr>
                <w:vertAlign w:val="superscript"/>
              </w:rPr>
              <w:t>a</w:t>
            </w:r>
          </w:p>
          <w:p w14:paraId="0398F43F" w14:textId="77777777" w:rsidR="00FC676C" w:rsidRPr="00BD2844" w:rsidRDefault="00FC676C" w:rsidP="003D2B45">
            <w:pPr>
              <w:pStyle w:val="TableText0"/>
              <w:rPr>
                <w:b/>
              </w:rPr>
            </w:pPr>
            <w:r w:rsidRPr="00BD2844">
              <w:t xml:space="preserve">NIVO initial: 73 mg </w:t>
            </w:r>
            <w:r w:rsidRPr="00BD2844">
              <w:rPr>
                <w:vertAlign w:val="superscript"/>
              </w:rPr>
              <w:t>a</w:t>
            </w:r>
          </w:p>
          <w:p w14:paraId="1DDEB45C" w14:textId="77777777" w:rsidR="00FC676C" w:rsidRPr="00BD2844" w:rsidRDefault="00FC676C" w:rsidP="003D2B45">
            <w:pPr>
              <w:pStyle w:val="TableText0"/>
              <w:rPr>
                <w:b/>
              </w:rPr>
            </w:pPr>
            <w:r w:rsidRPr="00BD2844">
              <w:t>NIVO continuing:480 mg</w:t>
            </w:r>
          </w:p>
        </w:tc>
        <w:tc>
          <w:tcPr>
            <w:tcW w:w="698" w:type="pct"/>
            <w:vAlign w:val="center"/>
          </w:tcPr>
          <w:p w14:paraId="03B9EBFE" w14:textId="77777777" w:rsidR="00FC676C" w:rsidRPr="00BD2844" w:rsidRDefault="00FC676C" w:rsidP="003D2B45">
            <w:pPr>
              <w:pStyle w:val="TableText0"/>
              <w:rPr>
                <w:b/>
              </w:rPr>
            </w:pPr>
            <w:r w:rsidRPr="00BD2844">
              <w:t xml:space="preserve">IPI: 250 mg </w:t>
            </w:r>
            <w:r w:rsidRPr="00BD2844">
              <w:rPr>
                <w:vertAlign w:val="superscript"/>
              </w:rPr>
              <w:t>b</w:t>
            </w:r>
          </w:p>
          <w:p w14:paraId="0E9F1617" w14:textId="77777777" w:rsidR="00FC676C" w:rsidRPr="00BD2844" w:rsidRDefault="00FC676C" w:rsidP="003D2B45">
            <w:pPr>
              <w:pStyle w:val="TableText0"/>
              <w:rPr>
                <w:b/>
              </w:rPr>
            </w:pPr>
            <w:r w:rsidRPr="00BD2844">
              <w:t>NIVO initial: 80mg</w:t>
            </w:r>
            <w:r w:rsidRPr="00BD2844">
              <w:rPr>
                <w:vertAlign w:val="superscript"/>
              </w:rPr>
              <w:t xml:space="preserve"> b</w:t>
            </w:r>
          </w:p>
          <w:p w14:paraId="081F2748" w14:textId="77777777" w:rsidR="00FC676C" w:rsidRPr="00BD2844" w:rsidRDefault="00FC676C" w:rsidP="003D2B45">
            <w:pPr>
              <w:pStyle w:val="TableText0"/>
              <w:rPr>
                <w:b/>
              </w:rPr>
            </w:pPr>
            <w:r w:rsidRPr="00BD2844">
              <w:t>NIVO continuing:480 mg</w:t>
            </w:r>
          </w:p>
        </w:tc>
        <w:tc>
          <w:tcPr>
            <w:tcW w:w="696" w:type="pct"/>
            <w:vAlign w:val="center"/>
          </w:tcPr>
          <w:p w14:paraId="2E32AE1A" w14:textId="77777777" w:rsidR="00FC676C" w:rsidRPr="00BD2844" w:rsidRDefault="00FC676C" w:rsidP="003D2B45">
            <w:pPr>
              <w:pStyle w:val="TableText0"/>
              <w:rPr>
                <w:b/>
              </w:rPr>
            </w:pPr>
            <w:r w:rsidRPr="00BD2844">
              <w:t>ATEZO: 1,200mg</w:t>
            </w:r>
          </w:p>
          <w:p w14:paraId="694DF715" w14:textId="77777777" w:rsidR="00FC676C" w:rsidRPr="00BD2844" w:rsidRDefault="00FC676C" w:rsidP="003D2B45">
            <w:pPr>
              <w:pStyle w:val="TableText0"/>
              <w:rPr>
                <w:b/>
              </w:rPr>
            </w:pPr>
            <w:r w:rsidRPr="00BD2844">
              <w:t>BEV: NR</w:t>
            </w:r>
          </w:p>
        </w:tc>
        <w:tc>
          <w:tcPr>
            <w:tcW w:w="699" w:type="pct"/>
            <w:vAlign w:val="center"/>
          </w:tcPr>
          <w:p w14:paraId="6F0CC016" w14:textId="77777777" w:rsidR="00FC676C" w:rsidRPr="00BD2844" w:rsidRDefault="00FC676C" w:rsidP="003D2B45">
            <w:pPr>
              <w:pStyle w:val="TableText0"/>
              <w:rPr>
                <w:b/>
              </w:rPr>
            </w:pPr>
            <w:r w:rsidRPr="00BD2844">
              <w:t>ATEZO: 1,200mg</w:t>
            </w:r>
          </w:p>
          <w:p w14:paraId="5731F591" w14:textId="77777777" w:rsidR="00FC676C" w:rsidRPr="00BD2844" w:rsidRDefault="00FC676C" w:rsidP="003D2B45">
            <w:pPr>
              <w:pStyle w:val="TableText0"/>
              <w:rPr>
                <w:b/>
              </w:rPr>
            </w:pPr>
            <w:r w:rsidRPr="00BD2844">
              <w:t xml:space="preserve">BEV: 1,101mg </w:t>
            </w:r>
            <w:r w:rsidRPr="00BD2844">
              <w:rPr>
                <w:vertAlign w:val="superscript"/>
              </w:rPr>
              <w:t>a</w:t>
            </w:r>
          </w:p>
        </w:tc>
        <w:tc>
          <w:tcPr>
            <w:tcW w:w="699" w:type="pct"/>
            <w:vAlign w:val="center"/>
          </w:tcPr>
          <w:p w14:paraId="32A692F8" w14:textId="77777777" w:rsidR="00FC676C" w:rsidRPr="00BD2844" w:rsidRDefault="00FC676C" w:rsidP="003D2B45">
            <w:pPr>
              <w:pStyle w:val="TableText0"/>
              <w:rPr>
                <w:b/>
              </w:rPr>
            </w:pPr>
            <w:r w:rsidRPr="00BD2844">
              <w:t>ATEZO: 1,200mg</w:t>
            </w:r>
          </w:p>
          <w:p w14:paraId="3B60FF06" w14:textId="77777777" w:rsidR="00FC676C" w:rsidRPr="00BD2844" w:rsidRDefault="00FC676C" w:rsidP="003D2B45">
            <w:pPr>
              <w:pStyle w:val="TableText0"/>
              <w:rPr>
                <w:b/>
              </w:rPr>
            </w:pPr>
            <w:r w:rsidRPr="00BD2844">
              <w:t xml:space="preserve">BEV: 1,200mg </w:t>
            </w:r>
            <w:r w:rsidRPr="00BD2844">
              <w:rPr>
                <w:vertAlign w:val="superscript"/>
              </w:rPr>
              <w:t>b</w:t>
            </w:r>
          </w:p>
          <w:p w14:paraId="1324553C" w14:textId="77777777" w:rsidR="00FC676C" w:rsidRPr="00BD2844" w:rsidRDefault="00FC676C" w:rsidP="003D2B45">
            <w:pPr>
              <w:pStyle w:val="TableText0"/>
            </w:pPr>
          </w:p>
        </w:tc>
      </w:tr>
      <w:tr w:rsidR="00FC676C" w:rsidRPr="00BD2844" w14:paraId="66B65825" w14:textId="77777777">
        <w:trPr>
          <w:cantSplit/>
          <w:jc w:val="center"/>
        </w:trPr>
        <w:tc>
          <w:tcPr>
            <w:tcW w:w="815" w:type="pct"/>
            <w:vAlign w:val="center"/>
          </w:tcPr>
          <w:p w14:paraId="719FE0EA" w14:textId="77777777" w:rsidR="00FC676C" w:rsidRPr="00BD2844" w:rsidRDefault="00FC676C" w:rsidP="003D2B45">
            <w:pPr>
              <w:pStyle w:val="TableText0"/>
              <w:rPr>
                <w:b/>
              </w:rPr>
            </w:pPr>
            <w:r w:rsidRPr="00BD2844">
              <w:t>Median DOT/number of cycles received</w:t>
            </w:r>
          </w:p>
        </w:tc>
        <w:tc>
          <w:tcPr>
            <w:tcW w:w="697" w:type="pct"/>
            <w:vAlign w:val="center"/>
          </w:tcPr>
          <w:p w14:paraId="1D846D77" w14:textId="77777777" w:rsidR="00FC676C" w:rsidRPr="00BD2844" w:rsidRDefault="00FC676C" w:rsidP="003D2B45">
            <w:pPr>
              <w:pStyle w:val="TableText0"/>
              <w:rPr>
                <w:b/>
              </w:rPr>
            </w:pPr>
            <w:r w:rsidRPr="00BD2844">
              <w:t>DOT: 4.68 months</w:t>
            </w:r>
          </w:p>
          <w:p w14:paraId="7C683CD4" w14:textId="77777777" w:rsidR="00FC676C" w:rsidRPr="00BD2844" w:rsidRDefault="00FC676C" w:rsidP="003D2B45">
            <w:pPr>
              <w:pStyle w:val="TableText0"/>
            </w:pPr>
            <w:r w:rsidRPr="00BD2844">
              <w:t>Cycles:</w:t>
            </w:r>
          </w:p>
          <w:p w14:paraId="45F27F9C" w14:textId="77777777" w:rsidR="00FC676C" w:rsidRPr="00BD2844" w:rsidRDefault="00FC676C" w:rsidP="003D2B45">
            <w:pPr>
              <w:pStyle w:val="TableText0"/>
              <w:rPr>
                <w:b/>
              </w:rPr>
            </w:pPr>
            <w:r w:rsidRPr="00BD2844">
              <w:t xml:space="preserve">IPI: 4  </w:t>
            </w:r>
          </w:p>
          <w:p w14:paraId="03166169" w14:textId="77777777" w:rsidR="00FC676C" w:rsidRPr="00BD2844" w:rsidRDefault="00FC676C" w:rsidP="003D2B45">
            <w:pPr>
              <w:pStyle w:val="TableText0"/>
              <w:rPr>
                <w:b/>
              </w:rPr>
            </w:pPr>
            <w:r w:rsidRPr="00BD2844">
              <w:t xml:space="preserve">NIVO initial: 4  </w:t>
            </w:r>
          </w:p>
          <w:p w14:paraId="0CA3B58A" w14:textId="77777777" w:rsidR="00FC676C" w:rsidRPr="00BD2844" w:rsidRDefault="00FC676C" w:rsidP="003D2B45">
            <w:pPr>
              <w:pStyle w:val="TableText0"/>
              <w:rPr>
                <w:b/>
              </w:rPr>
            </w:pPr>
            <w:r w:rsidRPr="00BD2844">
              <w:t xml:space="preserve">NIVO continuing:  2.84 </w:t>
            </w:r>
          </w:p>
        </w:tc>
        <w:tc>
          <w:tcPr>
            <w:tcW w:w="696" w:type="pct"/>
            <w:vAlign w:val="center"/>
          </w:tcPr>
          <w:p w14:paraId="7F78320B" w14:textId="77777777" w:rsidR="00FC676C" w:rsidRPr="00BD2844" w:rsidRDefault="00FC676C" w:rsidP="003D2B45">
            <w:pPr>
              <w:pStyle w:val="TableText0"/>
              <w:rPr>
                <w:b/>
              </w:rPr>
            </w:pPr>
            <w:r w:rsidRPr="00BD2844">
              <w:t>DOT: 4.68 months</w:t>
            </w:r>
          </w:p>
          <w:p w14:paraId="4124C8B2" w14:textId="77777777" w:rsidR="00FC676C" w:rsidRPr="00BD2844" w:rsidRDefault="00FC676C" w:rsidP="003D2B45">
            <w:pPr>
              <w:pStyle w:val="TableText0"/>
            </w:pPr>
            <w:r w:rsidRPr="00BD2844">
              <w:t>Cycles:</w:t>
            </w:r>
          </w:p>
          <w:p w14:paraId="3B343732" w14:textId="77777777" w:rsidR="00FC676C" w:rsidRPr="00BD2844" w:rsidRDefault="00FC676C" w:rsidP="003D2B45">
            <w:pPr>
              <w:pStyle w:val="TableText0"/>
              <w:rPr>
                <w:b/>
              </w:rPr>
            </w:pPr>
            <w:r w:rsidRPr="00BD2844">
              <w:t xml:space="preserve">IPI: 4  </w:t>
            </w:r>
          </w:p>
          <w:p w14:paraId="5D364D88" w14:textId="77777777" w:rsidR="00FC676C" w:rsidRPr="00BD2844" w:rsidRDefault="00FC676C" w:rsidP="003D2B45">
            <w:pPr>
              <w:pStyle w:val="TableText0"/>
              <w:rPr>
                <w:b/>
              </w:rPr>
            </w:pPr>
            <w:r w:rsidRPr="00BD2844">
              <w:t xml:space="preserve">NIVO initial: 4  </w:t>
            </w:r>
          </w:p>
          <w:p w14:paraId="0749487B" w14:textId="77777777" w:rsidR="00FC676C" w:rsidRPr="00BD2844" w:rsidRDefault="00FC676C" w:rsidP="003D2B45">
            <w:pPr>
              <w:pStyle w:val="TableText0"/>
              <w:rPr>
                <w:b/>
              </w:rPr>
            </w:pPr>
            <w:r w:rsidRPr="00BD2844">
              <w:t xml:space="preserve">NIVO continuing:  2.84 </w:t>
            </w:r>
          </w:p>
        </w:tc>
        <w:tc>
          <w:tcPr>
            <w:tcW w:w="698" w:type="pct"/>
            <w:vAlign w:val="center"/>
          </w:tcPr>
          <w:p w14:paraId="216E43A5" w14:textId="77777777" w:rsidR="00FC676C" w:rsidRPr="00BD2844" w:rsidRDefault="00FC676C" w:rsidP="003D2B45">
            <w:pPr>
              <w:pStyle w:val="TableText0"/>
              <w:rPr>
                <w:b/>
              </w:rPr>
            </w:pPr>
            <w:r w:rsidRPr="00BD2844">
              <w:t>DoT: 4.68 months</w:t>
            </w:r>
          </w:p>
          <w:p w14:paraId="1E25C3D2" w14:textId="77777777" w:rsidR="00FC676C" w:rsidRPr="00BD2844" w:rsidRDefault="00FC676C" w:rsidP="003D2B45">
            <w:pPr>
              <w:pStyle w:val="TableText0"/>
            </w:pPr>
            <w:r w:rsidRPr="00BD2844">
              <w:t>Cycles:</w:t>
            </w:r>
          </w:p>
          <w:p w14:paraId="29D60F94" w14:textId="77777777" w:rsidR="00FC676C" w:rsidRPr="00BD2844" w:rsidRDefault="00FC676C" w:rsidP="003D2B45">
            <w:pPr>
              <w:pStyle w:val="TableText0"/>
              <w:rPr>
                <w:b/>
              </w:rPr>
            </w:pPr>
            <w:r w:rsidRPr="00BD2844">
              <w:t xml:space="preserve">IPI: 4  </w:t>
            </w:r>
          </w:p>
          <w:p w14:paraId="142074C3" w14:textId="77777777" w:rsidR="00FC676C" w:rsidRPr="00BD2844" w:rsidRDefault="00FC676C" w:rsidP="003D2B45">
            <w:pPr>
              <w:pStyle w:val="TableText0"/>
              <w:rPr>
                <w:b/>
              </w:rPr>
            </w:pPr>
            <w:r w:rsidRPr="00BD2844">
              <w:t xml:space="preserve">NIVO initial: 4  </w:t>
            </w:r>
          </w:p>
          <w:p w14:paraId="3C2C2812" w14:textId="77777777" w:rsidR="00FC676C" w:rsidRPr="00BD2844" w:rsidRDefault="00FC676C" w:rsidP="003D2B45">
            <w:pPr>
              <w:pStyle w:val="TableText0"/>
              <w:rPr>
                <w:b/>
              </w:rPr>
            </w:pPr>
            <w:r w:rsidRPr="00BD2844">
              <w:t xml:space="preserve">NIVO continuing:  2.84 </w:t>
            </w:r>
          </w:p>
        </w:tc>
        <w:tc>
          <w:tcPr>
            <w:tcW w:w="696" w:type="pct"/>
            <w:vAlign w:val="center"/>
          </w:tcPr>
          <w:p w14:paraId="0509FC1B" w14:textId="77777777" w:rsidR="00FC676C" w:rsidRPr="00BD2844" w:rsidRDefault="00FC676C" w:rsidP="003D2B45">
            <w:pPr>
              <w:pStyle w:val="TableText0"/>
            </w:pPr>
            <w:r w:rsidRPr="00BD2844">
              <w:t>ATEZO DOT: 8.4 months</w:t>
            </w:r>
          </w:p>
          <w:p w14:paraId="6B1948CF" w14:textId="77777777" w:rsidR="00FC676C" w:rsidRPr="00BD2844" w:rsidRDefault="00FC676C" w:rsidP="003D2B45">
            <w:pPr>
              <w:pStyle w:val="TableText0"/>
              <w:rPr>
                <w:b/>
              </w:rPr>
            </w:pPr>
            <w:r w:rsidRPr="00BD2844">
              <w:t>Cycles: 12.2</w:t>
            </w:r>
          </w:p>
          <w:p w14:paraId="440B2576" w14:textId="77777777" w:rsidR="00FC676C" w:rsidRPr="00BD2844" w:rsidRDefault="00FC676C" w:rsidP="003D2B45">
            <w:pPr>
              <w:pStyle w:val="TableText0"/>
            </w:pPr>
            <w:r w:rsidRPr="00BD2844">
              <w:t>BEV DoT: 7 months</w:t>
            </w:r>
          </w:p>
          <w:p w14:paraId="7AA8E7DF" w14:textId="77777777" w:rsidR="00FC676C" w:rsidRPr="00BD2844" w:rsidRDefault="00FC676C" w:rsidP="003D2B45">
            <w:pPr>
              <w:pStyle w:val="TableText0"/>
              <w:rPr>
                <w:b/>
              </w:rPr>
            </w:pPr>
            <w:r w:rsidRPr="00BD2844">
              <w:t>Cycles: 10.1</w:t>
            </w:r>
          </w:p>
        </w:tc>
        <w:tc>
          <w:tcPr>
            <w:tcW w:w="699" w:type="pct"/>
            <w:vAlign w:val="center"/>
          </w:tcPr>
          <w:p w14:paraId="3CD44535" w14:textId="77777777" w:rsidR="00FC676C" w:rsidRPr="00BD2844" w:rsidRDefault="00FC676C" w:rsidP="003D2B45">
            <w:pPr>
              <w:pStyle w:val="TableText0"/>
            </w:pPr>
            <w:r w:rsidRPr="00BD2844">
              <w:t>ATEZO DOT: 8.4 months</w:t>
            </w:r>
          </w:p>
          <w:p w14:paraId="366FCB03" w14:textId="77777777" w:rsidR="00FC676C" w:rsidRPr="00BD2844" w:rsidRDefault="00FC676C" w:rsidP="003D2B45">
            <w:pPr>
              <w:pStyle w:val="TableText0"/>
              <w:rPr>
                <w:b/>
              </w:rPr>
            </w:pPr>
            <w:r w:rsidRPr="00BD2844">
              <w:t>Cycles: 12.2</w:t>
            </w:r>
          </w:p>
          <w:p w14:paraId="79CBF3E0" w14:textId="77777777" w:rsidR="00FC676C" w:rsidRPr="00BD2844" w:rsidRDefault="00FC676C" w:rsidP="003D2B45">
            <w:pPr>
              <w:pStyle w:val="TableText0"/>
            </w:pPr>
            <w:r w:rsidRPr="00BD2844">
              <w:t>BEV DoT: 7 months</w:t>
            </w:r>
          </w:p>
          <w:p w14:paraId="2057C4A6" w14:textId="77777777" w:rsidR="00FC676C" w:rsidRPr="00BD2844" w:rsidRDefault="00FC676C" w:rsidP="003D2B45">
            <w:pPr>
              <w:pStyle w:val="TableText0"/>
            </w:pPr>
            <w:r w:rsidRPr="00BD2844">
              <w:t>Cycles: 10.1</w:t>
            </w:r>
          </w:p>
        </w:tc>
        <w:tc>
          <w:tcPr>
            <w:tcW w:w="699" w:type="pct"/>
            <w:vAlign w:val="center"/>
          </w:tcPr>
          <w:p w14:paraId="621FD9E9" w14:textId="77777777" w:rsidR="00FC676C" w:rsidRPr="00BD2844" w:rsidRDefault="00FC676C" w:rsidP="003D2B45">
            <w:pPr>
              <w:pStyle w:val="TableText0"/>
            </w:pPr>
            <w:r w:rsidRPr="00BD2844">
              <w:t>ATEZO DOT: 8.4 months</w:t>
            </w:r>
          </w:p>
          <w:p w14:paraId="7AF7B607" w14:textId="77777777" w:rsidR="00FC676C" w:rsidRPr="00BD2844" w:rsidRDefault="00FC676C" w:rsidP="003D2B45">
            <w:pPr>
              <w:pStyle w:val="TableText0"/>
              <w:rPr>
                <w:b/>
              </w:rPr>
            </w:pPr>
            <w:r w:rsidRPr="00BD2844">
              <w:t>Cycles: 12.2</w:t>
            </w:r>
          </w:p>
          <w:p w14:paraId="0C0F2A73" w14:textId="77777777" w:rsidR="00FC676C" w:rsidRPr="00BD2844" w:rsidRDefault="00FC676C" w:rsidP="003D2B45">
            <w:pPr>
              <w:pStyle w:val="TableText0"/>
            </w:pPr>
            <w:r w:rsidRPr="00BD2844">
              <w:t>BEV DoT: 7 months</w:t>
            </w:r>
          </w:p>
          <w:p w14:paraId="3CDC33A7" w14:textId="77777777" w:rsidR="00FC676C" w:rsidRPr="00BD2844" w:rsidRDefault="00FC676C" w:rsidP="003D2B45">
            <w:pPr>
              <w:pStyle w:val="TableText0"/>
              <w:rPr>
                <w:b/>
              </w:rPr>
            </w:pPr>
            <w:r w:rsidRPr="00BD2844">
              <w:t>Cycles: 10.1</w:t>
            </w:r>
          </w:p>
        </w:tc>
      </w:tr>
      <w:tr w:rsidR="00FC676C" w:rsidRPr="00BD2844" w14:paraId="4C6ADD9E" w14:textId="77777777">
        <w:trPr>
          <w:cantSplit/>
          <w:jc w:val="center"/>
        </w:trPr>
        <w:tc>
          <w:tcPr>
            <w:tcW w:w="815" w:type="pct"/>
            <w:vAlign w:val="center"/>
          </w:tcPr>
          <w:p w14:paraId="7C607268" w14:textId="77777777" w:rsidR="00FC676C" w:rsidRPr="00BD2844" w:rsidRDefault="00FC676C" w:rsidP="003D2B45">
            <w:pPr>
              <w:pStyle w:val="TableText0"/>
            </w:pPr>
            <w:r w:rsidRPr="00BD2844">
              <w:t>Number of vials per cycle</w:t>
            </w:r>
          </w:p>
        </w:tc>
        <w:tc>
          <w:tcPr>
            <w:tcW w:w="1393" w:type="pct"/>
            <w:gridSpan w:val="2"/>
            <w:vAlign w:val="center"/>
          </w:tcPr>
          <w:p w14:paraId="1B12005C" w14:textId="77777777" w:rsidR="00FC676C" w:rsidRPr="00BD2844" w:rsidRDefault="00FC676C" w:rsidP="003D2B45">
            <w:pPr>
              <w:pStyle w:val="TableText0"/>
            </w:pPr>
            <w:r w:rsidRPr="00BD2844">
              <w:t>IPI: 4.4</w:t>
            </w:r>
          </w:p>
          <w:p w14:paraId="1CA49793" w14:textId="77777777" w:rsidR="00FC676C" w:rsidRPr="00BD2844" w:rsidRDefault="00FC676C" w:rsidP="003D2B45">
            <w:pPr>
              <w:pStyle w:val="TableText0"/>
            </w:pPr>
            <w:r w:rsidRPr="00BD2844">
              <w:t xml:space="preserve">NIVO initial: 0.73 </w:t>
            </w:r>
          </w:p>
          <w:p w14:paraId="7157A72F" w14:textId="77777777" w:rsidR="00FC676C" w:rsidRPr="00BD2844" w:rsidRDefault="00FC676C" w:rsidP="003D2B45">
            <w:pPr>
              <w:pStyle w:val="TableText0"/>
            </w:pPr>
            <w:r w:rsidRPr="00BD2844">
              <w:t>NIVO continuing: 4.8 cycle</w:t>
            </w:r>
          </w:p>
        </w:tc>
        <w:tc>
          <w:tcPr>
            <w:tcW w:w="698" w:type="pct"/>
            <w:vAlign w:val="center"/>
          </w:tcPr>
          <w:p w14:paraId="4AB5AC89" w14:textId="77777777" w:rsidR="00FC676C" w:rsidRPr="00BD2844" w:rsidRDefault="00FC676C" w:rsidP="003D2B45">
            <w:pPr>
              <w:pStyle w:val="TableText0"/>
            </w:pPr>
            <w:r w:rsidRPr="00BD2844">
              <w:t xml:space="preserve">IPI: 5 </w:t>
            </w:r>
          </w:p>
          <w:p w14:paraId="36A8E45A" w14:textId="77777777" w:rsidR="00FC676C" w:rsidRPr="00BD2844" w:rsidRDefault="00FC676C" w:rsidP="003D2B45">
            <w:pPr>
              <w:pStyle w:val="TableText0"/>
            </w:pPr>
            <w:r w:rsidRPr="00BD2844">
              <w:t xml:space="preserve">NIVO initial: 0.8 </w:t>
            </w:r>
          </w:p>
          <w:p w14:paraId="084D2FB5" w14:textId="77777777" w:rsidR="00FC676C" w:rsidRPr="00BD2844" w:rsidRDefault="00FC676C" w:rsidP="003D2B45">
            <w:pPr>
              <w:pStyle w:val="TableText0"/>
            </w:pPr>
            <w:r w:rsidRPr="00BD2844">
              <w:t xml:space="preserve">NIVO continuing: 4.8 </w:t>
            </w:r>
          </w:p>
        </w:tc>
        <w:tc>
          <w:tcPr>
            <w:tcW w:w="696" w:type="pct"/>
            <w:vAlign w:val="center"/>
          </w:tcPr>
          <w:p w14:paraId="142BF285" w14:textId="77777777" w:rsidR="00FC676C" w:rsidRPr="00BD2844" w:rsidRDefault="00FC676C" w:rsidP="003D2B45">
            <w:pPr>
              <w:pStyle w:val="TableText0"/>
            </w:pPr>
            <w:r w:rsidRPr="00BD2844">
              <w:t xml:space="preserve">ATEZO: 1 </w:t>
            </w:r>
          </w:p>
          <w:p w14:paraId="7503A1E5" w14:textId="77777777" w:rsidR="00FC676C" w:rsidRPr="00BD2844" w:rsidRDefault="00FC676C" w:rsidP="003D2B45">
            <w:pPr>
              <w:pStyle w:val="TableText0"/>
            </w:pPr>
            <w:r w:rsidRPr="00BD2844">
              <w:t>BEV: N/A</w:t>
            </w:r>
          </w:p>
        </w:tc>
        <w:tc>
          <w:tcPr>
            <w:tcW w:w="699" w:type="pct"/>
            <w:vAlign w:val="center"/>
          </w:tcPr>
          <w:p w14:paraId="2766B645" w14:textId="77777777" w:rsidR="00FC676C" w:rsidRPr="00BD2844" w:rsidRDefault="00FC676C" w:rsidP="003D2B45">
            <w:pPr>
              <w:pStyle w:val="TableText0"/>
            </w:pPr>
            <w:r w:rsidRPr="00BD2844">
              <w:t xml:space="preserve">ATEZO: 1 </w:t>
            </w:r>
          </w:p>
          <w:p w14:paraId="2A6B3415" w14:textId="77777777" w:rsidR="00FC676C" w:rsidRPr="00BD2844" w:rsidRDefault="00FC676C" w:rsidP="003D2B45">
            <w:pPr>
              <w:pStyle w:val="TableText0"/>
            </w:pPr>
            <w:r w:rsidRPr="00BD2844">
              <w:t xml:space="preserve">BEV: 11.01 </w:t>
            </w:r>
          </w:p>
        </w:tc>
        <w:tc>
          <w:tcPr>
            <w:tcW w:w="699" w:type="pct"/>
            <w:vAlign w:val="center"/>
          </w:tcPr>
          <w:p w14:paraId="6DB9DA40" w14:textId="77777777" w:rsidR="00FC676C" w:rsidRPr="00BD2844" w:rsidRDefault="00FC676C" w:rsidP="003D2B45">
            <w:pPr>
              <w:pStyle w:val="TableText0"/>
            </w:pPr>
            <w:r w:rsidRPr="00BD2844">
              <w:t xml:space="preserve">ATEZO: 1 </w:t>
            </w:r>
          </w:p>
          <w:p w14:paraId="0DF6B42D" w14:textId="77777777" w:rsidR="00FC676C" w:rsidRPr="00BD2844" w:rsidRDefault="00FC676C" w:rsidP="003D2B45">
            <w:pPr>
              <w:pStyle w:val="TableText0"/>
            </w:pPr>
            <w:r w:rsidRPr="00BD2844">
              <w:t xml:space="preserve">BEV: 12 </w:t>
            </w:r>
          </w:p>
        </w:tc>
      </w:tr>
      <w:tr w:rsidR="00FC676C" w:rsidRPr="00BD2844" w14:paraId="44263CD8" w14:textId="77777777">
        <w:trPr>
          <w:cantSplit/>
          <w:jc w:val="center"/>
        </w:trPr>
        <w:tc>
          <w:tcPr>
            <w:tcW w:w="815" w:type="pct"/>
            <w:vAlign w:val="center"/>
          </w:tcPr>
          <w:p w14:paraId="3AC4C3E0" w14:textId="77777777" w:rsidR="00FC676C" w:rsidRPr="00BD2844" w:rsidRDefault="00FC676C" w:rsidP="003D2B45">
            <w:pPr>
              <w:pStyle w:val="TableText0"/>
              <w:rPr>
                <w:b/>
              </w:rPr>
            </w:pPr>
            <w:r w:rsidRPr="00BD2844">
              <w:t>Cost per vial</w:t>
            </w:r>
          </w:p>
        </w:tc>
        <w:tc>
          <w:tcPr>
            <w:tcW w:w="2091" w:type="pct"/>
            <w:gridSpan w:val="3"/>
            <w:vAlign w:val="center"/>
          </w:tcPr>
          <w:p w14:paraId="299B3B2C" w14:textId="77777777" w:rsidR="00FC676C" w:rsidRPr="007961FB" w:rsidRDefault="00FC676C" w:rsidP="003D2B45">
            <w:pPr>
              <w:pStyle w:val="TableText0"/>
              <w:rPr>
                <w:b/>
              </w:rPr>
            </w:pPr>
            <w:r w:rsidRPr="007961FB">
              <w:t>AEMP</w:t>
            </w:r>
          </w:p>
          <w:p w14:paraId="4339D5CF" w14:textId="19728216" w:rsidR="00FC676C" w:rsidRPr="00447C4E" w:rsidRDefault="00FC676C" w:rsidP="003D2B45">
            <w:pPr>
              <w:pStyle w:val="TableText0"/>
            </w:pPr>
            <w:r w:rsidRPr="007961FB">
              <w:t>IPI</w:t>
            </w:r>
            <w:r w:rsidRPr="00447C4E">
              <w:t>: $</w:t>
            </w:r>
            <w:r w:rsidR="00052343" w:rsidRPr="00052343">
              <w:rPr>
                <w:color w:val="000000"/>
                <w:spacing w:val="30"/>
                <w:shd w:val="solid" w:color="000000" w:fill="000000"/>
                <w:fitText w:val="551" w:id="-623627008"/>
                <w14:textFill>
                  <w14:solidFill>
                    <w14:srgbClr w14:val="000000">
                      <w14:alpha w14:val="100000"/>
                    </w14:srgbClr>
                  </w14:solidFill>
                </w14:textFill>
              </w:rPr>
              <w:t>|||||||</w:t>
            </w:r>
            <w:r w:rsidR="00052343" w:rsidRPr="00052343">
              <w:rPr>
                <w:color w:val="000000"/>
                <w:spacing w:val="1"/>
                <w:shd w:val="solid" w:color="000000" w:fill="000000"/>
                <w:fitText w:val="551" w:id="-623627008"/>
                <w14:textFill>
                  <w14:solidFill>
                    <w14:srgbClr w14:val="000000">
                      <w14:alpha w14:val="100000"/>
                    </w14:srgbClr>
                  </w14:solidFill>
                </w14:textFill>
              </w:rPr>
              <w:t>|</w:t>
            </w:r>
            <w:r w:rsidR="00052343">
              <w:t xml:space="preserve"> </w:t>
            </w:r>
            <w:r w:rsidRPr="00447C4E">
              <w:t>(50 mg /10mL)</w:t>
            </w:r>
          </w:p>
          <w:p w14:paraId="1CCC4356" w14:textId="73948DB8" w:rsidR="00FC676C" w:rsidRPr="007961FB" w:rsidRDefault="00FC676C" w:rsidP="003D2B45">
            <w:pPr>
              <w:pStyle w:val="TableText0"/>
              <w:rPr>
                <w:b/>
              </w:rPr>
            </w:pPr>
            <w:r w:rsidRPr="00447C4E">
              <w:t>NIVO: $</w:t>
            </w:r>
            <w:r w:rsidR="00052343" w:rsidRPr="00052343">
              <w:rPr>
                <w:color w:val="000000"/>
                <w:spacing w:val="80"/>
                <w:shd w:val="solid" w:color="000000" w:fill="000000"/>
                <w:fitText w:val="413" w:id="-623627007"/>
                <w14:textFill>
                  <w14:solidFill>
                    <w14:srgbClr w14:val="000000">
                      <w14:alpha w14:val="100000"/>
                    </w14:srgbClr>
                  </w14:solidFill>
                </w14:textFill>
              </w:rPr>
              <w:t>|||</w:t>
            </w:r>
            <w:r w:rsidR="00052343" w:rsidRPr="00052343">
              <w:rPr>
                <w:color w:val="000000"/>
                <w:spacing w:val="3"/>
                <w:shd w:val="solid" w:color="000000" w:fill="000000"/>
                <w:fitText w:val="413" w:id="-623627007"/>
                <w14:textFill>
                  <w14:solidFill>
                    <w14:srgbClr w14:val="000000">
                      <w14:alpha w14:val="100000"/>
                    </w14:srgbClr>
                  </w14:solidFill>
                </w14:textFill>
              </w:rPr>
              <w:t>|</w:t>
            </w:r>
            <w:r w:rsidRPr="00447C4E">
              <w:t xml:space="preserve"> (100 mg / 10mL</w:t>
            </w:r>
            <w:r w:rsidRPr="007961FB">
              <w:t>)</w:t>
            </w:r>
          </w:p>
          <w:p w14:paraId="63400B9D" w14:textId="77777777" w:rsidR="00FC676C" w:rsidRPr="007961FB" w:rsidRDefault="00FC676C" w:rsidP="003D2B45">
            <w:pPr>
              <w:pStyle w:val="TableText0"/>
            </w:pPr>
          </w:p>
        </w:tc>
        <w:tc>
          <w:tcPr>
            <w:tcW w:w="2094" w:type="pct"/>
            <w:gridSpan w:val="3"/>
            <w:vAlign w:val="center"/>
          </w:tcPr>
          <w:p w14:paraId="2B0A69EB" w14:textId="77777777" w:rsidR="00FC676C" w:rsidRPr="007961FB" w:rsidRDefault="00FC676C" w:rsidP="003D2B45">
            <w:pPr>
              <w:pStyle w:val="TableText0"/>
            </w:pPr>
          </w:p>
          <w:p w14:paraId="498E14B8" w14:textId="77777777" w:rsidR="00FC676C" w:rsidRPr="007961FB" w:rsidRDefault="00FC676C" w:rsidP="003D2B45">
            <w:pPr>
              <w:pStyle w:val="TableText0"/>
              <w:rPr>
                <w:b/>
              </w:rPr>
            </w:pPr>
            <w:r w:rsidRPr="007961FB">
              <w:t>AEMP</w:t>
            </w:r>
          </w:p>
          <w:p w14:paraId="6ABDA118" w14:textId="17C40380" w:rsidR="00FC676C" w:rsidRPr="007961FB" w:rsidRDefault="00FC676C" w:rsidP="003D2B45">
            <w:pPr>
              <w:pStyle w:val="TableText0"/>
              <w:rPr>
                <w:b/>
              </w:rPr>
            </w:pPr>
            <w:r w:rsidRPr="007961FB">
              <w:t>ATEZO: $</w:t>
            </w:r>
            <w:r w:rsidR="0045027C" w:rsidRPr="0045027C">
              <w:rPr>
                <w:color w:val="000000"/>
                <w:spacing w:val="56"/>
                <w:shd w:val="solid" w:color="000000" w:fill="000000"/>
                <w:fitText w:val="539" w:id="-623626494"/>
                <w14:textFill>
                  <w14:solidFill>
                    <w14:srgbClr w14:val="000000">
                      <w14:alpha w14:val="100000"/>
                    </w14:srgbClr>
                  </w14:solidFill>
                </w14:textFill>
              </w:rPr>
              <w:t>|||||</w:t>
            </w:r>
            <w:r w:rsidR="0045027C" w:rsidRPr="0045027C">
              <w:rPr>
                <w:color w:val="000000"/>
                <w:spacing w:val="4"/>
                <w:shd w:val="solid" w:color="000000" w:fill="000000"/>
                <w:fitText w:val="539" w:id="-623626494"/>
                <w14:textFill>
                  <w14:solidFill>
                    <w14:srgbClr w14:val="000000">
                      <w14:alpha w14:val="100000"/>
                    </w14:srgbClr>
                  </w14:solidFill>
                </w14:textFill>
              </w:rPr>
              <w:t>|</w:t>
            </w:r>
            <w:r w:rsidR="0045027C">
              <w:t xml:space="preserve"> </w:t>
            </w:r>
            <w:r w:rsidRPr="007961FB">
              <w:t>(assumed effective price) (1.2g / 20 mL)</w:t>
            </w:r>
          </w:p>
          <w:p w14:paraId="07DA1626" w14:textId="77777777" w:rsidR="00FC676C" w:rsidRPr="007961FB" w:rsidRDefault="00FC676C" w:rsidP="003D2B45">
            <w:pPr>
              <w:pStyle w:val="TableText0"/>
              <w:rPr>
                <w:b/>
              </w:rPr>
            </w:pPr>
            <w:r w:rsidRPr="007961FB">
              <w:t xml:space="preserve">BEV: $53.82 </w:t>
            </w:r>
            <w:r w:rsidRPr="007961FB">
              <w:rPr>
                <w:vertAlign w:val="superscript"/>
              </w:rPr>
              <w:t xml:space="preserve">a </w:t>
            </w:r>
            <w:r w:rsidRPr="007961FB">
              <w:t>(100mg / 4mL)</w:t>
            </w:r>
          </w:p>
          <w:p w14:paraId="54907004" w14:textId="77777777" w:rsidR="00FC676C" w:rsidRPr="007961FB" w:rsidRDefault="00FC676C" w:rsidP="003D2B45">
            <w:pPr>
              <w:pStyle w:val="TableText0"/>
            </w:pPr>
          </w:p>
        </w:tc>
      </w:tr>
      <w:tr w:rsidR="00FC676C" w:rsidRPr="002614EC" w14:paraId="3BE3184E" w14:textId="77777777">
        <w:trPr>
          <w:cantSplit/>
          <w:jc w:val="center"/>
        </w:trPr>
        <w:tc>
          <w:tcPr>
            <w:tcW w:w="815" w:type="pct"/>
            <w:vAlign w:val="center"/>
          </w:tcPr>
          <w:p w14:paraId="09F8F9D2" w14:textId="599C560A" w:rsidR="00FC676C" w:rsidRPr="00BD2844" w:rsidRDefault="00FC676C" w:rsidP="003D2B45">
            <w:pPr>
              <w:pStyle w:val="TableText0"/>
              <w:rPr>
                <w:b/>
              </w:rPr>
            </w:pPr>
            <w:r w:rsidRPr="00BD2844">
              <w:t>Cost/patient/</w:t>
            </w:r>
            <w:r w:rsidR="0095205A" w:rsidRPr="00BD2844">
              <w:br/>
            </w:r>
            <w:r w:rsidRPr="00BD2844">
              <w:t>course</w:t>
            </w:r>
          </w:p>
        </w:tc>
        <w:tc>
          <w:tcPr>
            <w:tcW w:w="697" w:type="pct"/>
            <w:vAlign w:val="center"/>
          </w:tcPr>
          <w:p w14:paraId="2F94AE7A" w14:textId="12BF07AD" w:rsidR="00FC676C" w:rsidRPr="007961FB" w:rsidRDefault="00FC676C" w:rsidP="003D2B45">
            <w:pPr>
              <w:pStyle w:val="TableText0"/>
            </w:pPr>
            <w:r w:rsidRPr="007961FB">
              <w:t>IPI: $</w:t>
            </w:r>
            <w:r w:rsidR="0045027C" w:rsidRPr="0045027C">
              <w:rPr>
                <w:color w:val="000000"/>
                <w:spacing w:val="42"/>
                <w:shd w:val="solid" w:color="000000" w:fill="000000"/>
                <w:fitText w:val="639" w:id="-623626752"/>
                <w14:textFill>
                  <w14:solidFill>
                    <w14:srgbClr w14:val="000000">
                      <w14:alpha w14:val="100000"/>
                    </w14:srgbClr>
                  </w14:solidFill>
                </w14:textFill>
              </w:rPr>
              <w:t>|||||||</w:t>
            </w:r>
            <w:r w:rsidR="0045027C" w:rsidRPr="0045027C">
              <w:rPr>
                <w:color w:val="000000"/>
                <w:spacing w:val="5"/>
                <w:shd w:val="solid" w:color="000000" w:fill="000000"/>
                <w:fitText w:val="639" w:id="-623626752"/>
                <w14:textFill>
                  <w14:solidFill>
                    <w14:srgbClr w14:val="000000">
                      <w14:alpha w14:val="100000"/>
                    </w14:srgbClr>
                  </w14:solidFill>
                </w14:textFill>
              </w:rPr>
              <w:t>|</w:t>
            </w:r>
          </w:p>
          <w:p w14:paraId="75F65935" w14:textId="5A8AFEAE" w:rsidR="00FC676C" w:rsidRPr="007961FB" w:rsidRDefault="00FC676C" w:rsidP="003D2B45">
            <w:pPr>
              <w:pStyle w:val="TableText0"/>
            </w:pPr>
            <w:r w:rsidRPr="007961FB">
              <w:t>NIVO: $</w:t>
            </w:r>
            <w:r w:rsidR="0045027C" w:rsidRPr="0045027C">
              <w:rPr>
                <w:color w:val="000000"/>
                <w:spacing w:val="42"/>
                <w:shd w:val="solid" w:color="000000" w:fill="000000"/>
                <w:fitText w:val="639" w:id="-623626751"/>
                <w14:textFill>
                  <w14:solidFill>
                    <w14:srgbClr w14:val="000000">
                      <w14:alpha w14:val="100000"/>
                    </w14:srgbClr>
                  </w14:solidFill>
                </w14:textFill>
              </w:rPr>
              <w:t>|||||||</w:t>
            </w:r>
            <w:r w:rsidR="0045027C" w:rsidRPr="0045027C">
              <w:rPr>
                <w:color w:val="000000"/>
                <w:spacing w:val="5"/>
                <w:shd w:val="solid" w:color="000000" w:fill="000000"/>
                <w:fitText w:val="639" w:id="-623626751"/>
                <w14:textFill>
                  <w14:solidFill>
                    <w14:srgbClr w14:val="000000">
                      <w14:alpha w14:val="100000"/>
                    </w14:srgbClr>
                  </w14:solidFill>
                </w14:textFill>
              </w:rPr>
              <w:t>|</w:t>
            </w:r>
          </w:p>
        </w:tc>
        <w:tc>
          <w:tcPr>
            <w:tcW w:w="696" w:type="pct"/>
            <w:vAlign w:val="center"/>
          </w:tcPr>
          <w:p w14:paraId="06C92CC2" w14:textId="1931447C" w:rsidR="00FC676C" w:rsidRPr="007961FB" w:rsidRDefault="00FC676C" w:rsidP="003D2B45">
            <w:pPr>
              <w:pStyle w:val="TableText0"/>
            </w:pPr>
            <w:r w:rsidRPr="007961FB">
              <w:t>IPI: $</w:t>
            </w:r>
            <w:r w:rsidR="0045027C" w:rsidRPr="0045027C">
              <w:rPr>
                <w:color w:val="000000"/>
                <w:spacing w:val="42"/>
                <w:shd w:val="solid" w:color="000000" w:fill="000000"/>
                <w:fitText w:val="638" w:id="-623626750"/>
                <w14:textFill>
                  <w14:solidFill>
                    <w14:srgbClr w14:val="000000">
                      <w14:alpha w14:val="100000"/>
                    </w14:srgbClr>
                  </w14:solidFill>
                </w14:textFill>
              </w:rPr>
              <w:t>|||||||</w:t>
            </w:r>
            <w:r w:rsidR="0045027C" w:rsidRPr="0045027C">
              <w:rPr>
                <w:color w:val="000000"/>
                <w:spacing w:val="4"/>
                <w:shd w:val="solid" w:color="000000" w:fill="000000"/>
                <w:fitText w:val="638" w:id="-623626750"/>
                <w14:textFill>
                  <w14:solidFill>
                    <w14:srgbClr w14:val="000000">
                      <w14:alpha w14:val="100000"/>
                    </w14:srgbClr>
                  </w14:solidFill>
                </w14:textFill>
              </w:rPr>
              <w:t>|</w:t>
            </w:r>
          </w:p>
          <w:p w14:paraId="6EC6D488" w14:textId="1420B4B0" w:rsidR="00FC676C" w:rsidRPr="007961FB" w:rsidRDefault="00FC676C" w:rsidP="003D2B45">
            <w:pPr>
              <w:pStyle w:val="TableText0"/>
              <w:rPr>
                <w:b/>
              </w:rPr>
            </w:pPr>
            <w:r w:rsidRPr="007961FB">
              <w:t>NIVO: $</w:t>
            </w:r>
            <w:r w:rsidR="0045027C" w:rsidRPr="0045027C">
              <w:rPr>
                <w:color w:val="000000"/>
                <w:spacing w:val="42"/>
                <w:shd w:val="solid" w:color="000000" w:fill="000000"/>
                <w:fitText w:val="638" w:id="-623626748"/>
                <w14:textFill>
                  <w14:solidFill>
                    <w14:srgbClr w14:val="000000">
                      <w14:alpha w14:val="100000"/>
                    </w14:srgbClr>
                  </w14:solidFill>
                </w14:textFill>
              </w:rPr>
              <w:t>|||||||</w:t>
            </w:r>
            <w:r w:rsidR="0045027C" w:rsidRPr="0045027C">
              <w:rPr>
                <w:color w:val="000000"/>
                <w:spacing w:val="4"/>
                <w:shd w:val="solid" w:color="000000" w:fill="000000"/>
                <w:fitText w:val="638" w:id="-623626748"/>
                <w14:textFill>
                  <w14:solidFill>
                    <w14:srgbClr w14:val="000000">
                      <w14:alpha w14:val="100000"/>
                    </w14:srgbClr>
                  </w14:solidFill>
                </w14:textFill>
              </w:rPr>
              <w:t>|</w:t>
            </w:r>
          </w:p>
        </w:tc>
        <w:tc>
          <w:tcPr>
            <w:tcW w:w="698" w:type="pct"/>
            <w:vAlign w:val="center"/>
          </w:tcPr>
          <w:p w14:paraId="5CD45F3D" w14:textId="4DC9A753" w:rsidR="00FC676C" w:rsidRPr="007961FB" w:rsidRDefault="00FC676C" w:rsidP="003D2B45">
            <w:pPr>
              <w:pStyle w:val="TableText0"/>
            </w:pPr>
            <w:r w:rsidRPr="007961FB">
              <w:t>IPI: $</w:t>
            </w:r>
            <w:r w:rsidR="0045027C" w:rsidRPr="0045027C">
              <w:rPr>
                <w:color w:val="000000"/>
                <w:spacing w:val="42"/>
                <w:shd w:val="solid" w:color="000000" w:fill="000000"/>
                <w:fitText w:val="639" w:id="-623626749"/>
                <w14:textFill>
                  <w14:solidFill>
                    <w14:srgbClr w14:val="000000">
                      <w14:alpha w14:val="100000"/>
                    </w14:srgbClr>
                  </w14:solidFill>
                </w14:textFill>
              </w:rPr>
              <w:t>|||||||</w:t>
            </w:r>
            <w:r w:rsidR="0045027C" w:rsidRPr="0045027C">
              <w:rPr>
                <w:color w:val="000000"/>
                <w:spacing w:val="5"/>
                <w:shd w:val="solid" w:color="000000" w:fill="000000"/>
                <w:fitText w:val="639" w:id="-623626749"/>
                <w14:textFill>
                  <w14:solidFill>
                    <w14:srgbClr w14:val="000000">
                      <w14:alpha w14:val="100000"/>
                    </w14:srgbClr>
                  </w14:solidFill>
                </w14:textFill>
              </w:rPr>
              <w:t>|</w:t>
            </w:r>
          </w:p>
          <w:p w14:paraId="5A568E7C" w14:textId="590013EA" w:rsidR="00FC676C" w:rsidRPr="007961FB" w:rsidRDefault="00FC676C" w:rsidP="003D2B45">
            <w:pPr>
              <w:pStyle w:val="TableText0"/>
              <w:rPr>
                <w:b/>
              </w:rPr>
            </w:pPr>
            <w:r w:rsidRPr="007961FB">
              <w:t>NIVO: $</w:t>
            </w:r>
            <w:r w:rsidR="0045027C" w:rsidRPr="0045027C">
              <w:rPr>
                <w:color w:val="000000"/>
                <w:spacing w:val="42"/>
                <w:shd w:val="solid" w:color="000000" w:fill="000000"/>
                <w:fitText w:val="639" w:id="-623626747"/>
                <w14:textFill>
                  <w14:solidFill>
                    <w14:srgbClr w14:val="000000">
                      <w14:alpha w14:val="100000"/>
                    </w14:srgbClr>
                  </w14:solidFill>
                </w14:textFill>
              </w:rPr>
              <w:t>|||||||</w:t>
            </w:r>
            <w:r w:rsidR="0045027C" w:rsidRPr="0045027C">
              <w:rPr>
                <w:color w:val="000000"/>
                <w:spacing w:val="5"/>
                <w:shd w:val="solid" w:color="000000" w:fill="000000"/>
                <w:fitText w:val="639" w:id="-623626747"/>
                <w14:textFill>
                  <w14:solidFill>
                    <w14:srgbClr w14:val="000000">
                      <w14:alpha w14:val="100000"/>
                    </w14:srgbClr>
                  </w14:solidFill>
                </w14:textFill>
              </w:rPr>
              <w:t>|</w:t>
            </w:r>
          </w:p>
        </w:tc>
        <w:tc>
          <w:tcPr>
            <w:tcW w:w="696" w:type="pct"/>
            <w:vAlign w:val="center"/>
          </w:tcPr>
          <w:p w14:paraId="45A51765" w14:textId="3CF4B2E6" w:rsidR="00FC676C" w:rsidRPr="007961FB" w:rsidRDefault="00FC676C" w:rsidP="003D2B45">
            <w:pPr>
              <w:pStyle w:val="TableText0"/>
              <w:rPr>
                <w:b/>
              </w:rPr>
            </w:pPr>
            <w:r w:rsidRPr="007961FB">
              <w:t>ATEZO: $</w:t>
            </w:r>
            <w:r w:rsidR="0045027C" w:rsidRPr="0045027C">
              <w:rPr>
                <w:color w:val="000000"/>
                <w:spacing w:val="42"/>
                <w:shd w:val="solid" w:color="000000" w:fill="000000"/>
                <w:fitText w:val="639" w:id="-623626496"/>
                <w14:textFill>
                  <w14:solidFill>
                    <w14:srgbClr w14:val="000000">
                      <w14:alpha w14:val="100000"/>
                    </w14:srgbClr>
                  </w14:solidFill>
                </w14:textFill>
              </w:rPr>
              <w:t>|||||||</w:t>
            </w:r>
            <w:r w:rsidR="0045027C" w:rsidRPr="0045027C">
              <w:rPr>
                <w:color w:val="000000"/>
                <w:spacing w:val="5"/>
                <w:shd w:val="solid" w:color="000000" w:fill="000000"/>
                <w:fitText w:val="639" w:id="-623626496"/>
                <w14:textFill>
                  <w14:solidFill>
                    <w14:srgbClr w14:val="000000">
                      <w14:alpha w14:val="100000"/>
                    </w14:srgbClr>
                  </w14:solidFill>
                </w14:textFill>
              </w:rPr>
              <w:t>|</w:t>
            </w:r>
          </w:p>
          <w:p w14:paraId="697F4A31" w14:textId="77777777" w:rsidR="00FC676C" w:rsidRPr="007961FB" w:rsidRDefault="00FC676C" w:rsidP="003D2B45">
            <w:pPr>
              <w:pStyle w:val="TableText0"/>
              <w:rPr>
                <w:b/>
              </w:rPr>
            </w:pPr>
            <w:r w:rsidRPr="007961FB">
              <w:t>BEV: NA</w:t>
            </w:r>
          </w:p>
        </w:tc>
        <w:tc>
          <w:tcPr>
            <w:tcW w:w="699" w:type="pct"/>
            <w:vAlign w:val="center"/>
          </w:tcPr>
          <w:p w14:paraId="534E2519" w14:textId="27491A7D" w:rsidR="00FC676C" w:rsidRPr="002614EC" w:rsidRDefault="00FC676C" w:rsidP="003D2B45">
            <w:pPr>
              <w:pStyle w:val="TableText0"/>
              <w:rPr>
                <w:b/>
              </w:rPr>
            </w:pPr>
            <w:r w:rsidRPr="002614EC">
              <w:t>ATEZO: $</w:t>
            </w:r>
            <w:r w:rsidR="0045027C" w:rsidRPr="0045027C">
              <w:rPr>
                <w:color w:val="000000"/>
                <w:spacing w:val="42"/>
                <w:shd w:val="solid" w:color="000000" w:fill="000000"/>
                <w:fitText w:val="638" w:id="-623626495"/>
                <w14:textFill>
                  <w14:solidFill>
                    <w14:srgbClr w14:val="000000">
                      <w14:alpha w14:val="100000"/>
                    </w14:srgbClr>
                  </w14:solidFill>
                </w14:textFill>
              </w:rPr>
              <w:t>|||||||</w:t>
            </w:r>
            <w:r w:rsidR="0045027C" w:rsidRPr="0045027C">
              <w:rPr>
                <w:color w:val="000000"/>
                <w:spacing w:val="4"/>
                <w:shd w:val="solid" w:color="000000" w:fill="000000"/>
                <w:fitText w:val="638" w:id="-623626495"/>
                <w14:textFill>
                  <w14:solidFill>
                    <w14:srgbClr w14:val="000000">
                      <w14:alpha w14:val="100000"/>
                    </w14:srgbClr>
                  </w14:solidFill>
                </w14:textFill>
              </w:rPr>
              <w:t>|</w:t>
            </w:r>
          </w:p>
          <w:p w14:paraId="77F20E1D" w14:textId="77777777" w:rsidR="00FC676C" w:rsidRPr="002614EC" w:rsidRDefault="00FC676C" w:rsidP="003D2B45">
            <w:pPr>
              <w:pStyle w:val="TableText0"/>
              <w:rPr>
                <w:b/>
              </w:rPr>
            </w:pPr>
            <w:r w:rsidRPr="002614EC">
              <w:t>BEV: $6,013.63</w:t>
            </w:r>
          </w:p>
        </w:tc>
        <w:tc>
          <w:tcPr>
            <w:tcW w:w="699" w:type="pct"/>
            <w:vAlign w:val="center"/>
          </w:tcPr>
          <w:p w14:paraId="5B3CF216" w14:textId="550648B2" w:rsidR="0045027C" w:rsidRDefault="00FC676C" w:rsidP="003D2B45">
            <w:pPr>
              <w:pStyle w:val="TableText0"/>
            </w:pPr>
            <w:r w:rsidRPr="002614EC">
              <w:t>ATEZO: $</w:t>
            </w:r>
            <w:r w:rsidR="0045027C" w:rsidRPr="0045027C">
              <w:rPr>
                <w:color w:val="000000"/>
                <w:spacing w:val="42"/>
                <w:shd w:val="solid" w:color="000000" w:fill="000000"/>
                <w:fitText w:val="639" w:id="-623626493"/>
                <w14:textFill>
                  <w14:solidFill>
                    <w14:srgbClr w14:val="000000">
                      <w14:alpha w14:val="100000"/>
                    </w14:srgbClr>
                  </w14:solidFill>
                </w14:textFill>
              </w:rPr>
              <w:t>|||||||</w:t>
            </w:r>
            <w:r w:rsidR="0045027C" w:rsidRPr="0045027C">
              <w:rPr>
                <w:color w:val="000000"/>
                <w:spacing w:val="5"/>
                <w:shd w:val="solid" w:color="000000" w:fill="000000"/>
                <w:fitText w:val="639" w:id="-623626493"/>
                <w14:textFill>
                  <w14:solidFill>
                    <w14:srgbClr w14:val="000000">
                      <w14:alpha w14:val="100000"/>
                    </w14:srgbClr>
                  </w14:solidFill>
                </w14:textFill>
              </w:rPr>
              <w:t>|</w:t>
            </w:r>
          </w:p>
          <w:p w14:paraId="56ACBD32" w14:textId="31C4855C" w:rsidR="00FC676C" w:rsidRPr="002614EC" w:rsidRDefault="00FC676C" w:rsidP="003D2B45">
            <w:pPr>
              <w:pStyle w:val="TableText0"/>
            </w:pPr>
            <w:r w:rsidRPr="002614EC">
              <w:t>BEV: $6,522.98</w:t>
            </w:r>
          </w:p>
        </w:tc>
      </w:tr>
    </w:tbl>
    <w:p w14:paraId="12284CD1" w14:textId="77777777" w:rsidR="00FC676C" w:rsidRPr="00BD2844" w:rsidRDefault="00FC676C" w:rsidP="00FC676C">
      <w:pPr>
        <w:pStyle w:val="FooterTableFigure"/>
      </w:pPr>
      <w:r w:rsidRPr="00BD2844">
        <w:t>Source: Table 81, pp197-198, Table 82, p200, Table 84, p204, Table 86, p205, Table 96, pp213-214, Table 100, p017 of the submission.</w:t>
      </w:r>
    </w:p>
    <w:p w14:paraId="2F17B7A8" w14:textId="77777777" w:rsidR="00FC676C" w:rsidRPr="00BD2844" w:rsidRDefault="00FC676C" w:rsidP="00FC676C">
      <w:pPr>
        <w:pStyle w:val="FooterTableFigure"/>
      </w:pPr>
      <w:r w:rsidRPr="00BD2844">
        <w:t>AEMP = approved ex-manufacturer price; ATEZO = atezolizumab; BEV = bevacizumab; DOT = duration of treatment; DPMA = dispensed price per maximum amount; IPI = ipilimumab; N/A = not applicable; NIVO = nivolumab; NR = not reported.</w:t>
      </w:r>
    </w:p>
    <w:p w14:paraId="3BED77AE" w14:textId="77777777" w:rsidR="00FC676C" w:rsidRPr="00BD2844" w:rsidRDefault="00FC676C" w:rsidP="00FC676C">
      <w:pPr>
        <w:pStyle w:val="FooterTableFigure"/>
      </w:pPr>
      <w:r w:rsidRPr="00BD2844">
        <w:rPr>
          <w:vertAlign w:val="superscript"/>
        </w:rPr>
        <w:t xml:space="preserve">a </w:t>
      </w:r>
      <w:r w:rsidRPr="00BD2844">
        <w:t>Weight-based dosing using the average weight from CM-9DW was applied to calculate the dose of NIVO (initial), IPI (initial) and bevacizumab.</w:t>
      </w:r>
    </w:p>
    <w:p w14:paraId="20152B46" w14:textId="77777777" w:rsidR="00FC676C" w:rsidRPr="00BD2844" w:rsidRDefault="00FC676C" w:rsidP="00FC676C">
      <w:pPr>
        <w:pStyle w:val="FooterTableFigure"/>
        <w:rPr>
          <w:vertAlign w:val="superscript"/>
        </w:rPr>
      </w:pPr>
      <w:r w:rsidRPr="00BD2844">
        <w:rPr>
          <w:vertAlign w:val="superscript"/>
        </w:rPr>
        <w:t xml:space="preserve">b </w:t>
      </w:r>
      <w:r w:rsidRPr="00BD2844">
        <w:t>In the financial estimates whole vials were applied for NIVO (initial), IPI (initial) and bevacizumab</w:t>
      </w:r>
    </w:p>
    <w:p w14:paraId="6729E6D5" w14:textId="77777777" w:rsidR="00FC676C" w:rsidRPr="00BD2844" w:rsidRDefault="00FC676C" w:rsidP="00FC676C">
      <w:pPr>
        <w:pStyle w:val="FooterTableFigure"/>
      </w:pPr>
      <w:r w:rsidRPr="00BD2844">
        <w:rPr>
          <w:vertAlign w:val="superscript"/>
        </w:rPr>
        <w:t>c</w:t>
      </w:r>
      <w:r w:rsidRPr="00BD2844">
        <w:t xml:space="preserve"> Financial estimates recalculated during the evaluation using bevacizumab (100mg) price of $53.82 (April 2025 AEMP, price disclosure reductions).</w:t>
      </w:r>
    </w:p>
    <w:p w14:paraId="4D896161" w14:textId="77777777" w:rsidR="00FC676C" w:rsidRPr="00BD2844" w:rsidRDefault="00FC676C" w:rsidP="00FC676C">
      <w:pPr>
        <w:pStyle w:val="4-SubsectionHeading"/>
      </w:pPr>
      <w:bookmarkStart w:id="94" w:name="_Toc195866340"/>
      <w:bookmarkStart w:id="95" w:name="_Toc198716665"/>
      <w:r w:rsidRPr="00BD2844">
        <w:t>Estimated PBS usage &amp; financial implications</w:t>
      </w:r>
      <w:bookmarkEnd w:id="94"/>
      <w:bookmarkEnd w:id="95"/>
    </w:p>
    <w:p w14:paraId="31DB692E" w14:textId="48C3B988" w:rsidR="00FC676C" w:rsidRPr="00BD2844" w:rsidRDefault="00FC676C" w:rsidP="0040737A">
      <w:pPr>
        <w:pStyle w:val="3-BodyText"/>
        <w:spacing w:after="120"/>
      </w:pPr>
      <w:r w:rsidRPr="00BD2844">
        <w:t>This submission w</w:t>
      </w:r>
      <w:r w:rsidR="00E96812" w:rsidRPr="00BD2844">
        <w:t>as</w:t>
      </w:r>
      <w:r w:rsidRPr="00BD2844">
        <w:t xml:space="preserve"> not considered by DUSC. The submission used a market share approach to estimate the extent of use and financial impact of listing NIVO+IPI on the PBS. The financial estimates were based on both published and assumed effective prices. The sources of data utilised are shown in</w:t>
      </w:r>
      <w:r w:rsidRPr="00BD2844">
        <w:rPr>
          <w:color w:val="0070C0"/>
        </w:rPr>
        <w:t xml:space="preserve"> </w:t>
      </w:r>
      <w:r w:rsidR="00343C17" w:rsidRPr="00BD2844">
        <w:rPr>
          <w:color w:val="0070C0"/>
        </w:rPr>
        <w:fldChar w:fldCharType="begin"/>
      </w:r>
      <w:r w:rsidR="00343C17" w:rsidRPr="00BD2844">
        <w:rPr>
          <w:color w:val="0070C0"/>
        </w:rPr>
        <w:instrText xml:space="preserve"> REF _Ref195515732 \h </w:instrText>
      </w:r>
      <w:r w:rsidR="00343C17" w:rsidRPr="00BD2844">
        <w:rPr>
          <w:color w:val="0070C0"/>
        </w:rPr>
      </w:r>
      <w:r w:rsidR="00343C17" w:rsidRPr="00BD2844">
        <w:rPr>
          <w:color w:val="0070C0"/>
        </w:rPr>
        <w:fldChar w:fldCharType="separate"/>
      </w:r>
      <w:r w:rsidR="008C7D22" w:rsidRPr="00BD2844">
        <w:t xml:space="preserve">Table </w:t>
      </w:r>
      <w:r w:rsidR="008C7D22">
        <w:rPr>
          <w:noProof/>
        </w:rPr>
        <w:t>17</w:t>
      </w:r>
      <w:r w:rsidR="00343C17" w:rsidRPr="00BD2844">
        <w:rPr>
          <w:color w:val="0070C0"/>
        </w:rPr>
        <w:fldChar w:fldCharType="end"/>
      </w:r>
      <w:r w:rsidRPr="00BD2844">
        <w:rPr>
          <w:color w:val="0070C0"/>
        </w:rPr>
        <w:fldChar w:fldCharType="begin"/>
      </w:r>
      <w:r w:rsidRPr="00BD2844">
        <w:rPr>
          <w:color w:val="0070C0"/>
        </w:rPr>
        <w:instrText xml:space="preserve"> REF _Ref195515732 \h </w:instrText>
      </w:r>
      <w:r w:rsidRPr="00BD2844">
        <w:rPr>
          <w:color w:val="0070C0"/>
        </w:rPr>
      </w:r>
      <w:r w:rsidRPr="00BD2844">
        <w:rPr>
          <w:color w:val="0070C0"/>
        </w:rPr>
        <w:fldChar w:fldCharType="separate"/>
      </w:r>
      <w:r w:rsidR="008C7D22" w:rsidRPr="00BD2844">
        <w:t xml:space="preserve">Table </w:t>
      </w:r>
      <w:r w:rsidR="008C7D22">
        <w:rPr>
          <w:noProof/>
        </w:rPr>
        <w:t>17</w:t>
      </w:r>
      <w:r w:rsidRPr="00BD2844">
        <w:rPr>
          <w:color w:val="0070C0"/>
        </w:rPr>
        <w:fldChar w:fldCharType="end"/>
      </w:r>
      <w:r w:rsidRPr="00BD2844">
        <w:t>.</w:t>
      </w:r>
    </w:p>
    <w:p w14:paraId="495ED204" w14:textId="327ED9FC" w:rsidR="00FC676C" w:rsidRPr="00BD2844" w:rsidRDefault="00FC676C" w:rsidP="00F8646B">
      <w:pPr>
        <w:pStyle w:val="Caption"/>
        <w:rPr>
          <w:rStyle w:val="CommentReference"/>
          <w:b/>
          <w:szCs w:val="24"/>
        </w:rPr>
      </w:pPr>
      <w:bookmarkStart w:id="96" w:name="_Ref195515732"/>
      <w:r w:rsidRPr="00BD2844">
        <w:lastRenderedPageBreak/>
        <w:t xml:space="preserve">Table </w:t>
      </w:r>
      <w:r w:rsidR="00343C17">
        <w:fldChar w:fldCharType="begin"/>
      </w:r>
      <w:r w:rsidR="00343C17">
        <w:instrText xml:space="preserve"> SEQ Table \* ARABIC </w:instrText>
      </w:r>
      <w:r w:rsidR="00343C17">
        <w:fldChar w:fldCharType="separate"/>
      </w:r>
      <w:r w:rsidR="008C7D22">
        <w:rPr>
          <w:noProof/>
        </w:rPr>
        <w:t>17</w:t>
      </w:r>
      <w:r w:rsidR="00343C17">
        <w:fldChar w:fldCharType="end"/>
      </w:r>
      <w:bookmarkEnd w:id="96"/>
      <w:r w:rsidRPr="00BD2844">
        <w:t>:</w:t>
      </w:r>
      <w:r w:rsidRPr="00BD2844">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Key inputs for financial estimates"/>
      </w:tblPr>
      <w:tblGrid>
        <w:gridCol w:w="1713"/>
        <w:gridCol w:w="4094"/>
        <w:gridCol w:w="3210"/>
      </w:tblGrid>
      <w:tr w:rsidR="00FC676C" w:rsidRPr="00BD2844" w14:paraId="1574F378" w14:textId="77777777">
        <w:trPr>
          <w:tblHeader/>
        </w:trPr>
        <w:tc>
          <w:tcPr>
            <w:tcW w:w="950" w:type="pct"/>
            <w:vAlign w:val="center"/>
          </w:tcPr>
          <w:p w14:paraId="55ABC828" w14:textId="77777777" w:rsidR="00FC676C" w:rsidRPr="00BD2844" w:rsidRDefault="00FC676C" w:rsidP="00F8646B">
            <w:pPr>
              <w:pStyle w:val="In-tableHeading"/>
              <w:rPr>
                <w:lang w:val="en-AU"/>
              </w:rPr>
            </w:pPr>
            <w:r w:rsidRPr="00BD2844">
              <w:rPr>
                <w:lang w:val="en-AU"/>
              </w:rPr>
              <w:t>Parameter</w:t>
            </w:r>
          </w:p>
        </w:tc>
        <w:tc>
          <w:tcPr>
            <w:tcW w:w="2270" w:type="pct"/>
            <w:vAlign w:val="center"/>
          </w:tcPr>
          <w:p w14:paraId="3A2A852B" w14:textId="77777777" w:rsidR="00FC676C" w:rsidRPr="00BD2844" w:rsidRDefault="00FC676C" w:rsidP="00F8646B">
            <w:pPr>
              <w:pStyle w:val="In-tableHeading"/>
              <w:rPr>
                <w:lang w:val="en-AU"/>
              </w:rPr>
            </w:pPr>
            <w:r w:rsidRPr="00BD2844">
              <w:rPr>
                <w:lang w:val="en-AU"/>
              </w:rPr>
              <w:t>Value applied and source</w:t>
            </w:r>
          </w:p>
        </w:tc>
        <w:tc>
          <w:tcPr>
            <w:tcW w:w="1780" w:type="pct"/>
            <w:vAlign w:val="center"/>
          </w:tcPr>
          <w:p w14:paraId="0C4385E9" w14:textId="77777777" w:rsidR="00FC676C" w:rsidRPr="00BD2844" w:rsidRDefault="00FC676C" w:rsidP="00F8646B">
            <w:pPr>
              <w:pStyle w:val="In-tableHeading"/>
              <w:rPr>
                <w:lang w:val="en-AU"/>
              </w:rPr>
            </w:pPr>
            <w:r w:rsidRPr="00BD2844">
              <w:rPr>
                <w:lang w:val="en-AU"/>
              </w:rPr>
              <w:t>Comment</w:t>
            </w:r>
          </w:p>
        </w:tc>
      </w:tr>
      <w:tr w:rsidR="00FC676C" w:rsidRPr="00BD2844" w14:paraId="78D085EB" w14:textId="77777777">
        <w:tc>
          <w:tcPr>
            <w:tcW w:w="950" w:type="pct"/>
            <w:vAlign w:val="center"/>
          </w:tcPr>
          <w:p w14:paraId="42AD026F" w14:textId="77777777" w:rsidR="00FC676C" w:rsidRPr="00714737" w:rsidRDefault="00FC676C" w:rsidP="003D2B45">
            <w:pPr>
              <w:pStyle w:val="TableText0"/>
              <w:rPr>
                <w:b/>
              </w:rPr>
            </w:pPr>
            <w:r w:rsidRPr="00714737">
              <w:t>Estimated current market for advanced (unresectable) HCC (scripts) for atezolizumab</w:t>
            </w:r>
          </w:p>
        </w:tc>
        <w:tc>
          <w:tcPr>
            <w:tcW w:w="2270" w:type="pct"/>
            <w:vAlign w:val="center"/>
          </w:tcPr>
          <w:p w14:paraId="02432CE0" w14:textId="77777777" w:rsidR="00FC676C" w:rsidRPr="00714737" w:rsidRDefault="00FC676C" w:rsidP="003D2B45">
            <w:pPr>
              <w:pStyle w:val="TableText0"/>
              <w:rPr>
                <w:b/>
              </w:rPr>
            </w:pPr>
            <w:r w:rsidRPr="00714737">
              <w:t xml:space="preserve">7,063 total ATEZO scrips </w:t>
            </w:r>
          </w:p>
          <w:p w14:paraId="661D4AF7" w14:textId="77777777" w:rsidR="00FC676C" w:rsidRPr="00714737" w:rsidRDefault="00FC676C" w:rsidP="003D2B45">
            <w:pPr>
              <w:pStyle w:val="TableText0"/>
              <w:rPr>
                <w:b/>
              </w:rPr>
            </w:pPr>
            <w:r w:rsidRPr="00714737">
              <w:t xml:space="preserve">Jan- Dec 2024 </w:t>
            </w:r>
          </w:p>
        </w:tc>
        <w:tc>
          <w:tcPr>
            <w:tcW w:w="1780" w:type="pct"/>
            <w:vAlign w:val="center"/>
          </w:tcPr>
          <w:p w14:paraId="0CD1CB6A" w14:textId="77777777" w:rsidR="00FC676C" w:rsidRPr="00BD2844" w:rsidRDefault="00FC676C" w:rsidP="003D2B45">
            <w:pPr>
              <w:pStyle w:val="TableText0"/>
              <w:rPr>
                <w:b/>
              </w:rPr>
            </w:pPr>
            <w:r w:rsidRPr="00BD2844">
              <w:t>Medicare statistics.</w:t>
            </w:r>
          </w:p>
          <w:p w14:paraId="67755847" w14:textId="77777777" w:rsidR="00FC676C" w:rsidRPr="00BD2844" w:rsidRDefault="00FC676C" w:rsidP="003D2B45">
            <w:pPr>
              <w:pStyle w:val="TableText0"/>
              <w:rPr>
                <w:b/>
              </w:rPr>
            </w:pPr>
            <w:r w:rsidRPr="00BD2844">
              <w:t xml:space="preserve">The source of the data was appropriate. </w:t>
            </w:r>
          </w:p>
          <w:p w14:paraId="1BC89388" w14:textId="77777777" w:rsidR="00FC676C" w:rsidRPr="00BD2844" w:rsidRDefault="00FC676C" w:rsidP="003D2B45">
            <w:pPr>
              <w:pStyle w:val="TableText0"/>
              <w:rPr>
                <w:b/>
              </w:rPr>
            </w:pPr>
            <w:r w:rsidRPr="00BD2844">
              <w:t>These data are for the use of ATEZO+BEV in patients with 1L HCC with BCLC Stage B and C and does not account for patients with Stage A as proposed by the requested listing.</w:t>
            </w:r>
          </w:p>
        </w:tc>
      </w:tr>
      <w:tr w:rsidR="00FC676C" w:rsidRPr="00BD2844" w14:paraId="0F42572F" w14:textId="77777777">
        <w:tc>
          <w:tcPr>
            <w:tcW w:w="950" w:type="pct"/>
            <w:vAlign w:val="center"/>
          </w:tcPr>
          <w:p w14:paraId="72AE8D71" w14:textId="77777777" w:rsidR="00FC676C" w:rsidRPr="00BD2844" w:rsidRDefault="00FC676C" w:rsidP="003D2B45">
            <w:pPr>
              <w:pStyle w:val="TableText0"/>
              <w:rPr>
                <w:b/>
              </w:rPr>
            </w:pPr>
            <w:r w:rsidRPr="00BD2844">
              <w:t>Growth rate for ATEZO</w:t>
            </w:r>
          </w:p>
        </w:tc>
        <w:tc>
          <w:tcPr>
            <w:tcW w:w="2270" w:type="pct"/>
            <w:vAlign w:val="center"/>
          </w:tcPr>
          <w:p w14:paraId="2D7518AB" w14:textId="77777777" w:rsidR="00FC676C" w:rsidRPr="00BD2844" w:rsidRDefault="00FC676C" w:rsidP="003D2B45">
            <w:pPr>
              <w:pStyle w:val="TableText0"/>
              <w:rPr>
                <w:b/>
              </w:rPr>
            </w:pPr>
            <w:r w:rsidRPr="00BD2844">
              <w:t>Year 1 and Year 2: 12.8% - Average growth rate from November 2022 to October 2024 based on Medicare PBS Item Statistics data.</w:t>
            </w:r>
          </w:p>
          <w:p w14:paraId="00403244" w14:textId="77777777" w:rsidR="00FC676C" w:rsidRPr="00BD2844" w:rsidRDefault="00FC676C" w:rsidP="003D2B45">
            <w:pPr>
              <w:pStyle w:val="TableText0"/>
            </w:pPr>
          </w:p>
          <w:p w14:paraId="39D4FB86" w14:textId="77777777" w:rsidR="00FC676C" w:rsidRPr="00BD2844" w:rsidRDefault="00FC676C" w:rsidP="003D2B45">
            <w:pPr>
              <w:pStyle w:val="TableText0"/>
              <w:rPr>
                <w:b/>
              </w:rPr>
            </w:pPr>
            <w:r w:rsidRPr="00BD2844">
              <w:t>Year 3 and Year 4: 10.0% - Assumed.</w:t>
            </w:r>
          </w:p>
          <w:p w14:paraId="3AC20C96" w14:textId="77777777" w:rsidR="00FC676C" w:rsidRPr="00BD2844" w:rsidRDefault="00FC676C" w:rsidP="003D2B45">
            <w:pPr>
              <w:pStyle w:val="TableText0"/>
              <w:rPr>
                <w:b/>
              </w:rPr>
            </w:pPr>
            <w:r w:rsidRPr="00BD2844">
              <w:t>Year 5 and Year 6: 8.0% - Assumed.</w:t>
            </w:r>
          </w:p>
        </w:tc>
        <w:tc>
          <w:tcPr>
            <w:tcW w:w="1780" w:type="pct"/>
            <w:vAlign w:val="center"/>
          </w:tcPr>
          <w:p w14:paraId="4169B49A" w14:textId="77777777" w:rsidR="00FC676C" w:rsidRPr="00BD2844" w:rsidRDefault="00FC676C" w:rsidP="003D2B45">
            <w:pPr>
              <w:pStyle w:val="TableText0"/>
              <w:rPr>
                <w:b/>
              </w:rPr>
            </w:pPr>
            <w:r w:rsidRPr="00BD2844">
              <w:t>The growth rate in 2022-2023 was 9.8%, while in 2023-2024 it was 15.8%. The assumptions for Year 3 to Year 6 are uncertain.</w:t>
            </w:r>
          </w:p>
        </w:tc>
      </w:tr>
      <w:tr w:rsidR="00FC676C" w:rsidRPr="00BD2844" w14:paraId="1740653D" w14:textId="77777777">
        <w:tc>
          <w:tcPr>
            <w:tcW w:w="950" w:type="pct"/>
            <w:vAlign w:val="center"/>
          </w:tcPr>
          <w:p w14:paraId="7F175460" w14:textId="6216E3D6" w:rsidR="00FC676C" w:rsidRPr="00BD2844" w:rsidRDefault="00FC676C" w:rsidP="003D2B45">
            <w:pPr>
              <w:pStyle w:val="TableText0"/>
              <w:rPr>
                <w:b/>
              </w:rPr>
            </w:pPr>
            <w:r w:rsidRPr="00BD2844">
              <w:t xml:space="preserve">Uptake rate (market share) </w:t>
            </w:r>
            <w:r w:rsidR="0046261C">
              <w:t>o</w:t>
            </w:r>
            <w:r w:rsidRPr="00BD2844">
              <w:t>f NIVO+IPI</w:t>
            </w:r>
          </w:p>
        </w:tc>
        <w:tc>
          <w:tcPr>
            <w:tcW w:w="2270" w:type="pct"/>
            <w:vAlign w:val="center"/>
          </w:tcPr>
          <w:p w14:paraId="3D0CF0D2" w14:textId="385B0A27" w:rsidR="00FC676C" w:rsidRPr="00BD2844" w:rsidRDefault="00206794" w:rsidP="003D2B45">
            <w:pPr>
              <w:pStyle w:val="TableText0"/>
              <w:rPr>
                <w:b/>
              </w:rPr>
            </w:pPr>
            <w:r w:rsidRPr="006614D1">
              <w:rPr>
                <w:color w:val="000000"/>
                <w:spacing w:val="51"/>
                <w:shd w:val="solid" w:color="000000" w:fill="000000"/>
                <w:fitText w:val="324" w:id="-629400318"/>
                <w14:textFill>
                  <w14:solidFill>
                    <w14:srgbClr w14:val="000000">
                      <w14:alpha w14:val="100000"/>
                    </w14:srgbClr>
                  </w14:solidFill>
                </w14:textFill>
              </w:rPr>
              <w:t>|||</w:t>
            </w:r>
            <w:r w:rsidRPr="006614D1">
              <w:rPr>
                <w:color w:val="000000"/>
                <w:spacing w:val="1"/>
                <w:shd w:val="solid" w:color="000000" w:fill="000000"/>
                <w:fitText w:val="324" w:id="-629400318"/>
                <w14:textFill>
                  <w14:solidFill>
                    <w14:srgbClr w14:val="000000">
                      <w14:alpha w14:val="100000"/>
                    </w14:srgbClr>
                  </w14:solidFill>
                </w14:textFill>
              </w:rPr>
              <w:t>|</w:t>
            </w:r>
            <w:r w:rsidR="00FC676C" w:rsidRPr="00BD2844">
              <w:t>%</w:t>
            </w:r>
          </w:p>
        </w:tc>
        <w:tc>
          <w:tcPr>
            <w:tcW w:w="1780" w:type="pct"/>
            <w:vAlign w:val="center"/>
          </w:tcPr>
          <w:p w14:paraId="347F6B33" w14:textId="77777777" w:rsidR="00FC676C" w:rsidRPr="00BD2844" w:rsidRDefault="00FC676C" w:rsidP="003D2B45">
            <w:pPr>
              <w:pStyle w:val="TableText0"/>
              <w:rPr>
                <w:b/>
              </w:rPr>
            </w:pPr>
            <w:r w:rsidRPr="00BD2844">
              <w:t>Source: Clinical survey (N=9). The uptake rate was uncertain</w:t>
            </w:r>
          </w:p>
        </w:tc>
      </w:tr>
      <w:tr w:rsidR="00FC676C" w:rsidRPr="00BD2844" w14:paraId="2575C50B" w14:textId="77777777">
        <w:tc>
          <w:tcPr>
            <w:tcW w:w="950" w:type="pct"/>
            <w:vAlign w:val="center"/>
          </w:tcPr>
          <w:p w14:paraId="1C78833E" w14:textId="77777777" w:rsidR="00FC676C" w:rsidRPr="00BD2844" w:rsidRDefault="00FC676C" w:rsidP="003D2B45">
            <w:pPr>
              <w:pStyle w:val="TableText0"/>
              <w:rPr>
                <w:b/>
              </w:rPr>
            </w:pPr>
            <w:r w:rsidRPr="00BD2844">
              <w:t>Script equivalence between NIVO+IPI and ATEZO+BEV</w:t>
            </w:r>
          </w:p>
        </w:tc>
        <w:tc>
          <w:tcPr>
            <w:tcW w:w="2270" w:type="pct"/>
            <w:vAlign w:val="center"/>
          </w:tcPr>
          <w:p w14:paraId="564FB032" w14:textId="77777777" w:rsidR="00FC676C" w:rsidRPr="00BD2844" w:rsidRDefault="00FC676C" w:rsidP="003D2B45">
            <w:pPr>
              <w:pStyle w:val="TableText0"/>
              <w:rPr>
                <w:b/>
              </w:rPr>
            </w:pPr>
            <w:r w:rsidRPr="00BD2844">
              <w:t>NIVO initial: 1</w:t>
            </w:r>
          </w:p>
          <w:p w14:paraId="4A2763BA" w14:textId="77777777" w:rsidR="00FC676C" w:rsidRPr="00BD2844" w:rsidRDefault="00FC676C" w:rsidP="003D2B45">
            <w:pPr>
              <w:pStyle w:val="TableText0"/>
              <w:rPr>
                <w:b/>
              </w:rPr>
            </w:pPr>
            <w:r w:rsidRPr="00BD2844">
              <w:t>IPI initial: 1</w:t>
            </w:r>
          </w:p>
          <w:p w14:paraId="6429B02F" w14:textId="77777777" w:rsidR="00FC676C" w:rsidRPr="00BD2844" w:rsidRDefault="00FC676C" w:rsidP="003D2B45">
            <w:pPr>
              <w:pStyle w:val="TableText0"/>
              <w:rPr>
                <w:b/>
              </w:rPr>
            </w:pPr>
            <w:r w:rsidRPr="00BD2844">
              <w:t>Continuing NIVO (ATEZO Q3W): 0.35</w:t>
            </w:r>
          </w:p>
          <w:p w14:paraId="2E58DE35" w14:textId="77777777" w:rsidR="00FC676C" w:rsidRPr="00BD2844" w:rsidRDefault="00FC676C" w:rsidP="003D2B45">
            <w:pPr>
              <w:pStyle w:val="TableText0"/>
              <w:rPr>
                <w:b/>
              </w:rPr>
            </w:pPr>
            <w:r w:rsidRPr="00BD2844">
              <w:t>Continuing NIVO (ATEZO Q4W): 0.41</w:t>
            </w:r>
            <w:r w:rsidRPr="00BD2844">
              <w:tab/>
            </w:r>
          </w:p>
        </w:tc>
        <w:tc>
          <w:tcPr>
            <w:tcW w:w="1780" w:type="pct"/>
            <w:vAlign w:val="center"/>
          </w:tcPr>
          <w:p w14:paraId="225156A5" w14:textId="1EF69A57" w:rsidR="00FC676C" w:rsidRPr="00BD2844" w:rsidRDefault="00FC676C" w:rsidP="003D2B45">
            <w:pPr>
              <w:pStyle w:val="TableText0"/>
              <w:rPr>
                <w:b/>
              </w:rPr>
            </w:pPr>
            <w:r w:rsidRPr="00BD2844">
              <w:t xml:space="preserve">Based on the median duration of treatment for each regimen in CM-9DW and IMBRAVE150 and the relevant PIs. </w:t>
            </w:r>
            <w:r w:rsidR="00EF7603" w:rsidRPr="00BD2844">
              <w:t xml:space="preserve"> </w:t>
            </w:r>
            <w:r w:rsidR="0014538E" w:rsidRPr="00BD2844">
              <w:t xml:space="preserve">The </w:t>
            </w:r>
            <w:r w:rsidR="00AA4B2A" w:rsidRPr="00BD2844">
              <w:t>ESC agreed with the PSCR that</w:t>
            </w:r>
            <w:r w:rsidR="00C85E92" w:rsidRPr="00BD2844">
              <w:t>,</w:t>
            </w:r>
            <w:r w:rsidR="00AA4B2A" w:rsidRPr="00BD2844">
              <w:t xml:space="preserve"> </w:t>
            </w:r>
            <w:r w:rsidR="00C85E92" w:rsidRPr="00BD2844">
              <w:t xml:space="preserve">consistent with the changes in the CMA, </w:t>
            </w:r>
            <w:r w:rsidR="00AA4B2A" w:rsidRPr="00BD2844">
              <w:t xml:space="preserve">the DOT should be updated </w:t>
            </w:r>
            <w:r w:rsidR="0045459D" w:rsidRPr="00BD2844">
              <w:t xml:space="preserve">to </w:t>
            </w:r>
            <w:r w:rsidR="008F432A" w:rsidRPr="00BD2844">
              <w:t xml:space="preserve">reflect the proposed application of </w:t>
            </w:r>
            <w:r w:rsidR="006C19B0" w:rsidRPr="00BD2844">
              <w:t>the mean DOT of CM-9DW being applied to both treatme</w:t>
            </w:r>
            <w:r w:rsidR="00C85E92" w:rsidRPr="00BD2844">
              <w:t xml:space="preserve">nt arms. </w:t>
            </w:r>
          </w:p>
        </w:tc>
      </w:tr>
      <w:tr w:rsidR="00FC676C" w:rsidRPr="00BD2844" w14:paraId="131D0667" w14:textId="77777777">
        <w:tc>
          <w:tcPr>
            <w:tcW w:w="950" w:type="pct"/>
            <w:vAlign w:val="center"/>
          </w:tcPr>
          <w:p w14:paraId="32150D51" w14:textId="77777777" w:rsidR="00FC676C" w:rsidRPr="00BD2844" w:rsidRDefault="00FC676C" w:rsidP="003D2B45">
            <w:pPr>
              <w:pStyle w:val="TableText0"/>
              <w:rPr>
                <w:b/>
              </w:rPr>
            </w:pPr>
            <w:r w:rsidRPr="00BD2844">
              <w:t>MBS</w:t>
            </w:r>
          </w:p>
        </w:tc>
        <w:tc>
          <w:tcPr>
            <w:tcW w:w="2270" w:type="pct"/>
            <w:vAlign w:val="center"/>
          </w:tcPr>
          <w:p w14:paraId="6CAC997D" w14:textId="77777777" w:rsidR="00FC676C" w:rsidRPr="00BD2844" w:rsidRDefault="00FC676C" w:rsidP="003D2B45">
            <w:pPr>
              <w:pStyle w:val="TableText0"/>
              <w:rPr>
                <w:b/>
              </w:rPr>
            </w:pPr>
            <w:r w:rsidRPr="00BD2844">
              <w:t>$</w:t>
            </w:r>
            <w:r w:rsidRPr="008D2461">
              <w:t>123.05</w:t>
            </w:r>
          </w:p>
        </w:tc>
        <w:tc>
          <w:tcPr>
            <w:tcW w:w="1780" w:type="pct"/>
            <w:vAlign w:val="center"/>
          </w:tcPr>
          <w:p w14:paraId="3489520A" w14:textId="77777777" w:rsidR="00FC676C" w:rsidRPr="00BD2844" w:rsidRDefault="00FC676C" w:rsidP="003D2B45">
            <w:pPr>
              <w:pStyle w:val="TableText0"/>
              <w:rPr>
                <w:b/>
              </w:rPr>
            </w:pPr>
            <w:r w:rsidRPr="00BD2844">
              <w:t>MBS item number 13950. This was appropriate.</w:t>
            </w:r>
          </w:p>
        </w:tc>
      </w:tr>
    </w:tbl>
    <w:p w14:paraId="5B8B5CCE" w14:textId="77777777" w:rsidR="00FC676C" w:rsidRPr="00BD2844" w:rsidRDefault="00FC676C" w:rsidP="00F8646B">
      <w:pPr>
        <w:pStyle w:val="FooterTableFigure"/>
        <w:keepNext/>
        <w:keepLines/>
      </w:pPr>
      <w:r w:rsidRPr="00BD2844">
        <w:t>Source: Table 93, p210 and Table 100, p217 of the submission; and NIVO IPI 1L HCC Utilisation and Cost Model, worksheet 7.Net changes -MBS, cell O63.</w:t>
      </w:r>
    </w:p>
    <w:p w14:paraId="0C743E4E" w14:textId="77777777" w:rsidR="00FC676C" w:rsidRPr="00BD2844" w:rsidRDefault="00FC676C" w:rsidP="00F8646B">
      <w:pPr>
        <w:pStyle w:val="FooterTableFigure"/>
        <w:keepNext/>
        <w:keepLines/>
      </w:pPr>
      <w:r w:rsidRPr="00BD2844">
        <w:t>1L = first line; ATEZO = atezolizumab; BCLC = Barcelona Clinic Liver Cancer; BEV = bevacizumab; HCC = hepatocellular carcinoma; IPI= ipilimumab; MBS = Medicare Benefits Schedule; NIVO= nivolumab; PBS= Pharmaceutical Benefits Scheme; Q3W = every 3 weeks, Q4W = every 4 weeks.</w:t>
      </w:r>
    </w:p>
    <w:p w14:paraId="6C3D884F" w14:textId="4B07B8B3" w:rsidR="00FC676C" w:rsidRPr="00BD2844" w:rsidRDefault="00FC676C" w:rsidP="00FC676C">
      <w:pPr>
        <w:pStyle w:val="3-BodyText"/>
        <w:ind w:left="709"/>
        <w:rPr>
          <w:color w:val="0066FF"/>
        </w:rPr>
      </w:pPr>
      <w:r w:rsidRPr="00BD2844">
        <w:rPr>
          <w:rFonts w:cstheme="minorHAnsi"/>
        </w:rPr>
        <w:t>The requested listing of NIVO+IPI included patients with BCLC Stage A HCC. The PBS restriction for ATEZO+BEV for this population specifies BCLC Stage B and C patients. Therefore, the financial estimates do not account for patients with BCLC Stage A. The number of eligible BCLC Stage A patients is likely to be small; in IMBRAVE150 Stage A patients represented 6% of patients.</w:t>
      </w:r>
      <w:r w:rsidRPr="00BD2844">
        <w:t xml:space="preserve"> </w:t>
      </w:r>
      <w:r w:rsidRPr="00BD2844">
        <w:rPr>
          <w:rFonts w:cstheme="minorHAnsi"/>
        </w:rPr>
        <w:t>Th</w:t>
      </w:r>
      <w:r w:rsidR="005A2606">
        <w:rPr>
          <w:rFonts w:cstheme="minorHAnsi"/>
        </w:rPr>
        <w:t>e evaluation considered th</w:t>
      </w:r>
      <w:r w:rsidR="00F325CB">
        <w:rPr>
          <w:rFonts w:cstheme="minorHAnsi"/>
        </w:rPr>
        <w:t>is</w:t>
      </w:r>
      <w:r w:rsidR="005A2606">
        <w:rPr>
          <w:rFonts w:cstheme="minorHAnsi"/>
        </w:rPr>
        <w:t xml:space="preserve"> approach</w:t>
      </w:r>
      <w:r w:rsidRPr="00BD2844">
        <w:rPr>
          <w:rFonts w:cstheme="minorHAnsi"/>
        </w:rPr>
        <w:t xml:space="preserve"> underestimated the cost to Government of listing NIVO+IPI.</w:t>
      </w:r>
    </w:p>
    <w:p w14:paraId="0FA34054" w14:textId="59E44405" w:rsidR="00FC676C" w:rsidRPr="00BD2844" w:rsidRDefault="00FC676C" w:rsidP="00D00A3C">
      <w:pPr>
        <w:pStyle w:val="3-BodyText"/>
        <w:rPr>
          <w:color w:val="0066FF"/>
        </w:rPr>
      </w:pPr>
      <w:r w:rsidRPr="00BD2844">
        <w:t xml:space="preserve">The submission assumed that </w:t>
      </w:r>
      <w:r w:rsidR="00206794" w:rsidRPr="00206794">
        <w:rPr>
          <w:color w:val="000000"/>
          <w:w w:val="61"/>
          <w:shd w:val="solid" w:color="000000" w:fill="000000"/>
          <w:fitText w:val="472" w:id="-629400317"/>
          <w14:textFill>
            <w14:solidFill>
              <w14:srgbClr w14:val="000000">
                <w14:alpha w14:val="100000"/>
              </w14:srgbClr>
            </w14:solidFill>
          </w14:textFill>
        </w:rPr>
        <w:t>|||  ||</w:t>
      </w:r>
      <w:r w:rsidR="00206794" w:rsidRPr="00206794">
        <w:rPr>
          <w:color w:val="000000"/>
          <w:spacing w:val="2"/>
          <w:w w:val="61"/>
          <w:shd w:val="solid" w:color="000000" w:fill="000000"/>
          <w:fitText w:val="472" w:id="-629400317"/>
          <w14:textFill>
            <w14:solidFill>
              <w14:srgbClr w14:val="000000">
                <w14:alpha w14:val="100000"/>
              </w14:srgbClr>
            </w14:solidFill>
          </w14:textFill>
        </w:rPr>
        <w:t>|</w:t>
      </w:r>
      <w:r w:rsidRPr="00BD2844">
        <w:t xml:space="preserve">% of advanced (unresectable) BCLC Stage B or C HCC patients, with WHO performance status of 0 or 1 patients treated with ATEZO+BEV would initiate treatment with NIVO+IPI. The proportion of ATEZO continuing scripts and BEVA scripts </w:t>
      </w:r>
      <w:r w:rsidR="00E237AE" w:rsidRPr="00BD2844">
        <w:t xml:space="preserve">replaced </w:t>
      </w:r>
      <w:r w:rsidRPr="00BD2844">
        <w:t xml:space="preserve">were calculated based on the median </w:t>
      </w:r>
      <w:r w:rsidR="00A55168" w:rsidRPr="00BD2844">
        <w:t>DOT</w:t>
      </w:r>
      <w:r w:rsidRPr="00BD2844">
        <w:t xml:space="preserve"> for ATEZO. </w:t>
      </w:r>
      <w:r w:rsidR="003743B6" w:rsidRPr="00AC20B4">
        <w:t>The ESC agreed with the PSCR that, consistent with the changes in the CMA, the DOT should be updated to reflect the proposed application of the mean DOT of CM-9DW being applied to both treatment arms.</w:t>
      </w:r>
    </w:p>
    <w:p w14:paraId="04E79349" w14:textId="49B5F669" w:rsidR="00FC676C" w:rsidRPr="00BD2844" w:rsidRDefault="00FC676C" w:rsidP="00FC676C">
      <w:pPr>
        <w:pStyle w:val="3-BodyText"/>
        <w:ind w:left="709"/>
        <w:rPr>
          <w:color w:val="0066FF"/>
        </w:rPr>
      </w:pPr>
      <w:r w:rsidRPr="00BD2844">
        <w:t xml:space="preserve">The estimated utilisation and financial impact of listing NIVO+IPI on the PBS using the assumed effective prices are presented in </w:t>
      </w:r>
      <w:r w:rsidRPr="00BD2844">
        <w:fldChar w:fldCharType="begin"/>
      </w:r>
      <w:r w:rsidRPr="00BD2844">
        <w:instrText xml:space="preserve"> REF _Ref195515852 \h </w:instrText>
      </w:r>
      <w:r w:rsidRPr="00BD2844">
        <w:fldChar w:fldCharType="separate"/>
      </w:r>
      <w:r w:rsidR="008C7D22" w:rsidRPr="00BD2844">
        <w:t xml:space="preserve">Table </w:t>
      </w:r>
      <w:r w:rsidR="008C7D22">
        <w:rPr>
          <w:noProof/>
        </w:rPr>
        <w:t>18</w:t>
      </w:r>
      <w:r w:rsidRPr="00BD2844">
        <w:fldChar w:fldCharType="end"/>
      </w:r>
      <w:r w:rsidRPr="00BD2844">
        <w:t>.</w:t>
      </w:r>
    </w:p>
    <w:p w14:paraId="430A16E9" w14:textId="64B7A413" w:rsidR="00FC676C" w:rsidRPr="00BD2844" w:rsidRDefault="00FC676C" w:rsidP="00ED4078">
      <w:pPr>
        <w:pStyle w:val="Caption"/>
      </w:pPr>
      <w:bookmarkStart w:id="97" w:name="_Ref195515852"/>
      <w:r w:rsidRPr="00BD2844">
        <w:lastRenderedPageBreak/>
        <w:t xml:space="preserve">Table </w:t>
      </w:r>
      <w:r w:rsidR="00343C17">
        <w:fldChar w:fldCharType="begin"/>
      </w:r>
      <w:r w:rsidR="00343C17">
        <w:instrText xml:space="preserve"> SEQ Table \* ARABIC </w:instrText>
      </w:r>
      <w:r w:rsidR="00343C17">
        <w:fldChar w:fldCharType="separate"/>
      </w:r>
      <w:r w:rsidR="008C7D22">
        <w:rPr>
          <w:noProof/>
        </w:rPr>
        <w:t>18</w:t>
      </w:r>
      <w:r w:rsidR="00343C17">
        <w:fldChar w:fldCharType="end"/>
      </w:r>
      <w:bookmarkEnd w:id="97"/>
      <w:r w:rsidRPr="00BD2844">
        <w:t>:</w:t>
      </w:r>
      <w:r w:rsidRPr="00BD2844">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w:tblPr>
      <w:tblGrid>
        <w:gridCol w:w="2405"/>
        <w:gridCol w:w="1102"/>
        <w:gridCol w:w="1102"/>
        <w:gridCol w:w="1102"/>
        <w:gridCol w:w="1102"/>
        <w:gridCol w:w="1102"/>
        <w:gridCol w:w="1102"/>
      </w:tblGrid>
      <w:tr w:rsidR="00FC676C" w:rsidRPr="00BD2844" w14:paraId="65FC90A6" w14:textId="77777777">
        <w:trPr>
          <w:tblHeader/>
        </w:trPr>
        <w:tc>
          <w:tcPr>
            <w:tcW w:w="1334" w:type="pct"/>
            <w:vAlign w:val="center"/>
          </w:tcPr>
          <w:p w14:paraId="751DB5BE" w14:textId="77777777" w:rsidR="00FC676C" w:rsidRPr="00BD2844" w:rsidRDefault="00FC676C" w:rsidP="00ED4078">
            <w:pPr>
              <w:pStyle w:val="In-tableHeading"/>
              <w:jc w:val="center"/>
              <w:rPr>
                <w:b w:val="0"/>
                <w:bCs/>
                <w:szCs w:val="20"/>
                <w:lang w:val="en-AU"/>
              </w:rPr>
            </w:pPr>
          </w:p>
        </w:tc>
        <w:tc>
          <w:tcPr>
            <w:tcW w:w="611" w:type="pct"/>
            <w:vAlign w:val="center"/>
          </w:tcPr>
          <w:p w14:paraId="0FD236B5" w14:textId="77777777" w:rsidR="00FC676C" w:rsidRPr="00BD2844" w:rsidRDefault="00FC676C" w:rsidP="00ED4078">
            <w:pPr>
              <w:pStyle w:val="In-tableHeading"/>
              <w:jc w:val="center"/>
              <w:rPr>
                <w:szCs w:val="20"/>
                <w:lang w:val="en-AU"/>
              </w:rPr>
            </w:pPr>
            <w:r w:rsidRPr="00BD2844">
              <w:rPr>
                <w:szCs w:val="20"/>
                <w:lang w:val="en-AU"/>
              </w:rPr>
              <w:t>Year 1</w:t>
            </w:r>
          </w:p>
        </w:tc>
        <w:tc>
          <w:tcPr>
            <w:tcW w:w="611" w:type="pct"/>
            <w:vAlign w:val="center"/>
          </w:tcPr>
          <w:p w14:paraId="0E897AD3" w14:textId="77777777" w:rsidR="00FC676C" w:rsidRPr="00BD2844" w:rsidRDefault="00FC676C" w:rsidP="00ED4078">
            <w:pPr>
              <w:pStyle w:val="In-tableHeading"/>
              <w:jc w:val="center"/>
              <w:rPr>
                <w:szCs w:val="20"/>
                <w:lang w:val="en-AU"/>
              </w:rPr>
            </w:pPr>
            <w:r w:rsidRPr="00BD2844">
              <w:rPr>
                <w:szCs w:val="20"/>
                <w:lang w:val="en-AU"/>
              </w:rPr>
              <w:t>Year 2</w:t>
            </w:r>
          </w:p>
        </w:tc>
        <w:tc>
          <w:tcPr>
            <w:tcW w:w="611" w:type="pct"/>
            <w:vAlign w:val="center"/>
          </w:tcPr>
          <w:p w14:paraId="4B39A58D" w14:textId="77777777" w:rsidR="00FC676C" w:rsidRPr="00BD2844" w:rsidRDefault="00FC676C" w:rsidP="00ED4078">
            <w:pPr>
              <w:pStyle w:val="In-tableHeading"/>
              <w:jc w:val="center"/>
              <w:rPr>
                <w:szCs w:val="20"/>
                <w:lang w:val="en-AU"/>
              </w:rPr>
            </w:pPr>
            <w:r w:rsidRPr="00BD2844">
              <w:rPr>
                <w:szCs w:val="20"/>
                <w:lang w:val="en-AU"/>
              </w:rPr>
              <w:t>Year 3</w:t>
            </w:r>
          </w:p>
        </w:tc>
        <w:tc>
          <w:tcPr>
            <w:tcW w:w="611" w:type="pct"/>
            <w:vAlign w:val="center"/>
          </w:tcPr>
          <w:p w14:paraId="7D90F533" w14:textId="77777777" w:rsidR="00FC676C" w:rsidRPr="00BD2844" w:rsidRDefault="00FC676C" w:rsidP="00ED4078">
            <w:pPr>
              <w:pStyle w:val="In-tableHeading"/>
              <w:jc w:val="center"/>
              <w:rPr>
                <w:szCs w:val="20"/>
                <w:lang w:val="en-AU"/>
              </w:rPr>
            </w:pPr>
            <w:r w:rsidRPr="00BD2844">
              <w:rPr>
                <w:szCs w:val="20"/>
                <w:lang w:val="en-AU"/>
              </w:rPr>
              <w:t>Year 4</w:t>
            </w:r>
          </w:p>
        </w:tc>
        <w:tc>
          <w:tcPr>
            <w:tcW w:w="611" w:type="pct"/>
            <w:vAlign w:val="center"/>
          </w:tcPr>
          <w:p w14:paraId="3D1BA3B5" w14:textId="77777777" w:rsidR="00FC676C" w:rsidRPr="00BD2844" w:rsidRDefault="00FC676C" w:rsidP="00ED4078">
            <w:pPr>
              <w:pStyle w:val="In-tableHeading"/>
              <w:jc w:val="center"/>
              <w:rPr>
                <w:szCs w:val="20"/>
                <w:lang w:val="en-AU"/>
              </w:rPr>
            </w:pPr>
            <w:r w:rsidRPr="00BD2844">
              <w:rPr>
                <w:szCs w:val="20"/>
                <w:lang w:val="en-AU"/>
              </w:rPr>
              <w:t>Year 5</w:t>
            </w:r>
          </w:p>
        </w:tc>
        <w:tc>
          <w:tcPr>
            <w:tcW w:w="611" w:type="pct"/>
          </w:tcPr>
          <w:p w14:paraId="68642C18" w14:textId="77777777" w:rsidR="00FC676C" w:rsidRPr="00BD2844" w:rsidRDefault="00FC676C" w:rsidP="00ED4078">
            <w:pPr>
              <w:pStyle w:val="In-tableHeading"/>
              <w:jc w:val="center"/>
              <w:rPr>
                <w:szCs w:val="20"/>
                <w:lang w:val="en-AU"/>
              </w:rPr>
            </w:pPr>
            <w:r w:rsidRPr="00BD2844">
              <w:rPr>
                <w:szCs w:val="20"/>
                <w:lang w:val="en-AU"/>
              </w:rPr>
              <w:t>Year 6</w:t>
            </w:r>
          </w:p>
        </w:tc>
      </w:tr>
      <w:tr w:rsidR="00FC676C" w:rsidRPr="00BD2844" w14:paraId="0D7E2268" w14:textId="77777777">
        <w:tc>
          <w:tcPr>
            <w:tcW w:w="5000" w:type="pct"/>
            <w:gridSpan w:val="7"/>
            <w:vAlign w:val="center"/>
          </w:tcPr>
          <w:p w14:paraId="25461AC8" w14:textId="77777777" w:rsidR="00FC676C" w:rsidRPr="00BD2844" w:rsidRDefault="00FC676C" w:rsidP="00ED4078">
            <w:pPr>
              <w:pStyle w:val="In-tableHeading"/>
              <w:rPr>
                <w:color w:val="000000"/>
                <w:szCs w:val="20"/>
                <w:lang w:val="en-AU"/>
              </w:rPr>
            </w:pPr>
            <w:r w:rsidRPr="00BD2844">
              <w:rPr>
                <w:color w:val="000000"/>
                <w:szCs w:val="20"/>
                <w:lang w:val="en-AU"/>
              </w:rPr>
              <w:t>Estimated extent of use</w:t>
            </w:r>
          </w:p>
        </w:tc>
      </w:tr>
      <w:tr w:rsidR="00FC676C" w:rsidRPr="00BD2844" w14:paraId="58499248" w14:textId="77777777">
        <w:tc>
          <w:tcPr>
            <w:tcW w:w="1334" w:type="pct"/>
            <w:vAlign w:val="center"/>
          </w:tcPr>
          <w:p w14:paraId="3AFAA8A7" w14:textId="77777777" w:rsidR="00FC676C" w:rsidRPr="00BD2844" w:rsidRDefault="00FC676C" w:rsidP="003D2B45">
            <w:pPr>
              <w:pStyle w:val="TableText0"/>
              <w:rPr>
                <w:b/>
              </w:rPr>
            </w:pPr>
            <w:r w:rsidRPr="00BD2844">
              <w:t>Number of scripts dispensed NIVO</w:t>
            </w:r>
          </w:p>
        </w:tc>
        <w:tc>
          <w:tcPr>
            <w:tcW w:w="611" w:type="pct"/>
            <w:vAlign w:val="center"/>
          </w:tcPr>
          <w:p w14:paraId="3D24E356" w14:textId="0DB11F1F" w:rsidR="00FC676C" w:rsidRPr="00BD2844" w:rsidRDefault="00206794" w:rsidP="003D2B45">
            <w:pPr>
              <w:pStyle w:val="TableText0"/>
              <w:rPr>
                <w:b/>
              </w:rPr>
            </w:pPr>
            <w:r w:rsidRPr="00206794">
              <w:rPr>
                <w:color w:val="000000"/>
                <w:spacing w:val="51"/>
                <w:shd w:val="solid" w:color="000000" w:fill="000000"/>
                <w:fitText w:val="324" w:id="-629400316"/>
                <w14:textFill>
                  <w14:solidFill>
                    <w14:srgbClr w14:val="000000">
                      <w14:alpha w14:val="100000"/>
                    </w14:srgbClr>
                  </w14:solidFill>
                </w14:textFill>
              </w:rPr>
              <w:t>|||</w:t>
            </w:r>
            <w:r w:rsidRPr="00206794">
              <w:rPr>
                <w:color w:val="000000"/>
                <w:spacing w:val="1"/>
                <w:shd w:val="solid" w:color="000000" w:fill="000000"/>
                <w:fitText w:val="324" w:id="-629400316"/>
                <w14:textFill>
                  <w14:solidFill>
                    <w14:srgbClr w14:val="000000">
                      <w14:alpha w14:val="100000"/>
                    </w14:srgbClr>
                  </w14:solidFill>
                </w14:textFill>
              </w:rPr>
              <w:t>|</w:t>
            </w:r>
            <w:r w:rsidR="00A46019" w:rsidRPr="00A46019">
              <w:rPr>
                <w:color w:val="333333"/>
                <w:szCs w:val="20"/>
                <w:vertAlign w:val="superscript"/>
              </w:rPr>
              <w:t>1</w:t>
            </w:r>
          </w:p>
        </w:tc>
        <w:tc>
          <w:tcPr>
            <w:tcW w:w="611" w:type="pct"/>
            <w:vAlign w:val="center"/>
          </w:tcPr>
          <w:p w14:paraId="4B323DD2" w14:textId="4533B23C" w:rsidR="00FC676C" w:rsidRPr="00BD2844" w:rsidRDefault="00206794" w:rsidP="003D2B45">
            <w:pPr>
              <w:pStyle w:val="TableText0"/>
              <w:rPr>
                <w:b/>
              </w:rPr>
            </w:pPr>
            <w:r w:rsidRPr="00206794">
              <w:rPr>
                <w:color w:val="000000"/>
                <w:spacing w:val="51"/>
                <w:shd w:val="solid" w:color="000000" w:fill="000000"/>
                <w:fitText w:val="324" w:id="-629400315"/>
                <w14:textFill>
                  <w14:solidFill>
                    <w14:srgbClr w14:val="000000">
                      <w14:alpha w14:val="100000"/>
                    </w14:srgbClr>
                  </w14:solidFill>
                </w14:textFill>
              </w:rPr>
              <w:t>|||</w:t>
            </w:r>
            <w:r w:rsidRPr="00206794">
              <w:rPr>
                <w:color w:val="000000"/>
                <w:spacing w:val="1"/>
                <w:shd w:val="solid" w:color="000000" w:fill="000000"/>
                <w:fitText w:val="324" w:id="-629400315"/>
                <w14:textFill>
                  <w14:solidFill>
                    <w14:srgbClr w14:val="000000">
                      <w14:alpha w14:val="100000"/>
                    </w14:srgbClr>
                  </w14:solidFill>
                </w14:textFill>
              </w:rPr>
              <w:t>|</w:t>
            </w:r>
            <w:r w:rsidR="00A46019" w:rsidRPr="00A46019">
              <w:rPr>
                <w:color w:val="333333"/>
                <w:szCs w:val="20"/>
                <w:vertAlign w:val="superscript"/>
              </w:rPr>
              <w:t>1</w:t>
            </w:r>
          </w:p>
        </w:tc>
        <w:tc>
          <w:tcPr>
            <w:tcW w:w="611" w:type="pct"/>
            <w:vAlign w:val="center"/>
          </w:tcPr>
          <w:p w14:paraId="617A8A7D" w14:textId="496EEA33" w:rsidR="00FC676C" w:rsidRPr="00BD2844" w:rsidRDefault="00206794" w:rsidP="003D2B45">
            <w:pPr>
              <w:pStyle w:val="TableText0"/>
              <w:rPr>
                <w:b/>
              </w:rPr>
            </w:pPr>
            <w:r w:rsidRPr="00206794">
              <w:rPr>
                <w:color w:val="000000"/>
                <w:spacing w:val="51"/>
                <w:shd w:val="solid" w:color="000000" w:fill="000000"/>
                <w:fitText w:val="324" w:id="-629400314"/>
                <w14:textFill>
                  <w14:solidFill>
                    <w14:srgbClr w14:val="000000">
                      <w14:alpha w14:val="100000"/>
                    </w14:srgbClr>
                  </w14:solidFill>
                </w14:textFill>
              </w:rPr>
              <w:t>|||</w:t>
            </w:r>
            <w:r w:rsidRPr="00206794">
              <w:rPr>
                <w:color w:val="000000"/>
                <w:spacing w:val="1"/>
                <w:shd w:val="solid" w:color="000000" w:fill="000000"/>
                <w:fitText w:val="324" w:id="-629400314"/>
                <w14:textFill>
                  <w14:solidFill>
                    <w14:srgbClr w14:val="000000">
                      <w14:alpha w14:val="100000"/>
                    </w14:srgbClr>
                  </w14:solidFill>
                </w14:textFill>
              </w:rPr>
              <w:t>|</w:t>
            </w:r>
            <w:r w:rsidR="00A46019" w:rsidRPr="00A46019">
              <w:rPr>
                <w:color w:val="333333"/>
                <w:szCs w:val="20"/>
                <w:vertAlign w:val="superscript"/>
              </w:rPr>
              <w:t>1</w:t>
            </w:r>
          </w:p>
        </w:tc>
        <w:tc>
          <w:tcPr>
            <w:tcW w:w="611" w:type="pct"/>
            <w:vAlign w:val="center"/>
          </w:tcPr>
          <w:p w14:paraId="351FB826" w14:textId="24D74B9A" w:rsidR="00FC676C" w:rsidRPr="00BD2844" w:rsidRDefault="00206794" w:rsidP="003D2B45">
            <w:pPr>
              <w:pStyle w:val="TableText0"/>
              <w:rPr>
                <w:b/>
              </w:rPr>
            </w:pPr>
            <w:r w:rsidRPr="00206794">
              <w:rPr>
                <w:color w:val="000000"/>
                <w:spacing w:val="51"/>
                <w:shd w:val="solid" w:color="000000" w:fill="000000"/>
                <w:fitText w:val="324" w:id="-629400313"/>
                <w14:textFill>
                  <w14:solidFill>
                    <w14:srgbClr w14:val="000000">
                      <w14:alpha w14:val="100000"/>
                    </w14:srgbClr>
                  </w14:solidFill>
                </w14:textFill>
              </w:rPr>
              <w:t>|||</w:t>
            </w:r>
            <w:r w:rsidRPr="00206794">
              <w:rPr>
                <w:color w:val="000000"/>
                <w:spacing w:val="1"/>
                <w:shd w:val="solid" w:color="000000" w:fill="000000"/>
                <w:fitText w:val="324" w:id="-629400313"/>
                <w14:textFill>
                  <w14:solidFill>
                    <w14:srgbClr w14:val="000000">
                      <w14:alpha w14:val="100000"/>
                    </w14:srgbClr>
                  </w14:solidFill>
                </w14:textFill>
              </w:rPr>
              <w:t>|</w:t>
            </w:r>
            <w:r w:rsidR="00A46019" w:rsidRPr="00A46019">
              <w:rPr>
                <w:color w:val="333333"/>
                <w:szCs w:val="20"/>
                <w:vertAlign w:val="superscript"/>
              </w:rPr>
              <w:t>1</w:t>
            </w:r>
          </w:p>
        </w:tc>
        <w:tc>
          <w:tcPr>
            <w:tcW w:w="611" w:type="pct"/>
            <w:vAlign w:val="center"/>
          </w:tcPr>
          <w:p w14:paraId="1CE8625F" w14:textId="2BD0A64A" w:rsidR="00FC676C" w:rsidRPr="00BD2844" w:rsidRDefault="00206794" w:rsidP="003D2B45">
            <w:pPr>
              <w:pStyle w:val="TableText0"/>
              <w:rPr>
                <w:b/>
              </w:rPr>
            </w:pPr>
            <w:r w:rsidRPr="00206794">
              <w:rPr>
                <w:color w:val="000000"/>
                <w:spacing w:val="51"/>
                <w:shd w:val="solid" w:color="000000" w:fill="000000"/>
                <w:fitText w:val="324" w:id="-629400312"/>
                <w14:textFill>
                  <w14:solidFill>
                    <w14:srgbClr w14:val="000000">
                      <w14:alpha w14:val="100000"/>
                    </w14:srgbClr>
                  </w14:solidFill>
                </w14:textFill>
              </w:rPr>
              <w:t>|||</w:t>
            </w:r>
            <w:r w:rsidRPr="00206794">
              <w:rPr>
                <w:color w:val="000000"/>
                <w:spacing w:val="1"/>
                <w:shd w:val="solid" w:color="000000" w:fill="000000"/>
                <w:fitText w:val="324" w:id="-629400312"/>
                <w14:textFill>
                  <w14:solidFill>
                    <w14:srgbClr w14:val="000000">
                      <w14:alpha w14:val="100000"/>
                    </w14:srgbClr>
                  </w14:solidFill>
                </w14:textFill>
              </w:rPr>
              <w:t>|</w:t>
            </w:r>
            <w:r w:rsidR="00A46019" w:rsidRPr="00A46019">
              <w:rPr>
                <w:color w:val="333333"/>
                <w:szCs w:val="20"/>
                <w:vertAlign w:val="superscript"/>
              </w:rPr>
              <w:t>1</w:t>
            </w:r>
          </w:p>
        </w:tc>
        <w:tc>
          <w:tcPr>
            <w:tcW w:w="611" w:type="pct"/>
            <w:vAlign w:val="center"/>
          </w:tcPr>
          <w:p w14:paraId="1A12A4D0" w14:textId="5C2A031A" w:rsidR="00FC676C" w:rsidRPr="00BD2844" w:rsidRDefault="00206794" w:rsidP="003D2B45">
            <w:pPr>
              <w:pStyle w:val="TableText0"/>
              <w:rPr>
                <w:b/>
              </w:rPr>
            </w:pPr>
            <w:r w:rsidRPr="00206794">
              <w:rPr>
                <w:color w:val="000000"/>
                <w:spacing w:val="51"/>
                <w:shd w:val="solid" w:color="000000" w:fill="000000"/>
                <w:fitText w:val="324" w:id="-629400311"/>
                <w14:textFill>
                  <w14:solidFill>
                    <w14:srgbClr w14:val="000000">
                      <w14:alpha w14:val="100000"/>
                    </w14:srgbClr>
                  </w14:solidFill>
                </w14:textFill>
              </w:rPr>
              <w:t>|||</w:t>
            </w:r>
            <w:r w:rsidRPr="00206794">
              <w:rPr>
                <w:color w:val="000000"/>
                <w:spacing w:val="1"/>
                <w:shd w:val="solid" w:color="000000" w:fill="000000"/>
                <w:fitText w:val="324" w:id="-629400311"/>
                <w14:textFill>
                  <w14:solidFill>
                    <w14:srgbClr w14:val="000000">
                      <w14:alpha w14:val="100000"/>
                    </w14:srgbClr>
                  </w14:solidFill>
                </w14:textFill>
              </w:rPr>
              <w:t>|</w:t>
            </w:r>
            <w:r w:rsidR="00A46019" w:rsidRPr="00A46019">
              <w:rPr>
                <w:color w:val="333333"/>
                <w:szCs w:val="20"/>
                <w:vertAlign w:val="superscript"/>
              </w:rPr>
              <w:t>1</w:t>
            </w:r>
          </w:p>
        </w:tc>
      </w:tr>
      <w:tr w:rsidR="00FC676C" w:rsidRPr="00BD2844" w14:paraId="5118DF68" w14:textId="77777777">
        <w:tc>
          <w:tcPr>
            <w:tcW w:w="1334" w:type="pct"/>
            <w:vAlign w:val="center"/>
          </w:tcPr>
          <w:p w14:paraId="197DC261" w14:textId="77777777" w:rsidR="00FC676C" w:rsidRPr="00BD2844" w:rsidRDefault="00FC676C" w:rsidP="003D2B45">
            <w:pPr>
              <w:pStyle w:val="TableText0"/>
              <w:rPr>
                <w:b/>
              </w:rPr>
            </w:pPr>
            <w:r w:rsidRPr="00BD2844">
              <w:t>Number of scripts dispensed IPI</w:t>
            </w:r>
          </w:p>
        </w:tc>
        <w:tc>
          <w:tcPr>
            <w:tcW w:w="611" w:type="pct"/>
          </w:tcPr>
          <w:p w14:paraId="0896BE23" w14:textId="15177A51" w:rsidR="00FC676C" w:rsidRPr="00BD2844" w:rsidRDefault="00206794" w:rsidP="003D2B45">
            <w:pPr>
              <w:pStyle w:val="TableText0"/>
              <w:rPr>
                <w:b/>
              </w:rPr>
            </w:pPr>
            <w:r w:rsidRPr="00206794">
              <w:rPr>
                <w:color w:val="000000"/>
                <w:spacing w:val="51"/>
                <w:shd w:val="solid" w:color="000000" w:fill="000000"/>
                <w:fitText w:val="324" w:id="-629400064"/>
                <w14:textFill>
                  <w14:solidFill>
                    <w14:srgbClr w14:val="000000">
                      <w14:alpha w14:val="100000"/>
                    </w14:srgbClr>
                  </w14:solidFill>
                </w14:textFill>
              </w:rPr>
              <w:t>|||</w:t>
            </w:r>
            <w:r w:rsidRPr="00206794">
              <w:rPr>
                <w:color w:val="000000"/>
                <w:spacing w:val="1"/>
                <w:shd w:val="solid" w:color="000000" w:fill="000000"/>
                <w:fitText w:val="324" w:id="-629400064"/>
                <w14:textFill>
                  <w14:solidFill>
                    <w14:srgbClr w14:val="000000">
                      <w14:alpha w14:val="100000"/>
                    </w14:srgbClr>
                  </w14:solidFill>
                </w14:textFill>
              </w:rPr>
              <w:t>|</w:t>
            </w:r>
            <w:r w:rsidR="00A46019" w:rsidRPr="00A46019">
              <w:rPr>
                <w:color w:val="333333"/>
                <w:szCs w:val="20"/>
                <w:vertAlign w:val="superscript"/>
              </w:rPr>
              <w:t>1</w:t>
            </w:r>
          </w:p>
        </w:tc>
        <w:tc>
          <w:tcPr>
            <w:tcW w:w="611" w:type="pct"/>
          </w:tcPr>
          <w:p w14:paraId="1A08EF5A" w14:textId="1EA2A784" w:rsidR="00FC676C" w:rsidRPr="00BD2844" w:rsidRDefault="00206794" w:rsidP="003D2B45">
            <w:pPr>
              <w:pStyle w:val="TableText0"/>
              <w:rPr>
                <w:b/>
              </w:rPr>
            </w:pPr>
            <w:r w:rsidRPr="00206794">
              <w:rPr>
                <w:color w:val="000000"/>
                <w:spacing w:val="51"/>
                <w:shd w:val="solid" w:color="000000" w:fill="000000"/>
                <w:fitText w:val="324" w:id="-629400063"/>
                <w14:textFill>
                  <w14:solidFill>
                    <w14:srgbClr w14:val="000000">
                      <w14:alpha w14:val="100000"/>
                    </w14:srgbClr>
                  </w14:solidFill>
                </w14:textFill>
              </w:rPr>
              <w:t>|||</w:t>
            </w:r>
            <w:r w:rsidRPr="00206794">
              <w:rPr>
                <w:color w:val="000000"/>
                <w:spacing w:val="1"/>
                <w:shd w:val="solid" w:color="000000" w:fill="000000"/>
                <w:fitText w:val="324" w:id="-629400063"/>
                <w14:textFill>
                  <w14:solidFill>
                    <w14:srgbClr w14:val="000000">
                      <w14:alpha w14:val="100000"/>
                    </w14:srgbClr>
                  </w14:solidFill>
                </w14:textFill>
              </w:rPr>
              <w:t>|</w:t>
            </w:r>
            <w:r w:rsidR="00A46019" w:rsidRPr="00A46019">
              <w:rPr>
                <w:color w:val="333333"/>
                <w:szCs w:val="20"/>
                <w:vertAlign w:val="superscript"/>
              </w:rPr>
              <w:t>1</w:t>
            </w:r>
          </w:p>
        </w:tc>
        <w:tc>
          <w:tcPr>
            <w:tcW w:w="611" w:type="pct"/>
          </w:tcPr>
          <w:p w14:paraId="63D310BB" w14:textId="740750BD" w:rsidR="00FC676C" w:rsidRPr="00BD2844" w:rsidRDefault="00206794" w:rsidP="003D2B45">
            <w:pPr>
              <w:pStyle w:val="TableText0"/>
              <w:rPr>
                <w:b/>
              </w:rPr>
            </w:pPr>
            <w:r w:rsidRPr="00206794">
              <w:rPr>
                <w:color w:val="000000"/>
                <w:spacing w:val="51"/>
                <w:shd w:val="solid" w:color="000000" w:fill="000000"/>
                <w:fitText w:val="324" w:id="-629400062"/>
                <w14:textFill>
                  <w14:solidFill>
                    <w14:srgbClr w14:val="000000">
                      <w14:alpha w14:val="100000"/>
                    </w14:srgbClr>
                  </w14:solidFill>
                </w14:textFill>
              </w:rPr>
              <w:t>|||</w:t>
            </w:r>
            <w:r w:rsidRPr="00206794">
              <w:rPr>
                <w:color w:val="000000"/>
                <w:spacing w:val="1"/>
                <w:shd w:val="solid" w:color="000000" w:fill="000000"/>
                <w:fitText w:val="324" w:id="-629400062"/>
                <w14:textFill>
                  <w14:solidFill>
                    <w14:srgbClr w14:val="000000">
                      <w14:alpha w14:val="100000"/>
                    </w14:srgbClr>
                  </w14:solidFill>
                </w14:textFill>
              </w:rPr>
              <w:t>|</w:t>
            </w:r>
            <w:r w:rsidR="00A46019" w:rsidRPr="00A46019">
              <w:rPr>
                <w:color w:val="333333"/>
                <w:szCs w:val="20"/>
                <w:vertAlign w:val="superscript"/>
              </w:rPr>
              <w:t>1</w:t>
            </w:r>
          </w:p>
        </w:tc>
        <w:tc>
          <w:tcPr>
            <w:tcW w:w="611" w:type="pct"/>
          </w:tcPr>
          <w:p w14:paraId="3335C940" w14:textId="68BFF10D" w:rsidR="00FC676C" w:rsidRPr="00BD2844" w:rsidRDefault="00206794" w:rsidP="003D2B45">
            <w:pPr>
              <w:pStyle w:val="TableText0"/>
              <w:rPr>
                <w:b/>
              </w:rPr>
            </w:pPr>
            <w:r w:rsidRPr="00206794">
              <w:rPr>
                <w:color w:val="000000"/>
                <w:spacing w:val="51"/>
                <w:shd w:val="solid" w:color="000000" w:fill="000000"/>
                <w:fitText w:val="324" w:id="-629400061"/>
                <w14:textFill>
                  <w14:solidFill>
                    <w14:srgbClr w14:val="000000">
                      <w14:alpha w14:val="100000"/>
                    </w14:srgbClr>
                  </w14:solidFill>
                </w14:textFill>
              </w:rPr>
              <w:t>|||</w:t>
            </w:r>
            <w:r w:rsidRPr="00206794">
              <w:rPr>
                <w:color w:val="000000"/>
                <w:spacing w:val="1"/>
                <w:shd w:val="solid" w:color="000000" w:fill="000000"/>
                <w:fitText w:val="324" w:id="-629400061"/>
                <w14:textFill>
                  <w14:solidFill>
                    <w14:srgbClr w14:val="000000">
                      <w14:alpha w14:val="100000"/>
                    </w14:srgbClr>
                  </w14:solidFill>
                </w14:textFill>
              </w:rPr>
              <w:t>|</w:t>
            </w:r>
            <w:r w:rsidR="00A46019" w:rsidRPr="00A46019">
              <w:rPr>
                <w:color w:val="333333"/>
                <w:szCs w:val="20"/>
                <w:vertAlign w:val="superscript"/>
              </w:rPr>
              <w:t>1</w:t>
            </w:r>
          </w:p>
        </w:tc>
        <w:tc>
          <w:tcPr>
            <w:tcW w:w="611" w:type="pct"/>
          </w:tcPr>
          <w:p w14:paraId="317664A2" w14:textId="4D3B3394" w:rsidR="00FC676C" w:rsidRPr="00BD2844" w:rsidRDefault="00206794" w:rsidP="003D2B45">
            <w:pPr>
              <w:pStyle w:val="TableText0"/>
              <w:rPr>
                <w:b/>
              </w:rPr>
            </w:pPr>
            <w:r w:rsidRPr="00206794">
              <w:rPr>
                <w:color w:val="000000"/>
                <w:spacing w:val="51"/>
                <w:shd w:val="solid" w:color="000000" w:fill="000000"/>
                <w:fitText w:val="324" w:id="-629400060"/>
                <w14:textFill>
                  <w14:solidFill>
                    <w14:srgbClr w14:val="000000">
                      <w14:alpha w14:val="100000"/>
                    </w14:srgbClr>
                  </w14:solidFill>
                </w14:textFill>
              </w:rPr>
              <w:t>|||</w:t>
            </w:r>
            <w:r w:rsidRPr="00206794">
              <w:rPr>
                <w:color w:val="000000"/>
                <w:spacing w:val="1"/>
                <w:shd w:val="solid" w:color="000000" w:fill="000000"/>
                <w:fitText w:val="324" w:id="-629400060"/>
                <w14:textFill>
                  <w14:solidFill>
                    <w14:srgbClr w14:val="000000">
                      <w14:alpha w14:val="100000"/>
                    </w14:srgbClr>
                  </w14:solidFill>
                </w14:textFill>
              </w:rPr>
              <w:t>|</w:t>
            </w:r>
            <w:r w:rsidR="00A46019" w:rsidRPr="00A46019">
              <w:rPr>
                <w:color w:val="333333"/>
                <w:szCs w:val="20"/>
                <w:vertAlign w:val="superscript"/>
              </w:rPr>
              <w:t>1</w:t>
            </w:r>
          </w:p>
        </w:tc>
        <w:tc>
          <w:tcPr>
            <w:tcW w:w="611" w:type="pct"/>
          </w:tcPr>
          <w:p w14:paraId="25FF602A" w14:textId="22B3CF79" w:rsidR="00FC676C" w:rsidRPr="00BD2844" w:rsidRDefault="00206794" w:rsidP="003D2B45">
            <w:pPr>
              <w:pStyle w:val="TableText0"/>
              <w:rPr>
                <w:b/>
              </w:rPr>
            </w:pPr>
            <w:r w:rsidRPr="00206794">
              <w:rPr>
                <w:color w:val="000000"/>
                <w:spacing w:val="51"/>
                <w:shd w:val="solid" w:color="000000" w:fill="000000"/>
                <w:fitText w:val="324" w:id="-629400059"/>
                <w14:textFill>
                  <w14:solidFill>
                    <w14:srgbClr w14:val="000000">
                      <w14:alpha w14:val="100000"/>
                    </w14:srgbClr>
                  </w14:solidFill>
                </w14:textFill>
              </w:rPr>
              <w:t>|||</w:t>
            </w:r>
            <w:r w:rsidRPr="00206794">
              <w:rPr>
                <w:color w:val="000000"/>
                <w:spacing w:val="1"/>
                <w:shd w:val="solid" w:color="000000" w:fill="000000"/>
                <w:fitText w:val="324" w:id="-629400059"/>
                <w14:textFill>
                  <w14:solidFill>
                    <w14:srgbClr w14:val="000000">
                      <w14:alpha w14:val="100000"/>
                    </w14:srgbClr>
                  </w14:solidFill>
                </w14:textFill>
              </w:rPr>
              <w:t>|</w:t>
            </w:r>
            <w:r w:rsidR="00A46019" w:rsidRPr="00A46019">
              <w:rPr>
                <w:color w:val="333333"/>
                <w:szCs w:val="20"/>
                <w:vertAlign w:val="superscript"/>
              </w:rPr>
              <w:t>1</w:t>
            </w:r>
          </w:p>
        </w:tc>
      </w:tr>
      <w:tr w:rsidR="00FC676C" w:rsidRPr="00BD2844" w14:paraId="1989F380" w14:textId="77777777">
        <w:tc>
          <w:tcPr>
            <w:tcW w:w="5000" w:type="pct"/>
            <w:gridSpan w:val="7"/>
            <w:vAlign w:val="center"/>
          </w:tcPr>
          <w:p w14:paraId="423F82CE" w14:textId="77777777" w:rsidR="00FC676C" w:rsidRPr="00BD2844" w:rsidRDefault="00FC676C" w:rsidP="00ED4078">
            <w:pPr>
              <w:pStyle w:val="In-tableHeading"/>
              <w:rPr>
                <w:szCs w:val="20"/>
                <w:lang w:val="en-AU"/>
              </w:rPr>
            </w:pPr>
            <w:r w:rsidRPr="00BD2844">
              <w:rPr>
                <w:szCs w:val="20"/>
                <w:lang w:val="en-AU"/>
              </w:rPr>
              <w:t>Estimated financial implications of NIVO+IPI</w:t>
            </w:r>
          </w:p>
        </w:tc>
      </w:tr>
      <w:tr w:rsidR="00FC676C" w:rsidRPr="00BD2844" w14:paraId="3FB13B14" w14:textId="77777777">
        <w:tc>
          <w:tcPr>
            <w:tcW w:w="1334" w:type="pct"/>
            <w:vAlign w:val="center"/>
          </w:tcPr>
          <w:p w14:paraId="5C4F4718" w14:textId="77777777" w:rsidR="00FC676C" w:rsidRPr="00BD2844" w:rsidRDefault="00FC676C" w:rsidP="003D2B45">
            <w:pPr>
              <w:pStyle w:val="TableText0"/>
              <w:rPr>
                <w:b/>
              </w:rPr>
            </w:pPr>
            <w:r w:rsidRPr="00BD2844">
              <w:t>Cost to PBS/RPBS less copayments NIVO</w:t>
            </w:r>
          </w:p>
        </w:tc>
        <w:tc>
          <w:tcPr>
            <w:tcW w:w="611" w:type="pct"/>
          </w:tcPr>
          <w:p w14:paraId="68675C80" w14:textId="4AE8021B"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8"/>
                <w14:textFill>
                  <w14:solidFill>
                    <w14:srgbClr w14:val="000000">
                      <w14:alpha w14:val="100000"/>
                    </w14:srgbClr>
                  </w14:solidFill>
                </w14:textFill>
              </w:rPr>
              <w:t>|||</w:t>
            </w:r>
            <w:r w:rsidR="00206794" w:rsidRPr="00206794">
              <w:rPr>
                <w:color w:val="000000"/>
                <w:spacing w:val="1"/>
                <w:shd w:val="solid" w:color="000000" w:fill="000000"/>
                <w:fitText w:val="324" w:id="-629400058"/>
                <w14:textFill>
                  <w14:solidFill>
                    <w14:srgbClr w14:val="000000">
                      <w14:alpha w14:val="100000"/>
                    </w14:srgbClr>
                  </w14:solidFill>
                </w14:textFill>
              </w:rPr>
              <w:t>|</w:t>
            </w:r>
            <w:r w:rsidR="00C6689B">
              <w:rPr>
                <w:vertAlign w:val="superscript"/>
              </w:rPr>
              <w:t>2</w:t>
            </w:r>
          </w:p>
        </w:tc>
        <w:tc>
          <w:tcPr>
            <w:tcW w:w="611" w:type="pct"/>
          </w:tcPr>
          <w:p w14:paraId="60549335" w14:textId="723DD29F"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7"/>
                <w14:textFill>
                  <w14:solidFill>
                    <w14:srgbClr w14:val="000000">
                      <w14:alpha w14:val="100000"/>
                    </w14:srgbClr>
                  </w14:solidFill>
                </w14:textFill>
              </w:rPr>
              <w:t>|||</w:t>
            </w:r>
            <w:r w:rsidR="00206794" w:rsidRPr="00206794">
              <w:rPr>
                <w:color w:val="000000"/>
                <w:spacing w:val="1"/>
                <w:shd w:val="solid" w:color="000000" w:fill="000000"/>
                <w:fitText w:val="324" w:id="-629400057"/>
                <w14:textFill>
                  <w14:solidFill>
                    <w14:srgbClr w14:val="000000">
                      <w14:alpha w14:val="100000"/>
                    </w14:srgbClr>
                  </w14:solidFill>
                </w14:textFill>
              </w:rPr>
              <w:t>|</w:t>
            </w:r>
            <w:r w:rsidR="00C6689B">
              <w:rPr>
                <w:vertAlign w:val="superscript"/>
              </w:rPr>
              <w:t>2</w:t>
            </w:r>
          </w:p>
        </w:tc>
        <w:tc>
          <w:tcPr>
            <w:tcW w:w="611" w:type="pct"/>
          </w:tcPr>
          <w:p w14:paraId="27A049FF" w14:textId="18C022B6"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6"/>
                <w14:textFill>
                  <w14:solidFill>
                    <w14:srgbClr w14:val="000000">
                      <w14:alpha w14:val="100000"/>
                    </w14:srgbClr>
                  </w14:solidFill>
                </w14:textFill>
              </w:rPr>
              <w:t>|||</w:t>
            </w:r>
            <w:r w:rsidR="00206794" w:rsidRPr="00206794">
              <w:rPr>
                <w:color w:val="000000"/>
                <w:spacing w:val="1"/>
                <w:shd w:val="solid" w:color="000000" w:fill="000000"/>
                <w:fitText w:val="324" w:id="-629400056"/>
                <w14:textFill>
                  <w14:solidFill>
                    <w14:srgbClr w14:val="000000">
                      <w14:alpha w14:val="100000"/>
                    </w14:srgbClr>
                  </w14:solidFill>
                </w14:textFill>
              </w:rPr>
              <w:t>|</w:t>
            </w:r>
            <w:r w:rsidR="00C6689B">
              <w:rPr>
                <w:vertAlign w:val="superscript"/>
              </w:rPr>
              <w:t>2</w:t>
            </w:r>
          </w:p>
        </w:tc>
        <w:tc>
          <w:tcPr>
            <w:tcW w:w="611" w:type="pct"/>
          </w:tcPr>
          <w:p w14:paraId="4B438B23" w14:textId="62BDAFE3"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5"/>
                <w14:textFill>
                  <w14:solidFill>
                    <w14:srgbClr w14:val="000000">
                      <w14:alpha w14:val="100000"/>
                    </w14:srgbClr>
                  </w14:solidFill>
                </w14:textFill>
              </w:rPr>
              <w:t>|||</w:t>
            </w:r>
            <w:r w:rsidR="00206794" w:rsidRPr="00206794">
              <w:rPr>
                <w:color w:val="000000"/>
                <w:spacing w:val="1"/>
                <w:shd w:val="solid" w:color="000000" w:fill="000000"/>
                <w:fitText w:val="324" w:id="-629400055"/>
                <w14:textFill>
                  <w14:solidFill>
                    <w14:srgbClr w14:val="000000">
                      <w14:alpha w14:val="100000"/>
                    </w14:srgbClr>
                  </w14:solidFill>
                </w14:textFill>
              </w:rPr>
              <w:t>|</w:t>
            </w:r>
            <w:r w:rsidR="00C6689B">
              <w:rPr>
                <w:vertAlign w:val="superscript"/>
              </w:rPr>
              <w:t>2</w:t>
            </w:r>
          </w:p>
        </w:tc>
        <w:tc>
          <w:tcPr>
            <w:tcW w:w="611" w:type="pct"/>
          </w:tcPr>
          <w:p w14:paraId="793D8CD6" w14:textId="65B0D632"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4"/>
                <w14:textFill>
                  <w14:solidFill>
                    <w14:srgbClr w14:val="000000">
                      <w14:alpha w14:val="100000"/>
                    </w14:srgbClr>
                  </w14:solidFill>
                </w14:textFill>
              </w:rPr>
              <w:t>|||</w:t>
            </w:r>
            <w:r w:rsidR="00206794" w:rsidRPr="00206794">
              <w:rPr>
                <w:color w:val="000000"/>
                <w:spacing w:val="1"/>
                <w:shd w:val="solid" w:color="000000" w:fill="000000"/>
                <w:fitText w:val="324" w:id="-629400054"/>
                <w14:textFill>
                  <w14:solidFill>
                    <w14:srgbClr w14:val="000000">
                      <w14:alpha w14:val="100000"/>
                    </w14:srgbClr>
                  </w14:solidFill>
                </w14:textFill>
              </w:rPr>
              <w:t>|</w:t>
            </w:r>
            <w:r w:rsidR="00C6689B">
              <w:rPr>
                <w:vertAlign w:val="superscript"/>
              </w:rPr>
              <w:t>2</w:t>
            </w:r>
          </w:p>
        </w:tc>
        <w:tc>
          <w:tcPr>
            <w:tcW w:w="611" w:type="pct"/>
          </w:tcPr>
          <w:p w14:paraId="4950E6C0" w14:textId="3DDE7781"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3"/>
                <w14:textFill>
                  <w14:solidFill>
                    <w14:srgbClr w14:val="000000">
                      <w14:alpha w14:val="100000"/>
                    </w14:srgbClr>
                  </w14:solidFill>
                </w14:textFill>
              </w:rPr>
              <w:t>|||</w:t>
            </w:r>
            <w:r w:rsidR="00206794" w:rsidRPr="00206794">
              <w:rPr>
                <w:color w:val="000000"/>
                <w:spacing w:val="1"/>
                <w:shd w:val="solid" w:color="000000" w:fill="000000"/>
                <w:fitText w:val="324" w:id="-629400053"/>
                <w14:textFill>
                  <w14:solidFill>
                    <w14:srgbClr w14:val="000000">
                      <w14:alpha w14:val="100000"/>
                    </w14:srgbClr>
                  </w14:solidFill>
                </w14:textFill>
              </w:rPr>
              <w:t>|</w:t>
            </w:r>
            <w:r w:rsidR="00C6689B">
              <w:rPr>
                <w:vertAlign w:val="superscript"/>
              </w:rPr>
              <w:t>2</w:t>
            </w:r>
          </w:p>
        </w:tc>
      </w:tr>
      <w:tr w:rsidR="00FC676C" w:rsidRPr="00BD2844" w14:paraId="420CBC34" w14:textId="77777777">
        <w:tc>
          <w:tcPr>
            <w:tcW w:w="1334" w:type="pct"/>
            <w:vAlign w:val="center"/>
          </w:tcPr>
          <w:p w14:paraId="0D343441" w14:textId="77777777" w:rsidR="00FC676C" w:rsidRPr="00BD2844" w:rsidRDefault="00FC676C" w:rsidP="003D2B45">
            <w:pPr>
              <w:pStyle w:val="TableText0"/>
              <w:rPr>
                <w:b/>
              </w:rPr>
            </w:pPr>
            <w:r w:rsidRPr="00BD2844">
              <w:t>Cost to PBS/RPBS less copayments IPI</w:t>
            </w:r>
          </w:p>
        </w:tc>
        <w:tc>
          <w:tcPr>
            <w:tcW w:w="611" w:type="pct"/>
          </w:tcPr>
          <w:p w14:paraId="26C547C1" w14:textId="1200239A"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2"/>
                <w14:textFill>
                  <w14:solidFill>
                    <w14:srgbClr w14:val="000000">
                      <w14:alpha w14:val="100000"/>
                    </w14:srgbClr>
                  </w14:solidFill>
                </w14:textFill>
              </w:rPr>
              <w:t>|||</w:t>
            </w:r>
            <w:r w:rsidR="00206794" w:rsidRPr="00206794">
              <w:rPr>
                <w:color w:val="000000"/>
                <w:spacing w:val="1"/>
                <w:shd w:val="solid" w:color="000000" w:fill="000000"/>
                <w:fitText w:val="324" w:id="-629400052"/>
                <w14:textFill>
                  <w14:solidFill>
                    <w14:srgbClr w14:val="000000">
                      <w14:alpha w14:val="100000"/>
                    </w14:srgbClr>
                  </w14:solidFill>
                </w14:textFill>
              </w:rPr>
              <w:t>|</w:t>
            </w:r>
            <w:r w:rsidR="00C6689B">
              <w:rPr>
                <w:vertAlign w:val="superscript"/>
              </w:rPr>
              <w:t>2</w:t>
            </w:r>
          </w:p>
        </w:tc>
        <w:tc>
          <w:tcPr>
            <w:tcW w:w="611" w:type="pct"/>
          </w:tcPr>
          <w:p w14:paraId="795E7C0B" w14:textId="36D0A633"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1"/>
                <w14:textFill>
                  <w14:solidFill>
                    <w14:srgbClr w14:val="000000">
                      <w14:alpha w14:val="100000"/>
                    </w14:srgbClr>
                  </w14:solidFill>
                </w14:textFill>
              </w:rPr>
              <w:t>|||</w:t>
            </w:r>
            <w:r w:rsidR="00206794" w:rsidRPr="00206794">
              <w:rPr>
                <w:color w:val="000000"/>
                <w:spacing w:val="1"/>
                <w:shd w:val="solid" w:color="000000" w:fill="000000"/>
                <w:fitText w:val="324" w:id="-629400051"/>
                <w14:textFill>
                  <w14:solidFill>
                    <w14:srgbClr w14:val="000000">
                      <w14:alpha w14:val="100000"/>
                    </w14:srgbClr>
                  </w14:solidFill>
                </w14:textFill>
              </w:rPr>
              <w:t>|</w:t>
            </w:r>
            <w:r w:rsidR="00C6689B">
              <w:rPr>
                <w:vertAlign w:val="superscript"/>
              </w:rPr>
              <w:t>2</w:t>
            </w:r>
          </w:p>
        </w:tc>
        <w:tc>
          <w:tcPr>
            <w:tcW w:w="611" w:type="pct"/>
          </w:tcPr>
          <w:p w14:paraId="38C9B665" w14:textId="6FB6D906"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0"/>
                <w14:textFill>
                  <w14:solidFill>
                    <w14:srgbClr w14:val="000000">
                      <w14:alpha w14:val="100000"/>
                    </w14:srgbClr>
                  </w14:solidFill>
                </w14:textFill>
              </w:rPr>
              <w:t>|||</w:t>
            </w:r>
            <w:r w:rsidR="00206794" w:rsidRPr="00206794">
              <w:rPr>
                <w:color w:val="000000"/>
                <w:spacing w:val="1"/>
                <w:shd w:val="solid" w:color="000000" w:fill="000000"/>
                <w:fitText w:val="324" w:id="-629400050"/>
                <w14:textFill>
                  <w14:solidFill>
                    <w14:srgbClr w14:val="000000">
                      <w14:alpha w14:val="100000"/>
                    </w14:srgbClr>
                  </w14:solidFill>
                </w14:textFill>
              </w:rPr>
              <w:t>|</w:t>
            </w:r>
            <w:r w:rsidR="00C6689B">
              <w:rPr>
                <w:vertAlign w:val="superscript"/>
              </w:rPr>
              <w:t>2</w:t>
            </w:r>
          </w:p>
        </w:tc>
        <w:tc>
          <w:tcPr>
            <w:tcW w:w="611" w:type="pct"/>
          </w:tcPr>
          <w:p w14:paraId="2D671909" w14:textId="6276359D"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49"/>
                <w14:textFill>
                  <w14:solidFill>
                    <w14:srgbClr w14:val="000000">
                      <w14:alpha w14:val="100000"/>
                    </w14:srgbClr>
                  </w14:solidFill>
                </w14:textFill>
              </w:rPr>
              <w:t>|||</w:t>
            </w:r>
            <w:r w:rsidR="00206794" w:rsidRPr="00206794">
              <w:rPr>
                <w:color w:val="000000"/>
                <w:spacing w:val="1"/>
                <w:shd w:val="solid" w:color="000000" w:fill="000000"/>
                <w:fitText w:val="324" w:id="-629400049"/>
                <w14:textFill>
                  <w14:solidFill>
                    <w14:srgbClr w14:val="000000">
                      <w14:alpha w14:val="100000"/>
                    </w14:srgbClr>
                  </w14:solidFill>
                </w14:textFill>
              </w:rPr>
              <w:t>|</w:t>
            </w:r>
            <w:r w:rsidR="00C6689B">
              <w:rPr>
                <w:vertAlign w:val="superscript"/>
              </w:rPr>
              <w:t>3</w:t>
            </w:r>
          </w:p>
        </w:tc>
        <w:tc>
          <w:tcPr>
            <w:tcW w:w="611" w:type="pct"/>
          </w:tcPr>
          <w:p w14:paraId="673827AA" w14:textId="0503B152"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48"/>
                <w14:textFill>
                  <w14:solidFill>
                    <w14:srgbClr w14:val="000000">
                      <w14:alpha w14:val="100000"/>
                    </w14:srgbClr>
                  </w14:solidFill>
                </w14:textFill>
              </w:rPr>
              <w:t>|||</w:t>
            </w:r>
            <w:r w:rsidR="00206794" w:rsidRPr="00206794">
              <w:rPr>
                <w:color w:val="000000"/>
                <w:spacing w:val="1"/>
                <w:shd w:val="solid" w:color="000000" w:fill="000000"/>
                <w:fitText w:val="324" w:id="-629400048"/>
                <w14:textFill>
                  <w14:solidFill>
                    <w14:srgbClr w14:val="000000">
                      <w14:alpha w14:val="100000"/>
                    </w14:srgbClr>
                  </w14:solidFill>
                </w14:textFill>
              </w:rPr>
              <w:t>|</w:t>
            </w:r>
            <w:r w:rsidR="00C6689B">
              <w:rPr>
                <w:vertAlign w:val="superscript"/>
              </w:rPr>
              <w:t>3</w:t>
            </w:r>
          </w:p>
        </w:tc>
        <w:tc>
          <w:tcPr>
            <w:tcW w:w="611" w:type="pct"/>
          </w:tcPr>
          <w:p w14:paraId="705683D7" w14:textId="3E11BF59"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64"/>
                <w14:textFill>
                  <w14:solidFill>
                    <w14:srgbClr w14:val="000000">
                      <w14:alpha w14:val="100000"/>
                    </w14:srgbClr>
                  </w14:solidFill>
                </w14:textFill>
              </w:rPr>
              <w:t>|||</w:t>
            </w:r>
            <w:r w:rsidR="00206794" w:rsidRPr="00206794">
              <w:rPr>
                <w:color w:val="000000"/>
                <w:spacing w:val="1"/>
                <w:shd w:val="solid" w:color="000000" w:fill="000000"/>
                <w:fitText w:val="324" w:id="-629400064"/>
                <w14:textFill>
                  <w14:solidFill>
                    <w14:srgbClr w14:val="000000">
                      <w14:alpha w14:val="100000"/>
                    </w14:srgbClr>
                  </w14:solidFill>
                </w14:textFill>
              </w:rPr>
              <w:t>|</w:t>
            </w:r>
            <w:r w:rsidR="00C6689B">
              <w:rPr>
                <w:vertAlign w:val="superscript"/>
              </w:rPr>
              <w:t>3</w:t>
            </w:r>
          </w:p>
        </w:tc>
      </w:tr>
      <w:tr w:rsidR="00FC676C" w:rsidRPr="00BD2844" w14:paraId="3D570CE1" w14:textId="77777777">
        <w:tc>
          <w:tcPr>
            <w:tcW w:w="1334" w:type="pct"/>
            <w:vAlign w:val="center"/>
          </w:tcPr>
          <w:p w14:paraId="7D9CDC59" w14:textId="77777777" w:rsidR="00FC676C" w:rsidRPr="00BD2844" w:rsidRDefault="00FC676C" w:rsidP="003D2B45">
            <w:pPr>
              <w:pStyle w:val="TableText0"/>
              <w:rPr>
                <w:b/>
              </w:rPr>
            </w:pPr>
            <w:r w:rsidRPr="00BD2844">
              <w:t>Net PBS/RPBS cost NIVO +IPI</w:t>
            </w:r>
          </w:p>
        </w:tc>
        <w:tc>
          <w:tcPr>
            <w:tcW w:w="611" w:type="pct"/>
            <w:vAlign w:val="center"/>
          </w:tcPr>
          <w:p w14:paraId="05BE2AC9" w14:textId="571AF3D7"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63"/>
                <w14:textFill>
                  <w14:solidFill>
                    <w14:srgbClr w14:val="000000">
                      <w14:alpha w14:val="100000"/>
                    </w14:srgbClr>
                  </w14:solidFill>
                </w14:textFill>
              </w:rPr>
              <w:t>|||</w:t>
            </w:r>
            <w:r w:rsidR="00206794" w:rsidRPr="00206794">
              <w:rPr>
                <w:color w:val="000000"/>
                <w:spacing w:val="1"/>
                <w:shd w:val="solid" w:color="000000" w:fill="000000"/>
                <w:fitText w:val="324" w:id="-629400063"/>
                <w14:textFill>
                  <w14:solidFill>
                    <w14:srgbClr w14:val="000000">
                      <w14:alpha w14:val="100000"/>
                    </w14:srgbClr>
                  </w14:solidFill>
                </w14:textFill>
              </w:rPr>
              <w:t>|</w:t>
            </w:r>
            <w:r w:rsidR="00C6689B">
              <w:rPr>
                <w:vertAlign w:val="superscript"/>
              </w:rPr>
              <w:t>3</w:t>
            </w:r>
          </w:p>
        </w:tc>
        <w:tc>
          <w:tcPr>
            <w:tcW w:w="611" w:type="pct"/>
            <w:vAlign w:val="center"/>
          </w:tcPr>
          <w:p w14:paraId="6B7C1C96" w14:textId="33AF0D1F"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62"/>
                <w14:textFill>
                  <w14:solidFill>
                    <w14:srgbClr w14:val="000000">
                      <w14:alpha w14:val="100000"/>
                    </w14:srgbClr>
                  </w14:solidFill>
                </w14:textFill>
              </w:rPr>
              <w:t>|||</w:t>
            </w:r>
            <w:r w:rsidR="00206794" w:rsidRPr="00206794">
              <w:rPr>
                <w:color w:val="000000"/>
                <w:spacing w:val="1"/>
                <w:shd w:val="solid" w:color="000000" w:fill="000000"/>
                <w:fitText w:val="324" w:id="-629400062"/>
                <w14:textFill>
                  <w14:solidFill>
                    <w14:srgbClr w14:val="000000">
                      <w14:alpha w14:val="100000"/>
                    </w14:srgbClr>
                  </w14:solidFill>
                </w14:textFill>
              </w:rPr>
              <w:t>|</w:t>
            </w:r>
            <w:r w:rsidR="00C6689B">
              <w:rPr>
                <w:vertAlign w:val="superscript"/>
              </w:rPr>
              <w:t>3</w:t>
            </w:r>
          </w:p>
        </w:tc>
        <w:tc>
          <w:tcPr>
            <w:tcW w:w="611" w:type="pct"/>
            <w:vAlign w:val="center"/>
          </w:tcPr>
          <w:p w14:paraId="13618FD8" w14:textId="012F9710"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61"/>
                <w14:textFill>
                  <w14:solidFill>
                    <w14:srgbClr w14:val="000000">
                      <w14:alpha w14:val="100000"/>
                    </w14:srgbClr>
                  </w14:solidFill>
                </w14:textFill>
              </w:rPr>
              <w:t>|||</w:t>
            </w:r>
            <w:r w:rsidR="00206794" w:rsidRPr="00206794">
              <w:rPr>
                <w:color w:val="000000"/>
                <w:spacing w:val="1"/>
                <w:shd w:val="solid" w:color="000000" w:fill="000000"/>
                <w:fitText w:val="324" w:id="-629400061"/>
                <w14:textFill>
                  <w14:solidFill>
                    <w14:srgbClr w14:val="000000">
                      <w14:alpha w14:val="100000"/>
                    </w14:srgbClr>
                  </w14:solidFill>
                </w14:textFill>
              </w:rPr>
              <w:t>|</w:t>
            </w:r>
            <w:r w:rsidR="00C6689B">
              <w:rPr>
                <w:vertAlign w:val="superscript"/>
              </w:rPr>
              <w:t>3</w:t>
            </w:r>
          </w:p>
        </w:tc>
        <w:tc>
          <w:tcPr>
            <w:tcW w:w="611" w:type="pct"/>
            <w:vAlign w:val="center"/>
          </w:tcPr>
          <w:p w14:paraId="20D813EF" w14:textId="621AB228"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60"/>
                <w14:textFill>
                  <w14:solidFill>
                    <w14:srgbClr w14:val="000000">
                      <w14:alpha w14:val="100000"/>
                    </w14:srgbClr>
                  </w14:solidFill>
                </w14:textFill>
              </w:rPr>
              <w:t>|||</w:t>
            </w:r>
            <w:r w:rsidR="00206794" w:rsidRPr="00206794">
              <w:rPr>
                <w:color w:val="000000"/>
                <w:spacing w:val="1"/>
                <w:shd w:val="solid" w:color="000000" w:fill="000000"/>
                <w:fitText w:val="324" w:id="-629400060"/>
                <w14:textFill>
                  <w14:solidFill>
                    <w14:srgbClr w14:val="000000">
                      <w14:alpha w14:val="100000"/>
                    </w14:srgbClr>
                  </w14:solidFill>
                </w14:textFill>
              </w:rPr>
              <w:t>|</w:t>
            </w:r>
            <w:r w:rsidR="00C6689B">
              <w:rPr>
                <w:vertAlign w:val="superscript"/>
              </w:rPr>
              <w:t>3</w:t>
            </w:r>
          </w:p>
        </w:tc>
        <w:tc>
          <w:tcPr>
            <w:tcW w:w="611" w:type="pct"/>
            <w:vAlign w:val="center"/>
          </w:tcPr>
          <w:p w14:paraId="1C816FB9" w14:textId="5FCA9036"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9"/>
                <w14:textFill>
                  <w14:solidFill>
                    <w14:srgbClr w14:val="000000">
                      <w14:alpha w14:val="100000"/>
                    </w14:srgbClr>
                  </w14:solidFill>
                </w14:textFill>
              </w:rPr>
              <w:t>|||</w:t>
            </w:r>
            <w:r w:rsidR="00206794" w:rsidRPr="00206794">
              <w:rPr>
                <w:color w:val="000000"/>
                <w:spacing w:val="1"/>
                <w:shd w:val="solid" w:color="000000" w:fill="000000"/>
                <w:fitText w:val="324" w:id="-629400059"/>
                <w14:textFill>
                  <w14:solidFill>
                    <w14:srgbClr w14:val="000000">
                      <w14:alpha w14:val="100000"/>
                    </w14:srgbClr>
                  </w14:solidFill>
                </w14:textFill>
              </w:rPr>
              <w:t>|</w:t>
            </w:r>
            <w:r w:rsidR="00C6689B">
              <w:rPr>
                <w:vertAlign w:val="superscript"/>
              </w:rPr>
              <w:t>3</w:t>
            </w:r>
          </w:p>
        </w:tc>
        <w:tc>
          <w:tcPr>
            <w:tcW w:w="611" w:type="pct"/>
            <w:vAlign w:val="center"/>
          </w:tcPr>
          <w:p w14:paraId="2CA7D304" w14:textId="5222DE3A" w:rsidR="00FC676C" w:rsidRPr="00C6689B"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8"/>
                <w14:textFill>
                  <w14:solidFill>
                    <w14:srgbClr w14:val="000000">
                      <w14:alpha w14:val="100000"/>
                    </w14:srgbClr>
                  </w14:solidFill>
                </w14:textFill>
              </w:rPr>
              <w:t>|||</w:t>
            </w:r>
            <w:r w:rsidR="00206794" w:rsidRPr="00206794">
              <w:rPr>
                <w:color w:val="000000"/>
                <w:spacing w:val="1"/>
                <w:shd w:val="solid" w:color="000000" w:fill="000000"/>
                <w:fitText w:val="324" w:id="-629400058"/>
                <w14:textFill>
                  <w14:solidFill>
                    <w14:srgbClr w14:val="000000">
                      <w14:alpha w14:val="100000"/>
                    </w14:srgbClr>
                  </w14:solidFill>
                </w14:textFill>
              </w:rPr>
              <w:t>|</w:t>
            </w:r>
            <w:r w:rsidR="00C6689B">
              <w:rPr>
                <w:vertAlign w:val="superscript"/>
              </w:rPr>
              <w:t>3</w:t>
            </w:r>
          </w:p>
        </w:tc>
      </w:tr>
      <w:tr w:rsidR="00FC676C" w:rsidRPr="00BD2844" w14:paraId="475A8655" w14:textId="77777777">
        <w:tc>
          <w:tcPr>
            <w:tcW w:w="5000" w:type="pct"/>
            <w:gridSpan w:val="7"/>
            <w:vAlign w:val="center"/>
          </w:tcPr>
          <w:p w14:paraId="4F95F811" w14:textId="77777777" w:rsidR="00FC676C" w:rsidRPr="00BD2844" w:rsidRDefault="00FC676C" w:rsidP="003D2B45">
            <w:pPr>
              <w:pStyle w:val="TableText0"/>
            </w:pPr>
            <w:r w:rsidRPr="00BD2844">
              <w:t>Estimated financial implications for ATEZO+BEV</w:t>
            </w:r>
          </w:p>
        </w:tc>
      </w:tr>
      <w:tr w:rsidR="00FC676C" w:rsidRPr="00BD2844" w14:paraId="03F30881" w14:textId="77777777">
        <w:tc>
          <w:tcPr>
            <w:tcW w:w="1334" w:type="pct"/>
            <w:vAlign w:val="center"/>
          </w:tcPr>
          <w:p w14:paraId="76E042C4" w14:textId="77777777" w:rsidR="00FC676C" w:rsidRPr="00BD2844" w:rsidRDefault="00FC676C" w:rsidP="003D2B45">
            <w:pPr>
              <w:pStyle w:val="TableText0"/>
              <w:rPr>
                <w:b/>
              </w:rPr>
            </w:pPr>
            <w:r w:rsidRPr="00BD2844">
              <w:t>Cost to PBS/RPBS less copayments ATEZO</w:t>
            </w:r>
          </w:p>
        </w:tc>
        <w:tc>
          <w:tcPr>
            <w:tcW w:w="611" w:type="pct"/>
          </w:tcPr>
          <w:p w14:paraId="146E5BE2" w14:textId="3C0A4509" w:rsidR="00FC676C" w:rsidRPr="00C6689B"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57"/>
                <w14:textFill>
                  <w14:solidFill>
                    <w14:srgbClr w14:val="000000">
                      <w14:alpha w14:val="100000"/>
                    </w14:srgbClr>
                  </w14:solidFill>
                </w14:textFill>
              </w:rPr>
              <w:t>|||</w:t>
            </w:r>
            <w:r w:rsidR="00206794" w:rsidRPr="00206794">
              <w:rPr>
                <w:color w:val="000000"/>
                <w:spacing w:val="1"/>
                <w:shd w:val="solid" w:color="000000" w:fill="000000"/>
                <w:fitText w:val="336" w:id="-629400057"/>
                <w14:textFill>
                  <w14:solidFill>
                    <w14:srgbClr w14:val="000000">
                      <w14:alpha w14:val="100000"/>
                    </w14:srgbClr>
                  </w14:solidFill>
                </w14:textFill>
              </w:rPr>
              <w:t>|</w:t>
            </w:r>
            <w:r w:rsidR="00C6689B">
              <w:rPr>
                <w:vertAlign w:val="superscript"/>
              </w:rPr>
              <w:t>2</w:t>
            </w:r>
          </w:p>
        </w:tc>
        <w:tc>
          <w:tcPr>
            <w:tcW w:w="611" w:type="pct"/>
          </w:tcPr>
          <w:p w14:paraId="68C7982F" w14:textId="1F15EAF0" w:rsidR="00FC676C" w:rsidRPr="00C6689B"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56"/>
                <w14:textFill>
                  <w14:solidFill>
                    <w14:srgbClr w14:val="000000">
                      <w14:alpha w14:val="100000"/>
                    </w14:srgbClr>
                  </w14:solidFill>
                </w14:textFill>
              </w:rPr>
              <w:t>|||</w:t>
            </w:r>
            <w:r w:rsidR="00206794" w:rsidRPr="00206794">
              <w:rPr>
                <w:color w:val="000000"/>
                <w:spacing w:val="1"/>
                <w:shd w:val="solid" w:color="000000" w:fill="000000"/>
                <w:fitText w:val="336" w:id="-629400056"/>
                <w14:textFill>
                  <w14:solidFill>
                    <w14:srgbClr w14:val="000000">
                      <w14:alpha w14:val="100000"/>
                    </w14:srgbClr>
                  </w14:solidFill>
                </w14:textFill>
              </w:rPr>
              <w:t>|</w:t>
            </w:r>
            <w:r w:rsidR="00C6689B">
              <w:rPr>
                <w:vertAlign w:val="superscript"/>
              </w:rPr>
              <w:t>2</w:t>
            </w:r>
          </w:p>
        </w:tc>
        <w:tc>
          <w:tcPr>
            <w:tcW w:w="611" w:type="pct"/>
          </w:tcPr>
          <w:p w14:paraId="4C262DEC" w14:textId="16303146" w:rsidR="00FC676C" w:rsidRPr="00C6689B"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55"/>
                <w14:textFill>
                  <w14:solidFill>
                    <w14:srgbClr w14:val="000000">
                      <w14:alpha w14:val="100000"/>
                    </w14:srgbClr>
                  </w14:solidFill>
                </w14:textFill>
              </w:rPr>
              <w:t>|||</w:t>
            </w:r>
            <w:r w:rsidR="00206794" w:rsidRPr="00206794">
              <w:rPr>
                <w:color w:val="000000"/>
                <w:spacing w:val="1"/>
                <w:shd w:val="solid" w:color="000000" w:fill="000000"/>
                <w:fitText w:val="336" w:id="-629400055"/>
                <w14:textFill>
                  <w14:solidFill>
                    <w14:srgbClr w14:val="000000">
                      <w14:alpha w14:val="100000"/>
                    </w14:srgbClr>
                  </w14:solidFill>
                </w14:textFill>
              </w:rPr>
              <w:t>|</w:t>
            </w:r>
            <w:r w:rsidR="00C6689B">
              <w:rPr>
                <w:vertAlign w:val="superscript"/>
              </w:rPr>
              <w:t>3</w:t>
            </w:r>
          </w:p>
        </w:tc>
        <w:tc>
          <w:tcPr>
            <w:tcW w:w="611" w:type="pct"/>
          </w:tcPr>
          <w:p w14:paraId="6FBC9152" w14:textId="74AFCC2C" w:rsidR="00FC676C" w:rsidRPr="00C6689B"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54"/>
                <w14:textFill>
                  <w14:solidFill>
                    <w14:srgbClr w14:val="000000">
                      <w14:alpha w14:val="100000"/>
                    </w14:srgbClr>
                  </w14:solidFill>
                </w14:textFill>
              </w:rPr>
              <w:t>|||</w:t>
            </w:r>
            <w:r w:rsidR="00206794" w:rsidRPr="00206794">
              <w:rPr>
                <w:color w:val="000000"/>
                <w:spacing w:val="1"/>
                <w:shd w:val="solid" w:color="000000" w:fill="000000"/>
                <w:fitText w:val="336" w:id="-629400054"/>
                <w14:textFill>
                  <w14:solidFill>
                    <w14:srgbClr w14:val="000000">
                      <w14:alpha w14:val="100000"/>
                    </w14:srgbClr>
                  </w14:solidFill>
                </w14:textFill>
              </w:rPr>
              <w:t>|</w:t>
            </w:r>
            <w:r w:rsidR="00C6689B">
              <w:rPr>
                <w:vertAlign w:val="superscript"/>
              </w:rPr>
              <w:t>3</w:t>
            </w:r>
          </w:p>
        </w:tc>
        <w:tc>
          <w:tcPr>
            <w:tcW w:w="611" w:type="pct"/>
          </w:tcPr>
          <w:p w14:paraId="301FE7C8" w14:textId="6F9CCB41" w:rsidR="00FC676C" w:rsidRPr="00C6689B"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53"/>
                <w14:textFill>
                  <w14:solidFill>
                    <w14:srgbClr w14:val="000000">
                      <w14:alpha w14:val="100000"/>
                    </w14:srgbClr>
                  </w14:solidFill>
                </w14:textFill>
              </w:rPr>
              <w:t>|||</w:t>
            </w:r>
            <w:r w:rsidR="00206794" w:rsidRPr="00206794">
              <w:rPr>
                <w:color w:val="000000"/>
                <w:spacing w:val="1"/>
                <w:shd w:val="solid" w:color="000000" w:fill="000000"/>
                <w:fitText w:val="336" w:id="-629400053"/>
                <w14:textFill>
                  <w14:solidFill>
                    <w14:srgbClr w14:val="000000">
                      <w14:alpha w14:val="100000"/>
                    </w14:srgbClr>
                  </w14:solidFill>
                </w14:textFill>
              </w:rPr>
              <w:t>|</w:t>
            </w:r>
            <w:r w:rsidR="00C6689B">
              <w:rPr>
                <w:vertAlign w:val="superscript"/>
              </w:rPr>
              <w:t>3</w:t>
            </w:r>
          </w:p>
        </w:tc>
        <w:tc>
          <w:tcPr>
            <w:tcW w:w="611" w:type="pct"/>
          </w:tcPr>
          <w:p w14:paraId="530BBA33" w14:textId="5B0FC734" w:rsidR="00FC676C" w:rsidRPr="00C6689B"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52"/>
                <w14:textFill>
                  <w14:solidFill>
                    <w14:srgbClr w14:val="000000">
                      <w14:alpha w14:val="100000"/>
                    </w14:srgbClr>
                  </w14:solidFill>
                </w14:textFill>
              </w:rPr>
              <w:t>|||</w:t>
            </w:r>
            <w:r w:rsidR="00206794" w:rsidRPr="00206794">
              <w:rPr>
                <w:color w:val="000000"/>
                <w:spacing w:val="1"/>
                <w:shd w:val="solid" w:color="000000" w:fill="000000"/>
                <w:fitText w:val="336" w:id="-629400052"/>
                <w14:textFill>
                  <w14:solidFill>
                    <w14:srgbClr w14:val="000000">
                      <w14:alpha w14:val="100000"/>
                    </w14:srgbClr>
                  </w14:solidFill>
                </w14:textFill>
              </w:rPr>
              <w:t>|</w:t>
            </w:r>
            <w:r w:rsidR="00C6689B">
              <w:rPr>
                <w:vertAlign w:val="superscript"/>
              </w:rPr>
              <w:t>3</w:t>
            </w:r>
          </w:p>
        </w:tc>
      </w:tr>
      <w:tr w:rsidR="00FC676C" w:rsidRPr="00BD2844" w14:paraId="029188AA" w14:textId="77777777">
        <w:tc>
          <w:tcPr>
            <w:tcW w:w="1334" w:type="pct"/>
            <w:vAlign w:val="center"/>
          </w:tcPr>
          <w:p w14:paraId="1D99E567" w14:textId="28D6C35F" w:rsidR="00FC676C" w:rsidRPr="003D2B45" w:rsidRDefault="00FC676C" w:rsidP="003D2B45">
            <w:pPr>
              <w:pStyle w:val="TableText0"/>
              <w:rPr>
                <w:b/>
                <w:vertAlign w:val="superscript"/>
              </w:rPr>
            </w:pPr>
            <w:r w:rsidRPr="003D2B45">
              <w:t>Cost to PBS/RPBS less copayments BEV</w:t>
            </w:r>
            <w:r w:rsidR="003D2B45" w:rsidRPr="003D2B45">
              <w:t xml:space="preserve"> </w:t>
            </w:r>
            <w:r w:rsidR="00953B28" w:rsidRPr="003D2B45">
              <w:rPr>
                <w:vertAlign w:val="superscript"/>
              </w:rPr>
              <w:t>a</w:t>
            </w:r>
          </w:p>
        </w:tc>
        <w:tc>
          <w:tcPr>
            <w:tcW w:w="611" w:type="pct"/>
            <w:vAlign w:val="center"/>
          </w:tcPr>
          <w:p w14:paraId="34025E29" w14:textId="2EEA7319" w:rsidR="00FC676C" w:rsidRPr="00C6689B"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51"/>
                <w14:textFill>
                  <w14:solidFill>
                    <w14:srgbClr w14:val="000000">
                      <w14:alpha w14:val="100000"/>
                    </w14:srgbClr>
                  </w14:solidFill>
                </w14:textFill>
              </w:rPr>
              <w:t>|||</w:t>
            </w:r>
            <w:r w:rsidR="00206794" w:rsidRPr="00206794">
              <w:rPr>
                <w:color w:val="000000"/>
                <w:spacing w:val="1"/>
                <w:shd w:val="solid" w:color="000000" w:fill="000000"/>
                <w:fitText w:val="336" w:id="-629400051"/>
                <w14:textFill>
                  <w14:solidFill>
                    <w14:srgbClr w14:val="000000">
                      <w14:alpha w14:val="100000"/>
                    </w14:srgbClr>
                  </w14:solidFill>
                </w14:textFill>
              </w:rPr>
              <w:t>|</w:t>
            </w:r>
            <w:r w:rsidR="00C6689B">
              <w:rPr>
                <w:vertAlign w:val="superscript"/>
              </w:rPr>
              <w:t>2</w:t>
            </w:r>
          </w:p>
        </w:tc>
        <w:tc>
          <w:tcPr>
            <w:tcW w:w="611" w:type="pct"/>
            <w:vAlign w:val="center"/>
          </w:tcPr>
          <w:p w14:paraId="59E31825" w14:textId="46DC9C1C" w:rsidR="00FC676C" w:rsidRPr="00C6689B"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50"/>
                <w14:textFill>
                  <w14:solidFill>
                    <w14:srgbClr w14:val="000000">
                      <w14:alpha w14:val="100000"/>
                    </w14:srgbClr>
                  </w14:solidFill>
                </w14:textFill>
              </w:rPr>
              <w:t>|||</w:t>
            </w:r>
            <w:r w:rsidR="00206794" w:rsidRPr="00206794">
              <w:rPr>
                <w:color w:val="000000"/>
                <w:spacing w:val="1"/>
                <w:shd w:val="solid" w:color="000000" w:fill="000000"/>
                <w:fitText w:val="336" w:id="-629400050"/>
                <w14:textFill>
                  <w14:solidFill>
                    <w14:srgbClr w14:val="000000">
                      <w14:alpha w14:val="100000"/>
                    </w14:srgbClr>
                  </w14:solidFill>
                </w14:textFill>
              </w:rPr>
              <w:t>|</w:t>
            </w:r>
            <w:r w:rsidR="00C6689B">
              <w:rPr>
                <w:vertAlign w:val="superscript"/>
              </w:rPr>
              <w:t>2</w:t>
            </w:r>
          </w:p>
        </w:tc>
        <w:tc>
          <w:tcPr>
            <w:tcW w:w="611" w:type="pct"/>
            <w:vAlign w:val="center"/>
          </w:tcPr>
          <w:p w14:paraId="782227B1" w14:textId="577D9B1B" w:rsidR="00FC676C" w:rsidRPr="00C6689B"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49"/>
                <w14:textFill>
                  <w14:solidFill>
                    <w14:srgbClr w14:val="000000">
                      <w14:alpha w14:val="100000"/>
                    </w14:srgbClr>
                  </w14:solidFill>
                </w14:textFill>
              </w:rPr>
              <w:t>|||</w:t>
            </w:r>
            <w:r w:rsidR="00206794" w:rsidRPr="00206794">
              <w:rPr>
                <w:color w:val="000000"/>
                <w:spacing w:val="1"/>
                <w:shd w:val="solid" w:color="000000" w:fill="000000"/>
                <w:fitText w:val="336" w:id="-629400049"/>
                <w14:textFill>
                  <w14:solidFill>
                    <w14:srgbClr w14:val="000000">
                      <w14:alpha w14:val="100000"/>
                    </w14:srgbClr>
                  </w14:solidFill>
                </w14:textFill>
              </w:rPr>
              <w:t>|</w:t>
            </w:r>
            <w:r w:rsidR="00C6689B">
              <w:rPr>
                <w:vertAlign w:val="superscript"/>
              </w:rPr>
              <w:t>2</w:t>
            </w:r>
          </w:p>
        </w:tc>
        <w:tc>
          <w:tcPr>
            <w:tcW w:w="611" w:type="pct"/>
            <w:vAlign w:val="center"/>
          </w:tcPr>
          <w:p w14:paraId="5159B2DA" w14:textId="24489F6D" w:rsidR="00FC676C" w:rsidRPr="00C6689B"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48"/>
                <w14:textFill>
                  <w14:solidFill>
                    <w14:srgbClr w14:val="000000">
                      <w14:alpha w14:val="100000"/>
                    </w14:srgbClr>
                  </w14:solidFill>
                </w14:textFill>
              </w:rPr>
              <w:t>|||</w:t>
            </w:r>
            <w:r w:rsidR="00206794" w:rsidRPr="00206794">
              <w:rPr>
                <w:color w:val="000000"/>
                <w:spacing w:val="1"/>
                <w:shd w:val="solid" w:color="000000" w:fill="000000"/>
                <w:fitText w:val="336" w:id="-629400048"/>
                <w14:textFill>
                  <w14:solidFill>
                    <w14:srgbClr w14:val="000000">
                      <w14:alpha w14:val="100000"/>
                    </w14:srgbClr>
                  </w14:solidFill>
                </w14:textFill>
              </w:rPr>
              <w:t>|</w:t>
            </w:r>
            <w:r w:rsidR="00C6689B">
              <w:rPr>
                <w:vertAlign w:val="superscript"/>
              </w:rPr>
              <w:t>2</w:t>
            </w:r>
          </w:p>
        </w:tc>
        <w:tc>
          <w:tcPr>
            <w:tcW w:w="611" w:type="pct"/>
            <w:vAlign w:val="center"/>
          </w:tcPr>
          <w:p w14:paraId="792F3147" w14:textId="48CF635F" w:rsidR="00FC676C" w:rsidRPr="00C6689B"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64"/>
                <w14:textFill>
                  <w14:solidFill>
                    <w14:srgbClr w14:val="000000">
                      <w14:alpha w14:val="100000"/>
                    </w14:srgbClr>
                  </w14:solidFill>
                </w14:textFill>
              </w:rPr>
              <w:t>|||</w:t>
            </w:r>
            <w:r w:rsidR="00206794" w:rsidRPr="00206794">
              <w:rPr>
                <w:color w:val="000000"/>
                <w:spacing w:val="1"/>
                <w:shd w:val="solid" w:color="000000" w:fill="000000"/>
                <w:fitText w:val="336" w:id="-629400064"/>
                <w14:textFill>
                  <w14:solidFill>
                    <w14:srgbClr w14:val="000000">
                      <w14:alpha w14:val="100000"/>
                    </w14:srgbClr>
                  </w14:solidFill>
                </w14:textFill>
              </w:rPr>
              <w:t>|</w:t>
            </w:r>
            <w:r w:rsidR="00C6689B">
              <w:rPr>
                <w:vertAlign w:val="superscript"/>
              </w:rPr>
              <w:t>2</w:t>
            </w:r>
          </w:p>
        </w:tc>
        <w:tc>
          <w:tcPr>
            <w:tcW w:w="611" w:type="pct"/>
            <w:vAlign w:val="center"/>
          </w:tcPr>
          <w:p w14:paraId="22827A10" w14:textId="7632574D" w:rsidR="00FC676C" w:rsidRPr="00C6689B"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63"/>
                <w14:textFill>
                  <w14:solidFill>
                    <w14:srgbClr w14:val="000000">
                      <w14:alpha w14:val="100000"/>
                    </w14:srgbClr>
                  </w14:solidFill>
                </w14:textFill>
              </w:rPr>
              <w:t>|||</w:t>
            </w:r>
            <w:r w:rsidR="00206794" w:rsidRPr="00206794">
              <w:rPr>
                <w:color w:val="000000"/>
                <w:spacing w:val="1"/>
                <w:shd w:val="solid" w:color="000000" w:fill="000000"/>
                <w:fitText w:val="336" w:id="-629400063"/>
                <w14:textFill>
                  <w14:solidFill>
                    <w14:srgbClr w14:val="000000">
                      <w14:alpha w14:val="100000"/>
                    </w14:srgbClr>
                  </w14:solidFill>
                </w14:textFill>
              </w:rPr>
              <w:t>|</w:t>
            </w:r>
            <w:r w:rsidR="00C6689B">
              <w:rPr>
                <w:vertAlign w:val="superscript"/>
              </w:rPr>
              <w:t>2</w:t>
            </w:r>
          </w:p>
        </w:tc>
      </w:tr>
      <w:tr w:rsidR="00FC676C" w:rsidRPr="00BD2844" w14:paraId="283A6B66" w14:textId="77777777">
        <w:tc>
          <w:tcPr>
            <w:tcW w:w="1334" w:type="pct"/>
            <w:vAlign w:val="center"/>
          </w:tcPr>
          <w:p w14:paraId="243494DC" w14:textId="5211CD5B" w:rsidR="00FC676C" w:rsidRPr="003D2B45" w:rsidRDefault="00FC676C" w:rsidP="003D2B45">
            <w:pPr>
              <w:pStyle w:val="TableText0"/>
              <w:rPr>
                <w:b/>
              </w:rPr>
            </w:pPr>
            <w:r w:rsidRPr="003D2B45">
              <w:t>Cost to PBS/RPBS less copayments ATEZO+BEV</w:t>
            </w:r>
            <w:r w:rsidR="003D2B45" w:rsidRPr="003D2B45">
              <w:t xml:space="preserve"> </w:t>
            </w:r>
            <w:r w:rsidR="00953B28" w:rsidRPr="003D2B45">
              <w:rPr>
                <w:vertAlign w:val="superscript"/>
              </w:rPr>
              <w:t>a</w:t>
            </w:r>
          </w:p>
        </w:tc>
        <w:tc>
          <w:tcPr>
            <w:tcW w:w="611" w:type="pct"/>
            <w:vAlign w:val="center"/>
          </w:tcPr>
          <w:p w14:paraId="103F911F" w14:textId="2CD1F468" w:rsidR="00FC676C" w:rsidRPr="00BD2844" w:rsidRDefault="00FC676C" w:rsidP="003D2B45">
            <w:pPr>
              <w:pStyle w:val="TableText0"/>
              <w:rPr>
                <w:b/>
              </w:rPr>
            </w:pPr>
            <w:r w:rsidRPr="00BD2844">
              <w:t>-$</w:t>
            </w:r>
            <w:r w:rsidR="00206794" w:rsidRPr="00206794">
              <w:rPr>
                <w:color w:val="000000"/>
                <w:spacing w:val="55"/>
                <w:shd w:val="solid" w:color="000000" w:fill="000000"/>
                <w:fitText w:val="336" w:id="-629400062"/>
                <w14:textFill>
                  <w14:solidFill>
                    <w14:srgbClr w14:val="000000">
                      <w14:alpha w14:val="100000"/>
                    </w14:srgbClr>
                  </w14:solidFill>
                </w14:textFill>
              </w:rPr>
              <w:t>|||</w:t>
            </w:r>
            <w:r w:rsidR="00206794" w:rsidRPr="00206794">
              <w:rPr>
                <w:color w:val="000000"/>
                <w:spacing w:val="1"/>
                <w:shd w:val="solid" w:color="000000" w:fill="000000"/>
                <w:fitText w:val="336" w:id="-629400062"/>
                <w14:textFill>
                  <w14:solidFill>
                    <w14:srgbClr w14:val="000000">
                      <w14:alpha w14:val="100000"/>
                    </w14:srgbClr>
                  </w14:solidFill>
                </w14:textFill>
              </w:rPr>
              <w:t>|</w:t>
            </w:r>
            <w:r w:rsidR="00C6689B">
              <w:rPr>
                <w:color w:val="333333"/>
                <w:szCs w:val="20"/>
                <w:vertAlign w:val="superscript"/>
              </w:rPr>
              <w:t>3</w:t>
            </w:r>
          </w:p>
        </w:tc>
        <w:tc>
          <w:tcPr>
            <w:tcW w:w="611" w:type="pct"/>
            <w:vAlign w:val="center"/>
          </w:tcPr>
          <w:p w14:paraId="71AF0A88" w14:textId="6F6C26CF" w:rsidR="00FC676C" w:rsidRPr="00BD2844" w:rsidRDefault="00FC676C" w:rsidP="003D2B45">
            <w:pPr>
              <w:pStyle w:val="TableText0"/>
              <w:rPr>
                <w:b/>
              </w:rPr>
            </w:pPr>
            <w:r w:rsidRPr="00BD2844">
              <w:t>-$</w:t>
            </w:r>
            <w:r w:rsidR="00206794" w:rsidRPr="00206794">
              <w:rPr>
                <w:color w:val="000000"/>
                <w:spacing w:val="55"/>
                <w:shd w:val="solid" w:color="000000" w:fill="000000"/>
                <w:fitText w:val="336" w:id="-629400061"/>
                <w14:textFill>
                  <w14:solidFill>
                    <w14:srgbClr w14:val="000000">
                      <w14:alpha w14:val="100000"/>
                    </w14:srgbClr>
                  </w14:solidFill>
                </w14:textFill>
              </w:rPr>
              <w:t>|||</w:t>
            </w:r>
            <w:r w:rsidR="00206794" w:rsidRPr="00206794">
              <w:rPr>
                <w:color w:val="000000"/>
                <w:spacing w:val="1"/>
                <w:shd w:val="solid" w:color="000000" w:fill="000000"/>
                <w:fitText w:val="336" w:id="-629400061"/>
                <w14:textFill>
                  <w14:solidFill>
                    <w14:srgbClr w14:val="000000">
                      <w14:alpha w14:val="100000"/>
                    </w14:srgbClr>
                  </w14:solidFill>
                </w14:textFill>
              </w:rPr>
              <w:t>|</w:t>
            </w:r>
            <w:r w:rsidR="00C6689B">
              <w:rPr>
                <w:color w:val="333333"/>
                <w:szCs w:val="20"/>
                <w:vertAlign w:val="superscript"/>
              </w:rPr>
              <w:t>3</w:t>
            </w:r>
          </w:p>
        </w:tc>
        <w:tc>
          <w:tcPr>
            <w:tcW w:w="611" w:type="pct"/>
            <w:vAlign w:val="center"/>
          </w:tcPr>
          <w:p w14:paraId="6333ED0E" w14:textId="6929EAA0" w:rsidR="00FC676C" w:rsidRPr="00BD2844" w:rsidRDefault="00FC676C" w:rsidP="003D2B45">
            <w:pPr>
              <w:pStyle w:val="TableText0"/>
              <w:rPr>
                <w:b/>
              </w:rPr>
            </w:pPr>
            <w:r w:rsidRPr="00BD2844">
              <w:t>-$</w:t>
            </w:r>
            <w:r w:rsidR="00206794" w:rsidRPr="00206794">
              <w:rPr>
                <w:color w:val="000000"/>
                <w:spacing w:val="55"/>
                <w:shd w:val="solid" w:color="000000" w:fill="000000"/>
                <w:fitText w:val="336" w:id="-629400060"/>
                <w14:textFill>
                  <w14:solidFill>
                    <w14:srgbClr w14:val="000000">
                      <w14:alpha w14:val="100000"/>
                    </w14:srgbClr>
                  </w14:solidFill>
                </w14:textFill>
              </w:rPr>
              <w:t>|||</w:t>
            </w:r>
            <w:r w:rsidR="00206794" w:rsidRPr="00206794">
              <w:rPr>
                <w:color w:val="000000"/>
                <w:spacing w:val="1"/>
                <w:shd w:val="solid" w:color="000000" w:fill="000000"/>
                <w:fitText w:val="336" w:id="-629400060"/>
                <w14:textFill>
                  <w14:solidFill>
                    <w14:srgbClr w14:val="000000">
                      <w14:alpha w14:val="100000"/>
                    </w14:srgbClr>
                  </w14:solidFill>
                </w14:textFill>
              </w:rPr>
              <w:t>|</w:t>
            </w:r>
            <w:r w:rsidR="00C6689B">
              <w:rPr>
                <w:color w:val="333333"/>
                <w:szCs w:val="20"/>
                <w:vertAlign w:val="superscript"/>
              </w:rPr>
              <w:t>3</w:t>
            </w:r>
          </w:p>
        </w:tc>
        <w:tc>
          <w:tcPr>
            <w:tcW w:w="611" w:type="pct"/>
            <w:vAlign w:val="center"/>
          </w:tcPr>
          <w:p w14:paraId="5A1A106B" w14:textId="7608FC54" w:rsidR="00FC676C" w:rsidRPr="00BD2844" w:rsidRDefault="00FC676C" w:rsidP="003D2B45">
            <w:pPr>
              <w:pStyle w:val="TableText0"/>
              <w:rPr>
                <w:b/>
              </w:rPr>
            </w:pPr>
            <w:r w:rsidRPr="00BD2844">
              <w:t>-$</w:t>
            </w:r>
            <w:r w:rsidR="00206794" w:rsidRPr="00206794">
              <w:rPr>
                <w:color w:val="000000"/>
                <w:spacing w:val="55"/>
                <w:shd w:val="solid" w:color="000000" w:fill="000000"/>
                <w:fitText w:val="336" w:id="-629400059"/>
                <w14:textFill>
                  <w14:solidFill>
                    <w14:srgbClr w14:val="000000">
                      <w14:alpha w14:val="100000"/>
                    </w14:srgbClr>
                  </w14:solidFill>
                </w14:textFill>
              </w:rPr>
              <w:t>|||</w:t>
            </w:r>
            <w:r w:rsidR="00206794" w:rsidRPr="00206794">
              <w:rPr>
                <w:color w:val="000000"/>
                <w:spacing w:val="1"/>
                <w:shd w:val="solid" w:color="000000" w:fill="000000"/>
                <w:fitText w:val="336" w:id="-629400059"/>
                <w14:textFill>
                  <w14:solidFill>
                    <w14:srgbClr w14:val="000000">
                      <w14:alpha w14:val="100000"/>
                    </w14:srgbClr>
                  </w14:solidFill>
                </w14:textFill>
              </w:rPr>
              <w:t>|</w:t>
            </w:r>
            <w:r w:rsidR="00C6689B">
              <w:rPr>
                <w:color w:val="333333"/>
                <w:szCs w:val="20"/>
                <w:vertAlign w:val="superscript"/>
              </w:rPr>
              <w:t>3</w:t>
            </w:r>
          </w:p>
        </w:tc>
        <w:tc>
          <w:tcPr>
            <w:tcW w:w="611" w:type="pct"/>
            <w:vAlign w:val="center"/>
          </w:tcPr>
          <w:p w14:paraId="34F4CD03" w14:textId="318CCE56" w:rsidR="00FC676C" w:rsidRPr="00BD2844" w:rsidRDefault="00FC676C" w:rsidP="003D2B45">
            <w:pPr>
              <w:pStyle w:val="TableText0"/>
              <w:rPr>
                <w:b/>
              </w:rPr>
            </w:pPr>
            <w:r w:rsidRPr="00BD2844">
              <w:t>-$</w:t>
            </w:r>
            <w:r w:rsidR="00206794" w:rsidRPr="00206794">
              <w:rPr>
                <w:color w:val="000000"/>
                <w:spacing w:val="55"/>
                <w:shd w:val="solid" w:color="000000" w:fill="000000"/>
                <w:fitText w:val="336" w:id="-629400058"/>
                <w14:textFill>
                  <w14:solidFill>
                    <w14:srgbClr w14:val="000000">
                      <w14:alpha w14:val="100000"/>
                    </w14:srgbClr>
                  </w14:solidFill>
                </w14:textFill>
              </w:rPr>
              <w:t>|||</w:t>
            </w:r>
            <w:r w:rsidR="00206794" w:rsidRPr="00206794">
              <w:rPr>
                <w:color w:val="000000"/>
                <w:spacing w:val="1"/>
                <w:shd w:val="solid" w:color="000000" w:fill="000000"/>
                <w:fitText w:val="336" w:id="-629400058"/>
                <w14:textFill>
                  <w14:solidFill>
                    <w14:srgbClr w14:val="000000">
                      <w14:alpha w14:val="100000"/>
                    </w14:srgbClr>
                  </w14:solidFill>
                </w14:textFill>
              </w:rPr>
              <w:t>|</w:t>
            </w:r>
            <w:r w:rsidR="00C6689B">
              <w:rPr>
                <w:color w:val="333333"/>
                <w:szCs w:val="20"/>
                <w:vertAlign w:val="superscript"/>
              </w:rPr>
              <w:t>3</w:t>
            </w:r>
          </w:p>
        </w:tc>
        <w:tc>
          <w:tcPr>
            <w:tcW w:w="611" w:type="pct"/>
            <w:vAlign w:val="center"/>
          </w:tcPr>
          <w:p w14:paraId="2E69B466" w14:textId="135D96D3" w:rsidR="00FC676C" w:rsidRPr="00BD2844" w:rsidRDefault="00FC676C" w:rsidP="003D2B45">
            <w:pPr>
              <w:pStyle w:val="TableText0"/>
              <w:rPr>
                <w:b/>
              </w:rPr>
            </w:pPr>
            <w:r w:rsidRPr="00BD2844">
              <w:t>-$</w:t>
            </w:r>
            <w:r w:rsidR="00206794" w:rsidRPr="00206794">
              <w:rPr>
                <w:color w:val="000000"/>
                <w:spacing w:val="55"/>
                <w:shd w:val="solid" w:color="000000" w:fill="000000"/>
                <w:fitText w:val="336" w:id="-629400057"/>
                <w14:textFill>
                  <w14:solidFill>
                    <w14:srgbClr w14:val="000000">
                      <w14:alpha w14:val="100000"/>
                    </w14:srgbClr>
                  </w14:solidFill>
                </w14:textFill>
              </w:rPr>
              <w:t>|||</w:t>
            </w:r>
            <w:r w:rsidR="00206794" w:rsidRPr="00206794">
              <w:rPr>
                <w:color w:val="000000"/>
                <w:spacing w:val="1"/>
                <w:shd w:val="solid" w:color="000000" w:fill="000000"/>
                <w:fitText w:val="336" w:id="-629400057"/>
                <w14:textFill>
                  <w14:solidFill>
                    <w14:srgbClr w14:val="000000">
                      <w14:alpha w14:val="100000"/>
                    </w14:srgbClr>
                  </w14:solidFill>
                </w14:textFill>
              </w:rPr>
              <w:t>|</w:t>
            </w:r>
            <w:r w:rsidR="00C6689B">
              <w:rPr>
                <w:color w:val="333333"/>
                <w:szCs w:val="20"/>
                <w:vertAlign w:val="superscript"/>
              </w:rPr>
              <w:t>3</w:t>
            </w:r>
          </w:p>
        </w:tc>
      </w:tr>
      <w:tr w:rsidR="00FC676C" w:rsidRPr="00BD2844" w14:paraId="2848B9CE" w14:textId="77777777">
        <w:tc>
          <w:tcPr>
            <w:tcW w:w="5000" w:type="pct"/>
            <w:gridSpan w:val="7"/>
            <w:vAlign w:val="center"/>
          </w:tcPr>
          <w:p w14:paraId="6436E053" w14:textId="77777777" w:rsidR="00FC676C" w:rsidRPr="003D2B45" w:rsidRDefault="00FC676C" w:rsidP="00ED4078">
            <w:pPr>
              <w:pStyle w:val="In-tableHeading"/>
              <w:rPr>
                <w:szCs w:val="20"/>
                <w:lang w:val="en-AU"/>
              </w:rPr>
            </w:pPr>
            <w:r w:rsidRPr="003D2B45">
              <w:rPr>
                <w:szCs w:val="20"/>
                <w:lang w:val="en-AU"/>
              </w:rPr>
              <w:t>Net financial implications</w:t>
            </w:r>
            <w:r w:rsidRPr="003D2B45">
              <w:rPr>
                <w:color w:val="4BACC6" w:themeColor="accent5"/>
                <w:szCs w:val="20"/>
                <w:lang w:val="en-AU"/>
              </w:rPr>
              <w:t xml:space="preserve"> </w:t>
            </w:r>
          </w:p>
        </w:tc>
      </w:tr>
      <w:tr w:rsidR="00FC676C" w:rsidRPr="00BD2844" w14:paraId="030B6483" w14:textId="77777777">
        <w:tc>
          <w:tcPr>
            <w:tcW w:w="1334" w:type="pct"/>
            <w:vAlign w:val="center"/>
          </w:tcPr>
          <w:p w14:paraId="090CCBA9" w14:textId="0FFFFE98" w:rsidR="00FC676C" w:rsidRPr="003D2B45" w:rsidRDefault="00FC676C" w:rsidP="003D2B45">
            <w:pPr>
              <w:pStyle w:val="TableText0"/>
              <w:rPr>
                <w:b/>
              </w:rPr>
            </w:pPr>
            <w:r w:rsidRPr="003D2B45">
              <w:t>Net cost to PBS/RPBS</w:t>
            </w:r>
            <w:r w:rsidR="003D2B45" w:rsidRPr="003D2B45">
              <w:t xml:space="preserve"> </w:t>
            </w:r>
            <w:r w:rsidR="00953B28" w:rsidRPr="003D2B45">
              <w:rPr>
                <w:vertAlign w:val="superscript"/>
              </w:rPr>
              <w:t>a</w:t>
            </w:r>
          </w:p>
        </w:tc>
        <w:tc>
          <w:tcPr>
            <w:tcW w:w="611" w:type="pct"/>
            <w:vAlign w:val="center"/>
          </w:tcPr>
          <w:p w14:paraId="4AEDD23C" w14:textId="0DF9540D" w:rsidR="00FC676C" w:rsidRPr="00FB3870"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6"/>
                <w14:textFill>
                  <w14:solidFill>
                    <w14:srgbClr w14:val="000000">
                      <w14:alpha w14:val="100000"/>
                    </w14:srgbClr>
                  </w14:solidFill>
                </w14:textFill>
              </w:rPr>
              <w:t>|||</w:t>
            </w:r>
            <w:r w:rsidR="00206794" w:rsidRPr="00206794">
              <w:rPr>
                <w:color w:val="000000"/>
                <w:spacing w:val="1"/>
                <w:shd w:val="solid" w:color="000000" w:fill="000000"/>
                <w:fitText w:val="324" w:id="-629400056"/>
                <w14:textFill>
                  <w14:solidFill>
                    <w14:srgbClr w14:val="000000">
                      <w14:alpha w14:val="100000"/>
                    </w14:srgbClr>
                  </w14:solidFill>
                </w14:textFill>
              </w:rPr>
              <w:t>|</w:t>
            </w:r>
            <w:r w:rsidR="00FB3870">
              <w:rPr>
                <w:vertAlign w:val="superscript"/>
              </w:rPr>
              <w:t>2</w:t>
            </w:r>
          </w:p>
        </w:tc>
        <w:tc>
          <w:tcPr>
            <w:tcW w:w="611" w:type="pct"/>
            <w:vAlign w:val="center"/>
          </w:tcPr>
          <w:p w14:paraId="20A71859" w14:textId="0B4791B5" w:rsidR="00FC676C" w:rsidRPr="00FB3870"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5"/>
                <w14:textFill>
                  <w14:solidFill>
                    <w14:srgbClr w14:val="000000">
                      <w14:alpha w14:val="100000"/>
                    </w14:srgbClr>
                  </w14:solidFill>
                </w14:textFill>
              </w:rPr>
              <w:t>|||</w:t>
            </w:r>
            <w:r w:rsidR="00206794" w:rsidRPr="00206794">
              <w:rPr>
                <w:color w:val="000000"/>
                <w:spacing w:val="1"/>
                <w:shd w:val="solid" w:color="000000" w:fill="000000"/>
                <w:fitText w:val="324" w:id="-629400055"/>
                <w14:textFill>
                  <w14:solidFill>
                    <w14:srgbClr w14:val="000000">
                      <w14:alpha w14:val="100000"/>
                    </w14:srgbClr>
                  </w14:solidFill>
                </w14:textFill>
              </w:rPr>
              <w:t>|</w:t>
            </w:r>
            <w:r w:rsidR="00FB3870">
              <w:rPr>
                <w:vertAlign w:val="superscript"/>
              </w:rPr>
              <w:t>2</w:t>
            </w:r>
          </w:p>
        </w:tc>
        <w:tc>
          <w:tcPr>
            <w:tcW w:w="611" w:type="pct"/>
            <w:vAlign w:val="center"/>
          </w:tcPr>
          <w:p w14:paraId="455DCBEC" w14:textId="0AFA1C58" w:rsidR="00FC676C" w:rsidRPr="00FB3870"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4"/>
                <w14:textFill>
                  <w14:solidFill>
                    <w14:srgbClr w14:val="000000">
                      <w14:alpha w14:val="100000"/>
                    </w14:srgbClr>
                  </w14:solidFill>
                </w14:textFill>
              </w:rPr>
              <w:t>|||</w:t>
            </w:r>
            <w:r w:rsidR="00206794" w:rsidRPr="00206794">
              <w:rPr>
                <w:color w:val="000000"/>
                <w:spacing w:val="1"/>
                <w:shd w:val="solid" w:color="000000" w:fill="000000"/>
                <w:fitText w:val="324" w:id="-629400054"/>
                <w14:textFill>
                  <w14:solidFill>
                    <w14:srgbClr w14:val="000000">
                      <w14:alpha w14:val="100000"/>
                    </w14:srgbClr>
                  </w14:solidFill>
                </w14:textFill>
              </w:rPr>
              <w:t>|</w:t>
            </w:r>
            <w:r w:rsidR="00FB3870">
              <w:rPr>
                <w:vertAlign w:val="superscript"/>
              </w:rPr>
              <w:t>2</w:t>
            </w:r>
          </w:p>
        </w:tc>
        <w:tc>
          <w:tcPr>
            <w:tcW w:w="611" w:type="pct"/>
            <w:vAlign w:val="center"/>
          </w:tcPr>
          <w:p w14:paraId="3A65026A" w14:textId="3C4211D2" w:rsidR="00FC676C" w:rsidRPr="00FB3870"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3"/>
                <w14:textFill>
                  <w14:solidFill>
                    <w14:srgbClr w14:val="000000">
                      <w14:alpha w14:val="100000"/>
                    </w14:srgbClr>
                  </w14:solidFill>
                </w14:textFill>
              </w:rPr>
              <w:t>|||</w:t>
            </w:r>
            <w:r w:rsidR="00206794" w:rsidRPr="00206794">
              <w:rPr>
                <w:color w:val="000000"/>
                <w:spacing w:val="1"/>
                <w:shd w:val="solid" w:color="000000" w:fill="000000"/>
                <w:fitText w:val="324" w:id="-629400053"/>
                <w14:textFill>
                  <w14:solidFill>
                    <w14:srgbClr w14:val="000000">
                      <w14:alpha w14:val="100000"/>
                    </w14:srgbClr>
                  </w14:solidFill>
                </w14:textFill>
              </w:rPr>
              <w:t>|</w:t>
            </w:r>
            <w:r w:rsidR="00FB3870">
              <w:rPr>
                <w:vertAlign w:val="superscript"/>
              </w:rPr>
              <w:t>2</w:t>
            </w:r>
          </w:p>
        </w:tc>
        <w:tc>
          <w:tcPr>
            <w:tcW w:w="611" w:type="pct"/>
            <w:vAlign w:val="center"/>
          </w:tcPr>
          <w:p w14:paraId="501A62A4" w14:textId="43F69CA5" w:rsidR="00FC676C" w:rsidRPr="00FB3870"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2"/>
                <w14:textFill>
                  <w14:solidFill>
                    <w14:srgbClr w14:val="000000">
                      <w14:alpha w14:val="100000"/>
                    </w14:srgbClr>
                  </w14:solidFill>
                </w14:textFill>
              </w:rPr>
              <w:t>|||</w:t>
            </w:r>
            <w:r w:rsidR="00206794" w:rsidRPr="00206794">
              <w:rPr>
                <w:color w:val="000000"/>
                <w:spacing w:val="1"/>
                <w:shd w:val="solid" w:color="000000" w:fill="000000"/>
                <w:fitText w:val="324" w:id="-629400052"/>
                <w14:textFill>
                  <w14:solidFill>
                    <w14:srgbClr w14:val="000000">
                      <w14:alpha w14:val="100000"/>
                    </w14:srgbClr>
                  </w14:solidFill>
                </w14:textFill>
              </w:rPr>
              <w:t>|</w:t>
            </w:r>
            <w:r w:rsidR="00FB3870">
              <w:rPr>
                <w:vertAlign w:val="superscript"/>
              </w:rPr>
              <w:t>2</w:t>
            </w:r>
          </w:p>
        </w:tc>
        <w:tc>
          <w:tcPr>
            <w:tcW w:w="611" w:type="pct"/>
            <w:vAlign w:val="center"/>
          </w:tcPr>
          <w:p w14:paraId="1F470805" w14:textId="0F2FAA95" w:rsidR="00FC676C" w:rsidRPr="00FB3870"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1"/>
                <w14:textFill>
                  <w14:solidFill>
                    <w14:srgbClr w14:val="000000">
                      <w14:alpha w14:val="100000"/>
                    </w14:srgbClr>
                  </w14:solidFill>
                </w14:textFill>
              </w:rPr>
              <w:t>|||</w:t>
            </w:r>
            <w:r w:rsidR="00206794" w:rsidRPr="00206794">
              <w:rPr>
                <w:color w:val="000000"/>
                <w:spacing w:val="1"/>
                <w:shd w:val="solid" w:color="000000" w:fill="000000"/>
                <w:fitText w:val="324" w:id="-629400051"/>
                <w14:textFill>
                  <w14:solidFill>
                    <w14:srgbClr w14:val="000000">
                      <w14:alpha w14:val="100000"/>
                    </w14:srgbClr>
                  </w14:solidFill>
                </w14:textFill>
              </w:rPr>
              <w:t>|</w:t>
            </w:r>
            <w:r w:rsidR="00FB3870">
              <w:rPr>
                <w:vertAlign w:val="superscript"/>
              </w:rPr>
              <w:t>2</w:t>
            </w:r>
          </w:p>
        </w:tc>
      </w:tr>
      <w:tr w:rsidR="00FC676C" w:rsidRPr="00BD2844" w14:paraId="468E1C27" w14:textId="77777777">
        <w:tc>
          <w:tcPr>
            <w:tcW w:w="1334" w:type="pct"/>
            <w:vAlign w:val="center"/>
          </w:tcPr>
          <w:p w14:paraId="671BAE02" w14:textId="77777777" w:rsidR="00FC676C" w:rsidRPr="003D2B45" w:rsidRDefault="00FC676C" w:rsidP="003D2B45">
            <w:pPr>
              <w:pStyle w:val="TableText0"/>
              <w:rPr>
                <w:b/>
              </w:rPr>
            </w:pPr>
            <w:r w:rsidRPr="003D2B45">
              <w:t>Net cost to MBS</w:t>
            </w:r>
          </w:p>
        </w:tc>
        <w:tc>
          <w:tcPr>
            <w:tcW w:w="611" w:type="pct"/>
            <w:vAlign w:val="center"/>
          </w:tcPr>
          <w:p w14:paraId="2BEF7A51" w14:textId="66623B73" w:rsidR="00FC676C" w:rsidRPr="00FB3870"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50"/>
                <w14:textFill>
                  <w14:solidFill>
                    <w14:srgbClr w14:val="000000">
                      <w14:alpha w14:val="100000"/>
                    </w14:srgbClr>
                  </w14:solidFill>
                </w14:textFill>
              </w:rPr>
              <w:t>|||</w:t>
            </w:r>
            <w:r w:rsidR="00206794" w:rsidRPr="00206794">
              <w:rPr>
                <w:color w:val="000000"/>
                <w:spacing w:val="1"/>
                <w:shd w:val="solid" w:color="000000" w:fill="000000"/>
                <w:fitText w:val="336" w:id="-629400050"/>
                <w14:textFill>
                  <w14:solidFill>
                    <w14:srgbClr w14:val="000000">
                      <w14:alpha w14:val="100000"/>
                    </w14:srgbClr>
                  </w14:solidFill>
                </w14:textFill>
              </w:rPr>
              <w:t>|</w:t>
            </w:r>
            <w:r w:rsidR="00FB3870">
              <w:rPr>
                <w:vertAlign w:val="superscript"/>
              </w:rPr>
              <w:t>2</w:t>
            </w:r>
          </w:p>
        </w:tc>
        <w:tc>
          <w:tcPr>
            <w:tcW w:w="611" w:type="pct"/>
            <w:vAlign w:val="center"/>
          </w:tcPr>
          <w:p w14:paraId="1D343C03" w14:textId="70C28023" w:rsidR="00FC676C" w:rsidRPr="00FB3870"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49"/>
                <w14:textFill>
                  <w14:solidFill>
                    <w14:srgbClr w14:val="000000">
                      <w14:alpha w14:val="100000"/>
                    </w14:srgbClr>
                  </w14:solidFill>
                </w14:textFill>
              </w:rPr>
              <w:t>|||</w:t>
            </w:r>
            <w:r w:rsidR="00206794" w:rsidRPr="00206794">
              <w:rPr>
                <w:color w:val="000000"/>
                <w:spacing w:val="1"/>
                <w:shd w:val="solid" w:color="000000" w:fill="000000"/>
                <w:fitText w:val="336" w:id="-629400049"/>
                <w14:textFill>
                  <w14:solidFill>
                    <w14:srgbClr w14:val="000000">
                      <w14:alpha w14:val="100000"/>
                    </w14:srgbClr>
                  </w14:solidFill>
                </w14:textFill>
              </w:rPr>
              <w:t>|</w:t>
            </w:r>
            <w:r w:rsidR="00FB3870">
              <w:rPr>
                <w:vertAlign w:val="superscript"/>
              </w:rPr>
              <w:t>2</w:t>
            </w:r>
          </w:p>
        </w:tc>
        <w:tc>
          <w:tcPr>
            <w:tcW w:w="611" w:type="pct"/>
            <w:vAlign w:val="center"/>
          </w:tcPr>
          <w:p w14:paraId="77EEF69C" w14:textId="5342A544" w:rsidR="00FC676C" w:rsidRPr="00FB3870"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48"/>
                <w14:textFill>
                  <w14:solidFill>
                    <w14:srgbClr w14:val="000000">
                      <w14:alpha w14:val="100000"/>
                    </w14:srgbClr>
                  </w14:solidFill>
                </w14:textFill>
              </w:rPr>
              <w:t>|||</w:t>
            </w:r>
            <w:r w:rsidR="00206794" w:rsidRPr="00206794">
              <w:rPr>
                <w:color w:val="000000"/>
                <w:spacing w:val="1"/>
                <w:shd w:val="solid" w:color="000000" w:fill="000000"/>
                <w:fitText w:val="336" w:id="-629400048"/>
                <w14:textFill>
                  <w14:solidFill>
                    <w14:srgbClr w14:val="000000">
                      <w14:alpha w14:val="100000"/>
                    </w14:srgbClr>
                  </w14:solidFill>
                </w14:textFill>
              </w:rPr>
              <w:t>|</w:t>
            </w:r>
            <w:r w:rsidR="00FB3870">
              <w:rPr>
                <w:vertAlign w:val="superscript"/>
              </w:rPr>
              <w:t>2</w:t>
            </w:r>
          </w:p>
        </w:tc>
        <w:tc>
          <w:tcPr>
            <w:tcW w:w="611" w:type="pct"/>
            <w:vAlign w:val="center"/>
          </w:tcPr>
          <w:p w14:paraId="2577AF5E" w14:textId="60CD3D9C" w:rsidR="00FC676C" w:rsidRPr="00FB3870"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64"/>
                <w14:textFill>
                  <w14:solidFill>
                    <w14:srgbClr w14:val="000000">
                      <w14:alpha w14:val="100000"/>
                    </w14:srgbClr>
                  </w14:solidFill>
                </w14:textFill>
              </w:rPr>
              <w:t>|||</w:t>
            </w:r>
            <w:r w:rsidR="00206794" w:rsidRPr="00206794">
              <w:rPr>
                <w:color w:val="000000"/>
                <w:spacing w:val="1"/>
                <w:shd w:val="solid" w:color="000000" w:fill="000000"/>
                <w:fitText w:val="336" w:id="-629400064"/>
                <w14:textFill>
                  <w14:solidFill>
                    <w14:srgbClr w14:val="000000">
                      <w14:alpha w14:val="100000"/>
                    </w14:srgbClr>
                  </w14:solidFill>
                </w14:textFill>
              </w:rPr>
              <w:t>|</w:t>
            </w:r>
            <w:r w:rsidR="00FB3870">
              <w:rPr>
                <w:vertAlign w:val="superscript"/>
              </w:rPr>
              <w:t>2</w:t>
            </w:r>
          </w:p>
        </w:tc>
        <w:tc>
          <w:tcPr>
            <w:tcW w:w="611" w:type="pct"/>
            <w:vAlign w:val="center"/>
          </w:tcPr>
          <w:p w14:paraId="7B8F63D0" w14:textId="05B2C83D" w:rsidR="00FC676C" w:rsidRPr="00FB3870"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63"/>
                <w14:textFill>
                  <w14:solidFill>
                    <w14:srgbClr w14:val="000000">
                      <w14:alpha w14:val="100000"/>
                    </w14:srgbClr>
                  </w14:solidFill>
                </w14:textFill>
              </w:rPr>
              <w:t>|||</w:t>
            </w:r>
            <w:r w:rsidR="00206794" w:rsidRPr="00206794">
              <w:rPr>
                <w:color w:val="000000"/>
                <w:spacing w:val="1"/>
                <w:shd w:val="solid" w:color="000000" w:fill="000000"/>
                <w:fitText w:val="336" w:id="-629400063"/>
                <w14:textFill>
                  <w14:solidFill>
                    <w14:srgbClr w14:val="000000">
                      <w14:alpha w14:val="100000"/>
                    </w14:srgbClr>
                  </w14:solidFill>
                </w14:textFill>
              </w:rPr>
              <w:t>|</w:t>
            </w:r>
            <w:r w:rsidR="00FB3870">
              <w:rPr>
                <w:vertAlign w:val="superscript"/>
              </w:rPr>
              <w:t>2</w:t>
            </w:r>
          </w:p>
        </w:tc>
        <w:tc>
          <w:tcPr>
            <w:tcW w:w="611" w:type="pct"/>
            <w:vAlign w:val="center"/>
          </w:tcPr>
          <w:p w14:paraId="46F52B62" w14:textId="157147AB" w:rsidR="00FC676C" w:rsidRPr="00FB3870" w:rsidRDefault="00FC676C" w:rsidP="003D2B45">
            <w:pPr>
              <w:pStyle w:val="TableText0"/>
              <w:rPr>
                <w:b/>
                <w:vertAlign w:val="superscript"/>
              </w:rPr>
            </w:pPr>
            <w:r w:rsidRPr="00BD2844">
              <w:t>-$</w:t>
            </w:r>
            <w:r w:rsidR="00206794" w:rsidRPr="00206794">
              <w:rPr>
                <w:color w:val="000000"/>
                <w:spacing w:val="55"/>
                <w:shd w:val="solid" w:color="000000" w:fill="000000"/>
                <w:fitText w:val="336" w:id="-629400062"/>
                <w14:textFill>
                  <w14:solidFill>
                    <w14:srgbClr w14:val="000000">
                      <w14:alpha w14:val="100000"/>
                    </w14:srgbClr>
                  </w14:solidFill>
                </w14:textFill>
              </w:rPr>
              <w:t>|||</w:t>
            </w:r>
            <w:r w:rsidR="00206794" w:rsidRPr="00206794">
              <w:rPr>
                <w:color w:val="000000"/>
                <w:spacing w:val="1"/>
                <w:shd w:val="solid" w:color="000000" w:fill="000000"/>
                <w:fitText w:val="336" w:id="-629400062"/>
                <w14:textFill>
                  <w14:solidFill>
                    <w14:srgbClr w14:val="000000">
                      <w14:alpha w14:val="100000"/>
                    </w14:srgbClr>
                  </w14:solidFill>
                </w14:textFill>
              </w:rPr>
              <w:t>|</w:t>
            </w:r>
            <w:r w:rsidR="00FB3870">
              <w:rPr>
                <w:vertAlign w:val="superscript"/>
              </w:rPr>
              <w:t>2</w:t>
            </w:r>
          </w:p>
        </w:tc>
      </w:tr>
      <w:tr w:rsidR="00FC676C" w:rsidRPr="00BD2844" w14:paraId="625754A5" w14:textId="77777777">
        <w:tc>
          <w:tcPr>
            <w:tcW w:w="1334" w:type="pct"/>
            <w:vAlign w:val="center"/>
          </w:tcPr>
          <w:p w14:paraId="54DADDEE" w14:textId="6AD6BB39" w:rsidR="00FC676C" w:rsidRPr="003D2B45" w:rsidRDefault="00FC676C" w:rsidP="003D2B45">
            <w:pPr>
              <w:pStyle w:val="TableText0"/>
              <w:rPr>
                <w:b/>
              </w:rPr>
            </w:pPr>
            <w:r w:rsidRPr="003D2B45">
              <w:t>Net cost to Government</w:t>
            </w:r>
            <w:r w:rsidR="003D2B45" w:rsidRPr="003D2B45">
              <w:t xml:space="preserve"> </w:t>
            </w:r>
            <w:r w:rsidR="00953B28" w:rsidRPr="003D2B45">
              <w:rPr>
                <w:vertAlign w:val="superscript"/>
              </w:rPr>
              <w:t>a</w:t>
            </w:r>
          </w:p>
        </w:tc>
        <w:tc>
          <w:tcPr>
            <w:tcW w:w="611" w:type="pct"/>
            <w:vAlign w:val="center"/>
          </w:tcPr>
          <w:p w14:paraId="6B80E487" w14:textId="1C2FE4B6" w:rsidR="00FC676C" w:rsidRPr="00FB3870"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61"/>
                <w14:textFill>
                  <w14:solidFill>
                    <w14:srgbClr w14:val="000000">
                      <w14:alpha w14:val="100000"/>
                    </w14:srgbClr>
                  </w14:solidFill>
                </w14:textFill>
              </w:rPr>
              <w:t>|||</w:t>
            </w:r>
            <w:r w:rsidR="00206794" w:rsidRPr="00206794">
              <w:rPr>
                <w:color w:val="000000"/>
                <w:spacing w:val="1"/>
                <w:shd w:val="solid" w:color="000000" w:fill="000000"/>
                <w:fitText w:val="324" w:id="-629400061"/>
                <w14:textFill>
                  <w14:solidFill>
                    <w14:srgbClr w14:val="000000">
                      <w14:alpha w14:val="100000"/>
                    </w14:srgbClr>
                  </w14:solidFill>
                </w14:textFill>
              </w:rPr>
              <w:t>|</w:t>
            </w:r>
            <w:r w:rsidR="00FB3870">
              <w:rPr>
                <w:vertAlign w:val="superscript"/>
              </w:rPr>
              <w:t>2</w:t>
            </w:r>
          </w:p>
        </w:tc>
        <w:tc>
          <w:tcPr>
            <w:tcW w:w="611" w:type="pct"/>
            <w:vAlign w:val="center"/>
          </w:tcPr>
          <w:p w14:paraId="4ACBEC8E" w14:textId="1695FA41" w:rsidR="00FC676C" w:rsidRPr="00FB3870"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60"/>
                <w14:textFill>
                  <w14:solidFill>
                    <w14:srgbClr w14:val="000000">
                      <w14:alpha w14:val="100000"/>
                    </w14:srgbClr>
                  </w14:solidFill>
                </w14:textFill>
              </w:rPr>
              <w:t>|||</w:t>
            </w:r>
            <w:r w:rsidR="00206794" w:rsidRPr="00206794">
              <w:rPr>
                <w:color w:val="000000"/>
                <w:spacing w:val="1"/>
                <w:shd w:val="solid" w:color="000000" w:fill="000000"/>
                <w:fitText w:val="324" w:id="-629400060"/>
                <w14:textFill>
                  <w14:solidFill>
                    <w14:srgbClr w14:val="000000">
                      <w14:alpha w14:val="100000"/>
                    </w14:srgbClr>
                  </w14:solidFill>
                </w14:textFill>
              </w:rPr>
              <w:t>|</w:t>
            </w:r>
            <w:r w:rsidR="00FB3870">
              <w:rPr>
                <w:vertAlign w:val="superscript"/>
              </w:rPr>
              <w:t>2</w:t>
            </w:r>
          </w:p>
        </w:tc>
        <w:tc>
          <w:tcPr>
            <w:tcW w:w="611" w:type="pct"/>
            <w:vAlign w:val="center"/>
          </w:tcPr>
          <w:p w14:paraId="0C3ED171" w14:textId="72018E94" w:rsidR="00FC676C" w:rsidRPr="00FB3870"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9"/>
                <w14:textFill>
                  <w14:solidFill>
                    <w14:srgbClr w14:val="000000">
                      <w14:alpha w14:val="100000"/>
                    </w14:srgbClr>
                  </w14:solidFill>
                </w14:textFill>
              </w:rPr>
              <w:t>|||</w:t>
            </w:r>
            <w:r w:rsidR="00206794" w:rsidRPr="00206794">
              <w:rPr>
                <w:color w:val="000000"/>
                <w:spacing w:val="1"/>
                <w:shd w:val="solid" w:color="000000" w:fill="000000"/>
                <w:fitText w:val="324" w:id="-629400059"/>
                <w14:textFill>
                  <w14:solidFill>
                    <w14:srgbClr w14:val="000000">
                      <w14:alpha w14:val="100000"/>
                    </w14:srgbClr>
                  </w14:solidFill>
                </w14:textFill>
              </w:rPr>
              <w:t>|</w:t>
            </w:r>
            <w:r w:rsidR="00FB3870">
              <w:rPr>
                <w:vertAlign w:val="superscript"/>
              </w:rPr>
              <w:t>2</w:t>
            </w:r>
          </w:p>
        </w:tc>
        <w:tc>
          <w:tcPr>
            <w:tcW w:w="611" w:type="pct"/>
            <w:vAlign w:val="center"/>
          </w:tcPr>
          <w:p w14:paraId="60F584F6" w14:textId="06D9393C" w:rsidR="00FC676C" w:rsidRPr="00FB3870"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8"/>
                <w14:textFill>
                  <w14:solidFill>
                    <w14:srgbClr w14:val="000000">
                      <w14:alpha w14:val="100000"/>
                    </w14:srgbClr>
                  </w14:solidFill>
                </w14:textFill>
              </w:rPr>
              <w:t>|||</w:t>
            </w:r>
            <w:r w:rsidR="00206794" w:rsidRPr="00206794">
              <w:rPr>
                <w:color w:val="000000"/>
                <w:spacing w:val="1"/>
                <w:shd w:val="solid" w:color="000000" w:fill="000000"/>
                <w:fitText w:val="324" w:id="-629400058"/>
                <w14:textFill>
                  <w14:solidFill>
                    <w14:srgbClr w14:val="000000">
                      <w14:alpha w14:val="100000"/>
                    </w14:srgbClr>
                  </w14:solidFill>
                </w14:textFill>
              </w:rPr>
              <w:t>|</w:t>
            </w:r>
            <w:r w:rsidR="00FB3870">
              <w:rPr>
                <w:vertAlign w:val="superscript"/>
              </w:rPr>
              <w:t>2</w:t>
            </w:r>
          </w:p>
        </w:tc>
        <w:tc>
          <w:tcPr>
            <w:tcW w:w="611" w:type="pct"/>
            <w:vAlign w:val="center"/>
          </w:tcPr>
          <w:p w14:paraId="45FAB1F3" w14:textId="4D3E6C5D" w:rsidR="00FC676C" w:rsidRPr="00FB3870" w:rsidRDefault="00FC676C" w:rsidP="003D2B45">
            <w:pPr>
              <w:pStyle w:val="TableText0"/>
              <w:rPr>
                <w:b/>
                <w:vertAlign w:val="superscript"/>
              </w:rPr>
            </w:pPr>
            <w:r w:rsidRPr="00BD2844">
              <w:t>$</w:t>
            </w:r>
            <w:r w:rsidR="00206794" w:rsidRPr="00206794">
              <w:rPr>
                <w:color w:val="000000"/>
                <w:spacing w:val="51"/>
                <w:shd w:val="solid" w:color="000000" w:fill="000000"/>
                <w:fitText w:val="324" w:id="-629400057"/>
                <w14:textFill>
                  <w14:solidFill>
                    <w14:srgbClr w14:val="000000">
                      <w14:alpha w14:val="100000"/>
                    </w14:srgbClr>
                  </w14:solidFill>
                </w14:textFill>
              </w:rPr>
              <w:t>|||</w:t>
            </w:r>
            <w:r w:rsidR="00206794" w:rsidRPr="00206794">
              <w:rPr>
                <w:color w:val="000000"/>
                <w:spacing w:val="1"/>
                <w:shd w:val="solid" w:color="000000" w:fill="000000"/>
                <w:fitText w:val="324" w:id="-629400057"/>
                <w14:textFill>
                  <w14:solidFill>
                    <w14:srgbClr w14:val="000000">
                      <w14:alpha w14:val="100000"/>
                    </w14:srgbClr>
                  </w14:solidFill>
                </w14:textFill>
              </w:rPr>
              <w:t>|</w:t>
            </w:r>
            <w:r w:rsidR="00FB3870">
              <w:rPr>
                <w:vertAlign w:val="superscript"/>
              </w:rPr>
              <w:t>2</w:t>
            </w:r>
          </w:p>
        </w:tc>
        <w:tc>
          <w:tcPr>
            <w:tcW w:w="611" w:type="pct"/>
            <w:vAlign w:val="center"/>
          </w:tcPr>
          <w:p w14:paraId="3D899649" w14:textId="11BA25DD" w:rsidR="00FC676C" w:rsidRPr="00FB3870" w:rsidRDefault="00FC676C" w:rsidP="003D2B45">
            <w:pPr>
              <w:pStyle w:val="TableText0"/>
              <w:rPr>
                <w:b/>
                <w:vertAlign w:val="superscript"/>
              </w:rPr>
            </w:pPr>
            <w:r w:rsidRPr="00BD2844">
              <w:t>$</w:t>
            </w:r>
            <w:r w:rsidR="00206794">
              <w:rPr>
                <w:color w:val="000000"/>
                <w:spacing w:val="50"/>
                <w:shd w:val="solid" w:color="000000" w:fill="000000"/>
                <w:fitText w:val="324" w:id="-629400056"/>
                <w14:textFill>
                  <w14:solidFill>
                    <w14:srgbClr w14:val="000000">
                      <w14:alpha w14:val="100000"/>
                    </w14:srgbClr>
                  </w14:solidFill>
                </w14:textFill>
              </w:rPr>
              <w:t>|||</w:t>
            </w:r>
            <w:r w:rsidR="00206794">
              <w:rPr>
                <w:color w:val="000000"/>
                <w:spacing w:val="2"/>
                <w:shd w:val="solid" w:color="000000" w:fill="000000"/>
                <w:fitText w:val="324" w:id="-629400056"/>
                <w14:textFill>
                  <w14:solidFill>
                    <w14:srgbClr w14:val="000000">
                      <w14:alpha w14:val="100000"/>
                    </w14:srgbClr>
                  </w14:solidFill>
                </w14:textFill>
              </w:rPr>
              <w:t>|</w:t>
            </w:r>
            <w:r w:rsidR="00FB3870">
              <w:rPr>
                <w:vertAlign w:val="superscript"/>
              </w:rPr>
              <w:t>2</w:t>
            </w:r>
          </w:p>
        </w:tc>
      </w:tr>
    </w:tbl>
    <w:p w14:paraId="4B572DE2" w14:textId="77777777" w:rsidR="00FC676C" w:rsidRPr="00BD2844" w:rsidRDefault="00FC676C" w:rsidP="00ED4078">
      <w:pPr>
        <w:keepNext/>
        <w:keepLines/>
        <w:jc w:val="left"/>
        <w:rPr>
          <w:rFonts w:ascii="Arial Narrow" w:eastAsiaTheme="minorHAnsi" w:hAnsi="Arial Narrow" w:cstheme="minorBidi"/>
          <w:color w:val="000000" w:themeColor="text1"/>
          <w:sz w:val="18"/>
          <w:szCs w:val="18"/>
        </w:rPr>
      </w:pPr>
      <w:r w:rsidRPr="00BD2844">
        <w:rPr>
          <w:rFonts w:ascii="Arial Narrow" w:hAnsi="Arial Narrow"/>
          <w:sz w:val="18"/>
          <w:szCs w:val="18"/>
        </w:rPr>
        <w:t xml:space="preserve">Source: Table 95, p212, </w:t>
      </w:r>
      <w:r w:rsidRPr="00BD2844">
        <w:rPr>
          <w:rFonts w:ascii="Arial Narrow" w:hAnsi="Arial Narrow" w:cs="Times New Roman"/>
          <w:sz w:val="18"/>
          <w:szCs w:val="22"/>
          <w:lang w:eastAsia="en-US"/>
        </w:rPr>
        <w:t xml:space="preserve">Table 102, p218, </w:t>
      </w:r>
      <w:r w:rsidRPr="00BD2844">
        <w:rPr>
          <w:rFonts w:ascii="Arial Narrow" w:eastAsiaTheme="minorHAnsi" w:hAnsi="Arial Narrow" w:cstheme="minorBidi"/>
          <w:color w:val="000000" w:themeColor="text1"/>
          <w:sz w:val="18"/>
          <w:szCs w:val="18"/>
        </w:rPr>
        <w:t>Table 103, p219, Table 106, p 221 of the submission, and</w:t>
      </w:r>
      <w:r w:rsidRPr="00BD2844">
        <w:t xml:space="preserve"> </w:t>
      </w:r>
      <w:r w:rsidRPr="00BD2844">
        <w:rPr>
          <w:rFonts w:ascii="Arial Narrow" w:eastAsiaTheme="minorHAnsi" w:hAnsi="Arial Narrow" w:cstheme="minorBidi"/>
          <w:color w:val="000000" w:themeColor="text1"/>
          <w:sz w:val="18"/>
          <w:szCs w:val="18"/>
        </w:rPr>
        <w:t>NIVO IPI 1L HCC Utilisation and Cost Model, worksheet 4c. Impact – affected (eff) and worksheet 5. Impact – net.</w:t>
      </w:r>
    </w:p>
    <w:p w14:paraId="6A881F2D" w14:textId="77777777" w:rsidR="00FC676C" w:rsidRPr="00BD2844" w:rsidRDefault="00FC676C" w:rsidP="00ED4078">
      <w:pPr>
        <w:keepNext/>
        <w:keepLines/>
        <w:jc w:val="left"/>
        <w:rPr>
          <w:rFonts w:ascii="Arial Narrow" w:eastAsiaTheme="minorHAnsi" w:hAnsi="Arial Narrow" w:cstheme="minorBidi"/>
          <w:color w:val="000000" w:themeColor="text1"/>
          <w:sz w:val="18"/>
          <w:szCs w:val="18"/>
        </w:rPr>
      </w:pPr>
      <w:r w:rsidRPr="00BD2844">
        <w:rPr>
          <w:rFonts w:ascii="Arial Narrow" w:eastAsiaTheme="minorHAnsi" w:hAnsi="Arial Narrow" w:cstheme="minorBidi"/>
          <w:color w:val="000000" w:themeColor="text1"/>
          <w:sz w:val="18"/>
          <w:szCs w:val="18"/>
        </w:rPr>
        <w:t>ATEZO = atezolizumab; BEV = bevacizumab; IPI= ipilimumab; MBS= Medicare Benefits Schedule; NIVO= nivolumab; PBS= Pharmaceutical Benefits Scheme; RPBS= Repatriation Pharmaceutical Benefits Scheme.</w:t>
      </w:r>
    </w:p>
    <w:p w14:paraId="0320E6A8" w14:textId="2AE1E8C2" w:rsidR="00FC676C" w:rsidRDefault="003E3C78" w:rsidP="00ED4078">
      <w:pPr>
        <w:pStyle w:val="Tablenotes"/>
        <w:keepNext/>
        <w:keepLines/>
        <w:rPr>
          <w:rFonts w:ascii="Arial Narrow" w:hAnsi="Arial Narrow"/>
          <w:sz w:val="18"/>
          <w:szCs w:val="18"/>
        </w:rPr>
      </w:pPr>
      <w:r w:rsidRPr="00BD2844">
        <w:rPr>
          <w:rFonts w:ascii="Arial Narrow" w:hAnsi="Arial Narrow"/>
          <w:sz w:val="18"/>
          <w:szCs w:val="18"/>
          <w:vertAlign w:val="superscript"/>
        </w:rPr>
        <w:t xml:space="preserve">a </w:t>
      </w:r>
      <w:r w:rsidR="00FC676C" w:rsidRPr="00BD2844">
        <w:rPr>
          <w:rFonts w:ascii="Arial Narrow" w:hAnsi="Arial Narrow"/>
          <w:sz w:val="18"/>
          <w:szCs w:val="18"/>
        </w:rPr>
        <w:t>Values were recalculated during evaluation using bevacizumab (100mg) AEMP of $53.82 (April 2025 AEMP, price disclosure reductions).</w:t>
      </w:r>
    </w:p>
    <w:p w14:paraId="76FEC1A4" w14:textId="3B61B776" w:rsidR="00B67AEA" w:rsidRPr="008D789D" w:rsidRDefault="008D789D" w:rsidP="00ED4078">
      <w:pPr>
        <w:pStyle w:val="Tablenotes"/>
        <w:keepNext/>
        <w:keepLines/>
        <w:rPr>
          <w:rFonts w:ascii="Arial Narrow" w:hAnsi="Arial Narrow"/>
          <w:i/>
          <w:sz w:val="18"/>
          <w:szCs w:val="18"/>
        </w:rPr>
      </w:pPr>
      <w:r w:rsidRPr="008D789D">
        <w:rPr>
          <w:rFonts w:ascii="Arial Narrow" w:hAnsi="Arial Narrow"/>
          <w:i/>
          <w:sz w:val="18"/>
          <w:szCs w:val="18"/>
        </w:rPr>
        <w:t xml:space="preserve">The redacted values correspond to the following ranges: </w:t>
      </w:r>
    </w:p>
    <w:p w14:paraId="4A8F69D5" w14:textId="741165E0" w:rsidR="00BA312A" w:rsidRPr="008D789D" w:rsidRDefault="00A46019" w:rsidP="00BA312A">
      <w:pPr>
        <w:ind w:right="147"/>
        <w:rPr>
          <w:rFonts w:ascii="Arial Narrow" w:hAnsi="Arial Narrow"/>
          <w:i/>
          <w:iCs/>
          <w:color w:val="333333"/>
          <w:sz w:val="18"/>
          <w:szCs w:val="18"/>
        </w:rPr>
      </w:pPr>
      <w:r w:rsidRPr="008D789D">
        <w:rPr>
          <w:rFonts w:ascii="Arial Narrow" w:hAnsi="Arial Narrow"/>
          <w:i/>
          <w:iCs/>
          <w:color w:val="333333"/>
          <w:sz w:val="18"/>
          <w:szCs w:val="18"/>
          <w:vertAlign w:val="superscript"/>
        </w:rPr>
        <w:t xml:space="preserve">1 </w:t>
      </w:r>
      <w:r w:rsidR="00BA312A" w:rsidRPr="008D789D">
        <w:rPr>
          <w:rFonts w:ascii="Arial Narrow" w:hAnsi="Arial Narrow"/>
          <w:i/>
          <w:iCs/>
          <w:color w:val="333333"/>
          <w:sz w:val="18"/>
          <w:szCs w:val="18"/>
        </w:rPr>
        <w:t>500 to &lt; 5,000</w:t>
      </w:r>
    </w:p>
    <w:p w14:paraId="1DC00DB4" w14:textId="462E8E86" w:rsidR="00300728" w:rsidRPr="008D789D" w:rsidRDefault="00B67AEA" w:rsidP="00300728">
      <w:pPr>
        <w:ind w:right="147"/>
        <w:rPr>
          <w:rFonts w:ascii="Arial Narrow" w:hAnsi="Arial Narrow"/>
          <w:i/>
          <w:iCs/>
          <w:color w:val="333333"/>
          <w:sz w:val="18"/>
          <w:szCs w:val="18"/>
        </w:rPr>
      </w:pPr>
      <w:r w:rsidRPr="008D789D">
        <w:rPr>
          <w:rFonts w:ascii="Arial Narrow" w:hAnsi="Arial Narrow"/>
          <w:i/>
          <w:iCs/>
          <w:color w:val="333333"/>
          <w:sz w:val="18"/>
          <w:szCs w:val="18"/>
          <w:vertAlign w:val="superscript"/>
        </w:rPr>
        <w:t>2</w:t>
      </w:r>
      <w:r w:rsidR="007B4E23" w:rsidRPr="008D789D">
        <w:rPr>
          <w:rFonts w:ascii="Arial Narrow" w:hAnsi="Arial Narrow"/>
          <w:i/>
          <w:iCs/>
          <w:color w:val="333333"/>
          <w:sz w:val="18"/>
          <w:szCs w:val="18"/>
        </w:rPr>
        <w:t xml:space="preserve"> </w:t>
      </w:r>
      <w:r w:rsidR="005B2B75" w:rsidRPr="008D789D">
        <w:rPr>
          <w:rFonts w:ascii="Arial Narrow" w:hAnsi="Arial Narrow"/>
          <w:i/>
          <w:iCs/>
          <w:color w:val="333333"/>
          <w:sz w:val="18"/>
          <w:szCs w:val="18"/>
        </w:rPr>
        <w:t>$0 to &lt; $10 million</w:t>
      </w:r>
    </w:p>
    <w:p w14:paraId="4F329A21" w14:textId="13364801" w:rsidR="00DF626A" w:rsidRPr="008D789D" w:rsidRDefault="00B67AEA" w:rsidP="00DF626A">
      <w:pPr>
        <w:ind w:right="150"/>
        <w:rPr>
          <w:rFonts w:ascii="Arial Narrow" w:hAnsi="Arial Narrow"/>
          <w:i/>
          <w:iCs/>
          <w:color w:val="333333"/>
          <w:sz w:val="18"/>
          <w:szCs w:val="18"/>
        </w:rPr>
      </w:pPr>
      <w:r w:rsidRPr="008D789D">
        <w:rPr>
          <w:rFonts w:ascii="Arial Narrow" w:hAnsi="Arial Narrow"/>
          <w:i/>
          <w:iCs/>
          <w:color w:val="333333"/>
          <w:sz w:val="18"/>
          <w:szCs w:val="18"/>
          <w:vertAlign w:val="superscript"/>
        </w:rPr>
        <w:t>3</w:t>
      </w:r>
      <w:r w:rsidR="004376EF" w:rsidRPr="008D789D">
        <w:rPr>
          <w:rFonts w:ascii="Arial Narrow" w:hAnsi="Arial Narrow"/>
          <w:i/>
          <w:iCs/>
          <w:color w:val="333333"/>
          <w:sz w:val="18"/>
          <w:szCs w:val="18"/>
          <w:vertAlign w:val="superscript"/>
        </w:rPr>
        <w:t xml:space="preserve"> </w:t>
      </w:r>
      <w:r w:rsidR="00DF626A" w:rsidRPr="008D789D">
        <w:rPr>
          <w:rFonts w:ascii="Arial Narrow" w:hAnsi="Arial Narrow"/>
          <w:i/>
          <w:iCs/>
          <w:color w:val="333333"/>
          <w:sz w:val="18"/>
          <w:szCs w:val="18"/>
        </w:rPr>
        <w:t>$10 million to &lt; $20 million</w:t>
      </w:r>
    </w:p>
    <w:p w14:paraId="203D5E53" w14:textId="506575ED" w:rsidR="00FC676C" w:rsidRPr="00BD2844" w:rsidRDefault="00FC676C" w:rsidP="00FC676C">
      <w:pPr>
        <w:pStyle w:val="3-BodyText"/>
      </w:pPr>
      <w:r w:rsidRPr="00BD2844">
        <w:t>The total cost to the PBS/RPBS of listing NIVO+IPI was estimated to be $</w:t>
      </w:r>
      <w:r w:rsidR="00A7069E">
        <w:t xml:space="preserve">0 to &lt; $10 </w:t>
      </w:r>
      <w:r w:rsidRPr="00BD2844">
        <w:t xml:space="preserve"> million in Year 6, and a total of $</w:t>
      </w:r>
      <w:r w:rsidR="00A7069E">
        <w:t>0 to &lt; $10</w:t>
      </w:r>
      <w:r w:rsidRPr="00BD2844">
        <w:t xml:space="preserve"> million in the first 6 years of listing. The net cost to the PBS/RPBS in each year is due to the inclusion of wastage in the financial estimates, whereby no vial sharing was assumed.</w:t>
      </w:r>
      <w:r w:rsidRPr="00BD2844">
        <w:rPr>
          <w:color w:val="3366FF"/>
        </w:rPr>
        <w:t xml:space="preserve"> </w:t>
      </w:r>
      <w:r w:rsidR="004F053D" w:rsidRPr="00AC20B4">
        <w:rPr>
          <w:iCs/>
        </w:rPr>
        <w:t xml:space="preserve">The PSCR noted that the financial estimates will </w:t>
      </w:r>
      <w:r w:rsidR="001D653F" w:rsidRPr="00AC20B4">
        <w:rPr>
          <w:iCs/>
        </w:rPr>
        <w:t>need to be updated to reflect the proposed application of the mean DOT of CM-9DW being applied to both treatment arms</w:t>
      </w:r>
      <w:r w:rsidR="008A26E7" w:rsidRPr="00AC20B4">
        <w:rPr>
          <w:iCs/>
        </w:rPr>
        <w:t>.</w:t>
      </w:r>
      <w:r w:rsidR="008A26E7" w:rsidRPr="00BD2844">
        <w:rPr>
          <w:i/>
          <w:iCs/>
        </w:rPr>
        <w:t xml:space="preserve"> </w:t>
      </w:r>
    </w:p>
    <w:p w14:paraId="723B0990" w14:textId="77777777" w:rsidR="00FC676C" w:rsidRPr="00BD2844" w:rsidRDefault="00FC676C" w:rsidP="00FC676C">
      <w:pPr>
        <w:pStyle w:val="4-SubsectionHeading"/>
      </w:pPr>
      <w:bookmarkStart w:id="98" w:name="_Toc195866341"/>
      <w:bookmarkStart w:id="99" w:name="_Toc198716666"/>
      <w:r w:rsidRPr="00BD2844">
        <w:t>Quality Use of Medicines</w:t>
      </w:r>
      <w:bookmarkEnd w:id="98"/>
      <w:bookmarkEnd w:id="99"/>
    </w:p>
    <w:p w14:paraId="5DEAC0A3" w14:textId="77777777" w:rsidR="00FC676C" w:rsidRPr="00BD2844" w:rsidRDefault="00FC676C" w:rsidP="00FC676C">
      <w:pPr>
        <w:pStyle w:val="3-BodyText"/>
      </w:pPr>
      <w:r w:rsidRPr="00BD2844">
        <w:t xml:space="preserve">The submission stated that that given the adverse effect profile of immuno-oncology agents, the Sponsor has established an extensive quality use of medicine approach to optimise the potential benefits of treatment with NIVO+IPI, while minimising the potential risks of these medicine for Australian patients. The submission provided an overview of the QUM initiatives that includes physician education, nursing and pharmacy educational services, patient education, educational materials for awareness and management of immune related adverse reactions including a sponsor run platform and a Risk Management Plan for NIVO+IPI. </w:t>
      </w:r>
    </w:p>
    <w:p w14:paraId="11ED19A4" w14:textId="77777777" w:rsidR="00FC676C" w:rsidRPr="00BD2844" w:rsidRDefault="00FC676C" w:rsidP="00FC676C">
      <w:pPr>
        <w:pStyle w:val="4-SubsectionHeading"/>
      </w:pPr>
      <w:bookmarkStart w:id="100" w:name="_Toc195866342"/>
      <w:bookmarkStart w:id="101" w:name="_Toc198716667"/>
      <w:r w:rsidRPr="00BD2844">
        <w:lastRenderedPageBreak/>
        <w:t>Financial Management – Risk Sharing Arrangements</w:t>
      </w:r>
      <w:bookmarkEnd w:id="100"/>
      <w:bookmarkEnd w:id="101"/>
    </w:p>
    <w:p w14:paraId="4FFD55AF" w14:textId="25C116F0" w:rsidR="00FC676C" w:rsidRPr="006B47BE" w:rsidRDefault="00FC676C" w:rsidP="00724054">
      <w:pPr>
        <w:pStyle w:val="3-BodyText"/>
      </w:pPr>
      <w:r w:rsidRPr="00BD2844">
        <w:t>The submission stated that the sponsor was willing to work with the Department to determine the appropriate arrangement if NIVO+IPI is recommended by the PBAC, acknowledging the current risk-sharing arrangements related to ATEZO.</w:t>
      </w:r>
      <w:r w:rsidR="006A2D25" w:rsidRPr="00BD2844">
        <w:t xml:space="preserve"> </w:t>
      </w:r>
    </w:p>
    <w:p w14:paraId="54DCD9F7" w14:textId="174A9438" w:rsidR="00BF2033" w:rsidRDefault="006B47BE" w:rsidP="008550CB">
      <w:pPr>
        <w:pStyle w:val="3-BodyText"/>
        <w:numPr>
          <w:ilvl w:val="0"/>
          <w:numId w:val="0"/>
        </w:numPr>
        <w:ind w:left="720"/>
        <w:rPr>
          <w:i/>
          <w:iCs/>
        </w:rPr>
      </w:pPr>
      <w:r w:rsidRPr="006B47BE">
        <w:rPr>
          <w:i/>
          <w:iCs/>
        </w:rPr>
        <w:t>For more detail on PBAC’s view, see section 7 PBAC outcome.</w:t>
      </w:r>
      <w:bookmarkStart w:id="102" w:name="_Toc195866344"/>
    </w:p>
    <w:p w14:paraId="02A022AE" w14:textId="77777777" w:rsidR="008550CB" w:rsidRPr="0090150D" w:rsidRDefault="008550CB" w:rsidP="008550CB">
      <w:pPr>
        <w:pStyle w:val="2-SectionHeading"/>
      </w:pPr>
      <w:bookmarkStart w:id="103" w:name="_Hlk76381249"/>
      <w:bookmarkStart w:id="104" w:name="_Hlk76377955"/>
      <w:r w:rsidRPr="0090150D">
        <w:t>PBAC Outcome</w:t>
      </w:r>
    </w:p>
    <w:p w14:paraId="4D4DD73E" w14:textId="4EAA0AEA" w:rsidR="00A2167B" w:rsidRPr="00A2167B" w:rsidRDefault="008C3012" w:rsidP="009F42C7">
      <w:pPr>
        <w:pStyle w:val="3-BodyText"/>
      </w:pPr>
      <w:r w:rsidRPr="009F42C7">
        <w:rPr>
          <w:snapToGrid w:val="0"/>
          <w:lang w:val="en-GB"/>
        </w:rPr>
        <w:t xml:space="preserve">The PBAC did not recommend the listing of nivolumab </w:t>
      </w:r>
      <w:r w:rsidR="008A08B0" w:rsidRPr="009F42C7">
        <w:rPr>
          <w:snapToGrid w:val="0"/>
          <w:lang w:val="en-GB"/>
        </w:rPr>
        <w:t xml:space="preserve">in combination with </w:t>
      </w:r>
      <w:r w:rsidRPr="009F42C7">
        <w:rPr>
          <w:snapToGrid w:val="0"/>
          <w:lang w:val="en-GB"/>
        </w:rPr>
        <w:t xml:space="preserve">ipilimumab </w:t>
      </w:r>
      <w:r w:rsidR="006D3E01" w:rsidRPr="00BD2844">
        <w:t>(NIVO+IPI) for the first-line treatment of patients with advanced (unresectable) Barcelona Clinic Liver Cancer (BCLC) Stage A, Stage B or Stage C hepatocellular carcinoma (HCC)</w:t>
      </w:r>
      <w:r w:rsidRPr="009F42C7">
        <w:rPr>
          <w:snapToGrid w:val="0"/>
          <w:lang w:val="en-GB"/>
        </w:rPr>
        <w:t xml:space="preserve">. </w:t>
      </w:r>
      <w:r w:rsidR="005A4A1D">
        <w:t xml:space="preserve">The PBAC considered the magnitude of </w:t>
      </w:r>
      <w:r w:rsidR="005A4A1D" w:rsidRPr="00C522A3">
        <w:t>benefit</w:t>
      </w:r>
      <w:r w:rsidR="005A4A1D">
        <w:t xml:space="preserve"> in overall survival (OS) of NIVO+IPI over </w:t>
      </w:r>
      <w:r w:rsidR="0056797E">
        <w:t xml:space="preserve">sorafenib (SORA)/lenvatinib (LEN) </w:t>
      </w:r>
      <w:r w:rsidR="005A4A1D">
        <w:t>in the CM-9DW trial was uncertain.</w:t>
      </w:r>
      <w:r w:rsidR="0056797E">
        <w:t xml:space="preserve"> </w:t>
      </w:r>
      <w:r w:rsidR="00A25D2C" w:rsidRPr="009F42C7">
        <w:rPr>
          <w:snapToGrid w:val="0"/>
          <w:lang w:val="en-GB"/>
        </w:rPr>
        <w:t xml:space="preserve">The PBAC considered the claim of non-inferior effectiveness of NIVO+IPI </w:t>
      </w:r>
      <w:r w:rsidR="00792394">
        <w:rPr>
          <w:snapToGrid w:val="0"/>
          <w:lang w:val="en-GB"/>
        </w:rPr>
        <w:t>versus</w:t>
      </w:r>
      <w:r w:rsidR="00A25D2C" w:rsidRPr="009F42C7">
        <w:rPr>
          <w:snapToGrid w:val="0"/>
          <w:lang w:val="en-GB"/>
        </w:rPr>
        <w:t xml:space="preserve"> </w:t>
      </w:r>
      <w:r w:rsidR="00067667" w:rsidRPr="009F42C7">
        <w:rPr>
          <w:snapToGrid w:val="0"/>
          <w:lang w:val="en-GB"/>
        </w:rPr>
        <w:t xml:space="preserve">atezolizumab </w:t>
      </w:r>
      <w:r w:rsidR="00964BCF">
        <w:rPr>
          <w:snapToGrid w:val="0"/>
          <w:lang w:val="en-GB"/>
        </w:rPr>
        <w:t>plus</w:t>
      </w:r>
      <w:r w:rsidR="00E43157" w:rsidRPr="009F42C7">
        <w:rPr>
          <w:snapToGrid w:val="0"/>
          <w:lang w:val="en-GB"/>
        </w:rPr>
        <w:t xml:space="preserve"> bevacizumab (</w:t>
      </w:r>
      <w:r w:rsidR="00A25D2C" w:rsidRPr="009F42C7">
        <w:rPr>
          <w:snapToGrid w:val="0"/>
          <w:lang w:val="en-GB"/>
        </w:rPr>
        <w:t>ATEZO+BE</w:t>
      </w:r>
      <w:r w:rsidR="00E43157" w:rsidRPr="009F42C7">
        <w:rPr>
          <w:snapToGrid w:val="0"/>
          <w:lang w:val="en-GB"/>
        </w:rPr>
        <w:t>V)</w:t>
      </w:r>
      <w:r w:rsidR="00A25D2C" w:rsidRPr="009F42C7">
        <w:rPr>
          <w:snapToGrid w:val="0"/>
          <w:lang w:val="en-GB"/>
        </w:rPr>
        <w:t xml:space="preserve"> </w:t>
      </w:r>
      <w:r w:rsidR="00792394">
        <w:rPr>
          <w:snapToGrid w:val="0"/>
          <w:lang w:val="en-GB"/>
        </w:rPr>
        <w:t xml:space="preserve">was not adequately supported by the evidence presented </w:t>
      </w:r>
      <w:r w:rsidR="002D547C">
        <w:rPr>
          <w:snapToGrid w:val="0"/>
          <w:lang w:val="en-GB"/>
        </w:rPr>
        <w:t xml:space="preserve">due to wide confidence intervals </w:t>
      </w:r>
      <w:r w:rsidR="0092742B">
        <w:rPr>
          <w:snapToGrid w:val="0"/>
          <w:lang w:val="en-GB"/>
        </w:rPr>
        <w:t xml:space="preserve">for </w:t>
      </w:r>
      <w:r w:rsidR="003021E9">
        <w:rPr>
          <w:snapToGrid w:val="0"/>
          <w:lang w:val="en-GB"/>
        </w:rPr>
        <w:t xml:space="preserve">OS </w:t>
      </w:r>
      <w:r w:rsidR="001D5442">
        <w:rPr>
          <w:snapToGrid w:val="0"/>
          <w:lang w:val="en-GB"/>
        </w:rPr>
        <w:t>hazard ratios (HR)</w:t>
      </w:r>
      <w:r w:rsidR="00134025">
        <w:rPr>
          <w:snapToGrid w:val="0"/>
          <w:lang w:val="en-GB"/>
        </w:rPr>
        <w:t xml:space="preserve"> in the indirect treatment comparisons</w:t>
      </w:r>
      <w:r w:rsidR="00AD6617">
        <w:rPr>
          <w:snapToGrid w:val="0"/>
          <w:lang w:val="en-GB"/>
        </w:rPr>
        <w:t xml:space="preserve"> (ITCs)</w:t>
      </w:r>
      <w:r w:rsidR="00134025">
        <w:rPr>
          <w:snapToGrid w:val="0"/>
          <w:lang w:val="en-GB"/>
        </w:rPr>
        <w:t xml:space="preserve">, with </w:t>
      </w:r>
      <w:r w:rsidR="00E81B51">
        <w:rPr>
          <w:snapToGrid w:val="0"/>
          <w:lang w:val="en-GB"/>
        </w:rPr>
        <w:t xml:space="preserve">point estimate results that </w:t>
      </w:r>
      <w:r w:rsidR="00762F60">
        <w:rPr>
          <w:snapToGrid w:val="0"/>
          <w:lang w:val="en-GB"/>
        </w:rPr>
        <w:t xml:space="preserve">favour the comparator. </w:t>
      </w:r>
      <w:r w:rsidR="009F58BA">
        <w:rPr>
          <w:snapToGrid w:val="0"/>
          <w:lang w:val="en-GB"/>
        </w:rPr>
        <w:t>The PBAC considered that these results did not suff</w:t>
      </w:r>
      <w:r w:rsidR="00B45636">
        <w:rPr>
          <w:snapToGrid w:val="0"/>
          <w:lang w:val="en-GB"/>
        </w:rPr>
        <w:t>iciently rule out the possibility of a conclusion of inferiority</w:t>
      </w:r>
      <w:r w:rsidR="00D12F36">
        <w:rPr>
          <w:snapToGrid w:val="0"/>
          <w:lang w:val="en-GB"/>
        </w:rPr>
        <w:t xml:space="preserve">. The PBAC </w:t>
      </w:r>
      <w:r w:rsidR="00DD4DFE">
        <w:rPr>
          <w:snapToGrid w:val="0"/>
          <w:lang w:val="en-GB"/>
        </w:rPr>
        <w:t xml:space="preserve">also considered this was </w:t>
      </w:r>
      <w:r w:rsidR="0034135A">
        <w:rPr>
          <w:snapToGrid w:val="0"/>
          <w:lang w:val="en-GB"/>
        </w:rPr>
        <w:t>in</w:t>
      </w:r>
      <w:r w:rsidR="007A4D2C">
        <w:rPr>
          <w:snapToGrid w:val="0"/>
          <w:lang w:val="en-GB"/>
        </w:rPr>
        <w:t xml:space="preserve"> </w:t>
      </w:r>
      <w:r w:rsidR="00AA48CE">
        <w:rPr>
          <w:snapToGrid w:val="0"/>
          <w:lang w:val="en-GB"/>
        </w:rPr>
        <w:t xml:space="preserve">the context of limited clinical need for </w:t>
      </w:r>
      <w:r w:rsidR="00182C68">
        <w:rPr>
          <w:snapToGrid w:val="0"/>
          <w:lang w:val="en-GB"/>
        </w:rPr>
        <w:t xml:space="preserve">additional </w:t>
      </w:r>
      <w:r w:rsidR="00FC246B">
        <w:rPr>
          <w:snapToGrid w:val="0"/>
          <w:lang w:val="en-GB"/>
        </w:rPr>
        <w:t>treatment options in HCC</w:t>
      </w:r>
      <w:r w:rsidR="005B5B91">
        <w:rPr>
          <w:snapToGrid w:val="0"/>
          <w:lang w:val="en-GB"/>
        </w:rPr>
        <w:t xml:space="preserve"> </w:t>
      </w:r>
      <w:r w:rsidR="00467345">
        <w:rPr>
          <w:snapToGrid w:val="0"/>
          <w:lang w:val="en-GB"/>
        </w:rPr>
        <w:t xml:space="preserve">with the availability of ATEZO+BEV and the recent recommendation of </w:t>
      </w:r>
      <w:r w:rsidR="00BE57BC" w:rsidRPr="00BD2844">
        <w:t>Single Tremelimumab Regular Interval Durvalumab (STRIDE)</w:t>
      </w:r>
      <w:r w:rsidR="00BE57BC">
        <w:t xml:space="preserve"> in May 2025</w:t>
      </w:r>
      <w:r w:rsidR="009B5043">
        <w:t>.</w:t>
      </w:r>
      <w:r w:rsidR="002A5E11">
        <w:rPr>
          <w:snapToGrid w:val="0"/>
          <w:lang w:val="en-GB"/>
        </w:rPr>
        <w:t xml:space="preserve"> </w:t>
      </w:r>
    </w:p>
    <w:p w14:paraId="7DE9A4A1" w14:textId="621A938E" w:rsidR="008C3012" w:rsidRPr="00DD1017" w:rsidRDefault="008C3012" w:rsidP="00DD1017">
      <w:pPr>
        <w:pStyle w:val="3-BodyText"/>
      </w:pPr>
      <w:r>
        <w:t>The primary reason for this outcome was due to the comparative clinical evidence.</w:t>
      </w:r>
    </w:p>
    <w:p w14:paraId="649AB77B" w14:textId="744E4F49" w:rsidR="008F4DBB" w:rsidRPr="009F5878" w:rsidRDefault="008C3012" w:rsidP="009F5878">
      <w:pPr>
        <w:widowControl w:val="0"/>
        <w:numPr>
          <w:ilvl w:val="1"/>
          <w:numId w:val="4"/>
        </w:numPr>
        <w:spacing w:after="120"/>
        <w:rPr>
          <w:rFonts w:asciiTheme="minorHAnsi" w:hAnsiTheme="minorHAnsi"/>
          <w:snapToGrid w:val="0"/>
          <w:lang w:val="en-GB"/>
        </w:rPr>
      </w:pPr>
      <w:r>
        <w:rPr>
          <w:rFonts w:asciiTheme="minorHAnsi" w:hAnsiTheme="minorHAnsi"/>
          <w:snapToGrid w:val="0"/>
          <w:lang w:val="en-GB"/>
        </w:rPr>
        <w:t xml:space="preserve">The PBAC noted </w:t>
      </w:r>
      <w:r w:rsidR="00D80435">
        <w:rPr>
          <w:rFonts w:asciiTheme="minorHAnsi" w:hAnsiTheme="minorHAnsi"/>
          <w:snapToGrid w:val="0"/>
          <w:lang w:val="en-GB"/>
        </w:rPr>
        <w:t>input</w:t>
      </w:r>
      <w:r>
        <w:rPr>
          <w:rFonts w:asciiTheme="minorHAnsi" w:hAnsiTheme="minorHAnsi"/>
          <w:snapToGrid w:val="0"/>
          <w:lang w:val="en-GB"/>
        </w:rPr>
        <w:t xml:space="preserve"> from </w:t>
      </w:r>
      <w:r w:rsidR="00E70682">
        <w:rPr>
          <w:rFonts w:asciiTheme="minorHAnsi" w:hAnsiTheme="minorHAnsi"/>
          <w:snapToGrid w:val="0"/>
          <w:lang w:val="en-GB"/>
        </w:rPr>
        <w:t xml:space="preserve">the </w:t>
      </w:r>
      <w:r w:rsidR="00E70682" w:rsidRPr="00FE3260">
        <w:rPr>
          <w:snapToGrid w:val="0"/>
        </w:rPr>
        <w:t>Liver Foundation,</w:t>
      </w:r>
      <w:r w:rsidR="00E70682">
        <w:rPr>
          <w:snapToGrid w:val="0"/>
        </w:rPr>
        <w:t xml:space="preserve"> </w:t>
      </w:r>
      <w:proofErr w:type="spellStart"/>
      <w:r w:rsidR="00B06F6E">
        <w:rPr>
          <w:rFonts w:asciiTheme="minorHAnsi" w:hAnsiTheme="minorHAnsi"/>
          <w:snapToGrid w:val="0"/>
          <w:lang w:val="en-GB"/>
        </w:rPr>
        <w:t>Pancare</w:t>
      </w:r>
      <w:proofErr w:type="spellEnd"/>
      <w:r w:rsidR="00B06F6E">
        <w:rPr>
          <w:rFonts w:asciiTheme="minorHAnsi" w:hAnsiTheme="minorHAnsi"/>
          <w:snapToGrid w:val="0"/>
          <w:lang w:val="en-GB"/>
        </w:rPr>
        <w:t xml:space="preserve"> Foundation</w:t>
      </w:r>
      <w:r>
        <w:rPr>
          <w:rFonts w:asciiTheme="minorHAnsi" w:hAnsiTheme="minorHAnsi"/>
          <w:snapToGrid w:val="0"/>
          <w:lang w:val="en-GB"/>
        </w:rPr>
        <w:t xml:space="preserve">, Rare Cancers Australia and </w:t>
      </w:r>
      <w:r>
        <w:rPr>
          <w:rFonts w:asciiTheme="minorHAnsi" w:hAnsiTheme="minorHAnsi"/>
          <w:bCs/>
          <w:snapToGrid w:val="0"/>
        </w:rPr>
        <w:t>t</w:t>
      </w:r>
      <w:r w:rsidRPr="00A74363">
        <w:rPr>
          <w:rFonts w:asciiTheme="minorHAnsi" w:hAnsiTheme="minorHAnsi"/>
          <w:bCs/>
          <w:snapToGrid w:val="0"/>
        </w:rPr>
        <w:t>he Medical O</w:t>
      </w:r>
      <w:r w:rsidRPr="00D733FA">
        <w:rPr>
          <w:rFonts w:asciiTheme="minorHAnsi" w:hAnsiTheme="minorHAnsi"/>
          <w:bCs/>
          <w:snapToGrid w:val="0"/>
        </w:rPr>
        <w:t xml:space="preserve">ncology Group of Australia (MOGA) which </w:t>
      </w:r>
      <w:r w:rsidR="00DD653A">
        <w:rPr>
          <w:rFonts w:asciiTheme="minorHAnsi" w:hAnsiTheme="minorHAnsi"/>
          <w:bCs/>
          <w:snapToGrid w:val="0"/>
        </w:rPr>
        <w:t xml:space="preserve">was </w:t>
      </w:r>
      <w:r w:rsidR="002B018C" w:rsidRPr="00D733FA">
        <w:rPr>
          <w:snapToGrid w:val="0"/>
        </w:rPr>
        <w:t xml:space="preserve">supportive of listing </w:t>
      </w:r>
      <w:r w:rsidR="00DD1017">
        <w:rPr>
          <w:snapToGrid w:val="0"/>
        </w:rPr>
        <w:t>NIVO+IPI</w:t>
      </w:r>
      <w:r w:rsidR="002B018C" w:rsidRPr="00D733FA">
        <w:rPr>
          <w:snapToGrid w:val="0"/>
        </w:rPr>
        <w:t xml:space="preserve"> on the PBS for </w:t>
      </w:r>
      <w:r w:rsidR="002B37AB">
        <w:rPr>
          <w:snapToGrid w:val="0"/>
        </w:rPr>
        <w:t>HCC</w:t>
      </w:r>
      <w:r w:rsidRPr="00D733FA">
        <w:rPr>
          <w:rFonts w:asciiTheme="minorHAnsi" w:hAnsiTheme="minorHAnsi"/>
          <w:bCs/>
          <w:snapToGrid w:val="0"/>
        </w:rPr>
        <w:t xml:space="preserve">. </w:t>
      </w:r>
      <w:r w:rsidR="007B3D85">
        <w:rPr>
          <w:rFonts w:asciiTheme="minorHAnsi" w:hAnsiTheme="minorHAnsi"/>
          <w:bCs/>
          <w:snapToGrid w:val="0"/>
        </w:rPr>
        <w:t>T</w:t>
      </w:r>
      <w:r w:rsidR="007B3D85" w:rsidRPr="007B3D85">
        <w:rPr>
          <w:rFonts w:asciiTheme="minorHAnsi" w:hAnsiTheme="minorHAnsi"/>
          <w:bCs/>
          <w:snapToGrid w:val="0"/>
        </w:rPr>
        <w:t xml:space="preserve">he PBAC </w:t>
      </w:r>
      <w:r w:rsidR="00BF36F1">
        <w:rPr>
          <w:rFonts w:asciiTheme="minorHAnsi" w:hAnsiTheme="minorHAnsi"/>
          <w:bCs/>
          <w:snapToGrid w:val="0"/>
        </w:rPr>
        <w:t xml:space="preserve">acknowledged the impact of HCC </w:t>
      </w:r>
      <w:r w:rsidR="004A0C99">
        <w:rPr>
          <w:rFonts w:asciiTheme="minorHAnsi" w:hAnsiTheme="minorHAnsi"/>
          <w:bCs/>
          <w:snapToGrid w:val="0"/>
        </w:rPr>
        <w:t xml:space="preserve">on </w:t>
      </w:r>
      <w:r w:rsidR="00BF36F1">
        <w:rPr>
          <w:rFonts w:asciiTheme="minorHAnsi" w:hAnsiTheme="minorHAnsi"/>
          <w:bCs/>
          <w:snapToGrid w:val="0"/>
        </w:rPr>
        <w:t>those with th</w:t>
      </w:r>
      <w:r w:rsidR="008501FC">
        <w:rPr>
          <w:rFonts w:asciiTheme="minorHAnsi" w:hAnsiTheme="minorHAnsi"/>
          <w:bCs/>
          <w:snapToGrid w:val="0"/>
        </w:rPr>
        <w:t>is</w:t>
      </w:r>
      <w:r w:rsidR="00BF36F1">
        <w:rPr>
          <w:rFonts w:asciiTheme="minorHAnsi" w:hAnsiTheme="minorHAnsi"/>
          <w:bCs/>
          <w:snapToGrid w:val="0"/>
        </w:rPr>
        <w:t xml:space="preserve"> condition and their families</w:t>
      </w:r>
      <w:r w:rsidR="00E45D51">
        <w:rPr>
          <w:rFonts w:asciiTheme="minorHAnsi" w:hAnsiTheme="minorHAnsi"/>
          <w:bCs/>
          <w:snapToGrid w:val="0"/>
        </w:rPr>
        <w:t xml:space="preserve">. </w:t>
      </w:r>
      <w:r w:rsidR="00215F9B">
        <w:rPr>
          <w:rFonts w:asciiTheme="minorHAnsi" w:hAnsiTheme="minorHAnsi"/>
          <w:snapToGrid w:val="0"/>
          <w:lang w:val="en-GB"/>
        </w:rPr>
        <w:t xml:space="preserve">However, </w:t>
      </w:r>
      <w:r w:rsidR="00215F9B">
        <w:rPr>
          <w:rFonts w:asciiTheme="minorHAnsi" w:hAnsiTheme="minorHAnsi"/>
          <w:bCs/>
          <w:snapToGrid w:val="0"/>
        </w:rPr>
        <w:t>t</w:t>
      </w:r>
      <w:r w:rsidR="00F10773" w:rsidRPr="009F5878">
        <w:rPr>
          <w:rFonts w:asciiTheme="minorHAnsi" w:hAnsiTheme="minorHAnsi"/>
          <w:bCs/>
          <w:snapToGrid w:val="0"/>
        </w:rPr>
        <w:t xml:space="preserve">he PBAC </w:t>
      </w:r>
      <w:r w:rsidR="00B93480" w:rsidRPr="009F5878">
        <w:rPr>
          <w:rFonts w:asciiTheme="minorHAnsi" w:hAnsiTheme="minorHAnsi"/>
          <w:bCs/>
          <w:snapToGrid w:val="0"/>
        </w:rPr>
        <w:t>con</w:t>
      </w:r>
      <w:r w:rsidR="007706A3" w:rsidRPr="009F5878">
        <w:rPr>
          <w:rFonts w:asciiTheme="minorHAnsi" w:hAnsiTheme="minorHAnsi"/>
          <w:bCs/>
          <w:snapToGrid w:val="0"/>
        </w:rPr>
        <w:t>sidered there was a low clinical need for NIVO+IPI as first</w:t>
      </w:r>
      <w:r w:rsidR="00DC55A0">
        <w:rPr>
          <w:rFonts w:asciiTheme="minorHAnsi" w:hAnsiTheme="minorHAnsi"/>
          <w:bCs/>
          <w:snapToGrid w:val="0"/>
        </w:rPr>
        <w:t>-</w:t>
      </w:r>
      <w:r w:rsidR="007706A3" w:rsidRPr="009F5878">
        <w:rPr>
          <w:rFonts w:asciiTheme="minorHAnsi" w:hAnsiTheme="minorHAnsi"/>
          <w:bCs/>
          <w:snapToGrid w:val="0"/>
        </w:rPr>
        <w:t>line treatment for HCC</w:t>
      </w:r>
      <w:r w:rsidR="0093052C" w:rsidRPr="009F5878">
        <w:rPr>
          <w:rFonts w:asciiTheme="minorHAnsi" w:hAnsiTheme="minorHAnsi"/>
          <w:bCs/>
          <w:snapToGrid w:val="0"/>
        </w:rPr>
        <w:t xml:space="preserve"> given</w:t>
      </w:r>
      <w:r w:rsidR="00215F9B">
        <w:rPr>
          <w:rFonts w:asciiTheme="minorHAnsi" w:hAnsiTheme="minorHAnsi"/>
          <w:bCs/>
          <w:snapToGrid w:val="0"/>
        </w:rPr>
        <w:t xml:space="preserve"> it</w:t>
      </w:r>
      <w:r w:rsidR="00CA6436" w:rsidRPr="009F5878">
        <w:rPr>
          <w:rFonts w:asciiTheme="minorHAnsi" w:hAnsiTheme="minorHAnsi"/>
          <w:bCs/>
          <w:snapToGrid w:val="0"/>
        </w:rPr>
        <w:t xml:space="preserve"> is not recommended as a </w:t>
      </w:r>
      <w:r w:rsidR="00AF7E9A" w:rsidRPr="009F5878">
        <w:rPr>
          <w:rFonts w:asciiTheme="minorHAnsi" w:hAnsiTheme="minorHAnsi"/>
          <w:bCs/>
          <w:snapToGrid w:val="0"/>
        </w:rPr>
        <w:t xml:space="preserve">preferred </w:t>
      </w:r>
      <w:r w:rsidR="00DC55A0">
        <w:rPr>
          <w:rFonts w:asciiTheme="minorHAnsi" w:hAnsiTheme="minorHAnsi"/>
          <w:bCs/>
          <w:snapToGrid w:val="0"/>
        </w:rPr>
        <w:t>regimen</w:t>
      </w:r>
      <w:r w:rsidR="00012F0C" w:rsidRPr="009F5878">
        <w:rPr>
          <w:rFonts w:asciiTheme="minorHAnsi" w:hAnsiTheme="minorHAnsi"/>
          <w:bCs/>
          <w:snapToGrid w:val="0"/>
        </w:rPr>
        <w:t xml:space="preserve"> for HCC</w:t>
      </w:r>
      <w:r w:rsidR="0093052C" w:rsidRPr="009F5878">
        <w:rPr>
          <w:rFonts w:asciiTheme="minorHAnsi" w:hAnsiTheme="minorHAnsi"/>
          <w:bCs/>
          <w:snapToGrid w:val="0"/>
        </w:rPr>
        <w:t xml:space="preserve"> in current treatment guidelines </w:t>
      </w:r>
      <w:r w:rsidR="009F5878" w:rsidRPr="009F5878">
        <w:rPr>
          <w:rFonts w:asciiTheme="minorHAnsi" w:hAnsiTheme="minorHAnsi"/>
          <w:bCs/>
          <w:snapToGrid w:val="0"/>
        </w:rPr>
        <w:t xml:space="preserve">(see paragraph </w:t>
      </w:r>
      <w:r w:rsidR="00297775">
        <w:rPr>
          <w:rFonts w:asciiTheme="minorHAnsi" w:hAnsiTheme="minorHAnsi"/>
          <w:bCs/>
          <w:snapToGrid w:val="0"/>
        </w:rPr>
        <w:fldChar w:fldCharType="begin"/>
      </w:r>
      <w:r w:rsidR="00297775">
        <w:rPr>
          <w:rFonts w:asciiTheme="minorHAnsi" w:hAnsiTheme="minorHAnsi"/>
          <w:bCs/>
          <w:snapToGrid w:val="0"/>
        </w:rPr>
        <w:instrText xml:space="preserve"> REF _Ref205549619 \r \h </w:instrText>
      </w:r>
      <w:r w:rsidR="00297775">
        <w:rPr>
          <w:rFonts w:asciiTheme="minorHAnsi" w:hAnsiTheme="minorHAnsi"/>
          <w:bCs/>
          <w:snapToGrid w:val="0"/>
        </w:rPr>
      </w:r>
      <w:r w:rsidR="00297775">
        <w:rPr>
          <w:rFonts w:asciiTheme="minorHAnsi" w:hAnsiTheme="minorHAnsi"/>
          <w:bCs/>
          <w:snapToGrid w:val="0"/>
        </w:rPr>
        <w:fldChar w:fldCharType="separate"/>
      </w:r>
      <w:r w:rsidR="008C7D22">
        <w:rPr>
          <w:rFonts w:asciiTheme="minorHAnsi" w:hAnsiTheme="minorHAnsi"/>
          <w:bCs/>
          <w:snapToGrid w:val="0"/>
        </w:rPr>
        <w:t>4.3</w:t>
      </w:r>
      <w:r w:rsidR="00297775">
        <w:rPr>
          <w:rFonts w:asciiTheme="minorHAnsi" w:hAnsiTheme="minorHAnsi"/>
          <w:bCs/>
          <w:snapToGrid w:val="0"/>
        </w:rPr>
        <w:fldChar w:fldCharType="end"/>
      </w:r>
      <w:r w:rsidR="009F5878" w:rsidRPr="009F5878">
        <w:rPr>
          <w:rFonts w:asciiTheme="minorHAnsi" w:hAnsiTheme="minorHAnsi"/>
          <w:bCs/>
          <w:snapToGrid w:val="0"/>
        </w:rPr>
        <w:t xml:space="preserve">) </w:t>
      </w:r>
      <w:r w:rsidR="0093052C" w:rsidRPr="009F5878">
        <w:rPr>
          <w:rFonts w:asciiTheme="minorHAnsi" w:hAnsiTheme="minorHAnsi"/>
          <w:bCs/>
          <w:snapToGrid w:val="0"/>
        </w:rPr>
        <w:t>and there are alternatives</w:t>
      </w:r>
      <w:r w:rsidR="005572CF" w:rsidRPr="009F5878">
        <w:rPr>
          <w:rFonts w:asciiTheme="minorHAnsi" w:hAnsiTheme="minorHAnsi"/>
          <w:bCs/>
          <w:snapToGrid w:val="0"/>
        </w:rPr>
        <w:t xml:space="preserve"> </w:t>
      </w:r>
      <w:r w:rsidR="00B242CE" w:rsidRPr="009F5878">
        <w:rPr>
          <w:rFonts w:asciiTheme="minorHAnsi" w:hAnsiTheme="minorHAnsi"/>
          <w:bCs/>
          <w:snapToGrid w:val="0"/>
        </w:rPr>
        <w:t xml:space="preserve">on the PBS (ATEZO+BEV) or </w:t>
      </w:r>
      <w:r w:rsidR="005572CF" w:rsidRPr="009F5878">
        <w:rPr>
          <w:rFonts w:asciiTheme="minorHAnsi" w:hAnsiTheme="minorHAnsi"/>
          <w:bCs/>
          <w:snapToGrid w:val="0"/>
        </w:rPr>
        <w:t>recommended to be listed on the PBS</w:t>
      </w:r>
      <w:r w:rsidR="00B242CE" w:rsidRPr="009F5878">
        <w:rPr>
          <w:rFonts w:asciiTheme="minorHAnsi" w:hAnsiTheme="minorHAnsi"/>
          <w:bCs/>
          <w:snapToGrid w:val="0"/>
        </w:rPr>
        <w:t xml:space="preserve"> (STRIDE)</w:t>
      </w:r>
      <w:r w:rsidR="00012F0C" w:rsidRPr="009F5878">
        <w:rPr>
          <w:rFonts w:asciiTheme="minorHAnsi" w:hAnsiTheme="minorHAnsi"/>
          <w:bCs/>
          <w:snapToGrid w:val="0"/>
        </w:rPr>
        <w:t xml:space="preserve">. </w:t>
      </w:r>
    </w:p>
    <w:p w14:paraId="08F2A301" w14:textId="1C066F60" w:rsidR="00B60F47" w:rsidRDefault="00B77ED9" w:rsidP="00B60F47">
      <w:pPr>
        <w:pStyle w:val="3-BodyText"/>
        <w:rPr>
          <w:rFonts w:eastAsia="Times New Roman" w:cs="Arial"/>
          <w:snapToGrid w:val="0"/>
          <w:szCs w:val="24"/>
          <w:lang w:val="en-GB"/>
        </w:rPr>
      </w:pPr>
      <w:r>
        <w:rPr>
          <w:snapToGrid w:val="0"/>
          <w:lang w:val="en-GB"/>
        </w:rPr>
        <w:t xml:space="preserve">The PBAC </w:t>
      </w:r>
      <w:r w:rsidR="00DB3C4B">
        <w:rPr>
          <w:snapToGrid w:val="0"/>
          <w:lang w:val="en-GB"/>
        </w:rPr>
        <w:t xml:space="preserve">noted the submission nominated </w:t>
      </w:r>
      <w:r w:rsidRPr="00B77ED9">
        <w:rPr>
          <w:snapToGrid w:val="0"/>
          <w:lang w:val="en-GB"/>
        </w:rPr>
        <w:t>ATEZO+BEV</w:t>
      </w:r>
      <w:r w:rsidR="00C50ECC">
        <w:rPr>
          <w:snapToGrid w:val="0"/>
          <w:lang w:val="en-GB"/>
        </w:rPr>
        <w:t xml:space="preserve"> as </w:t>
      </w:r>
      <w:r w:rsidRPr="00B77ED9">
        <w:rPr>
          <w:snapToGrid w:val="0"/>
          <w:lang w:val="en-GB"/>
        </w:rPr>
        <w:t>the main comparator</w:t>
      </w:r>
      <w:r>
        <w:rPr>
          <w:snapToGrid w:val="0"/>
          <w:lang w:val="en-GB"/>
        </w:rPr>
        <w:t xml:space="preserve"> </w:t>
      </w:r>
      <w:r w:rsidR="008E1A24">
        <w:rPr>
          <w:snapToGrid w:val="0"/>
          <w:lang w:val="en-GB"/>
        </w:rPr>
        <w:t>and STRIDE</w:t>
      </w:r>
      <w:r w:rsidR="00C50ECC">
        <w:rPr>
          <w:snapToGrid w:val="0"/>
          <w:lang w:val="en-GB"/>
        </w:rPr>
        <w:t xml:space="preserve"> </w:t>
      </w:r>
      <w:r w:rsidR="00244458" w:rsidRPr="00244458">
        <w:rPr>
          <w:snapToGrid w:val="0"/>
          <w:lang w:val="en-GB"/>
        </w:rPr>
        <w:t>as a near market comparator</w:t>
      </w:r>
      <w:r w:rsidR="00244458">
        <w:rPr>
          <w:snapToGrid w:val="0"/>
          <w:lang w:val="en-GB"/>
        </w:rPr>
        <w:t>.</w:t>
      </w:r>
      <w:r w:rsidR="008244FB" w:rsidRPr="008244FB">
        <w:t xml:space="preserve"> </w:t>
      </w:r>
      <w:r w:rsidR="00C6404F">
        <w:t xml:space="preserve">The PBAC considered the comparators nominated by the submission were appropriate. </w:t>
      </w:r>
    </w:p>
    <w:p w14:paraId="5CD02678" w14:textId="74ED881C" w:rsidR="00FF2DD5" w:rsidRPr="00FF2DD5" w:rsidRDefault="00A51A6B" w:rsidP="00B60F47">
      <w:pPr>
        <w:pStyle w:val="3-BodyText"/>
        <w:rPr>
          <w:rFonts w:eastAsia="Times New Roman" w:cs="Arial"/>
          <w:snapToGrid w:val="0"/>
          <w:szCs w:val="24"/>
          <w:lang w:val="en-GB"/>
        </w:rPr>
      </w:pPr>
      <w:bookmarkStart w:id="105" w:name="_Ref205559783"/>
      <w:r w:rsidRPr="00BD2844">
        <w:t>The</w:t>
      </w:r>
      <w:r>
        <w:t xml:space="preserve"> PBAC noted the</w:t>
      </w:r>
      <w:r w:rsidRPr="00BD2844">
        <w:t xml:space="preserve"> </w:t>
      </w:r>
      <w:r w:rsidR="00693C0B">
        <w:t xml:space="preserve">evidence for NIVO+IPI </w:t>
      </w:r>
      <w:r w:rsidRPr="00BD2844">
        <w:t>was based on one head-to-head trial</w:t>
      </w:r>
      <w:r w:rsidR="0073484D">
        <w:t>,</w:t>
      </w:r>
      <w:r w:rsidRPr="00BD2844">
        <w:t xml:space="preserve"> </w:t>
      </w:r>
      <w:r w:rsidR="0073484D" w:rsidRPr="00BD2844">
        <w:t>CM-9DW</w:t>
      </w:r>
      <w:r w:rsidR="0073484D">
        <w:t>,</w:t>
      </w:r>
      <w:r w:rsidR="0073484D" w:rsidRPr="00BD2844">
        <w:t xml:space="preserve"> </w:t>
      </w:r>
      <w:r w:rsidR="00382166">
        <w:t xml:space="preserve">in which the combination was compared with </w:t>
      </w:r>
      <w:r w:rsidR="00EF7F64">
        <w:t>investigators choice of SORA or LEN</w:t>
      </w:r>
      <w:r w:rsidR="00EE4722">
        <w:t xml:space="preserve">. </w:t>
      </w:r>
      <w:r w:rsidR="009F4C54">
        <w:t>The PBAC noted that w</w:t>
      </w:r>
      <w:r w:rsidR="008C4D6C" w:rsidRPr="00BD2844">
        <w:t xml:space="preserve">hilst the results from the CM-9DW trial showed that NIVO+IPI led to a statistically significant improvement in OS </w:t>
      </w:r>
      <w:r w:rsidR="00033271">
        <w:t>over</w:t>
      </w:r>
      <w:r w:rsidR="008C4D6C" w:rsidRPr="00BD2844">
        <w:t xml:space="preserve"> SORA/LEN (HR=0.79</w:t>
      </w:r>
      <w:r w:rsidR="004F36D2">
        <w:t xml:space="preserve">; </w:t>
      </w:r>
      <w:r w:rsidR="008C4D6C" w:rsidRPr="00BD2844">
        <w:t>95% CI:</w:t>
      </w:r>
      <w:r w:rsidR="008C4D6C" w:rsidRPr="00B60F47">
        <w:rPr>
          <w:i/>
          <w:iCs/>
        </w:rPr>
        <w:t xml:space="preserve"> </w:t>
      </w:r>
      <w:r w:rsidR="008C4D6C" w:rsidRPr="00BD2844">
        <w:t xml:space="preserve">0.65, 0.96), the corresponding </w:t>
      </w:r>
      <w:r w:rsidR="000A7694" w:rsidRPr="00BD2844">
        <w:t xml:space="preserve">Kaplan Meier </w:t>
      </w:r>
      <w:r w:rsidR="000A7694">
        <w:t>(</w:t>
      </w:r>
      <w:r w:rsidR="008C4D6C" w:rsidRPr="00BD2844">
        <w:t>KM</w:t>
      </w:r>
      <w:r w:rsidR="000A7694">
        <w:t>)</w:t>
      </w:r>
      <w:r w:rsidR="008C4D6C" w:rsidRPr="00BD2844">
        <w:t xml:space="preserve"> curves cross suggest</w:t>
      </w:r>
      <w:r w:rsidR="00C41390">
        <w:t>ing</w:t>
      </w:r>
      <w:r w:rsidR="008C4D6C" w:rsidRPr="00BD2844">
        <w:t xml:space="preserve"> a violation of the proportional hazards assumption. Given the violation of the proportional hazards assumption the </w:t>
      </w:r>
      <w:r w:rsidR="000577F7">
        <w:t xml:space="preserve">PBAC agreed with the evaluation that the </w:t>
      </w:r>
      <w:r w:rsidR="008C4D6C" w:rsidRPr="00BD2844">
        <w:t xml:space="preserve">HR, CIs and p-values for this analysis </w:t>
      </w:r>
      <w:r w:rsidR="002C1496">
        <w:t>should be interpreted with caution</w:t>
      </w:r>
      <w:r w:rsidR="008C4D6C" w:rsidRPr="00BD2844">
        <w:t>.</w:t>
      </w:r>
      <w:r w:rsidR="00C67E5B">
        <w:t xml:space="preserve"> The </w:t>
      </w:r>
      <w:r w:rsidR="002C1496">
        <w:t xml:space="preserve">PBAC noted </w:t>
      </w:r>
      <w:r w:rsidR="002C1496">
        <w:lastRenderedPageBreak/>
        <w:t xml:space="preserve">that </w:t>
      </w:r>
      <w:r w:rsidR="00C67E5B">
        <w:t>r</w:t>
      </w:r>
      <w:r w:rsidR="00610710" w:rsidRPr="00BD2844">
        <w:t xml:space="preserve">estricted mean survival time (RMST) </w:t>
      </w:r>
      <w:r w:rsidR="008C4D6C" w:rsidRPr="00BD2844">
        <w:t>analysis of OS for NIVO+IPI vs SORA/LEN showed that OS numerically favoured SORA/LEN up until 24 months</w:t>
      </w:r>
      <w:r w:rsidR="007C56A8">
        <w:t xml:space="preserve">, with </w:t>
      </w:r>
      <w:r w:rsidR="00185811">
        <w:t xml:space="preserve">results </w:t>
      </w:r>
      <w:r w:rsidR="00F607FE">
        <w:t>after</w:t>
      </w:r>
      <w:r w:rsidR="00F607FE" w:rsidRPr="00BD2844">
        <w:t xml:space="preserve"> </w:t>
      </w:r>
      <w:r w:rsidR="008C4D6C" w:rsidRPr="00BD2844">
        <w:t>24 months numerically favou</w:t>
      </w:r>
      <w:r w:rsidR="00185811">
        <w:t>ring</w:t>
      </w:r>
      <w:r w:rsidR="008C4D6C" w:rsidRPr="00BD2844">
        <w:t xml:space="preserve"> NIVO+IPI.</w:t>
      </w:r>
      <w:r w:rsidR="001B0DB0">
        <w:t xml:space="preserve"> </w:t>
      </w:r>
      <w:r w:rsidR="00141056">
        <w:t>Overall, the PBAC considered the</w:t>
      </w:r>
      <w:r w:rsidR="00B72EA2">
        <w:t xml:space="preserve"> magnitude of</w:t>
      </w:r>
      <w:r w:rsidR="00C522A3">
        <w:t xml:space="preserve"> </w:t>
      </w:r>
      <w:r w:rsidR="001D47CB" w:rsidRPr="00C522A3">
        <w:t>benefit</w:t>
      </w:r>
      <w:r w:rsidR="00E76B4F">
        <w:t xml:space="preserve"> in OS </w:t>
      </w:r>
      <w:r w:rsidR="001B3521">
        <w:t xml:space="preserve">of NIVO+IPI </w:t>
      </w:r>
      <w:r w:rsidR="00E76B4F">
        <w:t>over SORA/LEN in the CM-9DW trial was uncertain.</w:t>
      </w:r>
      <w:bookmarkEnd w:id="105"/>
      <w:r w:rsidR="00E76B4F">
        <w:t xml:space="preserve"> </w:t>
      </w:r>
      <w:r w:rsidR="008C4D6C" w:rsidRPr="00BD2844">
        <w:t xml:space="preserve"> </w:t>
      </w:r>
    </w:p>
    <w:p w14:paraId="302B3F04" w14:textId="0EF433E0" w:rsidR="002B7BAF" w:rsidRPr="00B56234" w:rsidRDefault="00FB1986" w:rsidP="001B4322">
      <w:pPr>
        <w:pStyle w:val="3-BodyText"/>
        <w:rPr>
          <w:rFonts w:eastAsia="Times New Roman" w:cs="Arial"/>
          <w:snapToGrid w:val="0"/>
          <w:szCs w:val="24"/>
          <w:lang w:val="en-GB"/>
        </w:rPr>
      </w:pPr>
      <w:r>
        <w:t xml:space="preserve">The clinical claim </w:t>
      </w:r>
      <w:r w:rsidR="00B76B63">
        <w:t xml:space="preserve">was based on </w:t>
      </w:r>
      <w:r w:rsidR="00AD6617">
        <w:t xml:space="preserve">ITCs </w:t>
      </w:r>
      <w:r w:rsidR="00902FF1">
        <w:t>between NIVO+IPI (informed by CM-9DW) and ATEZO+BEV</w:t>
      </w:r>
      <w:r w:rsidR="004A56EC">
        <w:t xml:space="preserve"> (informed by </w:t>
      </w:r>
      <w:r w:rsidR="00D53FDE">
        <w:t>IMBRAVE150)</w:t>
      </w:r>
      <w:r w:rsidR="007E4CE6">
        <w:t xml:space="preserve"> using </w:t>
      </w:r>
      <w:r w:rsidR="007E4CE6" w:rsidRPr="00BD2844">
        <w:t>the SORA/LEN</w:t>
      </w:r>
      <w:r w:rsidR="005A27B3">
        <w:t xml:space="preserve"> and SORA</w:t>
      </w:r>
      <w:r w:rsidR="007E4CE6" w:rsidRPr="00BD2844">
        <w:t xml:space="preserve"> arms</w:t>
      </w:r>
      <w:r w:rsidR="007E4CE6">
        <w:t xml:space="preserve"> </w:t>
      </w:r>
      <w:r w:rsidR="00BB152C">
        <w:t xml:space="preserve">as the common comparator. </w:t>
      </w:r>
      <w:r w:rsidR="00C03EFF">
        <w:t>The PBAC not</w:t>
      </w:r>
      <w:r w:rsidR="00D053EA">
        <w:t>ed there were</w:t>
      </w:r>
      <w:r w:rsidR="00C03EFF">
        <w:t xml:space="preserve"> </w:t>
      </w:r>
      <w:r w:rsidR="00701FBA" w:rsidRPr="006104B6">
        <w:t xml:space="preserve">transitivity issues </w:t>
      </w:r>
      <w:r w:rsidR="00D053EA">
        <w:t xml:space="preserve">between the trials including </w:t>
      </w:r>
      <w:r w:rsidR="00D053EA">
        <w:rPr>
          <w:iCs/>
        </w:rPr>
        <w:t>differences</w:t>
      </w:r>
      <w:r w:rsidR="00B42EC3" w:rsidRPr="00D8269C">
        <w:rPr>
          <w:iCs/>
        </w:rPr>
        <w:t xml:space="preserve"> in the comparator treatment regimen,</w:t>
      </w:r>
      <w:r w:rsidR="004C7504">
        <w:rPr>
          <w:iCs/>
        </w:rPr>
        <w:t xml:space="preserve"> in </w:t>
      </w:r>
      <w:r w:rsidR="00B42EC3" w:rsidRPr="00D8269C">
        <w:rPr>
          <w:iCs/>
        </w:rPr>
        <w:t>patient baseline characteristics</w:t>
      </w:r>
      <w:r w:rsidR="00C23420">
        <w:rPr>
          <w:iCs/>
        </w:rPr>
        <w:t xml:space="preserve">, </w:t>
      </w:r>
      <w:r w:rsidR="00B42EC3" w:rsidRPr="00D8269C">
        <w:rPr>
          <w:iCs/>
        </w:rPr>
        <w:t>duration of follow-up</w:t>
      </w:r>
      <w:r w:rsidR="00C23420">
        <w:rPr>
          <w:iCs/>
        </w:rPr>
        <w:t xml:space="preserve"> </w:t>
      </w:r>
      <w:proofErr w:type="gramStart"/>
      <w:r w:rsidR="00C23420">
        <w:rPr>
          <w:iCs/>
        </w:rPr>
        <w:t>and also</w:t>
      </w:r>
      <w:proofErr w:type="gramEnd"/>
      <w:r w:rsidR="00C23420">
        <w:rPr>
          <w:iCs/>
        </w:rPr>
        <w:t xml:space="preserve"> in event rates </w:t>
      </w:r>
      <w:r w:rsidR="00C82394">
        <w:rPr>
          <w:iCs/>
        </w:rPr>
        <w:t xml:space="preserve">across the common reference groups (see paragraph </w:t>
      </w:r>
      <w:r w:rsidR="009C2FC2">
        <w:rPr>
          <w:iCs/>
        </w:rPr>
        <w:fldChar w:fldCharType="begin"/>
      </w:r>
      <w:r w:rsidR="009C2FC2">
        <w:rPr>
          <w:iCs/>
        </w:rPr>
        <w:instrText xml:space="preserve"> REF _Ref205556595 \r \h </w:instrText>
      </w:r>
      <w:r w:rsidR="009C2FC2">
        <w:rPr>
          <w:iCs/>
        </w:rPr>
      </w:r>
      <w:r w:rsidR="009C2FC2">
        <w:rPr>
          <w:iCs/>
        </w:rPr>
        <w:fldChar w:fldCharType="separate"/>
      </w:r>
      <w:r w:rsidR="008C7D22">
        <w:rPr>
          <w:iCs/>
        </w:rPr>
        <w:t>6.46</w:t>
      </w:r>
      <w:r w:rsidR="009C2FC2">
        <w:rPr>
          <w:iCs/>
        </w:rPr>
        <w:fldChar w:fldCharType="end"/>
      </w:r>
      <w:r w:rsidR="009C2FC2">
        <w:rPr>
          <w:iCs/>
        </w:rPr>
        <w:t>)</w:t>
      </w:r>
      <w:r w:rsidR="0001189D" w:rsidRPr="00D8269C">
        <w:rPr>
          <w:iCs/>
        </w:rPr>
        <w:t>.</w:t>
      </w:r>
      <w:r w:rsidR="000726FA" w:rsidRPr="00D8269C">
        <w:rPr>
          <w:iCs/>
        </w:rPr>
        <w:t xml:space="preserve"> </w:t>
      </w:r>
      <w:r w:rsidR="003F0E96">
        <w:t>The PBAC</w:t>
      </w:r>
      <w:r w:rsidR="004A6172">
        <w:t xml:space="preserve"> agreed with the ESC that </w:t>
      </w:r>
      <w:r w:rsidR="00A30318">
        <w:t xml:space="preserve">the </w:t>
      </w:r>
      <w:r w:rsidR="00A30318" w:rsidRPr="00BD2844">
        <w:rPr>
          <w:iCs/>
        </w:rPr>
        <w:t xml:space="preserve">differences </w:t>
      </w:r>
      <w:r w:rsidR="0001189D">
        <w:t>indicat</w:t>
      </w:r>
      <w:r w:rsidR="00A30318">
        <w:t>ed</w:t>
      </w:r>
      <w:r w:rsidR="0001189D">
        <w:t xml:space="preserve"> that </w:t>
      </w:r>
      <w:r w:rsidR="0001189D" w:rsidRPr="00BD2844">
        <w:t>patients in CM-9DW were likely to have a better prognosis than patients in IMBRAVE150</w:t>
      </w:r>
      <w:r w:rsidR="00A30318">
        <w:t>.</w:t>
      </w:r>
      <w:r w:rsidR="00DC2B2B">
        <w:t xml:space="preserve"> </w:t>
      </w:r>
      <w:r w:rsidR="009F2643">
        <w:t>T</w:t>
      </w:r>
      <w:r w:rsidR="006C7B22">
        <w:t xml:space="preserve">he </w:t>
      </w:r>
      <w:r w:rsidR="00A46628">
        <w:t xml:space="preserve">Bucher indirect comparison based on </w:t>
      </w:r>
      <w:r w:rsidR="000220FE">
        <w:t xml:space="preserve">the SORA/LEN arm of </w:t>
      </w:r>
      <w:r w:rsidR="009D5928">
        <w:t xml:space="preserve">the </w:t>
      </w:r>
      <w:r w:rsidR="000220FE">
        <w:t xml:space="preserve">CM-9DW </w:t>
      </w:r>
      <w:r w:rsidR="009D5928">
        <w:t xml:space="preserve">trial </w:t>
      </w:r>
      <w:r w:rsidR="00B6735B">
        <w:t>reported a</w:t>
      </w:r>
      <w:r w:rsidR="00D91C0C">
        <w:t xml:space="preserve">n OS </w:t>
      </w:r>
      <w:r w:rsidR="000220FE">
        <w:t>HR</w:t>
      </w:r>
      <w:r w:rsidR="00D91C0C">
        <w:t xml:space="preserve"> of </w:t>
      </w:r>
      <w:r w:rsidR="000220FE">
        <w:t>1.197</w:t>
      </w:r>
      <w:r w:rsidR="00D91C0C">
        <w:t xml:space="preserve"> (</w:t>
      </w:r>
      <w:r w:rsidR="002F26CD">
        <w:t>95% CI</w:t>
      </w:r>
      <w:r w:rsidR="002101A2">
        <w:t>:</w:t>
      </w:r>
      <w:r w:rsidR="002F26CD">
        <w:t xml:space="preserve"> 0.875, 1.638)</w:t>
      </w:r>
      <w:r w:rsidR="003355FD">
        <w:t xml:space="preserve"> </w:t>
      </w:r>
      <w:r w:rsidR="004E7EDE">
        <w:t xml:space="preserve">with the Committee noting </w:t>
      </w:r>
      <w:r w:rsidR="00466853">
        <w:t>t</w:t>
      </w:r>
      <w:r w:rsidR="00466853" w:rsidRPr="00BD2844">
        <w:t>h</w:t>
      </w:r>
      <w:r w:rsidR="00466853">
        <w:t xml:space="preserve">at the confidence intervals were wide with </w:t>
      </w:r>
      <w:r w:rsidR="00466853" w:rsidRPr="006F1EB5">
        <w:rPr>
          <w:snapToGrid w:val="0"/>
          <w:lang w:val="en-GB"/>
        </w:rPr>
        <w:t>point estimate results that favour the comparator</w:t>
      </w:r>
      <w:r w:rsidR="00466853">
        <w:t>.</w:t>
      </w:r>
      <w:r w:rsidR="00B47908">
        <w:t xml:space="preserve"> </w:t>
      </w:r>
      <w:r w:rsidR="001B4322">
        <w:rPr>
          <w:rFonts w:eastAsia="Times New Roman" w:cs="Arial"/>
          <w:snapToGrid w:val="0"/>
          <w:szCs w:val="24"/>
          <w:lang w:val="en-GB"/>
        </w:rPr>
        <w:t>The PBAC noted similar results were reported for the ITC</w:t>
      </w:r>
      <w:r w:rsidR="002B7BAF">
        <w:t xml:space="preserve"> based on the SORA subgroup of the SORA/LEN arm of the CM-9DW trial </w:t>
      </w:r>
      <w:r w:rsidR="001B4322">
        <w:t>with</w:t>
      </w:r>
      <w:r w:rsidR="002B7BAF">
        <w:t xml:space="preserve"> an OS HR of </w:t>
      </w:r>
      <w:r w:rsidR="002B7BAF" w:rsidRPr="00BD2844">
        <w:t>1.061 (95% CI: 0.649, 1.622).</w:t>
      </w:r>
      <w:r w:rsidR="001B4322">
        <w:t xml:space="preserve"> </w:t>
      </w:r>
      <w:r w:rsidR="00011C25">
        <w:t xml:space="preserve">The PBAC agreed with the ESC that the </w:t>
      </w:r>
      <w:r w:rsidR="0057654F">
        <w:t xml:space="preserve">small sample size </w:t>
      </w:r>
      <w:r w:rsidR="00B8117E">
        <w:t xml:space="preserve">and post-hoc nature of the </w:t>
      </w:r>
      <w:r w:rsidR="00011C25">
        <w:t xml:space="preserve">SORA subgroup ITC </w:t>
      </w:r>
      <w:r w:rsidR="00B8117E">
        <w:t>further increased the uncertainty</w:t>
      </w:r>
      <w:r w:rsidR="00BC0897">
        <w:t xml:space="preserve">. </w:t>
      </w:r>
      <w:r w:rsidR="00AF31A3">
        <w:t>T</w:t>
      </w:r>
      <w:r w:rsidR="00F029E5">
        <w:t xml:space="preserve">he PBAC considered </w:t>
      </w:r>
      <w:r w:rsidR="00726D14">
        <w:t xml:space="preserve">that </w:t>
      </w:r>
      <w:r w:rsidR="00031DA4">
        <w:t>the wide confidence intervals, with point estimates generally favouring the comparators</w:t>
      </w:r>
      <w:r w:rsidR="00945E9E">
        <w:t xml:space="preserve">, did </w:t>
      </w:r>
      <w:r w:rsidR="00291682">
        <w:t xml:space="preserve">not sufficiently rule out the possibility of a conclusion of inferiority. </w:t>
      </w:r>
      <w:r w:rsidR="00CB60F5">
        <w:t xml:space="preserve">Overall, the PBAC considered that the clinical claim of non-inferior efficacy versus ATEZ+BEV was </w:t>
      </w:r>
      <w:r w:rsidR="00B56234">
        <w:t xml:space="preserve">not adequately supported by the evidence provided in the submission. </w:t>
      </w:r>
    </w:p>
    <w:p w14:paraId="7E4515AB" w14:textId="26B94316" w:rsidR="00B56234" w:rsidRPr="001B4322" w:rsidRDefault="0067215C" w:rsidP="001B4322">
      <w:pPr>
        <w:pStyle w:val="3-BodyText"/>
        <w:rPr>
          <w:rFonts w:eastAsia="Times New Roman" w:cs="Arial"/>
          <w:snapToGrid w:val="0"/>
          <w:szCs w:val="24"/>
          <w:lang w:val="en-GB"/>
        </w:rPr>
      </w:pPr>
      <w:r>
        <w:rPr>
          <w:rFonts w:eastAsia="Times New Roman" w:cs="Arial"/>
          <w:snapToGrid w:val="0"/>
          <w:szCs w:val="24"/>
          <w:lang w:val="en-GB"/>
        </w:rPr>
        <w:t xml:space="preserve">The PBAC noted that a claim of non-inferior efficacy was also </w:t>
      </w:r>
      <w:r w:rsidR="007846C1">
        <w:rPr>
          <w:rFonts w:eastAsia="Times New Roman" w:cs="Arial"/>
          <w:snapToGrid w:val="0"/>
          <w:szCs w:val="24"/>
          <w:lang w:val="en-GB"/>
        </w:rPr>
        <w:t xml:space="preserve">made against </w:t>
      </w:r>
      <w:r w:rsidR="00C67506">
        <w:rPr>
          <w:rFonts w:eastAsia="Times New Roman" w:cs="Arial"/>
          <w:snapToGrid w:val="0"/>
          <w:szCs w:val="24"/>
          <w:lang w:val="en-GB"/>
        </w:rPr>
        <w:t>the</w:t>
      </w:r>
      <w:r w:rsidR="007846C1">
        <w:rPr>
          <w:rFonts w:eastAsia="Times New Roman" w:cs="Arial"/>
          <w:snapToGrid w:val="0"/>
          <w:szCs w:val="24"/>
          <w:lang w:val="en-GB"/>
        </w:rPr>
        <w:t xml:space="preserve"> near market comparator</w:t>
      </w:r>
      <w:r w:rsidR="00C67506">
        <w:rPr>
          <w:rFonts w:eastAsia="Times New Roman" w:cs="Arial"/>
          <w:snapToGrid w:val="0"/>
          <w:szCs w:val="24"/>
          <w:lang w:val="en-GB"/>
        </w:rPr>
        <w:t>, with a secondary ITC</w:t>
      </w:r>
      <w:r w:rsidR="002C6427">
        <w:rPr>
          <w:rFonts w:eastAsia="Times New Roman" w:cs="Arial"/>
          <w:snapToGrid w:val="0"/>
          <w:szCs w:val="24"/>
          <w:lang w:val="en-GB"/>
        </w:rPr>
        <w:t xml:space="preserve"> comparing NIVO+IPI </w:t>
      </w:r>
      <w:r w:rsidR="00E44CEF">
        <w:t xml:space="preserve">(informed by CM-9DW) </w:t>
      </w:r>
      <w:r w:rsidR="002C6427">
        <w:rPr>
          <w:rFonts w:eastAsia="Times New Roman" w:cs="Arial"/>
          <w:snapToGrid w:val="0"/>
          <w:szCs w:val="24"/>
          <w:lang w:val="en-GB"/>
        </w:rPr>
        <w:t xml:space="preserve">with STRIDE </w:t>
      </w:r>
      <w:r w:rsidR="00E44CEF">
        <w:rPr>
          <w:rFonts w:eastAsia="Times New Roman" w:cs="Arial"/>
          <w:snapToGrid w:val="0"/>
          <w:szCs w:val="24"/>
          <w:lang w:val="en-GB"/>
        </w:rPr>
        <w:t xml:space="preserve">(informed by </w:t>
      </w:r>
      <w:r w:rsidR="00B9465C">
        <w:rPr>
          <w:rFonts w:eastAsia="Times New Roman" w:cs="Arial"/>
          <w:snapToGrid w:val="0"/>
          <w:szCs w:val="24"/>
          <w:lang w:val="en-GB"/>
        </w:rPr>
        <w:t xml:space="preserve">HIMALAYA) </w:t>
      </w:r>
      <w:r w:rsidR="002C6427">
        <w:rPr>
          <w:rFonts w:eastAsia="Times New Roman" w:cs="Arial"/>
          <w:snapToGrid w:val="0"/>
          <w:szCs w:val="24"/>
          <w:lang w:val="en-GB"/>
        </w:rPr>
        <w:t>also included in the submission.</w:t>
      </w:r>
      <w:r w:rsidR="005078AD">
        <w:rPr>
          <w:rFonts w:eastAsia="Times New Roman" w:cs="Arial"/>
          <w:snapToGrid w:val="0"/>
          <w:szCs w:val="24"/>
          <w:lang w:val="en-GB"/>
        </w:rPr>
        <w:t xml:space="preserve"> </w:t>
      </w:r>
      <w:r w:rsidR="00893F0F" w:rsidRPr="00BD2844">
        <w:rPr>
          <w:iCs/>
        </w:rPr>
        <w:t>The</w:t>
      </w:r>
      <w:r w:rsidR="00893F0F">
        <w:rPr>
          <w:iCs/>
        </w:rPr>
        <w:t xml:space="preserve"> PBAC noted the</w:t>
      </w:r>
      <w:r w:rsidR="00893F0F" w:rsidRPr="00BD2844">
        <w:rPr>
          <w:iCs/>
        </w:rPr>
        <w:t xml:space="preserve"> </w:t>
      </w:r>
      <w:r w:rsidR="00D63E1A">
        <w:rPr>
          <w:iCs/>
        </w:rPr>
        <w:t xml:space="preserve">ITC based on the </w:t>
      </w:r>
      <w:r w:rsidR="00893F0F" w:rsidRPr="00BD2844">
        <w:rPr>
          <w:iCs/>
        </w:rPr>
        <w:t>SORA/LEN</w:t>
      </w:r>
      <w:r w:rsidR="00D63E1A">
        <w:rPr>
          <w:iCs/>
        </w:rPr>
        <w:t xml:space="preserve"> arm of the CM-9DW trial </w:t>
      </w:r>
      <w:r w:rsidR="00D92407">
        <w:rPr>
          <w:iCs/>
        </w:rPr>
        <w:t xml:space="preserve">reported </w:t>
      </w:r>
      <w:r w:rsidR="00893F0F" w:rsidRPr="00BD2844">
        <w:rPr>
          <w:iCs/>
        </w:rPr>
        <w:t>a HR</w:t>
      </w:r>
      <w:r w:rsidR="00D92407">
        <w:rPr>
          <w:iCs/>
        </w:rPr>
        <w:t xml:space="preserve"> of </w:t>
      </w:r>
      <w:r w:rsidR="00893F0F" w:rsidRPr="00BD2844">
        <w:rPr>
          <w:iCs/>
        </w:rPr>
        <w:t xml:space="preserve">1.013 </w:t>
      </w:r>
      <w:r w:rsidR="00D92407">
        <w:rPr>
          <w:iCs/>
        </w:rPr>
        <w:t>(</w:t>
      </w:r>
      <w:r w:rsidR="00893F0F" w:rsidRPr="00BD2844">
        <w:rPr>
          <w:iCs/>
        </w:rPr>
        <w:t>95% CI: 0.788</w:t>
      </w:r>
      <w:r w:rsidR="00D92407">
        <w:rPr>
          <w:iCs/>
        </w:rPr>
        <w:t xml:space="preserve">, </w:t>
      </w:r>
      <w:r w:rsidR="00893F0F" w:rsidRPr="00BD2844">
        <w:rPr>
          <w:iCs/>
        </w:rPr>
        <w:t>1.302</w:t>
      </w:r>
      <w:r w:rsidR="00D92407">
        <w:rPr>
          <w:iCs/>
        </w:rPr>
        <w:t>)</w:t>
      </w:r>
      <w:r w:rsidR="00893F0F" w:rsidRPr="00BD2844">
        <w:rPr>
          <w:iCs/>
        </w:rPr>
        <w:t xml:space="preserve">, </w:t>
      </w:r>
      <w:r w:rsidR="00413636">
        <w:rPr>
          <w:iCs/>
        </w:rPr>
        <w:t xml:space="preserve">and </w:t>
      </w:r>
      <w:r w:rsidR="00893F0F" w:rsidRPr="00BD2844">
        <w:rPr>
          <w:iCs/>
        </w:rPr>
        <w:t xml:space="preserve">the SORA subgroup analysis reported a HR=0.897 </w:t>
      </w:r>
      <w:r w:rsidR="00D91C3A">
        <w:rPr>
          <w:iCs/>
        </w:rPr>
        <w:t>(</w:t>
      </w:r>
      <w:r w:rsidR="00893F0F" w:rsidRPr="00BD2844">
        <w:rPr>
          <w:iCs/>
        </w:rPr>
        <w:t>95% CI: 0.613, 1.314</w:t>
      </w:r>
      <w:r w:rsidR="00D91C3A">
        <w:rPr>
          <w:iCs/>
        </w:rPr>
        <w:t>)</w:t>
      </w:r>
      <w:r w:rsidR="00893F0F" w:rsidRPr="00BD2844">
        <w:rPr>
          <w:iCs/>
        </w:rPr>
        <w:t>.</w:t>
      </w:r>
      <w:r w:rsidR="00825861">
        <w:rPr>
          <w:iCs/>
        </w:rPr>
        <w:t xml:space="preserve"> </w:t>
      </w:r>
      <w:r w:rsidR="006C2D10">
        <w:rPr>
          <w:iCs/>
        </w:rPr>
        <w:t xml:space="preserve">In addition to the concerns outlined in paragraph </w:t>
      </w:r>
      <w:r w:rsidR="006C2D10">
        <w:rPr>
          <w:iCs/>
        </w:rPr>
        <w:fldChar w:fldCharType="begin"/>
      </w:r>
      <w:r w:rsidR="006C2D10">
        <w:rPr>
          <w:iCs/>
        </w:rPr>
        <w:instrText xml:space="preserve"> REF _Ref205559783 \r \h </w:instrText>
      </w:r>
      <w:r w:rsidR="006C2D10">
        <w:rPr>
          <w:iCs/>
        </w:rPr>
      </w:r>
      <w:r w:rsidR="006C2D10">
        <w:rPr>
          <w:iCs/>
        </w:rPr>
        <w:fldChar w:fldCharType="separate"/>
      </w:r>
      <w:r w:rsidR="008C7D22">
        <w:rPr>
          <w:iCs/>
        </w:rPr>
        <w:t>7.5</w:t>
      </w:r>
      <w:r w:rsidR="006C2D10">
        <w:rPr>
          <w:iCs/>
        </w:rPr>
        <w:fldChar w:fldCharType="end"/>
      </w:r>
      <w:r w:rsidR="006C2D10">
        <w:rPr>
          <w:iCs/>
        </w:rPr>
        <w:t xml:space="preserve"> regarding the </w:t>
      </w:r>
      <w:r w:rsidR="00070E10">
        <w:rPr>
          <w:iCs/>
        </w:rPr>
        <w:t xml:space="preserve">OS results of the </w:t>
      </w:r>
      <w:r w:rsidR="006C2D10">
        <w:rPr>
          <w:iCs/>
        </w:rPr>
        <w:t>CM-</w:t>
      </w:r>
      <w:r w:rsidR="00070E10">
        <w:rPr>
          <w:iCs/>
        </w:rPr>
        <w:t xml:space="preserve">9DW trial, </w:t>
      </w:r>
      <w:r w:rsidR="004A5F59">
        <w:rPr>
          <w:iCs/>
        </w:rPr>
        <w:t xml:space="preserve">the PBAC </w:t>
      </w:r>
      <w:r w:rsidR="00FF677F">
        <w:rPr>
          <w:iCs/>
        </w:rPr>
        <w:t>noted</w:t>
      </w:r>
      <w:r w:rsidR="004214BD">
        <w:rPr>
          <w:iCs/>
        </w:rPr>
        <w:t xml:space="preserve"> there were transitivity issues </w:t>
      </w:r>
      <w:r w:rsidR="00E44CEF">
        <w:rPr>
          <w:iCs/>
        </w:rPr>
        <w:t>between the trials in this comparison</w:t>
      </w:r>
      <w:r w:rsidR="006C2D10">
        <w:rPr>
          <w:iCs/>
        </w:rPr>
        <w:t xml:space="preserve"> </w:t>
      </w:r>
      <w:r w:rsidR="00B24186">
        <w:rPr>
          <w:iCs/>
        </w:rPr>
        <w:t xml:space="preserve">(see paragraph </w:t>
      </w:r>
      <w:r w:rsidR="00B24186">
        <w:rPr>
          <w:iCs/>
        </w:rPr>
        <w:fldChar w:fldCharType="begin"/>
      </w:r>
      <w:r w:rsidR="00B24186">
        <w:rPr>
          <w:iCs/>
        </w:rPr>
        <w:instrText xml:space="preserve"> REF _Ref205556595 \r \h </w:instrText>
      </w:r>
      <w:r w:rsidR="00B24186">
        <w:rPr>
          <w:iCs/>
        </w:rPr>
      </w:r>
      <w:r w:rsidR="00B24186">
        <w:rPr>
          <w:iCs/>
        </w:rPr>
        <w:fldChar w:fldCharType="separate"/>
      </w:r>
      <w:r w:rsidR="008C7D22">
        <w:rPr>
          <w:iCs/>
        </w:rPr>
        <w:t>6.46</w:t>
      </w:r>
      <w:r w:rsidR="00B24186">
        <w:rPr>
          <w:iCs/>
        </w:rPr>
        <w:fldChar w:fldCharType="end"/>
      </w:r>
      <w:r w:rsidR="00AF4F89">
        <w:rPr>
          <w:iCs/>
        </w:rPr>
        <w:t xml:space="preserve"> and</w:t>
      </w:r>
      <w:r w:rsidR="00004178">
        <w:rPr>
          <w:iCs/>
        </w:rPr>
        <w:t xml:space="preserve"> </w:t>
      </w:r>
      <w:r w:rsidR="009E4185">
        <w:rPr>
          <w:iCs/>
        </w:rPr>
        <w:fldChar w:fldCharType="begin"/>
      </w:r>
      <w:r w:rsidR="009E4185">
        <w:rPr>
          <w:iCs/>
        </w:rPr>
        <w:instrText xml:space="preserve"> REF _Ref205562105 \r \h </w:instrText>
      </w:r>
      <w:r w:rsidR="009E4185">
        <w:rPr>
          <w:iCs/>
        </w:rPr>
      </w:r>
      <w:r w:rsidR="009E4185">
        <w:rPr>
          <w:iCs/>
        </w:rPr>
        <w:fldChar w:fldCharType="separate"/>
      </w:r>
      <w:r w:rsidR="008C7D22">
        <w:rPr>
          <w:iCs/>
        </w:rPr>
        <w:t>6.30</w:t>
      </w:r>
      <w:r w:rsidR="009E4185">
        <w:rPr>
          <w:iCs/>
        </w:rPr>
        <w:fldChar w:fldCharType="end"/>
      </w:r>
      <w:r w:rsidR="009E4185">
        <w:rPr>
          <w:iCs/>
        </w:rPr>
        <w:t>)</w:t>
      </w:r>
      <w:r w:rsidR="00B24186" w:rsidRPr="00D8269C">
        <w:rPr>
          <w:iCs/>
        </w:rPr>
        <w:t>.</w:t>
      </w:r>
      <w:r w:rsidR="005A77AC">
        <w:rPr>
          <w:iCs/>
        </w:rPr>
        <w:t xml:space="preserve"> The PBAC</w:t>
      </w:r>
      <w:r w:rsidR="006C1C27">
        <w:rPr>
          <w:iCs/>
        </w:rPr>
        <w:t xml:space="preserve"> </w:t>
      </w:r>
      <w:r w:rsidR="000672D0">
        <w:rPr>
          <w:iCs/>
        </w:rPr>
        <w:t xml:space="preserve">agreed with the ESC that, although the point estimate in the </w:t>
      </w:r>
      <w:r w:rsidR="0048556F">
        <w:rPr>
          <w:iCs/>
        </w:rPr>
        <w:t xml:space="preserve">SORA subgroup analysis was numerically favourable it was based on a post-hoc analysis of a subgroup with a small sample size. Overall, </w:t>
      </w:r>
      <w:r w:rsidR="006C1C27">
        <w:rPr>
          <w:iCs/>
        </w:rPr>
        <w:t xml:space="preserve">agreed with the </w:t>
      </w:r>
      <w:r w:rsidR="00C41050">
        <w:rPr>
          <w:iCs/>
        </w:rPr>
        <w:t>ESC that the point estimates were smaller than for the ATEZO+BEV comparison</w:t>
      </w:r>
      <w:r w:rsidR="00082389">
        <w:rPr>
          <w:iCs/>
        </w:rPr>
        <w:t xml:space="preserve"> </w:t>
      </w:r>
      <w:r w:rsidR="00B861B3">
        <w:rPr>
          <w:iCs/>
        </w:rPr>
        <w:t>but</w:t>
      </w:r>
      <w:r w:rsidR="002B2BCC">
        <w:rPr>
          <w:iCs/>
        </w:rPr>
        <w:t xml:space="preserve"> the confidence intervals remained wide</w:t>
      </w:r>
      <w:r w:rsidR="00E96C74">
        <w:rPr>
          <w:iCs/>
        </w:rPr>
        <w:t>,</w:t>
      </w:r>
      <w:r w:rsidR="002B2BCC">
        <w:rPr>
          <w:iCs/>
        </w:rPr>
        <w:t xml:space="preserve"> and considered that </w:t>
      </w:r>
      <w:r w:rsidR="00D66DFD">
        <w:rPr>
          <w:iCs/>
        </w:rPr>
        <w:t>a claim of non-inferior efficacy versus STRIDE was not adequately supported by the evidence provided in the submission.</w:t>
      </w:r>
      <w:r w:rsidR="00B861B3">
        <w:rPr>
          <w:iCs/>
        </w:rPr>
        <w:t xml:space="preserve"> </w:t>
      </w:r>
      <w:r w:rsidR="009E4185">
        <w:rPr>
          <w:iCs/>
        </w:rPr>
        <w:t xml:space="preserve"> </w:t>
      </w:r>
    </w:p>
    <w:p w14:paraId="67C79248" w14:textId="7CCE0105" w:rsidR="00510D02" w:rsidRPr="005A0273" w:rsidRDefault="00E05FA2" w:rsidP="005A0273">
      <w:pPr>
        <w:pStyle w:val="3-BodyText"/>
        <w:rPr>
          <w:iCs/>
        </w:rPr>
      </w:pPr>
      <w:r w:rsidRPr="00BA4B18">
        <w:rPr>
          <w:iCs/>
        </w:rPr>
        <w:t xml:space="preserve">The </w:t>
      </w:r>
      <w:r w:rsidR="006104B6" w:rsidRPr="00BA4B18">
        <w:rPr>
          <w:iCs/>
        </w:rPr>
        <w:t xml:space="preserve">PBAC </w:t>
      </w:r>
      <w:r w:rsidR="008249A6" w:rsidRPr="00BA4B18">
        <w:rPr>
          <w:iCs/>
        </w:rPr>
        <w:t xml:space="preserve">noted the </w:t>
      </w:r>
      <w:r w:rsidR="00291715">
        <w:rPr>
          <w:iCs/>
        </w:rPr>
        <w:t xml:space="preserve">increased </w:t>
      </w:r>
      <w:r w:rsidR="006B30AD" w:rsidRPr="00BD2844">
        <w:t>proportion of serious treatment-related adverse events (28.3% v</w:t>
      </w:r>
      <w:r w:rsidR="00D07480">
        <w:t>ersu</w:t>
      </w:r>
      <w:r w:rsidR="006B30AD" w:rsidRPr="00BD2844">
        <w:t>s 14.5%)</w:t>
      </w:r>
      <w:r w:rsidR="000966A3">
        <w:t xml:space="preserve"> </w:t>
      </w:r>
      <w:r w:rsidR="009D13BB">
        <w:t xml:space="preserve">and </w:t>
      </w:r>
      <w:r w:rsidR="00D07480">
        <w:t>deaths due to study drug toxicity (3.6% versus</w:t>
      </w:r>
      <w:r w:rsidR="00912B7D">
        <w:t xml:space="preserve"> 0.9%) </w:t>
      </w:r>
      <w:r w:rsidR="000966A3">
        <w:t xml:space="preserve">in the NIVO+IPI arm </w:t>
      </w:r>
      <w:r w:rsidR="00912B7D">
        <w:t xml:space="preserve">compared to the SORA/LEN arm </w:t>
      </w:r>
      <w:r w:rsidR="000966A3">
        <w:t>of the CM-9DW trial</w:t>
      </w:r>
      <w:r w:rsidR="00912B7D">
        <w:t xml:space="preserve">. </w:t>
      </w:r>
      <w:r w:rsidR="006968D7">
        <w:t xml:space="preserve">The PBAC noted the </w:t>
      </w:r>
      <w:r w:rsidRPr="005A0273">
        <w:rPr>
          <w:iCs/>
        </w:rPr>
        <w:t xml:space="preserve">NIVO+IPI versus ATEZO+BEV ITC safety analysis showed no substantial differences between treatments based on all-cause and treatment-related AEs, all-cause and </w:t>
      </w:r>
      <w:r w:rsidRPr="005A0273">
        <w:rPr>
          <w:iCs/>
        </w:rPr>
        <w:lastRenderedPageBreak/>
        <w:t xml:space="preserve">treatment-related SAEs, AEs leading to discontinuation and deaths. </w:t>
      </w:r>
      <w:r w:rsidR="00AF65E2">
        <w:rPr>
          <w:iCs/>
        </w:rPr>
        <w:t>The PBAC noted a difference favouring STRIDE was noted for treatment</w:t>
      </w:r>
      <w:r w:rsidR="00413DD1">
        <w:rPr>
          <w:iCs/>
        </w:rPr>
        <w:t>-</w:t>
      </w:r>
      <w:r w:rsidR="00EF41D2">
        <w:rPr>
          <w:iCs/>
        </w:rPr>
        <w:t>related adverse events leading to discontinuation</w:t>
      </w:r>
      <w:r w:rsidR="00B9514D">
        <w:rPr>
          <w:iCs/>
        </w:rPr>
        <w:t>,</w:t>
      </w:r>
      <w:r w:rsidR="00EF41D2">
        <w:rPr>
          <w:iCs/>
        </w:rPr>
        <w:t xml:space="preserve"> </w:t>
      </w:r>
      <w:r w:rsidR="001A62E4">
        <w:rPr>
          <w:iCs/>
        </w:rPr>
        <w:t>but a review of</w:t>
      </w:r>
      <w:r w:rsidR="00BC119D">
        <w:rPr>
          <w:iCs/>
        </w:rPr>
        <w:t xml:space="preserve"> </w:t>
      </w:r>
      <w:r w:rsidR="00413DD1">
        <w:rPr>
          <w:iCs/>
        </w:rPr>
        <w:t>Grade 3-4 treatment-related adv</w:t>
      </w:r>
      <w:r w:rsidR="004A32A1">
        <w:rPr>
          <w:iCs/>
        </w:rPr>
        <w:t>erse events showed no difference</w:t>
      </w:r>
      <w:r w:rsidR="00B9514D">
        <w:rPr>
          <w:iCs/>
        </w:rPr>
        <w:t xml:space="preserve"> for</w:t>
      </w:r>
      <w:r w:rsidR="004A32A1">
        <w:rPr>
          <w:iCs/>
        </w:rPr>
        <w:t xml:space="preserve"> </w:t>
      </w:r>
      <w:r w:rsidR="00B9514D">
        <w:rPr>
          <w:iCs/>
        </w:rPr>
        <w:t>NIVO+IPI versus STRIDE</w:t>
      </w:r>
      <w:r w:rsidR="0043233A">
        <w:rPr>
          <w:iCs/>
        </w:rPr>
        <w:t>, except for AST increase</w:t>
      </w:r>
      <w:r w:rsidR="00B1732E">
        <w:rPr>
          <w:iCs/>
        </w:rPr>
        <w:t xml:space="preserve"> where there was a greater risk in the NIVO+IPI arm</w:t>
      </w:r>
      <w:r w:rsidR="00B9514D">
        <w:rPr>
          <w:iCs/>
        </w:rPr>
        <w:t xml:space="preserve">. </w:t>
      </w:r>
      <w:r w:rsidR="00C44B24" w:rsidRPr="005A0273">
        <w:rPr>
          <w:iCs/>
        </w:rPr>
        <w:t xml:space="preserve">The PBAC </w:t>
      </w:r>
      <w:r w:rsidRPr="005A0273">
        <w:rPr>
          <w:iCs/>
        </w:rPr>
        <w:t>considered the submission’s claim</w:t>
      </w:r>
      <w:r w:rsidR="005F6B31">
        <w:rPr>
          <w:iCs/>
        </w:rPr>
        <w:t>s</w:t>
      </w:r>
      <w:r w:rsidRPr="005A0273">
        <w:rPr>
          <w:iCs/>
        </w:rPr>
        <w:t xml:space="preserve"> of non-inferior safety of NIVO+IPI compared to</w:t>
      </w:r>
      <w:r w:rsidR="006A1962">
        <w:rPr>
          <w:iCs/>
        </w:rPr>
        <w:t xml:space="preserve"> either</w:t>
      </w:r>
      <w:r w:rsidR="005F6B31">
        <w:rPr>
          <w:iCs/>
        </w:rPr>
        <w:t xml:space="preserve"> </w:t>
      </w:r>
      <w:r w:rsidRPr="005A0273">
        <w:rPr>
          <w:iCs/>
        </w:rPr>
        <w:t xml:space="preserve">ATEZO+BEV </w:t>
      </w:r>
      <w:r w:rsidR="006A1962">
        <w:rPr>
          <w:iCs/>
        </w:rPr>
        <w:t>or</w:t>
      </w:r>
      <w:r w:rsidR="005F6B31">
        <w:rPr>
          <w:iCs/>
        </w:rPr>
        <w:t xml:space="preserve"> STRIDE were</w:t>
      </w:r>
      <w:r w:rsidRPr="005A0273">
        <w:rPr>
          <w:iCs/>
        </w:rPr>
        <w:t xml:space="preserve"> uncertain given the transitivity concerns identified</w:t>
      </w:r>
      <w:r w:rsidR="00577521">
        <w:rPr>
          <w:iCs/>
        </w:rPr>
        <w:t>.</w:t>
      </w:r>
      <w:r w:rsidR="00D35BC6">
        <w:rPr>
          <w:iCs/>
        </w:rPr>
        <w:t xml:space="preserve"> </w:t>
      </w:r>
    </w:p>
    <w:p w14:paraId="25A6E224" w14:textId="3E161792" w:rsidR="00E03BA6" w:rsidRDefault="00E03BA6" w:rsidP="00C81675">
      <w:pPr>
        <w:widowControl w:val="0"/>
        <w:numPr>
          <w:ilvl w:val="1"/>
          <w:numId w:val="4"/>
        </w:numPr>
        <w:spacing w:after="120"/>
        <w:rPr>
          <w:rFonts w:asciiTheme="minorHAnsi" w:hAnsiTheme="minorHAnsi"/>
          <w:bCs/>
          <w:snapToGrid w:val="0"/>
          <w:lang w:val="en-GB"/>
        </w:rPr>
      </w:pPr>
      <w:r>
        <w:rPr>
          <w:rFonts w:asciiTheme="minorHAnsi" w:hAnsiTheme="minorHAnsi"/>
          <w:bCs/>
          <w:snapToGrid w:val="0"/>
          <w:lang w:val="en-GB"/>
        </w:rPr>
        <w:t xml:space="preserve">The PBAC considered the </w:t>
      </w:r>
      <w:r w:rsidRPr="00BD2844">
        <w:t>cost-minimisation approach</w:t>
      </w:r>
      <w:r>
        <w:t xml:space="preserve"> and financial estimates were not relevant as the clinical claim was not accepted. </w:t>
      </w:r>
    </w:p>
    <w:p w14:paraId="4291AE1E" w14:textId="0BD5D707" w:rsidR="008550CB" w:rsidRPr="007D4707" w:rsidRDefault="008550CB" w:rsidP="00C81675">
      <w:pPr>
        <w:widowControl w:val="0"/>
        <w:numPr>
          <w:ilvl w:val="1"/>
          <w:numId w:val="4"/>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noted that this submission is eligible for an Independent Review. </w:t>
      </w:r>
    </w:p>
    <w:p w14:paraId="69D19DA5" w14:textId="77777777" w:rsidR="008550CB" w:rsidRPr="00525B39" w:rsidRDefault="008550CB" w:rsidP="008550CB">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040F2D1D" w14:textId="77777777" w:rsidR="008940E4" w:rsidRPr="001D3273" w:rsidRDefault="008550CB" w:rsidP="002000C7">
      <w:pPr>
        <w:spacing w:after="120"/>
        <w:rPr>
          <w:rFonts w:asciiTheme="minorHAnsi" w:hAnsiTheme="minorHAnsi"/>
          <w:sz w:val="22"/>
        </w:rPr>
      </w:pPr>
      <w:r>
        <w:rPr>
          <w:rFonts w:asciiTheme="minorHAnsi" w:hAnsiTheme="minorHAnsi"/>
          <w:bCs/>
          <w:snapToGrid w:val="0"/>
          <w:lang w:val="en-GB"/>
        </w:rPr>
        <w:t>Not recommended</w:t>
      </w:r>
      <w:bookmarkEnd w:id="85"/>
      <w:bookmarkEnd w:id="102"/>
      <w:bookmarkEnd w:id="103"/>
      <w:bookmarkEnd w:id="104"/>
    </w:p>
    <w:p w14:paraId="5542739F" w14:textId="77777777" w:rsidR="008940E4" w:rsidRDefault="008940E4" w:rsidP="008940E4">
      <w:pPr>
        <w:pStyle w:val="COMH1numbered"/>
        <w:numPr>
          <w:ilvl w:val="0"/>
          <w:numId w:val="0"/>
        </w:numPr>
        <w:ind w:left="720" w:hanging="720"/>
        <w:rPr>
          <w:bCs/>
          <w:lang w:val="en-GB"/>
        </w:rPr>
      </w:pPr>
      <w:r w:rsidRPr="00C07617">
        <w:t>9</w:t>
      </w:r>
      <w:r w:rsidRPr="00C07617">
        <w:tab/>
        <w:t>Context for Decision</w:t>
      </w:r>
    </w:p>
    <w:p w14:paraId="715A7C8A" w14:textId="77777777" w:rsidR="008940E4" w:rsidRPr="00311EEF" w:rsidRDefault="008940E4" w:rsidP="008940E4">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768BBE9" w14:textId="77777777" w:rsidR="008940E4" w:rsidRPr="00311EEF" w:rsidRDefault="008940E4" w:rsidP="008940E4">
      <w:pPr>
        <w:pStyle w:val="COMH1numbered"/>
        <w:numPr>
          <w:ilvl w:val="0"/>
          <w:numId w:val="0"/>
        </w:numPr>
        <w:ind w:left="720" w:hanging="720"/>
      </w:pPr>
      <w:r w:rsidRPr="00311EEF">
        <w:t>10</w:t>
      </w:r>
      <w:r>
        <w:tab/>
      </w:r>
      <w:r w:rsidRPr="00311EEF">
        <w:t>Sponsor’s Comment</w:t>
      </w:r>
    </w:p>
    <w:p w14:paraId="64B9D80E" w14:textId="322CD99C" w:rsidR="00FC676C" w:rsidRPr="000B46BD" w:rsidRDefault="00BC119D" w:rsidP="00BC119D">
      <w:pPr>
        <w:spacing w:after="120"/>
        <w:ind w:left="720"/>
        <w:rPr>
          <w:rFonts w:asciiTheme="minorHAnsi" w:hAnsiTheme="minorHAnsi"/>
          <w:bCs/>
        </w:rPr>
      </w:pPr>
      <w:r w:rsidRPr="00BC119D">
        <w:rPr>
          <w:rFonts w:asciiTheme="minorHAnsi" w:hAnsiTheme="minorHAnsi"/>
          <w:bCs/>
        </w:rPr>
        <w:t xml:space="preserve">Bristol Myers Squibb Australia is committed to working with the Department of Health, Disability and Ageing and the PBAC to bring this important treatment </w:t>
      </w:r>
      <w:r>
        <w:rPr>
          <w:rFonts w:asciiTheme="minorHAnsi" w:hAnsiTheme="minorHAnsi"/>
          <w:bCs/>
        </w:rPr>
        <w:t>option</w:t>
      </w:r>
      <w:r w:rsidRPr="00BC119D">
        <w:rPr>
          <w:rFonts w:asciiTheme="minorHAnsi" w:hAnsiTheme="minorHAnsi"/>
          <w:bCs/>
        </w:rPr>
        <w:t xml:space="preserve"> to Australian patients with </w:t>
      </w:r>
      <w:r w:rsidRPr="00BD2844">
        <w:t>advanced (unresectable) Barcelona Clinic Liver Cancer (BCLC) Stage A, Stage B or Stage C hepatocellular carcinoma (HCC)</w:t>
      </w:r>
      <w:r>
        <w:t xml:space="preserve">. </w:t>
      </w:r>
    </w:p>
    <w:sectPr w:rsidR="00FC676C" w:rsidRPr="000B46BD" w:rsidSect="009753DB">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78D4" w14:textId="77777777" w:rsidR="00916B14" w:rsidRDefault="00916B14" w:rsidP="00124A51">
      <w:r>
        <w:separator/>
      </w:r>
    </w:p>
    <w:p w14:paraId="632F4517" w14:textId="77777777" w:rsidR="00916B14" w:rsidRDefault="00916B14"/>
  </w:endnote>
  <w:endnote w:type="continuationSeparator" w:id="0">
    <w:p w14:paraId="1E0DE50D" w14:textId="77777777" w:rsidR="00916B14" w:rsidRDefault="00916B14" w:rsidP="00124A51">
      <w:r>
        <w:continuationSeparator/>
      </w:r>
    </w:p>
    <w:p w14:paraId="1618EC68" w14:textId="77777777" w:rsidR="00916B14" w:rsidRDefault="00916B14"/>
  </w:endnote>
  <w:endnote w:type="continuationNotice" w:id="1">
    <w:p w14:paraId="7C1A39F9" w14:textId="77777777" w:rsidR="00916B14" w:rsidRDefault="00916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TimesNewRoman">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07A5" w14:textId="381490EA" w:rsidR="005D4769" w:rsidRDefault="00596966">
    <w:pPr>
      <w:pStyle w:val="Footer"/>
    </w:pPr>
    <w:r>
      <w:rPr>
        <w:noProof/>
      </w:rPr>
      <mc:AlternateContent>
        <mc:Choice Requires="wps">
          <w:drawing>
            <wp:anchor distT="0" distB="0" distL="0" distR="0" simplePos="0" relativeHeight="251662336" behindDoc="0" locked="0" layoutInCell="1" allowOverlap="1" wp14:anchorId="0808232C" wp14:editId="319739A4">
              <wp:simplePos x="635" y="635"/>
              <wp:positionH relativeFrom="page">
                <wp:align>center</wp:align>
              </wp:positionH>
              <wp:positionV relativeFrom="page">
                <wp:align>bottom</wp:align>
              </wp:positionV>
              <wp:extent cx="551815" cy="376555"/>
              <wp:effectExtent l="0" t="0" r="635" b="0"/>
              <wp:wrapNone/>
              <wp:docPr id="19314108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7E9C5" w14:textId="6FCFD041" w:rsidR="00596966" w:rsidRPr="00596966" w:rsidRDefault="00596966" w:rsidP="00596966">
                          <w:pPr>
                            <w:rPr>
                              <w:rFonts w:eastAsia="Calibri" w:cs="Calibri"/>
                              <w:noProof/>
                              <w:color w:val="FF0000"/>
                            </w:rPr>
                          </w:pPr>
                          <w:r w:rsidRPr="0059696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08232C"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6F7E9C5" w14:textId="6FCFD041" w:rsidR="00596966" w:rsidRPr="00596966" w:rsidRDefault="00596966" w:rsidP="00596966">
                    <w:pPr>
                      <w:rPr>
                        <w:rFonts w:eastAsia="Calibri" w:cs="Calibri"/>
                        <w:noProof/>
                        <w:color w:val="FF0000"/>
                      </w:rPr>
                    </w:pPr>
                    <w:r w:rsidRPr="00596966">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8CC2" w14:textId="1D5606DA" w:rsidR="00751599" w:rsidRDefault="00596966" w:rsidP="00751599">
    <w:pPr>
      <w:pStyle w:val="Footer"/>
    </w:pPr>
    <w:r>
      <w:rPr>
        <w:noProof/>
      </w:rPr>
      <mc:AlternateContent>
        <mc:Choice Requires="wps">
          <w:drawing>
            <wp:anchor distT="0" distB="0" distL="0" distR="0" simplePos="0" relativeHeight="251663360" behindDoc="0" locked="0" layoutInCell="1" allowOverlap="1" wp14:anchorId="0851AA6C" wp14:editId="735E48E5">
              <wp:simplePos x="635" y="635"/>
              <wp:positionH relativeFrom="page">
                <wp:align>center</wp:align>
              </wp:positionH>
              <wp:positionV relativeFrom="page">
                <wp:align>bottom</wp:align>
              </wp:positionV>
              <wp:extent cx="551815" cy="376555"/>
              <wp:effectExtent l="0" t="0" r="635" b="0"/>
              <wp:wrapNone/>
              <wp:docPr id="18841775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4C7BB75" w14:textId="0D6F589D" w:rsidR="00596966" w:rsidRPr="00596966" w:rsidRDefault="00596966" w:rsidP="00596966">
                          <w:pPr>
                            <w:rPr>
                              <w:rFonts w:eastAsia="Calibri" w:cs="Calibri"/>
                              <w:noProof/>
                              <w:color w:val="FF0000"/>
                            </w:rPr>
                          </w:pPr>
                          <w:r w:rsidRPr="0059696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1AA6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4C7BB75" w14:textId="0D6F589D" w:rsidR="00596966" w:rsidRPr="00596966" w:rsidRDefault="00596966" w:rsidP="00596966">
                    <w:pPr>
                      <w:rPr>
                        <w:rFonts w:eastAsia="Calibri" w:cs="Calibri"/>
                        <w:noProof/>
                        <w:color w:val="FF0000"/>
                      </w:rPr>
                    </w:pPr>
                    <w:r w:rsidRPr="00596966">
                      <w:rPr>
                        <w:rFonts w:eastAsia="Calibri" w:cs="Calibri"/>
                        <w:noProof/>
                        <w:color w:val="FF0000"/>
                      </w:rPr>
                      <w:t>OFFICIAL</w:t>
                    </w:r>
                  </w:p>
                </w:txbxContent>
              </v:textbox>
              <w10:wrap anchorx="page" anchory="page"/>
            </v:shape>
          </w:pict>
        </mc:Fallback>
      </mc:AlternateContent>
    </w:r>
  </w:p>
  <w:sdt>
    <w:sdtPr>
      <w:id w:val="95759956"/>
      <w:docPartObj>
        <w:docPartGallery w:val="Page Numbers (Bottom of Page)"/>
        <w:docPartUnique/>
      </w:docPartObj>
    </w:sdtPr>
    <w:sdtEndPr>
      <w:rPr>
        <w:b/>
        <w:bCs/>
        <w:noProof/>
      </w:rPr>
    </w:sdtEndPr>
    <w:sdtContent>
      <w:p w14:paraId="37484CD3" w14:textId="70BC0224" w:rsidR="00D843F2" w:rsidRPr="002C5E04" w:rsidRDefault="00751599" w:rsidP="002C5E04">
        <w:pPr>
          <w:pStyle w:val="Footer"/>
          <w:jc w:val="center"/>
          <w:rPr>
            <w:b/>
            <w:bCs/>
          </w:rPr>
        </w:pPr>
        <w:r w:rsidRPr="003B50A6">
          <w:rPr>
            <w:b/>
            <w:bCs/>
          </w:rPr>
          <w:fldChar w:fldCharType="begin"/>
        </w:r>
        <w:r w:rsidRPr="003B50A6">
          <w:rPr>
            <w:b/>
            <w:bCs/>
          </w:rPr>
          <w:instrText xml:space="preserve"> PAGE   \* MERGEFORMAT </w:instrText>
        </w:r>
        <w:r w:rsidRPr="003B50A6">
          <w:rPr>
            <w:b/>
            <w:bCs/>
          </w:rPr>
          <w:fldChar w:fldCharType="separate"/>
        </w:r>
        <w:r>
          <w:rPr>
            <w:b/>
            <w:bCs/>
          </w:rPr>
          <w:t>1</w:t>
        </w:r>
        <w:r w:rsidRPr="003B50A6">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88F0" w14:textId="50AFDA2F" w:rsidR="005D4769" w:rsidRDefault="00596966">
    <w:pPr>
      <w:pStyle w:val="Footer"/>
    </w:pPr>
    <w:r>
      <w:rPr>
        <w:noProof/>
      </w:rPr>
      <mc:AlternateContent>
        <mc:Choice Requires="wps">
          <w:drawing>
            <wp:anchor distT="0" distB="0" distL="0" distR="0" simplePos="0" relativeHeight="251661312" behindDoc="0" locked="0" layoutInCell="1" allowOverlap="1" wp14:anchorId="0552302B" wp14:editId="6DABBA09">
              <wp:simplePos x="635" y="635"/>
              <wp:positionH relativeFrom="page">
                <wp:align>center</wp:align>
              </wp:positionH>
              <wp:positionV relativeFrom="page">
                <wp:align>bottom</wp:align>
              </wp:positionV>
              <wp:extent cx="551815" cy="376555"/>
              <wp:effectExtent l="0" t="0" r="635" b="0"/>
              <wp:wrapNone/>
              <wp:docPr id="14186387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021281" w14:textId="7B8CAD29" w:rsidR="00596966" w:rsidRPr="00596966" w:rsidRDefault="00596966" w:rsidP="00596966">
                          <w:pPr>
                            <w:rPr>
                              <w:rFonts w:eastAsia="Calibri" w:cs="Calibri"/>
                              <w:noProof/>
                              <w:color w:val="FF0000"/>
                            </w:rPr>
                          </w:pPr>
                          <w:r w:rsidRPr="00596966">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2302B"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5021281" w14:textId="7B8CAD29" w:rsidR="00596966" w:rsidRPr="00596966" w:rsidRDefault="00596966" w:rsidP="00596966">
                    <w:pPr>
                      <w:rPr>
                        <w:rFonts w:eastAsia="Calibri" w:cs="Calibri"/>
                        <w:noProof/>
                        <w:color w:val="FF0000"/>
                      </w:rPr>
                    </w:pPr>
                    <w:r w:rsidRPr="00596966">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12BB" w14:textId="77777777" w:rsidR="00916B14" w:rsidRDefault="00916B14" w:rsidP="00124A51">
      <w:r>
        <w:separator/>
      </w:r>
    </w:p>
    <w:p w14:paraId="00276030" w14:textId="77777777" w:rsidR="00916B14" w:rsidRDefault="00916B14"/>
  </w:footnote>
  <w:footnote w:type="continuationSeparator" w:id="0">
    <w:p w14:paraId="3362D555" w14:textId="77777777" w:rsidR="00916B14" w:rsidRDefault="00916B14" w:rsidP="00124A51">
      <w:r>
        <w:continuationSeparator/>
      </w:r>
    </w:p>
    <w:p w14:paraId="719EF0E2" w14:textId="77777777" w:rsidR="00916B14" w:rsidRDefault="00916B14"/>
  </w:footnote>
  <w:footnote w:type="continuationNotice" w:id="1">
    <w:p w14:paraId="0CD41AAC" w14:textId="77777777" w:rsidR="00916B14" w:rsidRDefault="00916B14"/>
  </w:footnote>
  <w:footnote w:id="2">
    <w:p w14:paraId="59317751" w14:textId="77777777" w:rsidR="00FC676C" w:rsidRDefault="00FC676C" w:rsidP="00FC676C">
      <w:pPr>
        <w:pStyle w:val="FootnoteText"/>
      </w:pPr>
      <w:r>
        <w:rPr>
          <w:rStyle w:val="FootnoteReference"/>
        </w:rPr>
        <w:footnoteRef/>
      </w:r>
      <w:r>
        <w:t xml:space="preserve"> </w:t>
      </w:r>
      <w:r w:rsidRPr="009E0C96">
        <w:t>AIHW (2024). https://www.aihw.gov.au/getmedia/ea870f59-a9e4-4772-8fa8-e1206b56a552/cancer-data-in-australia.pdf?v=20250107162604&amp;inline=true. Accessed February 25, 2025.</w:t>
      </w:r>
    </w:p>
  </w:footnote>
  <w:footnote w:id="3">
    <w:p w14:paraId="59BB4826" w14:textId="77777777" w:rsidR="00FC676C" w:rsidRPr="00FE426C" w:rsidRDefault="00FC676C" w:rsidP="00FC676C">
      <w:pPr>
        <w:pStyle w:val="EndNoteBibliography"/>
        <w:jc w:val="both"/>
        <w:rPr>
          <w:rFonts w:asciiTheme="minorHAnsi" w:hAnsiTheme="minorHAnsi" w:cstheme="minorHAnsi"/>
          <w:sz w:val="20"/>
          <w:szCs w:val="20"/>
        </w:rPr>
      </w:pPr>
      <w:r w:rsidRPr="00FE426C">
        <w:rPr>
          <w:rStyle w:val="FootnoteReference"/>
          <w:rFonts w:asciiTheme="minorHAnsi" w:hAnsiTheme="minorHAnsi" w:cstheme="minorHAnsi"/>
          <w:sz w:val="20"/>
          <w:szCs w:val="20"/>
        </w:rPr>
        <w:footnoteRef/>
      </w:r>
      <w:r w:rsidRPr="00FE426C">
        <w:rPr>
          <w:rFonts w:asciiTheme="minorHAnsi" w:hAnsiTheme="minorHAnsi" w:cstheme="minorHAnsi"/>
          <w:sz w:val="20"/>
          <w:szCs w:val="20"/>
        </w:rPr>
        <w:t xml:space="preserve"> </w:t>
      </w:r>
      <w:r w:rsidRPr="00FE426C">
        <w:rPr>
          <w:rFonts w:asciiTheme="minorHAnsi" w:hAnsiTheme="minorHAnsi" w:cstheme="minorHAnsi"/>
          <w:sz w:val="20"/>
          <w:szCs w:val="20"/>
          <w:lang w:val="nb-NO"/>
        </w:rPr>
        <w:t xml:space="preserve">Llovet JM, Kelley RK, Villanueva A, et al. </w:t>
      </w:r>
      <w:r w:rsidRPr="00FE426C">
        <w:rPr>
          <w:rFonts w:asciiTheme="minorHAnsi" w:hAnsiTheme="minorHAnsi" w:cstheme="minorHAnsi"/>
          <w:sz w:val="20"/>
          <w:szCs w:val="20"/>
        </w:rPr>
        <w:t xml:space="preserve">Hepatocellular carcinoma. </w:t>
      </w:r>
      <w:r w:rsidRPr="00FE426C">
        <w:rPr>
          <w:rFonts w:asciiTheme="minorHAnsi" w:hAnsiTheme="minorHAnsi" w:cstheme="minorHAnsi"/>
          <w:i/>
          <w:sz w:val="20"/>
          <w:szCs w:val="20"/>
        </w:rPr>
        <w:t>Nature Reviews Disease Primers</w:t>
      </w:r>
      <w:r w:rsidRPr="00FE426C">
        <w:rPr>
          <w:rFonts w:asciiTheme="minorHAnsi" w:hAnsiTheme="minorHAnsi" w:cstheme="minorHAnsi"/>
          <w:sz w:val="20"/>
          <w:szCs w:val="20"/>
        </w:rPr>
        <w:t>. 2021/01/21 2021;7(1):6. doi:10.1038/s41572-020-00240-3</w:t>
      </w:r>
    </w:p>
  </w:footnote>
  <w:footnote w:id="4">
    <w:p w14:paraId="3A7F2289" w14:textId="77777777" w:rsidR="00105841" w:rsidRDefault="00105841" w:rsidP="00105841">
      <w:pPr>
        <w:pStyle w:val="FootnoteText"/>
      </w:pPr>
      <w:r>
        <w:rPr>
          <w:rStyle w:val="FootnoteReference"/>
        </w:rPr>
        <w:footnoteRef/>
      </w:r>
      <w:r>
        <w:t xml:space="preserve"> </w:t>
      </w:r>
      <w:hyperlink r:id="rId1" w:tgtFrame="_blank" w:tooltip="https://onlinelibrary.wiley.com/doi/epdf/10.1002/jgh3.12793" w:history="1">
        <w:r w:rsidRPr="0004276B">
          <w:rPr>
            <w:rStyle w:val="Hyperlink"/>
          </w:rPr>
          <w:t>https://onlinelibrary.wiley.com/doi/epdf/10.1002/jgh3.12793</w:t>
        </w:r>
      </w:hyperlink>
    </w:p>
  </w:footnote>
  <w:footnote w:id="5">
    <w:p w14:paraId="6411D298" w14:textId="444AFE77" w:rsidR="00EF5DA2" w:rsidRPr="00BE5FD6" w:rsidRDefault="00EF5DA2">
      <w:pPr>
        <w:pStyle w:val="FootnoteText"/>
      </w:pPr>
      <w:r w:rsidRPr="00BE5FD6">
        <w:rPr>
          <w:rStyle w:val="FootnoteReference"/>
        </w:rPr>
        <w:footnoteRef/>
      </w:r>
      <w:r w:rsidRPr="00BE5FD6">
        <w:t xml:space="preserve"> </w:t>
      </w:r>
      <w:r w:rsidRPr="00BE5FD6">
        <w:rPr>
          <w:rFonts w:asciiTheme="minorHAnsi" w:hAnsiTheme="minorHAnsi" w:cstheme="minorHAnsi"/>
        </w:rPr>
        <w:t xml:space="preserve">NCCN Clinical Practice Guidelines in Oncology: Hepatocellular Carcinoma (Version </w:t>
      </w:r>
      <w:r w:rsidR="00A47AF5" w:rsidRPr="00BE5FD6">
        <w:rPr>
          <w:rFonts w:asciiTheme="minorHAnsi" w:hAnsiTheme="minorHAnsi" w:cstheme="minorHAnsi"/>
        </w:rPr>
        <w:t>1</w:t>
      </w:r>
      <w:r w:rsidRPr="00BE5FD6">
        <w:rPr>
          <w:rFonts w:asciiTheme="minorHAnsi" w:hAnsiTheme="minorHAnsi" w:cstheme="minorHAnsi"/>
        </w:rPr>
        <w:t>.202</w:t>
      </w:r>
      <w:r w:rsidR="00A47AF5" w:rsidRPr="00BE5FD6">
        <w:rPr>
          <w:rFonts w:asciiTheme="minorHAnsi" w:hAnsiTheme="minorHAnsi" w:cstheme="minorHAnsi"/>
        </w:rPr>
        <w:t>5</w:t>
      </w:r>
      <w:r w:rsidRPr="00BE5FD6">
        <w:rPr>
          <w:rFonts w:asciiTheme="minorHAnsi" w:hAnsiTheme="minorHAnsi" w:cstheme="minorHAnsi"/>
        </w:rPr>
        <w:t xml:space="preserve">). NCCN; </w:t>
      </w:r>
      <w:r w:rsidR="000C17DF" w:rsidRPr="00BE5FD6">
        <w:rPr>
          <w:rFonts w:asciiTheme="minorHAnsi" w:hAnsiTheme="minorHAnsi" w:cstheme="minorHAnsi"/>
        </w:rPr>
        <w:t>March</w:t>
      </w:r>
      <w:r w:rsidRPr="00BE5FD6">
        <w:rPr>
          <w:rFonts w:asciiTheme="minorHAnsi" w:hAnsiTheme="minorHAnsi" w:cstheme="minorHAnsi"/>
        </w:rPr>
        <w:t xml:space="preserve"> 2</w:t>
      </w:r>
      <w:r w:rsidR="000C17DF" w:rsidRPr="00BE5FD6">
        <w:rPr>
          <w:rFonts w:asciiTheme="minorHAnsi" w:hAnsiTheme="minorHAnsi" w:cstheme="minorHAnsi"/>
        </w:rPr>
        <w:t>0</w:t>
      </w:r>
      <w:r w:rsidRPr="00BE5FD6">
        <w:rPr>
          <w:rFonts w:asciiTheme="minorHAnsi" w:hAnsiTheme="minorHAnsi" w:cstheme="minorHAnsi"/>
        </w:rPr>
        <w:t>, 202</w:t>
      </w:r>
      <w:r w:rsidR="00A47AF5" w:rsidRPr="00BE5FD6">
        <w:rPr>
          <w:rFonts w:asciiTheme="minorHAnsi" w:hAnsiTheme="minorHAnsi" w:cstheme="minorHAnsi"/>
        </w:rPr>
        <w:t>5</w:t>
      </w:r>
      <w:r w:rsidRPr="00BE5FD6">
        <w:rPr>
          <w:rFonts w:asciiTheme="minorHAnsi" w:hAnsiTheme="minorHAnsi" w:cstheme="minorHAnsi"/>
        </w:rPr>
        <w:t>.</w:t>
      </w:r>
    </w:p>
  </w:footnote>
  <w:footnote w:id="6">
    <w:p w14:paraId="2F27B9F2" w14:textId="2C2E8E5B" w:rsidR="005826A3" w:rsidRPr="006C43D1" w:rsidRDefault="005826A3">
      <w:pPr>
        <w:pStyle w:val="FootnoteText"/>
        <w:rPr>
          <w:i/>
          <w:iCs/>
        </w:rPr>
      </w:pPr>
      <w:r w:rsidRPr="00BE5FD6">
        <w:rPr>
          <w:rStyle w:val="FootnoteReference"/>
        </w:rPr>
        <w:footnoteRef/>
      </w:r>
      <w:r w:rsidRPr="00BE5FD6">
        <w:t xml:space="preserve"> </w:t>
      </w:r>
      <w:r w:rsidRPr="00BE5FD6">
        <w:rPr>
          <w:rFonts w:asciiTheme="minorHAnsi" w:hAnsiTheme="minorHAnsi" w:cstheme="minorHAnsi"/>
        </w:rPr>
        <w:t>Vogel A et al.</w:t>
      </w:r>
      <w:r w:rsidR="0006564F" w:rsidRPr="00BE5FD6">
        <w:rPr>
          <w:rFonts w:asciiTheme="minorHAnsi" w:hAnsiTheme="minorHAnsi" w:cstheme="minorHAnsi"/>
        </w:rPr>
        <w:t xml:space="preserve"> Hepatocellular car</w:t>
      </w:r>
      <w:r w:rsidR="005929E3" w:rsidRPr="00BE5FD6">
        <w:rPr>
          <w:rFonts w:asciiTheme="minorHAnsi" w:hAnsiTheme="minorHAnsi" w:cstheme="minorHAnsi"/>
        </w:rPr>
        <w:t>cinoma: ESMO Clinical Practice Guidelines for diagnosis, treatment and follow-up</w:t>
      </w:r>
      <w:r w:rsidRPr="00BE5FD6">
        <w:rPr>
          <w:rFonts w:asciiTheme="minorHAnsi" w:hAnsiTheme="minorHAnsi" w:cstheme="minorHAnsi"/>
        </w:rPr>
        <w:t>. Annals of Oncology. 202</w:t>
      </w:r>
      <w:r w:rsidR="000045EF" w:rsidRPr="00BE5FD6">
        <w:rPr>
          <w:rFonts w:asciiTheme="minorHAnsi" w:hAnsiTheme="minorHAnsi" w:cstheme="minorHAnsi"/>
        </w:rPr>
        <w:t>5</w:t>
      </w:r>
      <w:r w:rsidRPr="00BE5FD6">
        <w:rPr>
          <w:rFonts w:asciiTheme="minorHAnsi" w:hAnsiTheme="minorHAnsi" w:cstheme="minorHAnsi"/>
        </w:rPr>
        <w:t>;3</w:t>
      </w:r>
      <w:r w:rsidR="000045EF" w:rsidRPr="00BE5FD6">
        <w:rPr>
          <w:rFonts w:asciiTheme="minorHAnsi" w:hAnsiTheme="minorHAnsi" w:cstheme="minorHAnsi"/>
        </w:rPr>
        <w:t>6</w:t>
      </w:r>
      <w:r w:rsidRPr="00BE5FD6">
        <w:rPr>
          <w:rFonts w:asciiTheme="minorHAnsi" w:hAnsiTheme="minorHAnsi" w:cstheme="minorHAnsi"/>
        </w:rPr>
        <w:t>(</w:t>
      </w:r>
      <w:r w:rsidR="000045EF" w:rsidRPr="00BE5FD6">
        <w:rPr>
          <w:rFonts w:asciiTheme="minorHAnsi" w:hAnsiTheme="minorHAnsi" w:cstheme="minorHAnsi"/>
        </w:rPr>
        <w:t>5</w:t>
      </w:r>
      <w:r w:rsidRPr="00BE5FD6">
        <w:rPr>
          <w:rFonts w:asciiTheme="minorHAnsi" w:hAnsiTheme="minorHAnsi" w:cstheme="minorHAnsi"/>
        </w:rPr>
        <w:t>):</w:t>
      </w:r>
      <w:r w:rsidR="000045EF" w:rsidRPr="00BE5FD6">
        <w:rPr>
          <w:rFonts w:asciiTheme="minorHAnsi" w:hAnsiTheme="minorHAnsi" w:cstheme="minorHAnsi"/>
        </w:rPr>
        <w:t>491-</w:t>
      </w:r>
      <w:r w:rsidR="006C43D1" w:rsidRPr="00BE5FD6">
        <w:rPr>
          <w:rFonts w:asciiTheme="minorHAnsi" w:hAnsiTheme="minorHAnsi" w:cstheme="minorHAnsi"/>
        </w:rPr>
        <w:t>506</w:t>
      </w:r>
      <w:r w:rsidRPr="00BE5FD6">
        <w:rPr>
          <w:rFonts w:asciiTheme="minorHAnsi" w:hAnsiTheme="minorHAnsi" w:cstheme="minorHAnsi"/>
        </w:rPr>
        <w:t>.</w:t>
      </w:r>
    </w:p>
  </w:footnote>
  <w:footnote w:id="7">
    <w:p w14:paraId="00CBBEF6" w14:textId="77777777" w:rsidR="00FC676C" w:rsidRPr="00FE426C" w:rsidRDefault="00FC676C" w:rsidP="00FC676C">
      <w:pPr>
        <w:pStyle w:val="FootnoteText"/>
        <w:rPr>
          <w:rFonts w:asciiTheme="minorHAnsi" w:hAnsiTheme="minorHAnsi" w:cstheme="minorHAnsi"/>
        </w:rPr>
      </w:pPr>
      <w:r w:rsidRPr="00FE426C">
        <w:rPr>
          <w:rStyle w:val="FootnoteReference"/>
          <w:rFonts w:asciiTheme="minorHAnsi" w:hAnsiTheme="minorHAnsi" w:cstheme="minorHAnsi"/>
        </w:rPr>
        <w:footnoteRef/>
      </w:r>
      <w:r w:rsidRPr="00FE426C">
        <w:rPr>
          <w:rFonts w:asciiTheme="minorHAnsi" w:hAnsiTheme="minorHAnsi" w:cstheme="minorHAnsi"/>
        </w:rPr>
        <w:t xml:space="preserve"> NCCN Clinical Practice Guidelines in Oncology: Hepatocellular Carcinoma (Version 2.2024). NCCN; July 2, 2024.</w:t>
      </w:r>
    </w:p>
  </w:footnote>
  <w:footnote w:id="8">
    <w:p w14:paraId="23699F16" w14:textId="77777777" w:rsidR="00FC676C" w:rsidRPr="00FE426C" w:rsidRDefault="00FC676C" w:rsidP="00FC676C">
      <w:pPr>
        <w:pStyle w:val="FootnoteText"/>
        <w:rPr>
          <w:rFonts w:asciiTheme="minorHAnsi" w:hAnsiTheme="minorHAnsi" w:cstheme="minorHAnsi"/>
        </w:rPr>
      </w:pPr>
      <w:r w:rsidRPr="00FE426C">
        <w:rPr>
          <w:rStyle w:val="FootnoteReference"/>
          <w:rFonts w:asciiTheme="minorHAnsi" w:hAnsiTheme="minorHAnsi" w:cstheme="minorHAnsi"/>
        </w:rPr>
        <w:footnoteRef/>
      </w:r>
      <w:r w:rsidRPr="00FE426C">
        <w:rPr>
          <w:rFonts w:asciiTheme="minorHAnsi" w:hAnsiTheme="minorHAnsi" w:cstheme="minorHAnsi"/>
        </w:rPr>
        <w:t xml:space="preserve"> Rose MG et al. Systemic Therapy for Advanced Hepatocellular Carcinoma: ASCO Guideline Update Clinical Insights. </w:t>
      </w:r>
      <w:r w:rsidRPr="00FE426C">
        <w:rPr>
          <w:rFonts w:asciiTheme="minorHAnsi" w:hAnsiTheme="minorHAnsi" w:cstheme="minorHAnsi"/>
          <w:i/>
          <w:iCs/>
        </w:rPr>
        <w:t>JCO Oncology Practice</w:t>
      </w:r>
      <w:r w:rsidRPr="00FE426C">
        <w:rPr>
          <w:rFonts w:asciiTheme="minorHAnsi" w:hAnsiTheme="minorHAnsi" w:cstheme="minorHAnsi"/>
        </w:rPr>
        <w:t>. 2024;20(8):1035-9.</w:t>
      </w:r>
    </w:p>
  </w:footnote>
  <w:footnote w:id="9">
    <w:p w14:paraId="2608DFEB" w14:textId="43B3D2E0" w:rsidR="00FC676C" w:rsidRDefault="00FC676C" w:rsidP="00FC676C">
      <w:pPr>
        <w:pStyle w:val="FootnoteText"/>
      </w:pPr>
      <w:r w:rsidRPr="00FE426C">
        <w:rPr>
          <w:rStyle w:val="FootnoteReference"/>
          <w:rFonts w:asciiTheme="minorHAnsi" w:hAnsiTheme="minorHAnsi" w:cstheme="minorHAnsi"/>
        </w:rPr>
        <w:footnoteRef/>
      </w:r>
      <w:r w:rsidRPr="00FE426C">
        <w:rPr>
          <w:rFonts w:asciiTheme="minorHAnsi" w:hAnsiTheme="minorHAnsi" w:cstheme="minorHAnsi"/>
        </w:rPr>
        <w:t xml:space="preserve"> </w:t>
      </w:r>
      <w:r w:rsidR="00E3199D" w:rsidRPr="00BE5FD6">
        <w:rPr>
          <w:rFonts w:asciiTheme="minorHAnsi" w:hAnsiTheme="minorHAnsi" w:cstheme="minorHAnsi"/>
        </w:rPr>
        <w:t>Vogel A et al. Hepatocellular carcinoma: ESMO Clinical Practice Guidelines for diagnosis, treatment and follow-up. Annals of Oncology. 2025;36(5):491-506.</w:t>
      </w:r>
    </w:p>
  </w:footnote>
  <w:footnote w:id="10">
    <w:p w14:paraId="3D82FFF1" w14:textId="77777777" w:rsidR="00FC676C" w:rsidRDefault="00FC676C" w:rsidP="00FC676C">
      <w:pPr>
        <w:pStyle w:val="FootnoteText"/>
      </w:pPr>
      <w:r>
        <w:rPr>
          <w:rStyle w:val="FootnoteReference"/>
        </w:rPr>
        <w:footnoteRef/>
      </w:r>
      <w:r>
        <w:t xml:space="preserve"> </w:t>
      </w:r>
      <w:hyperlink r:id="rId2" w:history="1">
        <w:r w:rsidRPr="00FD66DA">
          <w:rPr>
            <w:rStyle w:val="Hyperlink"/>
          </w:rPr>
          <w:t>https://www.mja.com.au/system/files/issues/214_10/mja250885.pdf</w:t>
        </w:r>
      </w:hyperlink>
    </w:p>
  </w:footnote>
  <w:footnote w:id="11">
    <w:p w14:paraId="08F2438C" w14:textId="70EDE796" w:rsidR="00FE3357" w:rsidRDefault="00FE3357">
      <w:pPr>
        <w:pStyle w:val="FootnoteText"/>
      </w:pPr>
      <w:r>
        <w:rPr>
          <w:rStyle w:val="FootnoteReference"/>
        </w:rPr>
        <w:footnoteRef/>
      </w:r>
      <w:r>
        <w:t xml:space="preserve"> </w:t>
      </w:r>
      <w:r w:rsidRPr="00525B39">
        <w:rPr>
          <w:rFonts w:asciiTheme="minorHAnsi" w:hAnsiTheme="minorHAnsi"/>
          <w:bCs/>
          <w:snapToGrid w:val="0"/>
          <w:sz w:val="16"/>
        </w:rPr>
        <w:t>Cherny NI, Dafni U, Bogaerts J, et al: ESMO-Magnitude of Clinical Benefit Scale version 1.1. Annals of Oncology 28:2340-2366, 2017</w:t>
      </w:r>
      <w:r>
        <w:rPr>
          <w:rFonts w:asciiTheme="minorHAnsi" w:hAnsiTheme="minorHAnsi"/>
          <w:bCs/>
          <w:snapToGrid w:val="0"/>
          <w:sz w:val="16"/>
        </w:rPr>
        <w:t>]</w:t>
      </w:r>
    </w:p>
  </w:footnote>
  <w:footnote w:id="12">
    <w:p w14:paraId="048E65D0" w14:textId="77777777" w:rsidR="00FC676C" w:rsidRDefault="00FC676C" w:rsidP="00FC676C">
      <w:pPr>
        <w:pStyle w:val="FootnoteText"/>
      </w:pPr>
      <w:r>
        <w:rPr>
          <w:rStyle w:val="FootnoteReference"/>
        </w:rPr>
        <w:footnoteRef/>
      </w:r>
      <w:r>
        <w:t xml:space="preserve"> </w:t>
      </w:r>
      <w:r w:rsidRPr="0063084C">
        <w:rPr>
          <w:lang w:val="nb-NO"/>
        </w:rPr>
        <w:t xml:space="preserve">El-Kassas M, et al. </w:t>
      </w:r>
      <w:r w:rsidRPr="004910E3">
        <w:t xml:space="preserve">Characteristics and survival of patients with viral versus nonviral associated hepatocellular carcinoma: a multicenter cohort study. </w:t>
      </w:r>
      <w:proofErr w:type="spellStart"/>
      <w:r w:rsidRPr="004910E3">
        <w:rPr>
          <w:i/>
          <w:iCs/>
        </w:rPr>
        <w:t>Eur</w:t>
      </w:r>
      <w:proofErr w:type="spellEnd"/>
      <w:r w:rsidRPr="004910E3">
        <w:rPr>
          <w:i/>
          <w:iCs/>
        </w:rPr>
        <w:t xml:space="preserve"> J Gastroenterol Hepatol</w:t>
      </w:r>
      <w:r w:rsidRPr="004910E3">
        <w:t>. 2025;37(1):83-93.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253E" w14:textId="32057A7A" w:rsidR="005D4769" w:rsidRDefault="00596966">
    <w:pPr>
      <w:pStyle w:val="Header"/>
    </w:pPr>
    <w:r>
      <w:rPr>
        <w:noProof/>
      </w:rPr>
      <mc:AlternateContent>
        <mc:Choice Requires="wps">
          <w:drawing>
            <wp:anchor distT="0" distB="0" distL="0" distR="0" simplePos="0" relativeHeight="251659264" behindDoc="0" locked="0" layoutInCell="1" allowOverlap="1" wp14:anchorId="17385E5C" wp14:editId="1F4E2565">
              <wp:simplePos x="635" y="635"/>
              <wp:positionH relativeFrom="page">
                <wp:align>center</wp:align>
              </wp:positionH>
              <wp:positionV relativeFrom="page">
                <wp:align>top</wp:align>
              </wp:positionV>
              <wp:extent cx="551815" cy="376555"/>
              <wp:effectExtent l="0" t="0" r="635" b="4445"/>
              <wp:wrapNone/>
              <wp:docPr id="4690648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135D65" w14:textId="34F2D2CB" w:rsidR="00596966" w:rsidRPr="00596966" w:rsidRDefault="00596966" w:rsidP="00596966">
                          <w:pPr>
                            <w:rPr>
                              <w:rFonts w:eastAsia="Calibri" w:cs="Calibri"/>
                              <w:noProof/>
                              <w:color w:val="FF0000"/>
                            </w:rPr>
                          </w:pPr>
                          <w:r w:rsidRPr="0059696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385E5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4F135D65" w14:textId="34F2D2CB" w:rsidR="00596966" w:rsidRPr="00596966" w:rsidRDefault="00596966" w:rsidP="00596966">
                    <w:pPr>
                      <w:rPr>
                        <w:rFonts w:eastAsia="Calibri" w:cs="Calibri"/>
                        <w:noProof/>
                        <w:color w:val="FF0000"/>
                      </w:rPr>
                    </w:pPr>
                    <w:r w:rsidRPr="00596966">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7A96C0A3" w:rsidR="00D843F2" w:rsidRPr="00195452" w:rsidRDefault="00596966" w:rsidP="00D822E2">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60288" behindDoc="0" locked="0" layoutInCell="1" allowOverlap="1" wp14:anchorId="0469300B" wp14:editId="5F463D93">
              <wp:simplePos x="635" y="635"/>
              <wp:positionH relativeFrom="page">
                <wp:align>center</wp:align>
              </wp:positionH>
              <wp:positionV relativeFrom="page">
                <wp:align>top</wp:align>
              </wp:positionV>
              <wp:extent cx="551815" cy="376555"/>
              <wp:effectExtent l="0" t="0" r="635" b="4445"/>
              <wp:wrapNone/>
              <wp:docPr id="18780540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E38191" w14:textId="64EE825F" w:rsidR="00596966" w:rsidRPr="00596966" w:rsidRDefault="00596966" w:rsidP="00596966">
                          <w:pPr>
                            <w:rPr>
                              <w:rFonts w:eastAsia="Calibri" w:cs="Calibri"/>
                              <w:noProof/>
                              <w:color w:val="FF0000"/>
                            </w:rPr>
                          </w:pPr>
                          <w:r w:rsidRPr="0059696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69300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5AE38191" w14:textId="64EE825F" w:rsidR="00596966" w:rsidRPr="00596966" w:rsidRDefault="00596966" w:rsidP="00596966">
                    <w:pPr>
                      <w:rPr>
                        <w:rFonts w:eastAsia="Calibri" w:cs="Calibri"/>
                        <w:noProof/>
                        <w:color w:val="FF0000"/>
                      </w:rPr>
                    </w:pPr>
                    <w:r w:rsidRPr="00596966">
                      <w:rPr>
                        <w:rFonts w:eastAsia="Calibri" w:cs="Calibri"/>
                        <w:noProof/>
                        <w:color w:val="FF0000"/>
                      </w:rPr>
                      <w:t>OFFICIAL</w:t>
                    </w:r>
                  </w:p>
                </w:txbxContent>
              </v:textbox>
              <w10:wrap anchorx="page" anchory="page"/>
            </v:shape>
          </w:pict>
        </mc:Fallback>
      </mc:AlternateContent>
    </w:r>
    <w:r w:rsidR="00455D1B">
      <w:rPr>
        <w:rFonts w:asciiTheme="minorHAnsi" w:hAnsiTheme="minorHAnsi"/>
        <w:color w:val="808080"/>
      </w:rPr>
      <w:t>Public Summary Document</w:t>
    </w:r>
    <w:r w:rsidR="00D924B8">
      <w:rPr>
        <w:rFonts w:asciiTheme="minorHAnsi" w:hAnsiTheme="minorHAnsi"/>
        <w:color w:val="808080"/>
      </w:rPr>
      <w:t xml:space="preserve"> - </w:t>
    </w:r>
    <w:r w:rsidR="008F612B">
      <w:rPr>
        <w:rFonts w:asciiTheme="minorHAnsi" w:hAnsiTheme="minorHAnsi"/>
        <w:color w:val="808080"/>
      </w:rPr>
      <w:t>July 2025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3216" w14:textId="42E407DA" w:rsidR="005D4769" w:rsidRDefault="00596966">
    <w:pPr>
      <w:pStyle w:val="Header"/>
    </w:pPr>
    <w:r>
      <w:rPr>
        <w:noProof/>
      </w:rPr>
      <mc:AlternateContent>
        <mc:Choice Requires="wps">
          <w:drawing>
            <wp:anchor distT="0" distB="0" distL="0" distR="0" simplePos="0" relativeHeight="251658240" behindDoc="0" locked="0" layoutInCell="1" allowOverlap="1" wp14:anchorId="410E094B" wp14:editId="10EB1EFA">
              <wp:simplePos x="635" y="635"/>
              <wp:positionH relativeFrom="page">
                <wp:align>center</wp:align>
              </wp:positionH>
              <wp:positionV relativeFrom="page">
                <wp:align>top</wp:align>
              </wp:positionV>
              <wp:extent cx="551815" cy="376555"/>
              <wp:effectExtent l="0" t="0" r="635" b="4445"/>
              <wp:wrapNone/>
              <wp:docPr id="6816264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916188" w14:textId="6E574DD5" w:rsidR="00596966" w:rsidRPr="00596966" w:rsidRDefault="00596966" w:rsidP="00596966">
                          <w:pPr>
                            <w:rPr>
                              <w:rFonts w:eastAsia="Calibri" w:cs="Calibri"/>
                              <w:noProof/>
                              <w:color w:val="FF0000"/>
                            </w:rPr>
                          </w:pPr>
                          <w:r w:rsidRPr="00596966">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E094B"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12916188" w14:textId="6E574DD5" w:rsidR="00596966" w:rsidRPr="00596966" w:rsidRDefault="00596966" w:rsidP="00596966">
                    <w:pPr>
                      <w:rPr>
                        <w:rFonts w:eastAsia="Calibri" w:cs="Calibri"/>
                        <w:noProof/>
                        <w:color w:val="FF0000"/>
                      </w:rPr>
                    </w:pPr>
                    <w:r w:rsidRPr="00596966">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8A82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C3B27"/>
    <w:multiLevelType w:val="hybridMultilevel"/>
    <w:tmpl w:val="45B0E66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4605957"/>
    <w:multiLevelType w:val="hybridMultilevel"/>
    <w:tmpl w:val="60565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551235"/>
    <w:multiLevelType w:val="hybridMultilevel"/>
    <w:tmpl w:val="7AE07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92624A"/>
    <w:multiLevelType w:val="hybridMultilevel"/>
    <w:tmpl w:val="814E1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C376A0"/>
    <w:multiLevelType w:val="hybridMultilevel"/>
    <w:tmpl w:val="70001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DF4420"/>
    <w:multiLevelType w:val="hybridMultilevel"/>
    <w:tmpl w:val="9E9C6A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8101E"/>
    <w:multiLevelType w:val="hybridMultilevel"/>
    <w:tmpl w:val="142C1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F4416C"/>
    <w:multiLevelType w:val="hybridMultilevel"/>
    <w:tmpl w:val="067886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DDE27BE"/>
    <w:multiLevelType w:val="hybridMultilevel"/>
    <w:tmpl w:val="CA8E2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F453C"/>
    <w:multiLevelType w:val="hybridMultilevel"/>
    <w:tmpl w:val="BF440758"/>
    <w:lvl w:ilvl="0" w:tplc="175A1E08">
      <w:start w:val="1"/>
      <w:numFmt w:val="bullet"/>
      <w:lvlText w:val="•"/>
      <w:lvlJc w:val="left"/>
      <w:pPr>
        <w:tabs>
          <w:tab w:val="num" w:pos="720"/>
        </w:tabs>
        <w:ind w:left="720" w:hanging="360"/>
      </w:pPr>
      <w:rPr>
        <w:rFonts w:ascii="Arial" w:hAnsi="Arial" w:hint="default"/>
      </w:rPr>
    </w:lvl>
    <w:lvl w:ilvl="1" w:tplc="584244D2">
      <w:numFmt w:val="bullet"/>
      <w:lvlText w:val="o"/>
      <w:lvlJc w:val="left"/>
      <w:pPr>
        <w:tabs>
          <w:tab w:val="num" w:pos="1440"/>
        </w:tabs>
        <w:ind w:left="1440" w:hanging="360"/>
      </w:pPr>
      <w:rPr>
        <w:rFonts w:ascii="Courier New" w:hAnsi="Courier New" w:hint="default"/>
      </w:rPr>
    </w:lvl>
    <w:lvl w:ilvl="2" w:tplc="A6E2CA56" w:tentative="1">
      <w:start w:val="1"/>
      <w:numFmt w:val="bullet"/>
      <w:lvlText w:val="•"/>
      <w:lvlJc w:val="left"/>
      <w:pPr>
        <w:tabs>
          <w:tab w:val="num" w:pos="2160"/>
        </w:tabs>
        <w:ind w:left="2160" w:hanging="360"/>
      </w:pPr>
      <w:rPr>
        <w:rFonts w:ascii="Arial" w:hAnsi="Arial" w:hint="default"/>
      </w:rPr>
    </w:lvl>
    <w:lvl w:ilvl="3" w:tplc="D8E2DFFA" w:tentative="1">
      <w:start w:val="1"/>
      <w:numFmt w:val="bullet"/>
      <w:lvlText w:val="•"/>
      <w:lvlJc w:val="left"/>
      <w:pPr>
        <w:tabs>
          <w:tab w:val="num" w:pos="2880"/>
        </w:tabs>
        <w:ind w:left="2880" w:hanging="360"/>
      </w:pPr>
      <w:rPr>
        <w:rFonts w:ascii="Arial" w:hAnsi="Arial" w:hint="default"/>
      </w:rPr>
    </w:lvl>
    <w:lvl w:ilvl="4" w:tplc="F3EAF684" w:tentative="1">
      <w:start w:val="1"/>
      <w:numFmt w:val="bullet"/>
      <w:lvlText w:val="•"/>
      <w:lvlJc w:val="left"/>
      <w:pPr>
        <w:tabs>
          <w:tab w:val="num" w:pos="3600"/>
        </w:tabs>
        <w:ind w:left="3600" w:hanging="360"/>
      </w:pPr>
      <w:rPr>
        <w:rFonts w:ascii="Arial" w:hAnsi="Arial" w:hint="default"/>
      </w:rPr>
    </w:lvl>
    <w:lvl w:ilvl="5" w:tplc="EFE4AD9A" w:tentative="1">
      <w:start w:val="1"/>
      <w:numFmt w:val="bullet"/>
      <w:lvlText w:val="•"/>
      <w:lvlJc w:val="left"/>
      <w:pPr>
        <w:tabs>
          <w:tab w:val="num" w:pos="4320"/>
        </w:tabs>
        <w:ind w:left="4320" w:hanging="360"/>
      </w:pPr>
      <w:rPr>
        <w:rFonts w:ascii="Arial" w:hAnsi="Arial" w:hint="default"/>
      </w:rPr>
    </w:lvl>
    <w:lvl w:ilvl="6" w:tplc="658892A6" w:tentative="1">
      <w:start w:val="1"/>
      <w:numFmt w:val="bullet"/>
      <w:lvlText w:val="•"/>
      <w:lvlJc w:val="left"/>
      <w:pPr>
        <w:tabs>
          <w:tab w:val="num" w:pos="5040"/>
        </w:tabs>
        <w:ind w:left="5040" w:hanging="360"/>
      </w:pPr>
      <w:rPr>
        <w:rFonts w:ascii="Arial" w:hAnsi="Arial" w:hint="default"/>
      </w:rPr>
    </w:lvl>
    <w:lvl w:ilvl="7" w:tplc="5802DDE6" w:tentative="1">
      <w:start w:val="1"/>
      <w:numFmt w:val="bullet"/>
      <w:lvlText w:val="•"/>
      <w:lvlJc w:val="left"/>
      <w:pPr>
        <w:tabs>
          <w:tab w:val="num" w:pos="5760"/>
        </w:tabs>
        <w:ind w:left="5760" w:hanging="360"/>
      </w:pPr>
      <w:rPr>
        <w:rFonts w:ascii="Arial" w:hAnsi="Arial" w:hint="default"/>
      </w:rPr>
    </w:lvl>
    <w:lvl w:ilvl="8" w:tplc="54ACA8F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6BE30C7"/>
    <w:multiLevelType w:val="hybridMultilevel"/>
    <w:tmpl w:val="98C2F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4D033C"/>
    <w:multiLevelType w:val="multilevel"/>
    <w:tmpl w:val="279E56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EC272B"/>
    <w:multiLevelType w:val="hybridMultilevel"/>
    <w:tmpl w:val="7CEE1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0D7EC8"/>
    <w:multiLevelType w:val="hybridMultilevel"/>
    <w:tmpl w:val="6564084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870A2F"/>
    <w:multiLevelType w:val="hybridMultilevel"/>
    <w:tmpl w:val="BD340D40"/>
    <w:lvl w:ilvl="0" w:tplc="D3482C7E">
      <w:start w:val="1"/>
      <w:numFmt w:val="bullet"/>
      <w:lvlText w:val="•"/>
      <w:lvlJc w:val="left"/>
      <w:pPr>
        <w:tabs>
          <w:tab w:val="num" w:pos="720"/>
        </w:tabs>
        <w:ind w:left="720" w:hanging="360"/>
      </w:pPr>
      <w:rPr>
        <w:rFonts w:ascii="Arial" w:hAnsi="Arial" w:hint="default"/>
      </w:rPr>
    </w:lvl>
    <w:lvl w:ilvl="1" w:tplc="39724EA6">
      <w:start w:val="1"/>
      <w:numFmt w:val="bullet"/>
      <w:lvlText w:val="•"/>
      <w:lvlJc w:val="left"/>
      <w:pPr>
        <w:tabs>
          <w:tab w:val="num" w:pos="1440"/>
        </w:tabs>
        <w:ind w:left="1440" w:hanging="360"/>
      </w:pPr>
      <w:rPr>
        <w:rFonts w:ascii="Arial" w:hAnsi="Arial" w:hint="default"/>
      </w:rPr>
    </w:lvl>
    <w:lvl w:ilvl="2" w:tplc="BC78DE2A" w:tentative="1">
      <w:start w:val="1"/>
      <w:numFmt w:val="bullet"/>
      <w:lvlText w:val="•"/>
      <w:lvlJc w:val="left"/>
      <w:pPr>
        <w:tabs>
          <w:tab w:val="num" w:pos="2160"/>
        </w:tabs>
        <w:ind w:left="2160" w:hanging="360"/>
      </w:pPr>
      <w:rPr>
        <w:rFonts w:ascii="Arial" w:hAnsi="Arial" w:hint="default"/>
      </w:rPr>
    </w:lvl>
    <w:lvl w:ilvl="3" w:tplc="A936FDA2" w:tentative="1">
      <w:start w:val="1"/>
      <w:numFmt w:val="bullet"/>
      <w:lvlText w:val="•"/>
      <w:lvlJc w:val="left"/>
      <w:pPr>
        <w:tabs>
          <w:tab w:val="num" w:pos="2880"/>
        </w:tabs>
        <w:ind w:left="2880" w:hanging="360"/>
      </w:pPr>
      <w:rPr>
        <w:rFonts w:ascii="Arial" w:hAnsi="Arial" w:hint="default"/>
      </w:rPr>
    </w:lvl>
    <w:lvl w:ilvl="4" w:tplc="BEEAC370" w:tentative="1">
      <w:start w:val="1"/>
      <w:numFmt w:val="bullet"/>
      <w:lvlText w:val="•"/>
      <w:lvlJc w:val="left"/>
      <w:pPr>
        <w:tabs>
          <w:tab w:val="num" w:pos="3600"/>
        </w:tabs>
        <w:ind w:left="3600" w:hanging="360"/>
      </w:pPr>
      <w:rPr>
        <w:rFonts w:ascii="Arial" w:hAnsi="Arial" w:hint="default"/>
      </w:rPr>
    </w:lvl>
    <w:lvl w:ilvl="5" w:tplc="2F622C48" w:tentative="1">
      <w:start w:val="1"/>
      <w:numFmt w:val="bullet"/>
      <w:lvlText w:val="•"/>
      <w:lvlJc w:val="left"/>
      <w:pPr>
        <w:tabs>
          <w:tab w:val="num" w:pos="4320"/>
        </w:tabs>
        <w:ind w:left="4320" w:hanging="360"/>
      </w:pPr>
      <w:rPr>
        <w:rFonts w:ascii="Arial" w:hAnsi="Arial" w:hint="default"/>
      </w:rPr>
    </w:lvl>
    <w:lvl w:ilvl="6" w:tplc="1820F090" w:tentative="1">
      <w:start w:val="1"/>
      <w:numFmt w:val="bullet"/>
      <w:lvlText w:val="•"/>
      <w:lvlJc w:val="left"/>
      <w:pPr>
        <w:tabs>
          <w:tab w:val="num" w:pos="5040"/>
        </w:tabs>
        <w:ind w:left="5040" w:hanging="360"/>
      </w:pPr>
      <w:rPr>
        <w:rFonts w:ascii="Arial" w:hAnsi="Arial" w:hint="default"/>
      </w:rPr>
    </w:lvl>
    <w:lvl w:ilvl="7" w:tplc="5106A83A" w:tentative="1">
      <w:start w:val="1"/>
      <w:numFmt w:val="bullet"/>
      <w:lvlText w:val="•"/>
      <w:lvlJc w:val="left"/>
      <w:pPr>
        <w:tabs>
          <w:tab w:val="num" w:pos="5760"/>
        </w:tabs>
        <w:ind w:left="5760" w:hanging="360"/>
      </w:pPr>
      <w:rPr>
        <w:rFonts w:ascii="Arial" w:hAnsi="Arial" w:hint="default"/>
      </w:rPr>
    </w:lvl>
    <w:lvl w:ilvl="8" w:tplc="21AAEAF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F53672A"/>
    <w:multiLevelType w:val="hybridMultilevel"/>
    <w:tmpl w:val="A4B43658"/>
    <w:lvl w:ilvl="0" w:tplc="1788446E">
      <w:start w:val="1"/>
      <w:numFmt w:val="decimal"/>
      <w:lvlText w:val="%1."/>
      <w:lvlJc w:val="left"/>
      <w:pPr>
        <w:ind w:left="1543" w:hanging="360"/>
      </w:pPr>
      <w:rPr>
        <w:i/>
        <w:color w:val="auto"/>
      </w:rPr>
    </w:lvl>
    <w:lvl w:ilvl="1" w:tplc="0C090019" w:tentative="1">
      <w:start w:val="1"/>
      <w:numFmt w:val="lowerLetter"/>
      <w:lvlText w:val="%2."/>
      <w:lvlJc w:val="left"/>
      <w:pPr>
        <w:ind w:left="2263" w:hanging="360"/>
      </w:pPr>
    </w:lvl>
    <w:lvl w:ilvl="2" w:tplc="0C09001B" w:tentative="1">
      <w:start w:val="1"/>
      <w:numFmt w:val="lowerRoman"/>
      <w:lvlText w:val="%3."/>
      <w:lvlJc w:val="right"/>
      <w:pPr>
        <w:ind w:left="2983" w:hanging="180"/>
      </w:pPr>
    </w:lvl>
    <w:lvl w:ilvl="3" w:tplc="0C09000F" w:tentative="1">
      <w:start w:val="1"/>
      <w:numFmt w:val="decimal"/>
      <w:lvlText w:val="%4."/>
      <w:lvlJc w:val="left"/>
      <w:pPr>
        <w:ind w:left="3703" w:hanging="360"/>
      </w:pPr>
    </w:lvl>
    <w:lvl w:ilvl="4" w:tplc="0C090019" w:tentative="1">
      <w:start w:val="1"/>
      <w:numFmt w:val="lowerLetter"/>
      <w:lvlText w:val="%5."/>
      <w:lvlJc w:val="left"/>
      <w:pPr>
        <w:ind w:left="4423" w:hanging="360"/>
      </w:pPr>
    </w:lvl>
    <w:lvl w:ilvl="5" w:tplc="0C09001B" w:tentative="1">
      <w:start w:val="1"/>
      <w:numFmt w:val="lowerRoman"/>
      <w:lvlText w:val="%6."/>
      <w:lvlJc w:val="right"/>
      <w:pPr>
        <w:ind w:left="5143" w:hanging="180"/>
      </w:pPr>
    </w:lvl>
    <w:lvl w:ilvl="6" w:tplc="0C09000F" w:tentative="1">
      <w:start w:val="1"/>
      <w:numFmt w:val="decimal"/>
      <w:lvlText w:val="%7."/>
      <w:lvlJc w:val="left"/>
      <w:pPr>
        <w:ind w:left="5863" w:hanging="360"/>
      </w:pPr>
    </w:lvl>
    <w:lvl w:ilvl="7" w:tplc="0C090019" w:tentative="1">
      <w:start w:val="1"/>
      <w:numFmt w:val="lowerLetter"/>
      <w:lvlText w:val="%8."/>
      <w:lvlJc w:val="left"/>
      <w:pPr>
        <w:ind w:left="6583" w:hanging="360"/>
      </w:pPr>
    </w:lvl>
    <w:lvl w:ilvl="8" w:tplc="0C09001B" w:tentative="1">
      <w:start w:val="1"/>
      <w:numFmt w:val="lowerRoman"/>
      <w:lvlText w:val="%9."/>
      <w:lvlJc w:val="right"/>
      <w:pPr>
        <w:ind w:left="7303" w:hanging="180"/>
      </w:pPr>
    </w:lvl>
  </w:abstractNum>
  <w:num w:numId="1" w16cid:durableId="917793048">
    <w:abstractNumId w:val="14"/>
  </w:num>
  <w:num w:numId="2" w16cid:durableId="263461728">
    <w:abstractNumId w:val="0"/>
  </w:num>
  <w:num w:numId="3" w16cid:durableId="220360847">
    <w:abstractNumId w:val="20"/>
  </w:num>
  <w:num w:numId="4" w16cid:durableId="1048839230">
    <w:abstractNumId w:val="26"/>
  </w:num>
  <w:num w:numId="5" w16cid:durableId="2080859409">
    <w:abstractNumId w:val="25"/>
  </w:num>
  <w:num w:numId="6" w16cid:durableId="1883983544">
    <w:abstractNumId w:val="12"/>
  </w:num>
  <w:num w:numId="7" w16cid:durableId="435716088">
    <w:abstractNumId w:val="11"/>
  </w:num>
  <w:num w:numId="8" w16cid:durableId="139346788">
    <w:abstractNumId w:val="27"/>
  </w:num>
  <w:num w:numId="9" w16cid:durableId="1075977356">
    <w:abstractNumId w:val="23"/>
  </w:num>
  <w:num w:numId="10" w16cid:durableId="1998410589">
    <w:abstractNumId w:val="18"/>
  </w:num>
  <w:num w:numId="11" w16cid:durableId="1947349301">
    <w:abstractNumId w:val="30"/>
  </w:num>
  <w:num w:numId="12" w16cid:durableId="67844984">
    <w:abstractNumId w:val="9"/>
  </w:num>
  <w:num w:numId="13" w16cid:durableId="185291819">
    <w:abstractNumId w:val="28"/>
  </w:num>
  <w:num w:numId="14" w16cid:durableId="2116443192">
    <w:abstractNumId w:val="4"/>
  </w:num>
  <w:num w:numId="15" w16cid:durableId="126240624">
    <w:abstractNumId w:val="21"/>
  </w:num>
  <w:num w:numId="16" w16cid:durableId="1660116426">
    <w:abstractNumId w:val="2"/>
  </w:num>
  <w:num w:numId="17" w16cid:durableId="1573005167">
    <w:abstractNumId w:val="16"/>
  </w:num>
  <w:num w:numId="18" w16cid:durableId="408699874">
    <w:abstractNumId w:val="17"/>
  </w:num>
  <w:num w:numId="19" w16cid:durableId="1569418770">
    <w:abstractNumId w:val="3"/>
  </w:num>
  <w:num w:numId="20" w16cid:durableId="705176722">
    <w:abstractNumId w:val="1"/>
  </w:num>
  <w:num w:numId="21" w16cid:durableId="1926569401">
    <w:abstractNumId w:val="8"/>
  </w:num>
  <w:num w:numId="22" w16cid:durableId="1979457665">
    <w:abstractNumId w:val="10"/>
  </w:num>
  <w:num w:numId="23" w16cid:durableId="2038313566">
    <w:abstractNumId w:val="7"/>
  </w:num>
  <w:num w:numId="24" w16cid:durableId="129744317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997201">
    <w:abstractNumId w:val="22"/>
  </w:num>
  <w:num w:numId="26" w16cid:durableId="651837639">
    <w:abstractNumId w:val="29"/>
  </w:num>
  <w:num w:numId="27" w16cid:durableId="601914684">
    <w:abstractNumId w:val="24"/>
  </w:num>
  <w:num w:numId="28" w16cid:durableId="307785890">
    <w:abstractNumId w:val="15"/>
  </w:num>
  <w:num w:numId="29" w16cid:durableId="1831822072">
    <w:abstractNumId w:val="6"/>
  </w:num>
  <w:num w:numId="30" w16cid:durableId="723530813">
    <w:abstractNumId w:val="13"/>
  </w:num>
  <w:num w:numId="31" w16cid:durableId="1504202868">
    <w:abstractNumId w:val="26"/>
  </w:num>
  <w:num w:numId="32" w16cid:durableId="1233929391">
    <w:abstractNumId w:val="26"/>
  </w:num>
  <w:num w:numId="33" w16cid:durableId="459878476">
    <w:abstractNumId w:val="26"/>
  </w:num>
  <w:num w:numId="34" w16cid:durableId="34158739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1D0"/>
    <w:rsid w:val="0000034C"/>
    <w:rsid w:val="000005E5"/>
    <w:rsid w:val="00000790"/>
    <w:rsid w:val="0000110B"/>
    <w:rsid w:val="00001DFF"/>
    <w:rsid w:val="00003499"/>
    <w:rsid w:val="000036BC"/>
    <w:rsid w:val="0000389E"/>
    <w:rsid w:val="000039B7"/>
    <w:rsid w:val="00003FAA"/>
    <w:rsid w:val="00004178"/>
    <w:rsid w:val="000045EF"/>
    <w:rsid w:val="000053BC"/>
    <w:rsid w:val="000056B9"/>
    <w:rsid w:val="0000580B"/>
    <w:rsid w:val="00005F6C"/>
    <w:rsid w:val="0000639A"/>
    <w:rsid w:val="00006B47"/>
    <w:rsid w:val="00006ED5"/>
    <w:rsid w:val="00010316"/>
    <w:rsid w:val="00010E5D"/>
    <w:rsid w:val="0001189D"/>
    <w:rsid w:val="00011C25"/>
    <w:rsid w:val="00011EAD"/>
    <w:rsid w:val="00012F0C"/>
    <w:rsid w:val="00013247"/>
    <w:rsid w:val="00013276"/>
    <w:rsid w:val="00013353"/>
    <w:rsid w:val="00014756"/>
    <w:rsid w:val="00014BAD"/>
    <w:rsid w:val="00015886"/>
    <w:rsid w:val="00015A85"/>
    <w:rsid w:val="000162EF"/>
    <w:rsid w:val="000203A4"/>
    <w:rsid w:val="000207C9"/>
    <w:rsid w:val="0002086E"/>
    <w:rsid w:val="000217A3"/>
    <w:rsid w:val="00021EFB"/>
    <w:rsid w:val="000220FE"/>
    <w:rsid w:val="0002225F"/>
    <w:rsid w:val="000226A8"/>
    <w:rsid w:val="00022CCF"/>
    <w:rsid w:val="0002316D"/>
    <w:rsid w:val="00023763"/>
    <w:rsid w:val="00024AA8"/>
    <w:rsid w:val="00024B2B"/>
    <w:rsid w:val="00024EB5"/>
    <w:rsid w:val="00025C52"/>
    <w:rsid w:val="000263E3"/>
    <w:rsid w:val="0002650B"/>
    <w:rsid w:val="00026879"/>
    <w:rsid w:val="00026E3E"/>
    <w:rsid w:val="000274B8"/>
    <w:rsid w:val="000275E0"/>
    <w:rsid w:val="000278BE"/>
    <w:rsid w:val="0003096A"/>
    <w:rsid w:val="00031831"/>
    <w:rsid w:val="00031DA4"/>
    <w:rsid w:val="00032B8A"/>
    <w:rsid w:val="00032E45"/>
    <w:rsid w:val="00032EFE"/>
    <w:rsid w:val="00033271"/>
    <w:rsid w:val="00033863"/>
    <w:rsid w:val="000339F6"/>
    <w:rsid w:val="00034106"/>
    <w:rsid w:val="00034C63"/>
    <w:rsid w:val="0003565D"/>
    <w:rsid w:val="00035DC0"/>
    <w:rsid w:val="00035E7D"/>
    <w:rsid w:val="00035FFE"/>
    <w:rsid w:val="00036829"/>
    <w:rsid w:val="000401BF"/>
    <w:rsid w:val="00040895"/>
    <w:rsid w:val="000410A0"/>
    <w:rsid w:val="000411B7"/>
    <w:rsid w:val="000411FB"/>
    <w:rsid w:val="00041628"/>
    <w:rsid w:val="00041FB5"/>
    <w:rsid w:val="00042593"/>
    <w:rsid w:val="0004264A"/>
    <w:rsid w:val="000435EE"/>
    <w:rsid w:val="00043686"/>
    <w:rsid w:val="00043820"/>
    <w:rsid w:val="000439E7"/>
    <w:rsid w:val="00043C29"/>
    <w:rsid w:val="00043C37"/>
    <w:rsid w:val="00044284"/>
    <w:rsid w:val="000442CD"/>
    <w:rsid w:val="00044414"/>
    <w:rsid w:val="000445C8"/>
    <w:rsid w:val="00044A47"/>
    <w:rsid w:val="00044AAB"/>
    <w:rsid w:val="00044C20"/>
    <w:rsid w:val="00045017"/>
    <w:rsid w:val="00045A2B"/>
    <w:rsid w:val="0004698F"/>
    <w:rsid w:val="00046A8A"/>
    <w:rsid w:val="00046D64"/>
    <w:rsid w:val="000508C2"/>
    <w:rsid w:val="00051017"/>
    <w:rsid w:val="00051022"/>
    <w:rsid w:val="0005202A"/>
    <w:rsid w:val="00052343"/>
    <w:rsid w:val="00052548"/>
    <w:rsid w:val="00052AD1"/>
    <w:rsid w:val="00053310"/>
    <w:rsid w:val="000535C5"/>
    <w:rsid w:val="000539D0"/>
    <w:rsid w:val="00054450"/>
    <w:rsid w:val="00054621"/>
    <w:rsid w:val="000546D7"/>
    <w:rsid w:val="00054A8D"/>
    <w:rsid w:val="00055261"/>
    <w:rsid w:val="0005586E"/>
    <w:rsid w:val="00055DC6"/>
    <w:rsid w:val="000562F0"/>
    <w:rsid w:val="00056BF6"/>
    <w:rsid w:val="00056CD2"/>
    <w:rsid w:val="00056D1D"/>
    <w:rsid w:val="00056ECF"/>
    <w:rsid w:val="000575B4"/>
    <w:rsid w:val="000577F7"/>
    <w:rsid w:val="000578AE"/>
    <w:rsid w:val="000604DF"/>
    <w:rsid w:val="0006108E"/>
    <w:rsid w:val="0006132B"/>
    <w:rsid w:val="000619C1"/>
    <w:rsid w:val="00061D37"/>
    <w:rsid w:val="00061E57"/>
    <w:rsid w:val="00062324"/>
    <w:rsid w:val="00062CC6"/>
    <w:rsid w:val="000646E3"/>
    <w:rsid w:val="00064ED9"/>
    <w:rsid w:val="00065234"/>
    <w:rsid w:val="000653B5"/>
    <w:rsid w:val="0006564F"/>
    <w:rsid w:val="000662B9"/>
    <w:rsid w:val="00066360"/>
    <w:rsid w:val="00066AC6"/>
    <w:rsid w:val="00066AF8"/>
    <w:rsid w:val="00066B8C"/>
    <w:rsid w:val="00066C5C"/>
    <w:rsid w:val="000672D0"/>
    <w:rsid w:val="00067469"/>
    <w:rsid w:val="000675CB"/>
    <w:rsid w:val="00067667"/>
    <w:rsid w:val="00067973"/>
    <w:rsid w:val="00070E10"/>
    <w:rsid w:val="00071248"/>
    <w:rsid w:val="0007174A"/>
    <w:rsid w:val="000720B9"/>
    <w:rsid w:val="000726FA"/>
    <w:rsid w:val="00072806"/>
    <w:rsid w:val="00073512"/>
    <w:rsid w:val="0007360F"/>
    <w:rsid w:val="0007372B"/>
    <w:rsid w:val="000737F7"/>
    <w:rsid w:val="00074302"/>
    <w:rsid w:val="0007498B"/>
    <w:rsid w:val="00074B45"/>
    <w:rsid w:val="000757B5"/>
    <w:rsid w:val="0007594D"/>
    <w:rsid w:val="0007672F"/>
    <w:rsid w:val="00076B54"/>
    <w:rsid w:val="000774F0"/>
    <w:rsid w:val="00080569"/>
    <w:rsid w:val="00080909"/>
    <w:rsid w:val="000812CA"/>
    <w:rsid w:val="000818DD"/>
    <w:rsid w:val="00081E63"/>
    <w:rsid w:val="00082352"/>
    <w:rsid w:val="00082389"/>
    <w:rsid w:val="00082412"/>
    <w:rsid w:val="0008258D"/>
    <w:rsid w:val="00083656"/>
    <w:rsid w:val="00083C40"/>
    <w:rsid w:val="00083E99"/>
    <w:rsid w:val="00084AA9"/>
    <w:rsid w:val="00084FA8"/>
    <w:rsid w:val="000856C5"/>
    <w:rsid w:val="0008583B"/>
    <w:rsid w:val="000859BA"/>
    <w:rsid w:val="00085C31"/>
    <w:rsid w:val="00085D70"/>
    <w:rsid w:val="00085F38"/>
    <w:rsid w:val="0008648F"/>
    <w:rsid w:val="00086933"/>
    <w:rsid w:val="00090168"/>
    <w:rsid w:val="000902D9"/>
    <w:rsid w:val="000903C0"/>
    <w:rsid w:val="00090A3D"/>
    <w:rsid w:val="00090A5D"/>
    <w:rsid w:val="00090C7E"/>
    <w:rsid w:val="000911AC"/>
    <w:rsid w:val="000911EA"/>
    <w:rsid w:val="000914DE"/>
    <w:rsid w:val="00091720"/>
    <w:rsid w:val="0009189E"/>
    <w:rsid w:val="00092600"/>
    <w:rsid w:val="0009262B"/>
    <w:rsid w:val="000927BE"/>
    <w:rsid w:val="00093055"/>
    <w:rsid w:val="000932C9"/>
    <w:rsid w:val="00093310"/>
    <w:rsid w:val="000938B6"/>
    <w:rsid w:val="00093A6D"/>
    <w:rsid w:val="00093E37"/>
    <w:rsid w:val="000942CD"/>
    <w:rsid w:val="0009445C"/>
    <w:rsid w:val="00095200"/>
    <w:rsid w:val="00095FE5"/>
    <w:rsid w:val="00096284"/>
    <w:rsid w:val="00096303"/>
    <w:rsid w:val="000966A3"/>
    <w:rsid w:val="00096ED3"/>
    <w:rsid w:val="00097936"/>
    <w:rsid w:val="000A02FE"/>
    <w:rsid w:val="000A0301"/>
    <w:rsid w:val="000A0ACF"/>
    <w:rsid w:val="000A1288"/>
    <w:rsid w:val="000A1BC0"/>
    <w:rsid w:val="000A228B"/>
    <w:rsid w:val="000A2797"/>
    <w:rsid w:val="000A2A80"/>
    <w:rsid w:val="000A2F9E"/>
    <w:rsid w:val="000A3E47"/>
    <w:rsid w:val="000A4BA5"/>
    <w:rsid w:val="000A4D76"/>
    <w:rsid w:val="000A522B"/>
    <w:rsid w:val="000A6039"/>
    <w:rsid w:val="000A7453"/>
    <w:rsid w:val="000A7694"/>
    <w:rsid w:val="000A79B0"/>
    <w:rsid w:val="000A79B6"/>
    <w:rsid w:val="000A7D08"/>
    <w:rsid w:val="000B0121"/>
    <w:rsid w:val="000B047C"/>
    <w:rsid w:val="000B0670"/>
    <w:rsid w:val="000B06E5"/>
    <w:rsid w:val="000B0774"/>
    <w:rsid w:val="000B0E75"/>
    <w:rsid w:val="000B2DCB"/>
    <w:rsid w:val="000B2E53"/>
    <w:rsid w:val="000B35D5"/>
    <w:rsid w:val="000B46BD"/>
    <w:rsid w:val="000B48FA"/>
    <w:rsid w:val="000B4B17"/>
    <w:rsid w:val="000B4B5B"/>
    <w:rsid w:val="000B5423"/>
    <w:rsid w:val="000B5CE0"/>
    <w:rsid w:val="000B5EC7"/>
    <w:rsid w:val="000B5F7C"/>
    <w:rsid w:val="000B604C"/>
    <w:rsid w:val="000B6098"/>
    <w:rsid w:val="000B6A9E"/>
    <w:rsid w:val="000B6CAC"/>
    <w:rsid w:val="000B6EFC"/>
    <w:rsid w:val="000B6F02"/>
    <w:rsid w:val="000B7612"/>
    <w:rsid w:val="000B78AE"/>
    <w:rsid w:val="000C17DF"/>
    <w:rsid w:val="000C19F9"/>
    <w:rsid w:val="000C19FC"/>
    <w:rsid w:val="000C1B79"/>
    <w:rsid w:val="000C1E6D"/>
    <w:rsid w:val="000C1FEF"/>
    <w:rsid w:val="000C2323"/>
    <w:rsid w:val="000C2E88"/>
    <w:rsid w:val="000C39BB"/>
    <w:rsid w:val="000C3DF9"/>
    <w:rsid w:val="000C4C03"/>
    <w:rsid w:val="000C4CF2"/>
    <w:rsid w:val="000C4F81"/>
    <w:rsid w:val="000C573C"/>
    <w:rsid w:val="000C6713"/>
    <w:rsid w:val="000C68E5"/>
    <w:rsid w:val="000C7043"/>
    <w:rsid w:val="000C7485"/>
    <w:rsid w:val="000D0239"/>
    <w:rsid w:val="000D0E69"/>
    <w:rsid w:val="000D1BFC"/>
    <w:rsid w:val="000D1D5D"/>
    <w:rsid w:val="000D2284"/>
    <w:rsid w:val="000D281A"/>
    <w:rsid w:val="000D2848"/>
    <w:rsid w:val="000D2C29"/>
    <w:rsid w:val="000D2DEA"/>
    <w:rsid w:val="000D326A"/>
    <w:rsid w:val="000D35CE"/>
    <w:rsid w:val="000D3B5E"/>
    <w:rsid w:val="000D3F8C"/>
    <w:rsid w:val="000D451D"/>
    <w:rsid w:val="000D4895"/>
    <w:rsid w:val="000D51FB"/>
    <w:rsid w:val="000D5304"/>
    <w:rsid w:val="000D56D1"/>
    <w:rsid w:val="000D5A64"/>
    <w:rsid w:val="000D7D1D"/>
    <w:rsid w:val="000E0017"/>
    <w:rsid w:val="000E00E1"/>
    <w:rsid w:val="000E0248"/>
    <w:rsid w:val="000E0367"/>
    <w:rsid w:val="000E0640"/>
    <w:rsid w:val="000E06C8"/>
    <w:rsid w:val="000E0A16"/>
    <w:rsid w:val="000E0D89"/>
    <w:rsid w:val="000E135D"/>
    <w:rsid w:val="000E18C3"/>
    <w:rsid w:val="000E203B"/>
    <w:rsid w:val="000E221E"/>
    <w:rsid w:val="000E3111"/>
    <w:rsid w:val="000E4635"/>
    <w:rsid w:val="000E5739"/>
    <w:rsid w:val="000E5A92"/>
    <w:rsid w:val="000E6BC5"/>
    <w:rsid w:val="000E743C"/>
    <w:rsid w:val="000F00BA"/>
    <w:rsid w:val="000F091C"/>
    <w:rsid w:val="000F0B0A"/>
    <w:rsid w:val="000F0D4C"/>
    <w:rsid w:val="000F1A12"/>
    <w:rsid w:val="000F1E01"/>
    <w:rsid w:val="000F2FE3"/>
    <w:rsid w:val="000F316A"/>
    <w:rsid w:val="000F387B"/>
    <w:rsid w:val="000F3C74"/>
    <w:rsid w:val="000F3ED2"/>
    <w:rsid w:val="000F445B"/>
    <w:rsid w:val="000F4676"/>
    <w:rsid w:val="000F4BB8"/>
    <w:rsid w:val="000F4FA9"/>
    <w:rsid w:val="000F53FB"/>
    <w:rsid w:val="000F6AA5"/>
    <w:rsid w:val="000F6CB8"/>
    <w:rsid w:val="000F7127"/>
    <w:rsid w:val="000F759D"/>
    <w:rsid w:val="000F7B54"/>
    <w:rsid w:val="000F7EF2"/>
    <w:rsid w:val="000F7F3D"/>
    <w:rsid w:val="0010007F"/>
    <w:rsid w:val="001000B3"/>
    <w:rsid w:val="0010065C"/>
    <w:rsid w:val="00100F8A"/>
    <w:rsid w:val="00101C2A"/>
    <w:rsid w:val="00101D37"/>
    <w:rsid w:val="00102C17"/>
    <w:rsid w:val="00103848"/>
    <w:rsid w:val="00103CD6"/>
    <w:rsid w:val="0010452E"/>
    <w:rsid w:val="001049E9"/>
    <w:rsid w:val="00104E0A"/>
    <w:rsid w:val="00105841"/>
    <w:rsid w:val="00105AE2"/>
    <w:rsid w:val="00105C45"/>
    <w:rsid w:val="00105EA9"/>
    <w:rsid w:val="001060C6"/>
    <w:rsid w:val="001066D4"/>
    <w:rsid w:val="00106B80"/>
    <w:rsid w:val="0011032E"/>
    <w:rsid w:val="00110921"/>
    <w:rsid w:val="00110B59"/>
    <w:rsid w:val="0011348B"/>
    <w:rsid w:val="001134DB"/>
    <w:rsid w:val="00113C79"/>
    <w:rsid w:val="00114172"/>
    <w:rsid w:val="001142CA"/>
    <w:rsid w:val="00114BB6"/>
    <w:rsid w:val="001153FE"/>
    <w:rsid w:val="00115982"/>
    <w:rsid w:val="00115A77"/>
    <w:rsid w:val="00116900"/>
    <w:rsid w:val="00116C53"/>
    <w:rsid w:val="00117B69"/>
    <w:rsid w:val="00120750"/>
    <w:rsid w:val="00121799"/>
    <w:rsid w:val="001222FC"/>
    <w:rsid w:val="0012259A"/>
    <w:rsid w:val="00122E0C"/>
    <w:rsid w:val="00123902"/>
    <w:rsid w:val="001247A8"/>
    <w:rsid w:val="00124A03"/>
    <w:rsid w:val="00124A51"/>
    <w:rsid w:val="001251F8"/>
    <w:rsid w:val="0012643F"/>
    <w:rsid w:val="00126621"/>
    <w:rsid w:val="00126B1D"/>
    <w:rsid w:val="0012736C"/>
    <w:rsid w:val="00127562"/>
    <w:rsid w:val="00127DAD"/>
    <w:rsid w:val="001300C7"/>
    <w:rsid w:val="001301E9"/>
    <w:rsid w:val="00130BF0"/>
    <w:rsid w:val="00130C2B"/>
    <w:rsid w:val="00130F97"/>
    <w:rsid w:val="00131CFC"/>
    <w:rsid w:val="00131D82"/>
    <w:rsid w:val="00131F6E"/>
    <w:rsid w:val="00132B22"/>
    <w:rsid w:val="001331CA"/>
    <w:rsid w:val="001332EA"/>
    <w:rsid w:val="00133624"/>
    <w:rsid w:val="001337D8"/>
    <w:rsid w:val="00133993"/>
    <w:rsid w:val="00133D36"/>
    <w:rsid w:val="00134025"/>
    <w:rsid w:val="0013463A"/>
    <w:rsid w:val="00134EA7"/>
    <w:rsid w:val="001360E2"/>
    <w:rsid w:val="00136745"/>
    <w:rsid w:val="0013712B"/>
    <w:rsid w:val="00137645"/>
    <w:rsid w:val="00137651"/>
    <w:rsid w:val="001376B9"/>
    <w:rsid w:val="0014015A"/>
    <w:rsid w:val="001402C6"/>
    <w:rsid w:val="0014040A"/>
    <w:rsid w:val="00140429"/>
    <w:rsid w:val="00140431"/>
    <w:rsid w:val="00140704"/>
    <w:rsid w:val="00140E99"/>
    <w:rsid w:val="00141056"/>
    <w:rsid w:val="00141AB5"/>
    <w:rsid w:val="00141F5A"/>
    <w:rsid w:val="001422A0"/>
    <w:rsid w:val="00142319"/>
    <w:rsid w:val="001424DE"/>
    <w:rsid w:val="001429CE"/>
    <w:rsid w:val="00143383"/>
    <w:rsid w:val="00143F67"/>
    <w:rsid w:val="00144041"/>
    <w:rsid w:val="0014405D"/>
    <w:rsid w:val="00145234"/>
    <w:rsid w:val="0014538E"/>
    <w:rsid w:val="001453A4"/>
    <w:rsid w:val="00145540"/>
    <w:rsid w:val="0014559C"/>
    <w:rsid w:val="001456B0"/>
    <w:rsid w:val="00145ED2"/>
    <w:rsid w:val="00146DD0"/>
    <w:rsid w:val="00147569"/>
    <w:rsid w:val="0014768B"/>
    <w:rsid w:val="00150A2D"/>
    <w:rsid w:val="001511E7"/>
    <w:rsid w:val="001517A2"/>
    <w:rsid w:val="00152198"/>
    <w:rsid w:val="001524CD"/>
    <w:rsid w:val="00152618"/>
    <w:rsid w:val="00152DEF"/>
    <w:rsid w:val="00153031"/>
    <w:rsid w:val="00153261"/>
    <w:rsid w:val="00153E5A"/>
    <w:rsid w:val="00153ED8"/>
    <w:rsid w:val="00154629"/>
    <w:rsid w:val="001547AB"/>
    <w:rsid w:val="00154EEA"/>
    <w:rsid w:val="00154F01"/>
    <w:rsid w:val="00155206"/>
    <w:rsid w:val="00156D19"/>
    <w:rsid w:val="00156F8F"/>
    <w:rsid w:val="00157130"/>
    <w:rsid w:val="001576B1"/>
    <w:rsid w:val="00157BB2"/>
    <w:rsid w:val="001600A0"/>
    <w:rsid w:val="0016047B"/>
    <w:rsid w:val="00160A4C"/>
    <w:rsid w:val="00160EFD"/>
    <w:rsid w:val="00161B43"/>
    <w:rsid w:val="00161CA7"/>
    <w:rsid w:val="00161CC8"/>
    <w:rsid w:val="00162227"/>
    <w:rsid w:val="00162367"/>
    <w:rsid w:val="00162913"/>
    <w:rsid w:val="00162CB8"/>
    <w:rsid w:val="001632ED"/>
    <w:rsid w:val="00163923"/>
    <w:rsid w:val="00163925"/>
    <w:rsid w:val="00163EFF"/>
    <w:rsid w:val="00163F66"/>
    <w:rsid w:val="0016478E"/>
    <w:rsid w:val="001656EF"/>
    <w:rsid w:val="0016577C"/>
    <w:rsid w:val="00165EC4"/>
    <w:rsid w:val="001661FB"/>
    <w:rsid w:val="00166220"/>
    <w:rsid w:val="00166CDC"/>
    <w:rsid w:val="001671A0"/>
    <w:rsid w:val="0016767F"/>
    <w:rsid w:val="00170C24"/>
    <w:rsid w:val="00172742"/>
    <w:rsid w:val="00172833"/>
    <w:rsid w:val="001733E2"/>
    <w:rsid w:val="00173565"/>
    <w:rsid w:val="00173B07"/>
    <w:rsid w:val="00173FE0"/>
    <w:rsid w:val="001750BA"/>
    <w:rsid w:val="001751FA"/>
    <w:rsid w:val="0017575D"/>
    <w:rsid w:val="00175C9B"/>
    <w:rsid w:val="0017708B"/>
    <w:rsid w:val="001772BB"/>
    <w:rsid w:val="001809FB"/>
    <w:rsid w:val="0018112C"/>
    <w:rsid w:val="00181293"/>
    <w:rsid w:val="00181700"/>
    <w:rsid w:val="00181C10"/>
    <w:rsid w:val="00181D9C"/>
    <w:rsid w:val="00182C68"/>
    <w:rsid w:val="001834CB"/>
    <w:rsid w:val="001837FF"/>
    <w:rsid w:val="0018418E"/>
    <w:rsid w:val="00184A12"/>
    <w:rsid w:val="00184B0E"/>
    <w:rsid w:val="00185715"/>
    <w:rsid w:val="00185811"/>
    <w:rsid w:val="00185B19"/>
    <w:rsid w:val="0018674D"/>
    <w:rsid w:val="00186F61"/>
    <w:rsid w:val="001874DF"/>
    <w:rsid w:val="0018752F"/>
    <w:rsid w:val="001877DC"/>
    <w:rsid w:val="00187F08"/>
    <w:rsid w:val="001900B8"/>
    <w:rsid w:val="00190F8F"/>
    <w:rsid w:val="00192608"/>
    <w:rsid w:val="001934F8"/>
    <w:rsid w:val="00193838"/>
    <w:rsid w:val="00193CC7"/>
    <w:rsid w:val="00193D97"/>
    <w:rsid w:val="00193E74"/>
    <w:rsid w:val="001940D0"/>
    <w:rsid w:val="00194974"/>
    <w:rsid w:val="00194AD8"/>
    <w:rsid w:val="00195222"/>
    <w:rsid w:val="001952B4"/>
    <w:rsid w:val="00195452"/>
    <w:rsid w:val="0019580B"/>
    <w:rsid w:val="00195DEE"/>
    <w:rsid w:val="00195FAA"/>
    <w:rsid w:val="00195FE1"/>
    <w:rsid w:val="00196A27"/>
    <w:rsid w:val="00196D66"/>
    <w:rsid w:val="001975D8"/>
    <w:rsid w:val="00197626"/>
    <w:rsid w:val="001A02F3"/>
    <w:rsid w:val="001A11D4"/>
    <w:rsid w:val="001A1363"/>
    <w:rsid w:val="001A141F"/>
    <w:rsid w:val="001A178E"/>
    <w:rsid w:val="001A1846"/>
    <w:rsid w:val="001A1AB7"/>
    <w:rsid w:val="001A2740"/>
    <w:rsid w:val="001A36B7"/>
    <w:rsid w:val="001A38C2"/>
    <w:rsid w:val="001A3D88"/>
    <w:rsid w:val="001A42B0"/>
    <w:rsid w:val="001A43FA"/>
    <w:rsid w:val="001A47C5"/>
    <w:rsid w:val="001A59FB"/>
    <w:rsid w:val="001A5D7D"/>
    <w:rsid w:val="001A5E9E"/>
    <w:rsid w:val="001A613A"/>
    <w:rsid w:val="001A62E4"/>
    <w:rsid w:val="001A6354"/>
    <w:rsid w:val="001A6366"/>
    <w:rsid w:val="001A6B08"/>
    <w:rsid w:val="001A6DB0"/>
    <w:rsid w:val="001A6E96"/>
    <w:rsid w:val="001A74BF"/>
    <w:rsid w:val="001A7977"/>
    <w:rsid w:val="001A7AA9"/>
    <w:rsid w:val="001A7AE8"/>
    <w:rsid w:val="001A7D27"/>
    <w:rsid w:val="001A7EC1"/>
    <w:rsid w:val="001A7F6E"/>
    <w:rsid w:val="001B0DB0"/>
    <w:rsid w:val="001B1D39"/>
    <w:rsid w:val="001B204E"/>
    <w:rsid w:val="001B2372"/>
    <w:rsid w:val="001B244B"/>
    <w:rsid w:val="001B2698"/>
    <w:rsid w:val="001B2E8E"/>
    <w:rsid w:val="001B33DA"/>
    <w:rsid w:val="001B3443"/>
    <w:rsid w:val="001B3521"/>
    <w:rsid w:val="001B3E72"/>
    <w:rsid w:val="001B4032"/>
    <w:rsid w:val="001B4322"/>
    <w:rsid w:val="001B4D20"/>
    <w:rsid w:val="001B52C6"/>
    <w:rsid w:val="001B5BDE"/>
    <w:rsid w:val="001B6016"/>
    <w:rsid w:val="001B6A6B"/>
    <w:rsid w:val="001B6D5D"/>
    <w:rsid w:val="001B6E72"/>
    <w:rsid w:val="001B7210"/>
    <w:rsid w:val="001B7E2B"/>
    <w:rsid w:val="001B7F84"/>
    <w:rsid w:val="001C0338"/>
    <w:rsid w:val="001C0544"/>
    <w:rsid w:val="001C0967"/>
    <w:rsid w:val="001C139E"/>
    <w:rsid w:val="001C1D45"/>
    <w:rsid w:val="001C278B"/>
    <w:rsid w:val="001C2A9B"/>
    <w:rsid w:val="001C389C"/>
    <w:rsid w:val="001C3DD6"/>
    <w:rsid w:val="001C40DC"/>
    <w:rsid w:val="001C4299"/>
    <w:rsid w:val="001C4874"/>
    <w:rsid w:val="001C4D2E"/>
    <w:rsid w:val="001C5447"/>
    <w:rsid w:val="001C5F94"/>
    <w:rsid w:val="001C6085"/>
    <w:rsid w:val="001C686E"/>
    <w:rsid w:val="001C68F6"/>
    <w:rsid w:val="001C6E66"/>
    <w:rsid w:val="001D09EB"/>
    <w:rsid w:val="001D1100"/>
    <w:rsid w:val="001D1391"/>
    <w:rsid w:val="001D142D"/>
    <w:rsid w:val="001D149B"/>
    <w:rsid w:val="001D20D4"/>
    <w:rsid w:val="001D256E"/>
    <w:rsid w:val="001D25D7"/>
    <w:rsid w:val="001D2DC7"/>
    <w:rsid w:val="001D444C"/>
    <w:rsid w:val="001D47CB"/>
    <w:rsid w:val="001D50B2"/>
    <w:rsid w:val="001D5442"/>
    <w:rsid w:val="001D653F"/>
    <w:rsid w:val="001D71F4"/>
    <w:rsid w:val="001D7520"/>
    <w:rsid w:val="001D7645"/>
    <w:rsid w:val="001D77F6"/>
    <w:rsid w:val="001D797A"/>
    <w:rsid w:val="001D7ABE"/>
    <w:rsid w:val="001D7C8F"/>
    <w:rsid w:val="001E0198"/>
    <w:rsid w:val="001E0317"/>
    <w:rsid w:val="001E0405"/>
    <w:rsid w:val="001E096B"/>
    <w:rsid w:val="001E09CF"/>
    <w:rsid w:val="001E128B"/>
    <w:rsid w:val="001E1887"/>
    <w:rsid w:val="001E1E86"/>
    <w:rsid w:val="001E238E"/>
    <w:rsid w:val="001E2469"/>
    <w:rsid w:val="001E2483"/>
    <w:rsid w:val="001E25DB"/>
    <w:rsid w:val="001E2B1E"/>
    <w:rsid w:val="001E2CFF"/>
    <w:rsid w:val="001E2F24"/>
    <w:rsid w:val="001E30CF"/>
    <w:rsid w:val="001E30D4"/>
    <w:rsid w:val="001E34DF"/>
    <w:rsid w:val="001E351D"/>
    <w:rsid w:val="001E35F1"/>
    <w:rsid w:val="001E4288"/>
    <w:rsid w:val="001E47FF"/>
    <w:rsid w:val="001E495A"/>
    <w:rsid w:val="001E4A35"/>
    <w:rsid w:val="001E52EB"/>
    <w:rsid w:val="001E5B3A"/>
    <w:rsid w:val="001E61D2"/>
    <w:rsid w:val="001E6221"/>
    <w:rsid w:val="001E703F"/>
    <w:rsid w:val="001E740C"/>
    <w:rsid w:val="001E748D"/>
    <w:rsid w:val="001E7511"/>
    <w:rsid w:val="001E7C27"/>
    <w:rsid w:val="001F0444"/>
    <w:rsid w:val="001F0608"/>
    <w:rsid w:val="001F0D84"/>
    <w:rsid w:val="001F1235"/>
    <w:rsid w:val="001F1CB3"/>
    <w:rsid w:val="001F1EBC"/>
    <w:rsid w:val="001F36D8"/>
    <w:rsid w:val="001F3848"/>
    <w:rsid w:val="001F38B5"/>
    <w:rsid w:val="001F3AD3"/>
    <w:rsid w:val="001F3F75"/>
    <w:rsid w:val="001F4081"/>
    <w:rsid w:val="001F46AE"/>
    <w:rsid w:val="001F50FE"/>
    <w:rsid w:val="001F5694"/>
    <w:rsid w:val="001F5A86"/>
    <w:rsid w:val="001F627E"/>
    <w:rsid w:val="001F7361"/>
    <w:rsid w:val="001F7B7D"/>
    <w:rsid w:val="002000C7"/>
    <w:rsid w:val="002001C5"/>
    <w:rsid w:val="0020083C"/>
    <w:rsid w:val="00200F67"/>
    <w:rsid w:val="002011B0"/>
    <w:rsid w:val="00202330"/>
    <w:rsid w:val="00202BCA"/>
    <w:rsid w:val="00203181"/>
    <w:rsid w:val="00203453"/>
    <w:rsid w:val="00203783"/>
    <w:rsid w:val="0020385F"/>
    <w:rsid w:val="00204CC3"/>
    <w:rsid w:val="00204D47"/>
    <w:rsid w:val="00206532"/>
    <w:rsid w:val="00206794"/>
    <w:rsid w:val="002068A0"/>
    <w:rsid w:val="00207021"/>
    <w:rsid w:val="0020732F"/>
    <w:rsid w:val="002074A6"/>
    <w:rsid w:val="002074C3"/>
    <w:rsid w:val="002078C8"/>
    <w:rsid w:val="00207950"/>
    <w:rsid w:val="00207D00"/>
    <w:rsid w:val="00207DAB"/>
    <w:rsid w:val="002101A2"/>
    <w:rsid w:val="002105C1"/>
    <w:rsid w:val="00210DCA"/>
    <w:rsid w:val="0021100E"/>
    <w:rsid w:val="002116FD"/>
    <w:rsid w:val="00212376"/>
    <w:rsid w:val="00213186"/>
    <w:rsid w:val="00213976"/>
    <w:rsid w:val="002139D3"/>
    <w:rsid w:val="00213AFD"/>
    <w:rsid w:val="00213EF5"/>
    <w:rsid w:val="00214314"/>
    <w:rsid w:val="0021478E"/>
    <w:rsid w:val="00214D7F"/>
    <w:rsid w:val="00215AB9"/>
    <w:rsid w:val="00215F80"/>
    <w:rsid w:val="00215F9B"/>
    <w:rsid w:val="0021607D"/>
    <w:rsid w:val="0021654B"/>
    <w:rsid w:val="002167CF"/>
    <w:rsid w:val="00216A67"/>
    <w:rsid w:val="00216BF5"/>
    <w:rsid w:val="002179E5"/>
    <w:rsid w:val="00217FC1"/>
    <w:rsid w:val="0022004D"/>
    <w:rsid w:val="0022062B"/>
    <w:rsid w:val="00220DB6"/>
    <w:rsid w:val="002214EC"/>
    <w:rsid w:val="00221B30"/>
    <w:rsid w:val="002224CA"/>
    <w:rsid w:val="00222556"/>
    <w:rsid w:val="00223B49"/>
    <w:rsid w:val="00223B5D"/>
    <w:rsid w:val="00223D5A"/>
    <w:rsid w:val="00223FF1"/>
    <w:rsid w:val="00224A0D"/>
    <w:rsid w:val="00224C45"/>
    <w:rsid w:val="00224DD4"/>
    <w:rsid w:val="00225202"/>
    <w:rsid w:val="002256D9"/>
    <w:rsid w:val="00225745"/>
    <w:rsid w:val="0022593A"/>
    <w:rsid w:val="00226604"/>
    <w:rsid w:val="00226658"/>
    <w:rsid w:val="0022667D"/>
    <w:rsid w:val="002278A0"/>
    <w:rsid w:val="00227A69"/>
    <w:rsid w:val="002309CC"/>
    <w:rsid w:val="00231628"/>
    <w:rsid w:val="0023186B"/>
    <w:rsid w:val="00231B5C"/>
    <w:rsid w:val="00231BA9"/>
    <w:rsid w:val="00231ED9"/>
    <w:rsid w:val="0023209F"/>
    <w:rsid w:val="0023389A"/>
    <w:rsid w:val="00233C01"/>
    <w:rsid w:val="0023413C"/>
    <w:rsid w:val="002343C1"/>
    <w:rsid w:val="00234651"/>
    <w:rsid w:val="002346F0"/>
    <w:rsid w:val="00235596"/>
    <w:rsid w:val="0023629D"/>
    <w:rsid w:val="00236762"/>
    <w:rsid w:val="00236D61"/>
    <w:rsid w:val="00237255"/>
    <w:rsid w:val="00237A88"/>
    <w:rsid w:val="00241285"/>
    <w:rsid w:val="002424AF"/>
    <w:rsid w:val="00242DD4"/>
    <w:rsid w:val="002439DC"/>
    <w:rsid w:val="002441D2"/>
    <w:rsid w:val="00244243"/>
    <w:rsid w:val="00244458"/>
    <w:rsid w:val="00244DC8"/>
    <w:rsid w:val="00244DCE"/>
    <w:rsid w:val="0024518F"/>
    <w:rsid w:val="002458BA"/>
    <w:rsid w:val="00245B68"/>
    <w:rsid w:val="00245CDC"/>
    <w:rsid w:val="00245CE9"/>
    <w:rsid w:val="00245FC8"/>
    <w:rsid w:val="0024636C"/>
    <w:rsid w:val="00246D9E"/>
    <w:rsid w:val="00246E01"/>
    <w:rsid w:val="00247011"/>
    <w:rsid w:val="00247925"/>
    <w:rsid w:val="00247AF9"/>
    <w:rsid w:val="0025003E"/>
    <w:rsid w:val="002500FF"/>
    <w:rsid w:val="00250486"/>
    <w:rsid w:val="00251006"/>
    <w:rsid w:val="00251B29"/>
    <w:rsid w:val="00252117"/>
    <w:rsid w:val="00252173"/>
    <w:rsid w:val="002524D5"/>
    <w:rsid w:val="00252797"/>
    <w:rsid w:val="00252FA5"/>
    <w:rsid w:val="002530BF"/>
    <w:rsid w:val="00253B1D"/>
    <w:rsid w:val="002548D2"/>
    <w:rsid w:val="00254DCF"/>
    <w:rsid w:val="002550A9"/>
    <w:rsid w:val="002550EA"/>
    <w:rsid w:val="0025534B"/>
    <w:rsid w:val="00255BB7"/>
    <w:rsid w:val="00255DC0"/>
    <w:rsid w:val="00257541"/>
    <w:rsid w:val="00257A39"/>
    <w:rsid w:val="00257AC4"/>
    <w:rsid w:val="00257BBE"/>
    <w:rsid w:val="00257D4B"/>
    <w:rsid w:val="002602DB"/>
    <w:rsid w:val="0026085B"/>
    <w:rsid w:val="002608D9"/>
    <w:rsid w:val="00260F78"/>
    <w:rsid w:val="00261226"/>
    <w:rsid w:val="002614EC"/>
    <w:rsid w:val="00261ECF"/>
    <w:rsid w:val="00261EEF"/>
    <w:rsid w:val="00262A1A"/>
    <w:rsid w:val="00262A87"/>
    <w:rsid w:val="00264BA0"/>
    <w:rsid w:val="00264D26"/>
    <w:rsid w:val="002656C6"/>
    <w:rsid w:val="00266322"/>
    <w:rsid w:val="00266A4C"/>
    <w:rsid w:val="00266F9B"/>
    <w:rsid w:val="00267642"/>
    <w:rsid w:val="00267AEA"/>
    <w:rsid w:val="00267CE1"/>
    <w:rsid w:val="002700E6"/>
    <w:rsid w:val="00270BA1"/>
    <w:rsid w:val="00271FC7"/>
    <w:rsid w:val="0027294B"/>
    <w:rsid w:val="0027297F"/>
    <w:rsid w:val="00273011"/>
    <w:rsid w:val="002731E7"/>
    <w:rsid w:val="00273EB4"/>
    <w:rsid w:val="0027402D"/>
    <w:rsid w:val="00274078"/>
    <w:rsid w:val="002741BF"/>
    <w:rsid w:val="00274682"/>
    <w:rsid w:val="002750F9"/>
    <w:rsid w:val="00275158"/>
    <w:rsid w:val="0027544C"/>
    <w:rsid w:val="00275924"/>
    <w:rsid w:val="00275C5A"/>
    <w:rsid w:val="0027635F"/>
    <w:rsid w:val="00276629"/>
    <w:rsid w:val="00276FC6"/>
    <w:rsid w:val="0027785F"/>
    <w:rsid w:val="00277A76"/>
    <w:rsid w:val="00277DBF"/>
    <w:rsid w:val="00277DFD"/>
    <w:rsid w:val="00277EC1"/>
    <w:rsid w:val="002808B4"/>
    <w:rsid w:val="00281014"/>
    <w:rsid w:val="0028109D"/>
    <w:rsid w:val="00282BEA"/>
    <w:rsid w:val="00284545"/>
    <w:rsid w:val="00284F11"/>
    <w:rsid w:val="00285716"/>
    <w:rsid w:val="00285BCE"/>
    <w:rsid w:val="0028665D"/>
    <w:rsid w:val="00287143"/>
    <w:rsid w:val="002878AB"/>
    <w:rsid w:val="00290922"/>
    <w:rsid w:val="00290B58"/>
    <w:rsid w:val="00290BBF"/>
    <w:rsid w:val="00291682"/>
    <w:rsid w:val="0029169C"/>
    <w:rsid w:val="00291715"/>
    <w:rsid w:val="00292F26"/>
    <w:rsid w:val="00293F1A"/>
    <w:rsid w:val="002949CA"/>
    <w:rsid w:val="00294D80"/>
    <w:rsid w:val="00295E9F"/>
    <w:rsid w:val="00296886"/>
    <w:rsid w:val="002971F0"/>
    <w:rsid w:val="00297775"/>
    <w:rsid w:val="002977BB"/>
    <w:rsid w:val="002A01F5"/>
    <w:rsid w:val="002A110F"/>
    <w:rsid w:val="002A1219"/>
    <w:rsid w:val="002A14AB"/>
    <w:rsid w:val="002A17F5"/>
    <w:rsid w:val="002A1D97"/>
    <w:rsid w:val="002A2772"/>
    <w:rsid w:val="002A2ADE"/>
    <w:rsid w:val="002A2F50"/>
    <w:rsid w:val="002A40BD"/>
    <w:rsid w:val="002A46CD"/>
    <w:rsid w:val="002A5BCA"/>
    <w:rsid w:val="002A5D46"/>
    <w:rsid w:val="002A5DAF"/>
    <w:rsid w:val="002A5E11"/>
    <w:rsid w:val="002A7943"/>
    <w:rsid w:val="002A7E7F"/>
    <w:rsid w:val="002A7FCA"/>
    <w:rsid w:val="002B018C"/>
    <w:rsid w:val="002B01D9"/>
    <w:rsid w:val="002B05A1"/>
    <w:rsid w:val="002B09A4"/>
    <w:rsid w:val="002B1C1F"/>
    <w:rsid w:val="002B1EA1"/>
    <w:rsid w:val="002B1F6E"/>
    <w:rsid w:val="002B20B5"/>
    <w:rsid w:val="002B270C"/>
    <w:rsid w:val="002B2B70"/>
    <w:rsid w:val="002B2BCC"/>
    <w:rsid w:val="002B323B"/>
    <w:rsid w:val="002B37AB"/>
    <w:rsid w:val="002B3E99"/>
    <w:rsid w:val="002B4255"/>
    <w:rsid w:val="002B432F"/>
    <w:rsid w:val="002B55E5"/>
    <w:rsid w:val="002B5D58"/>
    <w:rsid w:val="002B62B3"/>
    <w:rsid w:val="002B6309"/>
    <w:rsid w:val="002B6754"/>
    <w:rsid w:val="002B67AB"/>
    <w:rsid w:val="002B69E1"/>
    <w:rsid w:val="002B6CCE"/>
    <w:rsid w:val="002B70E5"/>
    <w:rsid w:val="002B7BAF"/>
    <w:rsid w:val="002C073C"/>
    <w:rsid w:val="002C1391"/>
    <w:rsid w:val="002C1496"/>
    <w:rsid w:val="002C1741"/>
    <w:rsid w:val="002C1AE8"/>
    <w:rsid w:val="002C20DB"/>
    <w:rsid w:val="002C2510"/>
    <w:rsid w:val="002C2775"/>
    <w:rsid w:val="002C27C1"/>
    <w:rsid w:val="002C2E40"/>
    <w:rsid w:val="002C36E3"/>
    <w:rsid w:val="002C3778"/>
    <w:rsid w:val="002C4A83"/>
    <w:rsid w:val="002C4C3C"/>
    <w:rsid w:val="002C4C45"/>
    <w:rsid w:val="002C5099"/>
    <w:rsid w:val="002C5889"/>
    <w:rsid w:val="002C5E04"/>
    <w:rsid w:val="002C6427"/>
    <w:rsid w:val="002C6654"/>
    <w:rsid w:val="002C66D7"/>
    <w:rsid w:val="002C6999"/>
    <w:rsid w:val="002C71CE"/>
    <w:rsid w:val="002C7416"/>
    <w:rsid w:val="002D08F8"/>
    <w:rsid w:val="002D0B6A"/>
    <w:rsid w:val="002D0DAC"/>
    <w:rsid w:val="002D0F64"/>
    <w:rsid w:val="002D164D"/>
    <w:rsid w:val="002D2C2A"/>
    <w:rsid w:val="002D39EA"/>
    <w:rsid w:val="002D3BB7"/>
    <w:rsid w:val="002D460F"/>
    <w:rsid w:val="002D47B8"/>
    <w:rsid w:val="002D547C"/>
    <w:rsid w:val="002D577C"/>
    <w:rsid w:val="002D57F9"/>
    <w:rsid w:val="002D5905"/>
    <w:rsid w:val="002D5A5C"/>
    <w:rsid w:val="002D601E"/>
    <w:rsid w:val="002D731D"/>
    <w:rsid w:val="002D7832"/>
    <w:rsid w:val="002D7B60"/>
    <w:rsid w:val="002D7BC3"/>
    <w:rsid w:val="002E05A9"/>
    <w:rsid w:val="002E0909"/>
    <w:rsid w:val="002E1071"/>
    <w:rsid w:val="002E15B9"/>
    <w:rsid w:val="002E1E71"/>
    <w:rsid w:val="002E2158"/>
    <w:rsid w:val="002E248E"/>
    <w:rsid w:val="002E2666"/>
    <w:rsid w:val="002E2841"/>
    <w:rsid w:val="002E3457"/>
    <w:rsid w:val="002E3537"/>
    <w:rsid w:val="002E3ECF"/>
    <w:rsid w:val="002E4002"/>
    <w:rsid w:val="002E4188"/>
    <w:rsid w:val="002E4F02"/>
    <w:rsid w:val="002E5624"/>
    <w:rsid w:val="002E69CF"/>
    <w:rsid w:val="002E6AE3"/>
    <w:rsid w:val="002E6F3D"/>
    <w:rsid w:val="002E7722"/>
    <w:rsid w:val="002E7892"/>
    <w:rsid w:val="002F0444"/>
    <w:rsid w:val="002F05A3"/>
    <w:rsid w:val="002F07BA"/>
    <w:rsid w:val="002F0988"/>
    <w:rsid w:val="002F0D7A"/>
    <w:rsid w:val="002F0DA9"/>
    <w:rsid w:val="002F1014"/>
    <w:rsid w:val="002F1655"/>
    <w:rsid w:val="002F17FD"/>
    <w:rsid w:val="002F18BC"/>
    <w:rsid w:val="002F1A04"/>
    <w:rsid w:val="002F1E3B"/>
    <w:rsid w:val="002F26CD"/>
    <w:rsid w:val="002F31C9"/>
    <w:rsid w:val="002F352B"/>
    <w:rsid w:val="002F5B6E"/>
    <w:rsid w:val="002F5CFE"/>
    <w:rsid w:val="002F5D1C"/>
    <w:rsid w:val="002F643C"/>
    <w:rsid w:val="002F7196"/>
    <w:rsid w:val="002F71C0"/>
    <w:rsid w:val="002F74F1"/>
    <w:rsid w:val="00300728"/>
    <w:rsid w:val="00300E5F"/>
    <w:rsid w:val="00300F32"/>
    <w:rsid w:val="00301017"/>
    <w:rsid w:val="003011B1"/>
    <w:rsid w:val="0030146E"/>
    <w:rsid w:val="0030155F"/>
    <w:rsid w:val="003015C2"/>
    <w:rsid w:val="00301E2C"/>
    <w:rsid w:val="003021E9"/>
    <w:rsid w:val="00303216"/>
    <w:rsid w:val="00303A22"/>
    <w:rsid w:val="00303AAF"/>
    <w:rsid w:val="00303B1C"/>
    <w:rsid w:val="00303B7E"/>
    <w:rsid w:val="00303C71"/>
    <w:rsid w:val="00303F1A"/>
    <w:rsid w:val="0030587B"/>
    <w:rsid w:val="003059CD"/>
    <w:rsid w:val="00305A12"/>
    <w:rsid w:val="00306C69"/>
    <w:rsid w:val="00306D98"/>
    <w:rsid w:val="00306E12"/>
    <w:rsid w:val="0030786C"/>
    <w:rsid w:val="00307903"/>
    <w:rsid w:val="00307A6E"/>
    <w:rsid w:val="00307E29"/>
    <w:rsid w:val="0031031A"/>
    <w:rsid w:val="003103A3"/>
    <w:rsid w:val="00310981"/>
    <w:rsid w:val="0031114B"/>
    <w:rsid w:val="00311523"/>
    <w:rsid w:val="00311D9B"/>
    <w:rsid w:val="00311EE0"/>
    <w:rsid w:val="003121E9"/>
    <w:rsid w:val="003124D9"/>
    <w:rsid w:val="00312594"/>
    <w:rsid w:val="00312889"/>
    <w:rsid w:val="00312E3B"/>
    <w:rsid w:val="00313B2C"/>
    <w:rsid w:val="00313F71"/>
    <w:rsid w:val="00314B97"/>
    <w:rsid w:val="00314D2B"/>
    <w:rsid w:val="003152D9"/>
    <w:rsid w:val="00315498"/>
    <w:rsid w:val="00315908"/>
    <w:rsid w:val="003163E8"/>
    <w:rsid w:val="00316474"/>
    <w:rsid w:val="00316AC0"/>
    <w:rsid w:val="003172B5"/>
    <w:rsid w:val="0031778F"/>
    <w:rsid w:val="0031797C"/>
    <w:rsid w:val="00317FAB"/>
    <w:rsid w:val="00320580"/>
    <w:rsid w:val="00320C57"/>
    <w:rsid w:val="00320CE1"/>
    <w:rsid w:val="0032101B"/>
    <w:rsid w:val="0032103E"/>
    <w:rsid w:val="003212D0"/>
    <w:rsid w:val="003213EC"/>
    <w:rsid w:val="00321909"/>
    <w:rsid w:val="00321E97"/>
    <w:rsid w:val="00322107"/>
    <w:rsid w:val="00322355"/>
    <w:rsid w:val="00322681"/>
    <w:rsid w:val="00322846"/>
    <w:rsid w:val="003230C7"/>
    <w:rsid w:val="00323452"/>
    <w:rsid w:val="00324109"/>
    <w:rsid w:val="00325145"/>
    <w:rsid w:val="003254D0"/>
    <w:rsid w:val="00326339"/>
    <w:rsid w:val="00326BD4"/>
    <w:rsid w:val="00326DA7"/>
    <w:rsid w:val="003270E4"/>
    <w:rsid w:val="00330B1E"/>
    <w:rsid w:val="00330DAA"/>
    <w:rsid w:val="00330E13"/>
    <w:rsid w:val="00330F5C"/>
    <w:rsid w:val="00330F8B"/>
    <w:rsid w:val="00332978"/>
    <w:rsid w:val="00333B53"/>
    <w:rsid w:val="00335230"/>
    <w:rsid w:val="003355FD"/>
    <w:rsid w:val="0033570E"/>
    <w:rsid w:val="003366C9"/>
    <w:rsid w:val="00336C9B"/>
    <w:rsid w:val="00336D55"/>
    <w:rsid w:val="003371B0"/>
    <w:rsid w:val="00337BEA"/>
    <w:rsid w:val="00340421"/>
    <w:rsid w:val="00340DF1"/>
    <w:rsid w:val="00341358"/>
    <w:rsid w:val="0034135A"/>
    <w:rsid w:val="003413D2"/>
    <w:rsid w:val="00341C9F"/>
    <w:rsid w:val="00342346"/>
    <w:rsid w:val="0034261A"/>
    <w:rsid w:val="00342A0F"/>
    <w:rsid w:val="00343C17"/>
    <w:rsid w:val="00344512"/>
    <w:rsid w:val="003447AE"/>
    <w:rsid w:val="00344BDA"/>
    <w:rsid w:val="003457E3"/>
    <w:rsid w:val="00346314"/>
    <w:rsid w:val="0034678F"/>
    <w:rsid w:val="00346AB3"/>
    <w:rsid w:val="003470A3"/>
    <w:rsid w:val="00347197"/>
    <w:rsid w:val="00347F2D"/>
    <w:rsid w:val="00350BE3"/>
    <w:rsid w:val="00351134"/>
    <w:rsid w:val="003517F9"/>
    <w:rsid w:val="00351843"/>
    <w:rsid w:val="00351858"/>
    <w:rsid w:val="00351BA9"/>
    <w:rsid w:val="003540C9"/>
    <w:rsid w:val="00354172"/>
    <w:rsid w:val="00354382"/>
    <w:rsid w:val="003549EF"/>
    <w:rsid w:val="00354F64"/>
    <w:rsid w:val="00355E86"/>
    <w:rsid w:val="00356209"/>
    <w:rsid w:val="0035620E"/>
    <w:rsid w:val="00356745"/>
    <w:rsid w:val="00356BB5"/>
    <w:rsid w:val="00356E80"/>
    <w:rsid w:val="00356EAE"/>
    <w:rsid w:val="0035706F"/>
    <w:rsid w:val="003575BE"/>
    <w:rsid w:val="003578DE"/>
    <w:rsid w:val="00360345"/>
    <w:rsid w:val="0036051E"/>
    <w:rsid w:val="00360EF8"/>
    <w:rsid w:val="00361A05"/>
    <w:rsid w:val="00361C88"/>
    <w:rsid w:val="003624C4"/>
    <w:rsid w:val="00363B00"/>
    <w:rsid w:val="00364104"/>
    <w:rsid w:val="00364CAB"/>
    <w:rsid w:val="0036544A"/>
    <w:rsid w:val="003654AC"/>
    <w:rsid w:val="00365A75"/>
    <w:rsid w:val="00367DC6"/>
    <w:rsid w:val="00370F6F"/>
    <w:rsid w:val="003710CF"/>
    <w:rsid w:val="003712BB"/>
    <w:rsid w:val="00371E5A"/>
    <w:rsid w:val="00371EA5"/>
    <w:rsid w:val="00372124"/>
    <w:rsid w:val="00373059"/>
    <w:rsid w:val="003730FB"/>
    <w:rsid w:val="0037358A"/>
    <w:rsid w:val="003736B7"/>
    <w:rsid w:val="003743B6"/>
    <w:rsid w:val="00374AC3"/>
    <w:rsid w:val="003750F6"/>
    <w:rsid w:val="003754B7"/>
    <w:rsid w:val="00375F3B"/>
    <w:rsid w:val="003760FC"/>
    <w:rsid w:val="003764A2"/>
    <w:rsid w:val="0037653D"/>
    <w:rsid w:val="00376B70"/>
    <w:rsid w:val="00377374"/>
    <w:rsid w:val="00377744"/>
    <w:rsid w:val="00380591"/>
    <w:rsid w:val="0038114F"/>
    <w:rsid w:val="00381709"/>
    <w:rsid w:val="00382166"/>
    <w:rsid w:val="00382344"/>
    <w:rsid w:val="0038365C"/>
    <w:rsid w:val="0038369B"/>
    <w:rsid w:val="00383B78"/>
    <w:rsid w:val="00383F62"/>
    <w:rsid w:val="00384718"/>
    <w:rsid w:val="003847F0"/>
    <w:rsid w:val="00384FD0"/>
    <w:rsid w:val="0038594F"/>
    <w:rsid w:val="00385A9D"/>
    <w:rsid w:val="00386793"/>
    <w:rsid w:val="00387121"/>
    <w:rsid w:val="00387252"/>
    <w:rsid w:val="00387C9E"/>
    <w:rsid w:val="003902B1"/>
    <w:rsid w:val="00390689"/>
    <w:rsid w:val="00390DE8"/>
    <w:rsid w:val="0039179C"/>
    <w:rsid w:val="00391B3A"/>
    <w:rsid w:val="00391FE1"/>
    <w:rsid w:val="00392223"/>
    <w:rsid w:val="00392B7C"/>
    <w:rsid w:val="00392C9E"/>
    <w:rsid w:val="00392CBA"/>
    <w:rsid w:val="00394959"/>
    <w:rsid w:val="00394D40"/>
    <w:rsid w:val="003954B1"/>
    <w:rsid w:val="00395E82"/>
    <w:rsid w:val="00396306"/>
    <w:rsid w:val="00396355"/>
    <w:rsid w:val="00396896"/>
    <w:rsid w:val="00396D33"/>
    <w:rsid w:val="00396FD0"/>
    <w:rsid w:val="00397217"/>
    <w:rsid w:val="00397897"/>
    <w:rsid w:val="00397946"/>
    <w:rsid w:val="003A0887"/>
    <w:rsid w:val="003A131B"/>
    <w:rsid w:val="003A13B0"/>
    <w:rsid w:val="003A1A08"/>
    <w:rsid w:val="003A1A7A"/>
    <w:rsid w:val="003A2314"/>
    <w:rsid w:val="003A2392"/>
    <w:rsid w:val="003A2831"/>
    <w:rsid w:val="003A2854"/>
    <w:rsid w:val="003A2FE6"/>
    <w:rsid w:val="003A30B0"/>
    <w:rsid w:val="003A374C"/>
    <w:rsid w:val="003A3CB6"/>
    <w:rsid w:val="003A3ED1"/>
    <w:rsid w:val="003A3F3C"/>
    <w:rsid w:val="003A4185"/>
    <w:rsid w:val="003A44DB"/>
    <w:rsid w:val="003A4C14"/>
    <w:rsid w:val="003A5934"/>
    <w:rsid w:val="003A5E57"/>
    <w:rsid w:val="003A67B6"/>
    <w:rsid w:val="003A77A5"/>
    <w:rsid w:val="003B0882"/>
    <w:rsid w:val="003B1063"/>
    <w:rsid w:val="003B1362"/>
    <w:rsid w:val="003B1B5A"/>
    <w:rsid w:val="003B1EA1"/>
    <w:rsid w:val="003B3971"/>
    <w:rsid w:val="003B3E16"/>
    <w:rsid w:val="003B42FF"/>
    <w:rsid w:val="003B49BE"/>
    <w:rsid w:val="003B4D49"/>
    <w:rsid w:val="003B4EE4"/>
    <w:rsid w:val="003B523E"/>
    <w:rsid w:val="003B5485"/>
    <w:rsid w:val="003B554B"/>
    <w:rsid w:val="003B5567"/>
    <w:rsid w:val="003B55D1"/>
    <w:rsid w:val="003B562C"/>
    <w:rsid w:val="003B5B61"/>
    <w:rsid w:val="003B643D"/>
    <w:rsid w:val="003B6B8C"/>
    <w:rsid w:val="003B6E00"/>
    <w:rsid w:val="003B7967"/>
    <w:rsid w:val="003B7D4A"/>
    <w:rsid w:val="003C052D"/>
    <w:rsid w:val="003C0E97"/>
    <w:rsid w:val="003C1654"/>
    <w:rsid w:val="003C188D"/>
    <w:rsid w:val="003C2512"/>
    <w:rsid w:val="003C279B"/>
    <w:rsid w:val="003C361D"/>
    <w:rsid w:val="003C37C3"/>
    <w:rsid w:val="003C43E0"/>
    <w:rsid w:val="003C480A"/>
    <w:rsid w:val="003C4CB6"/>
    <w:rsid w:val="003C5542"/>
    <w:rsid w:val="003C59DD"/>
    <w:rsid w:val="003C5B04"/>
    <w:rsid w:val="003C607F"/>
    <w:rsid w:val="003C65A3"/>
    <w:rsid w:val="003C7456"/>
    <w:rsid w:val="003C795E"/>
    <w:rsid w:val="003C7C15"/>
    <w:rsid w:val="003C7D19"/>
    <w:rsid w:val="003C7D2F"/>
    <w:rsid w:val="003D0843"/>
    <w:rsid w:val="003D0BB0"/>
    <w:rsid w:val="003D0C5A"/>
    <w:rsid w:val="003D13B9"/>
    <w:rsid w:val="003D1828"/>
    <w:rsid w:val="003D1DE4"/>
    <w:rsid w:val="003D1E9A"/>
    <w:rsid w:val="003D2422"/>
    <w:rsid w:val="003D2B45"/>
    <w:rsid w:val="003D3639"/>
    <w:rsid w:val="003D39A1"/>
    <w:rsid w:val="003D3FBF"/>
    <w:rsid w:val="003D43FB"/>
    <w:rsid w:val="003D46F4"/>
    <w:rsid w:val="003D4A30"/>
    <w:rsid w:val="003D4B2A"/>
    <w:rsid w:val="003D4B5F"/>
    <w:rsid w:val="003D6236"/>
    <w:rsid w:val="003D706F"/>
    <w:rsid w:val="003D7452"/>
    <w:rsid w:val="003D79BB"/>
    <w:rsid w:val="003D7C98"/>
    <w:rsid w:val="003D7D9D"/>
    <w:rsid w:val="003E0543"/>
    <w:rsid w:val="003E1378"/>
    <w:rsid w:val="003E2ABE"/>
    <w:rsid w:val="003E2D6F"/>
    <w:rsid w:val="003E3C78"/>
    <w:rsid w:val="003E4856"/>
    <w:rsid w:val="003E4C20"/>
    <w:rsid w:val="003E4D09"/>
    <w:rsid w:val="003E5603"/>
    <w:rsid w:val="003E58EB"/>
    <w:rsid w:val="003E5C75"/>
    <w:rsid w:val="003E676B"/>
    <w:rsid w:val="003E6C41"/>
    <w:rsid w:val="003E6CEA"/>
    <w:rsid w:val="003E6DB9"/>
    <w:rsid w:val="003E749E"/>
    <w:rsid w:val="003E7AC5"/>
    <w:rsid w:val="003E7C7E"/>
    <w:rsid w:val="003E7D33"/>
    <w:rsid w:val="003E7DDC"/>
    <w:rsid w:val="003F0104"/>
    <w:rsid w:val="003F0366"/>
    <w:rsid w:val="003F0E96"/>
    <w:rsid w:val="003F169A"/>
    <w:rsid w:val="003F22FB"/>
    <w:rsid w:val="003F237D"/>
    <w:rsid w:val="003F292B"/>
    <w:rsid w:val="003F4031"/>
    <w:rsid w:val="003F4156"/>
    <w:rsid w:val="003F430C"/>
    <w:rsid w:val="003F50AA"/>
    <w:rsid w:val="003F521B"/>
    <w:rsid w:val="003F584F"/>
    <w:rsid w:val="003F5ADF"/>
    <w:rsid w:val="003F5E68"/>
    <w:rsid w:val="003F63A2"/>
    <w:rsid w:val="003F6739"/>
    <w:rsid w:val="003F69C2"/>
    <w:rsid w:val="003F6FDB"/>
    <w:rsid w:val="003F7BFE"/>
    <w:rsid w:val="003F7E84"/>
    <w:rsid w:val="004001E4"/>
    <w:rsid w:val="0040073E"/>
    <w:rsid w:val="00400B29"/>
    <w:rsid w:val="00400DD7"/>
    <w:rsid w:val="004027AF"/>
    <w:rsid w:val="00402812"/>
    <w:rsid w:val="00402C9D"/>
    <w:rsid w:val="004036EE"/>
    <w:rsid w:val="00403A9A"/>
    <w:rsid w:val="00403CED"/>
    <w:rsid w:val="00404073"/>
    <w:rsid w:val="00404304"/>
    <w:rsid w:val="00404908"/>
    <w:rsid w:val="0040504B"/>
    <w:rsid w:val="004050D1"/>
    <w:rsid w:val="004059F4"/>
    <w:rsid w:val="00405D95"/>
    <w:rsid w:val="004067A8"/>
    <w:rsid w:val="004067D8"/>
    <w:rsid w:val="00406875"/>
    <w:rsid w:val="00406AD0"/>
    <w:rsid w:val="0040737A"/>
    <w:rsid w:val="00407C14"/>
    <w:rsid w:val="00407FE5"/>
    <w:rsid w:val="004101B0"/>
    <w:rsid w:val="00410326"/>
    <w:rsid w:val="004104E2"/>
    <w:rsid w:val="00410630"/>
    <w:rsid w:val="00410708"/>
    <w:rsid w:val="00410E9C"/>
    <w:rsid w:val="00410EC7"/>
    <w:rsid w:val="004116C3"/>
    <w:rsid w:val="00411B39"/>
    <w:rsid w:val="004127A7"/>
    <w:rsid w:val="00412FEC"/>
    <w:rsid w:val="00413636"/>
    <w:rsid w:val="00413A1E"/>
    <w:rsid w:val="00413AAC"/>
    <w:rsid w:val="00413D30"/>
    <w:rsid w:val="00413DD1"/>
    <w:rsid w:val="00414476"/>
    <w:rsid w:val="00414739"/>
    <w:rsid w:val="00414C2E"/>
    <w:rsid w:val="004151CF"/>
    <w:rsid w:val="00415DED"/>
    <w:rsid w:val="00416364"/>
    <w:rsid w:val="00416917"/>
    <w:rsid w:val="00416A3D"/>
    <w:rsid w:val="00416B52"/>
    <w:rsid w:val="00416E13"/>
    <w:rsid w:val="0041791C"/>
    <w:rsid w:val="00420357"/>
    <w:rsid w:val="0042047F"/>
    <w:rsid w:val="00420AA6"/>
    <w:rsid w:val="00420B9F"/>
    <w:rsid w:val="00420D70"/>
    <w:rsid w:val="004214BD"/>
    <w:rsid w:val="004215C5"/>
    <w:rsid w:val="00421765"/>
    <w:rsid w:val="004218BD"/>
    <w:rsid w:val="0042192C"/>
    <w:rsid w:val="00422260"/>
    <w:rsid w:val="0042413F"/>
    <w:rsid w:val="0042446C"/>
    <w:rsid w:val="00425A41"/>
    <w:rsid w:val="00425D5F"/>
    <w:rsid w:val="00426078"/>
    <w:rsid w:val="00427019"/>
    <w:rsid w:val="00427B2E"/>
    <w:rsid w:val="00427FB2"/>
    <w:rsid w:val="00430211"/>
    <w:rsid w:val="004307D4"/>
    <w:rsid w:val="00430D73"/>
    <w:rsid w:val="004319F8"/>
    <w:rsid w:val="00431E55"/>
    <w:rsid w:val="004321F6"/>
    <w:rsid w:val="0043228E"/>
    <w:rsid w:val="0043233A"/>
    <w:rsid w:val="00433044"/>
    <w:rsid w:val="0043357A"/>
    <w:rsid w:val="00433764"/>
    <w:rsid w:val="004337B8"/>
    <w:rsid w:val="00433D73"/>
    <w:rsid w:val="00434088"/>
    <w:rsid w:val="004340D7"/>
    <w:rsid w:val="00434422"/>
    <w:rsid w:val="00434E7B"/>
    <w:rsid w:val="004352FD"/>
    <w:rsid w:val="00435ACD"/>
    <w:rsid w:val="00436619"/>
    <w:rsid w:val="004375B9"/>
    <w:rsid w:val="004376EF"/>
    <w:rsid w:val="004377A8"/>
    <w:rsid w:val="0044097E"/>
    <w:rsid w:val="00440B70"/>
    <w:rsid w:val="00440BBD"/>
    <w:rsid w:val="00441073"/>
    <w:rsid w:val="004417F8"/>
    <w:rsid w:val="00441B31"/>
    <w:rsid w:val="00442411"/>
    <w:rsid w:val="004425A9"/>
    <w:rsid w:val="004426CF"/>
    <w:rsid w:val="004428D0"/>
    <w:rsid w:val="00442C99"/>
    <w:rsid w:val="00442EA5"/>
    <w:rsid w:val="00443F01"/>
    <w:rsid w:val="00444185"/>
    <w:rsid w:val="004443A7"/>
    <w:rsid w:val="004443BC"/>
    <w:rsid w:val="0044442C"/>
    <w:rsid w:val="0044499D"/>
    <w:rsid w:val="00444D98"/>
    <w:rsid w:val="00445941"/>
    <w:rsid w:val="00445A4D"/>
    <w:rsid w:val="004464EB"/>
    <w:rsid w:val="0044695B"/>
    <w:rsid w:val="00446A97"/>
    <w:rsid w:val="00447576"/>
    <w:rsid w:val="00447711"/>
    <w:rsid w:val="00447796"/>
    <w:rsid w:val="00447C4E"/>
    <w:rsid w:val="00447D26"/>
    <w:rsid w:val="00447DFC"/>
    <w:rsid w:val="0045027C"/>
    <w:rsid w:val="00450403"/>
    <w:rsid w:val="00452114"/>
    <w:rsid w:val="00452C08"/>
    <w:rsid w:val="0045459D"/>
    <w:rsid w:val="00454972"/>
    <w:rsid w:val="00454F59"/>
    <w:rsid w:val="00455811"/>
    <w:rsid w:val="004559C3"/>
    <w:rsid w:val="00455D1B"/>
    <w:rsid w:val="00455D45"/>
    <w:rsid w:val="004562CB"/>
    <w:rsid w:val="004564B2"/>
    <w:rsid w:val="00457F03"/>
    <w:rsid w:val="0046011D"/>
    <w:rsid w:val="0046064A"/>
    <w:rsid w:val="00461E48"/>
    <w:rsid w:val="0046261C"/>
    <w:rsid w:val="0046281F"/>
    <w:rsid w:val="00463C71"/>
    <w:rsid w:val="004643F3"/>
    <w:rsid w:val="00464585"/>
    <w:rsid w:val="00464595"/>
    <w:rsid w:val="00465264"/>
    <w:rsid w:val="004657B5"/>
    <w:rsid w:val="004658B5"/>
    <w:rsid w:val="00466689"/>
    <w:rsid w:val="00466853"/>
    <w:rsid w:val="00466F07"/>
    <w:rsid w:val="00467345"/>
    <w:rsid w:val="00467939"/>
    <w:rsid w:val="00467B4B"/>
    <w:rsid w:val="0047070E"/>
    <w:rsid w:val="004717A9"/>
    <w:rsid w:val="00471B07"/>
    <w:rsid w:val="00471EA5"/>
    <w:rsid w:val="004723FC"/>
    <w:rsid w:val="00472432"/>
    <w:rsid w:val="00472A79"/>
    <w:rsid w:val="00472AA2"/>
    <w:rsid w:val="00473F19"/>
    <w:rsid w:val="004742B1"/>
    <w:rsid w:val="00474442"/>
    <w:rsid w:val="0047506E"/>
    <w:rsid w:val="00475E22"/>
    <w:rsid w:val="0047615A"/>
    <w:rsid w:val="00477D8A"/>
    <w:rsid w:val="0048043A"/>
    <w:rsid w:val="004806F6"/>
    <w:rsid w:val="0048088E"/>
    <w:rsid w:val="00480896"/>
    <w:rsid w:val="00480A47"/>
    <w:rsid w:val="00480ACC"/>
    <w:rsid w:val="00480F2B"/>
    <w:rsid w:val="00481244"/>
    <w:rsid w:val="00482720"/>
    <w:rsid w:val="004832DD"/>
    <w:rsid w:val="00483467"/>
    <w:rsid w:val="004835E7"/>
    <w:rsid w:val="00483691"/>
    <w:rsid w:val="00483C47"/>
    <w:rsid w:val="0048556F"/>
    <w:rsid w:val="004859E1"/>
    <w:rsid w:val="00485A9E"/>
    <w:rsid w:val="00485F49"/>
    <w:rsid w:val="00486082"/>
    <w:rsid w:val="004867E2"/>
    <w:rsid w:val="00487C59"/>
    <w:rsid w:val="00487F23"/>
    <w:rsid w:val="0049066A"/>
    <w:rsid w:val="00490B17"/>
    <w:rsid w:val="004911CE"/>
    <w:rsid w:val="004912B3"/>
    <w:rsid w:val="00491B3A"/>
    <w:rsid w:val="00492CFD"/>
    <w:rsid w:val="00493AB3"/>
    <w:rsid w:val="00493F39"/>
    <w:rsid w:val="004941DE"/>
    <w:rsid w:val="00494207"/>
    <w:rsid w:val="00494DD5"/>
    <w:rsid w:val="00495035"/>
    <w:rsid w:val="00495579"/>
    <w:rsid w:val="00495EF0"/>
    <w:rsid w:val="004962D2"/>
    <w:rsid w:val="00496B3F"/>
    <w:rsid w:val="00496D5B"/>
    <w:rsid w:val="0049712D"/>
    <w:rsid w:val="0049755C"/>
    <w:rsid w:val="00497F6B"/>
    <w:rsid w:val="004A0C99"/>
    <w:rsid w:val="004A0DA1"/>
    <w:rsid w:val="004A1393"/>
    <w:rsid w:val="004A13D6"/>
    <w:rsid w:val="004A1475"/>
    <w:rsid w:val="004A1719"/>
    <w:rsid w:val="004A32A1"/>
    <w:rsid w:val="004A442B"/>
    <w:rsid w:val="004A4B57"/>
    <w:rsid w:val="004A5078"/>
    <w:rsid w:val="004A52E9"/>
    <w:rsid w:val="004A56EC"/>
    <w:rsid w:val="004A57FA"/>
    <w:rsid w:val="004A5F59"/>
    <w:rsid w:val="004A6025"/>
    <w:rsid w:val="004A6040"/>
    <w:rsid w:val="004A6172"/>
    <w:rsid w:val="004A62C6"/>
    <w:rsid w:val="004A6597"/>
    <w:rsid w:val="004A6B61"/>
    <w:rsid w:val="004A728C"/>
    <w:rsid w:val="004A7848"/>
    <w:rsid w:val="004A793B"/>
    <w:rsid w:val="004A7E40"/>
    <w:rsid w:val="004B044F"/>
    <w:rsid w:val="004B05F2"/>
    <w:rsid w:val="004B1294"/>
    <w:rsid w:val="004B1CB4"/>
    <w:rsid w:val="004B1E01"/>
    <w:rsid w:val="004B241F"/>
    <w:rsid w:val="004B2F18"/>
    <w:rsid w:val="004B3499"/>
    <w:rsid w:val="004B3828"/>
    <w:rsid w:val="004B3DDB"/>
    <w:rsid w:val="004B4496"/>
    <w:rsid w:val="004B44FD"/>
    <w:rsid w:val="004B4646"/>
    <w:rsid w:val="004B5AEE"/>
    <w:rsid w:val="004B5CFC"/>
    <w:rsid w:val="004B678B"/>
    <w:rsid w:val="004B68A9"/>
    <w:rsid w:val="004B6F79"/>
    <w:rsid w:val="004B765B"/>
    <w:rsid w:val="004B774D"/>
    <w:rsid w:val="004B7A3D"/>
    <w:rsid w:val="004C11DD"/>
    <w:rsid w:val="004C23CD"/>
    <w:rsid w:val="004C2947"/>
    <w:rsid w:val="004C2AC2"/>
    <w:rsid w:val="004C2BA5"/>
    <w:rsid w:val="004C2CC1"/>
    <w:rsid w:val="004C32F5"/>
    <w:rsid w:val="004C3430"/>
    <w:rsid w:val="004C3990"/>
    <w:rsid w:val="004C39D3"/>
    <w:rsid w:val="004C3A57"/>
    <w:rsid w:val="004C3B02"/>
    <w:rsid w:val="004C3F59"/>
    <w:rsid w:val="004C4436"/>
    <w:rsid w:val="004C4631"/>
    <w:rsid w:val="004C4AED"/>
    <w:rsid w:val="004C55A0"/>
    <w:rsid w:val="004C5B72"/>
    <w:rsid w:val="004C65DC"/>
    <w:rsid w:val="004C668C"/>
    <w:rsid w:val="004C6B66"/>
    <w:rsid w:val="004C73C0"/>
    <w:rsid w:val="004C7504"/>
    <w:rsid w:val="004C7606"/>
    <w:rsid w:val="004D02BB"/>
    <w:rsid w:val="004D12BD"/>
    <w:rsid w:val="004D1D2F"/>
    <w:rsid w:val="004D26F4"/>
    <w:rsid w:val="004D2971"/>
    <w:rsid w:val="004D2C2D"/>
    <w:rsid w:val="004D3286"/>
    <w:rsid w:val="004D3AD9"/>
    <w:rsid w:val="004D3DFE"/>
    <w:rsid w:val="004D6116"/>
    <w:rsid w:val="004D65D3"/>
    <w:rsid w:val="004D6805"/>
    <w:rsid w:val="004D69B5"/>
    <w:rsid w:val="004D6BD4"/>
    <w:rsid w:val="004D71A6"/>
    <w:rsid w:val="004D7227"/>
    <w:rsid w:val="004D7821"/>
    <w:rsid w:val="004D7B5E"/>
    <w:rsid w:val="004E0BFC"/>
    <w:rsid w:val="004E0E7F"/>
    <w:rsid w:val="004E0EB8"/>
    <w:rsid w:val="004E15FC"/>
    <w:rsid w:val="004E1766"/>
    <w:rsid w:val="004E18E9"/>
    <w:rsid w:val="004E1932"/>
    <w:rsid w:val="004E1B28"/>
    <w:rsid w:val="004E20E5"/>
    <w:rsid w:val="004E2429"/>
    <w:rsid w:val="004E2584"/>
    <w:rsid w:val="004E2ADC"/>
    <w:rsid w:val="004E2F68"/>
    <w:rsid w:val="004E351A"/>
    <w:rsid w:val="004E40A8"/>
    <w:rsid w:val="004E43B2"/>
    <w:rsid w:val="004E43F5"/>
    <w:rsid w:val="004E4A09"/>
    <w:rsid w:val="004E4BAC"/>
    <w:rsid w:val="004E4BF6"/>
    <w:rsid w:val="004E4BF8"/>
    <w:rsid w:val="004E5F23"/>
    <w:rsid w:val="004E6ADA"/>
    <w:rsid w:val="004E6FCF"/>
    <w:rsid w:val="004E7E57"/>
    <w:rsid w:val="004E7EDE"/>
    <w:rsid w:val="004F053D"/>
    <w:rsid w:val="004F09D6"/>
    <w:rsid w:val="004F0AC0"/>
    <w:rsid w:val="004F0E9E"/>
    <w:rsid w:val="004F1A3C"/>
    <w:rsid w:val="004F1D02"/>
    <w:rsid w:val="004F20F3"/>
    <w:rsid w:val="004F2157"/>
    <w:rsid w:val="004F2228"/>
    <w:rsid w:val="004F2679"/>
    <w:rsid w:val="004F2F21"/>
    <w:rsid w:val="004F36D2"/>
    <w:rsid w:val="004F3DE5"/>
    <w:rsid w:val="004F4B9B"/>
    <w:rsid w:val="004F4E48"/>
    <w:rsid w:val="004F6913"/>
    <w:rsid w:val="004F7865"/>
    <w:rsid w:val="004F7F94"/>
    <w:rsid w:val="005009BF"/>
    <w:rsid w:val="0050174E"/>
    <w:rsid w:val="00501854"/>
    <w:rsid w:val="005018FC"/>
    <w:rsid w:val="0050199B"/>
    <w:rsid w:val="0050219B"/>
    <w:rsid w:val="005028E8"/>
    <w:rsid w:val="00502C6D"/>
    <w:rsid w:val="005036CC"/>
    <w:rsid w:val="00503F17"/>
    <w:rsid w:val="00503F3A"/>
    <w:rsid w:val="00504970"/>
    <w:rsid w:val="00504C35"/>
    <w:rsid w:val="00504F1E"/>
    <w:rsid w:val="00504F2F"/>
    <w:rsid w:val="0050566B"/>
    <w:rsid w:val="00506928"/>
    <w:rsid w:val="005071D2"/>
    <w:rsid w:val="00507596"/>
    <w:rsid w:val="005077EF"/>
    <w:rsid w:val="005078AD"/>
    <w:rsid w:val="005102AF"/>
    <w:rsid w:val="00510886"/>
    <w:rsid w:val="00510986"/>
    <w:rsid w:val="00510D02"/>
    <w:rsid w:val="00511698"/>
    <w:rsid w:val="00511A90"/>
    <w:rsid w:val="00511AD5"/>
    <w:rsid w:val="00511DC7"/>
    <w:rsid w:val="00512B80"/>
    <w:rsid w:val="00512D72"/>
    <w:rsid w:val="005142C5"/>
    <w:rsid w:val="0051501B"/>
    <w:rsid w:val="005152B5"/>
    <w:rsid w:val="00515676"/>
    <w:rsid w:val="005156F4"/>
    <w:rsid w:val="00515821"/>
    <w:rsid w:val="00515886"/>
    <w:rsid w:val="00515CD6"/>
    <w:rsid w:val="0051744B"/>
    <w:rsid w:val="00517A29"/>
    <w:rsid w:val="00517A40"/>
    <w:rsid w:val="00521195"/>
    <w:rsid w:val="0052123C"/>
    <w:rsid w:val="00521319"/>
    <w:rsid w:val="00521EAA"/>
    <w:rsid w:val="00522046"/>
    <w:rsid w:val="0052258F"/>
    <w:rsid w:val="00522BC8"/>
    <w:rsid w:val="00523C28"/>
    <w:rsid w:val="00523DFD"/>
    <w:rsid w:val="0052456F"/>
    <w:rsid w:val="005249FC"/>
    <w:rsid w:val="00525297"/>
    <w:rsid w:val="00526A6E"/>
    <w:rsid w:val="005273C4"/>
    <w:rsid w:val="00527668"/>
    <w:rsid w:val="00527B48"/>
    <w:rsid w:val="00527CEC"/>
    <w:rsid w:val="00527FFC"/>
    <w:rsid w:val="00530A75"/>
    <w:rsid w:val="00530BDA"/>
    <w:rsid w:val="00531639"/>
    <w:rsid w:val="0053176B"/>
    <w:rsid w:val="00531886"/>
    <w:rsid w:val="005319C6"/>
    <w:rsid w:val="0053270C"/>
    <w:rsid w:val="00532A52"/>
    <w:rsid w:val="00532EC7"/>
    <w:rsid w:val="00533CC9"/>
    <w:rsid w:val="005341B3"/>
    <w:rsid w:val="0053461C"/>
    <w:rsid w:val="00534C66"/>
    <w:rsid w:val="00534E43"/>
    <w:rsid w:val="0053509A"/>
    <w:rsid w:val="0053568A"/>
    <w:rsid w:val="00535A12"/>
    <w:rsid w:val="00535B25"/>
    <w:rsid w:val="00535E82"/>
    <w:rsid w:val="00535F82"/>
    <w:rsid w:val="00536475"/>
    <w:rsid w:val="00536CE1"/>
    <w:rsid w:val="00536EAD"/>
    <w:rsid w:val="00536F42"/>
    <w:rsid w:val="00537182"/>
    <w:rsid w:val="00537664"/>
    <w:rsid w:val="0054034D"/>
    <w:rsid w:val="00541EDD"/>
    <w:rsid w:val="00542743"/>
    <w:rsid w:val="00542C2D"/>
    <w:rsid w:val="005434B2"/>
    <w:rsid w:val="005435D0"/>
    <w:rsid w:val="00543645"/>
    <w:rsid w:val="00544472"/>
    <w:rsid w:val="005453EA"/>
    <w:rsid w:val="00545663"/>
    <w:rsid w:val="00545679"/>
    <w:rsid w:val="00545ACD"/>
    <w:rsid w:val="00545E3C"/>
    <w:rsid w:val="00546126"/>
    <w:rsid w:val="00546851"/>
    <w:rsid w:val="00546F72"/>
    <w:rsid w:val="00547022"/>
    <w:rsid w:val="005478BD"/>
    <w:rsid w:val="005479E3"/>
    <w:rsid w:val="005506B9"/>
    <w:rsid w:val="0055088E"/>
    <w:rsid w:val="00550EE2"/>
    <w:rsid w:val="0055147E"/>
    <w:rsid w:val="00551985"/>
    <w:rsid w:val="00552243"/>
    <w:rsid w:val="00552558"/>
    <w:rsid w:val="00552BD3"/>
    <w:rsid w:val="005532A0"/>
    <w:rsid w:val="005536CC"/>
    <w:rsid w:val="00553DBC"/>
    <w:rsid w:val="00554164"/>
    <w:rsid w:val="00554DAF"/>
    <w:rsid w:val="00555109"/>
    <w:rsid w:val="005554F5"/>
    <w:rsid w:val="00555D1E"/>
    <w:rsid w:val="00556165"/>
    <w:rsid w:val="0055645C"/>
    <w:rsid w:val="0055648F"/>
    <w:rsid w:val="00556B35"/>
    <w:rsid w:val="005572CF"/>
    <w:rsid w:val="0055741A"/>
    <w:rsid w:val="00557E0E"/>
    <w:rsid w:val="005600F3"/>
    <w:rsid w:val="0056016F"/>
    <w:rsid w:val="00560185"/>
    <w:rsid w:val="00560794"/>
    <w:rsid w:val="00560969"/>
    <w:rsid w:val="00560E05"/>
    <w:rsid w:val="005611B7"/>
    <w:rsid w:val="005613BE"/>
    <w:rsid w:val="005618BC"/>
    <w:rsid w:val="005618D4"/>
    <w:rsid w:val="00561A2A"/>
    <w:rsid w:val="005627C2"/>
    <w:rsid w:val="005628BB"/>
    <w:rsid w:val="0056291A"/>
    <w:rsid w:val="00564867"/>
    <w:rsid w:val="0056491F"/>
    <w:rsid w:val="005655F2"/>
    <w:rsid w:val="00565A26"/>
    <w:rsid w:val="00565C79"/>
    <w:rsid w:val="00565DF0"/>
    <w:rsid w:val="00566091"/>
    <w:rsid w:val="0056610D"/>
    <w:rsid w:val="005663D1"/>
    <w:rsid w:val="0056696F"/>
    <w:rsid w:val="00566EF5"/>
    <w:rsid w:val="00566F9B"/>
    <w:rsid w:val="0056797E"/>
    <w:rsid w:val="00570516"/>
    <w:rsid w:val="00570711"/>
    <w:rsid w:val="00570C65"/>
    <w:rsid w:val="005713CF"/>
    <w:rsid w:val="0057175D"/>
    <w:rsid w:val="00572269"/>
    <w:rsid w:val="0057244A"/>
    <w:rsid w:val="00572BFD"/>
    <w:rsid w:val="00572F26"/>
    <w:rsid w:val="00573EDF"/>
    <w:rsid w:val="005750C5"/>
    <w:rsid w:val="005752DE"/>
    <w:rsid w:val="0057533F"/>
    <w:rsid w:val="00575D60"/>
    <w:rsid w:val="00575D8D"/>
    <w:rsid w:val="005760CD"/>
    <w:rsid w:val="0057654F"/>
    <w:rsid w:val="00576972"/>
    <w:rsid w:val="00577248"/>
    <w:rsid w:val="00577521"/>
    <w:rsid w:val="00580225"/>
    <w:rsid w:val="00580638"/>
    <w:rsid w:val="00580BA5"/>
    <w:rsid w:val="00581260"/>
    <w:rsid w:val="00581721"/>
    <w:rsid w:val="00581E88"/>
    <w:rsid w:val="00582155"/>
    <w:rsid w:val="005826A3"/>
    <w:rsid w:val="00583699"/>
    <w:rsid w:val="005837D7"/>
    <w:rsid w:val="00583A22"/>
    <w:rsid w:val="00583AEA"/>
    <w:rsid w:val="00583E32"/>
    <w:rsid w:val="00583E3A"/>
    <w:rsid w:val="0058460F"/>
    <w:rsid w:val="00585511"/>
    <w:rsid w:val="00585766"/>
    <w:rsid w:val="00585AC0"/>
    <w:rsid w:val="00585B03"/>
    <w:rsid w:val="00585CDD"/>
    <w:rsid w:val="00586402"/>
    <w:rsid w:val="0058673A"/>
    <w:rsid w:val="00586755"/>
    <w:rsid w:val="00586A73"/>
    <w:rsid w:val="00586D17"/>
    <w:rsid w:val="00587058"/>
    <w:rsid w:val="005879DB"/>
    <w:rsid w:val="00590142"/>
    <w:rsid w:val="00590491"/>
    <w:rsid w:val="00590A9E"/>
    <w:rsid w:val="00590DE8"/>
    <w:rsid w:val="00590E10"/>
    <w:rsid w:val="0059109C"/>
    <w:rsid w:val="00591957"/>
    <w:rsid w:val="0059259F"/>
    <w:rsid w:val="005929E3"/>
    <w:rsid w:val="005932D8"/>
    <w:rsid w:val="005940CE"/>
    <w:rsid w:val="00594861"/>
    <w:rsid w:val="00594D10"/>
    <w:rsid w:val="005951E8"/>
    <w:rsid w:val="005954D0"/>
    <w:rsid w:val="00595DCC"/>
    <w:rsid w:val="00596966"/>
    <w:rsid w:val="00597BF9"/>
    <w:rsid w:val="005A0273"/>
    <w:rsid w:val="005A0C11"/>
    <w:rsid w:val="005A0E02"/>
    <w:rsid w:val="005A2606"/>
    <w:rsid w:val="005A26CA"/>
    <w:rsid w:val="005A27B3"/>
    <w:rsid w:val="005A2C1E"/>
    <w:rsid w:val="005A2C66"/>
    <w:rsid w:val="005A3080"/>
    <w:rsid w:val="005A309A"/>
    <w:rsid w:val="005A33CC"/>
    <w:rsid w:val="005A3480"/>
    <w:rsid w:val="005A373D"/>
    <w:rsid w:val="005A3EDB"/>
    <w:rsid w:val="005A40A4"/>
    <w:rsid w:val="005A40F8"/>
    <w:rsid w:val="005A4A1D"/>
    <w:rsid w:val="005A4A26"/>
    <w:rsid w:val="005A4A81"/>
    <w:rsid w:val="005A54C5"/>
    <w:rsid w:val="005A5C6F"/>
    <w:rsid w:val="005A5F54"/>
    <w:rsid w:val="005A684B"/>
    <w:rsid w:val="005A6D4C"/>
    <w:rsid w:val="005A772F"/>
    <w:rsid w:val="005A77AC"/>
    <w:rsid w:val="005A7C41"/>
    <w:rsid w:val="005B0B58"/>
    <w:rsid w:val="005B0E26"/>
    <w:rsid w:val="005B22C2"/>
    <w:rsid w:val="005B25B4"/>
    <w:rsid w:val="005B2655"/>
    <w:rsid w:val="005B2AAD"/>
    <w:rsid w:val="005B2B75"/>
    <w:rsid w:val="005B2C8B"/>
    <w:rsid w:val="005B2F33"/>
    <w:rsid w:val="005B3975"/>
    <w:rsid w:val="005B3BE9"/>
    <w:rsid w:val="005B4A5F"/>
    <w:rsid w:val="005B4CE9"/>
    <w:rsid w:val="005B4DCC"/>
    <w:rsid w:val="005B4E53"/>
    <w:rsid w:val="005B5857"/>
    <w:rsid w:val="005B5B91"/>
    <w:rsid w:val="005B69AE"/>
    <w:rsid w:val="005B6AF7"/>
    <w:rsid w:val="005B6C0C"/>
    <w:rsid w:val="005C006D"/>
    <w:rsid w:val="005C0389"/>
    <w:rsid w:val="005C0D07"/>
    <w:rsid w:val="005C0E9B"/>
    <w:rsid w:val="005C1036"/>
    <w:rsid w:val="005C17C2"/>
    <w:rsid w:val="005C19C4"/>
    <w:rsid w:val="005C1B83"/>
    <w:rsid w:val="005C25FF"/>
    <w:rsid w:val="005C2B33"/>
    <w:rsid w:val="005C2D55"/>
    <w:rsid w:val="005C346B"/>
    <w:rsid w:val="005C3661"/>
    <w:rsid w:val="005C3DAD"/>
    <w:rsid w:val="005C44FC"/>
    <w:rsid w:val="005C46E2"/>
    <w:rsid w:val="005C50C7"/>
    <w:rsid w:val="005C5433"/>
    <w:rsid w:val="005C5ABC"/>
    <w:rsid w:val="005C5B84"/>
    <w:rsid w:val="005C5EF2"/>
    <w:rsid w:val="005C65AD"/>
    <w:rsid w:val="005C6E8C"/>
    <w:rsid w:val="005C733A"/>
    <w:rsid w:val="005C7ED6"/>
    <w:rsid w:val="005D0133"/>
    <w:rsid w:val="005D0157"/>
    <w:rsid w:val="005D044D"/>
    <w:rsid w:val="005D0ABD"/>
    <w:rsid w:val="005D0D03"/>
    <w:rsid w:val="005D0D54"/>
    <w:rsid w:val="005D18AD"/>
    <w:rsid w:val="005D1DAD"/>
    <w:rsid w:val="005D1E26"/>
    <w:rsid w:val="005D2093"/>
    <w:rsid w:val="005D26B4"/>
    <w:rsid w:val="005D3B17"/>
    <w:rsid w:val="005D4003"/>
    <w:rsid w:val="005D4769"/>
    <w:rsid w:val="005D498A"/>
    <w:rsid w:val="005D4F6D"/>
    <w:rsid w:val="005D5347"/>
    <w:rsid w:val="005D6038"/>
    <w:rsid w:val="005D6292"/>
    <w:rsid w:val="005D655B"/>
    <w:rsid w:val="005D6D9D"/>
    <w:rsid w:val="005D71D3"/>
    <w:rsid w:val="005D73E6"/>
    <w:rsid w:val="005D7920"/>
    <w:rsid w:val="005D7EE4"/>
    <w:rsid w:val="005E02CC"/>
    <w:rsid w:val="005E0845"/>
    <w:rsid w:val="005E1815"/>
    <w:rsid w:val="005E1995"/>
    <w:rsid w:val="005E2998"/>
    <w:rsid w:val="005E2D6E"/>
    <w:rsid w:val="005E3BE3"/>
    <w:rsid w:val="005E4070"/>
    <w:rsid w:val="005E4556"/>
    <w:rsid w:val="005E47D5"/>
    <w:rsid w:val="005E57AC"/>
    <w:rsid w:val="005E5BEE"/>
    <w:rsid w:val="005E5F39"/>
    <w:rsid w:val="005E5FD9"/>
    <w:rsid w:val="005E6097"/>
    <w:rsid w:val="005E6CBC"/>
    <w:rsid w:val="005E72D3"/>
    <w:rsid w:val="005E72FF"/>
    <w:rsid w:val="005E73C0"/>
    <w:rsid w:val="005E73FE"/>
    <w:rsid w:val="005E74AE"/>
    <w:rsid w:val="005E7830"/>
    <w:rsid w:val="005F0006"/>
    <w:rsid w:val="005F07ED"/>
    <w:rsid w:val="005F0D5E"/>
    <w:rsid w:val="005F0E77"/>
    <w:rsid w:val="005F0F94"/>
    <w:rsid w:val="005F169D"/>
    <w:rsid w:val="005F19F2"/>
    <w:rsid w:val="005F1B61"/>
    <w:rsid w:val="005F2507"/>
    <w:rsid w:val="005F2706"/>
    <w:rsid w:val="005F275F"/>
    <w:rsid w:val="005F28C8"/>
    <w:rsid w:val="005F2A94"/>
    <w:rsid w:val="005F34D8"/>
    <w:rsid w:val="005F35B7"/>
    <w:rsid w:val="005F3723"/>
    <w:rsid w:val="005F3D6B"/>
    <w:rsid w:val="005F3F7B"/>
    <w:rsid w:val="005F4800"/>
    <w:rsid w:val="005F505D"/>
    <w:rsid w:val="005F6A04"/>
    <w:rsid w:val="005F6A8F"/>
    <w:rsid w:val="005F6B31"/>
    <w:rsid w:val="005F6BB7"/>
    <w:rsid w:val="005F7588"/>
    <w:rsid w:val="006014C8"/>
    <w:rsid w:val="0060195C"/>
    <w:rsid w:val="00601DFD"/>
    <w:rsid w:val="006020C9"/>
    <w:rsid w:val="006028D3"/>
    <w:rsid w:val="00603A48"/>
    <w:rsid w:val="00603DB9"/>
    <w:rsid w:val="00603DD8"/>
    <w:rsid w:val="00604204"/>
    <w:rsid w:val="00604545"/>
    <w:rsid w:val="00605FE8"/>
    <w:rsid w:val="00606073"/>
    <w:rsid w:val="00606FBA"/>
    <w:rsid w:val="00607669"/>
    <w:rsid w:val="006076F4"/>
    <w:rsid w:val="00607AFD"/>
    <w:rsid w:val="00610300"/>
    <w:rsid w:val="006104B6"/>
    <w:rsid w:val="00610710"/>
    <w:rsid w:val="00610A41"/>
    <w:rsid w:val="00610BB8"/>
    <w:rsid w:val="00610EAC"/>
    <w:rsid w:val="00610EFE"/>
    <w:rsid w:val="0061122E"/>
    <w:rsid w:val="00611B12"/>
    <w:rsid w:val="00612EBC"/>
    <w:rsid w:val="00612F97"/>
    <w:rsid w:val="006130C2"/>
    <w:rsid w:val="0061345D"/>
    <w:rsid w:val="00614D12"/>
    <w:rsid w:val="0061549B"/>
    <w:rsid w:val="00615B99"/>
    <w:rsid w:val="00615BAA"/>
    <w:rsid w:val="00615FCE"/>
    <w:rsid w:val="00616802"/>
    <w:rsid w:val="00617A8F"/>
    <w:rsid w:val="00617B61"/>
    <w:rsid w:val="00617E12"/>
    <w:rsid w:val="00620C25"/>
    <w:rsid w:val="00620E27"/>
    <w:rsid w:val="00621477"/>
    <w:rsid w:val="00621ADA"/>
    <w:rsid w:val="00621FBA"/>
    <w:rsid w:val="006228D3"/>
    <w:rsid w:val="00622D85"/>
    <w:rsid w:val="00622DA6"/>
    <w:rsid w:val="00623011"/>
    <w:rsid w:val="00623529"/>
    <w:rsid w:val="00623D52"/>
    <w:rsid w:val="00623F7B"/>
    <w:rsid w:val="0062434C"/>
    <w:rsid w:val="006246E8"/>
    <w:rsid w:val="00624BD4"/>
    <w:rsid w:val="00625175"/>
    <w:rsid w:val="006253BE"/>
    <w:rsid w:val="0062639C"/>
    <w:rsid w:val="00627348"/>
    <w:rsid w:val="006277B6"/>
    <w:rsid w:val="00627FCC"/>
    <w:rsid w:val="0063006E"/>
    <w:rsid w:val="00630164"/>
    <w:rsid w:val="006308A3"/>
    <w:rsid w:val="00631442"/>
    <w:rsid w:val="0063158F"/>
    <w:rsid w:val="00631D6B"/>
    <w:rsid w:val="00631F0C"/>
    <w:rsid w:val="00632183"/>
    <w:rsid w:val="00632C87"/>
    <w:rsid w:val="006330A1"/>
    <w:rsid w:val="0063345A"/>
    <w:rsid w:val="006334B1"/>
    <w:rsid w:val="00633807"/>
    <w:rsid w:val="00633B3C"/>
    <w:rsid w:val="0063400D"/>
    <w:rsid w:val="0063479F"/>
    <w:rsid w:val="006353F0"/>
    <w:rsid w:val="0063547E"/>
    <w:rsid w:val="006357B5"/>
    <w:rsid w:val="00635FD6"/>
    <w:rsid w:val="006364A1"/>
    <w:rsid w:val="0063678E"/>
    <w:rsid w:val="00637722"/>
    <w:rsid w:val="00637BFD"/>
    <w:rsid w:val="00637C5C"/>
    <w:rsid w:val="00640149"/>
    <w:rsid w:val="0064110E"/>
    <w:rsid w:val="00641A8B"/>
    <w:rsid w:val="00641C4E"/>
    <w:rsid w:val="00641DAA"/>
    <w:rsid w:val="00641FB3"/>
    <w:rsid w:val="00642007"/>
    <w:rsid w:val="0064257D"/>
    <w:rsid w:val="00642CDA"/>
    <w:rsid w:val="00643565"/>
    <w:rsid w:val="0064434C"/>
    <w:rsid w:val="00644993"/>
    <w:rsid w:val="006451EA"/>
    <w:rsid w:val="0064549A"/>
    <w:rsid w:val="00646083"/>
    <w:rsid w:val="00646519"/>
    <w:rsid w:val="006469AB"/>
    <w:rsid w:val="00646A83"/>
    <w:rsid w:val="00646CD1"/>
    <w:rsid w:val="006471CC"/>
    <w:rsid w:val="006472FE"/>
    <w:rsid w:val="00647990"/>
    <w:rsid w:val="00647A29"/>
    <w:rsid w:val="0065079F"/>
    <w:rsid w:val="00650842"/>
    <w:rsid w:val="006508D6"/>
    <w:rsid w:val="0065091A"/>
    <w:rsid w:val="00650BA6"/>
    <w:rsid w:val="00652011"/>
    <w:rsid w:val="00652A28"/>
    <w:rsid w:val="00653379"/>
    <w:rsid w:val="0065360E"/>
    <w:rsid w:val="0065379F"/>
    <w:rsid w:val="00655681"/>
    <w:rsid w:val="00655E37"/>
    <w:rsid w:val="00656188"/>
    <w:rsid w:val="006562FB"/>
    <w:rsid w:val="006568E5"/>
    <w:rsid w:val="006570E0"/>
    <w:rsid w:val="0065715A"/>
    <w:rsid w:val="00657560"/>
    <w:rsid w:val="00657612"/>
    <w:rsid w:val="00657785"/>
    <w:rsid w:val="006579EF"/>
    <w:rsid w:val="00660DEE"/>
    <w:rsid w:val="006610F1"/>
    <w:rsid w:val="006614D1"/>
    <w:rsid w:val="00661C08"/>
    <w:rsid w:val="00661C6B"/>
    <w:rsid w:val="0066215C"/>
    <w:rsid w:val="0066236B"/>
    <w:rsid w:val="006623A0"/>
    <w:rsid w:val="00662D3E"/>
    <w:rsid w:val="0066458F"/>
    <w:rsid w:val="006645F6"/>
    <w:rsid w:val="006651D9"/>
    <w:rsid w:val="006667C9"/>
    <w:rsid w:val="00666D86"/>
    <w:rsid w:val="00667BE3"/>
    <w:rsid w:val="00670372"/>
    <w:rsid w:val="00670A9D"/>
    <w:rsid w:val="00670EEE"/>
    <w:rsid w:val="00671004"/>
    <w:rsid w:val="006710CA"/>
    <w:rsid w:val="00672119"/>
    <w:rsid w:val="0067215C"/>
    <w:rsid w:val="006723D5"/>
    <w:rsid w:val="0067250E"/>
    <w:rsid w:val="00672646"/>
    <w:rsid w:val="00672E94"/>
    <w:rsid w:val="006739DA"/>
    <w:rsid w:val="00674E42"/>
    <w:rsid w:val="00675380"/>
    <w:rsid w:val="00675698"/>
    <w:rsid w:val="00676563"/>
    <w:rsid w:val="00676D9D"/>
    <w:rsid w:val="00677450"/>
    <w:rsid w:val="006774A8"/>
    <w:rsid w:val="00677675"/>
    <w:rsid w:val="0067792D"/>
    <w:rsid w:val="0068102A"/>
    <w:rsid w:val="006813BE"/>
    <w:rsid w:val="006813F8"/>
    <w:rsid w:val="00681B88"/>
    <w:rsid w:val="00682112"/>
    <w:rsid w:val="00682453"/>
    <w:rsid w:val="00682BA6"/>
    <w:rsid w:val="00682D42"/>
    <w:rsid w:val="006848D8"/>
    <w:rsid w:val="00684AFB"/>
    <w:rsid w:val="006854DC"/>
    <w:rsid w:val="00685DCD"/>
    <w:rsid w:val="0068669E"/>
    <w:rsid w:val="00686926"/>
    <w:rsid w:val="00686957"/>
    <w:rsid w:val="006872BA"/>
    <w:rsid w:val="0068744E"/>
    <w:rsid w:val="006904BD"/>
    <w:rsid w:val="00690795"/>
    <w:rsid w:val="00690A01"/>
    <w:rsid w:val="00690D0F"/>
    <w:rsid w:val="00690DA3"/>
    <w:rsid w:val="00690F3B"/>
    <w:rsid w:val="006914D1"/>
    <w:rsid w:val="00691648"/>
    <w:rsid w:val="006917D7"/>
    <w:rsid w:val="0069299D"/>
    <w:rsid w:val="00693710"/>
    <w:rsid w:val="0069380A"/>
    <w:rsid w:val="00693C0B"/>
    <w:rsid w:val="00693EB7"/>
    <w:rsid w:val="00694139"/>
    <w:rsid w:val="0069434C"/>
    <w:rsid w:val="00694604"/>
    <w:rsid w:val="00694C84"/>
    <w:rsid w:val="00694F44"/>
    <w:rsid w:val="0069617B"/>
    <w:rsid w:val="006968D7"/>
    <w:rsid w:val="00696B83"/>
    <w:rsid w:val="00696EC1"/>
    <w:rsid w:val="00696EF9"/>
    <w:rsid w:val="00696F51"/>
    <w:rsid w:val="006971A8"/>
    <w:rsid w:val="00697960"/>
    <w:rsid w:val="006979A5"/>
    <w:rsid w:val="006A016F"/>
    <w:rsid w:val="006A05BB"/>
    <w:rsid w:val="006A0A09"/>
    <w:rsid w:val="006A0DF7"/>
    <w:rsid w:val="006A1962"/>
    <w:rsid w:val="006A1DE6"/>
    <w:rsid w:val="006A1E41"/>
    <w:rsid w:val="006A2D25"/>
    <w:rsid w:val="006A366F"/>
    <w:rsid w:val="006A3F79"/>
    <w:rsid w:val="006A4321"/>
    <w:rsid w:val="006A43D9"/>
    <w:rsid w:val="006A6B99"/>
    <w:rsid w:val="006A6CB6"/>
    <w:rsid w:val="006A7E5F"/>
    <w:rsid w:val="006B04C1"/>
    <w:rsid w:val="006B11E0"/>
    <w:rsid w:val="006B1432"/>
    <w:rsid w:val="006B189B"/>
    <w:rsid w:val="006B261B"/>
    <w:rsid w:val="006B2C90"/>
    <w:rsid w:val="006B30AD"/>
    <w:rsid w:val="006B35E6"/>
    <w:rsid w:val="006B434B"/>
    <w:rsid w:val="006B465A"/>
    <w:rsid w:val="006B47BE"/>
    <w:rsid w:val="006B531D"/>
    <w:rsid w:val="006B6B77"/>
    <w:rsid w:val="006B6D2F"/>
    <w:rsid w:val="006B6DD0"/>
    <w:rsid w:val="006B74A4"/>
    <w:rsid w:val="006C00BF"/>
    <w:rsid w:val="006C0399"/>
    <w:rsid w:val="006C0F75"/>
    <w:rsid w:val="006C1073"/>
    <w:rsid w:val="006C111A"/>
    <w:rsid w:val="006C11C6"/>
    <w:rsid w:val="006C1613"/>
    <w:rsid w:val="006C19B0"/>
    <w:rsid w:val="006C1C27"/>
    <w:rsid w:val="006C1D1A"/>
    <w:rsid w:val="006C2A8E"/>
    <w:rsid w:val="006C2D10"/>
    <w:rsid w:val="006C3255"/>
    <w:rsid w:val="006C3F26"/>
    <w:rsid w:val="006C43D1"/>
    <w:rsid w:val="006C5698"/>
    <w:rsid w:val="006C57F3"/>
    <w:rsid w:val="006C6DC4"/>
    <w:rsid w:val="006C6DE1"/>
    <w:rsid w:val="006C747E"/>
    <w:rsid w:val="006C7B22"/>
    <w:rsid w:val="006D0539"/>
    <w:rsid w:val="006D079D"/>
    <w:rsid w:val="006D0973"/>
    <w:rsid w:val="006D0D17"/>
    <w:rsid w:val="006D0E18"/>
    <w:rsid w:val="006D0F9A"/>
    <w:rsid w:val="006D1EA0"/>
    <w:rsid w:val="006D21FF"/>
    <w:rsid w:val="006D2DF2"/>
    <w:rsid w:val="006D31A9"/>
    <w:rsid w:val="006D31E8"/>
    <w:rsid w:val="006D3C7D"/>
    <w:rsid w:val="006D3E01"/>
    <w:rsid w:val="006D4659"/>
    <w:rsid w:val="006D5528"/>
    <w:rsid w:val="006D5609"/>
    <w:rsid w:val="006D5D5F"/>
    <w:rsid w:val="006D626B"/>
    <w:rsid w:val="006D67B8"/>
    <w:rsid w:val="006D68FB"/>
    <w:rsid w:val="006D6D26"/>
    <w:rsid w:val="006E0050"/>
    <w:rsid w:val="006E00C0"/>
    <w:rsid w:val="006E02CA"/>
    <w:rsid w:val="006E06CD"/>
    <w:rsid w:val="006E0D9E"/>
    <w:rsid w:val="006E0DAD"/>
    <w:rsid w:val="006E1107"/>
    <w:rsid w:val="006E15C3"/>
    <w:rsid w:val="006E2121"/>
    <w:rsid w:val="006E2868"/>
    <w:rsid w:val="006E2DC3"/>
    <w:rsid w:val="006E3461"/>
    <w:rsid w:val="006E37BB"/>
    <w:rsid w:val="006E3E9C"/>
    <w:rsid w:val="006E434E"/>
    <w:rsid w:val="006E4F6B"/>
    <w:rsid w:val="006E5592"/>
    <w:rsid w:val="006E5A14"/>
    <w:rsid w:val="006E69B5"/>
    <w:rsid w:val="006E6B98"/>
    <w:rsid w:val="006E6FC5"/>
    <w:rsid w:val="006F063D"/>
    <w:rsid w:val="006F1234"/>
    <w:rsid w:val="006F1EB5"/>
    <w:rsid w:val="006F2284"/>
    <w:rsid w:val="006F306C"/>
    <w:rsid w:val="006F56B1"/>
    <w:rsid w:val="006F58C4"/>
    <w:rsid w:val="006F63A5"/>
    <w:rsid w:val="006F678E"/>
    <w:rsid w:val="006F67C3"/>
    <w:rsid w:val="006F76D2"/>
    <w:rsid w:val="0070070B"/>
    <w:rsid w:val="00700B02"/>
    <w:rsid w:val="0070142B"/>
    <w:rsid w:val="0070190E"/>
    <w:rsid w:val="00701FBA"/>
    <w:rsid w:val="00702040"/>
    <w:rsid w:val="0070276E"/>
    <w:rsid w:val="00702931"/>
    <w:rsid w:val="00702D1A"/>
    <w:rsid w:val="00702DC8"/>
    <w:rsid w:val="00702F8F"/>
    <w:rsid w:val="007031D5"/>
    <w:rsid w:val="00703E6D"/>
    <w:rsid w:val="007057D2"/>
    <w:rsid w:val="00706646"/>
    <w:rsid w:val="00706EEE"/>
    <w:rsid w:val="0070721A"/>
    <w:rsid w:val="0070725B"/>
    <w:rsid w:val="007079FC"/>
    <w:rsid w:val="00707C4D"/>
    <w:rsid w:val="007102E2"/>
    <w:rsid w:val="00710360"/>
    <w:rsid w:val="007105DC"/>
    <w:rsid w:val="00710902"/>
    <w:rsid w:val="00710F93"/>
    <w:rsid w:val="007112E6"/>
    <w:rsid w:val="00711672"/>
    <w:rsid w:val="00711A36"/>
    <w:rsid w:val="007125D3"/>
    <w:rsid w:val="00713161"/>
    <w:rsid w:val="00713F5B"/>
    <w:rsid w:val="0071422D"/>
    <w:rsid w:val="00714737"/>
    <w:rsid w:val="00714C26"/>
    <w:rsid w:val="00714C31"/>
    <w:rsid w:val="0071512A"/>
    <w:rsid w:val="0071529C"/>
    <w:rsid w:val="00715475"/>
    <w:rsid w:val="00715555"/>
    <w:rsid w:val="00715823"/>
    <w:rsid w:val="007167D6"/>
    <w:rsid w:val="007170DA"/>
    <w:rsid w:val="00717259"/>
    <w:rsid w:val="007172AD"/>
    <w:rsid w:val="00717546"/>
    <w:rsid w:val="00720801"/>
    <w:rsid w:val="00720B15"/>
    <w:rsid w:val="0072140C"/>
    <w:rsid w:val="007214B5"/>
    <w:rsid w:val="00721ABD"/>
    <w:rsid w:val="00721BFD"/>
    <w:rsid w:val="00721DAF"/>
    <w:rsid w:val="00721EE6"/>
    <w:rsid w:val="00721F86"/>
    <w:rsid w:val="00722069"/>
    <w:rsid w:val="00722B1B"/>
    <w:rsid w:val="00722B3F"/>
    <w:rsid w:val="00722B9E"/>
    <w:rsid w:val="00722DE4"/>
    <w:rsid w:val="007234F1"/>
    <w:rsid w:val="00723790"/>
    <w:rsid w:val="007238A3"/>
    <w:rsid w:val="00723ADE"/>
    <w:rsid w:val="00723C3C"/>
    <w:rsid w:val="00724054"/>
    <w:rsid w:val="0072416F"/>
    <w:rsid w:val="00724619"/>
    <w:rsid w:val="00724A71"/>
    <w:rsid w:val="007269F4"/>
    <w:rsid w:val="00726AAD"/>
    <w:rsid w:val="00726BB7"/>
    <w:rsid w:val="00726D14"/>
    <w:rsid w:val="00727C3C"/>
    <w:rsid w:val="00727C94"/>
    <w:rsid w:val="00730693"/>
    <w:rsid w:val="007308FF"/>
    <w:rsid w:val="00731068"/>
    <w:rsid w:val="007319D7"/>
    <w:rsid w:val="00731B0A"/>
    <w:rsid w:val="00731EAE"/>
    <w:rsid w:val="007320CD"/>
    <w:rsid w:val="00732618"/>
    <w:rsid w:val="00732CC1"/>
    <w:rsid w:val="00732FC2"/>
    <w:rsid w:val="00733073"/>
    <w:rsid w:val="00733075"/>
    <w:rsid w:val="007332F3"/>
    <w:rsid w:val="007339F4"/>
    <w:rsid w:val="00733A78"/>
    <w:rsid w:val="00733F7A"/>
    <w:rsid w:val="007341D3"/>
    <w:rsid w:val="0073435E"/>
    <w:rsid w:val="0073484D"/>
    <w:rsid w:val="00734C20"/>
    <w:rsid w:val="00735033"/>
    <w:rsid w:val="00735328"/>
    <w:rsid w:val="00735766"/>
    <w:rsid w:val="007359A3"/>
    <w:rsid w:val="00735C17"/>
    <w:rsid w:val="007363E5"/>
    <w:rsid w:val="0073685B"/>
    <w:rsid w:val="00736E69"/>
    <w:rsid w:val="0073794A"/>
    <w:rsid w:val="00741588"/>
    <w:rsid w:val="00741C13"/>
    <w:rsid w:val="007421B8"/>
    <w:rsid w:val="007422F3"/>
    <w:rsid w:val="0074232C"/>
    <w:rsid w:val="00742737"/>
    <w:rsid w:val="00742757"/>
    <w:rsid w:val="00742A8A"/>
    <w:rsid w:val="00742E8C"/>
    <w:rsid w:val="007431C6"/>
    <w:rsid w:val="00743C5B"/>
    <w:rsid w:val="007449BF"/>
    <w:rsid w:val="00744C80"/>
    <w:rsid w:val="007453C6"/>
    <w:rsid w:val="00745516"/>
    <w:rsid w:val="007460FF"/>
    <w:rsid w:val="007463FE"/>
    <w:rsid w:val="00746BC0"/>
    <w:rsid w:val="00746D0C"/>
    <w:rsid w:val="007475DE"/>
    <w:rsid w:val="00750C3C"/>
    <w:rsid w:val="007510B4"/>
    <w:rsid w:val="00751397"/>
    <w:rsid w:val="00751599"/>
    <w:rsid w:val="00751F4D"/>
    <w:rsid w:val="00752142"/>
    <w:rsid w:val="007523F9"/>
    <w:rsid w:val="0075357E"/>
    <w:rsid w:val="00753996"/>
    <w:rsid w:val="007539F9"/>
    <w:rsid w:val="00753B29"/>
    <w:rsid w:val="0075433D"/>
    <w:rsid w:val="00754E43"/>
    <w:rsid w:val="00755D01"/>
    <w:rsid w:val="007562F5"/>
    <w:rsid w:val="0075650D"/>
    <w:rsid w:val="007565C2"/>
    <w:rsid w:val="0075660D"/>
    <w:rsid w:val="007568CF"/>
    <w:rsid w:val="00756975"/>
    <w:rsid w:val="00756BCF"/>
    <w:rsid w:val="007573E8"/>
    <w:rsid w:val="007577F7"/>
    <w:rsid w:val="00760243"/>
    <w:rsid w:val="00760C4E"/>
    <w:rsid w:val="00760F64"/>
    <w:rsid w:val="00760F9E"/>
    <w:rsid w:val="007616E6"/>
    <w:rsid w:val="007627BE"/>
    <w:rsid w:val="00762B37"/>
    <w:rsid w:val="00762F60"/>
    <w:rsid w:val="007632C6"/>
    <w:rsid w:val="00763C1C"/>
    <w:rsid w:val="00763C88"/>
    <w:rsid w:val="00764117"/>
    <w:rsid w:val="007645B7"/>
    <w:rsid w:val="007647A6"/>
    <w:rsid w:val="00764F03"/>
    <w:rsid w:val="007654D4"/>
    <w:rsid w:val="00765ABB"/>
    <w:rsid w:val="00765B1A"/>
    <w:rsid w:val="00765B48"/>
    <w:rsid w:val="00765DC1"/>
    <w:rsid w:val="00766584"/>
    <w:rsid w:val="0076687E"/>
    <w:rsid w:val="00766B2B"/>
    <w:rsid w:val="00767A31"/>
    <w:rsid w:val="00767B6E"/>
    <w:rsid w:val="007706A3"/>
    <w:rsid w:val="00770B45"/>
    <w:rsid w:val="00770F2C"/>
    <w:rsid w:val="00772BE1"/>
    <w:rsid w:val="00773814"/>
    <w:rsid w:val="00773FAA"/>
    <w:rsid w:val="00774A82"/>
    <w:rsid w:val="00776177"/>
    <w:rsid w:val="00776A29"/>
    <w:rsid w:val="00776B42"/>
    <w:rsid w:val="00777272"/>
    <w:rsid w:val="00777335"/>
    <w:rsid w:val="0078023A"/>
    <w:rsid w:val="00780395"/>
    <w:rsid w:val="00780532"/>
    <w:rsid w:val="0078074B"/>
    <w:rsid w:val="0078083E"/>
    <w:rsid w:val="00780CCA"/>
    <w:rsid w:val="007815B0"/>
    <w:rsid w:val="00781991"/>
    <w:rsid w:val="007821EB"/>
    <w:rsid w:val="0078245F"/>
    <w:rsid w:val="00782B25"/>
    <w:rsid w:val="00782E55"/>
    <w:rsid w:val="00782FBA"/>
    <w:rsid w:val="00783255"/>
    <w:rsid w:val="007843CE"/>
    <w:rsid w:val="007843F2"/>
    <w:rsid w:val="007846C1"/>
    <w:rsid w:val="007846FA"/>
    <w:rsid w:val="007848A5"/>
    <w:rsid w:val="00784D69"/>
    <w:rsid w:val="00785A9F"/>
    <w:rsid w:val="00785B72"/>
    <w:rsid w:val="00785FD4"/>
    <w:rsid w:val="00786046"/>
    <w:rsid w:val="00786ABF"/>
    <w:rsid w:val="0078723F"/>
    <w:rsid w:val="00787635"/>
    <w:rsid w:val="007901A9"/>
    <w:rsid w:val="0079065E"/>
    <w:rsid w:val="00790CDD"/>
    <w:rsid w:val="007911FB"/>
    <w:rsid w:val="00791EC0"/>
    <w:rsid w:val="00792144"/>
    <w:rsid w:val="00792394"/>
    <w:rsid w:val="007925DF"/>
    <w:rsid w:val="00792968"/>
    <w:rsid w:val="00793741"/>
    <w:rsid w:val="00793A0C"/>
    <w:rsid w:val="00793E4F"/>
    <w:rsid w:val="00794395"/>
    <w:rsid w:val="00794854"/>
    <w:rsid w:val="007949ED"/>
    <w:rsid w:val="007955A2"/>
    <w:rsid w:val="00796084"/>
    <w:rsid w:val="007961FB"/>
    <w:rsid w:val="007966A0"/>
    <w:rsid w:val="00796D88"/>
    <w:rsid w:val="0079712A"/>
    <w:rsid w:val="0079759C"/>
    <w:rsid w:val="00797C0B"/>
    <w:rsid w:val="007A0124"/>
    <w:rsid w:val="007A07B0"/>
    <w:rsid w:val="007A08AA"/>
    <w:rsid w:val="007A0A12"/>
    <w:rsid w:val="007A11BF"/>
    <w:rsid w:val="007A132D"/>
    <w:rsid w:val="007A1345"/>
    <w:rsid w:val="007A1F51"/>
    <w:rsid w:val="007A2432"/>
    <w:rsid w:val="007A2AB8"/>
    <w:rsid w:val="007A2DDB"/>
    <w:rsid w:val="007A3174"/>
    <w:rsid w:val="007A31CF"/>
    <w:rsid w:val="007A35A7"/>
    <w:rsid w:val="007A36C6"/>
    <w:rsid w:val="007A49FB"/>
    <w:rsid w:val="007A4D2C"/>
    <w:rsid w:val="007A5168"/>
    <w:rsid w:val="007A55DA"/>
    <w:rsid w:val="007A5795"/>
    <w:rsid w:val="007A579C"/>
    <w:rsid w:val="007A5B84"/>
    <w:rsid w:val="007A5F9A"/>
    <w:rsid w:val="007A66C6"/>
    <w:rsid w:val="007A70BA"/>
    <w:rsid w:val="007A7BD2"/>
    <w:rsid w:val="007B0105"/>
    <w:rsid w:val="007B0844"/>
    <w:rsid w:val="007B087F"/>
    <w:rsid w:val="007B0D68"/>
    <w:rsid w:val="007B100C"/>
    <w:rsid w:val="007B1CD0"/>
    <w:rsid w:val="007B1EC4"/>
    <w:rsid w:val="007B20B3"/>
    <w:rsid w:val="007B20EF"/>
    <w:rsid w:val="007B251D"/>
    <w:rsid w:val="007B2588"/>
    <w:rsid w:val="007B308F"/>
    <w:rsid w:val="007B3462"/>
    <w:rsid w:val="007B3533"/>
    <w:rsid w:val="007B3A54"/>
    <w:rsid w:val="007B3D85"/>
    <w:rsid w:val="007B3E4F"/>
    <w:rsid w:val="007B432F"/>
    <w:rsid w:val="007B4921"/>
    <w:rsid w:val="007B4CE1"/>
    <w:rsid w:val="007B4D6B"/>
    <w:rsid w:val="007B4E23"/>
    <w:rsid w:val="007B4F58"/>
    <w:rsid w:val="007B528D"/>
    <w:rsid w:val="007B5701"/>
    <w:rsid w:val="007B5B15"/>
    <w:rsid w:val="007B637E"/>
    <w:rsid w:val="007B63CA"/>
    <w:rsid w:val="007B68C0"/>
    <w:rsid w:val="007B6D32"/>
    <w:rsid w:val="007B77D1"/>
    <w:rsid w:val="007B7948"/>
    <w:rsid w:val="007B7CFB"/>
    <w:rsid w:val="007B7EA2"/>
    <w:rsid w:val="007C07C7"/>
    <w:rsid w:val="007C0D74"/>
    <w:rsid w:val="007C188C"/>
    <w:rsid w:val="007C1CD9"/>
    <w:rsid w:val="007C3146"/>
    <w:rsid w:val="007C32EF"/>
    <w:rsid w:val="007C3574"/>
    <w:rsid w:val="007C361D"/>
    <w:rsid w:val="007C36FC"/>
    <w:rsid w:val="007C3F8F"/>
    <w:rsid w:val="007C4132"/>
    <w:rsid w:val="007C4826"/>
    <w:rsid w:val="007C4B84"/>
    <w:rsid w:val="007C56A8"/>
    <w:rsid w:val="007C5B09"/>
    <w:rsid w:val="007C5E52"/>
    <w:rsid w:val="007C5F7C"/>
    <w:rsid w:val="007C70FF"/>
    <w:rsid w:val="007C7BBC"/>
    <w:rsid w:val="007C7C25"/>
    <w:rsid w:val="007D004F"/>
    <w:rsid w:val="007D035F"/>
    <w:rsid w:val="007D050F"/>
    <w:rsid w:val="007D0634"/>
    <w:rsid w:val="007D06B2"/>
    <w:rsid w:val="007D0B38"/>
    <w:rsid w:val="007D0B50"/>
    <w:rsid w:val="007D1832"/>
    <w:rsid w:val="007D1D28"/>
    <w:rsid w:val="007D228F"/>
    <w:rsid w:val="007D2570"/>
    <w:rsid w:val="007D2C3D"/>
    <w:rsid w:val="007D2EFE"/>
    <w:rsid w:val="007D3DE3"/>
    <w:rsid w:val="007D4E24"/>
    <w:rsid w:val="007D4F5D"/>
    <w:rsid w:val="007D5195"/>
    <w:rsid w:val="007D5440"/>
    <w:rsid w:val="007D598C"/>
    <w:rsid w:val="007D640A"/>
    <w:rsid w:val="007D649B"/>
    <w:rsid w:val="007D6796"/>
    <w:rsid w:val="007D69EB"/>
    <w:rsid w:val="007D6C13"/>
    <w:rsid w:val="007D6FE0"/>
    <w:rsid w:val="007D770B"/>
    <w:rsid w:val="007D7848"/>
    <w:rsid w:val="007E04BE"/>
    <w:rsid w:val="007E062B"/>
    <w:rsid w:val="007E0802"/>
    <w:rsid w:val="007E0AB1"/>
    <w:rsid w:val="007E128F"/>
    <w:rsid w:val="007E17E0"/>
    <w:rsid w:val="007E18AC"/>
    <w:rsid w:val="007E198C"/>
    <w:rsid w:val="007E1B03"/>
    <w:rsid w:val="007E1B40"/>
    <w:rsid w:val="007E309C"/>
    <w:rsid w:val="007E312E"/>
    <w:rsid w:val="007E3C86"/>
    <w:rsid w:val="007E3D37"/>
    <w:rsid w:val="007E3F45"/>
    <w:rsid w:val="007E4270"/>
    <w:rsid w:val="007E4583"/>
    <w:rsid w:val="007E4594"/>
    <w:rsid w:val="007E466A"/>
    <w:rsid w:val="007E4948"/>
    <w:rsid w:val="007E4CE6"/>
    <w:rsid w:val="007E5619"/>
    <w:rsid w:val="007E57C2"/>
    <w:rsid w:val="007E7A59"/>
    <w:rsid w:val="007F001D"/>
    <w:rsid w:val="007F01D2"/>
    <w:rsid w:val="007F02BB"/>
    <w:rsid w:val="007F093D"/>
    <w:rsid w:val="007F1017"/>
    <w:rsid w:val="007F26A3"/>
    <w:rsid w:val="007F2DA1"/>
    <w:rsid w:val="007F4A3F"/>
    <w:rsid w:val="007F4A61"/>
    <w:rsid w:val="007F4E82"/>
    <w:rsid w:val="007F50D1"/>
    <w:rsid w:val="007F5255"/>
    <w:rsid w:val="007F52B9"/>
    <w:rsid w:val="007F56CC"/>
    <w:rsid w:val="007F5DE1"/>
    <w:rsid w:val="007F61C2"/>
    <w:rsid w:val="007F6A8E"/>
    <w:rsid w:val="007F755B"/>
    <w:rsid w:val="007F79D3"/>
    <w:rsid w:val="008025FF"/>
    <w:rsid w:val="00804150"/>
    <w:rsid w:val="00804783"/>
    <w:rsid w:val="00804CD1"/>
    <w:rsid w:val="00805142"/>
    <w:rsid w:val="0080566B"/>
    <w:rsid w:val="0080566C"/>
    <w:rsid w:val="00805FCE"/>
    <w:rsid w:val="00806731"/>
    <w:rsid w:val="00807129"/>
    <w:rsid w:val="00807418"/>
    <w:rsid w:val="0080781F"/>
    <w:rsid w:val="00807A8B"/>
    <w:rsid w:val="00807C9B"/>
    <w:rsid w:val="00807DEA"/>
    <w:rsid w:val="00807FA0"/>
    <w:rsid w:val="008110CB"/>
    <w:rsid w:val="00811383"/>
    <w:rsid w:val="00812149"/>
    <w:rsid w:val="008124CB"/>
    <w:rsid w:val="00812CAC"/>
    <w:rsid w:val="00813B5E"/>
    <w:rsid w:val="00813DD1"/>
    <w:rsid w:val="00813E88"/>
    <w:rsid w:val="008145DF"/>
    <w:rsid w:val="0081476D"/>
    <w:rsid w:val="00814FF9"/>
    <w:rsid w:val="00815962"/>
    <w:rsid w:val="00816361"/>
    <w:rsid w:val="00816395"/>
    <w:rsid w:val="008166EF"/>
    <w:rsid w:val="00816FEF"/>
    <w:rsid w:val="00817A61"/>
    <w:rsid w:val="00820A8C"/>
    <w:rsid w:val="00820E6A"/>
    <w:rsid w:val="00820FDC"/>
    <w:rsid w:val="008215FB"/>
    <w:rsid w:val="008220CC"/>
    <w:rsid w:val="008224DB"/>
    <w:rsid w:val="00822E79"/>
    <w:rsid w:val="00823174"/>
    <w:rsid w:val="00823696"/>
    <w:rsid w:val="008238FB"/>
    <w:rsid w:val="00824115"/>
    <w:rsid w:val="008244FB"/>
    <w:rsid w:val="008249A6"/>
    <w:rsid w:val="00825751"/>
    <w:rsid w:val="00825861"/>
    <w:rsid w:val="00825FC7"/>
    <w:rsid w:val="008264EB"/>
    <w:rsid w:val="008268CE"/>
    <w:rsid w:val="0082694C"/>
    <w:rsid w:val="00827C23"/>
    <w:rsid w:val="00830081"/>
    <w:rsid w:val="0083161D"/>
    <w:rsid w:val="00831C64"/>
    <w:rsid w:val="00833B05"/>
    <w:rsid w:val="008345C1"/>
    <w:rsid w:val="00834C91"/>
    <w:rsid w:val="00835257"/>
    <w:rsid w:val="008352C0"/>
    <w:rsid w:val="008359AA"/>
    <w:rsid w:val="00835CB8"/>
    <w:rsid w:val="008362B4"/>
    <w:rsid w:val="00836594"/>
    <w:rsid w:val="0083775F"/>
    <w:rsid w:val="0083789D"/>
    <w:rsid w:val="00837E77"/>
    <w:rsid w:val="00840244"/>
    <w:rsid w:val="00840CA2"/>
    <w:rsid w:val="008419BF"/>
    <w:rsid w:val="00841CEB"/>
    <w:rsid w:val="008420E7"/>
    <w:rsid w:val="00842417"/>
    <w:rsid w:val="00842A92"/>
    <w:rsid w:val="0084374F"/>
    <w:rsid w:val="0084474D"/>
    <w:rsid w:val="00844A22"/>
    <w:rsid w:val="00844AA5"/>
    <w:rsid w:val="00846411"/>
    <w:rsid w:val="00846581"/>
    <w:rsid w:val="00846D14"/>
    <w:rsid w:val="008476C9"/>
    <w:rsid w:val="00847703"/>
    <w:rsid w:val="00847DF5"/>
    <w:rsid w:val="008501FC"/>
    <w:rsid w:val="00850662"/>
    <w:rsid w:val="0085075D"/>
    <w:rsid w:val="00850B82"/>
    <w:rsid w:val="00850F8E"/>
    <w:rsid w:val="008516C3"/>
    <w:rsid w:val="0085309D"/>
    <w:rsid w:val="008533DF"/>
    <w:rsid w:val="00854ADB"/>
    <w:rsid w:val="008550CB"/>
    <w:rsid w:val="00856897"/>
    <w:rsid w:val="00856E9A"/>
    <w:rsid w:val="008576E2"/>
    <w:rsid w:val="008578A0"/>
    <w:rsid w:val="00857F9F"/>
    <w:rsid w:val="00857FE7"/>
    <w:rsid w:val="0086014F"/>
    <w:rsid w:val="00860756"/>
    <w:rsid w:val="0086075D"/>
    <w:rsid w:val="00861A18"/>
    <w:rsid w:val="00862502"/>
    <w:rsid w:val="00862CC1"/>
    <w:rsid w:val="00862F01"/>
    <w:rsid w:val="008632A4"/>
    <w:rsid w:val="008642A7"/>
    <w:rsid w:val="00864ED2"/>
    <w:rsid w:val="008660D4"/>
    <w:rsid w:val="008662A9"/>
    <w:rsid w:val="008672B1"/>
    <w:rsid w:val="00867AC1"/>
    <w:rsid w:val="00867BD4"/>
    <w:rsid w:val="00870763"/>
    <w:rsid w:val="00871166"/>
    <w:rsid w:val="00871FA9"/>
    <w:rsid w:val="008728E9"/>
    <w:rsid w:val="00872B55"/>
    <w:rsid w:val="008730F0"/>
    <w:rsid w:val="0087421C"/>
    <w:rsid w:val="00874386"/>
    <w:rsid w:val="00874A68"/>
    <w:rsid w:val="00875194"/>
    <w:rsid w:val="00875AE2"/>
    <w:rsid w:val="00880A8A"/>
    <w:rsid w:val="008824DC"/>
    <w:rsid w:val="0088263B"/>
    <w:rsid w:val="00882874"/>
    <w:rsid w:val="00882E3C"/>
    <w:rsid w:val="00882EF2"/>
    <w:rsid w:val="00882FAD"/>
    <w:rsid w:val="00882FE1"/>
    <w:rsid w:val="0088308A"/>
    <w:rsid w:val="0088347C"/>
    <w:rsid w:val="00883787"/>
    <w:rsid w:val="00883A9D"/>
    <w:rsid w:val="00883D53"/>
    <w:rsid w:val="00883FAA"/>
    <w:rsid w:val="00884570"/>
    <w:rsid w:val="00884DD9"/>
    <w:rsid w:val="00885059"/>
    <w:rsid w:val="00885337"/>
    <w:rsid w:val="008855E4"/>
    <w:rsid w:val="00886CD2"/>
    <w:rsid w:val="00887E4F"/>
    <w:rsid w:val="00887FFE"/>
    <w:rsid w:val="00890AA6"/>
    <w:rsid w:val="00890F08"/>
    <w:rsid w:val="0089149D"/>
    <w:rsid w:val="00891D38"/>
    <w:rsid w:val="00891E6F"/>
    <w:rsid w:val="008923F7"/>
    <w:rsid w:val="0089275D"/>
    <w:rsid w:val="00892A36"/>
    <w:rsid w:val="00892F7A"/>
    <w:rsid w:val="00893239"/>
    <w:rsid w:val="00893565"/>
    <w:rsid w:val="00893BC7"/>
    <w:rsid w:val="00893F0F"/>
    <w:rsid w:val="008940E4"/>
    <w:rsid w:val="0089420E"/>
    <w:rsid w:val="00894489"/>
    <w:rsid w:val="00894C3D"/>
    <w:rsid w:val="00894CD6"/>
    <w:rsid w:val="00894ECC"/>
    <w:rsid w:val="00895D9D"/>
    <w:rsid w:val="0089625F"/>
    <w:rsid w:val="00896321"/>
    <w:rsid w:val="008963A5"/>
    <w:rsid w:val="00896477"/>
    <w:rsid w:val="00896D5D"/>
    <w:rsid w:val="008977BD"/>
    <w:rsid w:val="008A08B0"/>
    <w:rsid w:val="008A2624"/>
    <w:rsid w:val="008A26E7"/>
    <w:rsid w:val="008A2830"/>
    <w:rsid w:val="008A3158"/>
    <w:rsid w:val="008A3240"/>
    <w:rsid w:val="008A3363"/>
    <w:rsid w:val="008A3371"/>
    <w:rsid w:val="008A38F3"/>
    <w:rsid w:val="008A3C3E"/>
    <w:rsid w:val="008A4702"/>
    <w:rsid w:val="008A4D67"/>
    <w:rsid w:val="008A5136"/>
    <w:rsid w:val="008A6353"/>
    <w:rsid w:val="008A698F"/>
    <w:rsid w:val="008A69D8"/>
    <w:rsid w:val="008A6BF7"/>
    <w:rsid w:val="008A711B"/>
    <w:rsid w:val="008A746E"/>
    <w:rsid w:val="008A79DE"/>
    <w:rsid w:val="008B0302"/>
    <w:rsid w:val="008B0838"/>
    <w:rsid w:val="008B158B"/>
    <w:rsid w:val="008B1757"/>
    <w:rsid w:val="008B1C32"/>
    <w:rsid w:val="008B1C33"/>
    <w:rsid w:val="008B21C8"/>
    <w:rsid w:val="008B3343"/>
    <w:rsid w:val="008B3CBC"/>
    <w:rsid w:val="008B4307"/>
    <w:rsid w:val="008B4A06"/>
    <w:rsid w:val="008B4B6F"/>
    <w:rsid w:val="008B7162"/>
    <w:rsid w:val="008B7404"/>
    <w:rsid w:val="008B7454"/>
    <w:rsid w:val="008B7543"/>
    <w:rsid w:val="008B7992"/>
    <w:rsid w:val="008B79C7"/>
    <w:rsid w:val="008B7D7E"/>
    <w:rsid w:val="008C0AC3"/>
    <w:rsid w:val="008C2A1A"/>
    <w:rsid w:val="008C2AAF"/>
    <w:rsid w:val="008C2E69"/>
    <w:rsid w:val="008C3012"/>
    <w:rsid w:val="008C3096"/>
    <w:rsid w:val="008C3142"/>
    <w:rsid w:val="008C3592"/>
    <w:rsid w:val="008C4448"/>
    <w:rsid w:val="008C4483"/>
    <w:rsid w:val="008C4812"/>
    <w:rsid w:val="008C4D6C"/>
    <w:rsid w:val="008C5608"/>
    <w:rsid w:val="008C5610"/>
    <w:rsid w:val="008C5621"/>
    <w:rsid w:val="008C5739"/>
    <w:rsid w:val="008C5988"/>
    <w:rsid w:val="008C5A6A"/>
    <w:rsid w:val="008C6209"/>
    <w:rsid w:val="008C65C4"/>
    <w:rsid w:val="008C6861"/>
    <w:rsid w:val="008C6F6B"/>
    <w:rsid w:val="008C7282"/>
    <w:rsid w:val="008C7AD1"/>
    <w:rsid w:val="008C7D22"/>
    <w:rsid w:val="008C7D33"/>
    <w:rsid w:val="008C7ECB"/>
    <w:rsid w:val="008D1DD6"/>
    <w:rsid w:val="008D2461"/>
    <w:rsid w:val="008D24A9"/>
    <w:rsid w:val="008D2EB4"/>
    <w:rsid w:val="008D390E"/>
    <w:rsid w:val="008D3B86"/>
    <w:rsid w:val="008D43FD"/>
    <w:rsid w:val="008D4755"/>
    <w:rsid w:val="008D4C3D"/>
    <w:rsid w:val="008D4C55"/>
    <w:rsid w:val="008D4CE6"/>
    <w:rsid w:val="008D4E30"/>
    <w:rsid w:val="008D52B9"/>
    <w:rsid w:val="008D5505"/>
    <w:rsid w:val="008D5F12"/>
    <w:rsid w:val="008D642A"/>
    <w:rsid w:val="008D66E7"/>
    <w:rsid w:val="008D67B2"/>
    <w:rsid w:val="008D6DFE"/>
    <w:rsid w:val="008D743C"/>
    <w:rsid w:val="008D789D"/>
    <w:rsid w:val="008D7918"/>
    <w:rsid w:val="008D7FB0"/>
    <w:rsid w:val="008E02ED"/>
    <w:rsid w:val="008E08A4"/>
    <w:rsid w:val="008E0B01"/>
    <w:rsid w:val="008E0D3C"/>
    <w:rsid w:val="008E1A24"/>
    <w:rsid w:val="008E1B9E"/>
    <w:rsid w:val="008E1FB3"/>
    <w:rsid w:val="008E23EE"/>
    <w:rsid w:val="008E297F"/>
    <w:rsid w:val="008E31AE"/>
    <w:rsid w:val="008E3B22"/>
    <w:rsid w:val="008E55AB"/>
    <w:rsid w:val="008E5604"/>
    <w:rsid w:val="008E5771"/>
    <w:rsid w:val="008E68E1"/>
    <w:rsid w:val="008E7A69"/>
    <w:rsid w:val="008F0013"/>
    <w:rsid w:val="008F0417"/>
    <w:rsid w:val="008F104E"/>
    <w:rsid w:val="008F120A"/>
    <w:rsid w:val="008F2036"/>
    <w:rsid w:val="008F213E"/>
    <w:rsid w:val="008F21E4"/>
    <w:rsid w:val="008F27E0"/>
    <w:rsid w:val="008F33A1"/>
    <w:rsid w:val="008F3B4A"/>
    <w:rsid w:val="008F4127"/>
    <w:rsid w:val="008F432A"/>
    <w:rsid w:val="008F463E"/>
    <w:rsid w:val="008F48EB"/>
    <w:rsid w:val="008F4A7C"/>
    <w:rsid w:val="008F4DBB"/>
    <w:rsid w:val="008F4E46"/>
    <w:rsid w:val="008F4F0B"/>
    <w:rsid w:val="008F55B5"/>
    <w:rsid w:val="008F612B"/>
    <w:rsid w:val="008F6C3D"/>
    <w:rsid w:val="008F7122"/>
    <w:rsid w:val="008F7927"/>
    <w:rsid w:val="009001BC"/>
    <w:rsid w:val="00901ABD"/>
    <w:rsid w:val="00901E39"/>
    <w:rsid w:val="00902287"/>
    <w:rsid w:val="009024B9"/>
    <w:rsid w:val="00902FF1"/>
    <w:rsid w:val="00904172"/>
    <w:rsid w:val="00904524"/>
    <w:rsid w:val="009046C4"/>
    <w:rsid w:val="00904B7D"/>
    <w:rsid w:val="0090561F"/>
    <w:rsid w:val="00905AAD"/>
    <w:rsid w:val="00905C93"/>
    <w:rsid w:val="009062A5"/>
    <w:rsid w:val="00906B98"/>
    <w:rsid w:val="009073A7"/>
    <w:rsid w:val="009075AA"/>
    <w:rsid w:val="00907699"/>
    <w:rsid w:val="0090791C"/>
    <w:rsid w:val="00907F10"/>
    <w:rsid w:val="00910EA4"/>
    <w:rsid w:val="00910FA7"/>
    <w:rsid w:val="00911272"/>
    <w:rsid w:val="00911339"/>
    <w:rsid w:val="009115D5"/>
    <w:rsid w:val="00911AB8"/>
    <w:rsid w:val="00911C71"/>
    <w:rsid w:val="0091263A"/>
    <w:rsid w:val="00912A2B"/>
    <w:rsid w:val="00912B7D"/>
    <w:rsid w:val="00912BF4"/>
    <w:rsid w:val="00912C4F"/>
    <w:rsid w:val="00912C6A"/>
    <w:rsid w:val="00912D1B"/>
    <w:rsid w:val="009135AA"/>
    <w:rsid w:val="009135D6"/>
    <w:rsid w:val="00914297"/>
    <w:rsid w:val="00914C77"/>
    <w:rsid w:val="00914D5B"/>
    <w:rsid w:val="00915693"/>
    <w:rsid w:val="00916254"/>
    <w:rsid w:val="009163F7"/>
    <w:rsid w:val="009168DA"/>
    <w:rsid w:val="00916B14"/>
    <w:rsid w:val="00921221"/>
    <w:rsid w:val="0092122D"/>
    <w:rsid w:val="0092140F"/>
    <w:rsid w:val="00921857"/>
    <w:rsid w:val="00921ACB"/>
    <w:rsid w:val="00922433"/>
    <w:rsid w:val="00923591"/>
    <w:rsid w:val="0092369B"/>
    <w:rsid w:val="00923A3D"/>
    <w:rsid w:val="00924089"/>
    <w:rsid w:val="00924EB4"/>
    <w:rsid w:val="00925828"/>
    <w:rsid w:val="0092687A"/>
    <w:rsid w:val="009269E7"/>
    <w:rsid w:val="00926AEA"/>
    <w:rsid w:val="009272EF"/>
    <w:rsid w:val="00927355"/>
    <w:rsid w:val="0092742B"/>
    <w:rsid w:val="00927C0F"/>
    <w:rsid w:val="009300B0"/>
    <w:rsid w:val="0093043E"/>
    <w:rsid w:val="0093052C"/>
    <w:rsid w:val="00930A6D"/>
    <w:rsid w:val="00931384"/>
    <w:rsid w:val="00931927"/>
    <w:rsid w:val="00933322"/>
    <w:rsid w:val="00934057"/>
    <w:rsid w:val="00934988"/>
    <w:rsid w:val="00934B62"/>
    <w:rsid w:val="009350D2"/>
    <w:rsid w:val="0093526E"/>
    <w:rsid w:val="00935EB8"/>
    <w:rsid w:val="009363AB"/>
    <w:rsid w:val="009366A1"/>
    <w:rsid w:val="00937089"/>
    <w:rsid w:val="00937E22"/>
    <w:rsid w:val="00937E47"/>
    <w:rsid w:val="00940136"/>
    <w:rsid w:val="00940895"/>
    <w:rsid w:val="009412F8"/>
    <w:rsid w:val="00941BA6"/>
    <w:rsid w:val="00943393"/>
    <w:rsid w:val="009437E9"/>
    <w:rsid w:val="009440DB"/>
    <w:rsid w:val="009441FC"/>
    <w:rsid w:val="00944F8A"/>
    <w:rsid w:val="00945342"/>
    <w:rsid w:val="00945E9E"/>
    <w:rsid w:val="0094612C"/>
    <w:rsid w:val="009510A2"/>
    <w:rsid w:val="00951A80"/>
    <w:rsid w:val="00951C02"/>
    <w:rsid w:val="00951CD6"/>
    <w:rsid w:val="0095205A"/>
    <w:rsid w:val="009523FE"/>
    <w:rsid w:val="00953257"/>
    <w:rsid w:val="0095394C"/>
    <w:rsid w:val="00953A9A"/>
    <w:rsid w:val="00953B28"/>
    <w:rsid w:val="00953D2A"/>
    <w:rsid w:val="00953FEE"/>
    <w:rsid w:val="00954114"/>
    <w:rsid w:val="009542A2"/>
    <w:rsid w:val="0095474C"/>
    <w:rsid w:val="00954AA2"/>
    <w:rsid w:val="00954F22"/>
    <w:rsid w:val="00955EB8"/>
    <w:rsid w:val="009565BE"/>
    <w:rsid w:val="00956E54"/>
    <w:rsid w:val="00956FD7"/>
    <w:rsid w:val="00957A64"/>
    <w:rsid w:val="00957BED"/>
    <w:rsid w:val="00957D92"/>
    <w:rsid w:val="00957F5A"/>
    <w:rsid w:val="00960135"/>
    <w:rsid w:val="009605A3"/>
    <w:rsid w:val="00960A78"/>
    <w:rsid w:val="009613D8"/>
    <w:rsid w:val="0096147D"/>
    <w:rsid w:val="009616B1"/>
    <w:rsid w:val="009616F2"/>
    <w:rsid w:val="00961CA3"/>
    <w:rsid w:val="00961FCD"/>
    <w:rsid w:val="009629B7"/>
    <w:rsid w:val="00962CB9"/>
    <w:rsid w:val="00962F72"/>
    <w:rsid w:val="009638F1"/>
    <w:rsid w:val="00964157"/>
    <w:rsid w:val="00964312"/>
    <w:rsid w:val="00964660"/>
    <w:rsid w:val="00964BCF"/>
    <w:rsid w:val="00965403"/>
    <w:rsid w:val="00965B8A"/>
    <w:rsid w:val="0096604D"/>
    <w:rsid w:val="00966073"/>
    <w:rsid w:val="00967C01"/>
    <w:rsid w:val="0097071F"/>
    <w:rsid w:val="00970AA2"/>
    <w:rsid w:val="009717AC"/>
    <w:rsid w:val="00972AAC"/>
    <w:rsid w:val="00973632"/>
    <w:rsid w:val="0097459A"/>
    <w:rsid w:val="00974814"/>
    <w:rsid w:val="009749F5"/>
    <w:rsid w:val="009751C1"/>
    <w:rsid w:val="009753C4"/>
    <w:rsid w:val="009753DB"/>
    <w:rsid w:val="00975879"/>
    <w:rsid w:val="00975BC2"/>
    <w:rsid w:val="00975E0C"/>
    <w:rsid w:val="00977CD1"/>
    <w:rsid w:val="0098069F"/>
    <w:rsid w:val="00980AB2"/>
    <w:rsid w:val="00980BB9"/>
    <w:rsid w:val="009811F1"/>
    <w:rsid w:val="00981BD6"/>
    <w:rsid w:val="0098227C"/>
    <w:rsid w:val="0098262F"/>
    <w:rsid w:val="009834BD"/>
    <w:rsid w:val="00983589"/>
    <w:rsid w:val="00983E57"/>
    <w:rsid w:val="00984E83"/>
    <w:rsid w:val="009850BC"/>
    <w:rsid w:val="0098581E"/>
    <w:rsid w:val="009859F1"/>
    <w:rsid w:val="00985DE2"/>
    <w:rsid w:val="009865FC"/>
    <w:rsid w:val="0098675D"/>
    <w:rsid w:val="00987BA4"/>
    <w:rsid w:val="00987CF0"/>
    <w:rsid w:val="009912C6"/>
    <w:rsid w:val="00991517"/>
    <w:rsid w:val="009915B9"/>
    <w:rsid w:val="00991B4F"/>
    <w:rsid w:val="00991F8E"/>
    <w:rsid w:val="00992161"/>
    <w:rsid w:val="009925D2"/>
    <w:rsid w:val="009926E0"/>
    <w:rsid w:val="00992C21"/>
    <w:rsid w:val="0099393B"/>
    <w:rsid w:val="0099417C"/>
    <w:rsid w:val="0099451E"/>
    <w:rsid w:val="009947AE"/>
    <w:rsid w:val="00994CC8"/>
    <w:rsid w:val="00995CD8"/>
    <w:rsid w:val="00996818"/>
    <w:rsid w:val="009968AF"/>
    <w:rsid w:val="00996B1A"/>
    <w:rsid w:val="00996F9A"/>
    <w:rsid w:val="00997CFD"/>
    <w:rsid w:val="00997D17"/>
    <w:rsid w:val="009A017D"/>
    <w:rsid w:val="009A17A1"/>
    <w:rsid w:val="009A18F6"/>
    <w:rsid w:val="009A205A"/>
    <w:rsid w:val="009A28F9"/>
    <w:rsid w:val="009A2A47"/>
    <w:rsid w:val="009A2A49"/>
    <w:rsid w:val="009A2C7F"/>
    <w:rsid w:val="009A2DCC"/>
    <w:rsid w:val="009A32EE"/>
    <w:rsid w:val="009A3454"/>
    <w:rsid w:val="009A564A"/>
    <w:rsid w:val="009A5ABC"/>
    <w:rsid w:val="009A5BE4"/>
    <w:rsid w:val="009A7743"/>
    <w:rsid w:val="009A7F10"/>
    <w:rsid w:val="009B1D42"/>
    <w:rsid w:val="009B24DF"/>
    <w:rsid w:val="009B3556"/>
    <w:rsid w:val="009B36EB"/>
    <w:rsid w:val="009B3E26"/>
    <w:rsid w:val="009B405F"/>
    <w:rsid w:val="009B4CE5"/>
    <w:rsid w:val="009B4D54"/>
    <w:rsid w:val="009B4DF4"/>
    <w:rsid w:val="009B4F2E"/>
    <w:rsid w:val="009B5043"/>
    <w:rsid w:val="009B5487"/>
    <w:rsid w:val="009B5BDB"/>
    <w:rsid w:val="009B6303"/>
    <w:rsid w:val="009B7504"/>
    <w:rsid w:val="009B75F9"/>
    <w:rsid w:val="009B7732"/>
    <w:rsid w:val="009B7871"/>
    <w:rsid w:val="009B79D3"/>
    <w:rsid w:val="009C1263"/>
    <w:rsid w:val="009C1271"/>
    <w:rsid w:val="009C2A52"/>
    <w:rsid w:val="009C2A9C"/>
    <w:rsid w:val="009C2FC2"/>
    <w:rsid w:val="009C3706"/>
    <w:rsid w:val="009C3A3A"/>
    <w:rsid w:val="009C3E83"/>
    <w:rsid w:val="009C426B"/>
    <w:rsid w:val="009C4686"/>
    <w:rsid w:val="009C49CD"/>
    <w:rsid w:val="009C54CC"/>
    <w:rsid w:val="009C62C3"/>
    <w:rsid w:val="009C66A5"/>
    <w:rsid w:val="009C6CEA"/>
    <w:rsid w:val="009C7B85"/>
    <w:rsid w:val="009D0254"/>
    <w:rsid w:val="009D0661"/>
    <w:rsid w:val="009D087F"/>
    <w:rsid w:val="009D13BB"/>
    <w:rsid w:val="009D18E4"/>
    <w:rsid w:val="009D1A64"/>
    <w:rsid w:val="009D2039"/>
    <w:rsid w:val="009D24F2"/>
    <w:rsid w:val="009D2C5C"/>
    <w:rsid w:val="009D3637"/>
    <w:rsid w:val="009D3C9F"/>
    <w:rsid w:val="009D3D65"/>
    <w:rsid w:val="009D3E06"/>
    <w:rsid w:val="009D3E17"/>
    <w:rsid w:val="009D47F0"/>
    <w:rsid w:val="009D488F"/>
    <w:rsid w:val="009D58EB"/>
    <w:rsid w:val="009D5928"/>
    <w:rsid w:val="009D5B91"/>
    <w:rsid w:val="009D5FFC"/>
    <w:rsid w:val="009D639F"/>
    <w:rsid w:val="009D64CA"/>
    <w:rsid w:val="009D6D19"/>
    <w:rsid w:val="009D77F9"/>
    <w:rsid w:val="009D7850"/>
    <w:rsid w:val="009D792E"/>
    <w:rsid w:val="009D7FCC"/>
    <w:rsid w:val="009E04AB"/>
    <w:rsid w:val="009E0DFE"/>
    <w:rsid w:val="009E1432"/>
    <w:rsid w:val="009E2322"/>
    <w:rsid w:val="009E2FC7"/>
    <w:rsid w:val="009E31F6"/>
    <w:rsid w:val="009E3393"/>
    <w:rsid w:val="009E3AFD"/>
    <w:rsid w:val="009E4185"/>
    <w:rsid w:val="009E48AA"/>
    <w:rsid w:val="009E4C07"/>
    <w:rsid w:val="009E4F5C"/>
    <w:rsid w:val="009E53F8"/>
    <w:rsid w:val="009E625A"/>
    <w:rsid w:val="009E71D5"/>
    <w:rsid w:val="009E7650"/>
    <w:rsid w:val="009E777F"/>
    <w:rsid w:val="009F099E"/>
    <w:rsid w:val="009F0DFD"/>
    <w:rsid w:val="009F10F6"/>
    <w:rsid w:val="009F2643"/>
    <w:rsid w:val="009F312B"/>
    <w:rsid w:val="009F3C4B"/>
    <w:rsid w:val="009F42C7"/>
    <w:rsid w:val="009F477E"/>
    <w:rsid w:val="009F48CC"/>
    <w:rsid w:val="009F4BC2"/>
    <w:rsid w:val="009F4C54"/>
    <w:rsid w:val="009F5878"/>
    <w:rsid w:val="009F58BA"/>
    <w:rsid w:val="009F5AB0"/>
    <w:rsid w:val="009F6120"/>
    <w:rsid w:val="009F6F21"/>
    <w:rsid w:val="009F7386"/>
    <w:rsid w:val="009F75AF"/>
    <w:rsid w:val="009F7DC2"/>
    <w:rsid w:val="00A00D76"/>
    <w:rsid w:val="00A01184"/>
    <w:rsid w:val="00A01449"/>
    <w:rsid w:val="00A016F0"/>
    <w:rsid w:val="00A01FCC"/>
    <w:rsid w:val="00A037C2"/>
    <w:rsid w:val="00A03D43"/>
    <w:rsid w:val="00A04380"/>
    <w:rsid w:val="00A04786"/>
    <w:rsid w:val="00A04804"/>
    <w:rsid w:val="00A04815"/>
    <w:rsid w:val="00A04F30"/>
    <w:rsid w:val="00A04FA3"/>
    <w:rsid w:val="00A05472"/>
    <w:rsid w:val="00A05925"/>
    <w:rsid w:val="00A05C32"/>
    <w:rsid w:val="00A063F1"/>
    <w:rsid w:val="00A06446"/>
    <w:rsid w:val="00A0653F"/>
    <w:rsid w:val="00A065D5"/>
    <w:rsid w:val="00A07B31"/>
    <w:rsid w:val="00A10284"/>
    <w:rsid w:val="00A10F2D"/>
    <w:rsid w:val="00A117A9"/>
    <w:rsid w:val="00A1189A"/>
    <w:rsid w:val="00A11C94"/>
    <w:rsid w:val="00A11CD0"/>
    <w:rsid w:val="00A12A21"/>
    <w:rsid w:val="00A12DB2"/>
    <w:rsid w:val="00A135E4"/>
    <w:rsid w:val="00A13948"/>
    <w:rsid w:val="00A13F44"/>
    <w:rsid w:val="00A1555B"/>
    <w:rsid w:val="00A155C5"/>
    <w:rsid w:val="00A15E05"/>
    <w:rsid w:val="00A1641C"/>
    <w:rsid w:val="00A1666E"/>
    <w:rsid w:val="00A16AD8"/>
    <w:rsid w:val="00A17822"/>
    <w:rsid w:val="00A17D17"/>
    <w:rsid w:val="00A17F79"/>
    <w:rsid w:val="00A17FAD"/>
    <w:rsid w:val="00A2021E"/>
    <w:rsid w:val="00A20337"/>
    <w:rsid w:val="00A2167B"/>
    <w:rsid w:val="00A21C95"/>
    <w:rsid w:val="00A21CF3"/>
    <w:rsid w:val="00A22440"/>
    <w:rsid w:val="00A22C29"/>
    <w:rsid w:val="00A2466F"/>
    <w:rsid w:val="00A24813"/>
    <w:rsid w:val="00A24997"/>
    <w:rsid w:val="00A25864"/>
    <w:rsid w:val="00A25D2C"/>
    <w:rsid w:val="00A25DBB"/>
    <w:rsid w:val="00A26985"/>
    <w:rsid w:val="00A27AEC"/>
    <w:rsid w:val="00A30318"/>
    <w:rsid w:val="00A30371"/>
    <w:rsid w:val="00A30544"/>
    <w:rsid w:val="00A30879"/>
    <w:rsid w:val="00A30913"/>
    <w:rsid w:val="00A3130B"/>
    <w:rsid w:val="00A318AD"/>
    <w:rsid w:val="00A31952"/>
    <w:rsid w:val="00A320DB"/>
    <w:rsid w:val="00A321B7"/>
    <w:rsid w:val="00A32737"/>
    <w:rsid w:val="00A32BFC"/>
    <w:rsid w:val="00A32DB9"/>
    <w:rsid w:val="00A33094"/>
    <w:rsid w:val="00A33990"/>
    <w:rsid w:val="00A33FA7"/>
    <w:rsid w:val="00A34473"/>
    <w:rsid w:val="00A34576"/>
    <w:rsid w:val="00A345C7"/>
    <w:rsid w:val="00A34CBB"/>
    <w:rsid w:val="00A352EC"/>
    <w:rsid w:val="00A35AC8"/>
    <w:rsid w:val="00A35D16"/>
    <w:rsid w:val="00A35D1C"/>
    <w:rsid w:val="00A35ED0"/>
    <w:rsid w:val="00A36196"/>
    <w:rsid w:val="00A36658"/>
    <w:rsid w:val="00A36DE5"/>
    <w:rsid w:val="00A3730C"/>
    <w:rsid w:val="00A373B7"/>
    <w:rsid w:val="00A37BCD"/>
    <w:rsid w:val="00A41689"/>
    <w:rsid w:val="00A41897"/>
    <w:rsid w:val="00A41A38"/>
    <w:rsid w:val="00A41E56"/>
    <w:rsid w:val="00A42592"/>
    <w:rsid w:val="00A43196"/>
    <w:rsid w:val="00A43C59"/>
    <w:rsid w:val="00A440F4"/>
    <w:rsid w:val="00A447F9"/>
    <w:rsid w:val="00A45378"/>
    <w:rsid w:val="00A46019"/>
    <w:rsid w:val="00A464B8"/>
    <w:rsid w:val="00A46628"/>
    <w:rsid w:val="00A478C2"/>
    <w:rsid w:val="00A47AF5"/>
    <w:rsid w:val="00A50620"/>
    <w:rsid w:val="00A50885"/>
    <w:rsid w:val="00A508A0"/>
    <w:rsid w:val="00A50ECD"/>
    <w:rsid w:val="00A518F3"/>
    <w:rsid w:val="00A51A6B"/>
    <w:rsid w:val="00A51B81"/>
    <w:rsid w:val="00A52495"/>
    <w:rsid w:val="00A52729"/>
    <w:rsid w:val="00A533BC"/>
    <w:rsid w:val="00A53675"/>
    <w:rsid w:val="00A53CC2"/>
    <w:rsid w:val="00A53F33"/>
    <w:rsid w:val="00A55168"/>
    <w:rsid w:val="00A55DC9"/>
    <w:rsid w:val="00A564D7"/>
    <w:rsid w:val="00A5673D"/>
    <w:rsid w:val="00A56B6A"/>
    <w:rsid w:val="00A56DAE"/>
    <w:rsid w:val="00A57671"/>
    <w:rsid w:val="00A578DC"/>
    <w:rsid w:val="00A579C5"/>
    <w:rsid w:val="00A6006B"/>
    <w:rsid w:val="00A60861"/>
    <w:rsid w:val="00A61DAA"/>
    <w:rsid w:val="00A62229"/>
    <w:rsid w:val="00A623A0"/>
    <w:rsid w:val="00A63902"/>
    <w:rsid w:val="00A640E2"/>
    <w:rsid w:val="00A64C2E"/>
    <w:rsid w:val="00A64D65"/>
    <w:rsid w:val="00A65287"/>
    <w:rsid w:val="00A658D2"/>
    <w:rsid w:val="00A66043"/>
    <w:rsid w:val="00A663BC"/>
    <w:rsid w:val="00A66DB2"/>
    <w:rsid w:val="00A6725B"/>
    <w:rsid w:val="00A67931"/>
    <w:rsid w:val="00A67F31"/>
    <w:rsid w:val="00A7025B"/>
    <w:rsid w:val="00A704CC"/>
    <w:rsid w:val="00A70605"/>
    <w:rsid w:val="00A7069E"/>
    <w:rsid w:val="00A70B3F"/>
    <w:rsid w:val="00A70D6D"/>
    <w:rsid w:val="00A7117E"/>
    <w:rsid w:val="00A7263F"/>
    <w:rsid w:val="00A72C4E"/>
    <w:rsid w:val="00A73134"/>
    <w:rsid w:val="00A733F9"/>
    <w:rsid w:val="00A7365A"/>
    <w:rsid w:val="00A73C98"/>
    <w:rsid w:val="00A740FB"/>
    <w:rsid w:val="00A74E8E"/>
    <w:rsid w:val="00A75FC3"/>
    <w:rsid w:val="00A76001"/>
    <w:rsid w:val="00A76C29"/>
    <w:rsid w:val="00A76D91"/>
    <w:rsid w:val="00A76ED5"/>
    <w:rsid w:val="00A77579"/>
    <w:rsid w:val="00A777B2"/>
    <w:rsid w:val="00A804E0"/>
    <w:rsid w:val="00A80F63"/>
    <w:rsid w:val="00A825D4"/>
    <w:rsid w:val="00A828F6"/>
    <w:rsid w:val="00A82B73"/>
    <w:rsid w:val="00A83231"/>
    <w:rsid w:val="00A83266"/>
    <w:rsid w:val="00A8354D"/>
    <w:rsid w:val="00A836BC"/>
    <w:rsid w:val="00A85480"/>
    <w:rsid w:val="00A8562B"/>
    <w:rsid w:val="00A857DB"/>
    <w:rsid w:val="00A864BE"/>
    <w:rsid w:val="00A86B97"/>
    <w:rsid w:val="00A86E8B"/>
    <w:rsid w:val="00A86F80"/>
    <w:rsid w:val="00A87164"/>
    <w:rsid w:val="00A871A9"/>
    <w:rsid w:val="00A90ABA"/>
    <w:rsid w:val="00A91CEC"/>
    <w:rsid w:val="00A93072"/>
    <w:rsid w:val="00A938BD"/>
    <w:rsid w:val="00A93953"/>
    <w:rsid w:val="00A94144"/>
    <w:rsid w:val="00A94B15"/>
    <w:rsid w:val="00A9557C"/>
    <w:rsid w:val="00A959D8"/>
    <w:rsid w:val="00A95A74"/>
    <w:rsid w:val="00A95AD5"/>
    <w:rsid w:val="00A9698F"/>
    <w:rsid w:val="00A96BA7"/>
    <w:rsid w:val="00AA0250"/>
    <w:rsid w:val="00AA0F1D"/>
    <w:rsid w:val="00AA10C2"/>
    <w:rsid w:val="00AA113D"/>
    <w:rsid w:val="00AA1398"/>
    <w:rsid w:val="00AA295F"/>
    <w:rsid w:val="00AA3390"/>
    <w:rsid w:val="00AA39E4"/>
    <w:rsid w:val="00AA3B5E"/>
    <w:rsid w:val="00AA48C4"/>
    <w:rsid w:val="00AA48CE"/>
    <w:rsid w:val="00AA4B2A"/>
    <w:rsid w:val="00AA506A"/>
    <w:rsid w:val="00AA5DCC"/>
    <w:rsid w:val="00AA624A"/>
    <w:rsid w:val="00AA63F1"/>
    <w:rsid w:val="00AA6BD5"/>
    <w:rsid w:val="00AA6BD8"/>
    <w:rsid w:val="00AA6C7D"/>
    <w:rsid w:val="00AA7440"/>
    <w:rsid w:val="00AA7CE2"/>
    <w:rsid w:val="00AA7FD6"/>
    <w:rsid w:val="00AA7FF1"/>
    <w:rsid w:val="00AB042A"/>
    <w:rsid w:val="00AB0D3E"/>
    <w:rsid w:val="00AB11AD"/>
    <w:rsid w:val="00AB18C9"/>
    <w:rsid w:val="00AB18ED"/>
    <w:rsid w:val="00AB19EF"/>
    <w:rsid w:val="00AB1B46"/>
    <w:rsid w:val="00AB2495"/>
    <w:rsid w:val="00AB28BC"/>
    <w:rsid w:val="00AB2948"/>
    <w:rsid w:val="00AB2D34"/>
    <w:rsid w:val="00AB3430"/>
    <w:rsid w:val="00AB37B9"/>
    <w:rsid w:val="00AB3C88"/>
    <w:rsid w:val="00AB3F37"/>
    <w:rsid w:val="00AB442B"/>
    <w:rsid w:val="00AB4AD1"/>
    <w:rsid w:val="00AB52E9"/>
    <w:rsid w:val="00AB55D0"/>
    <w:rsid w:val="00AB5609"/>
    <w:rsid w:val="00AB5AB2"/>
    <w:rsid w:val="00AB5E07"/>
    <w:rsid w:val="00AB620C"/>
    <w:rsid w:val="00AB6ACB"/>
    <w:rsid w:val="00AB6C3B"/>
    <w:rsid w:val="00AB755E"/>
    <w:rsid w:val="00AB7919"/>
    <w:rsid w:val="00AB7CFA"/>
    <w:rsid w:val="00AC0A37"/>
    <w:rsid w:val="00AC1226"/>
    <w:rsid w:val="00AC18AB"/>
    <w:rsid w:val="00AC19CA"/>
    <w:rsid w:val="00AC1BBC"/>
    <w:rsid w:val="00AC20B4"/>
    <w:rsid w:val="00AC2FAD"/>
    <w:rsid w:val="00AC318E"/>
    <w:rsid w:val="00AC33F5"/>
    <w:rsid w:val="00AC3567"/>
    <w:rsid w:val="00AC3731"/>
    <w:rsid w:val="00AC4660"/>
    <w:rsid w:val="00AC5B42"/>
    <w:rsid w:val="00AC5B48"/>
    <w:rsid w:val="00AC6032"/>
    <w:rsid w:val="00AC60BB"/>
    <w:rsid w:val="00AC64BD"/>
    <w:rsid w:val="00AC675E"/>
    <w:rsid w:val="00AC684B"/>
    <w:rsid w:val="00AC7E85"/>
    <w:rsid w:val="00AD035B"/>
    <w:rsid w:val="00AD1195"/>
    <w:rsid w:val="00AD1409"/>
    <w:rsid w:val="00AD1450"/>
    <w:rsid w:val="00AD15E8"/>
    <w:rsid w:val="00AD1AD7"/>
    <w:rsid w:val="00AD1E44"/>
    <w:rsid w:val="00AD1FD2"/>
    <w:rsid w:val="00AD2828"/>
    <w:rsid w:val="00AD2EF6"/>
    <w:rsid w:val="00AD356D"/>
    <w:rsid w:val="00AD383E"/>
    <w:rsid w:val="00AD4462"/>
    <w:rsid w:val="00AD4529"/>
    <w:rsid w:val="00AD4F6E"/>
    <w:rsid w:val="00AD51A7"/>
    <w:rsid w:val="00AD5272"/>
    <w:rsid w:val="00AD5F7D"/>
    <w:rsid w:val="00AD62B3"/>
    <w:rsid w:val="00AD6502"/>
    <w:rsid w:val="00AD6617"/>
    <w:rsid w:val="00AD6D06"/>
    <w:rsid w:val="00AD75BA"/>
    <w:rsid w:val="00AE013C"/>
    <w:rsid w:val="00AE0695"/>
    <w:rsid w:val="00AE1BF6"/>
    <w:rsid w:val="00AE21D8"/>
    <w:rsid w:val="00AE33E0"/>
    <w:rsid w:val="00AE3E7E"/>
    <w:rsid w:val="00AE43C6"/>
    <w:rsid w:val="00AE468C"/>
    <w:rsid w:val="00AE491F"/>
    <w:rsid w:val="00AE4AC2"/>
    <w:rsid w:val="00AE4AFE"/>
    <w:rsid w:val="00AE511F"/>
    <w:rsid w:val="00AE6F29"/>
    <w:rsid w:val="00AE7549"/>
    <w:rsid w:val="00AE7E53"/>
    <w:rsid w:val="00AE7ECF"/>
    <w:rsid w:val="00AF0394"/>
    <w:rsid w:val="00AF055F"/>
    <w:rsid w:val="00AF0DC8"/>
    <w:rsid w:val="00AF1315"/>
    <w:rsid w:val="00AF13ED"/>
    <w:rsid w:val="00AF151C"/>
    <w:rsid w:val="00AF19BF"/>
    <w:rsid w:val="00AF19CA"/>
    <w:rsid w:val="00AF1E24"/>
    <w:rsid w:val="00AF2929"/>
    <w:rsid w:val="00AF2DC3"/>
    <w:rsid w:val="00AF2F20"/>
    <w:rsid w:val="00AF31A3"/>
    <w:rsid w:val="00AF32E7"/>
    <w:rsid w:val="00AF37A0"/>
    <w:rsid w:val="00AF38AF"/>
    <w:rsid w:val="00AF408D"/>
    <w:rsid w:val="00AF42C1"/>
    <w:rsid w:val="00AF4613"/>
    <w:rsid w:val="00AF4F89"/>
    <w:rsid w:val="00AF5609"/>
    <w:rsid w:val="00AF5D2F"/>
    <w:rsid w:val="00AF65E2"/>
    <w:rsid w:val="00AF67CB"/>
    <w:rsid w:val="00AF714B"/>
    <w:rsid w:val="00AF7E9A"/>
    <w:rsid w:val="00B0047C"/>
    <w:rsid w:val="00B00491"/>
    <w:rsid w:val="00B010C0"/>
    <w:rsid w:val="00B0139C"/>
    <w:rsid w:val="00B0314B"/>
    <w:rsid w:val="00B033E5"/>
    <w:rsid w:val="00B03A63"/>
    <w:rsid w:val="00B041B9"/>
    <w:rsid w:val="00B04CEE"/>
    <w:rsid w:val="00B04EE0"/>
    <w:rsid w:val="00B05C21"/>
    <w:rsid w:val="00B063FF"/>
    <w:rsid w:val="00B06748"/>
    <w:rsid w:val="00B06F6E"/>
    <w:rsid w:val="00B07F62"/>
    <w:rsid w:val="00B10AC2"/>
    <w:rsid w:val="00B10B3A"/>
    <w:rsid w:val="00B10E43"/>
    <w:rsid w:val="00B11149"/>
    <w:rsid w:val="00B12067"/>
    <w:rsid w:val="00B129A4"/>
    <w:rsid w:val="00B12DE3"/>
    <w:rsid w:val="00B12FEC"/>
    <w:rsid w:val="00B13754"/>
    <w:rsid w:val="00B13E44"/>
    <w:rsid w:val="00B14364"/>
    <w:rsid w:val="00B14665"/>
    <w:rsid w:val="00B146A6"/>
    <w:rsid w:val="00B14E90"/>
    <w:rsid w:val="00B153E7"/>
    <w:rsid w:val="00B1567D"/>
    <w:rsid w:val="00B170E2"/>
    <w:rsid w:val="00B1732E"/>
    <w:rsid w:val="00B17392"/>
    <w:rsid w:val="00B17444"/>
    <w:rsid w:val="00B174AB"/>
    <w:rsid w:val="00B1778A"/>
    <w:rsid w:val="00B17DE9"/>
    <w:rsid w:val="00B20089"/>
    <w:rsid w:val="00B201A4"/>
    <w:rsid w:val="00B201D1"/>
    <w:rsid w:val="00B2113A"/>
    <w:rsid w:val="00B211F7"/>
    <w:rsid w:val="00B213A6"/>
    <w:rsid w:val="00B21D6E"/>
    <w:rsid w:val="00B229D6"/>
    <w:rsid w:val="00B235B0"/>
    <w:rsid w:val="00B23D73"/>
    <w:rsid w:val="00B24186"/>
    <w:rsid w:val="00B242CE"/>
    <w:rsid w:val="00B24391"/>
    <w:rsid w:val="00B24551"/>
    <w:rsid w:val="00B24DF6"/>
    <w:rsid w:val="00B2531A"/>
    <w:rsid w:val="00B25321"/>
    <w:rsid w:val="00B26185"/>
    <w:rsid w:val="00B263F0"/>
    <w:rsid w:val="00B26E4C"/>
    <w:rsid w:val="00B27267"/>
    <w:rsid w:val="00B272F1"/>
    <w:rsid w:val="00B27A61"/>
    <w:rsid w:val="00B27ECD"/>
    <w:rsid w:val="00B301E0"/>
    <w:rsid w:val="00B30434"/>
    <w:rsid w:val="00B30A6D"/>
    <w:rsid w:val="00B30D9A"/>
    <w:rsid w:val="00B32506"/>
    <w:rsid w:val="00B33344"/>
    <w:rsid w:val="00B3495F"/>
    <w:rsid w:val="00B34FE2"/>
    <w:rsid w:val="00B35166"/>
    <w:rsid w:val="00B35336"/>
    <w:rsid w:val="00B3568A"/>
    <w:rsid w:val="00B357D8"/>
    <w:rsid w:val="00B359C4"/>
    <w:rsid w:val="00B35B74"/>
    <w:rsid w:val="00B35C41"/>
    <w:rsid w:val="00B35F49"/>
    <w:rsid w:val="00B360F4"/>
    <w:rsid w:val="00B36A00"/>
    <w:rsid w:val="00B36CD0"/>
    <w:rsid w:val="00B370C2"/>
    <w:rsid w:val="00B374F9"/>
    <w:rsid w:val="00B3792B"/>
    <w:rsid w:val="00B37BFC"/>
    <w:rsid w:val="00B40358"/>
    <w:rsid w:val="00B40423"/>
    <w:rsid w:val="00B41153"/>
    <w:rsid w:val="00B41523"/>
    <w:rsid w:val="00B41614"/>
    <w:rsid w:val="00B41A41"/>
    <w:rsid w:val="00B42851"/>
    <w:rsid w:val="00B42EC3"/>
    <w:rsid w:val="00B42F80"/>
    <w:rsid w:val="00B435CB"/>
    <w:rsid w:val="00B43CFB"/>
    <w:rsid w:val="00B44BCF"/>
    <w:rsid w:val="00B45116"/>
    <w:rsid w:val="00B453E3"/>
    <w:rsid w:val="00B45636"/>
    <w:rsid w:val="00B4632B"/>
    <w:rsid w:val="00B465EC"/>
    <w:rsid w:val="00B46997"/>
    <w:rsid w:val="00B474A3"/>
    <w:rsid w:val="00B47502"/>
    <w:rsid w:val="00B47902"/>
    <w:rsid w:val="00B47908"/>
    <w:rsid w:val="00B505C8"/>
    <w:rsid w:val="00B50934"/>
    <w:rsid w:val="00B50DB8"/>
    <w:rsid w:val="00B516B8"/>
    <w:rsid w:val="00B51B39"/>
    <w:rsid w:val="00B52B00"/>
    <w:rsid w:val="00B52CB8"/>
    <w:rsid w:val="00B53654"/>
    <w:rsid w:val="00B53905"/>
    <w:rsid w:val="00B54085"/>
    <w:rsid w:val="00B546DB"/>
    <w:rsid w:val="00B54B5B"/>
    <w:rsid w:val="00B54EC6"/>
    <w:rsid w:val="00B554FB"/>
    <w:rsid w:val="00B5562E"/>
    <w:rsid w:val="00B55862"/>
    <w:rsid w:val="00B55C63"/>
    <w:rsid w:val="00B55D65"/>
    <w:rsid w:val="00B56234"/>
    <w:rsid w:val="00B56305"/>
    <w:rsid w:val="00B56E3E"/>
    <w:rsid w:val="00B56EE7"/>
    <w:rsid w:val="00B57000"/>
    <w:rsid w:val="00B60939"/>
    <w:rsid w:val="00B6094D"/>
    <w:rsid w:val="00B60AFD"/>
    <w:rsid w:val="00B60F47"/>
    <w:rsid w:val="00B612E4"/>
    <w:rsid w:val="00B61434"/>
    <w:rsid w:val="00B619EB"/>
    <w:rsid w:val="00B62715"/>
    <w:rsid w:val="00B637F0"/>
    <w:rsid w:val="00B63C2C"/>
    <w:rsid w:val="00B6444A"/>
    <w:rsid w:val="00B6521B"/>
    <w:rsid w:val="00B6534D"/>
    <w:rsid w:val="00B65611"/>
    <w:rsid w:val="00B66E03"/>
    <w:rsid w:val="00B6709F"/>
    <w:rsid w:val="00B6735B"/>
    <w:rsid w:val="00B6786E"/>
    <w:rsid w:val="00B67AEA"/>
    <w:rsid w:val="00B70E8E"/>
    <w:rsid w:val="00B71110"/>
    <w:rsid w:val="00B713D1"/>
    <w:rsid w:val="00B71B1E"/>
    <w:rsid w:val="00B725A5"/>
    <w:rsid w:val="00B72EA2"/>
    <w:rsid w:val="00B731E6"/>
    <w:rsid w:val="00B73406"/>
    <w:rsid w:val="00B736D0"/>
    <w:rsid w:val="00B73FBC"/>
    <w:rsid w:val="00B740FD"/>
    <w:rsid w:val="00B74EA0"/>
    <w:rsid w:val="00B75466"/>
    <w:rsid w:val="00B759E7"/>
    <w:rsid w:val="00B75C50"/>
    <w:rsid w:val="00B76902"/>
    <w:rsid w:val="00B76B63"/>
    <w:rsid w:val="00B76C92"/>
    <w:rsid w:val="00B76E9D"/>
    <w:rsid w:val="00B77ED9"/>
    <w:rsid w:val="00B80715"/>
    <w:rsid w:val="00B80828"/>
    <w:rsid w:val="00B80973"/>
    <w:rsid w:val="00B80EFD"/>
    <w:rsid w:val="00B8117E"/>
    <w:rsid w:val="00B81802"/>
    <w:rsid w:val="00B818A4"/>
    <w:rsid w:val="00B81F04"/>
    <w:rsid w:val="00B821FD"/>
    <w:rsid w:val="00B827E9"/>
    <w:rsid w:val="00B83739"/>
    <w:rsid w:val="00B83AED"/>
    <w:rsid w:val="00B83E06"/>
    <w:rsid w:val="00B84117"/>
    <w:rsid w:val="00B84C65"/>
    <w:rsid w:val="00B84CA5"/>
    <w:rsid w:val="00B858F0"/>
    <w:rsid w:val="00B85AA2"/>
    <w:rsid w:val="00B861B3"/>
    <w:rsid w:val="00B8649C"/>
    <w:rsid w:val="00B8695D"/>
    <w:rsid w:val="00B87667"/>
    <w:rsid w:val="00B87F0A"/>
    <w:rsid w:val="00B87F0F"/>
    <w:rsid w:val="00B9026C"/>
    <w:rsid w:val="00B921B9"/>
    <w:rsid w:val="00B92283"/>
    <w:rsid w:val="00B92454"/>
    <w:rsid w:val="00B92688"/>
    <w:rsid w:val="00B9285A"/>
    <w:rsid w:val="00B92AB1"/>
    <w:rsid w:val="00B92AC3"/>
    <w:rsid w:val="00B92D0B"/>
    <w:rsid w:val="00B93393"/>
    <w:rsid w:val="00B93480"/>
    <w:rsid w:val="00B93965"/>
    <w:rsid w:val="00B939D9"/>
    <w:rsid w:val="00B9465C"/>
    <w:rsid w:val="00B94945"/>
    <w:rsid w:val="00B949CE"/>
    <w:rsid w:val="00B94A39"/>
    <w:rsid w:val="00B94DD6"/>
    <w:rsid w:val="00B9514D"/>
    <w:rsid w:val="00B962A0"/>
    <w:rsid w:val="00B96496"/>
    <w:rsid w:val="00B97E17"/>
    <w:rsid w:val="00BA051E"/>
    <w:rsid w:val="00BA11F3"/>
    <w:rsid w:val="00BA1997"/>
    <w:rsid w:val="00BA2671"/>
    <w:rsid w:val="00BA2842"/>
    <w:rsid w:val="00BA2AC0"/>
    <w:rsid w:val="00BA312A"/>
    <w:rsid w:val="00BA322D"/>
    <w:rsid w:val="00BA327A"/>
    <w:rsid w:val="00BA44C3"/>
    <w:rsid w:val="00BA4519"/>
    <w:rsid w:val="00BA496D"/>
    <w:rsid w:val="00BA4B18"/>
    <w:rsid w:val="00BA55EC"/>
    <w:rsid w:val="00BA63FA"/>
    <w:rsid w:val="00BA67DB"/>
    <w:rsid w:val="00BA6D30"/>
    <w:rsid w:val="00BA7353"/>
    <w:rsid w:val="00BA78DE"/>
    <w:rsid w:val="00BA7E56"/>
    <w:rsid w:val="00BB00B3"/>
    <w:rsid w:val="00BB0BDD"/>
    <w:rsid w:val="00BB152C"/>
    <w:rsid w:val="00BB176C"/>
    <w:rsid w:val="00BB1B87"/>
    <w:rsid w:val="00BB1BD6"/>
    <w:rsid w:val="00BB1C01"/>
    <w:rsid w:val="00BB1D48"/>
    <w:rsid w:val="00BB2A73"/>
    <w:rsid w:val="00BB2E6B"/>
    <w:rsid w:val="00BB2F08"/>
    <w:rsid w:val="00BB3041"/>
    <w:rsid w:val="00BB3A45"/>
    <w:rsid w:val="00BB3A66"/>
    <w:rsid w:val="00BB48F5"/>
    <w:rsid w:val="00BB4ACC"/>
    <w:rsid w:val="00BB5231"/>
    <w:rsid w:val="00BB52F3"/>
    <w:rsid w:val="00BB654F"/>
    <w:rsid w:val="00BB6C5A"/>
    <w:rsid w:val="00BB6CF4"/>
    <w:rsid w:val="00BB6E06"/>
    <w:rsid w:val="00BB703E"/>
    <w:rsid w:val="00BB732D"/>
    <w:rsid w:val="00BB7405"/>
    <w:rsid w:val="00BB746A"/>
    <w:rsid w:val="00BC01A6"/>
    <w:rsid w:val="00BC04E7"/>
    <w:rsid w:val="00BC0897"/>
    <w:rsid w:val="00BC0BB4"/>
    <w:rsid w:val="00BC1090"/>
    <w:rsid w:val="00BC119D"/>
    <w:rsid w:val="00BC13BA"/>
    <w:rsid w:val="00BC1CA7"/>
    <w:rsid w:val="00BC2693"/>
    <w:rsid w:val="00BC3550"/>
    <w:rsid w:val="00BC3631"/>
    <w:rsid w:val="00BC3A65"/>
    <w:rsid w:val="00BC3C54"/>
    <w:rsid w:val="00BC4C54"/>
    <w:rsid w:val="00BC4F64"/>
    <w:rsid w:val="00BC56AC"/>
    <w:rsid w:val="00BC591F"/>
    <w:rsid w:val="00BC6011"/>
    <w:rsid w:val="00BC63DC"/>
    <w:rsid w:val="00BC7B27"/>
    <w:rsid w:val="00BC7D6D"/>
    <w:rsid w:val="00BD0135"/>
    <w:rsid w:val="00BD0BE0"/>
    <w:rsid w:val="00BD0DB7"/>
    <w:rsid w:val="00BD1D0D"/>
    <w:rsid w:val="00BD1D9F"/>
    <w:rsid w:val="00BD1FF4"/>
    <w:rsid w:val="00BD2108"/>
    <w:rsid w:val="00BD2844"/>
    <w:rsid w:val="00BD2D1D"/>
    <w:rsid w:val="00BD33F6"/>
    <w:rsid w:val="00BD3DDD"/>
    <w:rsid w:val="00BD41FD"/>
    <w:rsid w:val="00BD48F4"/>
    <w:rsid w:val="00BD548F"/>
    <w:rsid w:val="00BD5D4C"/>
    <w:rsid w:val="00BD68A3"/>
    <w:rsid w:val="00BD6938"/>
    <w:rsid w:val="00BD6CF3"/>
    <w:rsid w:val="00BD6D80"/>
    <w:rsid w:val="00BD6FE5"/>
    <w:rsid w:val="00BD7B21"/>
    <w:rsid w:val="00BD7F72"/>
    <w:rsid w:val="00BE0ECA"/>
    <w:rsid w:val="00BE19E9"/>
    <w:rsid w:val="00BE2180"/>
    <w:rsid w:val="00BE21F2"/>
    <w:rsid w:val="00BE2A43"/>
    <w:rsid w:val="00BE2D4C"/>
    <w:rsid w:val="00BE2EF6"/>
    <w:rsid w:val="00BE3429"/>
    <w:rsid w:val="00BE4275"/>
    <w:rsid w:val="00BE4352"/>
    <w:rsid w:val="00BE4743"/>
    <w:rsid w:val="00BE47AE"/>
    <w:rsid w:val="00BE47DF"/>
    <w:rsid w:val="00BE4CF4"/>
    <w:rsid w:val="00BE57BC"/>
    <w:rsid w:val="00BE5F80"/>
    <w:rsid w:val="00BE5FD6"/>
    <w:rsid w:val="00BE61BF"/>
    <w:rsid w:val="00BE641D"/>
    <w:rsid w:val="00BE65A8"/>
    <w:rsid w:val="00BF0435"/>
    <w:rsid w:val="00BF04B1"/>
    <w:rsid w:val="00BF06AE"/>
    <w:rsid w:val="00BF0F95"/>
    <w:rsid w:val="00BF1A04"/>
    <w:rsid w:val="00BF1EF5"/>
    <w:rsid w:val="00BF2033"/>
    <w:rsid w:val="00BF2433"/>
    <w:rsid w:val="00BF2E6E"/>
    <w:rsid w:val="00BF36F1"/>
    <w:rsid w:val="00BF4955"/>
    <w:rsid w:val="00BF5CE7"/>
    <w:rsid w:val="00BF5ED7"/>
    <w:rsid w:val="00BF61C9"/>
    <w:rsid w:val="00BF6C5C"/>
    <w:rsid w:val="00BF6C94"/>
    <w:rsid w:val="00BF732C"/>
    <w:rsid w:val="00BF7E1A"/>
    <w:rsid w:val="00BF7F84"/>
    <w:rsid w:val="00C000E4"/>
    <w:rsid w:val="00C00424"/>
    <w:rsid w:val="00C00BB0"/>
    <w:rsid w:val="00C00BBB"/>
    <w:rsid w:val="00C00ED0"/>
    <w:rsid w:val="00C013E1"/>
    <w:rsid w:val="00C0283E"/>
    <w:rsid w:val="00C0283F"/>
    <w:rsid w:val="00C028A2"/>
    <w:rsid w:val="00C02F82"/>
    <w:rsid w:val="00C02FA0"/>
    <w:rsid w:val="00C0336B"/>
    <w:rsid w:val="00C03C68"/>
    <w:rsid w:val="00C03EFF"/>
    <w:rsid w:val="00C05579"/>
    <w:rsid w:val="00C05A81"/>
    <w:rsid w:val="00C05EB8"/>
    <w:rsid w:val="00C06345"/>
    <w:rsid w:val="00C07BAD"/>
    <w:rsid w:val="00C106CB"/>
    <w:rsid w:val="00C10AA3"/>
    <w:rsid w:val="00C1104A"/>
    <w:rsid w:val="00C1104F"/>
    <w:rsid w:val="00C1179F"/>
    <w:rsid w:val="00C11FB3"/>
    <w:rsid w:val="00C11FE2"/>
    <w:rsid w:val="00C1208B"/>
    <w:rsid w:val="00C126E2"/>
    <w:rsid w:val="00C127B9"/>
    <w:rsid w:val="00C128FA"/>
    <w:rsid w:val="00C12C14"/>
    <w:rsid w:val="00C13287"/>
    <w:rsid w:val="00C1380C"/>
    <w:rsid w:val="00C13D1C"/>
    <w:rsid w:val="00C13DF9"/>
    <w:rsid w:val="00C14442"/>
    <w:rsid w:val="00C14D46"/>
    <w:rsid w:val="00C15035"/>
    <w:rsid w:val="00C158B1"/>
    <w:rsid w:val="00C15993"/>
    <w:rsid w:val="00C15CBA"/>
    <w:rsid w:val="00C15F04"/>
    <w:rsid w:val="00C16324"/>
    <w:rsid w:val="00C1643E"/>
    <w:rsid w:val="00C164E4"/>
    <w:rsid w:val="00C179B3"/>
    <w:rsid w:val="00C17E3F"/>
    <w:rsid w:val="00C200AA"/>
    <w:rsid w:val="00C20A1D"/>
    <w:rsid w:val="00C21322"/>
    <w:rsid w:val="00C214DB"/>
    <w:rsid w:val="00C227C1"/>
    <w:rsid w:val="00C23420"/>
    <w:rsid w:val="00C235ED"/>
    <w:rsid w:val="00C237ED"/>
    <w:rsid w:val="00C2385D"/>
    <w:rsid w:val="00C23FEE"/>
    <w:rsid w:val="00C24129"/>
    <w:rsid w:val="00C24632"/>
    <w:rsid w:val="00C24A50"/>
    <w:rsid w:val="00C2525B"/>
    <w:rsid w:val="00C25418"/>
    <w:rsid w:val="00C25D9C"/>
    <w:rsid w:val="00C26179"/>
    <w:rsid w:val="00C2619B"/>
    <w:rsid w:val="00C26EDB"/>
    <w:rsid w:val="00C27395"/>
    <w:rsid w:val="00C276B4"/>
    <w:rsid w:val="00C2778B"/>
    <w:rsid w:val="00C302DE"/>
    <w:rsid w:val="00C31649"/>
    <w:rsid w:val="00C3213C"/>
    <w:rsid w:val="00C336A1"/>
    <w:rsid w:val="00C3377D"/>
    <w:rsid w:val="00C3404C"/>
    <w:rsid w:val="00C3434C"/>
    <w:rsid w:val="00C35D1B"/>
    <w:rsid w:val="00C35E80"/>
    <w:rsid w:val="00C36403"/>
    <w:rsid w:val="00C372A6"/>
    <w:rsid w:val="00C37C1C"/>
    <w:rsid w:val="00C40385"/>
    <w:rsid w:val="00C40764"/>
    <w:rsid w:val="00C407B0"/>
    <w:rsid w:val="00C40979"/>
    <w:rsid w:val="00C40D51"/>
    <w:rsid w:val="00C41050"/>
    <w:rsid w:val="00C41390"/>
    <w:rsid w:val="00C41768"/>
    <w:rsid w:val="00C4179D"/>
    <w:rsid w:val="00C439AC"/>
    <w:rsid w:val="00C43A6E"/>
    <w:rsid w:val="00C449EA"/>
    <w:rsid w:val="00C44A88"/>
    <w:rsid w:val="00C44B24"/>
    <w:rsid w:val="00C44BA9"/>
    <w:rsid w:val="00C459EE"/>
    <w:rsid w:val="00C4601D"/>
    <w:rsid w:val="00C46654"/>
    <w:rsid w:val="00C47016"/>
    <w:rsid w:val="00C475AA"/>
    <w:rsid w:val="00C47FD3"/>
    <w:rsid w:val="00C50A70"/>
    <w:rsid w:val="00C50ECC"/>
    <w:rsid w:val="00C51518"/>
    <w:rsid w:val="00C51948"/>
    <w:rsid w:val="00C519EE"/>
    <w:rsid w:val="00C51FE7"/>
    <w:rsid w:val="00C522A3"/>
    <w:rsid w:val="00C527C7"/>
    <w:rsid w:val="00C53523"/>
    <w:rsid w:val="00C53626"/>
    <w:rsid w:val="00C53A2D"/>
    <w:rsid w:val="00C53C98"/>
    <w:rsid w:val="00C54149"/>
    <w:rsid w:val="00C56FCF"/>
    <w:rsid w:val="00C572F6"/>
    <w:rsid w:val="00C5782B"/>
    <w:rsid w:val="00C57B6C"/>
    <w:rsid w:val="00C60FBE"/>
    <w:rsid w:val="00C61868"/>
    <w:rsid w:val="00C61A59"/>
    <w:rsid w:val="00C61F10"/>
    <w:rsid w:val="00C62732"/>
    <w:rsid w:val="00C628A6"/>
    <w:rsid w:val="00C6404F"/>
    <w:rsid w:val="00C64344"/>
    <w:rsid w:val="00C65108"/>
    <w:rsid w:val="00C65354"/>
    <w:rsid w:val="00C653CA"/>
    <w:rsid w:val="00C654D4"/>
    <w:rsid w:val="00C65576"/>
    <w:rsid w:val="00C66165"/>
    <w:rsid w:val="00C6689B"/>
    <w:rsid w:val="00C66C39"/>
    <w:rsid w:val="00C66E64"/>
    <w:rsid w:val="00C672A2"/>
    <w:rsid w:val="00C67506"/>
    <w:rsid w:val="00C67E5B"/>
    <w:rsid w:val="00C7060A"/>
    <w:rsid w:val="00C7151A"/>
    <w:rsid w:val="00C715BA"/>
    <w:rsid w:val="00C717E3"/>
    <w:rsid w:val="00C71EB7"/>
    <w:rsid w:val="00C71F60"/>
    <w:rsid w:val="00C72241"/>
    <w:rsid w:val="00C72900"/>
    <w:rsid w:val="00C72E42"/>
    <w:rsid w:val="00C73510"/>
    <w:rsid w:val="00C73C0C"/>
    <w:rsid w:val="00C7427E"/>
    <w:rsid w:val="00C74BC0"/>
    <w:rsid w:val="00C750C8"/>
    <w:rsid w:val="00C7560F"/>
    <w:rsid w:val="00C7598A"/>
    <w:rsid w:val="00C75BF9"/>
    <w:rsid w:val="00C761D9"/>
    <w:rsid w:val="00C76AE4"/>
    <w:rsid w:val="00C77E07"/>
    <w:rsid w:val="00C80337"/>
    <w:rsid w:val="00C80692"/>
    <w:rsid w:val="00C80A0E"/>
    <w:rsid w:val="00C80A6F"/>
    <w:rsid w:val="00C814A2"/>
    <w:rsid w:val="00C81675"/>
    <w:rsid w:val="00C81A37"/>
    <w:rsid w:val="00C81A4A"/>
    <w:rsid w:val="00C81D2F"/>
    <w:rsid w:val="00C81D70"/>
    <w:rsid w:val="00C8213F"/>
    <w:rsid w:val="00C82394"/>
    <w:rsid w:val="00C82A06"/>
    <w:rsid w:val="00C82D19"/>
    <w:rsid w:val="00C82F80"/>
    <w:rsid w:val="00C8303F"/>
    <w:rsid w:val="00C83613"/>
    <w:rsid w:val="00C83827"/>
    <w:rsid w:val="00C83FBC"/>
    <w:rsid w:val="00C84BE2"/>
    <w:rsid w:val="00C84D80"/>
    <w:rsid w:val="00C85113"/>
    <w:rsid w:val="00C85154"/>
    <w:rsid w:val="00C856A4"/>
    <w:rsid w:val="00C85731"/>
    <w:rsid w:val="00C85A70"/>
    <w:rsid w:val="00C85E66"/>
    <w:rsid w:val="00C85E92"/>
    <w:rsid w:val="00C85F27"/>
    <w:rsid w:val="00C85F6E"/>
    <w:rsid w:val="00C8656C"/>
    <w:rsid w:val="00C86B3F"/>
    <w:rsid w:val="00C8797A"/>
    <w:rsid w:val="00C87C7D"/>
    <w:rsid w:val="00C900B8"/>
    <w:rsid w:val="00C90197"/>
    <w:rsid w:val="00C90C71"/>
    <w:rsid w:val="00C9115A"/>
    <w:rsid w:val="00C91A20"/>
    <w:rsid w:val="00C91BE2"/>
    <w:rsid w:val="00C91FD1"/>
    <w:rsid w:val="00C9217D"/>
    <w:rsid w:val="00C92202"/>
    <w:rsid w:val="00C92317"/>
    <w:rsid w:val="00C92CBE"/>
    <w:rsid w:val="00C931CF"/>
    <w:rsid w:val="00C93545"/>
    <w:rsid w:val="00C938CF"/>
    <w:rsid w:val="00C93F49"/>
    <w:rsid w:val="00C94053"/>
    <w:rsid w:val="00C942DB"/>
    <w:rsid w:val="00C94E7B"/>
    <w:rsid w:val="00C9501E"/>
    <w:rsid w:val="00C9588A"/>
    <w:rsid w:val="00C9589C"/>
    <w:rsid w:val="00C958D6"/>
    <w:rsid w:val="00C95B3A"/>
    <w:rsid w:val="00C95F91"/>
    <w:rsid w:val="00C9624D"/>
    <w:rsid w:val="00C969DA"/>
    <w:rsid w:val="00C973FD"/>
    <w:rsid w:val="00CA170D"/>
    <w:rsid w:val="00CA1C69"/>
    <w:rsid w:val="00CA22DA"/>
    <w:rsid w:val="00CA258D"/>
    <w:rsid w:val="00CA25A7"/>
    <w:rsid w:val="00CA2C77"/>
    <w:rsid w:val="00CA3062"/>
    <w:rsid w:val="00CA38B8"/>
    <w:rsid w:val="00CA4087"/>
    <w:rsid w:val="00CA4218"/>
    <w:rsid w:val="00CA444F"/>
    <w:rsid w:val="00CA4C17"/>
    <w:rsid w:val="00CA5245"/>
    <w:rsid w:val="00CA54AD"/>
    <w:rsid w:val="00CA6436"/>
    <w:rsid w:val="00CA67F1"/>
    <w:rsid w:val="00CA6A84"/>
    <w:rsid w:val="00CA71F4"/>
    <w:rsid w:val="00CA74ED"/>
    <w:rsid w:val="00CA78C2"/>
    <w:rsid w:val="00CA7B09"/>
    <w:rsid w:val="00CB0495"/>
    <w:rsid w:val="00CB12A5"/>
    <w:rsid w:val="00CB1410"/>
    <w:rsid w:val="00CB1CAC"/>
    <w:rsid w:val="00CB21C0"/>
    <w:rsid w:val="00CB2A4C"/>
    <w:rsid w:val="00CB2F2A"/>
    <w:rsid w:val="00CB3AB1"/>
    <w:rsid w:val="00CB51E4"/>
    <w:rsid w:val="00CB5B1A"/>
    <w:rsid w:val="00CB60F5"/>
    <w:rsid w:val="00CB61BA"/>
    <w:rsid w:val="00CB6ADF"/>
    <w:rsid w:val="00CB6B22"/>
    <w:rsid w:val="00CB720A"/>
    <w:rsid w:val="00CB7F5F"/>
    <w:rsid w:val="00CC0194"/>
    <w:rsid w:val="00CC0A75"/>
    <w:rsid w:val="00CC1226"/>
    <w:rsid w:val="00CC181B"/>
    <w:rsid w:val="00CC1832"/>
    <w:rsid w:val="00CC1872"/>
    <w:rsid w:val="00CC1B39"/>
    <w:rsid w:val="00CC1BFA"/>
    <w:rsid w:val="00CC2E9F"/>
    <w:rsid w:val="00CC35EA"/>
    <w:rsid w:val="00CC3848"/>
    <w:rsid w:val="00CC387F"/>
    <w:rsid w:val="00CC3F85"/>
    <w:rsid w:val="00CC4FA2"/>
    <w:rsid w:val="00CC5C42"/>
    <w:rsid w:val="00CC61C6"/>
    <w:rsid w:val="00CC6357"/>
    <w:rsid w:val="00CC6C85"/>
    <w:rsid w:val="00CC6D5E"/>
    <w:rsid w:val="00CC6F0F"/>
    <w:rsid w:val="00CD0200"/>
    <w:rsid w:val="00CD1067"/>
    <w:rsid w:val="00CD1356"/>
    <w:rsid w:val="00CD15CD"/>
    <w:rsid w:val="00CD1E8E"/>
    <w:rsid w:val="00CD251A"/>
    <w:rsid w:val="00CD2EBA"/>
    <w:rsid w:val="00CD30D4"/>
    <w:rsid w:val="00CD3A51"/>
    <w:rsid w:val="00CD3ED0"/>
    <w:rsid w:val="00CD3F77"/>
    <w:rsid w:val="00CD4A07"/>
    <w:rsid w:val="00CD534F"/>
    <w:rsid w:val="00CD5DFD"/>
    <w:rsid w:val="00CD5F92"/>
    <w:rsid w:val="00CD6613"/>
    <w:rsid w:val="00CD6ADC"/>
    <w:rsid w:val="00CD6AEF"/>
    <w:rsid w:val="00CD7193"/>
    <w:rsid w:val="00CD7401"/>
    <w:rsid w:val="00CD760E"/>
    <w:rsid w:val="00CE0070"/>
    <w:rsid w:val="00CE0221"/>
    <w:rsid w:val="00CE067B"/>
    <w:rsid w:val="00CE0987"/>
    <w:rsid w:val="00CE0B6D"/>
    <w:rsid w:val="00CE15DC"/>
    <w:rsid w:val="00CE1731"/>
    <w:rsid w:val="00CE254F"/>
    <w:rsid w:val="00CE2BCB"/>
    <w:rsid w:val="00CE2D51"/>
    <w:rsid w:val="00CE34DF"/>
    <w:rsid w:val="00CE38C8"/>
    <w:rsid w:val="00CE47C0"/>
    <w:rsid w:val="00CE4848"/>
    <w:rsid w:val="00CE4EDF"/>
    <w:rsid w:val="00CE5015"/>
    <w:rsid w:val="00CE524F"/>
    <w:rsid w:val="00CE52A1"/>
    <w:rsid w:val="00CE58CC"/>
    <w:rsid w:val="00CE5BE0"/>
    <w:rsid w:val="00CE6274"/>
    <w:rsid w:val="00CE66D5"/>
    <w:rsid w:val="00CE6D60"/>
    <w:rsid w:val="00CE6FB6"/>
    <w:rsid w:val="00CE74D8"/>
    <w:rsid w:val="00CE77B6"/>
    <w:rsid w:val="00CF0C28"/>
    <w:rsid w:val="00CF0C9A"/>
    <w:rsid w:val="00CF15E9"/>
    <w:rsid w:val="00CF2677"/>
    <w:rsid w:val="00CF2B8D"/>
    <w:rsid w:val="00CF3470"/>
    <w:rsid w:val="00CF3A1B"/>
    <w:rsid w:val="00CF3B3F"/>
    <w:rsid w:val="00CF456B"/>
    <w:rsid w:val="00CF4C4D"/>
    <w:rsid w:val="00CF5527"/>
    <w:rsid w:val="00CF5A22"/>
    <w:rsid w:val="00CF5E59"/>
    <w:rsid w:val="00CF7EEF"/>
    <w:rsid w:val="00D003A9"/>
    <w:rsid w:val="00D00A3C"/>
    <w:rsid w:val="00D011BC"/>
    <w:rsid w:val="00D016B5"/>
    <w:rsid w:val="00D019EE"/>
    <w:rsid w:val="00D02470"/>
    <w:rsid w:val="00D0262E"/>
    <w:rsid w:val="00D02BB9"/>
    <w:rsid w:val="00D03679"/>
    <w:rsid w:val="00D052B8"/>
    <w:rsid w:val="00D053EA"/>
    <w:rsid w:val="00D05E3D"/>
    <w:rsid w:val="00D06139"/>
    <w:rsid w:val="00D06A5F"/>
    <w:rsid w:val="00D06D15"/>
    <w:rsid w:val="00D06DEC"/>
    <w:rsid w:val="00D07480"/>
    <w:rsid w:val="00D077DE"/>
    <w:rsid w:val="00D10D70"/>
    <w:rsid w:val="00D110BD"/>
    <w:rsid w:val="00D114E8"/>
    <w:rsid w:val="00D117B7"/>
    <w:rsid w:val="00D12F36"/>
    <w:rsid w:val="00D13675"/>
    <w:rsid w:val="00D13688"/>
    <w:rsid w:val="00D13882"/>
    <w:rsid w:val="00D140CE"/>
    <w:rsid w:val="00D141E1"/>
    <w:rsid w:val="00D14BEB"/>
    <w:rsid w:val="00D15314"/>
    <w:rsid w:val="00D15B48"/>
    <w:rsid w:val="00D16135"/>
    <w:rsid w:val="00D16748"/>
    <w:rsid w:val="00D16C95"/>
    <w:rsid w:val="00D1738A"/>
    <w:rsid w:val="00D17BC7"/>
    <w:rsid w:val="00D17D6C"/>
    <w:rsid w:val="00D20245"/>
    <w:rsid w:val="00D20423"/>
    <w:rsid w:val="00D20672"/>
    <w:rsid w:val="00D20B64"/>
    <w:rsid w:val="00D20D98"/>
    <w:rsid w:val="00D2155B"/>
    <w:rsid w:val="00D2239D"/>
    <w:rsid w:val="00D22FB4"/>
    <w:rsid w:val="00D23A26"/>
    <w:rsid w:val="00D23D11"/>
    <w:rsid w:val="00D23DF9"/>
    <w:rsid w:val="00D2403B"/>
    <w:rsid w:val="00D244B6"/>
    <w:rsid w:val="00D244E3"/>
    <w:rsid w:val="00D24511"/>
    <w:rsid w:val="00D24625"/>
    <w:rsid w:val="00D24670"/>
    <w:rsid w:val="00D24717"/>
    <w:rsid w:val="00D2487F"/>
    <w:rsid w:val="00D24C42"/>
    <w:rsid w:val="00D24DA3"/>
    <w:rsid w:val="00D25BE3"/>
    <w:rsid w:val="00D26197"/>
    <w:rsid w:val="00D267C1"/>
    <w:rsid w:val="00D2683E"/>
    <w:rsid w:val="00D27093"/>
    <w:rsid w:val="00D2754D"/>
    <w:rsid w:val="00D27A48"/>
    <w:rsid w:val="00D27B27"/>
    <w:rsid w:val="00D30147"/>
    <w:rsid w:val="00D30C3F"/>
    <w:rsid w:val="00D30D5B"/>
    <w:rsid w:val="00D33946"/>
    <w:rsid w:val="00D33BE9"/>
    <w:rsid w:val="00D33F93"/>
    <w:rsid w:val="00D344FD"/>
    <w:rsid w:val="00D3477A"/>
    <w:rsid w:val="00D350CB"/>
    <w:rsid w:val="00D352A8"/>
    <w:rsid w:val="00D35647"/>
    <w:rsid w:val="00D357FF"/>
    <w:rsid w:val="00D35BC6"/>
    <w:rsid w:val="00D35DDD"/>
    <w:rsid w:val="00D361BA"/>
    <w:rsid w:val="00D36498"/>
    <w:rsid w:val="00D3690C"/>
    <w:rsid w:val="00D36E36"/>
    <w:rsid w:val="00D36EBE"/>
    <w:rsid w:val="00D36F26"/>
    <w:rsid w:val="00D37377"/>
    <w:rsid w:val="00D374F5"/>
    <w:rsid w:val="00D40AE1"/>
    <w:rsid w:val="00D4118F"/>
    <w:rsid w:val="00D41885"/>
    <w:rsid w:val="00D41CE4"/>
    <w:rsid w:val="00D424C7"/>
    <w:rsid w:val="00D4341D"/>
    <w:rsid w:val="00D43B2A"/>
    <w:rsid w:val="00D43CF1"/>
    <w:rsid w:val="00D43D83"/>
    <w:rsid w:val="00D44A32"/>
    <w:rsid w:val="00D44C63"/>
    <w:rsid w:val="00D451BB"/>
    <w:rsid w:val="00D455BE"/>
    <w:rsid w:val="00D46C89"/>
    <w:rsid w:val="00D47575"/>
    <w:rsid w:val="00D47752"/>
    <w:rsid w:val="00D47783"/>
    <w:rsid w:val="00D4778A"/>
    <w:rsid w:val="00D4786D"/>
    <w:rsid w:val="00D50551"/>
    <w:rsid w:val="00D507D3"/>
    <w:rsid w:val="00D50A75"/>
    <w:rsid w:val="00D5103E"/>
    <w:rsid w:val="00D5243B"/>
    <w:rsid w:val="00D533EC"/>
    <w:rsid w:val="00D53BE1"/>
    <w:rsid w:val="00D53BE8"/>
    <w:rsid w:val="00D53FDE"/>
    <w:rsid w:val="00D54DC1"/>
    <w:rsid w:val="00D56A95"/>
    <w:rsid w:val="00D60259"/>
    <w:rsid w:val="00D6076E"/>
    <w:rsid w:val="00D60A73"/>
    <w:rsid w:val="00D62B16"/>
    <w:rsid w:val="00D63123"/>
    <w:rsid w:val="00D6398E"/>
    <w:rsid w:val="00D63E1A"/>
    <w:rsid w:val="00D6429D"/>
    <w:rsid w:val="00D64A96"/>
    <w:rsid w:val="00D64FF6"/>
    <w:rsid w:val="00D6515C"/>
    <w:rsid w:val="00D655A6"/>
    <w:rsid w:val="00D65AB8"/>
    <w:rsid w:val="00D65CF8"/>
    <w:rsid w:val="00D662CF"/>
    <w:rsid w:val="00D66DFD"/>
    <w:rsid w:val="00D67322"/>
    <w:rsid w:val="00D676CD"/>
    <w:rsid w:val="00D7083B"/>
    <w:rsid w:val="00D70B6D"/>
    <w:rsid w:val="00D70EB9"/>
    <w:rsid w:val="00D70EC9"/>
    <w:rsid w:val="00D70F16"/>
    <w:rsid w:val="00D719C5"/>
    <w:rsid w:val="00D72617"/>
    <w:rsid w:val="00D7269F"/>
    <w:rsid w:val="00D72F57"/>
    <w:rsid w:val="00D73053"/>
    <w:rsid w:val="00D733E8"/>
    <w:rsid w:val="00D733FA"/>
    <w:rsid w:val="00D74032"/>
    <w:rsid w:val="00D7421F"/>
    <w:rsid w:val="00D74BAA"/>
    <w:rsid w:val="00D750BA"/>
    <w:rsid w:val="00D75C67"/>
    <w:rsid w:val="00D75EB1"/>
    <w:rsid w:val="00D76A44"/>
    <w:rsid w:val="00D76DED"/>
    <w:rsid w:val="00D76EC1"/>
    <w:rsid w:val="00D80435"/>
    <w:rsid w:val="00D8078C"/>
    <w:rsid w:val="00D80E55"/>
    <w:rsid w:val="00D812C1"/>
    <w:rsid w:val="00D815EF"/>
    <w:rsid w:val="00D81949"/>
    <w:rsid w:val="00D81F26"/>
    <w:rsid w:val="00D81F56"/>
    <w:rsid w:val="00D822E2"/>
    <w:rsid w:val="00D82496"/>
    <w:rsid w:val="00D8269C"/>
    <w:rsid w:val="00D8274B"/>
    <w:rsid w:val="00D82A5A"/>
    <w:rsid w:val="00D82AE7"/>
    <w:rsid w:val="00D82D36"/>
    <w:rsid w:val="00D82E06"/>
    <w:rsid w:val="00D82F59"/>
    <w:rsid w:val="00D83D89"/>
    <w:rsid w:val="00D842A5"/>
    <w:rsid w:val="00D843F2"/>
    <w:rsid w:val="00D8560A"/>
    <w:rsid w:val="00D8585C"/>
    <w:rsid w:val="00D86231"/>
    <w:rsid w:val="00D8722D"/>
    <w:rsid w:val="00D87A97"/>
    <w:rsid w:val="00D90656"/>
    <w:rsid w:val="00D90B58"/>
    <w:rsid w:val="00D90C2A"/>
    <w:rsid w:val="00D912AB"/>
    <w:rsid w:val="00D91770"/>
    <w:rsid w:val="00D91923"/>
    <w:rsid w:val="00D91C0C"/>
    <w:rsid w:val="00D91C3A"/>
    <w:rsid w:val="00D91F5A"/>
    <w:rsid w:val="00D92254"/>
    <w:rsid w:val="00D92402"/>
    <w:rsid w:val="00D92407"/>
    <w:rsid w:val="00D924B8"/>
    <w:rsid w:val="00D92D9D"/>
    <w:rsid w:val="00D93753"/>
    <w:rsid w:val="00D9386B"/>
    <w:rsid w:val="00D93982"/>
    <w:rsid w:val="00D93E39"/>
    <w:rsid w:val="00D94262"/>
    <w:rsid w:val="00D944C9"/>
    <w:rsid w:val="00D94AAC"/>
    <w:rsid w:val="00D96156"/>
    <w:rsid w:val="00D96A95"/>
    <w:rsid w:val="00D9741D"/>
    <w:rsid w:val="00D979B8"/>
    <w:rsid w:val="00D97C30"/>
    <w:rsid w:val="00D97CBD"/>
    <w:rsid w:val="00DA0E0B"/>
    <w:rsid w:val="00DA1243"/>
    <w:rsid w:val="00DA166A"/>
    <w:rsid w:val="00DA1F54"/>
    <w:rsid w:val="00DA3105"/>
    <w:rsid w:val="00DA3167"/>
    <w:rsid w:val="00DA3286"/>
    <w:rsid w:val="00DA3987"/>
    <w:rsid w:val="00DA428D"/>
    <w:rsid w:val="00DA42F8"/>
    <w:rsid w:val="00DA44A5"/>
    <w:rsid w:val="00DA4500"/>
    <w:rsid w:val="00DA45F0"/>
    <w:rsid w:val="00DA49D6"/>
    <w:rsid w:val="00DA4DC3"/>
    <w:rsid w:val="00DA52AD"/>
    <w:rsid w:val="00DA576D"/>
    <w:rsid w:val="00DA5952"/>
    <w:rsid w:val="00DA625A"/>
    <w:rsid w:val="00DA77A5"/>
    <w:rsid w:val="00DA7814"/>
    <w:rsid w:val="00DB073B"/>
    <w:rsid w:val="00DB07EA"/>
    <w:rsid w:val="00DB0AB0"/>
    <w:rsid w:val="00DB0E36"/>
    <w:rsid w:val="00DB108D"/>
    <w:rsid w:val="00DB207F"/>
    <w:rsid w:val="00DB2723"/>
    <w:rsid w:val="00DB2979"/>
    <w:rsid w:val="00DB304F"/>
    <w:rsid w:val="00DB3C4B"/>
    <w:rsid w:val="00DB3DBF"/>
    <w:rsid w:val="00DB3EC0"/>
    <w:rsid w:val="00DB45A4"/>
    <w:rsid w:val="00DB484F"/>
    <w:rsid w:val="00DB4CA2"/>
    <w:rsid w:val="00DB4CCD"/>
    <w:rsid w:val="00DB5991"/>
    <w:rsid w:val="00DB5F15"/>
    <w:rsid w:val="00DB6376"/>
    <w:rsid w:val="00DB6435"/>
    <w:rsid w:val="00DB656F"/>
    <w:rsid w:val="00DB683C"/>
    <w:rsid w:val="00DB79D7"/>
    <w:rsid w:val="00DB7B2F"/>
    <w:rsid w:val="00DB7D93"/>
    <w:rsid w:val="00DB7E9B"/>
    <w:rsid w:val="00DC01C0"/>
    <w:rsid w:val="00DC04F6"/>
    <w:rsid w:val="00DC0557"/>
    <w:rsid w:val="00DC0690"/>
    <w:rsid w:val="00DC14A2"/>
    <w:rsid w:val="00DC1D65"/>
    <w:rsid w:val="00DC2B2B"/>
    <w:rsid w:val="00DC2EA4"/>
    <w:rsid w:val="00DC33DB"/>
    <w:rsid w:val="00DC3BC3"/>
    <w:rsid w:val="00DC3C57"/>
    <w:rsid w:val="00DC4A46"/>
    <w:rsid w:val="00DC4FD5"/>
    <w:rsid w:val="00DC53CA"/>
    <w:rsid w:val="00DC5501"/>
    <w:rsid w:val="00DC55A0"/>
    <w:rsid w:val="00DC5DE4"/>
    <w:rsid w:val="00DC643C"/>
    <w:rsid w:val="00DC65BD"/>
    <w:rsid w:val="00DC7154"/>
    <w:rsid w:val="00DC7576"/>
    <w:rsid w:val="00DC76A3"/>
    <w:rsid w:val="00DC77F0"/>
    <w:rsid w:val="00DC7D15"/>
    <w:rsid w:val="00DC7E8A"/>
    <w:rsid w:val="00DC7F51"/>
    <w:rsid w:val="00DD02DC"/>
    <w:rsid w:val="00DD0E7A"/>
    <w:rsid w:val="00DD0F78"/>
    <w:rsid w:val="00DD1017"/>
    <w:rsid w:val="00DD1B16"/>
    <w:rsid w:val="00DD23A6"/>
    <w:rsid w:val="00DD2657"/>
    <w:rsid w:val="00DD273C"/>
    <w:rsid w:val="00DD2774"/>
    <w:rsid w:val="00DD30B9"/>
    <w:rsid w:val="00DD3361"/>
    <w:rsid w:val="00DD357E"/>
    <w:rsid w:val="00DD361A"/>
    <w:rsid w:val="00DD39EC"/>
    <w:rsid w:val="00DD3C26"/>
    <w:rsid w:val="00DD3EAA"/>
    <w:rsid w:val="00DD3F28"/>
    <w:rsid w:val="00DD4446"/>
    <w:rsid w:val="00DD4537"/>
    <w:rsid w:val="00DD4DFE"/>
    <w:rsid w:val="00DD4E15"/>
    <w:rsid w:val="00DD653A"/>
    <w:rsid w:val="00DD6B58"/>
    <w:rsid w:val="00DD75BB"/>
    <w:rsid w:val="00DD7CE7"/>
    <w:rsid w:val="00DD7FB7"/>
    <w:rsid w:val="00DE099D"/>
    <w:rsid w:val="00DE0FBC"/>
    <w:rsid w:val="00DE0FCC"/>
    <w:rsid w:val="00DE1D2B"/>
    <w:rsid w:val="00DE2304"/>
    <w:rsid w:val="00DE2DFD"/>
    <w:rsid w:val="00DE3138"/>
    <w:rsid w:val="00DE3153"/>
    <w:rsid w:val="00DE3668"/>
    <w:rsid w:val="00DE37F8"/>
    <w:rsid w:val="00DE3808"/>
    <w:rsid w:val="00DE3E82"/>
    <w:rsid w:val="00DE4273"/>
    <w:rsid w:val="00DE4486"/>
    <w:rsid w:val="00DE4903"/>
    <w:rsid w:val="00DE4FCB"/>
    <w:rsid w:val="00DE5D07"/>
    <w:rsid w:val="00DE6C37"/>
    <w:rsid w:val="00DE702B"/>
    <w:rsid w:val="00DE70DC"/>
    <w:rsid w:val="00DE71B2"/>
    <w:rsid w:val="00DE72A7"/>
    <w:rsid w:val="00DE742B"/>
    <w:rsid w:val="00DE7622"/>
    <w:rsid w:val="00DE7832"/>
    <w:rsid w:val="00DE7DC5"/>
    <w:rsid w:val="00DF0241"/>
    <w:rsid w:val="00DF0F1E"/>
    <w:rsid w:val="00DF175D"/>
    <w:rsid w:val="00DF18FC"/>
    <w:rsid w:val="00DF1973"/>
    <w:rsid w:val="00DF1CBE"/>
    <w:rsid w:val="00DF27F1"/>
    <w:rsid w:val="00DF2E43"/>
    <w:rsid w:val="00DF4E72"/>
    <w:rsid w:val="00DF5D2B"/>
    <w:rsid w:val="00DF618D"/>
    <w:rsid w:val="00DF626A"/>
    <w:rsid w:val="00DF6341"/>
    <w:rsid w:val="00DF6733"/>
    <w:rsid w:val="00DF69B5"/>
    <w:rsid w:val="00DF6C3A"/>
    <w:rsid w:val="00E00175"/>
    <w:rsid w:val="00E00E8E"/>
    <w:rsid w:val="00E015EA"/>
    <w:rsid w:val="00E018BC"/>
    <w:rsid w:val="00E01F00"/>
    <w:rsid w:val="00E02E9D"/>
    <w:rsid w:val="00E035CA"/>
    <w:rsid w:val="00E03ACA"/>
    <w:rsid w:val="00E03BA6"/>
    <w:rsid w:val="00E04446"/>
    <w:rsid w:val="00E044AA"/>
    <w:rsid w:val="00E047D2"/>
    <w:rsid w:val="00E04953"/>
    <w:rsid w:val="00E05099"/>
    <w:rsid w:val="00E05630"/>
    <w:rsid w:val="00E05814"/>
    <w:rsid w:val="00E05861"/>
    <w:rsid w:val="00E05989"/>
    <w:rsid w:val="00E05FA2"/>
    <w:rsid w:val="00E063F0"/>
    <w:rsid w:val="00E06DBB"/>
    <w:rsid w:val="00E0751A"/>
    <w:rsid w:val="00E07F98"/>
    <w:rsid w:val="00E10149"/>
    <w:rsid w:val="00E11037"/>
    <w:rsid w:val="00E11340"/>
    <w:rsid w:val="00E1135D"/>
    <w:rsid w:val="00E11844"/>
    <w:rsid w:val="00E122A1"/>
    <w:rsid w:val="00E12407"/>
    <w:rsid w:val="00E1251D"/>
    <w:rsid w:val="00E12738"/>
    <w:rsid w:val="00E129AE"/>
    <w:rsid w:val="00E129E5"/>
    <w:rsid w:val="00E13A83"/>
    <w:rsid w:val="00E140F5"/>
    <w:rsid w:val="00E147EC"/>
    <w:rsid w:val="00E157D4"/>
    <w:rsid w:val="00E15CFA"/>
    <w:rsid w:val="00E15F03"/>
    <w:rsid w:val="00E16372"/>
    <w:rsid w:val="00E16550"/>
    <w:rsid w:val="00E167AC"/>
    <w:rsid w:val="00E169EC"/>
    <w:rsid w:val="00E16A5B"/>
    <w:rsid w:val="00E16AD8"/>
    <w:rsid w:val="00E17149"/>
    <w:rsid w:val="00E17674"/>
    <w:rsid w:val="00E17FFA"/>
    <w:rsid w:val="00E20A6F"/>
    <w:rsid w:val="00E20C72"/>
    <w:rsid w:val="00E20E4D"/>
    <w:rsid w:val="00E20ED6"/>
    <w:rsid w:val="00E21358"/>
    <w:rsid w:val="00E21FEA"/>
    <w:rsid w:val="00E2249B"/>
    <w:rsid w:val="00E224D8"/>
    <w:rsid w:val="00E22827"/>
    <w:rsid w:val="00E22A0D"/>
    <w:rsid w:val="00E237AE"/>
    <w:rsid w:val="00E244F6"/>
    <w:rsid w:val="00E24768"/>
    <w:rsid w:val="00E253CE"/>
    <w:rsid w:val="00E25749"/>
    <w:rsid w:val="00E258DB"/>
    <w:rsid w:val="00E259AC"/>
    <w:rsid w:val="00E25E42"/>
    <w:rsid w:val="00E26F63"/>
    <w:rsid w:val="00E272A1"/>
    <w:rsid w:val="00E272F4"/>
    <w:rsid w:val="00E2771E"/>
    <w:rsid w:val="00E27DB1"/>
    <w:rsid w:val="00E306E9"/>
    <w:rsid w:val="00E30C69"/>
    <w:rsid w:val="00E311EF"/>
    <w:rsid w:val="00E313C8"/>
    <w:rsid w:val="00E3171E"/>
    <w:rsid w:val="00E3199D"/>
    <w:rsid w:val="00E32180"/>
    <w:rsid w:val="00E321AC"/>
    <w:rsid w:val="00E329C5"/>
    <w:rsid w:val="00E33D87"/>
    <w:rsid w:val="00E33EA3"/>
    <w:rsid w:val="00E34948"/>
    <w:rsid w:val="00E357B7"/>
    <w:rsid w:val="00E360F4"/>
    <w:rsid w:val="00E3671A"/>
    <w:rsid w:val="00E36B73"/>
    <w:rsid w:val="00E36C2D"/>
    <w:rsid w:val="00E36C6C"/>
    <w:rsid w:val="00E37569"/>
    <w:rsid w:val="00E37D72"/>
    <w:rsid w:val="00E401B2"/>
    <w:rsid w:val="00E40486"/>
    <w:rsid w:val="00E41385"/>
    <w:rsid w:val="00E419C6"/>
    <w:rsid w:val="00E41E30"/>
    <w:rsid w:val="00E42B58"/>
    <w:rsid w:val="00E42F73"/>
    <w:rsid w:val="00E43157"/>
    <w:rsid w:val="00E4334C"/>
    <w:rsid w:val="00E43D70"/>
    <w:rsid w:val="00E4415C"/>
    <w:rsid w:val="00E44CEF"/>
    <w:rsid w:val="00E44DBE"/>
    <w:rsid w:val="00E45573"/>
    <w:rsid w:val="00E45D51"/>
    <w:rsid w:val="00E461A0"/>
    <w:rsid w:val="00E4661C"/>
    <w:rsid w:val="00E466F3"/>
    <w:rsid w:val="00E46920"/>
    <w:rsid w:val="00E46B01"/>
    <w:rsid w:val="00E4706C"/>
    <w:rsid w:val="00E470B4"/>
    <w:rsid w:val="00E47B2C"/>
    <w:rsid w:val="00E50B2B"/>
    <w:rsid w:val="00E51431"/>
    <w:rsid w:val="00E51560"/>
    <w:rsid w:val="00E51821"/>
    <w:rsid w:val="00E519F1"/>
    <w:rsid w:val="00E52E32"/>
    <w:rsid w:val="00E53298"/>
    <w:rsid w:val="00E53FC8"/>
    <w:rsid w:val="00E54347"/>
    <w:rsid w:val="00E546C4"/>
    <w:rsid w:val="00E5538F"/>
    <w:rsid w:val="00E55424"/>
    <w:rsid w:val="00E55915"/>
    <w:rsid w:val="00E55BB5"/>
    <w:rsid w:val="00E569EA"/>
    <w:rsid w:val="00E57823"/>
    <w:rsid w:val="00E57838"/>
    <w:rsid w:val="00E57A71"/>
    <w:rsid w:val="00E57F96"/>
    <w:rsid w:val="00E601E9"/>
    <w:rsid w:val="00E60316"/>
    <w:rsid w:val="00E6034A"/>
    <w:rsid w:val="00E60870"/>
    <w:rsid w:val="00E610FC"/>
    <w:rsid w:val="00E6110F"/>
    <w:rsid w:val="00E611DF"/>
    <w:rsid w:val="00E61B78"/>
    <w:rsid w:val="00E61CB0"/>
    <w:rsid w:val="00E6234D"/>
    <w:rsid w:val="00E626EB"/>
    <w:rsid w:val="00E62E8B"/>
    <w:rsid w:val="00E63299"/>
    <w:rsid w:val="00E639BB"/>
    <w:rsid w:val="00E63C72"/>
    <w:rsid w:val="00E64101"/>
    <w:rsid w:val="00E65E79"/>
    <w:rsid w:val="00E6615A"/>
    <w:rsid w:val="00E66BA2"/>
    <w:rsid w:val="00E66CB4"/>
    <w:rsid w:val="00E67416"/>
    <w:rsid w:val="00E6763C"/>
    <w:rsid w:val="00E676F2"/>
    <w:rsid w:val="00E67788"/>
    <w:rsid w:val="00E67C4F"/>
    <w:rsid w:val="00E67CC2"/>
    <w:rsid w:val="00E7033D"/>
    <w:rsid w:val="00E70625"/>
    <w:rsid w:val="00E70682"/>
    <w:rsid w:val="00E706B4"/>
    <w:rsid w:val="00E70BF1"/>
    <w:rsid w:val="00E70C5A"/>
    <w:rsid w:val="00E70E12"/>
    <w:rsid w:val="00E7123F"/>
    <w:rsid w:val="00E71500"/>
    <w:rsid w:val="00E718B6"/>
    <w:rsid w:val="00E71B07"/>
    <w:rsid w:val="00E71E0B"/>
    <w:rsid w:val="00E723BA"/>
    <w:rsid w:val="00E72CB3"/>
    <w:rsid w:val="00E73581"/>
    <w:rsid w:val="00E73953"/>
    <w:rsid w:val="00E74566"/>
    <w:rsid w:val="00E75496"/>
    <w:rsid w:val="00E760C1"/>
    <w:rsid w:val="00E760E6"/>
    <w:rsid w:val="00E76B4F"/>
    <w:rsid w:val="00E76FFE"/>
    <w:rsid w:val="00E77885"/>
    <w:rsid w:val="00E77C3E"/>
    <w:rsid w:val="00E81467"/>
    <w:rsid w:val="00E8187D"/>
    <w:rsid w:val="00E81A65"/>
    <w:rsid w:val="00E81B51"/>
    <w:rsid w:val="00E81DBB"/>
    <w:rsid w:val="00E824AB"/>
    <w:rsid w:val="00E825CF"/>
    <w:rsid w:val="00E82788"/>
    <w:rsid w:val="00E833D8"/>
    <w:rsid w:val="00E833F7"/>
    <w:rsid w:val="00E83BDF"/>
    <w:rsid w:val="00E83D72"/>
    <w:rsid w:val="00E84847"/>
    <w:rsid w:val="00E85294"/>
    <w:rsid w:val="00E854E8"/>
    <w:rsid w:val="00E85C18"/>
    <w:rsid w:val="00E86FCC"/>
    <w:rsid w:val="00E87443"/>
    <w:rsid w:val="00E87A04"/>
    <w:rsid w:val="00E87A1D"/>
    <w:rsid w:val="00E90417"/>
    <w:rsid w:val="00E9094A"/>
    <w:rsid w:val="00E90C5D"/>
    <w:rsid w:val="00E91D35"/>
    <w:rsid w:val="00E91E6C"/>
    <w:rsid w:val="00E91F9D"/>
    <w:rsid w:val="00E926A5"/>
    <w:rsid w:val="00E926CD"/>
    <w:rsid w:val="00E93355"/>
    <w:rsid w:val="00E93DCC"/>
    <w:rsid w:val="00E93E64"/>
    <w:rsid w:val="00E942E9"/>
    <w:rsid w:val="00E944B9"/>
    <w:rsid w:val="00E95A49"/>
    <w:rsid w:val="00E96079"/>
    <w:rsid w:val="00E962CC"/>
    <w:rsid w:val="00E96812"/>
    <w:rsid w:val="00E96B93"/>
    <w:rsid w:val="00E96C74"/>
    <w:rsid w:val="00E96E99"/>
    <w:rsid w:val="00E9720F"/>
    <w:rsid w:val="00EA17C3"/>
    <w:rsid w:val="00EA23D8"/>
    <w:rsid w:val="00EA2B82"/>
    <w:rsid w:val="00EA2CAA"/>
    <w:rsid w:val="00EA374E"/>
    <w:rsid w:val="00EA3864"/>
    <w:rsid w:val="00EA42A4"/>
    <w:rsid w:val="00EA42BF"/>
    <w:rsid w:val="00EA43C5"/>
    <w:rsid w:val="00EA45A5"/>
    <w:rsid w:val="00EA4C83"/>
    <w:rsid w:val="00EA5416"/>
    <w:rsid w:val="00EA55ED"/>
    <w:rsid w:val="00EA62D4"/>
    <w:rsid w:val="00EA70B4"/>
    <w:rsid w:val="00EA773B"/>
    <w:rsid w:val="00EA78F7"/>
    <w:rsid w:val="00EA79DF"/>
    <w:rsid w:val="00EA7F1C"/>
    <w:rsid w:val="00EB0077"/>
    <w:rsid w:val="00EB0430"/>
    <w:rsid w:val="00EB05BC"/>
    <w:rsid w:val="00EB09C9"/>
    <w:rsid w:val="00EB15B6"/>
    <w:rsid w:val="00EB1E4E"/>
    <w:rsid w:val="00EB28AA"/>
    <w:rsid w:val="00EB3C4C"/>
    <w:rsid w:val="00EB3D06"/>
    <w:rsid w:val="00EB4916"/>
    <w:rsid w:val="00EB52F6"/>
    <w:rsid w:val="00EB6DB1"/>
    <w:rsid w:val="00EB6F2C"/>
    <w:rsid w:val="00EB72C8"/>
    <w:rsid w:val="00EC00C9"/>
    <w:rsid w:val="00EC017A"/>
    <w:rsid w:val="00EC03B2"/>
    <w:rsid w:val="00EC093B"/>
    <w:rsid w:val="00EC0DD9"/>
    <w:rsid w:val="00EC117A"/>
    <w:rsid w:val="00EC16CF"/>
    <w:rsid w:val="00EC1B33"/>
    <w:rsid w:val="00EC2649"/>
    <w:rsid w:val="00EC31ED"/>
    <w:rsid w:val="00EC44F2"/>
    <w:rsid w:val="00EC5836"/>
    <w:rsid w:val="00EC59EC"/>
    <w:rsid w:val="00EC5FC7"/>
    <w:rsid w:val="00EC688C"/>
    <w:rsid w:val="00EC69CB"/>
    <w:rsid w:val="00EC6BF1"/>
    <w:rsid w:val="00EC6F39"/>
    <w:rsid w:val="00EC7B11"/>
    <w:rsid w:val="00ED01CA"/>
    <w:rsid w:val="00ED0827"/>
    <w:rsid w:val="00ED0CBB"/>
    <w:rsid w:val="00ED0D90"/>
    <w:rsid w:val="00ED0E1C"/>
    <w:rsid w:val="00ED12E3"/>
    <w:rsid w:val="00ED2A29"/>
    <w:rsid w:val="00ED3445"/>
    <w:rsid w:val="00ED3BE9"/>
    <w:rsid w:val="00ED4078"/>
    <w:rsid w:val="00ED4501"/>
    <w:rsid w:val="00ED45CD"/>
    <w:rsid w:val="00ED4B04"/>
    <w:rsid w:val="00ED4C02"/>
    <w:rsid w:val="00ED57EA"/>
    <w:rsid w:val="00ED5B30"/>
    <w:rsid w:val="00ED5BD4"/>
    <w:rsid w:val="00ED5EE7"/>
    <w:rsid w:val="00EE0549"/>
    <w:rsid w:val="00EE07D3"/>
    <w:rsid w:val="00EE1266"/>
    <w:rsid w:val="00EE1894"/>
    <w:rsid w:val="00EE1996"/>
    <w:rsid w:val="00EE1C01"/>
    <w:rsid w:val="00EE221D"/>
    <w:rsid w:val="00EE22AF"/>
    <w:rsid w:val="00EE2572"/>
    <w:rsid w:val="00EE33CD"/>
    <w:rsid w:val="00EE4722"/>
    <w:rsid w:val="00EE5A03"/>
    <w:rsid w:val="00EE67A8"/>
    <w:rsid w:val="00EE6882"/>
    <w:rsid w:val="00EE6DC8"/>
    <w:rsid w:val="00EE73FB"/>
    <w:rsid w:val="00EE751E"/>
    <w:rsid w:val="00EE7C38"/>
    <w:rsid w:val="00EE7C7D"/>
    <w:rsid w:val="00EF0171"/>
    <w:rsid w:val="00EF0756"/>
    <w:rsid w:val="00EF08E3"/>
    <w:rsid w:val="00EF1AC9"/>
    <w:rsid w:val="00EF1B25"/>
    <w:rsid w:val="00EF1DA0"/>
    <w:rsid w:val="00EF1E95"/>
    <w:rsid w:val="00EF2255"/>
    <w:rsid w:val="00EF28B8"/>
    <w:rsid w:val="00EF2E83"/>
    <w:rsid w:val="00EF41D2"/>
    <w:rsid w:val="00EF4747"/>
    <w:rsid w:val="00EF4984"/>
    <w:rsid w:val="00EF4BF8"/>
    <w:rsid w:val="00EF4FA1"/>
    <w:rsid w:val="00EF5CD0"/>
    <w:rsid w:val="00EF5D71"/>
    <w:rsid w:val="00EF5DA2"/>
    <w:rsid w:val="00EF7038"/>
    <w:rsid w:val="00EF703B"/>
    <w:rsid w:val="00EF754A"/>
    <w:rsid w:val="00EF7603"/>
    <w:rsid w:val="00EF781F"/>
    <w:rsid w:val="00EF7F64"/>
    <w:rsid w:val="00F0018C"/>
    <w:rsid w:val="00F0042C"/>
    <w:rsid w:val="00F0068D"/>
    <w:rsid w:val="00F0131B"/>
    <w:rsid w:val="00F01548"/>
    <w:rsid w:val="00F017BE"/>
    <w:rsid w:val="00F01B8E"/>
    <w:rsid w:val="00F01CCC"/>
    <w:rsid w:val="00F02253"/>
    <w:rsid w:val="00F02510"/>
    <w:rsid w:val="00F02677"/>
    <w:rsid w:val="00F029E5"/>
    <w:rsid w:val="00F02AFA"/>
    <w:rsid w:val="00F03404"/>
    <w:rsid w:val="00F03C2E"/>
    <w:rsid w:val="00F0422A"/>
    <w:rsid w:val="00F042BA"/>
    <w:rsid w:val="00F048F5"/>
    <w:rsid w:val="00F04A22"/>
    <w:rsid w:val="00F04A66"/>
    <w:rsid w:val="00F04B4B"/>
    <w:rsid w:val="00F04E46"/>
    <w:rsid w:val="00F0516C"/>
    <w:rsid w:val="00F0566C"/>
    <w:rsid w:val="00F05D27"/>
    <w:rsid w:val="00F067A2"/>
    <w:rsid w:val="00F0705B"/>
    <w:rsid w:val="00F076E4"/>
    <w:rsid w:val="00F07737"/>
    <w:rsid w:val="00F077CC"/>
    <w:rsid w:val="00F07860"/>
    <w:rsid w:val="00F07B9E"/>
    <w:rsid w:val="00F10773"/>
    <w:rsid w:val="00F109D1"/>
    <w:rsid w:val="00F1116F"/>
    <w:rsid w:val="00F112AE"/>
    <w:rsid w:val="00F11472"/>
    <w:rsid w:val="00F1263A"/>
    <w:rsid w:val="00F13140"/>
    <w:rsid w:val="00F139C5"/>
    <w:rsid w:val="00F13AD4"/>
    <w:rsid w:val="00F14585"/>
    <w:rsid w:val="00F14A30"/>
    <w:rsid w:val="00F1555B"/>
    <w:rsid w:val="00F158A6"/>
    <w:rsid w:val="00F15971"/>
    <w:rsid w:val="00F15B77"/>
    <w:rsid w:val="00F164CF"/>
    <w:rsid w:val="00F16C64"/>
    <w:rsid w:val="00F2067B"/>
    <w:rsid w:val="00F21236"/>
    <w:rsid w:val="00F21972"/>
    <w:rsid w:val="00F2266A"/>
    <w:rsid w:val="00F231B2"/>
    <w:rsid w:val="00F23994"/>
    <w:rsid w:val="00F239DF"/>
    <w:rsid w:val="00F23E7F"/>
    <w:rsid w:val="00F24837"/>
    <w:rsid w:val="00F24DFD"/>
    <w:rsid w:val="00F2575F"/>
    <w:rsid w:val="00F25BDC"/>
    <w:rsid w:val="00F25E3B"/>
    <w:rsid w:val="00F26BDC"/>
    <w:rsid w:val="00F27565"/>
    <w:rsid w:val="00F30E26"/>
    <w:rsid w:val="00F310D4"/>
    <w:rsid w:val="00F31311"/>
    <w:rsid w:val="00F31738"/>
    <w:rsid w:val="00F31CD9"/>
    <w:rsid w:val="00F31D5A"/>
    <w:rsid w:val="00F325CB"/>
    <w:rsid w:val="00F32764"/>
    <w:rsid w:val="00F33975"/>
    <w:rsid w:val="00F33DE9"/>
    <w:rsid w:val="00F35406"/>
    <w:rsid w:val="00F35E6D"/>
    <w:rsid w:val="00F35F56"/>
    <w:rsid w:val="00F3619A"/>
    <w:rsid w:val="00F3663E"/>
    <w:rsid w:val="00F37B4C"/>
    <w:rsid w:val="00F37B95"/>
    <w:rsid w:val="00F37DA3"/>
    <w:rsid w:val="00F40AAA"/>
    <w:rsid w:val="00F40BA7"/>
    <w:rsid w:val="00F40F9D"/>
    <w:rsid w:val="00F413B8"/>
    <w:rsid w:val="00F41775"/>
    <w:rsid w:val="00F41ACD"/>
    <w:rsid w:val="00F42162"/>
    <w:rsid w:val="00F422AF"/>
    <w:rsid w:val="00F427DB"/>
    <w:rsid w:val="00F4310E"/>
    <w:rsid w:val="00F431B4"/>
    <w:rsid w:val="00F433DF"/>
    <w:rsid w:val="00F45FB6"/>
    <w:rsid w:val="00F46816"/>
    <w:rsid w:val="00F46C6C"/>
    <w:rsid w:val="00F46CB6"/>
    <w:rsid w:val="00F4756D"/>
    <w:rsid w:val="00F4775F"/>
    <w:rsid w:val="00F47887"/>
    <w:rsid w:val="00F47DE8"/>
    <w:rsid w:val="00F5169F"/>
    <w:rsid w:val="00F51EB3"/>
    <w:rsid w:val="00F5276A"/>
    <w:rsid w:val="00F528C6"/>
    <w:rsid w:val="00F52D83"/>
    <w:rsid w:val="00F53D28"/>
    <w:rsid w:val="00F5411B"/>
    <w:rsid w:val="00F542C1"/>
    <w:rsid w:val="00F54D55"/>
    <w:rsid w:val="00F54EF1"/>
    <w:rsid w:val="00F54F42"/>
    <w:rsid w:val="00F550E3"/>
    <w:rsid w:val="00F55334"/>
    <w:rsid w:val="00F55B7A"/>
    <w:rsid w:val="00F55D82"/>
    <w:rsid w:val="00F55E73"/>
    <w:rsid w:val="00F55EDA"/>
    <w:rsid w:val="00F56C80"/>
    <w:rsid w:val="00F57094"/>
    <w:rsid w:val="00F5766E"/>
    <w:rsid w:val="00F57744"/>
    <w:rsid w:val="00F60092"/>
    <w:rsid w:val="00F607FE"/>
    <w:rsid w:val="00F60925"/>
    <w:rsid w:val="00F610A2"/>
    <w:rsid w:val="00F61C18"/>
    <w:rsid w:val="00F61D43"/>
    <w:rsid w:val="00F62362"/>
    <w:rsid w:val="00F6281F"/>
    <w:rsid w:val="00F63E6D"/>
    <w:rsid w:val="00F64A75"/>
    <w:rsid w:val="00F64F07"/>
    <w:rsid w:val="00F65F4B"/>
    <w:rsid w:val="00F66CA4"/>
    <w:rsid w:val="00F678AF"/>
    <w:rsid w:val="00F67A69"/>
    <w:rsid w:val="00F67D04"/>
    <w:rsid w:val="00F70BFF"/>
    <w:rsid w:val="00F70C9D"/>
    <w:rsid w:val="00F70D43"/>
    <w:rsid w:val="00F71004"/>
    <w:rsid w:val="00F71010"/>
    <w:rsid w:val="00F7116C"/>
    <w:rsid w:val="00F715B0"/>
    <w:rsid w:val="00F715C5"/>
    <w:rsid w:val="00F71BFA"/>
    <w:rsid w:val="00F7241A"/>
    <w:rsid w:val="00F727C2"/>
    <w:rsid w:val="00F73552"/>
    <w:rsid w:val="00F7394E"/>
    <w:rsid w:val="00F73E08"/>
    <w:rsid w:val="00F73FCC"/>
    <w:rsid w:val="00F74CD9"/>
    <w:rsid w:val="00F7529F"/>
    <w:rsid w:val="00F804A0"/>
    <w:rsid w:val="00F805EA"/>
    <w:rsid w:val="00F80A7B"/>
    <w:rsid w:val="00F80E2B"/>
    <w:rsid w:val="00F80E5D"/>
    <w:rsid w:val="00F81E78"/>
    <w:rsid w:val="00F81EC7"/>
    <w:rsid w:val="00F82957"/>
    <w:rsid w:val="00F830C7"/>
    <w:rsid w:val="00F83306"/>
    <w:rsid w:val="00F83916"/>
    <w:rsid w:val="00F83B16"/>
    <w:rsid w:val="00F84996"/>
    <w:rsid w:val="00F84A1E"/>
    <w:rsid w:val="00F851CE"/>
    <w:rsid w:val="00F8541C"/>
    <w:rsid w:val="00F856C4"/>
    <w:rsid w:val="00F8646B"/>
    <w:rsid w:val="00F909CA"/>
    <w:rsid w:val="00F90A96"/>
    <w:rsid w:val="00F90D70"/>
    <w:rsid w:val="00F91219"/>
    <w:rsid w:val="00F92444"/>
    <w:rsid w:val="00F9245B"/>
    <w:rsid w:val="00F93492"/>
    <w:rsid w:val="00F9393E"/>
    <w:rsid w:val="00F940C4"/>
    <w:rsid w:val="00F94520"/>
    <w:rsid w:val="00F947AB"/>
    <w:rsid w:val="00F95F39"/>
    <w:rsid w:val="00F96765"/>
    <w:rsid w:val="00F96FD0"/>
    <w:rsid w:val="00F970D6"/>
    <w:rsid w:val="00F972FA"/>
    <w:rsid w:val="00F97A78"/>
    <w:rsid w:val="00FA04B5"/>
    <w:rsid w:val="00FA081B"/>
    <w:rsid w:val="00FA0B20"/>
    <w:rsid w:val="00FA1DBF"/>
    <w:rsid w:val="00FA24E7"/>
    <w:rsid w:val="00FA2A39"/>
    <w:rsid w:val="00FA4130"/>
    <w:rsid w:val="00FA4C0F"/>
    <w:rsid w:val="00FA5EE6"/>
    <w:rsid w:val="00FA64CA"/>
    <w:rsid w:val="00FA6C78"/>
    <w:rsid w:val="00FA7244"/>
    <w:rsid w:val="00FA7776"/>
    <w:rsid w:val="00FA7956"/>
    <w:rsid w:val="00FA7B8B"/>
    <w:rsid w:val="00FB0725"/>
    <w:rsid w:val="00FB0824"/>
    <w:rsid w:val="00FB0EDD"/>
    <w:rsid w:val="00FB1113"/>
    <w:rsid w:val="00FB1986"/>
    <w:rsid w:val="00FB2DFC"/>
    <w:rsid w:val="00FB2FCB"/>
    <w:rsid w:val="00FB32A5"/>
    <w:rsid w:val="00FB3870"/>
    <w:rsid w:val="00FB387C"/>
    <w:rsid w:val="00FB39A3"/>
    <w:rsid w:val="00FB3A65"/>
    <w:rsid w:val="00FB3CFF"/>
    <w:rsid w:val="00FB45F3"/>
    <w:rsid w:val="00FB4790"/>
    <w:rsid w:val="00FB4C9C"/>
    <w:rsid w:val="00FB5829"/>
    <w:rsid w:val="00FB5E77"/>
    <w:rsid w:val="00FB61E6"/>
    <w:rsid w:val="00FB626C"/>
    <w:rsid w:val="00FB658A"/>
    <w:rsid w:val="00FB71DE"/>
    <w:rsid w:val="00FB75FA"/>
    <w:rsid w:val="00FB7C55"/>
    <w:rsid w:val="00FC1074"/>
    <w:rsid w:val="00FC1884"/>
    <w:rsid w:val="00FC18C0"/>
    <w:rsid w:val="00FC246B"/>
    <w:rsid w:val="00FC2AFD"/>
    <w:rsid w:val="00FC2C56"/>
    <w:rsid w:val="00FC3056"/>
    <w:rsid w:val="00FC371D"/>
    <w:rsid w:val="00FC39F2"/>
    <w:rsid w:val="00FC4C47"/>
    <w:rsid w:val="00FC5CA6"/>
    <w:rsid w:val="00FC5F0B"/>
    <w:rsid w:val="00FC625D"/>
    <w:rsid w:val="00FC676C"/>
    <w:rsid w:val="00FC6953"/>
    <w:rsid w:val="00FC6E71"/>
    <w:rsid w:val="00FC7098"/>
    <w:rsid w:val="00FC7208"/>
    <w:rsid w:val="00FC7B2F"/>
    <w:rsid w:val="00FD032E"/>
    <w:rsid w:val="00FD1B6B"/>
    <w:rsid w:val="00FD2100"/>
    <w:rsid w:val="00FD22E9"/>
    <w:rsid w:val="00FD2332"/>
    <w:rsid w:val="00FD26DD"/>
    <w:rsid w:val="00FD273A"/>
    <w:rsid w:val="00FD2B70"/>
    <w:rsid w:val="00FD32CC"/>
    <w:rsid w:val="00FD3F0A"/>
    <w:rsid w:val="00FD436C"/>
    <w:rsid w:val="00FD446D"/>
    <w:rsid w:val="00FD4797"/>
    <w:rsid w:val="00FD4F2C"/>
    <w:rsid w:val="00FD5E92"/>
    <w:rsid w:val="00FD6394"/>
    <w:rsid w:val="00FD6838"/>
    <w:rsid w:val="00FD7213"/>
    <w:rsid w:val="00FD7448"/>
    <w:rsid w:val="00FD76AE"/>
    <w:rsid w:val="00FD7FF5"/>
    <w:rsid w:val="00FE0E6C"/>
    <w:rsid w:val="00FE1743"/>
    <w:rsid w:val="00FE1CDC"/>
    <w:rsid w:val="00FE1E72"/>
    <w:rsid w:val="00FE20DC"/>
    <w:rsid w:val="00FE2273"/>
    <w:rsid w:val="00FE2328"/>
    <w:rsid w:val="00FE2640"/>
    <w:rsid w:val="00FE311F"/>
    <w:rsid w:val="00FE3260"/>
    <w:rsid w:val="00FE32AF"/>
    <w:rsid w:val="00FE3357"/>
    <w:rsid w:val="00FE4BB9"/>
    <w:rsid w:val="00FE549A"/>
    <w:rsid w:val="00FE5A5F"/>
    <w:rsid w:val="00FE5FF4"/>
    <w:rsid w:val="00FE64EE"/>
    <w:rsid w:val="00FE68F1"/>
    <w:rsid w:val="00FE70C3"/>
    <w:rsid w:val="00FE751B"/>
    <w:rsid w:val="00FF0E4B"/>
    <w:rsid w:val="00FF1A00"/>
    <w:rsid w:val="00FF1A28"/>
    <w:rsid w:val="00FF1A8B"/>
    <w:rsid w:val="00FF1E36"/>
    <w:rsid w:val="00FF1EB4"/>
    <w:rsid w:val="00FF2034"/>
    <w:rsid w:val="00FF28B5"/>
    <w:rsid w:val="00FF2AD9"/>
    <w:rsid w:val="00FF2DD5"/>
    <w:rsid w:val="00FF359F"/>
    <w:rsid w:val="00FF372E"/>
    <w:rsid w:val="00FF3DCF"/>
    <w:rsid w:val="00FF4914"/>
    <w:rsid w:val="00FF492C"/>
    <w:rsid w:val="00FF4A21"/>
    <w:rsid w:val="00FF52F3"/>
    <w:rsid w:val="00FF5471"/>
    <w:rsid w:val="00FF5A49"/>
    <w:rsid w:val="00FF5AA3"/>
    <w:rsid w:val="00FF5AD8"/>
    <w:rsid w:val="00FF667C"/>
    <w:rsid w:val="00FF677F"/>
    <w:rsid w:val="00FF689B"/>
    <w:rsid w:val="00FF7BF9"/>
    <w:rsid w:val="200B5557"/>
    <w:rsid w:val="442CE5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F67"/>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HMR,TabFig title/caption,Caption for Figures and Tables,fig cadre,Caption Char Char,Caption Char Char Char Char,fig cadre Char2,Caption Char2,fig cadre Char Char,NICE Caption,Char1,c,AW Caption,Char,SMC Caption,IB Caption,- H17,Caption2"/>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PHMR Char,TabFig title/caption Char,Caption for Figures and Tables Char,fig cadre Char,Caption Char Char Char,Caption Char Char Char Char Char,fig cadre Char2 Char,Caption Char2 Char,fig cadre Char Char Char,NICE Caption Char,c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1,Bullets,Odstavec se seznamem1"/>
    <w:link w:val="ListParagraphChar"/>
    <w:uiPriority w:val="34"/>
    <w:qFormat/>
    <w:rsid w:val="004C3B02"/>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PBAC table,HTAtableplain,Lash Style Table,MSD Table Grid,Dossier table,Summary Table,Header Table,NICE instructions,Source table_,HealthConsult"/>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H19"/>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autoRedefine/>
    <w:qFormat/>
    <w:rsid w:val="003D2B45"/>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33"/>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33"/>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3D2B45"/>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paragraph" w:customStyle="1" w:styleId="Tablenotes">
    <w:name w:val="Table notes"/>
    <w:basedOn w:val="Normal"/>
    <w:link w:val="TablenotesChar"/>
    <w:qFormat/>
    <w:rsid w:val="005940CE"/>
    <w:pPr>
      <w:jc w:val="left"/>
    </w:pPr>
    <w:rPr>
      <w:rFonts w:ascii="Trebuchet MS" w:hAnsi="Trebuchet MS" w:cs="Times New Roman"/>
      <w:sz w:val="16"/>
      <w:szCs w:val="20"/>
      <w:lang w:eastAsia="en-US"/>
    </w:rPr>
  </w:style>
  <w:style w:type="character" w:customStyle="1" w:styleId="TablenotesChar">
    <w:name w:val="Table notes Char"/>
    <w:basedOn w:val="DefaultParagraphFont"/>
    <w:link w:val="Tablenotes"/>
    <w:rsid w:val="005940CE"/>
    <w:rPr>
      <w:rFonts w:ascii="Trebuchet MS" w:hAnsi="Trebuchet MS"/>
      <w:sz w:val="16"/>
      <w:lang w:eastAsia="en-US"/>
    </w:rPr>
  </w:style>
  <w:style w:type="paragraph" w:customStyle="1" w:styleId="Tablebold">
    <w:name w:val="Table bold"/>
    <w:basedOn w:val="Tabletext"/>
    <w:uiPriority w:val="99"/>
    <w:qFormat/>
    <w:rsid w:val="00583E3A"/>
    <w:pPr>
      <w:keepNext/>
      <w:keepLines/>
      <w:spacing w:before="60" w:after="60"/>
    </w:pPr>
    <w:rPr>
      <w:rFonts w:ascii="Segoe UI Emoji" w:eastAsia="TimesNewRoman" w:hAnsi="Segoe UI Emoji" w:cs="Calibri Light"/>
      <w:b/>
      <w:snapToGrid/>
      <w:sz w:val="18"/>
      <w:szCs w:val="22"/>
      <w:lang w:eastAsia="en-US"/>
    </w:rPr>
  </w:style>
  <w:style w:type="character" w:styleId="UnresolvedMention">
    <w:name w:val="Unresolved Mention"/>
    <w:basedOn w:val="DefaultParagraphFont"/>
    <w:uiPriority w:val="99"/>
    <w:semiHidden/>
    <w:unhideWhenUsed/>
    <w:rsid w:val="0040073E"/>
    <w:rPr>
      <w:color w:val="605E5C"/>
      <w:shd w:val="clear" w:color="auto" w:fill="E1DFDD"/>
    </w:rPr>
  </w:style>
  <w:style w:type="character" w:styleId="Mention">
    <w:name w:val="Mention"/>
    <w:basedOn w:val="DefaultParagraphFont"/>
    <w:uiPriority w:val="99"/>
    <w:unhideWhenUsed/>
    <w:rsid w:val="00BA44C3"/>
    <w:rPr>
      <w:color w:val="2B579A"/>
      <w:shd w:val="clear" w:color="auto" w:fill="E1DFDD"/>
    </w:rPr>
  </w:style>
  <w:style w:type="paragraph" w:customStyle="1" w:styleId="PBACTabletext">
    <w:name w:val="PBAC Table text"/>
    <w:qFormat/>
    <w:rsid w:val="00B40423"/>
    <w:pPr>
      <w:keepNext/>
      <w:keepLines/>
      <w:suppressLineNumbers/>
      <w:spacing w:after="80"/>
      <w:textboxTightWrap w:val="allLines"/>
    </w:pPr>
    <w:rPr>
      <w:rFonts w:ascii="Arial Narrow" w:hAnsi="Arial Narrow" w:cs="Arial"/>
      <w:szCs w:val="24"/>
      <w:lang w:eastAsia="en-GB"/>
    </w:rPr>
  </w:style>
  <w:style w:type="paragraph" w:styleId="FootnoteText">
    <w:name w:val="footnote text"/>
    <w:aliases w:val="Footnote Text Char Char,Footnote Text Char2,Footnote Text Char Char1,Footnote Text Char1"/>
    <w:basedOn w:val="Normal"/>
    <w:link w:val="FootnoteTextChar"/>
    <w:uiPriority w:val="99"/>
    <w:unhideWhenUsed/>
    <w:rsid w:val="00713F5B"/>
    <w:rPr>
      <w:sz w:val="20"/>
      <w:szCs w:val="20"/>
    </w:rPr>
  </w:style>
  <w:style w:type="character" w:customStyle="1" w:styleId="FootnoteTextChar">
    <w:name w:val="Footnote Text Char"/>
    <w:aliases w:val="Footnote Text Char Char Char,Footnote Text Char2 Char,Footnote Text Char Char1 Char,Footnote Text Char1 Char"/>
    <w:basedOn w:val="DefaultParagraphFont"/>
    <w:link w:val="FootnoteText"/>
    <w:uiPriority w:val="99"/>
    <w:rsid w:val="00713F5B"/>
    <w:rPr>
      <w:rFonts w:ascii="Calibri" w:hAnsi="Calibri" w:cs="Arial"/>
    </w:rPr>
  </w:style>
  <w:style w:type="character" w:styleId="FootnoteReference">
    <w:name w:val="footnote reference"/>
    <w:basedOn w:val="DefaultParagraphFont"/>
    <w:unhideWhenUsed/>
    <w:rsid w:val="00713F5B"/>
    <w:rPr>
      <w:vertAlign w:val="superscript"/>
    </w:rPr>
  </w:style>
  <w:style w:type="character" w:customStyle="1" w:styleId="SourcesChar">
    <w:name w:val="Sources Char"/>
    <w:basedOn w:val="DefaultParagraphFont"/>
    <w:link w:val="Sources"/>
    <w:locked/>
    <w:rsid w:val="00F57744"/>
    <w:rPr>
      <w:rFonts w:ascii="Arial" w:eastAsiaTheme="minorHAnsi" w:hAnsi="Arial" w:cstheme="minorBidi"/>
      <w:sz w:val="16"/>
      <w:szCs w:val="22"/>
      <w:lang w:eastAsia="en-US"/>
    </w:rPr>
  </w:style>
  <w:style w:type="paragraph" w:customStyle="1" w:styleId="Sources">
    <w:name w:val="Sources"/>
    <w:basedOn w:val="Normal"/>
    <w:link w:val="SourcesChar"/>
    <w:qFormat/>
    <w:rsid w:val="00F57744"/>
    <w:pPr>
      <w:spacing w:before="60" w:after="240"/>
      <w:contextualSpacing/>
      <w:jc w:val="left"/>
    </w:pPr>
    <w:rPr>
      <w:rFonts w:ascii="Arial" w:eastAsiaTheme="minorHAnsi" w:hAnsi="Arial" w:cstheme="minorBidi"/>
      <w:sz w:val="16"/>
      <w:szCs w:val="22"/>
      <w:lang w:eastAsia="en-US"/>
    </w:rPr>
  </w:style>
  <w:style w:type="numbering" w:customStyle="1" w:styleId="SectionBi1">
    <w:name w:val="Section Bi1"/>
    <w:uiPriority w:val="99"/>
    <w:rsid w:val="00F57744"/>
  </w:style>
  <w:style w:type="paragraph" w:customStyle="1" w:styleId="EndNoteBibliography">
    <w:name w:val="EndNote Bibliography"/>
    <w:basedOn w:val="Normal"/>
    <w:link w:val="EndNoteBibliographyChar"/>
    <w:rsid w:val="002D3BB7"/>
    <w:pPr>
      <w:jc w:val="left"/>
    </w:pPr>
    <w:rPr>
      <w:rFonts w:ascii="Arial Narrow" w:eastAsiaTheme="majorEastAsia" w:hAnsi="Arial Narrow" w:cstheme="majorBidi"/>
      <w:noProof/>
    </w:rPr>
  </w:style>
  <w:style w:type="character" w:customStyle="1" w:styleId="EndNoteBibliographyChar">
    <w:name w:val="EndNote Bibliography Char"/>
    <w:basedOn w:val="TableTextChar0"/>
    <w:link w:val="EndNoteBibliography"/>
    <w:rsid w:val="002D3BB7"/>
    <w:rPr>
      <w:rFonts w:ascii="Arial Narrow" w:eastAsiaTheme="majorEastAsia" w:hAnsi="Arial Narrow" w:cstheme="majorBidi"/>
      <w:bCs w:val="0"/>
      <w:noProof/>
      <w:sz w:val="24"/>
      <w:szCs w:val="24"/>
    </w:rPr>
  </w:style>
  <w:style w:type="character" w:customStyle="1" w:styleId="cf01">
    <w:name w:val="cf01"/>
    <w:basedOn w:val="DefaultParagraphFont"/>
    <w:rsid w:val="002D3BB7"/>
    <w:rPr>
      <w:rFonts w:ascii="Segoe UI" w:hAnsi="Segoe UI" w:cs="Segoe UI" w:hint="default"/>
      <w:i/>
      <w:iCs/>
      <w:sz w:val="18"/>
      <w:szCs w:val="18"/>
      <w:shd w:val="clear" w:color="auto" w:fill="FFFF00"/>
    </w:rPr>
  </w:style>
  <w:style w:type="paragraph" w:styleId="EndnoteText">
    <w:name w:val="endnote text"/>
    <w:basedOn w:val="Normal"/>
    <w:link w:val="EndnoteTextChar"/>
    <w:semiHidden/>
    <w:unhideWhenUsed/>
    <w:rsid w:val="002D3BB7"/>
    <w:rPr>
      <w:sz w:val="20"/>
      <w:szCs w:val="20"/>
    </w:rPr>
  </w:style>
  <w:style w:type="character" w:customStyle="1" w:styleId="EndnoteTextChar">
    <w:name w:val="Endnote Text Char"/>
    <w:basedOn w:val="DefaultParagraphFont"/>
    <w:link w:val="EndnoteText"/>
    <w:semiHidden/>
    <w:rsid w:val="002D3BB7"/>
    <w:rPr>
      <w:rFonts w:ascii="Calibri" w:hAnsi="Calibri" w:cs="Arial"/>
    </w:rPr>
  </w:style>
  <w:style w:type="character" w:styleId="EndnoteReference">
    <w:name w:val="endnote reference"/>
    <w:basedOn w:val="DefaultParagraphFont"/>
    <w:semiHidden/>
    <w:unhideWhenUsed/>
    <w:rsid w:val="002D3BB7"/>
    <w:rPr>
      <w:vertAlign w:val="superscript"/>
    </w:rPr>
  </w:style>
  <w:style w:type="character" w:customStyle="1" w:styleId="Heading1Char">
    <w:name w:val="Heading 1 Char"/>
    <w:basedOn w:val="DefaultParagraphFont"/>
    <w:link w:val="Heading1"/>
    <w:uiPriority w:val="1"/>
    <w:rsid w:val="00493F39"/>
    <w:rPr>
      <w:rFonts w:ascii="Calibri" w:hAnsi="Calibri" w:cs="Arial"/>
      <w:b/>
      <w:caps/>
      <w:sz w:val="32"/>
      <w:szCs w:val="24"/>
    </w:rPr>
  </w:style>
  <w:style w:type="character" w:customStyle="1" w:styleId="Heading3Char">
    <w:name w:val="Heading 3 Char"/>
    <w:basedOn w:val="DefaultParagraphFont"/>
    <w:link w:val="Heading3"/>
    <w:rsid w:val="00493F39"/>
    <w:rPr>
      <w:rFonts w:ascii="Calibri" w:hAnsi="Calibri" w:cs="Arial"/>
      <w:sz w:val="24"/>
      <w:szCs w:val="24"/>
      <w:u w:val="single"/>
    </w:rPr>
  </w:style>
  <w:style w:type="character" w:customStyle="1" w:styleId="Heading4Char">
    <w:name w:val="Heading 4 Char"/>
    <w:basedOn w:val="DefaultParagraphFont"/>
    <w:link w:val="Heading4"/>
    <w:rsid w:val="00493F39"/>
    <w:rPr>
      <w:rFonts w:ascii="Calibri" w:hAnsi="Calibri" w:cs="Arial"/>
      <w:b/>
      <w:bCs/>
      <w:i/>
      <w:sz w:val="26"/>
      <w:szCs w:val="28"/>
    </w:rPr>
  </w:style>
  <w:style w:type="character" w:customStyle="1" w:styleId="Heading5Char">
    <w:name w:val="Heading 5 Char"/>
    <w:basedOn w:val="DefaultParagraphFont"/>
    <w:link w:val="Heading5"/>
    <w:rsid w:val="00493F39"/>
    <w:rPr>
      <w:rFonts w:ascii="Calibri" w:hAnsi="Calibri" w:cs="Arial"/>
      <w:b/>
      <w:bCs/>
      <w:iCs/>
      <w:sz w:val="26"/>
      <w:szCs w:val="26"/>
    </w:rPr>
  </w:style>
  <w:style w:type="character" w:customStyle="1" w:styleId="Heading6Char">
    <w:name w:val="Heading 6 Char"/>
    <w:basedOn w:val="DefaultParagraphFont"/>
    <w:link w:val="Heading6"/>
    <w:rsid w:val="00493F39"/>
    <w:rPr>
      <w:rFonts w:ascii="Calibri" w:hAnsi="Calibri" w:cs="Arial"/>
      <w:b/>
      <w:bCs/>
      <w:i/>
      <w:sz w:val="24"/>
      <w:szCs w:val="24"/>
    </w:rPr>
  </w:style>
  <w:style w:type="table" w:customStyle="1" w:styleId="AZTable">
    <w:name w:val="AZ Table"/>
    <w:basedOn w:val="TableNormal"/>
    <w:uiPriority w:val="99"/>
    <w:rsid w:val="00493F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TableGrid2">
    <w:name w:val="Table Grid2"/>
    <w:basedOn w:val="TableNormal"/>
    <w:next w:val="TableGrid"/>
    <w:uiPriority w:val="39"/>
    <w:rsid w:val="00493F39"/>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TableText0"/>
    <w:link w:val="TableHeadingChar"/>
    <w:qFormat/>
    <w:rsid w:val="000401BF"/>
    <w:pPr>
      <w:spacing w:before="20" w:after="20" w:line="276" w:lineRule="auto"/>
      <w:ind w:right="101"/>
    </w:pPr>
    <w:rPr>
      <w:rFonts w:cs="Arial"/>
      <w:b/>
      <w:bCs w:val="0"/>
      <w:szCs w:val="20"/>
      <w:lang w:bidi="en-US"/>
    </w:rPr>
  </w:style>
  <w:style w:type="character" w:customStyle="1" w:styleId="TableHeadingChar">
    <w:name w:val="Table Heading Char"/>
    <w:basedOn w:val="DefaultParagraphFont"/>
    <w:link w:val="TableHeading0"/>
    <w:locked/>
    <w:rsid w:val="000401BF"/>
    <w:rPr>
      <w:rFonts w:ascii="Arial Narrow" w:eastAsiaTheme="majorEastAsia" w:hAnsi="Arial Narrow" w:cs="Arial"/>
      <w:b/>
      <w:lang w:bidi="en-US"/>
    </w:rPr>
  </w:style>
  <w:style w:type="paragraph" w:customStyle="1" w:styleId="p1">
    <w:name w:val="p1"/>
    <w:basedOn w:val="Normal"/>
    <w:rsid w:val="000401BF"/>
    <w:pPr>
      <w:jc w:val="left"/>
    </w:pPr>
    <w:rPr>
      <w:rFonts w:ascii="Times New Roman" w:hAnsi="Times New Roman" w:cs="Times New Roman"/>
      <w:color w:val="000000"/>
      <w:sz w:val="18"/>
      <w:szCs w:val="18"/>
      <w:lang w:eastAsia="en-GB"/>
    </w:rPr>
  </w:style>
  <w:style w:type="character" w:customStyle="1" w:styleId="normaltextrun">
    <w:name w:val="normaltextrun"/>
    <w:basedOn w:val="DefaultParagraphFont"/>
    <w:rsid w:val="00A32737"/>
  </w:style>
  <w:style w:type="paragraph" w:customStyle="1" w:styleId="3-SubsectionHeading">
    <w:name w:val="3-Subsection Heading"/>
    <w:basedOn w:val="Heading2"/>
    <w:next w:val="Normal"/>
    <w:link w:val="3-SubsectionHeadingChar"/>
    <w:qFormat/>
    <w:rsid w:val="000411FB"/>
    <w:pPr>
      <w:keepNext/>
      <w:spacing w:before="120" w:after="120"/>
      <w:outlineLvl w:val="9"/>
    </w:pPr>
    <w:rPr>
      <w:rFonts w:asciiTheme="minorHAnsi" w:eastAsiaTheme="majorEastAsia" w:hAnsiTheme="minorHAnsi" w:cstheme="majorBidi"/>
      <w:color w:val="000000" w:themeColor="text1"/>
      <w:spacing w:val="5"/>
      <w:kern w:val="28"/>
      <w:szCs w:val="36"/>
      <w:lang w:eastAsia="en-US"/>
    </w:rPr>
  </w:style>
  <w:style w:type="character" w:customStyle="1" w:styleId="3-SubsectionHeadingChar">
    <w:name w:val="3-Subsection Heading Char"/>
    <w:basedOn w:val="Heading2Char"/>
    <w:link w:val="3-SubsectionHeading"/>
    <w:rsid w:val="000411FB"/>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Numberbullet2">
    <w:name w:val="Number bullet 2"/>
    <w:basedOn w:val="ListBullet2"/>
    <w:qFormat/>
    <w:rsid w:val="008940E4"/>
    <w:pPr>
      <w:numPr>
        <w:ilvl w:val="1"/>
        <w:numId w:val="34"/>
      </w:numPr>
      <w:spacing w:before="120" w:after="180" w:line="240" w:lineRule="atLeast"/>
      <w:ind w:left="0" w:firstLine="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8940E4"/>
    <w:pPr>
      <w:numPr>
        <w:ilvl w:val="2"/>
        <w:numId w:val="34"/>
      </w:numPr>
      <w:spacing w:before="120" w:after="180" w:line="240" w:lineRule="atLeast"/>
      <w:ind w:left="0" w:firstLine="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8940E4"/>
    <w:pPr>
      <w:numPr>
        <w:numId w:val="34"/>
      </w:numPr>
    </w:pPr>
  </w:style>
  <w:style w:type="paragraph" w:customStyle="1" w:styleId="COMH1numbered">
    <w:name w:val="COM H1 numbered"/>
    <w:next w:val="Normal"/>
    <w:link w:val="COMH1numberedChar"/>
    <w:qFormat/>
    <w:rsid w:val="008940E4"/>
    <w:pPr>
      <w:keepNext/>
      <w:numPr>
        <w:numId w:val="34"/>
      </w:numPr>
      <w:spacing w:before="240" w:after="120"/>
      <w:ind w:left="0" w:firstLine="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8940E4"/>
    <w:rPr>
      <w:rFonts w:asciiTheme="minorHAnsi" w:hAnsiTheme="minorHAnsi" w:cs="Arial"/>
      <w:b/>
      <w:snapToGrid w:val="0"/>
      <w:sz w:val="32"/>
      <w:szCs w:val="32"/>
    </w:rPr>
  </w:style>
  <w:style w:type="paragraph" w:styleId="ListBullet2">
    <w:name w:val="List Bullet 2"/>
    <w:basedOn w:val="Normal"/>
    <w:semiHidden/>
    <w:unhideWhenUsed/>
    <w:rsid w:val="008940E4"/>
    <w:pPr>
      <w:contextualSpacing/>
    </w:pPr>
  </w:style>
  <w:style w:type="paragraph" w:styleId="ListBullet3">
    <w:name w:val="List Bullet 3"/>
    <w:basedOn w:val="Normal"/>
    <w:semiHidden/>
    <w:unhideWhenUsed/>
    <w:rsid w:val="008940E4"/>
    <w:pPr>
      <w:contextualSpacing/>
    </w:pPr>
  </w:style>
  <w:style w:type="table" w:styleId="PlainTable1">
    <w:name w:val="Plain Table 1"/>
    <w:basedOn w:val="TableNormal"/>
    <w:uiPriority w:val="41"/>
    <w:rsid w:val="009921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Normal"/>
    <w:rsid w:val="00FD26DD"/>
    <w:pPr>
      <w:spacing w:before="100" w:beforeAutospacing="1" w:after="100" w:afterAutospacing="1"/>
      <w:ind w:left="720"/>
      <w:jc w:val="left"/>
    </w:pPr>
    <w:rPr>
      <w:rFonts w:ascii="Times New Roman" w:hAnsi="Times New Roman" w:cs="Times New Roman"/>
    </w:rPr>
  </w:style>
  <w:style w:type="character" w:customStyle="1" w:styleId="cf11">
    <w:name w:val="cf11"/>
    <w:basedOn w:val="DefaultParagraphFont"/>
    <w:rsid w:val="00FD26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04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6615657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1757816">
      <w:bodyDiv w:val="1"/>
      <w:marLeft w:val="0"/>
      <w:marRight w:val="0"/>
      <w:marTop w:val="0"/>
      <w:marBottom w:val="0"/>
      <w:divBdr>
        <w:top w:val="none" w:sz="0" w:space="0" w:color="auto"/>
        <w:left w:val="none" w:sz="0" w:space="0" w:color="auto"/>
        <w:bottom w:val="none" w:sz="0" w:space="0" w:color="auto"/>
        <w:right w:val="none" w:sz="0" w:space="0" w:color="auto"/>
      </w:divBdr>
    </w:div>
    <w:div w:id="363873104">
      <w:bodyDiv w:val="1"/>
      <w:marLeft w:val="0"/>
      <w:marRight w:val="0"/>
      <w:marTop w:val="0"/>
      <w:marBottom w:val="0"/>
      <w:divBdr>
        <w:top w:val="none" w:sz="0" w:space="0" w:color="auto"/>
        <w:left w:val="none" w:sz="0" w:space="0" w:color="auto"/>
        <w:bottom w:val="none" w:sz="0" w:space="0" w:color="auto"/>
        <w:right w:val="none" w:sz="0" w:space="0" w:color="auto"/>
      </w:divBdr>
    </w:div>
    <w:div w:id="397754233">
      <w:bodyDiv w:val="1"/>
      <w:marLeft w:val="0"/>
      <w:marRight w:val="0"/>
      <w:marTop w:val="0"/>
      <w:marBottom w:val="0"/>
      <w:divBdr>
        <w:top w:val="none" w:sz="0" w:space="0" w:color="auto"/>
        <w:left w:val="none" w:sz="0" w:space="0" w:color="auto"/>
        <w:bottom w:val="none" w:sz="0" w:space="0" w:color="auto"/>
        <w:right w:val="none" w:sz="0" w:space="0" w:color="auto"/>
      </w:divBdr>
    </w:div>
    <w:div w:id="496926699">
      <w:bodyDiv w:val="1"/>
      <w:marLeft w:val="0"/>
      <w:marRight w:val="0"/>
      <w:marTop w:val="0"/>
      <w:marBottom w:val="0"/>
      <w:divBdr>
        <w:top w:val="none" w:sz="0" w:space="0" w:color="auto"/>
        <w:left w:val="none" w:sz="0" w:space="0" w:color="auto"/>
        <w:bottom w:val="none" w:sz="0" w:space="0" w:color="auto"/>
        <w:right w:val="none" w:sz="0" w:space="0" w:color="auto"/>
      </w:divBdr>
      <w:divsChild>
        <w:div w:id="456608077">
          <w:marLeft w:val="1080"/>
          <w:marRight w:val="0"/>
          <w:marTop w:val="100"/>
          <w:marBottom w:val="0"/>
          <w:divBdr>
            <w:top w:val="none" w:sz="0" w:space="0" w:color="auto"/>
            <w:left w:val="none" w:sz="0" w:space="0" w:color="auto"/>
            <w:bottom w:val="none" w:sz="0" w:space="0" w:color="auto"/>
            <w:right w:val="none" w:sz="0" w:space="0" w:color="auto"/>
          </w:divBdr>
        </w:div>
        <w:div w:id="1161507064">
          <w:marLeft w:val="1080"/>
          <w:marRight w:val="0"/>
          <w:marTop w:val="100"/>
          <w:marBottom w:val="0"/>
          <w:divBdr>
            <w:top w:val="none" w:sz="0" w:space="0" w:color="auto"/>
            <w:left w:val="none" w:sz="0" w:space="0" w:color="auto"/>
            <w:bottom w:val="none" w:sz="0" w:space="0" w:color="auto"/>
            <w:right w:val="none" w:sz="0" w:space="0" w:color="auto"/>
          </w:divBdr>
        </w:div>
        <w:div w:id="1254556106">
          <w:marLeft w:val="1080"/>
          <w:marRight w:val="0"/>
          <w:marTop w:val="100"/>
          <w:marBottom w:val="0"/>
          <w:divBdr>
            <w:top w:val="none" w:sz="0" w:space="0" w:color="auto"/>
            <w:left w:val="none" w:sz="0" w:space="0" w:color="auto"/>
            <w:bottom w:val="none" w:sz="0" w:space="0" w:color="auto"/>
            <w:right w:val="none" w:sz="0" w:space="0" w:color="auto"/>
          </w:divBdr>
        </w:div>
        <w:div w:id="1693336731">
          <w:marLeft w:val="1080"/>
          <w:marRight w:val="0"/>
          <w:marTop w:val="100"/>
          <w:marBottom w:val="0"/>
          <w:divBdr>
            <w:top w:val="none" w:sz="0" w:space="0" w:color="auto"/>
            <w:left w:val="none" w:sz="0" w:space="0" w:color="auto"/>
            <w:bottom w:val="none" w:sz="0" w:space="0" w:color="auto"/>
            <w:right w:val="none" w:sz="0" w:space="0" w:color="auto"/>
          </w:divBdr>
        </w:div>
        <w:div w:id="1813136786">
          <w:marLeft w:val="1080"/>
          <w:marRight w:val="0"/>
          <w:marTop w:val="100"/>
          <w:marBottom w:val="0"/>
          <w:divBdr>
            <w:top w:val="none" w:sz="0" w:space="0" w:color="auto"/>
            <w:left w:val="none" w:sz="0" w:space="0" w:color="auto"/>
            <w:bottom w:val="none" w:sz="0" w:space="0" w:color="auto"/>
            <w:right w:val="none" w:sz="0" w:space="0" w:color="auto"/>
          </w:divBdr>
        </w:div>
        <w:div w:id="2091735440">
          <w:marLeft w:val="1080"/>
          <w:marRight w:val="0"/>
          <w:marTop w:val="100"/>
          <w:marBottom w:val="0"/>
          <w:divBdr>
            <w:top w:val="none" w:sz="0" w:space="0" w:color="auto"/>
            <w:left w:val="none" w:sz="0" w:space="0" w:color="auto"/>
            <w:bottom w:val="none" w:sz="0" w:space="0" w:color="auto"/>
            <w:right w:val="none" w:sz="0" w:space="0" w:color="auto"/>
          </w:divBdr>
        </w:div>
      </w:divsChild>
    </w:div>
    <w:div w:id="533225874">
      <w:bodyDiv w:val="1"/>
      <w:marLeft w:val="0"/>
      <w:marRight w:val="0"/>
      <w:marTop w:val="0"/>
      <w:marBottom w:val="0"/>
      <w:divBdr>
        <w:top w:val="none" w:sz="0" w:space="0" w:color="auto"/>
        <w:left w:val="none" w:sz="0" w:space="0" w:color="auto"/>
        <w:bottom w:val="none" w:sz="0" w:space="0" w:color="auto"/>
        <w:right w:val="none" w:sz="0" w:space="0" w:color="auto"/>
      </w:divBdr>
    </w:div>
    <w:div w:id="718942018">
      <w:bodyDiv w:val="1"/>
      <w:marLeft w:val="0"/>
      <w:marRight w:val="0"/>
      <w:marTop w:val="0"/>
      <w:marBottom w:val="0"/>
      <w:divBdr>
        <w:top w:val="none" w:sz="0" w:space="0" w:color="auto"/>
        <w:left w:val="none" w:sz="0" w:space="0" w:color="auto"/>
        <w:bottom w:val="none" w:sz="0" w:space="0" w:color="auto"/>
        <w:right w:val="none" w:sz="0" w:space="0" w:color="auto"/>
      </w:divBdr>
    </w:div>
    <w:div w:id="815804485">
      <w:bodyDiv w:val="1"/>
      <w:marLeft w:val="0"/>
      <w:marRight w:val="0"/>
      <w:marTop w:val="0"/>
      <w:marBottom w:val="0"/>
      <w:divBdr>
        <w:top w:val="none" w:sz="0" w:space="0" w:color="auto"/>
        <w:left w:val="none" w:sz="0" w:space="0" w:color="auto"/>
        <w:bottom w:val="none" w:sz="0" w:space="0" w:color="auto"/>
        <w:right w:val="none" w:sz="0" w:space="0" w:color="auto"/>
      </w:divBdr>
    </w:div>
    <w:div w:id="819006476">
      <w:bodyDiv w:val="1"/>
      <w:marLeft w:val="0"/>
      <w:marRight w:val="0"/>
      <w:marTop w:val="0"/>
      <w:marBottom w:val="0"/>
      <w:divBdr>
        <w:top w:val="none" w:sz="0" w:space="0" w:color="auto"/>
        <w:left w:val="none" w:sz="0" w:space="0" w:color="auto"/>
        <w:bottom w:val="none" w:sz="0" w:space="0" w:color="auto"/>
        <w:right w:val="none" w:sz="0" w:space="0" w:color="auto"/>
      </w:divBdr>
      <w:divsChild>
        <w:div w:id="213809954">
          <w:marLeft w:val="1080"/>
          <w:marRight w:val="0"/>
          <w:marTop w:val="100"/>
          <w:marBottom w:val="0"/>
          <w:divBdr>
            <w:top w:val="none" w:sz="0" w:space="0" w:color="auto"/>
            <w:left w:val="none" w:sz="0" w:space="0" w:color="auto"/>
            <w:bottom w:val="none" w:sz="0" w:space="0" w:color="auto"/>
            <w:right w:val="none" w:sz="0" w:space="0" w:color="auto"/>
          </w:divBdr>
        </w:div>
        <w:div w:id="853541295">
          <w:marLeft w:val="1080"/>
          <w:marRight w:val="0"/>
          <w:marTop w:val="100"/>
          <w:marBottom w:val="0"/>
          <w:divBdr>
            <w:top w:val="none" w:sz="0" w:space="0" w:color="auto"/>
            <w:left w:val="none" w:sz="0" w:space="0" w:color="auto"/>
            <w:bottom w:val="none" w:sz="0" w:space="0" w:color="auto"/>
            <w:right w:val="none" w:sz="0" w:space="0" w:color="auto"/>
          </w:divBdr>
        </w:div>
        <w:div w:id="903445075">
          <w:marLeft w:val="1080"/>
          <w:marRight w:val="0"/>
          <w:marTop w:val="100"/>
          <w:marBottom w:val="0"/>
          <w:divBdr>
            <w:top w:val="none" w:sz="0" w:space="0" w:color="auto"/>
            <w:left w:val="none" w:sz="0" w:space="0" w:color="auto"/>
            <w:bottom w:val="none" w:sz="0" w:space="0" w:color="auto"/>
            <w:right w:val="none" w:sz="0" w:space="0" w:color="auto"/>
          </w:divBdr>
        </w:div>
        <w:div w:id="1108543673">
          <w:marLeft w:val="1080"/>
          <w:marRight w:val="0"/>
          <w:marTop w:val="100"/>
          <w:marBottom w:val="0"/>
          <w:divBdr>
            <w:top w:val="none" w:sz="0" w:space="0" w:color="auto"/>
            <w:left w:val="none" w:sz="0" w:space="0" w:color="auto"/>
            <w:bottom w:val="none" w:sz="0" w:space="0" w:color="auto"/>
            <w:right w:val="none" w:sz="0" w:space="0" w:color="auto"/>
          </w:divBdr>
        </w:div>
        <w:div w:id="1548494055">
          <w:marLeft w:val="1080"/>
          <w:marRight w:val="0"/>
          <w:marTop w:val="100"/>
          <w:marBottom w:val="0"/>
          <w:divBdr>
            <w:top w:val="none" w:sz="0" w:space="0" w:color="auto"/>
            <w:left w:val="none" w:sz="0" w:space="0" w:color="auto"/>
            <w:bottom w:val="none" w:sz="0" w:space="0" w:color="auto"/>
            <w:right w:val="none" w:sz="0" w:space="0" w:color="auto"/>
          </w:divBdr>
        </w:div>
        <w:div w:id="1725450145">
          <w:marLeft w:val="1080"/>
          <w:marRight w:val="0"/>
          <w:marTop w:val="10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17130074">
      <w:bodyDiv w:val="1"/>
      <w:marLeft w:val="0"/>
      <w:marRight w:val="0"/>
      <w:marTop w:val="0"/>
      <w:marBottom w:val="0"/>
      <w:divBdr>
        <w:top w:val="none" w:sz="0" w:space="0" w:color="auto"/>
        <w:left w:val="none" w:sz="0" w:space="0" w:color="auto"/>
        <w:bottom w:val="none" w:sz="0" w:space="0" w:color="auto"/>
        <w:right w:val="none" w:sz="0" w:space="0" w:color="auto"/>
      </w:divBdr>
    </w:div>
    <w:div w:id="1033386662">
      <w:bodyDiv w:val="1"/>
      <w:marLeft w:val="0"/>
      <w:marRight w:val="0"/>
      <w:marTop w:val="0"/>
      <w:marBottom w:val="0"/>
      <w:divBdr>
        <w:top w:val="none" w:sz="0" w:space="0" w:color="auto"/>
        <w:left w:val="none" w:sz="0" w:space="0" w:color="auto"/>
        <w:bottom w:val="none" w:sz="0" w:space="0" w:color="auto"/>
        <w:right w:val="none" w:sz="0" w:space="0" w:color="auto"/>
      </w:divBdr>
    </w:div>
    <w:div w:id="1113134348">
      <w:bodyDiv w:val="1"/>
      <w:marLeft w:val="0"/>
      <w:marRight w:val="0"/>
      <w:marTop w:val="0"/>
      <w:marBottom w:val="0"/>
      <w:divBdr>
        <w:top w:val="none" w:sz="0" w:space="0" w:color="auto"/>
        <w:left w:val="none" w:sz="0" w:space="0" w:color="auto"/>
        <w:bottom w:val="none" w:sz="0" w:space="0" w:color="auto"/>
        <w:right w:val="none" w:sz="0" w:space="0" w:color="auto"/>
      </w:divBdr>
      <w:divsChild>
        <w:div w:id="1429228221">
          <w:marLeft w:val="480"/>
          <w:marRight w:val="0"/>
          <w:marTop w:val="0"/>
          <w:marBottom w:val="0"/>
          <w:divBdr>
            <w:top w:val="none" w:sz="0" w:space="0" w:color="auto"/>
            <w:left w:val="none" w:sz="0" w:space="0" w:color="auto"/>
            <w:bottom w:val="none" w:sz="0" w:space="0" w:color="auto"/>
            <w:right w:val="none" w:sz="0" w:space="0" w:color="auto"/>
          </w:divBdr>
          <w:divsChild>
            <w:div w:id="21056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7900988">
      <w:bodyDiv w:val="1"/>
      <w:marLeft w:val="0"/>
      <w:marRight w:val="0"/>
      <w:marTop w:val="0"/>
      <w:marBottom w:val="0"/>
      <w:divBdr>
        <w:top w:val="none" w:sz="0" w:space="0" w:color="auto"/>
        <w:left w:val="none" w:sz="0" w:space="0" w:color="auto"/>
        <w:bottom w:val="none" w:sz="0" w:space="0" w:color="auto"/>
        <w:right w:val="none" w:sz="0" w:space="0" w:color="auto"/>
      </w:divBdr>
    </w:div>
    <w:div w:id="1266577928">
      <w:bodyDiv w:val="1"/>
      <w:marLeft w:val="0"/>
      <w:marRight w:val="0"/>
      <w:marTop w:val="0"/>
      <w:marBottom w:val="0"/>
      <w:divBdr>
        <w:top w:val="none" w:sz="0" w:space="0" w:color="auto"/>
        <w:left w:val="none" w:sz="0" w:space="0" w:color="auto"/>
        <w:bottom w:val="none" w:sz="0" w:space="0" w:color="auto"/>
        <w:right w:val="none" w:sz="0" w:space="0" w:color="auto"/>
      </w:divBdr>
    </w:div>
    <w:div w:id="1426733556">
      <w:bodyDiv w:val="1"/>
      <w:marLeft w:val="0"/>
      <w:marRight w:val="0"/>
      <w:marTop w:val="0"/>
      <w:marBottom w:val="0"/>
      <w:divBdr>
        <w:top w:val="none" w:sz="0" w:space="0" w:color="auto"/>
        <w:left w:val="none" w:sz="0" w:space="0" w:color="auto"/>
        <w:bottom w:val="none" w:sz="0" w:space="0" w:color="auto"/>
        <w:right w:val="none" w:sz="0" w:space="0" w:color="auto"/>
      </w:divBdr>
    </w:div>
    <w:div w:id="1542857939">
      <w:bodyDiv w:val="1"/>
      <w:marLeft w:val="0"/>
      <w:marRight w:val="0"/>
      <w:marTop w:val="0"/>
      <w:marBottom w:val="0"/>
      <w:divBdr>
        <w:top w:val="none" w:sz="0" w:space="0" w:color="auto"/>
        <w:left w:val="none" w:sz="0" w:space="0" w:color="auto"/>
        <w:bottom w:val="none" w:sz="0" w:space="0" w:color="auto"/>
        <w:right w:val="none" w:sz="0" w:space="0" w:color="auto"/>
      </w:divBdr>
    </w:div>
    <w:div w:id="1727140714">
      <w:bodyDiv w:val="1"/>
      <w:marLeft w:val="0"/>
      <w:marRight w:val="0"/>
      <w:marTop w:val="0"/>
      <w:marBottom w:val="0"/>
      <w:divBdr>
        <w:top w:val="none" w:sz="0" w:space="0" w:color="auto"/>
        <w:left w:val="none" w:sz="0" w:space="0" w:color="auto"/>
        <w:bottom w:val="none" w:sz="0" w:space="0" w:color="auto"/>
        <w:right w:val="none" w:sz="0" w:space="0" w:color="auto"/>
      </w:divBdr>
    </w:div>
    <w:div w:id="1773279924">
      <w:bodyDiv w:val="1"/>
      <w:marLeft w:val="0"/>
      <w:marRight w:val="0"/>
      <w:marTop w:val="0"/>
      <w:marBottom w:val="0"/>
      <w:divBdr>
        <w:top w:val="none" w:sz="0" w:space="0" w:color="auto"/>
        <w:left w:val="none" w:sz="0" w:space="0" w:color="auto"/>
        <w:bottom w:val="none" w:sz="0" w:space="0" w:color="auto"/>
        <w:right w:val="none" w:sz="0" w:space="0" w:color="auto"/>
      </w:divBdr>
    </w:div>
    <w:div w:id="1827210531">
      <w:bodyDiv w:val="1"/>
      <w:marLeft w:val="0"/>
      <w:marRight w:val="0"/>
      <w:marTop w:val="0"/>
      <w:marBottom w:val="0"/>
      <w:divBdr>
        <w:top w:val="none" w:sz="0" w:space="0" w:color="auto"/>
        <w:left w:val="none" w:sz="0" w:space="0" w:color="auto"/>
        <w:bottom w:val="none" w:sz="0" w:space="0" w:color="auto"/>
        <w:right w:val="none" w:sz="0" w:space="0" w:color="auto"/>
      </w:divBdr>
    </w:div>
    <w:div w:id="1869559039">
      <w:bodyDiv w:val="1"/>
      <w:marLeft w:val="0"/>
      <w:marRight w:val="0"/>
      <w:marTop w:val="0"/>
      <w:marBottom w:val="0"/>
      <w:divBdr>
        <w:top w:val="none" w:sz="0" w:space="0" w:color="auto"/>
        <w:left w:val="none" w:sz="0" w:space="0" w:color="auto"/>
        <w:bottom w:val="none" w:sz="0" w:space="0" w:color="auto"/>
        <w:right w:val="none" w:sz="0" w:space="0" w:color="auto"/>
      </w:divBdr>
    </w:div>
    <w:div w:id="1911189493">
      <w:bodyDiv w:val="1"/>
      <w:marLeft w:val="0"/>
      <w:marRight w:val="0"/>
      <w:marTop w:val="0"/>
      <w:marBottom w:val="0"/>
      <w:divBdr>
        <w:top w:val="none" w:sz="0" w:space="0" w:color="auto"/>
        <w:left w:val="none" w:sz="0" w:space="0" w:color="auto"/>
        <w:bottom w:val="none" w:sz="0" w:space="0" w:color="auto"/>
        <w:right w:val="none" w:sz="0" w:space="0" w:color="auto"/>
      </w:divBdr>
    </w:div>
    <w:div w:id="191458198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6273490">
      <w:bodyDiv w:val="1"/>
      <w:marLeft w:val="0"/>
      <w:marRight w:val="0"/>
      <w:marTop w:val="0"/>
      <w:marBottom w:val="0"/>
      <w:divBdr>
        <w:top w:val="none" w:sz="0" w:space="0" w:color="auto"/>
        <w:left w:val="none" w:sz="0" w:space="0" w:color="auto"/>
        <w:bottom w:val="none" w:sz="0" w:space="0" w:color="auto"/>
        <w:right w:val="none" w:sz="0" w:space="0" w:color="auto"/>
      </w:divBdr>
    </w:div>
    <w:div w:id="2083521112">
      <w:bodyDiv w:val="1"/>
      <w:marLeft w:val="0"/>
      <w:marRight w:val="0"/>
      <w:marTop w:val="0"/>
      <w:marBottom w:val="0"/>
      <w:divBdr>
        <w:top w:val="none" w:sz="0" w:space="0" w:color="auto"/>
        <w:left w:val="none" w:sz="0" w:space="0" w:color="auto"/>
        <w:bottom w:val="none" w:sz="0" w:space="0" w:color="auto"/>
        <w:right w:val="none" w:sz="0" w:space="0" w:color="auto"/>
      </w:divBdr>
    </w:div>
    <w:div w:id="2095928316">
      <w:bodyDiv w:val="1"/>
      <w:marLeft w:val="0"/>
      <w:marRight w:val="0"/>
      <w:marTop w:val="0"/>
      <w:marBottom w:val="0"/>
      <w:divBdr>
        <w:top w:val="none" w:sz="0" w:space="0" w:color="auto"/>
        <w:left w:val="none" w:sz="0" w:space="0" w:color="auto"/>
        <w:bottom w:val="none" w:sz="0" w:space="0" w:color="auto"/>
        <w:right w:val="none" w:sz="0" w:space="0" w:color="auto"/>
      </w:divBdr>
      <w:divsChild>
        <w:div w:id="809173331">
          <w:marLeft w:val="360"/>
          <w:marRight w:val="0"/>
          <w:marTop w:val="200"/>
          <w:marBottom w:val="0"/>
          <w:divBdr>
            <w:top w:val="none" w:sz="0" w:space="0" w:color="auto"/>
            <w:left w:val="none" w:sz="0" w:space="0" w:color="auto"/>
            <w:bottom w:val="none" w:sz="0" w:space="0" w:color="auto"/>
            <w:right w:val="none" w:sz="0" w:space="0" w:color="auto"/>
          </w:divBdr>
        </w:div>
        <w:div w:id="1190293905">
          <w:marLeft w:val="1080"/>
          <w:marRight w:val="0"/>
          <w:marTop w:val="100"/>
          <w:marBottom w:val="0"/>
          <w:divBdr>
            <w:top w:val="none" w:sz="0" w:space="0" w:color="auto"/>
            <w:left w:val="none" w:sz="0" w:space="0" w:color="auto"/>
            <w:bottom w:val="none" w:sz="0" w:space="0" w:color="auto"/>
            <w:right w:val="none" w:sz="0" w:space="0" w:color="auto"/>
          </w:divBdr>
        </w:div>
        <w:div w:id="1254895329">
          <w:marLeft w:val="1080"/>
          <w:marRight w:val="0"/>
          <w:marTop w:val="100"/>
          <w:marBottom w:val="0"/>
          <w:divBdr>
            <w:top w:val="none" w:sz="0" w:space="0" w:color="auto"/>
            <w:left w:val="none" w:sz="0" w:space="0" w:color="auto"/>
            <w:bottom w:val="none" w:sz="0" w:space="0" w:color="auto"/>
            <w:right w:val="none" w:sz="0" w:space="0" w:color="auto"/>
          </w:divBdr>
        </w:div>
        <w:div w:id="179208689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mja.com.au/system/files/issues/214_10/mja250885.pdf" TargetMode="External"/><Relationship Id="rId1" Type="http://schemas.openxmlformats.org/officeDocument/2006/relationships/hyperlink" Target="https://onlinelibrary.wiley.com/doi/epdf/10.1002/jgh3.12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34D1742E-F4FC-4E36-AAFD-F50106201E26}">
  <ds:schemaRefs>
    <ds:schemaRef ds:uri="http://schemas.openxmlformats.org/officeDocument/2006/bibliography"/>
  </ds:schemaRefs>
</ds:datastoreItem>
</file>

<file path=customXml/itemProps2.xml><?xml version="1.0" encoding="utf-8"?>
<ds:datastoreItem xmlns:ds="http://schemas.openxmlformats.org/officeDocument/2006/customXml" ds:itemID="{ACBC6596-17E5-4AFA-BD82-015086F644F9}"/>
</file>

<file path=customXml/itemProps3.xml><?xml version="1.0" encoding="utf-8"?>
<ds:datastoreItem xmlns:ds="http://schemas.openxmlformats.org/officeDocument/2006/customXml" ds:itemID="{F249CD35-EAFF-48B0-9B8F-F8B0BEFFC5BC}"/>
</file>

<file path=customXml/itemProps4.xml><?xml version="1.0" encoding="utf-8"?>
<ds:datastoreItem xmlns:ds="http://schemas.openxmlformats.org/officeDocument/2006/customXml" ds:itemID="{3CBF0A13-1A4C-42D1-8483-0801B6587BE0}"/>
</file>

<file path=docProps/app.xml><?xml version="1.0" encoding="utf-8"?>
<Properties xmlns="http://schemas.openxmlformats.org/officeDocument/2006/extended-properties" xmlns:vt="http://schemas.openxmlformats.org/officeDocument/2006/docPropsVTypes">
  <Template>Normal.dotm</Template>
  <TotalTime>0</TotalTime>
  <Pages>36</Pages>
  <Words>13233</Words>
  <Characters>73180</Characters>
  <Application>Microsoft Office Word</Application>
  <DocSecurity>0</DocSecurity>
  <Lines>2090</Lines>
  <Paragraphs>1234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85179</CharactersWithSpaces>
  <SharedDoc>false</SharedDoc>
  <HLinks>
    <vt:vector size="12" baseType="variant">
      <vt:variant>
        <vt:i4>2490463</vt:i4>
      </vt:variant>
      <vt:variant>
        <vt:i4>3</vt:i4>
      </vt:variant>
      <vt:variant>
        <vt:i4>0</vt:i4>
      </vt:variant>
      <vt:variant>
        <vt:i4>5</vt:i4>
      </vt:variant>
      <vt:variant>
        <vt:lpwstr>https://www.mja.com.au/system/files/issues/214_10/mja250885.pdf</vt:lpwstr>
      </vt:variant>
      <vt:variant>
        <vt:lpwstr/>
      </vt:variant>
      <vt:variant>
        <vt:i4>3801144</vt:i4>
      </vt:variant>
      <vt:variant>
        <vt:i4>0</vt:i4>
      </vt:variant>
      <vt:variant>
        <vt:i4>0</vt:i4>
      </vt:variant>
      <vt:variant>
        <vt:i4>5</vt:i4>
      </vt:variant>
      <vt:variant>
        <vt:lpwstr>https://onlinelibrary.wiley.com/doi/epdf/10.1002/jgh3.12793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2025-10-27T06:00:00Z</dcterms:created>
  <dcterms:modified xsi:type="dcterms:W3CDTF">2025-10-27T06:01:00Z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28a0cb73,1bf55cba,6ff0d4ce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548eb59d,731efd83,704e44a6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2025-10-27T06:00:10Z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aa2db643-34de-4610-b5ea-439aec70f8d5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0x0101007FED174C5281F747A8037A05221D6DBD</vt:lpwstr>
  </property>
  <property fmtid="{D5CDD505-2E9C-101B-9397-08002B2CF9AE}" pid="18" name="docLang">
    <vt:lpwstr>en</vt:lpwstr>
  </property>
  <property fmtid="{D5CDD505-2E9C-101B-9397-08002B2CF9AE}" pid="19" name="MediaServiceImageTags">
    <vt:lpwstr/>
  </property>
</Properties>
</file>